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113" w:rsidRPr="00AF419E" w:rsidRDefault="00466ADD" w:rsidP="00AF419E">
      <w:pPr>
        <w:pStyle w:val="Title"/>
        <w:widowControl/>
        <w:spacing w:before="120" w:after="160"/>
        <w:ind w:left="720" w:hanging="720"/>
        <w:contextualSpacing/>
        <w:jc w:val="left"/>
        <w:rPr>
          <w:rFonts w:asciiTheme="minorHAnsi" w:eastAsiaTheme="majorEastAsia" w:hAnsiTheme="minorHAnsi" w:cstheme="majorBidi"/>
          <w:bCs w:val="0"/>
          <w:snapToGrid/>
          <w:spacing w:val="5"/>
          <w:sz w:val="36"/>
          <w:szCs w:val="36"/>
          <w:lang w:eastAsia="en-AU"/>
        </w:rPr>
      </w:pPr>
      <w:bookmarkStart w:id="0" w:name="_Toc523405685"/>
      <w:bookmarkStart w:id="1" w:name="_Toc341702043"/>
      <w:bookmarkStart w:id="2" w:name="_Toc380742621"/>
      <w:bookmarkStart w:id="3" w:name="_Toc380746188"/>
      <w:bookmarkStart w:id="4" w:name="_Toc380746314"/>
      <w:bookmarkStart w:id="5" w:name="_Toc380746595"/>
      <w:r w:rsidRPr="00AF419E">
        <w:rPr>
          <w:rFonts w:asciiTheme="minorHAnsi" w:eastAsiaTheme="majorEastAsia" w:hAnsiTheme="minorHAnsi" w:cstheme="majorBidi"/>
          <w:bCs w:val="0"/>
          <w:snapToGrid/>
          <w:spacing w:val="5"/>
          <w:sz w:val="36"/>
          <w:szCs w:val="36"/>
          <w:lang w:eastAsia="en-AU"/>
        </w:rPr>
        <w:t>7</w:t>
      </w:r>
      <w:r w:rsidR="005E7102" w:rsidRPr="00AF419E">
        <w:rPr>
          <w:rFonts w:asciiTheme="minorHAnsi" w:eastAsiaTheme="majorEastAsia" w:hAnsiTheme="minorHAnsi" w:cstheme="majorBidi"/>
          <w:bCs w:val="0"/>
          <w:snapToGrid/>
          <w:spacing w:val="5"/>
          <w:sz w:val="36"/>
          <w:szCs w:val="36"/>
          <w:lang w:eastAsia="en-AU"/>
        </w:rPr>
        <w:t>.</w:t>
      </w:r>
      <w:r w:rsidR="00DF1C98" w:rsidRPr="00AF419E">
        <w:rPr>
          <w:rFonts w:asciiTheme="minorHAnsi" w:eastAsiaTheme="majorEastAsia" w:hAnsiTheme="minorHAnsi" w:cstheme="majorBidi"/>
          <w:bCs w:val="0"/>
          <w:snapToGrid/>
          <w:spacing w:val="5"/>
          <w:sz w:val="36"/>
          <w:szCs w:val="36"/>
          <w:lang w:eastAsia="en-AU"/>
        </w:rPr>
        <w:t>07</w:t>
      </w:r>
      <w:r w:rsidR="005E7102" w:rsidRPr="00AF419E">
        <w:rPr>
          <w:rFonts w:asciiTheme="minorHAnsi" w:eastAsiaTheme="majorEastAsia" w:hAnsiTheme="minorHAnsi" w:cstheme="majorBidi"/>
          <w:bCs w:val="0"/>
          <w:snapToGrid/>
          <w:spacing w:val="5"/>
          <w:sz w:val="36"/>
          <w:szCs w:val="36"/>
          <w:lang w:eastAsia="en-AU"/>
        </w:rPr>
        <w:t xml:space="preserve"> </w:t>
      </w:r>
      <w:r w:rsidR="00BB1608" w:rsidRPr="00AF419E">
        <w:rPr>
          <w:rFonts w:asciiTheme="minorHAnsi" w:eastAsiaTheme="majorEastAsia" w:hAnsiTheme="minorHAnsi" w:cstheme="majorBidi"/>
          <w:bCs w:val="0"/>
          <w:snapToGrid/>
          <w:spacing w:val="5"/>
          <w:sz w:val="36"/>
          <w:szCs w:val="36"/>
          <w:lang w:eastAsia="en-AU"/>
        </w:rPr>
        <w:t>LENALIDOMIDE</w:t>
      </w:r>
      <w:r w:rsidR="005E7102" w:rsidRPr="00AF419E">
        <w:rPr>
          <w:rFonts w:asciiTheme="minorHAnsi" w:eastAsiaTheme="majorEastAsia" w:hAnsiTheme="minorHAnsi" w:cstheme="majorBidi"/>
          <w:bCs w:val="0"/>
          <w:snapToGrid/>
          <w:spacing w:val="5"/>
          <w:sz w:val="36"/>
          <w:szCs w:val="36"/>
          <w:lang w:eastAsia="en-AU"/>
        </w:rPr>
        <w:t xml:space="preserve">, </w:t>
      </w:r>
    </w:p>
    <w:p w:rsidR="00981113" w:rsidRPr="00AF419E" w:rsidRDefault="00BB1608" w:rsidP="00AF419E">
      <w:pPr>
        <w:pStyle w:val="Title"/>
        <w:widowControl/>
        <w:spacing w:before="120" w:after="160"/>
        <w:ind w:left="1440" w:hanging="720"/>
        <w:contextualSpacing/>
        <w:jc w:val="left"/>
        <w:rPr>
          <w:rFonts w:asciiTheme="minorHAnsi" w:eastAsiaTheme="majorEastAsia" w:hAnsiTheme="minorHAnsi" w:cstheme="majorBidi"/>
          <w:bCs w:val="0"/>
          <w:snapToGrid/>
          <w:spacing w:val="5"/>
          <w:sz w:val="36"/>
          <w:szCs w:val="36"/>
          <w:lang w:eastAsia="en-AU"/>
        </w:rPr>
      </w:pPr>
      <w:r w:rsidRPr="00AF419E">
        <w:rPr>
          <w:rFonts w:asciiTheme="minorHAnsi" w:eastAsiaTheme="majorEastAsia" w:hAnsiTheme="minorHAnsi" w:cstheme="majorBidi"/>
          <w:bCs w:val="0"/>
          <w:snapToGrid/>
          <w:spacing w:val="5"/>
          <w:sz w:val="36"/>
          <w:szCs w:val="36"/>
          <w:lang w:eastAsia="en-AU"/>
        </w:rPr>
        <w:t>C</w:t>
      </w:r>
      <w:r w:rsidR="005E7102" w:rsidRPr="00AF419E">
        <w:rPr>
          <w:rFonts w:asciiTheme="minorHAnsi" w:eastAsiaTheme="majorEastAsia" w:hAnsiTheme="minorHAnsi" w:cstheme="majorBidi"/>
          <w:bCs w:val="0"/>
          <w:snapToGrid/>
          <w:spacing w:val="5"/>
          <w:sz w:val="36"/>
          <w:szCs w:val="36"/>
          <w:lang w:eastAsia="en-AU"/>
        </w:rPr>
        <w:t xml:space="preserve">apsule 5 mg, 10 mg and 15 mg, </w:t>
      </w:r>
    </w:p>
    <w:p w:rsidR="003A3555" w:rsidRPr="00AF419E" w:rsidRDefault="005E7102" w:rsidP="00AF419E">
      <w:pPr>
        <w:pStyle w:val="Title"/>
        <w:widowControl/>
        <w:spacing w:before="120" w:after="160"/>
        <w:ind w:left="1429" w:hanging="720"/>
        <w:contextualSpacing/>
        <w:jc w:val="left"/>
        <w:rPr>
          <w:rFonts w:asciiTheme="minorHAnsi" w:eastAsiaTheme="majorEastAsia" w:hAnsiTheme="minorHAnsi" w:cstheme="majorBidi"/>
          <w:bCs w:val="0"/>
          <w:snapToGrid/>
          <w:spacing w:val="5"/>
          <w:sz w:val="36"/>
          <w:szCs w:val="36"/>
          <w:lang w:eastAsia="en-AU"/>
        </w:rPr>
      </w:pPr>
      <w:proofErr w:type="spellStart"/>
      <w:r w:rsidRPr="00AF419E">
        <w:rPr>
          <w:rFonts w:asciiTheme="minorHAnsi" w:eastAsiaTheme="majorEastAsia" w:hAnsiTheme="minorHAnsi" w:cstheme="majorBidi"/>
          <w:bCs w:val="0"/>
          <w:snapToGrid/>
          <w:spacing w:val="5"/>
          <w:sz w:val="36"/>
          <w:szCs w:val="36"/>
          <w:lang w:eastAsia="en-AU"/>
        </w:rPr>
        <w:t>Revlimid</w:t>
      </w:r>
      <w:proofErr w:type="spellEnd"/>
      <w:r w:rsidRPr="00AF419E">
        <w:rPr>
          <w:rFonts w:asciiTheme="minorHAnsi" w:eastAsiaTheme="majorEastAsia" w:hAnsiTheme="minorHAnsi" w:cstheme="majorBidi"/>
          <w:bCs w:val="0"/>
          <w:snapToGrid/>
          <w:spacing w:val="5"/>
          <w:sz w:val="36"/>
          <w:szCs w:val="36"/>
          <w:lang w:eastAsia="en-AU"/>
        </w:rPr>
        <w:t>®, Celgene Pty Ltd.</w:t>
      </w:r>
    </w:p>
    <w:p w:rsidR="005E7102" w:rsidRPr="004D70CC" w:rsidRDefault="005E7102" w:rsidP="00C12C09">
      <w:pPr>
        <w:pStyle w:val="Heading1"/>
        <w:keepLines/>
        <w:widowControl/>
        <w:numPr>
          <w:ilvl w:val="0"/>
          <w:numId w:val="2"/>
        </w:numPr>
        <w:spacing w:before="120"/>
        <w:ind w:left="709" w:hanging="709"/>
        <w:rPr>
          <w:rFonts w:asciiTheme="minorHAnsi" w:eastAsiaTheme="majorEastAsia" w:hAnsiTheme="minorHAnsi" w:cstheme="majorBidi"/>
          <w:caps w:val="0"/>
          <w:snapToGrid/>
          <w:szCs w:val="28"/>
        </w:rPr>
      </w:pPr>
      <w:bookmarkStart w:id="6" w:name="_Toc532395955"/>
      <w:bookmarkStart w:id="7" w:name="_Toc532805598"/>
      <w:bookmarkStart w:id="8" w:name="_Toc533163389"/>
      <w:r w:rsidRPr="004D70CC">
        <w:rPr>
          <w:rFonts w:asciiTheme="minorHAnsi" w:eastAsiaTheme="majorEastAsia" w:hAnsiTheme="minorHAnsi" w:cstheme="majorBidi"/>
          <w:caps w:val="0"/>
          <w:snapToGrid/>
          <w:szCs w:val="28"/>
        </w:rPr>
        <w:t>Purpose of Application</w:t>
      </w:r>
      <w:bookmarkEnd w:id="6"/>
      <w:bookmarkEnd w:id="7"/>
      <w:bookmarkEnd w:id="8"/>
    </w:p>
    <w:p w:rsidR="005E7102" w:rsidRPr="003A3555" w:rsidRDefault="005E7102" w:rsidP="00C12C09">
      <w:pPr>
        <w:pStyle w:val="ListParagraph"/>
        <w:widowControl/>
        <w:numPr>
          <w:ilvl w:val="1"/>
          <w:numId w:val="2"/>
        </w:numPr>
        <w:spacing w:before="120"/>
      </w:pPr>
      <w:r w:rsidRPr="003A3555">
        <w:t>The resubmission requested a Section 100 (H</w:t>
      </w:r>
      <w:r w:rsidR="007D1D3F" w:rsidRPr="003A3555">
        <w:t xml:space="preserve">ighly </w:t>
      </w:r>
      <w:r w:rsidRPr="003A3555">
        <w:t>S</w:t>
      </w:r>
      <w:r w:rsidR="007D1D3F" w:rsidRPr="003A3555">
        <w:t xml:space="preserve">pecialised </w:t>
      </w:r>
      <w:r w:rsidRPr="003A3555">
        <w:t>D</w:t>
      </w:r>
      <w:r w:rsidR="007D1D3F" w:rsidRPr="003A3555">
        <w:t>rugs</w:t>
      </w:r>
      <w:r w:rsidRPr="003A3555">
        <w:t xml:space="preserve">) listing for </w:t>
      </w:r>
      <w:proofErr w:type="spellStart"/>
      <w:r w:rsidRPr="003A3555">
        <w:t>lenalidomide</w:t>
      </w:r>
      <w:proofErr w:type="spellEnd"/>
      <w:r w:rsidRPr="003A3555">
        <w:t xml:space="preserve"> monotherapy as maintenance </w:t>
      </w:r>
      <w:r w:rsidR="00E36406" w:rsidRPr="003A3555">
        <w:t xml:space="preserve">treatment </w:t>
      </w:r>
      <w:r w:rsidRPr="003A3555">
        <w:t xml:space="preserve">in patients </w:t>
      </w:r>
      <w:r w:rsidR="00E36406" w:rsidRPr="003A3555">
        <w:t>with</w:t>
      </w:r>
      <w:r w:rsidRPr="003A3555">
        <w:t xml:space="preserve"> newly diagnosed multiple myeloma (NDMM) who have undergone an autologous stem cell transplant (ASCT). </w:t>
      </w:r>
      <w:r w:rsidR="00E36406" w:rsidRPr="003A3555">
        <w:t>The key components of the resubmission are summari</w:t>
      </w:r>
      <w:r w:rsidR="007B497A">
        <w:t>sed in Table </w:t>
      </w:r>
      <w:r w:rsidR="00E36406" w:rsidRPr="003A3555">
        <w:t>1.</w:t>
      </w:r>
    </w:p>
    <w:p w:rsidR="005E7102" w:rsidRPr="003A3555" w:rsidRDefault="005E7102" w:rsidP="00476EE6">
      <w:pPr>
        <w:keepNext/>
        <w:widowControl/>
        <w:rPr>
          <w:rStyle w:val="CommentReference"/>
        </w:rPr>
      </w:pPr>
      <w:r w:rsidRPr="003A3555">
        <w:rPr>
          <w:rStyle w:val="CommentReference"/>
        </w:rPr>
        <w:t>Table 1: Key components of the clinical issue addressed by the resubmission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resubmission"/>
      </w:tblPr>
      <w:tblGrid>
        <w:gridCol w:w="1129"/>
        <w:gridCol w:w="8051"/>
      </w:tblGrid>
      <w:tr w:rsidR="005E7102" w:rsidRPr="003A3555" w:rsidTr="00C0551A">
        <w:trPr>
          <w:cantSplit/>
          <w:tblHeader/>
        </w:trPr>
        <w:tc>
          <w:tcPr>
            <w:tcW w:w="1129" w:type="dxa"/>
            <w:shd w:val="clear" w:color="auto" w:fill="auto"/>
            <w:tcMar>
              <w:left w:w="28" w:type="dxa"/>
              <w:right w:w="28" w:type="dxa"/>
            </w:tcMar>
          </w:tcPr>
          <w:p w:rsidR="005E7102" w:rsidRPr="003A3555" w:rsidRDefault="005E7102" w:rsidP="00476EE6">
            <w:pPr>
              <w:pStyle w:val="Tabletext"/>
              <w:keepNext/>
              <w:rPr>
                <w:b/>
                <w:szCs w:val="20"/>
              </w:rPr>
            </w:pPr>
            <w:r w:rsidRPr="003A3555">
              <w:rPr>
                <w:b/>
              </w:rPr>
              <w:t>Component</w:t>
            </w:r>
          </w:p>
        </w:tc>
        <w:tc>
          <w:tcPr>
            <w:tcW w:w="8051" w:type="dxa"/>
            <w:shd w:val="clear" w:color="auto" w:fill="auto"/>
            <w:tcMar>
              <w:left w:w="28" w:type="dxa"/>
              <w:right w:w="28" w:type="dxa"/>
            </w:tcMar>
          </w:tcPr>
          <w:p w:rsidR="005E7102" w:rsidRPr="003A3555" w:rsidRDefault="005E7102" w:rsidP="00476EE6">
            <w:pPr>
              <w:pStyle w:val="Tabletext"/>
              <w:keepNext/>
              <w:jc w:val="center"/>
              <w:rPr>
                <w:b/>
              </w:rPr>
            </w:pPr>
            <w:r w:rsidRPr="003A3555">
              <w:rPr>
                <w:b/>
              </w:rPr>
              <w:t>Description</w:t>
            </w:r>
          </w:p>
        </w:tc>
      </w:tr>
      <w:tr w:rsidR="005E7102" w:rsidRPr="003A3555" w:rsidTr="00C0551A">
        <w:trPr>
          <w:cantSplit/>
        </w:trPr>
        <w:tc>
          <w:tcPr>
            <w:tcW w:w="1129" w:type="dxa"/>
            <w:tcMar>
              <w:left w:w="28" w:type="dxa"/>
              <w:right w:w="28" w:type="dxa"/>
            </w:tcMar>
            <w:vAlign w:val="center"/>
          </w:tcPr>
          <w:p w:rsidR="005E7102" w:rsidRPr="003A3555" w:rsidRDefault="005E7102" w:rsidP="00476EE6">
            <w:pPr>
              <w:pStyle w:val="Tabletext"/>
              <w:keepNext/>
            </w:pPr>
            <w:r w:rsidRPr="003A3555">
              <w:t>Population</w:t>
            </w:r>
          </w:p>
        </w:tc>
        <w:tc>
          <w:tcPr>
            <w:tcW w:w="8051" w:type="dxa"/>
            <w:tcMar>
              <w:left w:w="28" w:type="dxa"/>
              <w:right w:w="28" w:type="dxa"/>
            </w:tcMar>
            <w:vAlign w:val="center"/>
          </w:tcPr>
          <w:p w:rsidR="005E7102" w:rsidRPr="003A3555" w:rsidRDefault="005E7102" w:rsidP="00476EE6">
            <w:pPr>
              <w:pStyle w:val="Tabletext"/>
              <w:keepNext/>
            </w:pPr>
            <w:r w:rsidRPr="003A3555">
              <w:rPr>
                <w:rFonts w:eastAsia="SimSun"/>
                <w:szCs w:val="20"/>
              </w:rPr>
              <w:t>NDMM patients who have undergone ASCT irrespective of conditioning regimen</w:t>
            </w:r>
            <w:r w:rsidR="00E36406" w:rsidRPr="003A3555">
              <w:rPr>
                <w:rFonts w:eastAsia="SimSun"/>
                <w:szCs w:val="20"/>
              </w:rPr>
              <w:t>.</w:t>
            </w:r>
          </w:p>
        </w:tc>
      </w:tr>
      <w:tr w:rsidR="005E7102" w:rsidRPr="003A3555" w:rsidTr="00C0551A">
        <w:trPr>
          <w:cantSplit/>
        </w:trPr>
        <w:tc>
          <w:tcPr>
            <w:tcW w:w="1129" w:type="dxa"/>
            <w:tcMar>
              <w:left w:w="28" w:type="dxa"/>
              <w:right w:w="28" w:type="dxa"/>
            </w:tcMar>
            <w:vAlign w:val="center"/>
          </w:tcPr>
          <w:p w:rsidR="005E7102" w:rsidRPr="003A3555" w:rsidRDefault="005E7102" w:rsidP="00476EE6">
            <w:pPr>
              <w:pStyle w:val="Tabletext"/>
              <w:keepNext/>
            </w:pPr>
            <w:r w:rsidRPr="003A3555">
              <w:t>Intervention</w:t>
            </w:r>
          </w:p>
        </w:tc>
        <w:tc>
          <w:tcPr>
            <w:tcW w:w="8051" w:type="dxa"/>
            <w:tcMar>
              <w:left w:w="28" w:type="dxa"/>
              <w:right w:w="28" w:type="dxa"/>
            </w:tcMar>
            <w:vAlign w:val="center"/>
          </w:tcPr>
          <w:p w:rsidR="005E7102" w:rsidRPr="003A3555" w:rsidRDefault="005E7102" w:rsidP="00476EE6">
            <w:pPr>
              <w:pStyle w:val="Table"/>
              <w:keepNext/>
              <w:keepLines/>
              <w:spacing w:line="240" w:lineRule="auto"/>
              <w:ind w:left="0"/>
            </w:pPr>
            <w:proofErr w:type="spellStart"/>
            <w:r w:rsidRPr="003A3555">
              <w:rPr>
                <w:rFonts w:ascii="Arial Narrow" w:eastAsia="SimSun" w:hAnsi="Arial Narrow"/>
                <w:sz w:val="20"/>
                <w:szCs w:val="20"/>
              </w:rPr>
              <w:t>Lenalidomide</w:t>
            </w:r>
            <w:proofErr w:type="spellEnd"/>
            <w:r w:rsidRPr="003A3555">
              <w:rPr>
                <w:rFonts w:ascii="Arial Narrow" w:eastAsia="SimSun" w:hAnsi="Arial Narrow"/>
                <w:sz w:val="20"/>
                <w:szCs w:val="20"/>
              </w:rPr>
              <w:t xml:space="preserve"> maintenance regimen (TGA approved): </w:t>
            </w:r>
            <w:r w:rsidR="00E36406" w:rsidRPr="003A3555">
              <w:rPr>
                <w:rFonts w:ascii="Arial Narrow" w:eastAsia="SimSun" w:hAnsi="Arial Narrow"/>
                <w:sz w:val="20"/>
                <w:szCs w:val="20"/>
              </w:rPr>
              <w:t xml:space="preserve"> </w:t>
            </w:r>
            <w:proofErr w:type="spellStart"/>
            <w:r w:rsidRPr="003A3555">
              <w:rPr>
                <w:rFonts w:ascii="Arial Narrow" w:hAnsi="Arial Narrow" w:cs="Arial"/>
                <w:sz w:val="20"/>
                <w:szCs w:val="20"/>
              </w:rPr>
              <w:t>Lenalidomide</w:t>
            </w:r>
            <w:proofErr w:type="spellEnd"/>
            <w:r w:rsidRPr="003A3555">
              <w:rPr>
                <w:rFonts w:ascii="Arial Narrow" w:hAnsi="Arial Narrow" w:cs="Arial"/>
                <w:sz w:val="20"/>
                <w:szCs w:val="20"/>
              </w:rPr>
              <w:t xml:space="preserve"> 10 mg/day orally</w:t>
            </w:r>
            <w:r w:rsidR="00C777DF" w:rsidRPr="003A3555">
              <w:rPr>
                <w:rStyle w:val="CommentReference"/>
                <w:rFonts w:cs="Times New Roman"/>
                <w:snapToGrid w:val="0"/>
                <w:spacing w:val="0"/>
                <w:lang w:bidi="ar-SA"/>
              </w:rPr>
              <w:t>,</w:t>
            </w:r>
            <w:r w:rsidRPr="003A3555">
              <w:rPr>
                <w:rFonts w:ascii="Arial Narrow" w:hAnsi="Arial Narrow" w:cs="Arial"/>
                <w:sz w:val="20"/>
                <w:szCs w:val="20"/>
              </w:rPr>
              <w:t xml:space="preserve"> increasing to 15 mg/day </w:t>
            </w:r>
            <w:r w:rsidR="007F37B7" w:rsidRPr="003A3555">
              <w:rPr>
                <w:rFonts w:ascii="Arial Narrow" w:hAnsi="Arial Narrow" w:cs="Arial"/>
                <w:sz w:val="20"/>
                <w:szCs w:val="20"/>
              </w:rPr>
              <w:t xml:space="preserve">(after 3 months) </w:t>
            </w:r>
            <w:r w:rsidRPr="003A3555">
              <w:rPr>
                <w:rFonts w:ascii="Arial Narrow" w:hAnsi="Arial Narrow" w:cs="Arial"/>
                <w:sz w:val="20"/>
                <w:szCs w:val="20"/>
              </w:rPr>
              <w:t xml:space="preserve">if tolerated. </w:t>
            </w:r>
            <w:r w:rsidRPr="003A3555">
              <w:rPr>
                <w:rFonts w:ascii="Arial Narrow" w:hAnsi="Arial Narrow"/>
                <w:sz w:val="20"/>
                <w:szCs w:val="20"/>
              </w:rPr>
              <w:t>Treatment should continue until disease progression or intolerance. Dosing may be modified (by level/frequency) based upon clinical and laboratory findings.</w:t>
            </w:r>
          </w:p>
        </w:tc>
      </w:tr>
      <w:tr w:rsidR="005E7102" w:rsidRPr="003A3555" w:rsidTr="00C0551A">
        <w:trPr>
          <w:cantSplit/>
        </w:trPr>
        <w:tc>
          <w:tcPr>
            <w:tcW w:w="1129" w:type="dxa"/>
            <w:tcMar>
              <w:left w:w="28" w:type="dxa"/>
              <w:right w:w="28" w:type="dxa"/>
            </w:tcMar>
            <w:vAlign w:val="center"/>
          </w:tcPr>
          <w:p w:rsidR="005E7102" w:rsidRPr="001172EE" w:rsidRDefault="005E7102" w:rsidP="00476EE6">
            <w:pPr>
              <w:pStyle w:val="Tabletext"/>
              <w:keepNext/>
            </w:pPr>
            <w:r w:rsidRPr="001172EE">
              <w:t>Comparator</w:t>
            </w:r>
          </w:p>
        </w:tc>
        <w:tc>
          <w:tcPr>
            <w:tcW w:w="8051" w:type="dxa"/>
            <w:tcMar>
              <w:left w:w="28" w:type="dxa"/>
              <w:right w:w="28" w:type="dxa"/>
            </w:tcMar>
            <w:vAlign w:val="center"/>
          </w:tcPr>
          <w:p w:rsidR="005E7102" w:rsidRPr="001172EE" w:rsidRDefault="001D6F6D" w:rsidP="00476EE6">
            <w:pPr>
              <w:pStyle w:val="Table"/>
              <w:keepNext/>
              <w:keepLines/>
              <w:spacing w:line="240" w:lineRule="auto"/>
              <w:ind w:left="0"/>
              <w:rPr>
                <w:rFonts w:ascii="Arial Narrow" w:eastAsia="SimSun" w:hAnsi="Arial Narrow"/>
                <w:sz w:val="20"/>
                <w:szCs w:val="20"/>
              </w:rPr>
            </w:pPr>
            <w:r>
              <w:rPr>
                <w:rFonts w:ascii="Arial Narrow" w:eastAsia="SimSun" w:hAnsi="Arial Narrow"/>
                <w:noProof/>
                <w:color w:val="000000"/>
                <w:sz w:val="20"/>
                <w:szCs w:val="20"/>
                <w:highlight w:val="black"/>
              </w:rPr>
              <w:t>'''''''''''</w:t>
            </w:r>
            <w:r w:rsidR="005E7102" w:rsidRPr="001172EE">
              <w:rPr>
                <w:rFonts w:ascii="Arial Narrow" w:eastAsia="SimSun" w:hAnsi="Arial Narrow"/>
                <w:sz w:val="20"/>
                <w:szCs w:val="20"/>
              </w:rPr>
              <w:t xml:space="preserve">% - best supportive care (placebo as proxy): </w:t>
            </w:r>
          </w:p>
          <w:p w:rsidR="005E7102" w:rsidRPr="001172EE" w:rsidRDefault="005E7102" w:rsidP="00476EE6">
            <w:pPr>
              <w:pStyle w:val="TableBullets"/>
              <w:keepNext/>
              <w:keepLines/>
              <w:spacing w:line="240" w:lineRule="auto"/>
              <w:ind w:left="284" w:hanging="284"/>
              <w:rPr>
                <w:rFonts w:ascii="Arial Narrow" w:hAnsi="Arial Narrow"/>
                <w:sz w:val="20"/>
                <w:szCs w:val="20"/>
              </w:rPr>
            </w:pPr>
            <w:r w:rsidRPr="001172EE">
              <w:rPr>
                <w:rFonts w:ascii="Arial Narrow" w:hAnsi="Arial Narrow"/>
                <w:sz w:val="20"/>
                <w:szCs w:val="20"/>
              </w:rPr>
              <w:t>Routine follow up post-ASCT (per MSAG Guidelines).</w:t>
            </w:r>
          </w:p>
          <w:p w:rsidR="005E7102" w:rsidRPr="001172EE" w:rsidRDefault="005E7102" w:rsidP="00476EE6">
            <w:pPr>
              <w:pStyle w:val="TableBullets"/>
              <w:keepNext/>
              <w:keepLines/>
              <w:spacing w:line="240" w:lineRule="auto"/>
              <w:ind w:left="284" w:hanging="284"/>
              <w:rPr>
                <w:rFonts w:ascii="Arial Narrow" w:hAnsi="Arial Narrow"/>
                <w:sz w:val="20"/>
                <w:szCs w:val="20"/>
              </w:rPr>
            </w:pPr>
            <w:r w:rsidRPr="001172EE">
              <w:rPr>
                <w:rFonts w:ascii="Arial Narrow" w:hAnsi="Arial Narrow"/>
                <w:sz w:val="20"/>
                <w:szCs w:val="20"/>
              </w:rPr>
              <w:t>No active maintenance therapy.</w:t>
            </w:r>
          </w:p>
          <w:p w:rsidR="005E7102" w:rsidRPr="001172EE" w:rsidRDefault="001D6F6D" w:rsidP="00476EE6">
            <w:pPr>
              <w:pStyle w:val="Table"/>
              <w:keepNext/>
              <w:keepLines/>
              <w:spacing w:line="240" w:lineRule="auto"/>
              <w:ind w:left="0"/>
            </w:pPr>
            <w:r>
              <w:rPr>
                <w:rFonts w:ascii="Arial Narrow" w:eastAsia="SimSun" w:hAnsi="Arial Narrow"/>
                <w:noProof/>
                <w:color w:val="000000"/>
                <w:sz w:val="20"/>
                <w:szCs w:val="20"/>
                <w:highlight w:val="black"/>
              </w:rPr>
              <w:t>''''''''''</w:t>
            </w:r>
            <w:r w:rsidR="005E7102" w:rsidRPr="001172EE">
              <w:rPr>
                <w:rFonts w:ascii="Arial Narrow" w:eastAsia="SimSun" w:hAnsi="Arial Narrow"/>
                <w:sz w:val="20"/>
                <w:szCs w:val="20"/>
              </w:rPr>
              <w:t xml:space="preserve">% - thalidomide consolidation regimen: </w:t>
            </w:r>
            <w:r w:rsidR="005E7102" w:rsidRPr="001172EE">
              <w:rPr>
                <w:rFonts w:ascii="Arial Narrow" w:hAnsi="Arial Narrow"/>
                <w:sz w:val="20"/>
                <w:szCs w:val="20"/>
              </w:rPr>
              <w:t>Thalidomide 100 mg/day orally +/- prednisolone 50 mg/alternate days. Treatment should continue for approximately 12 months or until disease progression or intolerance.</w:t>
            </w:r>
          </w:p>
        </w:tc>
      </w:tr>
      <w:tr w:rsidR="005E7102" w:rsidRPr="003A3555" w:rsidTr="00C0551A">
        <w:trPr>
          <w:cantSplit/>
        </w:trPr>
        <w:tc>
          <w:tcPr>
            <w:tcW w:w="1129" w:type="dxa"/>
            <w:tcMar>
              <w:left w:w="28" w:type="dxa"/>
              <w:right w:w="28" w:type="dxa"/>
            </w:tcMar>
            <w:vAlign w:val="center"/>
          </w:tcPr>
          <w:p w:rsidR="005E7102" w:rsidRPr="003A3555" w:rsidRDefault="005E7102" w:rsidP="00476EE6">
            <w:pPr>
              <w:pStyle w:val="Tabletext"/>
              <w:keepNext/>
            </w:pPr>
            <w:r w:rsidRPr="003A3555">
              <w:t>Outcomes</w:t>
            </w:r>
          </w:p>
        </w:tc>
        <w:tc>
          <w:tcPr>
            <w:tcW w:w="8051" w:type="dxa"/>
            <w:tcMar>
              <w:left w:w="28" w:type="dxa"/>
              <w:right w:w="28" w:type="dxa"/>
            </w:tcMar>
            <w:vAlign w:val="center"/>
          </w:tcPr>
          <w:p w:rsidR="005E7102" w:rsidRPr="003A3555" w:rsidRDefault="005E7102" w:rsidP="00476EE6">
            <w:pPr>
              <w:pStyle w:val="Tabletext"/>
              <w:keepNext/>
            </w:pPr>
            <w:r w:rsidRPr="003A3555">
              <w:t>PFS, OS, PFS after next line therapy (PFS2) and response rate.</w:t>
            </w:r>
          </w:p>
        </w:tc>
      </w:tr>
      <w:tr w:rsidR="005E7102" w:rsidRPr="003A3555" w:rsidTr="00C0551A">
        <w:trPr>
          <w:cantSplit/>
        </w:trPr>
        <w:tc>
          <w:tcPr>
            <w:tcW w:w="1129" w:type="dxa"/>
            <w:tcMar>
              <w:left w:w="28" w:type="dxa"/>
              <w:right w:w="28" w:type="dxa"/>
            </w:tcMar>
            <w:vAlign w:val="center"/>
          </w:tcPr>
          <w:p w:rsidR="005E7102" w:rsidRPr="003A3555" w:rsidRDefault="005E7102" w:rsidP="00476EE6">
            <w:pPr>
              <w:pStyle w:val="Tabletext"/>
              <w:keepNext/>
            </w:pPr>
            <w:r w:rsidRPr="003A3555">
              <w:t>Clinical claim</w:t>
            </w:r>
          </w:p>
        </w:tc>
        <w:tc>
          <w:tcPr>
            <w:tcW w:w="8051" w:type="dxa"/>
            <w:tcMar>
              <w:left w:w="28" w:type="dxa"/>
              <w:right w:w="28" w:type="dxa"/>
            </w:tcMar>
            <w:vAlign w:val="center"/>
          </w:tcPr>
          <w:p w:rsidR="005E7102" w:rsidRPr="003A3555" w:rsidRDefault="005E7102" w:rsidP="00476EE6">
            <w:pPr>
              <w:pStyle w:val="Tabletext"/>
              <w:keepNext/>
              <w:keepLines/>
            </w:pPr>
            <w:r w:rsidRPr="003A3555">
              <w:t>In NDMM post-ASCT:</w:t>
            </w:r>
          </w:p>
          <w:p w:rsidR="005E7102" w:rsidRPr="003A3555" w:rsidRDefault="005E7102" w:rsidP="00BF6529">
            <w:pPr>
              <w:pStyle w:val="Tabletext"/>
              <w:keepNext/>
              <w:keepLines/>
              <w:numPr>
                <w:ilvl w:val="0"/>
                <w:numId w:val="1"/>
              </w:numPr>
              <w:ind w:left="284" w:hanging="284"/>
            </w:pPr>
            <w:proofErr w:type="spellStart"/>
            <w:r w:rsidRPr="003A3555">
              <w:t>Lenalidomide</w:t>
            </w:r>
            <w:proofErr w:type="spellEnd"/>
            <w:r w:rsidRPr="003A3555">
              <w:t xml:space="preserve"> has superior comparative efficacy (OS and PFS) and inferior comparative safety than BSC. </w:t>
            </w:r>
          </w:p>
          <w:p w:rsidR="005E7102" w:rsidRPr="003A3555" w:rsidRDefault="005E7102" w:rsidP="00BF6529">
            <w:pPr>
              <w:pStyle w:val="Tabletext"/>
              <w:keepNext/>
              <w:numPr>
                <w:ilvl w:val="0"/>
                <w:numId w:val="1"/>
              </w:numPr>
              <w:ind w:left="284" w:hanging="284"/>
            </w:pPr>
            <w:proofErr w:type="spellStart"/>
            <w:r w:rsidRPr="003A3555">
              <w:t>Lenalidomide</w:t>
            </w:r>
            <w:proofErr w:type="spellEnd"/>
            <w:r w:rsidRPr="003A3555">
              <w:t xml:space="preserve"> has non-inferior OS and PFS and different safety to thalidomide. </w:t>
            </w:r>
          </w:p>
        </w:tc>
      </w:tr>
    </w:tbl>
    <w:p w:rsidR="005E7102" w:rsidRPr="003A3555" w:rsidRDefault="005E7102" w:rsidP="00476EE6">
      <w:pPr>
        <w:pStyle w:val="TableFooter"/>
        <w:keepNext/>
        <w:widowControl/>
        <w:rPr>
          <w:color w:val="000000" w:themeColor="text1"/>
        </w:rPr>
      </w:pPr>
      <w:r w:rsidRPr="003A3555">
        <w:t>ASCT</w:t>
      </w:r>
      <w:r w:rsidR="00222212">
        <w:t xml:space="preserve"> </w:t>
      </w:r>
      <w:r w:rsidRPr="003A3555">
        <w:t>=</w:t>
      </w:r>
      <w:r w:rsidR="00222212">
        <w:t xml:space="preserve"> </w:t>
      </w:r>
      <w:r w:rsidRPr="003A3555">
        <w:t>autologous stem cell transplant; BSC</w:t>
      </w:r>
      <w:r w:rsidR="00222212">
        <w:t xml:space="preserve"> </w:t>
      </w:r>
      <w:r w:rsidRPr="003A3555">
        <w:t>=</w:t>
      </w:r>
      <w:r w:rsidR="00222212">
        <w:t xml:space="preserve"> </w:t>
      </w:r>
      <w:r w:rsidRPr="003A3555">
        <w:t>best supportive care; MSAG</w:t>
      </w:r>
      <w:r w:rsidR="00222212">
        <w:t xml:space="preserve"> </w:t>
      </w:r>
      <w:r w:rsidRPr="003A3555">
        <w:t>=</w:t>
      </w:r>
      <w:r w:rsidR="00222212">
        <w:t xml:space="preserve"> </w:t>
      </w:r>
      <w:r w:rsidRPr="003A3555">
        <w:t>medical scientific advisory group; NDMM</w:t>
      </w:r>
      <w:r w:rsidR="00222212">
        <w:t xml:space="preserve"> </w:t>
      </w:r>
      <w:r w:rsidRPr="003A3555">
        <w:t>=</w:t>
      </w:r>
      <w:r w:rsidR="00222212">
        <w:t xml:space="preserve"> </w:t>
      </w:r>
      <w:r w:rsidRPr="003A3555">
        <w:t>newly diagnosed multiple myeloma; OS</w:t>
      </w:r>
      <w:r w:rsidR="00222212">
        <w:t xml:space="preserve"> </w:t>
      </w:r>
      <w:r w:rsidRPr="003A3555">
        <w:rPr>
          <w:color w:val="000000" w:themeColor="text1"/>
        </w:rPr>
        <w:t>=</w:t>
      </w:r>
      <w:r w:rsidR="00222212">
        <w:rPr>
          <w:color w:val="000000" w:themeColor="text1"/>
        </w:rPr>
        <w:t xml:space="preserve"> </w:t>
      </w:r>
      <w:r w:rsidRPr="003A3555">
        <w:rPr>
          <w:color w:val="000000" w:themeColor="text1"/>
        </w:rPr>
        <w:t>overall survival; PFS</w:t>
      </w:r>
      <w:r w:rsidR="00222212">
        <w:rPr>
          <w:color w:val="000000" w:themeColor="text1"/>
        </w:rPr>
        <w:t xml:space="preserve"> </w:t>
      </w:r>
      <w:r w:rsidRPr="003A3555">
        <w:rPr>
          <w:color w:val="000000" w:themeColor="text1"/>
        </w:rPr>
        <w:t>=</w:t>
      </w:r>
      <w:r w:rsidR="00222212">
        <w:rPr>
          <w:color w:val="000000" w:themeColor="text1"/>
        </w:rPr>
        <w:t xml:space="preserve"> </w:t>
      </w:r>
      <w:r w:rsidRPr="003A3555">
        <w:rPr>
          <w:color w:val="000000" w:themeColor="text1"/>
        </w:rPr>
        <w:t>progression free survival; PFS2</w:t>
      </w:r>
      <w:r w:rsidR="00222212">
        <w:rPr>
          <w:color w:val="000000" w:themeColor="text1"/>
        </w:rPr>
        <w:t xml:space="preserve"> </w:t>
      </w:r>
      <w:r w:rsidRPr="003A3555">
        <w:rPr>
          <w:color w:val="000000" w:themeColor="text1"/>
        </w:rPr>
        <w:t>=</w:t>
      </w:r>
      <w:r w:rsidR="00222212">
        <w:rPr>
          <w:color w:val="000000" w:themeColor="text1"/>
        </w:rPr>
        <w:t xml:space="preserve"> </w:t>
      </w:r>
      <w:r w:rsidRPr="003A3555">
        <w:rPr>
          <w:color w:val="000000" w:themeColor="text1"/>
        </w:rPr>
        <w:t xml:space="preserve">progression free survival after next line of therapy. </w:t>
      </w:r>
    </w:p>
    <w:p w:rsidR="005E651E" w:rsidRPr="005E651E" w:rsidRDefault="005E7102" w:rsidP="00476EE6">
      <w:pPr>
        <w:pStyle w:val="TableFooter"/>
        <w:widowControl/>
        <w:rPr>
          <w:color w:val="000000" w:themeColor="text1"/>
        </w:rPr>
      </w:pPr>
      <w:r w:rsidRPr="003A3555">
        <w:rPr>
          <w:color w:val="000000" w:themeColor="text1"/>
        </w:rPr>
        <w:t>Source: Table 1-2, p.14 of the resubmission.</w:t>
      </w:r>
    </w:p>
    <w:p w:rsidR="005E7102" w:rsidRPr="00232C81" w:rsidRDefault="005E7102" w:rsidP="00C12C09">
      <w:pPr>
        <w:pStyle w:val="Heading1"/>
        <w:keepLines/>
        <w:widowControl/>
        <w:numPr>
          <w:ilvl w:val="0"/>
          <w:numId w:val="2"/>
        </w:numPr>
        <w:spacing w:before="120"/>
        <w:ind w:left="709" w:hanging="709"/>
        <w:rPr>
          <w:rFonts w:asciiTheme="minorHAnsi" w:eastAsiaTheme="majorEastAsia" w:hAnsiTheme="minorHAnsi" w:cstheme="majorBidi"/>
          <w:caps w:val="0"/>
          <w:snapToGrid/>
          <w:szCs w:val="28"/>
        </w:rPr>
      </w:pPr>
      <w:bookmarkStart w:id="9" w:name="_Toc532395956"/>
      <w:bookmarkStart w:id="10" w:name="_Toc532805599"/>
      <w:bookmarkStart w:id="11" w:name="_Toc533163390"/>
      <w:r w:rsidRPr="00232C81">
        <w:rPr>
          <w:rFonts w:asciiTheme="minorHAnsi" w:eastAsiaTheme="majorEastAsia" w:hAnsiTheme="minorHAnsi" w:cstheme="majorBidi"/>
          <w:caps w:val="0"/>
          <w:snapToGrid/>
          <w:szCs w:val="28"/>
        </w:rPr>
        <w:t>Requested listing</w:t>
      </w:r>
      <w:bookmarkEnd w:id="9"/>
      <w:bookmarkEnd w:id="10"/>
      <w:bookmarkEnd w:id="11"/>
    </w:p>
    <w:p w:rsidR="00E36406" w:rsidRPr="003A3555" w:rsidRDefault="00E36406" w:rsidP="00C12C09">
      <w:pPr>
        <w:pStyle w:val="ListParagraph"/>
        <w:widowControl/>
        <w:numPr>
          <w:ilvl w:val="1"/>
          <w:numId w:val="2"/>
        </w:numPr>
        <w:spacing w:before="120"/>
      </w:pPr>
      <w:r w:rsidRPr="003A3555">
        <w:t xml:space="preserve">The details of the proposed </w:t>
      </w:r>
      <w:r w:rsidR="0014627F">
        <w:t>published and effective prices</w:t>
      </w:r>
      <w:r w:rsidR="0014627F" w:rsidRPr="003A3555">
        <w:t xml:space="preserve"> </w:t>
      </w:r>
      <w:r w:rsidRPr="003A3555">
        <w:t xml:space="preserve">are summarised in Table 2. The proposed effective prices under a revised </w:t>
      </w:r>
      <w:r w:rsidR="0050766B">
        <w:t>Special Pricing A</w:t>
      </w:r>
      <w:r w:rsidRPr="003A3555">
        <w:t xml:space="preserve">rrangement (SPA), which would apply only to use in maintenance post-ASCT, have been reduced by approximately </w:t>
      </w:r>
      <w:r w:rsidR="001D6F6D">
        <w:rPr>
          <w:noProof/>
          <w:color w:val="000000"/>
          <w:highlight w:val="black"/>
        </w:rPr>
        <w:t>''''''</w:t>
      </w:r>
      <w:r w:rsidRPr="003A3555">
        <w:t xml:space="preserve">% from those in the March 2018 submission. </w:t>
      </w:r>
    </w:p>
    <w:p w:rsidR="0098398C" w:rsidRPr="00816DB0" w:rsidRDefault="00E36406" w:rsidP="00C12C09">
      <w:pPr>
        <w:pStyle w:val="ListParagraph"/>
        <w:widowControl/>
        <w:numPr>
          <w:ilvl w:val="1"/>
          <w:numId w:val="2"/>
        </w:numPr>
        <w:spacing w:before="120"/>
      </w:pPr>
      <w:r w:rsidRPr="00816DB0">
        <w:t xml:space="preserve">The revised effective prices </w:t>
      </w:r>
      <w:proofErr w:type="gramStart"/>
      <w:r w:rsidRPr="00816DB0">
        <w:t>were based</w:t>
      </w:r>
      <w:proofErr w:type="gramEnd"/>
      <w:r w:rsidRPr="00816DB0">
        <w:t xml:space="preserve"> on the weighted combination of </w:t>
      </w:r>
      <w:proofErr w:type="spellStart"/>
      <w:r w:rsidRPr="00816DB0">
        <w:t>lenalidomide</w:t>
      </w:r>
      <w:proofErr w:type="spellEnd"/>
      <w:r w:rsidRPr="00816DB0">
        <w:t xml:space="preserve"> prices used in the </w:t>
      </w:r>
      <w:r w:rsidR="00F07F46">
        <w:t xml:space="preserve">cost-utility analysis of </w:t>
      </w:r>
      <w:proofErr w:type="spellStart"/>
      <w:r w:rsidRPr="00816DB0">
        <w:t>lenalidomide</w:t>
      </w:r>
      <w:proofErr w:type="spellEnd"/>
      <w:r w:rsidRPr="00816DB0">
        <w:t xml:space="preserve"> </w:t>
      </w:r>
      <w:r w:rsidR="00F07F46">
        <w:t>and</w:t>
      </w:r>
      <w:r w:rsidR="00F07F46" w:rsidRPr="00816DB0">
        <w:t xml:space="preserve"> </w:t>
      </w:r>
      <w:r w:rsidRPr="00816DB0">
        <w:t xml:space="preserve">BSC and the prices resulting from the cost-minimisation analysis comparing </w:t>
      </w:r>
      <w:proofErr w:type="spellStart"/>
      <w:r w:rsidRPr="00816DB0">
        <w:t>lenalidomide</w:t>
      </w:r>
      <w:proofErr w:type="spellEnd"/>
      <w:r w:rsidRPr="00816DB0">
        <w:t xml:space="preserve"> with thalidomide. </w:t>
      </w:r>
    </w:p>
    <w:p w:rsidR="00E36406" w:rsidRPr="003A3555" w:rsidRDefault="00E36406" w:rsidP="004E5209">
      <w:pPr>
        <w:keepNext/>
        <w:widowControl/>
        <w:rPr>
          <w:rStyle w:val="CommentReference"/>
        </w:rPr>
      </w:pPr>
      <w:r w:rsidRPr="003A3555">
        <w:rPr>
          <w:rStyle w:val="CommentReference"/>
        </w:rPr>
        <w:lastRenderedPageBreak/>
        <w:t xml:space="preserve">Table 2: </w:t>
      </w:r>
      <w:r w:rsidR="00361BD0">
        <w:rPr>
          <w:rStyle w:val="CommentReference"/>
        </w:rPr>
        <w:t>P</w:t>
      </w:r>
      <w:r w:rsidRPr="003A3555">
        <w:rPr>
          <w:rStyle w:val="CommentReference"/>
        </w:rPr>
        <w:t xml:space="preserve">roposed </w:t>
      </w:r>
      <w:r w:rsidR="00361BD0">
        <w:rPr>
          <w:rStyle w:val="CommentReference"/>
        </w:rPr>
        <w:t>published and effective prices</w:t>
      </w:r>
    </w:p>
    <w:tbl>
      <w:tblPr>
        <w:tblW w:w="5000" w:type="pct"/>
        <w:tblInd w:w="28" w:type="dxa"/>
        <w:tblBorders>
          <w:top w:val="single" w:sz="4" w:space="0" w:color="auto"/>
          <w:bottom w:val="single" w:sz="4" w:space="0" w:color="auto"/>
          <w:insideH w:val="single" w:sz="4" w:space="0" w:color="auto"/>
        </w:tblBorders>
        <w:tblCellMar>
          <w:left w:w="28" w:type="dxa"/>
          <w:right w:w="28" w:type="dxa"/>
        </w:tblCellMar>
        <w:tblLook w:val="0000" w:firstRow="0" w:lastRow="0" w:firstColumn="0" w:lastColumn="0" w:noHBand="0" w:noVBand="0"/>
        <w:tblCaption w:val="Table 2: Proposed published and effective prices"/>
      </w:tblPr>
      <w:tblGrid>
        <w:gridCol w:w="2807"/>
        <w:gridCol w:w="710"/>
        <w:gridCol w:w="850"/>
        <w:gridCol w:w="2591"/>
        <w:gridCol w:w="807"/>
        <w:gridCol w:w="1262"/>
      </w:tblGrid>
      <w:tr w:rsidR="005E7102" w:rsidRPr="003A3555" w:rsidTr="00D37C1B">
        <w:trPr>
          <w:cantSplit/>
          <w:trHeight w:val="463"/>
        </w:trPr>
        <w:tc>
          <w:tcPr>
            <w:tcW w:w="1555" w:type="pct"/>
            <w:vAlign w:val="center"/>
          </w:tcPr>
          <w:p w:rsidR="005E7102" w:rsidRPr="003A3555" w:rsidRDefault="005E7102" w:rsidP="004E5209">
            <w:pPr>
              <w:keepNext/>
              <w:widowControl/>
              <w:jc w:val="left"/>
              <w:rPr>
                <w:rFonts w:ascii="Arial Narrow" w:hAnsi="Arial Narrow"/>
                <w:b/>
                <w:sz w:val="20"/>
              </w:rPr>
            </w:pPr>
            <w:r w:rsidRPr="003A3555">
              <w:rPr>
                <w:rFonts w:ascii="Arial Narrow" w:hAnsi="Arial Narrow"/>
                <w:b/>
                <w:sz w:val="20"/>
              </w:rPr>
              <w:t>Name, Restriction,</w:t>
            </w:r>
          </w:p>
          <w:p w:rsidR="005E7102" w:rsidRPr="003A3555" w:rsidRDefault="005E7102" w:rsidP="004E5209">
            <w:pPr>
              <w:keepNext/>
              <w:widowControl/>
              <w:jc w:val="left"/>
              <w:rPr>
                <w:rFonts w:ascii="Arial Narrow" w:hAnsi="Arial Narrow"/>
                <w:b/>
                <w:sz w:val="20"/>
              </w:rPr>
            </w:pPr>
            <w:r w:rsidRPr="003A3555">
              <w:rPr>
                <w:rFonts w:ascii="Arial Narrow" w:hAnsi="Arial Narrow"/>
                <w:b/>
                <w:sz w:val="20"/>
              </w:rPr>
              <w:t>Manner of administration and form</w:t>
            </w:r>
          </w:p>
        </w:tc>
        <w:tc>
          <w:tcPr>
            <w:tcW w:w="393" w:type="pct"/>
            <w:vAlign w:val="center"/>
          </w:tcPr>
          <w:p w:rsidR="005E7102" w:rsidRPr="003A3555" w:rsidRDefault="005E7102" w:rsidP="004E5209">
            <w:pPr>
              <w:keepNext/>
              <w:widowControl/>
              <w:jc w:val="center"/>
              <w:rPr>
                <w:rFonts w:ascii="Arial Narrow" w:hAnsi="Arial Narrow"/>
                <w:b/>
                <w:sz w:val="20"/>
              </w:rPr>
            </w:pPr>
            <w:r w:rsidRPr="003A3555">
              <w:rPr>
                <w:rFonts w:ascii="Arial Narrow" w:hAnsi="Arial Narrow"/>
                <w:b/>
                <w:sz w:val="20"/>
              </w:rPr>
              <w:t>Max.</w:t>
            </w:r>
          </w:p>
          <w:p w:rsidR="005E7102" w:rsidRPr="003A3555" w:rsidRDefault="005E7102" w:rsidP="004E5209">
            <w:pPr>
              <w:keepNext/>
              <w:widowControl/>
              <w:jc w:val="center"/>
              <w:rPr>
                <w:rFonts w:ascii="Arial Narrow" w:hAnsi="Arial Narrow"/>
                <w:b/>
                <w:sz w:val="20"/>
              </w:rPr>
            </w:pPr>
            <w:proofErr w:type="spellStart"/>
            <w:r w:rsidRPr="003A3555">
              <w:rPr>
                <w:rFonts w:ascii="Arial Narrow" w:hAnsi="Arial Narrow"/>
                <w:b/>
                <w:sz w:val="20"/>
              </w:rPr>
              <w:t>Qty</w:t>
            </w:r>
            <w:proofErr w:type="spellEnd"/>
            <w:r w:rsidRPr="003A3555">
              <w:rPr>
                <w:rFonts w:ascii="Arial Narrow" w:hAnsi="Arial Narrow"/>
                <w:b/>
                <w:sz w:val="20"/>
              </w:rPr>
              <w:t xml:space="preserve"> </w:t>
            </w:r>
          </w:p>
        </w:tc>
        <w:tc>
          <w:tcPr>
            <w:tcW w:w="471" w:type="pct"/>
            <w:vAlign w:val="center"/>
          </w:tcPr>
          <w:p w:rsidR="005E7102" w:rsidRPr="003A3555" w:rsidRDefault="005E7102" w:rsidP="004E5209">
            <w:pPr>
              <w:keepNext/>
              <w:widowControl/>
              <w:jc w:val="center"/>
              <w:rPr>
                <w:rFonts w:ascii="Arial Narrow" w:hAnsi="Arial Narrow"/>
                <w:b/>
                <w:sz w:val="20"/>
              </w:rPr>
            </w:pPr>
            <w:r w:rsidRPr="003A3555">
              <w:rPr>
                <w:rFonts w:ascii="Arial Narrow" w:hAnsi="Arial Narrow" w:cs="Times New Roman"/>
                <w:b/>
                <w:sz w:val="20"/>
              </w:rPr>
              <w:t>№</w:t>
            </w:r>
            <w:r w:rsidRPr="003A3555">
              <w:rPr>
                <w:rFonts w:ascii="Arial Narrow" w:hAnsi="Arial Narrow"/>
                <w:b/>
                <w:sz w:val="20"/>
              </w:rPr>
              <w:t>.of</w:t>
            </w:r>
          </w:p>
          <w:p w:rsidR="005E7102" w:rsidRPr="003A3555" w:rsidRDefault="005E7102" w:rsidP="004E5209">
            <w:pPr>
              <w:keepNext/>
              <w:widowControl/>
              <w:jc w:val="center"/>
              <w:rPr>
                <w:rFonts w:ascii="Arial Narrow" w:hAnsi="Arial Narrow"/>
                <w:b/>
                <w:sz w:val="20"/>
              </w:rPr>
            </w:pPr>
            <w:proofErr w:type="spellStart"/>
            <w:r w:rsidRPr="003A3555">
              <w:rPr>
                <w:rFonts w:ascii="Arial Narrow" w:hAnsi="Arial Narrow"/>
                <w:b/>
                <w:sz w:val="20"/>
              </w:rPr>
              <w:t>Rpts</w:t>
            </w:r>
            <w:proofErr w:type="spellEnd"/>
          </w:p>
        </w:tc>
        <w:tc>
          <w:tcPr>
            <w:tcW w:w="1435" w:type="pct"/>
            <w:vAlign w:val="center"/>
          </w:tcPr>
          <w:p w:rsidR="005E7102" w:rsidRPr="003A3555" w:rsidRDefault="005E7102" w:rsidP="004E5209">
            <w:pPr>
              <w:keepNext/>
              <w:widowControl/>
              <w:jc w:val="center"/>
              <w:rPr>
                <w:rFonts w:ascii="Arial Narrow" w:hAnsi="Arial Narrow"/>
                <w:b/>
                <w:sz w:val="20"/>
              </w:rPr>
            </w:pPr>
            <w:r w:rsidRPr="003A3555">
              <w:rPr>
                <w:rFonts w:ascii="Arial Narrow" w:hAnsi="Arial Narrow"/>
                <w:b/>
                <w:sz w:val="20"/>
              </w:rPr>
              <w:t xml:space="preserve">Dispensed Price for Max. </w:t>
            </w:r>
            <w:proofErr w:type="spellStart"/>
            <w:r w:rsidRPr="003A3555">
              <w:rPr>
                <w:rFonts w:ascii="Arial Narrow" w:hAnsi="Arial Narrow"/>
                <w:b/>
                <w:sz w:val="20"/>
              </w:rPr>
              <w:t>Qty</w:t>
            </w:r>
            <w:proofErr w:type="spellEnd"/>
          </w:p>
        </w:tc>
        <w:tc>
          <w:tcPr>
            <w:tcW w:w="1146" w:type="pct"/>
            <w:gridSpan w:val="2"/>
            <w:vAlign w:val="center"/>
          </w:tcPr>
          <w:p w:rsidR="005E7102" w:rsidRPr="003A3555" w:rsidRDefault="005E7102" w:rsidP="004E5209">
            <w:pPr>
              <w:keepNext/>
              <w:widowControl/>
              <w:jc w:val="center"/>
              <w:rPr>
                <w:rFonts w:ascii="Arial Narrow" w:hAnsi="Arial Narrow"/>
                <w:b/>
                <w:sz w:val="20"/>
              </w:rPr>
            </w:pPr>
            <w:r w:rsidRPr="003A3555">
              <w:rPr>
                <w:rFonts w:ascii="Arial Narrow" w:hAnsi="Arial Narrow"/>
                <w:b/>
                <w:sz w:val="20"/>
              </w:rPr>
              <w:t>Proprietary Name and Manufacturer</w:t>
            </w:r>
          </w:p>
        </w:tc>
      </w:tr>
      <w:tr w:rsidR="005E7102" w:rsidRPr="003A3555" w:rsidTr="00D37C1B">
        <w:trPr>
          <w:cantSplit/>
          <w:trHeight w:val="567"/>
        </w:trPr>
        <w:tc>
          <w:tcPr>
            <w:tcW w:w="1555" w:type="pct"/>
            <w:vAlign w:val="center"/>
          </w:tcPr>
          <w:p w:rsidR="005E7102" w:rsidRPr="003A3555" w:rsidRDefault="005E7102" w:rsidP="004E5209">
            <w:pPr>
              <w:keepNext/>
              <w:widowControl/>
              <w:jc w:val="left"/>
              <w:rPr>
                <w:rFonts w:ascii="Arial Narrow" w:hAnsi="Arial Narrow"/>
                <w:sz w:val="20"/>
                <w:szCs w:val="20"/>
              </w:rPr>
            </w:pPr>
            <w:proofErr w:type="spellStart"/>
            <w:r w:rsidRPr="003A3555">
              <w:rPr>
                <w:rFonts w:ascii="Arial Narrow" w:hAnsi="Arial Narrow"/>
                <w:sz w:val="20"/>
                <w:szCs w:val="20"/>
              </w:rPr>
              <w:t>Lenalidomide</w:t>
            </w:r>
            <w:proofErr w:type="spellEnd"/>
            <w:r w:rsidRPr="003A3555">
              <w:rPr>
                <w:rFonts w:ascii="Arial Narrow" w:hAnsi="Arial Narrow"/>
                <w:sz w:val="20"/>
                <w:szCs w:val="20"/>
              </w:rPr>
              <w:t>,</w:t>
            </w:r>
          </w:p>
          <w:p w:rsidR="005E7102" w:rsidRPr="003A3555" w:rsidRDefault="005E7102" w:rsidP="004E5209">
            <w:pPr>
              <w:keepNext/>
              <w:widowControl/>
              <w:jc w:val="left"/>
              <w:rPr>
                <w:rFonts w:ascii="Arial Narrow" w:hAnsi="Arial Narrow"/>
                <w:sz w:val="20"/>
                <w:szCs w:val="20"/>
              </w:rPr>
            </w:pPr>
            <w:r w:rsidRPr="003A3555">
              <w:rPr>
                <w:rFonts w:ascii="Arial Narrow" w:hAnsi="Arial Narrow"/>
                <w:sz w:val="20"/>
                <w:szCs w:val="20"/>
              </w:rPr>
              <w:t>Capsule, 5 mg</w:t>
            </w:r>
          </w:p>
        </w:tc>
        <w:tc>
          <w:tcPr>
            <w:tcW w:w="393" w:type="pct"/>
            <w:vAlign w:val="center"/>
          </w:tcPr>
          <w:p w:rsidR="005E7102" w:rsidRPr="003A3555" w:rsidRDefault="005E7102" w:rsidP="004E5209">
            <w:pPr>
              <w:keepNext/>
              <w:widowControl/>
              <w:jc w:val="center"/>
              <w:rPr>
                <w:rFonts w:ascii="Arial Narrow" w:hAnsi="Arial Narrow"/>
                <w:sz w:val="20"/>
                <w:szCs w:val="20"/>
              </w:rPr>
            </w:pPr>
          </w:p>
          <w:p w:rsidR="005E7102" w:rsidRPr="003A3555" w:rsidRDefault="005E7102" w:rsidP="004E5209">
            <w:pPr>
              <w:keepNext/>
              <w:widowControl/>
              <w:jc w:val="center"/>
              <w:rPr>
                <w:rFonts w:ascii="Arial Narrow" w:hAnsi="Arial Narrow"/>
                <w:sz w:val="20"/>
                <w:szCs w:val="20"/>
              </w:rPr>
            </w:pPr>
            <w:r w:rsidRPr="003A3555">
              <w:rPr>
                <w:rFonts w:ascii="Arial Narrow" w:hAnsi="Arial Narrow"/>
                <w:sz w:val="20"/>
                <w:szCs w:val="20"/>
              </w:rPr>
              <w:t>1</w:t>
            </w:r>
          </w:p>
        </w:tc>
        <w:tc>
          <w:tcPr>
            <w:tcW w:w="471" w:type="pct"/>
            <w:vAlign w:val="center"/>
          </w:tcPr>
          <w:p w:rsidR="005E7102" w:rsidRPr="003A3555" w:rsidRDefault="005E7102" w:rsidP="004E5209">
            <w:pPr>
              <w:keepNext/>
              <w:widowControl/>
              <w:jc w:val="center"/>
              <w:rPr>
                <w:rFonts w:ascii="Arial Narrow" w:hAnsi="Arial Narrow"/>
                <w:sz w:val="20"/>
                <w:szCs w:val="20"/>
              </w:rPr>
            </w:pPr>
          </w:p>
          <w:p w:rsidR="005E7102" w:rsidRPr="003A3555" w:rsidRDefault="005E7102" w:rsidP="004E5209">
            <w:pPr>
              <w:keepNext/>
              <w:widowControl/>
              <w:jc w:val="center"/>
              <w:rPr>
                <w:rFonts w:ascii="Arial Narrow" w:hAnsi="Arial Narrow"/>
                <w:sz w:val="20"/>
                <w:szCs w:val="20"/>
              </w:rPr>
            </w:pPr>
            <w:r w:rsidRPr="003A3555">
              <w:rPr>
                <w:rFonts w:ascii="Arial Narrow" w:hAnsi="Arial Narrow"/>
                <w:sz w:val="20"/>
                <w:szCs w:val="20"/>
              </w:rPr>
              <w:t>2</w:t>
            </w:r>
          </w:p>
        </w:tc>
        <w:tc>
          <w:tcPr>
            <w:tcW w:w="1435" w:type="pct"/>
            <w:vAlign w:val="center"/>
          </w:tcPr>
          <w:p w:rsidR="005E7102" w:rsidRPr="003A3555" w:rsidRDefault="00D37C1B" w:rsidP="004E5209">
            <w:pPr>
              <w:keepNext/>
              <w:widowControl/>
              <w:rPr>
                <w:rFonts w:ascii="Arial Narrow" w:hAnsi="Arial Narrow"/>
                <w:sz w:val="20"/>
                <w:szCs w:val="20"/>
              </w:rPr>
            </w:pPr>
            <w:r>
              <w:rPr>
                <w:rFonts w:ascii="Arial Narrow" w:hAnsi="Arial Narrow"/>
                <w:sz w:val="20"/>
                <w:szCs w:val="20"/>
              </w:rPr>
              <w:t xml:space="preserve">Published: </w:t>
            </w:r>
            <w:r w:rsidR="005E7102" w:rsidRPr="003A3555">
              <w:rPr>
                <w:rFonts w:ascii="Arial Narrow" w:hAnsi="Arial Narrow"/>
                <w:sz w:val="20"/>
                <w:szCs w:val="20"/>
              </w:rPr>
              <w:t>$</w:t>
            </w:r>
            <w:r w:rsidR="001D6F6D">
              <w:rPr>
                <w:rFonts w:ascii="Arial Narrow" w:hAnsi="Arial Narrow"/>
                <w:noProof/>
                <w:color w:val="000000"/>
                <w:sz w:val="20"/>
                <w:szCs w:val="20"/>
                <w:highlight w:val="black"/>
              </w:rPr>
              <w:t>'''''''''''''''''''''</w:t>
            </w:r>
            <w:r w:rsidR="005E7102" w:rsidRPr="003A3555">
              <w:rPr>
                <w:rFonts w:ascii="Arial Narrow" w:hAnsi="Arial Narrow"/>
                <w:sz w:val="20"/>
                <w:szCs w:val="20"/>
              </w:rPr>
              <w:t xml:space="preserve"> (public)</w:t>
            </w:r>
          </w:p>
          <w:p w:rsidR="005E7102" w:rsidRPr="003A3555" w:rsidRDefault="00AF5D09" w:rsidP="004E5209">
            <w:pPr>
              <w:keepNext/>
              <w:widowControl/>
              <w:rPr>
                <w:rFonts w:ascii="Arial Narrow" w:hAnsi="Arial Narrow"/>
                <w:sz w:val="20"/>
                <w:szCs w:val="20"/>
              </w:rPr>
            </w:pPr>
            <w:r w:rsidRPr="00AF5D09">
              <w:rPr>
                <w:rFonts w:ascii="Arial Narrow" w:hAnsi="Arial Narrow"/>
                <w:spacing w:val="780"/>
                <w:sz w:val="20"/>
                <w:szCs w:val="20"/>
              </w:rPr>
              <w:t xml:space="preserve"> </w:t>
            </w:r>
            <w:r w:rsidR="005E7102" w:rsidRPr="003A3555">
              <w:rPr>
                <w:rFonts w:ascii="Arial Narrow" w:hAnsi="Arial Narrow"/>
                <w:sz w:val="20"/>
                <w:szCs w:val="20"/>
              </w:rPr>
              <w:t>$</w:t>
            </w:r>
            <w:r w:rsidR="001D6F6D">
              <w:rPr>
                <w:rFonts w:ascii="Arial Narrow" w:hAnsi="Arial Narrow"/>
                <w:noProof/>
                <w:color w:val="000000"/>
                <w:sz w:val="20"/>
                <w:szCs w:val="20"/>
                <w:highlight w:val="black"/>
              </w:rPr>
              <w:t>''''''''''''''''''''</w:t>
            </w:r>
            <w:r w:rsidR="005E7102" w:rsidRPr="003A3555">
              <w:rPr>
                <w:rFonts w:ascii="Arial Narrow" w:hAnsi="Arial Narrow"/>
                <w:sz w:val="20"/>
                <w:szCs w:val="20"/>
              </w:rPr>
              <w:t xml:space="preserve"> (private)</w:t>
            </w:r>
          </w:p>
          <w:p w:rsidR="005E7102" w:rsidRPr="003A3555" w:rsidRDefault="00D37C1B" w:rsidP="004E5209">
            <w:pPr>
              <w:keepNext/>
              <w:widowControl/>
              <w:rPr>
                <w:rFonts w:ascii="Arial Narrow" w:hAnsi="Arial Narrow"/>
                <w:sz w:val="20"/>
                <w:szCs w:val="20"/>
              </w:rPr>
            </w:pPr>
            <w:r>
              <w:rPr>
                <w:rFonts w:ascii="Arial Narrow" w:hAnsi="Arial Narrow"/>
                <w:sz w:val="20"/>
                <w:szCs w:val="20"/>
              </w:rPr>
              <w:t xml:space="preserve">Effective:   </w:t>
            </w:r>
            <w:r w:rsidR="005E7102" w:rsidRPr="003A3555">
              <w:rPr>
                <w:rFonts w:ascii="Arial Narrow" w:hAnsi="Arial Narrow"/>
                <w:sz w:val="20"/>
                <w:szCs w:val="20"/>
              </w:rPr>
              <w:t>$</w:t>
            </w:r>
            <w:r w:rsidR="001D6F6D">
              <w:rPr>
                <w:rFonts w:ascii="Arial Narrow" w:hAnsi="Arial Narrow"/>
                <w:noProof/>
                <w:color w:val="000000"/>
                <w:sz w:val="20"/>
                <w:szCs w:val="20"/>
                <w:highlight w:val="black"/>
              </w:rPr>
              <w:t>'''''''''''''''''''</w:t>
            </w:r>
            <w:r w:rsidR="005E7102" w:rsidRPr="003A3555">
              <w:rPr>
                <w:rFonts w:ascii="Arial Narrow" w:hAnsi="Arial Narrow"/>
                <w:sz w:val="20"/>
                <w:szCs w:val="20"/>
              </w:rPr>
              <w:t xml:space="preserve"> (public)</w:t>
            </w:r>
          </w:p>
          <w:p w:rsidR="005E7102" w:rsidRPr="003A3555" w:rsidRDefault="00AF5D09" w:rsidP="004E5209">
            <w:pPr>
              <w:keepNext/>
              <w:widowControl/>
              <w:rPr>
                <w:rFonts w:ascii="Arial Narrow" w:hAnsi="Arial Narrow"/>
                <w:sz w:val="20"/>
                <w:szCs w:val="20"/>
              </w:rPr>
            </w:pPr>
            <w:r w:rsidRPr="00AF5D09">
              <w:rPr>
                <w:rFonts w:ascii="Arial Narrow" w:hAnsi="Arial Narrow"/>
                <w:spacing w:val="780"/>
                <w:sz w:val="20"/>
                <w:szCs w:val="20"/>
              </w:rPr>
              <w:t xml:space="preserve"> </w:t>
            </w:r>
            <w:r w:rsidR="005E7102" w:rsidRPr="003A3555">
              <w:rPr>
                <w:rFonts w:ascii="Arial Narrow" w:hAnsi="Arial Narrow"/>
                <w:sz w:val="20"/>
                <w:szCs w:val="20"/>
              </w:rPr>
              <w:t>$</w:t>
            </w:r>
            <w:r w:rsidR="001D6F6D">
              <w:rPr>
                <w:rFonts w:ascii="Arial Narrow" w:hAnsi="Arial Narrow"/>
                <w:noProof/>
                <w:color w:val="000000"/>
                <w:sz w:val="20"/>
                <w:szCs w:val="20"/>
                <w:highlight w:val="black"/>
              </w:rPr>
              <w:t>'''''''''''''''''''''''</w:t>
            </w:r>
            <w:r w:rsidR="005E7102" w:rsidRPr="003A3555">
              <w:rPr>
                <w:rFonts w:ascii="Arial Narrow" w:hAnsi="Arial Narrow"/>
                <w:sz w:val="20"/>
                <w:szCs w:val="20"/>
              </w:rPr>
              <w:t xml:space="preserve"> (private)</w:t>
            </w:r>
          </w:p>
        </w:tc>
        <w:tc>
          <w:tcPr>
            <w:tcW w:w="447" w:type="pct"/>
            <w:vAlign w:val="center"/>
          </w:tcPr>
          <w:p w:rsidR="005E7102" w:rsidRPr="003A3555" w:rsidRDefault="005E7102" w:rsidP="004E5209">
            <w:pPr>
              <w:keepNext/>
              <w:widowControl/>
              <w:jc w:val="center"/>
              <w:rPr>
                <w:rFonts w:ascii="Arial Narrow" w:hAnsi="Arial Narrow"/>
                <w:sz w:val="20"/>
                <w:szCs w:val="20"/>
              </w:rPr>
            </w:pPr>
            <w:proofErr w:type="spellStart"/>
            <w:r w:rsidRPr="003A3555">
              <w:rPr>
                <w:rFonts w:ascii="Arial Narrow" w:hAnsi="Arial Narrow"/>
                <w:sz w:val="20"/>
                <w:szCs w:val="20"/>
              </w:rPr>
              <w:t>Revlimid</w:t>
            </w:r>
            <w:proofErr w:type="spellEnd"/>
            <w:r w:rsidRPr="003A3555">
              <w:rPr>
                <w:rFonts w:ascii="Arial Narrow" w:hAnsi="Arial Narrow"/>
                <w:sz w:val="20"/>
                <w:szCs w:val="20"/>
              </w:rPr>
              <w:t>®</w:t>
            </w:r>
          </w:p>
        </w:tc>
        <w:tc>
          <w:tcPr>
            <w:tcW w:w="699" w:type="pct"/>
            <w:vAlign w:val="center"/>
          </w:tcPr>
          <w:p w:rsidR="005E7102" w:rsidRPr="003A3555" w:rsidRDefault="005E7102" w:rsidP="004E5209">
            <w:pPr>
              <w:keepNext/>
              <w:widowControl/>
              <w:rPr>
                <w:rFonts w:ascii="Arial Narrow" w:hAnsi="Arial Narrow"/>
                <w:sz w:val="20"/>
                <w:szCs w:val="20"/>
              </w:rPr>
            </w:pPr>
            <w:r w:rsidRPr="003A3555">
              <w:rPr>
                <w:rFonts w:ascii="Arial Narrow" w:hAnsi="Arial Narrow"/>
                <w:sz w:val="20"/>
                <w:szCs w:val="20"/>
              </w:rPr>
              <w:t xml:space="preserve">Celgene Pty Ltd </w:t>
            </w:r>
          </w:p>
        </w:tc>
      </w:tr>
      <w:tr w:rsidR="005E7102" w:rsidRPr="003A3555" w:rsidTr="00D37C1B">
        <w:trPr>
          <w:cantSplit/>
          <w:trHeight w:val="567"/>
        </w:trPr>
        <w:tc>
          <w:tcPr>
            <w:tcW w:w="1555" w:type="pct"/>
            <w:vAlign w:val="center"/>
          </w:tcPr>
          <w:p w:rsidR="005E7102" w:rsidRPr="003A3555" w:rsidRDefault="005E7102" w:rsidP="004E5209">
            <w:pPr>
              <w:keepNext/>
              <w:widowControl/>
              <w:jc w:val="left"/>
              <w:rPr>
                <w:rFonts w:ascii="Arial Narrow" w:hAnsi="Arial Narrow"/>
                <w:sz w:val="20"/>
                <w:szCs w:val="20"/>
              </w:rPr>
            </w:pPr>
            <w:proofErr w:type="spellStart"/>
            <w:r w:rsidRPr="003A3555">
              <w:rPr>
                <w:rFonts w:ascii="Arial Narrow" w:hAnsi="Arial Narrow"/>
                <w:sz w:val="20"/>
                <w:szCs w:val="20"/>
              </w:rPr>
              <w:t>Lenalidomide</w:t>
            </w:r>
            <w:proofErr w:type="spellEnd"/>
            <w:r w:rsidRPr="003A3555">
              <w:rPr>
                <w:rFonts w:ascii="Arial Narrow" w:hAnsi="Arial Narrow"/>
                <w:sz w:val="20"/>
                <w:szCs w:val="20"/>
              </w:rPr>
              <w:t>,</w:t>
            </w:r>
          </w:p>
          <w:p w:rsidR="005E7102" w:rsidRPr="003A3555" w:rsidRDefault="005E7102" w:rsidP="004E5209">
            <w:pPr>
              <w:keepNext/>
              <w:widowControl/>
              <w:jc w:val="left"/>
              <w:rPr>
                <w:rFonts w:ascii="Arial Narrow" w:hAnsi="Arial Narrow"/>
                <w:smallCaps/>
                <w:sz w:val="20"/>
                <w:szCs w:val="20"/>
              </w:rPr>
            </w:pPr>
            <w:r w:rsidRPr="003A3555">
              <w:rPr>
                <w:rFonts w:ascii="Arial Narrow" w:hAnsi="Arial Narrow"/>
                <w:sz w:val="20"/>
                <w:szCs w:val="20"/>
              </w:rPr>
              <w:t>Capsule, 10 mg</w:t>
            </w:r>
          </w:p>
        </w:tc>
        <w:tc>
          <w:tcPr>
            <w:tcW w:w="393" w:type="pct"/>
            <w:vAlign w:val="center"/>
          </w:tcPr>
          <w:p w:rsidR="005E7102" w:rsidRPr="003A3555" w:rsidRDefault="005E7102" w:rsidP="004E5209">
            <w:pPr>
              <w:keepNext/>
              <w:widowControl/>
              <w:jc w:val="center"/>
              <w:rPr>
                <w:rFonts w:ascii="Arial Narrow" w:hAnsi="Arial Narrow"/>
                <w:sz w:val="20"/>
                <w:szCs w:val="20"/>
              </w:rPr>
            </w:pPr>
            <w:r w:rsidRPr="003A3555">
              <w:rPr>
                <w:rFonts w:ascii="Arial Narrow" w:hAnsi="Arial Narrow"/>
                <w:sz w:val="20"/>
                <w:szCs w:val="20"/>
              </w:rPr>
              <w:t>1</w:t>
            </w:r>
          </w:p>
        </w:tc>
        <w:tc>
          <w:tcPr>
            <w:tcW w:w="471" w:type="pct"/>
            <w:vAlign w:val="center"/>
          </w:tcPr>
          <w:p w:rsidR="005E7102" w:rsidRPr="003A3555" w:rsidRDefault="005E7102" w:rsidP="004E5209">
            <w:pPr>
              <w:keepNext/>
              <w:widowControl/>
              <w:jc w:val="center"/>
              <w:rPr>
                <w:rFonts w:ascii="Arial Narrow" w:hAnsi="Arial Narrow"/>
                <w:sz w:val="20"/>
                <w:szCs w:val="20"/>
              </w:rPr>
            </w:pPr>
            <w:r w:rsidRPr="003A3555">
              <w:rPr>
                <w:rFonts w:ascii="Arial Narrow" w:hAnsi="Arial Narrow"/>
                <w:sz w:val="20"/>
                <w:szCs w:val="20"/>
              </w:rPr>
              <w:t>2</w:t>
            </w:r>
          </w:p>
        </w:tc>
        <w:tc>
          <w:tcPr>
            <w:tcW w:w="1435" w:type="pct"/>
            <w:vAlign w:val="center"/>
          </w:tcPr>
          <w:p w:rsidR="005E7102" w:rsidRPr="003A3555" w:rsidRDefault="00D37C1B" w:rsidP="004E5209">
            <w:pPr>
              <w:keepNext/>
              <w:widowControl/>
              <w:rPr>
                <w:rFonts w:ascii="Arial Narrow" w:hAnsi="Arial Narrow"/>
                <w:sz w:val="20"/>
                <w:szCs w:val="20"/>
              </w:rPr>
            </w:pPr>
            <w:r>
              <w:rPr>
                <w:rFonts w:ascii="Arial Narrow" w:hAnsi="Arial Narrow"/>
                <w:sz w:val="20"/>
                <w:szCs w:val="20"/>
              </w:rPr>
              <w:t xml:space="preserve">Published: </w:t>
            </w:r>
            <w:r w:rsidR="005E7102" w:rsidRPr="003A3555">
              <w:rPr>
                <w:rFonts w:ascii="Arial Narrow" w:hAnsi="Arial Narrow"/>
                <w:sz w:val="20"/>
                <w:szCs w:val="20"/>
              </w:rPr>
              <w:t>$</w:t>
            </w:r>
            <w:r w:rsidR="001D6F6D">
              <w:rPr>
                <w:rFonts w:ascii="Arial Narrow" w:hAnsi="Arial Narrow"/>
                <w:noProof/>
                <w:color w:val="000000"/>
                <w:sz w:val="20"/>
                <w:szCs w:val="20"/>
                <w:highlight w:val="black"/>
              </w:rPr>
              <w:t>''''''''''''''''''''</w:t>
            </w:r>
            <w:r w:rsidR="005E7102" w:rsidRPr="003A3555">
              <w:rPr>
                <w:rFonts w:ascii="Arial Narrow" w:hAnsi="Arial Narrow"/>
                <w:sz w:val="20"/>
                <w:szCs w:val="20"/>
              </w:rPr>
              <w:t xml:space="preserve"> (public)</w:t>
            </w:r>
          </w:p>
          <w:p w:rsidR="005E7102" w:rsidRPr="003A3555" w:rsidRDefault="00AF5D09" w:rsidP="004E5209">
            <w:pPr>
              <w:keepNext/>
              <w:widowControl/>
              <w:rPr>
                <w:rFonts w:ascii="Arial Narrow" w:hAnsi="Arial Narrow"/>
                <w:sz w:val="20"/>
                <w:szCs w:val="20"/>
              </w:rPr>
            </w:pPr>
            <w:r w:rsidRPr="00AF5D09">
              <w:rPr>
                <w:rFonts w:ascii="Arial Narrow" w:hAnsi="Arial Narrow"/>
                <w:spacing w:val="780"/>
                <w:sz w:val="20"/>
                <w:szCs w:val="20"/>
              </w:rPr>
              <w:t xml:space="preserve"> </w:t>
            </w:r>
            <w:r w:rsidR="005E7102" w:rsidRPr="003A3555">
              <w:rPr>
                <w:rFonts w:ascii="Arial Narrow" w:hAnsi="Arial Narrow"/>
                <w:sz w:val="20"/>
                <w:szCs w:val="20"/>
              </w:rPr>
              <w:t>$</w:t>
            </w:r>
            <w:r w:rsidR="001D6F6D">
              <w:rPr>
                <w:rFonts w:ascii="Arial Narrow" w:hAnsi="Arial Narrow"/>
                <w:noProof/>
                <w:color w:val="000000"/>
                <w:sz w:val="20"/>
                <w:szCs w:val="20"/>
                <w:highlight w:val="black"/>
              </w:rPr>
              <w:t>''''''''''''''''''''</w:t>
            </w:r>
            <w:r w:rsidR="005E7102" w:rsidRPr="003A3555">
              <w:rPr>
                <w:rFonts w:ascii="Arial Narrow" w:hAnsi="Arial Narrow"/>
                <w:sz w:val="20"/>
                <w:szCs w:val="20"/>
              </w:rPr>
              <w:t xml:space="preserve"> (private)</w:t>
            </w:r>
          </w:p>
          <w:p w:rsidR="005E7102" w:rsidRPr="003A3555" w:rsidRDefault="00D37C1B" w:rsidP="004E5209">
            <w:pPr>
              <w:keepNext/>
              <w:widowControl/>
              <w:rPr>
                <w:rFonts w:ascii="Arial Narrow" w:hAnsi="Arial Narrow"/>
                <w:sz w:val="20"/>
                <w:szCs w:val="20"/>
              </w:rPr>
            </w:pPr>
            <w:r>
              <w:rPr>
                <w:rFonts w:ascii="Arial Narrow" w:hAnsi="Arial Narrow"/>
                <w:sz w:val="20"/>
                <w:szCs w:val="20"/>
              </w:rPr>
              <w:t xml:space="preserve">Effective:   </w:t>
            </w:r>
            <w:r w:rsidR="005E7102" w:rsidRPr="003A3555">
              <w:rPr>
                <w:rFonts w:ascii="Arial Narrow" w:hAnsi="Arial Narrow"/>
                <w:sz w:val="20"/>
                <w:szCs w:val="20"/>
              </w:rPr>
              <w:t>$</w:t>
            </w:r>
            <w:r w:rsidR="001D6F6D">
              <w:rPr>
                <w:rFonts w:ascii="Arial Narrow" w:hAnsi="Arial Narrow"/>
                <w:noProof/>
                <w:color w:val="000000"/>
                <w:sz w:val="20"/>
                <w:szCs w:val="20"/>
                <w:highlight w:val="black"/>
              </w:rPr>
              <w:t>'''''''''''''''''''</w:t>
            </w:r>
            <w:r w:rsidR="005E7102" w:rsidRPr="003A3555">
              <w:rPr>
                <w:rFonts w:ascii="Arial Narrow" w:hAnsi="Arial Narrow"/>
                <w:sz w:val="20"/>
                <w:szCs w:val="20"/>
              </w:rPr>
              <w:t xml:space="preserve"> (public)</w:t>
            </w:r>
          </w:p>
          <w:p w:rsidR="005E7102" w:rsidRPr="003A3555" w:rsidRDefault="00AF5D09" w:rsidP="004E5209">
            <w:pPr>
              <w:keepNext/>
              <w:widowControl/>
              <w:rPr>
                <w:rFonts w:ascii="Arial Narrow" w:hAnsi="Arial Narrow"/>
                <w:sz w:val="20"/>
                <w:szCs w:val="20"/>
              </w:rPr>
            </w:pPr>
            <w:r w:rsidRPr="00AF5D09">
              <w:rPr>
                <w:rFonts w:ascii="Arial Narrow" w:hAnsi="Arial Narrow"/>
                <w:spacing w:val="780"/>
                <w:sz w:val="20"/>
                <w:szCs w:val="20"/>
              </w:rPr>
              <w:t xml:space="preserve"> </w:t>
            </w:r>
            <w:r w:rsidR="005E7102" w:rsidRPr="003A3555">
              <w:rPr>
                <w:rFonts w:ascii="Arial Narrow" w:hAnsi="Arial Narrow"/>
                <w:sz w:val="20"/>
                <w:szCs w:val="20"/>
              </w:rPr>
              <w:t>$</w:t>
            </w:r>
            <w:r w:rsidR="001D6F6D">
              <w:rPr>
                <w:rFonts w:ascii="Arial Narrow" w:hAnsi="Arial Narrow"/>
                <w:noProof/>
                <w:color w:val="000000"/>
                <w:sz w:val="20"/>
                <w:szCs w:val="20"/>
                <w:highlight w:val="black"/>
              </w:rPr>
              <w:t>'''''''''''''''''''''''</w:t>
            </w:r>
            <w:r w:rsidR="005E7102" w:rsidRPr="003A3555">
              <w:rPr>
                <w:rFonts w:ascii="Arial Narrow" w:hAnsi="Arial Narrow"/>
                <w:sz w:val="20"/>
                <w:szCs w:val="20"/>
              </w:rPr>
              <w:t xml:space="preserve"> (private)</w:t>
            </w:r>
          </w:p>
        </w:tc>
        <w:tc>
          <w:tcPr>
            <w:tcW w:w="447" w:type="pct"/>
            <w:vAlign w:val="center"/>
          </w:tcPr>
          <w:p w:rsidR="005E7102" w:rsidRPr="003A3555" w:rsidRDefault="005E7102" w:rsidP="004E5209">
            <w:pPr>
              <w:keepNext/>
              <w:widowControl/>
              <w:jc w:val="center"/>
              <w:rPr>
                <w:rFonts w:ascii="Arial Narrow" w:hAnsi="Arial Narrow"/>
                <w:sz w:val="20"/>
                <w:szCs w:val="20"/>
              </w:rPr>
            </w:pPr>
            <w:proofErr w:type="spellStart"/>
            <w:r w:rsidRPr="003A3555">
              <w:rPr>
                <w:rFonts w:ascii="Arial Narrow" w:hAnsi="Arial Narrow"/>
                <w:sz w:val="20"/>
                <w:szCs w:val="20"/>
              </w:rPr>
              <w:t>Revlimid</w:t>
            </w:r>
            <w:proofErr w:type="spellEnd"/>
            <w:r w:rsidRPr="003A3555">
              <w:rPr>
                <w:rFonts w:ascii="Arial Narrow" w:hAnsi="Arial Narrow"/>
                <w:sz w:val="20"/>
                <w:szCs w:val="20"/>
              </w:rPr>
              <w:t>®</w:t>
            </w:r>
          </w:p>
        </w:tc>
        <w:tc>
          <w:tcPr>
            <w:tcW w:w="699" w:type="pct"/>
            <w:vAlign w:val="center"/>
          </w:tcPr>
          <w:p w:rsidR="005E7102" w:rsidRPr="003A3555" w:rsidRDefault="005E7102" w:rsidP="004E5209">
            <w:pPr>
              <w:keepNext/>
              <w:widowControl/>
              <w:rPr>
                <w:rFonts w:ascii="Arial Narrow" w:hAnsi="Arial Narrow"/>
                <w:sz w:val="20"/>
                <w:szCs w:val="20"/>
              </w:rPr>
            </w:pPr>
            <w:r w:rsidRPr="003A3555">
              <w:rPr>
                <w:rFonts w:ascii="Arial Narrow" w:hAnsi="Arial Narrow"/>
                <w:sz w:val="20"/>
                <w:szCs w:val="20"/>
              </w:rPr>
              <w:t>Celgene Pty Ltd</w:t>
            </w:r>
          </w:p>
        </w:tc>
      </w:tr>
      <w:tr w:rsidR="005E7102" w:rsidRPr="003A3555" w:rsidTr="00D37C1B">
        <w:trPr>
          <w:cantSplit/>
          <w:trHeight w:val="963"/>
        </w:trPr>
        <w:tc>
          <w:tcPr>
            <w:tcW w:w="1555" w:type="pct"/>
            <w:vAlign w:val="center"/>
          </w:tcPr>
          <w:p w:rsidR="005E7102" w:rsidRPr="003A3555" w:rsidRDefault="005E7102" w:rsidP="004E5209">
            <w:pPr>
              <w:keepNext/>
              <w:widowControl/>
              <w:jc w:val="left"/>
              <w:rPr>
                <w:rFonts w:ascii="Arial Narrow" w:hAnsi="Arial Narrow"/>
                <w:sz w:val="20"/>
                <w:szCs w:val="20"/>
              </w:rPr>
            </w:pPr>
            <w:proofErr w:type="spellStart"/>
            <w:r w:rsidRPr="003A3555">
              <w:rPr>
                <w:rFonts w:ascii="Arial Narrow" w:hAnsi="Arial Narrow"/>
                <w:sz w:val="20"/>
                <w:szCs w:val="20"/>
              </w:rPr>
              <w:t>Lenalidomide</w:t>
            </w:r>
            <w:proofErr w:type="spellEnd"/>
            <w:r w:rsidRPr="003A3555">
              <w:rPr>
                <w:rFonts w:ascii="Arial Narrow" w:hAnsi="Arial Narrow"/>
                <w:sz w:val="20"/>
                <w:szCs w:val="20"/>
              </w:rPr>
              <w:t>,</w:t>
            </w:r>
          </w:p>
          <w:p w:rsidR="005E7102" w:rsidRPr="003A3555" w:rsidRDefault="005E7102" w:rsidP="004E5209">
            <w:pPr>
              <w:keepNext/>
              <w:widowControl/>
              <w:jc w:val="left"/>
              <w:rPr>
                <w:rFonts w:ascii="Arial Narrow" w:hAnsi="Arial Narrow"/>
                <w:smallCaps/>
                <w:sz w:val="20"/>
                <w:szCs w:val="20"/>
              </w:rPr>
            </w:pPr>
            <w:r w:rsidRPr="003A3555">
              <w:rPr>
                <w:rFonts w:ascii="Arial Narrow" w:hAnsi="Arial Narrow"/>
                <w:sz w:val="20"/>
                <w:szCs w:val="20"/>
              </w:rPr>
              <w:t>Capsule, 15 mg</w:t>
            </w:r>
          </w:p>
        </w:tc>
        <w:tc>
          <w:tcPr>
            <w:tcW w:w="393" w:type="pct"/>
            <w:vAlign w:val="center"/>
          </w:tcPr>
          <w:p w:rsidR="005E7102" w:rsidRPr="003A3555" w:rsidRDefault="005E7102" w:rsidP="004E5209">
            <w:pPr>
              <w:keepNext/>
              <w:widowControl/>
              <w:jc w:val="center"/>
              <w:rPr>
                <w:rFonts w:ascii="Arial Narrow" w:hAnsi="Arial Narrow"/>
                <w:sz w:val="20"/>
                <w:szCs w:val="20"/>
              </w:rPr>
            </w:pPr>
            <w:r w:rsidRPr="003A3555">
              <w:rPr>
                <w:rFonts w:ascii="Arial Narrow" w:hAnsi="Arial Narrow"/>
                <w:sz w:val="20"/>
                <w:szCs w:val="20"/>
              </w:rPr>
              <w:t>1</w:t>
            </w:r>
          </w:p>
        </w:tc>
        <w:tc>
          <w:tcPr>
            <w:tcW w:w="471" w:type="pct"/>
            <w:vAlign w:val="center"/>
          </w:tcPr>
          <w:p w:rsidR="005E7102" w:rsidRPr="003A3555" w:rsidRDefault="005E7102" w:rsidP="004E5209">
            <w:pPr>
              <w:keepNext/>
              <w:widowControl/>
              <w:jc w:val="center"/>
              <w:rPr>
                <w:rFonts w:ascii="Arial Narrow" w:hAnsi="Arial Narrow"/>
                <w:sz w:val="20"/>
                <w:szCs w:val="20"/>
              </w:rPr>
            </w:pPr>
            <w:r w:rsidRPr="003A3555">
              <w:rPr>
                <w:rFonts w:ascii="Arial Narrow" w:hAnsi="Arial Narrow"/>
                <w:sz w:val="20"/>
                <w:szCs w:val="20"/>
              </w:rPr>
              <w:t>2</w:t>
            </w:r>
          </w:p>
        </w:tc>
        <w:tc>
          <w:tcPr>
            <w:tcW w:w="1435" w:type="pct"/>
            <w:vAlign w:val="center"/>
          </w:tcPr>
          <w:p w:rsidR="005E7102" w:rsidRPr="003A3555" w:rsidRDefault="00D37C1B" w:rsidP="004E5209">
            <w:pPr>
              <w:keepNext/>
              <w:widowControl/>
              <w:rPr>
                <w:rFonts w:ascii="Arial Narrow" w:hAnsi="Arial Narrow"/>
                <w:sz w:val="20"/>
                <w:szCs w:val="20"/>
              </w:rPr>
            </w:pPr>
            <w:r>
              <w:rPr>
                <w:rFonts w:ascii="Arial Narrow" w:hAnsi="Arial Narrow"/>
                <w:sz w:val="20"/>
                <w:szCs w:val="20"/>
              </w:rPr>
              <w:t xml:space="preserve">Published: </w:t>
            </w:r>
            <w:r w:rsidR="005E7102" w:rsidRPr="003A3555">
              <w:rPr>
                <w:rFonts w:ascii="Arial Narrow" w:hAnsi="Arial Narrow"/>
                <w:sz w:val="20"/>
                <w:szCs w:val="20"/>
              </w:rPr>
              <w:t>$</w:t>
            </w:r>
            <w:r w:rsidR="001D6F6D">
              <w:rPr>
                <w:rFonts w:ascii="Arial Narrow" w:hAnsi="Arial Narrow"/>
                <w:noProof/>
                <w:color w:val="000000"/>
                <w:sz w:val="20"/>
                <w:szCs w:val="20"/>
                <w:highlight w:val="black"/>
              </w:rPr>
              <w:t>''''''''''''''''''''</w:t>
            </w:r>
            <w:r w:rsidR="005E7102" w:rsidRPr="003A3555">
              <w:rPr>
                <w:rFonts w:ascii="Arial Narrow" w:hAnsi="Arial Narrow"/>
                <w:sz w:val="20"/>
                <w:szCs w:val="20"/>
              </w:rPr>
              <w:t xml:space="preserve"> (public)</w:t>
            </w:r>
          </w:p>
          <w:p w:rsidR="005E7102" w:rsidRPr="003A3555" w:rsidRDefault="00AF5D09" w:rsidP="004E5209">
            <w:pPr>
              <w:keepNext/>
              <w:widowControl/>
              <w:rPr>
                <w:rFonts w:ascii="Arial Narrow" w:hAnsi="Arial Narrow"/>
                <w:sz w:val="20"/>
                <w:szCs w:val="20"/>
              </w:rPr>
            </w:pPr>
            <w:r w:rsidRPr="00AF5D09">
              <w:rPr>
                <w:rFonts w:ascii="Arial Narrow" w:hAnsi="Arial Narrow"/>
                <w:spacing w:val="780"/>
                <w:sz w:val="20"/>
                <w:szCs w:val="20"/>
              </w:rPr>
              <w:t xml:space="preserve"> </w:t>
            </w:r>
            <w:r w:rsidR="005E7102" w:rsidRPr="003A3555">
              <w:rPr>
                <w:rFonts w:ascii="Arial Narrow" w:hAnsi="Arial Narrow"/>
                <w:sz w:val="20"/>
                <w:szCs w:val="20"/>
              </w:rPr>
              <w:t>$</w:t>
            </w:r>
            <w:r w:rsidR="001D6F6D">
              <w:rPr>
                <w:rFonts w:ascii="Arial Narrow" w:hAnsi="Arial Narrow"/>
                <w:noProof/>
                <w:color w:val="000000"/>
                <w:sz w:val="20"/>
                <w:szCs w:val="20"/>
                <w:highlight w:val="black"/>
              </w:rPr>
              <w:t>''''''''''''''''''''''</w:t>
            </w:r>
            <w:r w:rsidR="005E7102" w:rsidRPr="003A3555">
              <w:rPr>
                <w:rFonts w:ascii="Arial Narrow" w:hAnsi="Arial Narrow"/>
                <w:sz w:val="20"/>
                <w:szCs w:val="20"/>
              </w:rPr>
              <w:t xml:space="preserve"> (private)</w:t>
            </w:r>
          </w:p>
          <w:p w:rsidR="005E7102" w:rsidRPr="003A3555" w:rsidRDefault="00D37C1B" w:rsidP="004E5209">
            <w:pPr>
              <w:keepNext/>
              <w:widowControl/>
              <w:rPr>
                <w:rFonts w:ascii="Arial Narrow" w:hAnsi="Arial Narrow"/>
                <w:sz w:val="20"/>
                <w:szCs w:val="20"/>
              </w:rPr>
            </w:pPr>
            <w:r>
              <w:rPr>
                <w:rFonts w:ascii="Arial Narrow" w:hAnsi="Arial Narrow"/>
                <w:sz w:val="20"/>
                <w:szCs w:val="20"/>
              </w:rPr>
              <w:t xml:space="preserve">Effective:   </w:t>
            </w:r>
            <w:r w:rsidR="005E7102" w:rsidRPr="003A3555">
              <w:rPr>
                <w:rFonts w:ascii="Arial Narrow" w:hAnsi="Arial Narrow"/>
                <w:sz w:val="20"/>
                <w:szCs w:val="20"/>
              </w:rPr>
              <w:t>$</w:t>
            </w:r>
            <w:r w:rsidR="001D6F6D">
              <w:rPr>
                <w:rFonts w:ascii="Arial Narrow" w:hAnsi="Arial Narrow"/>
                <w:noProof/>
                <w:color w:val="000000"/>
                <w:sz w:val="20"/>
                <w:szCs w:val="20"/>
                <w:highlight w:val="black"/>
              </w:rPr>
              <w:t>''''''''''''''''''''</w:t>
            </w:r>
            <w:r w:rsidR="005E7102" w:rsidRPr="003A3555">
              <w:rPr>
                <w:rFonts w:ascii="Arial Narrow" w:hAnsi="Arial Narrow"/>
                <w:sz w:val="20"/>
                <w:szCs w:val="20"/>
              </w:rPr>
              <w:t xml:space="preserve"> (public)</w:t>
            </w:r>
          </w:p>
          <w:p w:rsidR="005E7102" w:rsidRPr="003A3555" w:rsidRDefault="00AF5D09" w:rsidP="004E5209">
            <w:pPr>
              <w:keepNext/>
              <w:widowControl/>
              <w:rPr>
                <w:rFonts w:ascii="Arial Narrow" w:hAnsi="Arial Narrow"/>
                <w:sz w:val="20"/>
                <w:szCs w:val="20"/>
              </w:rPr>
            </w:pPr>
            <w:r w:rsidRPr="00AF5D09">
              <w:rPr>
                <w:rFonts w:ascii="Arial Narrow" w:hAnsi="Arial Narrow"/>
                <w:spacing w:val="780"/>
                <w:sz w:val="20"/>
                <w:szCs w:val="20"/>
              </w:rPr>
              <w:t xml:space="preserve"> </w:t>
            </w:r>
            <w:r w:rsidR="005E7102" w:rsidRPr="003A3555">
              <w:rPr>
                <w:rFonts w:ascii="Arial Narrow" w:hAnsi="Arial Narrow"/>
                <w:sz w:val="20"/>
                <w:szCs w:val="20"/>
              </w:rPr>
              <w:t>$</w:t>
            </w:r>
            <w:r w:rsidR="001D6F6D">
              <w:rPr>
                <w:rFonts w:ascii="Arial Narrow" w:hAnsi="Arial Narrow"/>
                <w:noProof/>
                <w:color w:val="000000"/>
                <w:sz w:val="20"/>
                <w:szCs w:val="20"/>
                <w:highlight w:val="black"/>
              </w:rPr>
              <w:t>''''''''''''''''''''''</w:t>
            </w:r>
            <w:r w:rsidR="005E7102" w:rsidRPr="003A3555">
              <w:rPr>
                <w:rFonts w:ascii="Arial Narrow" w:hAnsi="Arial Narrow"/>
                <w:sz w:val="20"/>
                <w:szCs w:val="20"/>
              </w:rPr>
              <w:t xml:space="preserve"> (private)</w:t>
            </w:r>
          </w:p>
        </w:tc>
        <w:tc>
          <w:tcPr>
            <w:tcW w:w="447" w:type="pct"/>
            <w:vAlign w:val="center"/>
          </w:tcPr>
          <w:p w:rsidR="005E7102" w:rsidRPr="003A3555" w:rsidRDefault="005E7102" w:rsidP="004E5209">
            <w:pPr>
              <w:keepNext/>
              <w:widowControl/>
              <w:jc w:val="center"/>
              <w:rPr>
                <w:rFonts w:ascii="Arial Narrow" w:hAnsi="Arial Narrow"/>
                <w:sz w:val="20"/>
                <w:szCs w:val="20"/>
              </w:rPr>
            </w:pPr>
            <w:proofErr w:type="spellStart"/>
            <w:r w:rsidRPr="003A3555">
              <w:rPr>
                <w:rFonts w:ascii="Arial Narrow" w:hAnsi="Arial Narrow"/>
                <w:sz w:val="20"/>
                <w:szCs w:val="20"/>
              </w:rPr>
              <w:t>Revlimid</w:t>
            </w:r>
            <w:proofErr w:type="spellEnd"/>
            <w:r w:rsidRPr="003A3555">
              <w:rPr>
                <w:rFonts w:ascii="Arial Narrow" w:hAnsi="Arial Narrow"/>
                <w:sz w:val="20"/>
                <w:szCs w:val="20"/>
              </w:rPr>
              <w:t>®</w:t>
            </w:r>
          </w:p>
        </w:tc>
        <w:tc>
          <w:tcPr>
            <w:tcW w:w="699" w:type="pct"/>
            <w:vAlign w:val="center"/>
          </w:tcPr>
          <w:p w:rsidR="005E7102" w:rsidRPr="003A3555" w:rsidRDefault="005E7102" w:rsidP="004E5209">
            <w:pPr>
              <w:keepNext/>
              <w:widowControl/>
              <w:rPr>
                <w:rFonts w:ascii="Arial Narrow" w:hAnsi="Arial Narrow"/>
                <w:sz w:val="20"/>
                <w:szCs w:val="20"/>
              </w:rPr>
            </w:pPr>
            <w:r w:rsidRPr="003A3555">
              <w:rPr>
                <w:rFonts w:ascii="Arial Narrow" w:hAnsi="Arial Narrow"/>
                <w:sz w:val="20"/>
                <w:szCs w:val="20"/>
              </w:rPr>
              <w:t>Celgene Pty Ltd</w:t>
            </w:r>
          </w:p>
        </w:tc>
      </w:tr>
    </w:tbl>
    <w:p w:rsidR="0098398C" w:rsidRPr="003A3555" w:rsidRDefault="0098398C" w:rsidP="00C12C09">
      <w:pPr>
        <w:pStyle w:val="ListParagraph"/>
        <w:widowControl/>
        <w:numPr>
          <w:ilvl w:val="1"/>
          <w:numId w:val="2"/>
        </w:numPr>
        <w:spacing w:before="120"/>
      </w:pPr>
      <w:r w:rsidRPr="003A3555">
        <w:t xml:space="preserve">The </w:t>
      </w:r>
      <w:r w:rsidR="00B04FDF" w:rsidRPr="003A3555">
        <w:t xml:space="preserve">abbreviated </w:t>
      </w:r>
      <w:r w:rsidRPr="003A3555">
        <w:t>proposed listing</w:t>
      </w:r>
      <w:r w:rsidR="008A6909" w:rsidRPr="003A3555">
        <w:t>s</w:t>
      </w:r>
      <w:r w:rsidRPr="003A3555">
        <w:t xml:space="preserve"> for initial and continuing therapy </w:t>
      </w:r>
      <w:proofErr w:type="gramStart"/>
      <w:r w:rsidRPr="003A3555">
        <w:t>are provided</w:t>
      </w:r>
      <w:proofErr w:type="gramEnd"/>
      <w:r w:rsidRPr="003A3555">
        <w:t xml:space="preserve"> in Table 3 and Table 4. </w:t>
      </w:r>
      <w:r w:rsidR="00BB42B1">
        <w:t>Secretariat suggestions are in strikethrough for deletions.</w:t>
      </w:r>
    </w:p>
    <w:p w:rsidR="0098398C" w:rsidRPr="003A3555" w:rsidRDefault="0098398C" w:rsidP="00F15D28">
      <w:pPr>
        <w:pStyle w:val="Tabletext"/>
        <w:keepNext/>
        <w:rPr>
          <w:b/>
          <w:color w:val="000000" w:themeColor="text1"/>
          <w:szCs w:val="16"/>
        </w:rPr>
      </w:pPr>
      <w:r w:rsidRPr="003A3555">
        <w:rPr>
          <w:rStyle w:val="CommentReference"/>
        </w:rPr>
        <w:t>Table 3: Proposed PBS listing – initial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Proposed PBS listing – initial treatment"/>
      </w:tblPr>
      <w:tblGrid>
        <w:gridCol w:w="1980"/>
        <w:gridCol w:w="7037"/>
      </w:tblGrid>
      <w:tr w:rsidR="005E7102" w:rsidRPr="003A3555" w:rsidTr="00F07F46">
        <w:trPr>
          <w:trHeight w:val="20"/>
        </w:trPr>
        <w:tc>
          <w:tcPr>
            <w:tcW w:w="1098" w:type="pct"/>
            <w:tcBorders>
              <w:top w:val="single" w:sz="4" w:space="0" w:color="auto"/>
              <w:left w:val="single" w:sz="4" w:space="0" w:color="auto"/>
              <w:bottom w:val="single" w:sz="4" w:space="0" w:color="auto"/>
              <w:right w:val="single" w:sz="4" w:space="0" w:color="auto"/>
            </w:tcBorders>
            <w:hideMark/>
          </w:tcPr>
          <w:p w:rsidR="005E7102" w:rsidRPr="00F07F46" w:rsidRDefault="005E7102" w:rsidP="00F15D28">
            <w:pPr>
              <w:pStyle w:val="Table"/>
              <w:keepNext/>
              <w:spacing w:line="240" w:lineRule="auto"/>
              <w:rPr>
                <w:rFonts w:ascii="Arial Narrow" w:hAnsi="Arial Narrow"/>
                <w:b/>
                <w:color w:val="000000" w:themeColor="text1"/>
                <w:sz w:val="20"/>
                <w:szCs w:val="20"/>
                <w:lang w:eastAsia="en-AU"/>
              </w:rPr>
            </w:pPr>
            <w:r w:rsidRPr="00F07F46">
              <w:rPr>
                <w:rFonts w:ascii="Arial Narrow" w:hAnsi="Arial Narrow"/>
                <w:b/>
                <w:color w:val="000000" w:themeColor="text1"/>
                <w:sz w:val="20"/>
                <w:szCs w:val="20"/>
                <w:lang w:eastAsia="en-AU"/>
              </w:rPr>
              <w:t>Category/Program:</w:t>
            </w:r>
          </w:p>
        </w:tc>
        <w:tc>
          <w:tcPr>
            <w:tcW w:w="3902" w:type="pct"/>
            <w:tcBorders>
              <w:top w:val="single" w:sz="4" w:space="0" w:color="auto"/>
              <w:left w:val="single" w:sz="4" w:space="0" w:color="auto"/>
              <w:bottom w:val="single" w:sz="4" w:space="0" w:color="auto"/>
              <w:right w:val="single" w:sz="4" w:space="0" w:color="auto"/>
            </w:tcBorders>
          </w:tcPr>
          <w:p w:rsidR="005E7102" w:rsidRPr="003A3555" w:rsidRDefault="005E7102" w:rsidP="00F15D28">
            <w:pPr>
              <w:pStyle w:val="Table"/>
              <w:keepNext/>
              <w:spacing w:line="240" w:lineRule="auto"/>
              <w:rPr>
                <w:rFonts w:ascii="Arial Narrow" w:hAnsi="Arial Narrow"/>
                <w:color w:val="000000" w:themeColor="text1"/>
                <w:sz w:val="20"/>
                <w:szCs w:val="20"/>
                <w:lang w:eastAsia="en-AU"/>
              </w:rPr>
            </w:pPr>
            <w:r w:rsidRPr="003A3555">
              <w:rPr>
                <w:rFonts w:ascii="Arial Narrow" w:hAnsi="Arial Narrow"/>
                <w:color w:val="000000" w:themeColor="text1"/>
                <w:sz w:val="20"/>
                <w:szCs w:val="20"/>
                <w:lang w:eastAsia="en-AU"/>
              </w:rPr>
              <w:t>Section 100 – HSD</w:t>
            </w:r>
          </w:p>
        </w:tc>
      </w:tr>
      <w:tr w:rsidR="005E7102" w:rsidRPr="003A3555" w:rsidTr="00F07F46">
        <w:trPr>
          <w:trHeight w:val="20"/>
        </w:trPr>
        <w:tc>
          <w:tcPr>
            <w:tcW w:w="1098" w:type="pct"/>
            <w:tcBorders>
              <w:top w:val="single" w:sz="4" w:space="0" w:color="auto"/>
              <w:left w:val="single" w:sz="4" w:space="0" w:color="auto"/>
              <w:bottom w:val="single" w:sz="4" w:space="0" w:color="auto"/>
              <w:right w:val="single" w:sz="4" w:space="0" w:color="auto"/>
            </w:tcBorders>
            <w:hideMark/>
          </w:tcPr>
          <w:p w:rsidR="005E7102" w:rsidRPr="00F07F46" w:rsidRDefault="005E7102" w:rsidP="00F15D28">
            <w:pPr>
              <w:pStyle w:val="Table"/>
              <w:keepNext/>
              <w:spacing w:line="240" w:lineRule="auto"/>
              <w:rPr>
                <w:rFonts w:ascii="Arial Narrow" w:hAnsi="Arial Narrow"/>
                <w:b/>
                <w:color w:val="000000" w:themeColor="text1"/>
                <w:sz w:val="20"/>
                <w:szCs w:val="20"/>
                <w:lang w:eastAsia="en-AU"/>
              </w:rPr>
            </w:pPr>
            <w:r w:rsidRPr="00F07F46">
              <w:rPr>
                <w:rFonts w:ascii="Arial Narrow" w:hAnsi="Arial Narrow"/>
                <w:b/>
                <w:color w:val="000000" w:themeColor="text1"/>
                <w:sz w:val="20"/>
                <w:szCs w:val="20"/>
                <w:lang w:eastAsia="en-AU"/>
              </w:rPr>
              <w:t>PBS indication:</w:t>
            </w:r>
          </w:p>
        </w:tc>
        <w:tc>
          <w:tcPr>
            <w:tcW w:w="3902" w:type="pct"/>
            <w:tcBorders>
              <w:top w:val="single" w:sz="4" w:space="0" w:color="auto"/>
              <w:left w:val="single" w:sz="4" w:space="0" w:color="auto"/>
              <w:bottom w:val="single" w:sz="4" w:space="0" w:color="auto"/>
              <w:right w:val="single" w:sz="4" w:space="0" w:color="auto"/>
            </w:tcBorders>
          </w:tcPr>
          <w:p w:rsidR="005E7102" w:rsidRPr="003A3555" w:rsidRDefault="005E7102" w:rsidP="00F15D28">
            <w:pPr>
              <w:pStyle w:val="Table"/>
              <w:keepNext/>
              <w:spacing w:line="240" w:lineRule="auto"/>
              <w:rPr>
                <w:rFonts w:ascii="Arial Narrow" w:hAnsi="Arial Narrow"/>
                <w:color w:val="000000" w:themeColor="text1"/>
                <w:sz w:val="20"/>
                <w:szCs w:val="20"/>
                <w:lang w:eastAsia="en-AU"/>
              </w:rPr>
            </w:pPr>
            <w:r w:rsidRPr="003A3555">
              <w:rPr>
                <w:rFonts w:ascii="Arial Narrow" w:hAnsi="Arial Narrow"/>
                <w:color w:val="000000" w:themeColor="text1"/>
                <w:sz w:val="20"/>
                <w:szCs w:val="20"/>
                <w:lang w:eastAsia="en-AU"/>
              </w:rPr>
              <w:t>Multiple Myeloma</w:t>
            </w:r>
          </w:p>
        </w:tc>
      </w:tr>
      <w:tr w:rsidR="005E7102" w:rsidRPr="003A3555" w:rsidTr="00F07F46">
        <w:trPr>
          <w:trHeight w:val="20"/>
        </w:trPr>
        <w:tc>
          <w:tcPr>
            <w:tcW w:w="1098" w:type="pct"/>
            <w:tcBorders>
              <w:top w:val="single" w:sz="4" w:space="0" w:color="auto"/>
              <w:left w:val="single" w:sz="4" w:space="0" w:color="auto"/>
              <w:bottom w:val="single" w:sz="4" w:space="0" w:color="auto"/>
              <w:right w:val="single" w:sz="4" w:space="0" w:color="auto"/>
            </w:tcBorders>
            <w:hideMark/>
          </w:tcPr>
          <w:p w:rsidR="005E7102" w:rsidRPr="00F07F46" w:rsidRDefault="005E7102" w:rsidP="00F15D28">
            <w:pPr>
              <w:pStyle w:val="Table"/>
              <w:keepNext/>
              <w:spacing w:line="240" w:lineRule="auto"/>
              <w:rPr>
                <w:rFonts w:ascii="Arial Narrow" w:hAnsi="Arial Narrow"/>
                <w:b/>
                <w:color w:val="000000" w:themeColor="text1"/>
                <w:sz w:val="20"/>
                <w:szCs w:val="20"/>
                <w:lang w:eastAsia="en-AU"/>
              </w:rPr>
            </w:pPr>
            <w:r w:rsidRPr="00F07F46">
              <w:rPr>
                <w:rFonts w:ascii="Arial Narrow" w:hAnsi="Arial Narrow"/>
                <w:b/>
                <w:color w:val="000000" w:themeColor="text1"/>
                <w:sz w:val="20"/>
                <w:szCs w:val="20"/>
                <w:lang w:eastAsia="en-AU"/>
              </w:rPr>
              <w:t>Treatment phase:</w:t>
            </w:r>
          </w:p>
        </w:tc>
        <w:tc>
          <w:tcPr>
            <w:tcW w:w="3902" w:type="pct"/>
            <w:tcBorders>
              <w:top w:val="single" w:sz="4" w:space="0" w:color="auto"/>
              <w:left w:val="single" w:sz="4" w:space="0" w:color="auto"/>
              <w:bottom w:val="single" w:sz="4" w:space="0" w:color="auto"/>
              <w:right w:val="single" w:sz="4" w:space="0" w:color="auto"/>
            </w:tcBorders>
          </w:tcPr>
          <w:p w:rsidR="005E7102" w:rsidRPr="003A3555" w:rsidRDefault="005E7102" w:rsidP="00F15D28">
            <w:pPr>
              <w:pStyle w:val="Table"/>
              <w:keepNext/>
              <w:spacing w:line="240" w:lineRule="auto"/>
              <w:rPr>
                <w:rFonts w:ascii="Arial Narrow" w:hAnsi="Arial Narrow"/>
                <w:color w:val="000000" w:themeColor="text1"/>
                <w:sz w:val="20"/>
                <w:szCs w:val="20"/>
                <w:lang w:eastAsia="en-AU"/>
              </w:rPr>
            </w:pPr>
            <w:r w:rsidRPr="003A3555">
              <w:rPr>
                <w:rFonts w:ascii="Arial Narrow" w:hAnsi="Arial Narrow"/>
                <w:color w:val="000000" w:themeColor="text1"/>
                <w:sz w:val="20"/>
                <w:szCs w:val="20"/>
                <w:lang w:eastAsia="en-AU"/>
              </w:rPr>
              <w:t>Initial treatment</w:t>
            </w:r>
          </w:p>
        </w:tc>
      </w:tr>
      <w:tr w:rsidR="005E7102" w:rsidRPr="003A3555" w:rsidTr="00F07F46">
        <w:trPr>
          <w:trHeight w:val="20"/>
        </w:trPr>
        <w:tc>
          <w:tcPr>
            <w:tcW w:w="1098" w:type="pct"/>
            <w:tcBorders>
              <w:top w:val="single" w:sz="4" w:space="0" w:color="auto"/>
              <w:left w:val="single" w:sz="4" w:space="0" w:color="auto"/>
              <w:bottom w:val="single" w:sz="4" w:space="0" w:color="auto"/>
              <w:right w:val="single" w:sz="4" w:space="0" w:color="auto"/>
            </w:tcBorders>
            <w:hideMark/>
          </w:tcPr>
          <w:p w:rsidR="005E7102" w:rsidRPr="00F07F46" w:rsidRDefault="005E7102" w:rsidP="00F15D28">
            <w:pPr>
              <w:pStyle w:val="Table"/>
              <w:keepNext/>
              <w:spacing w:line="240" w:lineRule="auto"/>
              <w:rPr>
                <w:rFonts w:ascii="Arial Narrow" w:hAnsi="Arial Narrow"/>
                <w:b/>
                <w:color w:val="000000" w:themeColor="text1"/>
                <w:sz w:val="20"/>
                <w:szCs w:val="20"/>
                <w:lang w:eastAsia="en-AU"/>
              </w:rPr>
            </w:pPr>
            <w:r w:rsidRPr="00F07F46">
              <w:rPr>
                <w:rFonts w:ascii="Arial Narrow" w:hAnsi="Arial Narrow"/>
                <w:b/>
                <w:color w:val="000000" w:themeColor="text1"/>
                <w:sz w:val="20"/>
                <w:szCs w:val="20"/>
                <w:lang w:eastAsia="en-AU"/>
              </w:rPr>
              <w:t>Restriction:</w:t>
            </w:r>
          </w:p>
          <w:p w:rsidR="005E7102" w:rsidRPr="00F07F46" w:rsidRDefault="005E7102" w:rsidP="00F15D28">
            <w:pPr>
              <w:pStyle w:val="Table"/>
              <w:keepNext/>
              <w:spacing w:line="240" w:lineRule="auto"/>
              <w:rPr>
                <w:rFonts w:ascii="Arial Narrow" w:hAnsi="Arial Narrow"/>
                <w:b/>
                <w:color w:val="000000" w:themeColor="text1"/>
                <w:sz w:val="20"/>
                <w:szCs w:val="20"/>
                <w:lang w:eastAsia="en-AU"/>
              </w:rPr>
            </w:pPr>
            <w:r w:rsidRPr="00F07F46">
              <w:rPr>
                <w:rFonts w:ascii="Arial Narrow" w:hAnsi="Arial Narrow"/>
                <w:b/>
                <w:color w:val="000000" w:themeColor="text1"/>
                <w:sz w:val="20"/>
                <w:szCs w:val="20"/>
              </w:rPr>
              <w:t>Section 100 (HSD)</w:t>
            </w:r>
          </w:p>
        </w:tc>
        <w:tc>
          <w:tcPr>
            <w:tcW w:w="3902" w:type="pct"/>
            <w:tcBorders>
              <w:top w:val="single" w:sz="4" w:space="0" w:color="auto"/>
              <w:left w:val="single" w:sz="4" w:space="0" w:color="auto"/>
              <w:bottom w:val="single" w:sz="4" w:space="0" w:color="auto"/>
              <w:right w:val="single" w:sz="4" w:space="0" w:color="auto"/>
            </w:tcBorders>
          </w:tcPr>
          <w:p w:rsidR="005E7102" w:rsidRPr="003A3555" w:rsidRDefault="005E7102" w:rsidP="00F15D28">
            <w:pPr>
              <w:pStyle w:val="Table"/>
              <w:keepNext/>
              <w:spacing w:line="240" w:lineRule="auto"/>
              <w:rPr>
                <w:rFonts w:ascii="Arial Narrow" w:hAnsi="Arial Narrow"/>
                <w:color w:val="000000" w:themeColor="text1"/>
                <w:sz w:val="20"/>
                <w:szCs w:val="20"/>
              </w:rPr>
            </w:pPr>
            <w:r w:rsidRPr="003A3555">
              <w:rPr>
                <w:rFonts w:ascii="Arial Narrow" w:hAnsi="Arial Narrow"/>
                <w:color w:val="000000" w:themeColor="text1"/>
                <w:sz w:val="20"/>
                <w:szCs w:val="20"/>
              </w:rPr>
              <w:fldChar w:fldCharType="begin">
                <w:ffData>
                  <w:name w:val="Check1"/>
                  <w:enabled/>
                  <w:calcOnExit w:val="0"/>
                  <w:checkBox>
                    <w:sizeAuto/>
                    <w:default w:val="0"/>
                  </w:checkBox>
                </w:ffData>
              </w:fldChar>
            </w:r>
            <w:r w:rsidRPr="003A3555">
              <w:rPr>
                <w:rFonts w:ascii="Arial Narrow" w:hAnsi="Arial Narrow"/>
                <w:color w:val="000000" w:themeColor="text1"/>
                <w:sz w:val="20"/>
                <w:szCs w:val="20"/>
              </w:rPr>
              <w:instrText xml:space="preserve"> FORMCHECKBOX </w:instrText>
            </w:r>
            <w:r w:rsidR="00171270">
              <w:rPr>
                <w:rFonts w:ascii="Arial Narrow" w:hAnsi="Arial Narrow"/>
                <w:color w:val="000000" w:themeColor="text1"/>
                <w:sz w:val="20"/>
                <w:szCs w:val="20"/>
              </w:rPr>
            </w:r>
            <w:r w:rsidR="00171270">
              <w:rPr>
                <w:rFonts w:ascii="Arial Narrow" w:hAnsi="Arial Narrow"/>
                <w:color w:val="000000" w:themeColor="text1"/>
                <w:sz w:val="20"/>
                <w:szCs w:val="20"/>
              </w:rPr>
              <w:fldChar w:fldCharType="separate"/>
            </w:r>
            <w:r w:rsidRPr="003A3555">
              <w:rPr>
                <w:rFonts w:ascii="Arial Narrow" w:hAnsi="Arial Narrow"/>
                <w:color w:val="000000" w:themeColor="text1"/>
                <w:sz w:val="20"/>
                <w:szCs w:val="20"/>
              </w:rPr>
              <w:fldChar w:fldCharType="end"/>
            </w:r>
            <w:r w:rsidRPr="003A3555">
              <w:rPr>
                <w:rFonts w:ascii="Arial Narrow" w:hAnsi="Arial Narrow"/>
                <w:color w:val="000000" w:themeColor="text1"/>
                <w:sz w:val="20"/>
                <w:szCs w:val="20"/>
              </w:rPr>
              <w:t>Restricted benefit</w:t>
            </w:r>
          </w:p>
          <w:p w:rsidR="005E7102" w:rsidRPr="003A3555" w:rsidRDefault="005E7102" w:rsidP="00F15D28">
            <w:pPr>
              <w:pStyle w:val="Table"/>
              <w:keepNext/>
              <w:spacing w:line="240" w:lineRule="auto"/>
              <w:rPr>
                <w:rFonts w:ascii="Arial Narrow" w:hAnsi="Arial Narrow"/>
                <w:color w:val="000000" w:themeColor="text1"/>
                <w:sz w:val="20"/>
                <w:szCs w:val="20"/>
              </w:rPr>
            </w:pPr>
            <w:r w:rsidRPr="003A3555">
              <w:rPr>
                <w:rFonts w:ascii="Arial Narrow" w:hAnsi="Arial Narrow"/>
                <w:color w:val="000000" w:themeColor="text1"/>
                <w:sz w:val="20"/>
                <w:szCs w:val="20"/>
              </w:rPr>
              <w:fldChar w:fldCharType="begin">
                <w:ffData>
                  <w:name w:val=""/>
                  <w:enabled/>
                  <w:calcOnExit w:val="0"/>
                  <w:checkBox>
                    <w:sizeAuto/>
                    <w:default w:val="1"/>
                  </w:checkBox>
                </w:ffData>
              </w:fldChar>
            </w:r>
            <w:r w:rsidRPr="003A3555">
              <w:rPr>
                <w:rFonts w:ascii="Arial Narrow" w:hAnsi="Arial Narrow"/>
                <w:color w:val="000000" w:themeColor="text1"/>
                <w:sz w:val="20"/>
                <w:szCs w:val="20"/>
              </w:rPr>
              <w:instrText xml:space="preserve"> FORMCHECKBOX </w:instrText>
            </w:r>
            <w:r w:rsidR="00171270">
              <w:rPr>
                <w:rFonts w:ascii="Arial Narrow" w:hAnsi="Arial Narrow"/>
                <w:color w:val="000000" w:themeColor="text1"/>
                <w:sz w:val="20"/>
                <w:szCs w:val="20"/>
              </w:rPr>
            </w:r>
            <w:r w:rsidR="00171270">
              <w:rPr>
                <w:rFonts w:ascii="Arial Narrow" w:hAnsi="Arial Narrow"/>
                <w:color w:val="000000" w:themeColor="text1"/>
                <w:sz w:val="20"/>
                <w:szCs w:val="20"/>
              </w:rPr>
              <w:fldChar w:fldCharType="separate"/>
            </w:r>
            <w:r w:rsidRPr="003A3555">
              <w:rPr>
                <w:rFonts w:ascii="Arial Narrow" w:hAnsi="Arial Narrow"/>
                <w:color w:val="000000" w:themeColor="text1"/>
                <w:sz w:val="20"/>
                <w:szCs w:val="20"/>
              </w:rPr>
              <w:fldChar w:fldCharType="end"/>
            </w:r>
            <w:r w:rsidRPr="003A3555">
              <w:rPr>
                <w:rFonts w:ascii="Arial Narrow" w:hAnsi="Arial Narrow"/>
                <w:color w:val="000000" w:themeColor="text1"/>
                <w:sz w:val="20"/>
                <w:szCs w:val="20"/>
              </w:rPr>
              <w:t>Authority Required - In Writing</w:t>
            </w:r>
          </w:p>
          <w:p w:rsidR="005E7102" w:rsidRPr="003A3555" w:rsidRDefault="005E7102" w:rsidP="00F15D28">
            <w:pPr>
              <w:pStyle w:val="Table"/>
              <w:keepNext/>
              <w:spacing w:line="240" w:lineRule="auto"/>
              <w:rPr>
                <w:rFonts w:ascii="Arial Narrow" w:hAnsi="Arial Narrow"/>
                <w:color w:val="000000" w:themeColor="text1"/>
                <w:sz w:val="20"/>
                <w:szCs w:val="20"/>
              </w:rPr>
            </w:pPr>
            <w:r w:rsidRPr="003A3555">
              <w:rPr>
                <w:rFonts w:ascii="Arial Narrow" w:hAnsi="Arial Narrow"/>
                <w:color w:val="000000" w:themeColor="text1"/>
                <w:sz w:val="20"/>
                <w:szCs w:val="20"/>
              </w:rPr>
              <w:fldChar w:fldCharType="begin">
                <w:ffData>
                  <w:name w:val="Check3"/>
                  <w:enabled/>
                  <w:calcOnExit w:val="0"/>
                  <w:checkBox>
                    <w:sizeAuto/>
                    <w:default w:val="0"/>
                  </w:checkBox>
                </w:ffData>
              </w:fldChar>
            </w:r>
            <w:r w:rsidRPr="003A3555">
              <w:rPr>
                <w:rFonts w:ascii="Arial Narrow" w:hAnsi="Arial Narrow"/>
                <w:color w:val="000000" w:themeColor="text1"/>
                <w:sz w:val="20"/>
                <w:szCs w:val="20"/>
              </w:rPr>
              <w:instrText xml:space="preserve"> FORMCHECKBOX </w:instrText>
            </w:r>
            <w:r w:rsidR="00171270">
              <w:rPr>
                <w:rFonts w:ascii="Arial Narrow" w:hAnsi="Arial Narrow"/>
                <w:color w:val="000000" w:themeColor="text1"/>
                <w:sz w:val="20"/>
                <w:szCs w:val="20"/>
              </w:rPr>
            </w:r>
            <w:r w:rsidR="00171270">
              <w:rPr>
                <w:rFonts w:ascii="Arial Narrow" w:hAnsi="Arial Narrow"/>
                <w:color w:val="000000" w:themeColor="text1"/>
                <w:sz w:val="20"/>
                <w:szCs w:val="20"/>
              </w:rPr>
              <w:fldChar w:fldCharType="separate"/>
            </w:r>
            <w:r w:rsidRPr="003A3555">
              <w:rPr>
                <w:rFonts w:ascii="Arial Narrow" w:hAnsi="Arial Narrow"/>
                <w:color w:val="000000" w:themeColor="text1"/>
                <w:sz w:val="20"/>
                <w:szCs w:val="20"/>
              </w:rPr>
              <w:fldChar w:fldCharType="end"/>
            </w:r>
            <w:r w:rsidRPr="003A3555">
              <w:rPr>
                <w:rFonts w:ascii="Arial Narrow" w:hAnsi="Arial Narrow"/>
                <w:color w:val="000000" w:themeColor="text1"/>
                <w:sz w:val="20"/>
                <w:szCs w:val="20"/>
              </w:rPr>
              <w:t>Authority Required - Telephone</w:t>
            </w:r>
          </w:p>
          <w:p w:rsidR="005E7102" w:rsidRPr="003A3555" w:rsidRDefault="005E7102" w:rsidP="00F15D28">
            <w:pPr>
              <w:pStyle w:val="Table"/>
              <w:keepNext/>
              <w:spacing w:line="240" w:lineRule="auto"/>
              <w:rPr>
                <w:rFonts w:ascii="Arial Narrow" w:hAnsi="Arial Narrow"/>
                <w:color w:val="000000" w:themeColor="text1"/>
                <w:sz w:val="20"/>
                <w:szCs w:val="20"/>
              </w:rPr>
            </w:pPr>
            <w:r w:rsidRPr="003A3555">
              <w:rPr>
                <w:rFonts w:ascii="Arial Narrow" w:hAnsi="Arial Narrow"/>
                <w:color w:val="000000" w:themeColor="text1"/>
                <w:sz w:val="20"/>
                <w:szCs w:val="20"/>
              </w:rPr>
              <w:fldChar w:fldCharType="begin">
                <w:ffData>
                  <w:name w:val=""/>
                  <w:enabled/>
                  <w:calcOnExit w:val="0"/>
                  <w:checkBox>
                    <w:sizeAuto/>
                    <w:default w:val="0"/>
                  </w:checkBox>
                </w:ffData>
              </w:fldChar>
            </w:r>
            <w:r w:rsidRPr="003A3555">
              <w:rPr>
                <w:rFonts w:ascii="Arial Narrow" w:hAnsi="Arial Narrow"/>
                <w:color w:val="000000" w:themeColor="text1"/>
                <w:sz w:val="20"/>
                <w:szCs w:val="20"/>
              </w:rPr>
              <w:instrText xml:space="preserve"> FORMCHECKBOX </w:instrText>
            </w:r>
            <w:r w:rsidR="00171270">
              <w:rPr>
                <w:rFonts w:ascii="Arial Narrow" w:hAnsi="Arial Narrow"/>
                <w:color w:val="000000" w:themeColor="text1"/>
                <w:sz w:val="20"/>
                <w:szCs w:val="20"/>
              </w:rPr>
            </w:r>
            <w:r w:rsidR="00171270">
              <w:rPr>
                <w:rFonts w:ascii="Arial Narrow" w:hAnsi="Arial Narrow"/>
                <w:color w:val="000000" w:themeColor="text1"/>
                <w:sz w:val="20"/>
                <w:szCs w:val="20"/>
              </w:rPr>
              <w:fldChar w:fldCharType="separate"/>
            </w:r>
            <w:r w:rsidRPr="003A3555">
              <w:rPr>
                <w:rFonts w:ascii="Arial Narrow" w:hAnsi="Arial Narrow"/>
                <w:color w:val="000000" w:themeColor="text1"/>
                <w:sz w:val="20"/>
                <w:szCs w:val="20"/>
              </w:rPr>
              <w:fldChar w:fldCharType="end"/>
            </w:r>
            <w:r w:rsidRPr="003A3555">
              <w:rPr>
                <w:rFonts w:ascii="Arial Narrow" w:hAnsi="Arial Narrow"/>
                <w:color w:val="000000" w:themeColor="text1"/>
                <w:sz w:val="20"/>
                <w:szCs w:val="20"/>
              </w:rPr>
              <w:t>Authority Required – Emergency</w:t>
            </w:r>
          </w:p>
          <w:p w:rsidR="005E7102" w:rsidRPr="003A3555" w:rsidRDefault="005E7102" w:rsidP="00F15D28">
            <w:pPr>
              <w:pStyle w:val="Table"/>
              <w:keepNext/>
              <w:spacing w:line="240" w:lineRule="auto"/>
              <w:rPr>
                <w:rFonts w:ascii="Arial Narrow" w:hAnsi="Arial Narrow"/>
                <w:color w:val="000000" w:themeColor="text1"/>
                <w:sz w:val="20"/>
                <w:szCs w:val="20"/>
              </w:rPr>
            </w:pPr>
            <w:r w:rsidRPr="003A3555">
              <w:rPr>
                <w:rFonts w:ascii="Arial Narrow" w:hAnsi="Arial Narrow"/>
                <w:color w:val="000000" w:themeColor="text1"/>
                <w:sz w:val="20"/>
                <w:szCs w:val="20"/>
              </w:rPr>
              <w:fldChar w:fldCharType="begin">
                <w:ffData>
                  <w:name w:val="Check5"/>
                  <w:enabled/>
                  <w:calcOnExit w:val="0"/>
                  <w:checkBox>
                    <w:sizeAuto/>
                    <w:default w:val="0"/>
                  </w:checkBox>
                </w:ffData>
              </w:fldChar>
            </w:r>
            <w:r w:rsidRPr="003A3555">
              <w:rPr>
                <w:rFonts w:ascii="Arial Narrow" w:hAnsi="Arial Narrow"/>
                <w:color w:val="000000" w:themeColor="text1"/>
                <w:sz w:val="20"/>
                <w:szCs w:val="20"/>
              </w:rPr>
              <w:instrText xml:space="preserve"> FORMCHECKBOX </w:instrText>
            </w:r>
            <w:r w:rsidR="00171270">
              <w:rPr>
                <w:rFonts w:ascii="Arial Narrow" w:hAnsi="Arial Narrow"/>
                <w:color w:val="000000" w:themeColor="text1"/>
                <w:sz w:val="20"/>
                <w:szCs w:val="20"/>
              </w:rPr>
            </w:r>
            <w:r w:rsidR="00171270">
              <w:rPr>
                <w:rFonts w:ascii="Arial Narrow" w:hAnsi="Arial Narrow"/>
                <w:color w:val="000000" w:themeColor="text1"/>
                <w:sz w:val="20"/>
                <w:szCs w:val="20"/>
              </w:rPr>
              <w:fldChar w:fldCharType="separate"/>
            </w:r>
            <w:r w:rsidRPr="003A3555">
              <w:rPr>
                <w:rFonts w:ascii="Arial Narrow" w:hAnsi="Arial Narrow"/>
                <w:color w:val="000000" w:themeColor="text1"/>
                <w:sz w:val="20"/>
                <w:szCs w:val="20"/>
              </w:rPr>
              <w:fldChar w:fldCharType="end"/>
            </w:r>
            <w:r w:rsidRPr="003A3555">
              <w:rPr>
                <w:rFonts w:ascii="Arial Narrow" w:hAnsi="Arial Narrow"/>
                <w:color w:val="000000" w:themeColor="text1"/>
                <w:sz w:val="20"/>
                <w:szCs w:val="20"/>
              </w:rPr>
              <w:t>Authority Required - Electronic</w:t>
            </w:r>
          </w:p>
          <w:p w:rsidR="005E7102" w:rsidRPr="003A3555" w:rsidRDefault="005E7102" w:rsidP="00F15D28">
            <w:pPr>
              <w:pStyle w:val="Table"/>
              <w:keepNext/>
              <w:spacing w:line="240" w:lineRule="auto"/>
              <w:rPr>
                <w:rFonts w:ascii="Arial Narrow" w:hAnsi="Arial Narrow"/>
                <w:color w:val="000000" w:themeColor="text1"/>
                <w:sz w:val="20"/>
                <w:szCs w:val="20"/>
              </w:rPr>
            </w:pPr>
            <w:r w:rsidRPr="003A3555">
              <w:rPr>
                <w:rFonts w:ascii="Arial Narrow" w:hAnsi="Arial Narrow"/>
                <w:color w:val="000000" w:themeColor="text1"/>
                <w:sz w:val="20"/>
                <w:szCs w:val="20"/>
              </w:rPr>
              <w:fldChar w:fldCharType="begin">
                <w:ffData>
                  <w:name w:val="Check5"/>
                  <w:enabled/>
                  <w:calcOnExit w:val="0"/>
                  <w:checkBox>
                    <w:sizeAuto/>
                    <w:default w:val="0"/>
                  </w:checkBox>
                </w:ffData>
              </w:fldChar>
            </w:r>
            <w:r w:rsidRPr="003A3555">
              <w:rPr>
                <w:rFonts w:ascii="Arial Narrow" w:hAnsi="Arial Narrow"/>
                <w:color w:val="000000" w:themeColor="text1"/>
                <w:sz w:val="20"/>
                <w:szCs w:val="20"/>
              </w:rPr>
              <w:instrText xml:space="preserve"> FORMCHECKBOX </w:instrText>
            </w:r>
            <w:r w:rsidR="00171270">
              <w:rPr>
                <w:rFonts w:ascii="Arial Narrow" w:hAnsi="Arial Narrow"/>
                <w:color w:val="000000" w:themeColor="text1"/>
                <w:sz w:val="20"/>
                <w:szCs w:val="20"/>
              </w:rPr>
            </w:r>
            <w:r w:rsidR="00171270">
              <w:rPr>
                <w:rFonts w:ascii="Arial Narrow" w:hAnsi="Arial Narrow"/>
                <w:color w:val="000000" w:themeColor="text1"/>
                <w:sz w:val="20"/>
                <w:szCs w:val="20"/>
              </w:rPr>
              <w:fldChar w:fldCharType="separate"/>
            </w:r>
            <w:r w:rsidRPr="003A3555">
              <w:rPr>
                <w:rFonts w:ascii="Arial Narrow" w:hAnsi="Arial Narrow"/>
                <w:color w:val="000000" w:themeColor="text1"/>
                <w:sz w:val="20"/>
                <w:szCs w:val="20"/>
              </w:rPr>
              <w:fldChar w:fldCharType="end"/>
            </w:r>
            <w:r w:rsidRPr="003A3555">
              <w:rPr>
                <w:rFonts w:ascii="Arial Narrow" w:hAnsi="Arial Narrow"/>
                <w:color w:val="000000" w:themeColor="text1"/>
                <w:sz w:val="20"/>
                <w:szCs w:val="20"/>
              </w:rPr>
              <w:t>Streamlined</w:t>
            </w:r>
          </w:p>
        </w:tc>
      </w:tr>
      <w:tr w:rsidR="005E7102" w:rsidRPr="003A3555" w:rsidTr="00F07F46">
        <w:trPr>
          <w:trHeight w:val="20"/>
        </w:trPr>
        <w:tc>
          <w:tcPr>
            <w:tcW w:w="1098" w:type="pct"/>
            <w:tcBorders>
              <w:top w:val="single" w:sz="4" w:space="0" w:color="auto"/>
              <w:left w:val="single" w:sz="4" w:space="0" w:color="auto"/>
              <w:bottom w:val="single" w:sz="4" w:space="0" w:color="auto"/>
              <w:right w:val="single" w:sz="4" w:space="0" w:color="auto"/>
            </w:tcBorders>
            <w:hideMark/>
          </w:tcPr>
          <w:p w:rsidR="005E7102" w:rsidRPr="00F07F46" w:rsidRDefault="005E7102" w:rsidP="00F15D28">
            <w:pPr>
              <w:pStyle w:val="Table"/>
              <w:keepNext/>
              <w:spacing w:line="240" w:lineRule="auto"/>
              <w:rPr>
                <w:rFonts w:ascii="Arial Narrow" w:hAnsi="Arial Narrow"/>
                <w:b/>
                <w:color w:val="000000" w:themeColor="text1"/>
                <w:sz w:val="20"/>
                <w:szCs w:val="20"/>
                <w:lang w:eastAsia="en-AU"/>
              </w:rPr>
            </w:pPr>
            <w:r w:rsidRPr="00F07F46">
              <w:rPr>
                <w:rFonts w:ascii="Arial Narrow" w:hAnsi="Arial Narrow"/>
                <w:b/>
                <w:color w:val="000000" w:themeColor="text1"/>
                <w:sz w:val="20"/>
                <w:szCs w:val="20"/>
                <w:lang w:eastAsia="en-AU"/>
              </w:rPr>
              <w:t>Clinical criteria:</w:t>
            </w:r>
          </w:p>
        </w:tc>
        <w:tc>
          <w:tcPr>
            <w:tcW w:w="3902" w:type="pct"/>
            <w:tcBorders>
              <w:top w:val="single" w:sz="4" w:space="0" w:color="auto"/>
              <w:left w:val="single" w:sz="4" w:space="0" w:color="auto"/>
              <w:bottom w:val="single" w:sz="4" w:space="0" w:color="auto"/>
              <w:right w:val="single" w:sz="4" w:space="0" w:color="auto"/>
            </w:tcBorders>
          </w:tcPr>
          <w:p w:rsidR="005E7102" w:rsidRPr="003A3555" w:rsidRDefault="005E7102" w:rsidP="00F15D28">
            <w:pPr>
              <w:pStyle w:val="Table"/>
              <w:keepNext/>
              <w:spacing w:line="240" w:lineRule="auto"/>
              <w:rPr>
                <w:rFonts w:ascii="Arial Narrow" w:hAnsi="Arial Narrow"/>
                <w:color w:val="000000" w:themeColor="text1"/>
                <w:sz w:val="20"/>
                <w:szCs w:val="20"/>
                <w:lang w:eastAsia="en-AU"/>
              </w:rPr>
            </w:pPr>
            <w:r w:rsidRPr="003A3555">
              <w:rPr>
                <w:rFonts w:ascii="Arial Narrow" w:hAnsi="Arial Narrow"/>
                <w:color w:val="000000" w:themeColor="text1"/>
                <w:sz w:val="20"/>
                <w:szCs w:val="20"/>
                <w:lang w:eastAsia="en-AU"/>
              </w:rPr>
              <w:t>The treatment must be as monotherapy; AND</w:t>
            </w:r>
          </w:p>
          <w:p w:rsidR="005E7102" w:rsidRPr="003A3555" w:rsidRDefault="005E7102" w:rsidP="00F15D28">
            <w:pPr>
              <w:pStyle w:val="Table"/>
              <w:keepNext/>
              <w:spacing w:line="240" w:lineRule="auto"/>
              <w:rPr>
                <w:rFonts w:ascii="Arial Narrow" w:hAnsi="Arial Narrow"/>
                <w:color w:val="000000" w:themeColor="text1"/>
                <w:sz w:val="20"/>
                <w:szCs w:val="20"/>
                <w:lang w:eastAsia="en-AU"/>
              </w:rPr>
            </w:pPr>
            <w:r w:rsidRPr="003A3555">
              <w:rPr>
                <w:rFonts w:ascii="Arial Narrow" w:hAnsi="Arial Narrow"/>
                <w:color w:val="000000" w:themeColor="text1"/>
                <w:sz w:val="20"/>
                <w:szCs w:val="20"/>
                <w:lang w:eastAsia="en-AU"/>
              </w:rPr>
              <w:t>Patient must have undergone an autologous stem cell transplant as part of frontline therapy for newly diagnosed multiple myeloma; AND</w:t>
            </w:r>
          </w:p>
          <w:p w:rsidR="005E7102" w:rsidRPr="003A3555" w:rsidRDefault="005E7102" w:rsidP="00F15D28">
            <w:pPr>
              <w:pStyle w:val="Table"/>
              <w:keepNext/>
              <w:spacing w:line="240" w:lineRule="auto"/>
              <w:rPr>
                <w:rFonts w:ascii="Arial Narrow" w:hAnsi="Arial Narrow"/>
                <w:i/>
                <w:color w:val="000000" w:themeColor="text1"/>
                <w:sz w:val="20"/>
                <w:szCs w:val="20"/>
                <w:lang w:eastAsia="en-AU"/>
              </w:rPr>
            </w:pPr>
            <w:r w:rsidRPr="003A3555">
              <w:rPr>
                <w:rFonts w:ascii="Arial Narrow" w:hAnsi="Arial Narrow"/>
                <w:color w:val="000000" w:themeColor="text1"/>
                <w:sz w:val="20"/>
                <w:szCs w:val="20"/>
                <w:lang w:eastAsia="en-AU"/>
              </w:rPr>
              <w:t>Patient must not have progressive disease</w:t>
            </w:r>
            <w:r w:rsidRPr="003A3555">
              <w:rPr>
                <w:rFonts w:ascii="Arial Narrow" w:hAnsi="Arial Narrow"/>
                <w:i/>
                <w:color w:val="000000" w:themeColor="text1"/>
                <w:sz w:val="20"/>
                <w:szCs w:val="20"/>
                <w:lang w:eastAsia="en-AU"/>
              </w:rPr>
              <w:t xml:space="preserve"> </w:t>
            </w:r>
            <w:r w:rsidRPr="003A3555">
              <w:rPr>
                <w:rFonts w:ascii="Arial Narrow" w:hAnsi="Arial Narrow"/>
                <w:color w:val="000000" w:themeColor="text1"/>
                <w:sz w:val="20"/>
                <w:szCs w:val="20"/>
                <w:lang w:eastAsia="en-AU"/>
              </w:rPr>
              <w:t>following autologous stem cell transplant</w:t>
            </w:r>
          </w:p>
        </w:tc>
      </w:tr>
    </w:tbl>
    <w:p w:rsidR="005E7102" w:rsidRPr="003A3555" w:rsidRDefault="005E7102" w:rsidP="00F15D28">
      <w:pPr>
        <w:pStyle w:val="TableFooter"/>
        <w:keepNext/>
        <w:widowControl/>
        <w:rPr>
          <w:color w:val="000000" w:themeColor="text1"/>
        </w:rPr>
      </w:pPr>
      <w:r w:rsidRPr="003A3555">
        <w:rPr>
          <w:color w:val="000000" w:themeColor="text1"/>
        </w:rPr>
        <w:t>Source: Table 1-7, p.21 of the resubmission</w:t>
      </w:r>
    </w:p>
    <w:p w:rsidR="005E7102" w:rsidRPr="003A3555" w:rsidRDefault="005E7102" w:rsidP="00F15D28">
      <w:pPr>
        <w:pStyle w:val="Tabletext"/>
        <w:keepNext/>
        <w:rPr>
          <w:rStyle w:val="CommentReference"/>
          <w:color w:val="000000" w:themeColor="text1"/>
        </w:rPr>
      </w:pPr>
    </w:p>
    <w:p w:rsidR="0098398C" w:rsidRPr="003A3555" w:rsidRDefault="0098398C" w:rsidP="00476EE6">
      <w:pPr>
        <w:pStyle w:val="Tabletext"/>
        <w:rPr>
          <w:rStyle w:val="CommentReference"/>
          <w:color w:val="000000" w:themeColor="text1"/>
        </w:rPr>
      </w:pPr>
      <w:r w:rsidRPr="003A3555">
        <w:rPr>
          <w:rStyle w:val="CommentReference"/>
        </w:rPr>
        <w:t>Table 4: Proposed PBS listing – 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Proposed PBS listing – continuing treatment"/>
      </w:tblPr>
      <w:tblGrid>
        <w:gridCol w:w="1980"/>
        <w:gridCol w:w="7037"/>
      </w:tblGrid>
      <w:tr w:rsidR="005E7102" w:rsidRPr="003A3555" w:rsidTr="00F07F46">
        <w:trPr>
          <w:trHeight w:val="20"/>
        </w:trPr>
        <w:tc>
          <w:tcPr>
            <w:tcW w:w="1098" w:type="pct"/>
            <w:tcBorders>
              <w:top w:val="single" w:sz="4" w:space="0" w:color="auto"/>
              <w:left w:val="single" w:sz="4" w:space="0" w:color="auto"/>
              <w:bottom w:val="single" w:sz="4" w:space="0" w:color="auto"/>
              <w:right w:val="single" w:sz="4" w:space="0" w:color="auto"/>
            </w:tcBorders>
            <w:shd w:val="clear" w:color="auto" w:fill="auto"/>
          </w:tcPr>
          <w:p w:rsidR="005E7102" w:rsidRPr="003A3555" w:rsidRDefault="005E7102" w:rsidP="00476EE6">
            <w:pPr>
              <w:pStyle w:val="Table"/>
              <w:spacing w:line="240" w:lineRule="auto"/>
              <w:rPr>
                <w:rFonts w:ascii="Arial Narrow" w:hAnsi="Arial Narrow"/>
                <w:color w:val="000000" w:themeColor="text1"/>
                <w:sz w:val="20"/>
                <w:szCs w:val="20"/>
                <w:lang w:eastAsia="en-AU"/>
              </w:rPr>
            </w:pPr>
            <w:proofErr w:type="spellStart"/>
            <w:r w:rsidRPr="003A3555">
              <w:rPr>
                <w:rFonts w:ascii="Arial Narrow" w:hAnsi="Arial Narrow"/>
                <w:b/>
                <w:color w:val="000000" w:themeColor="text1"/>
                <w:sz w:val="20"/>
                <w:szCs w:val="20"/>
              </w:rPr>
              <w:t>Episodicity</w:t>
            </w:r>
            <w:proofErr w:type="spellEnd"/>
            <w:r w:rsidRPr="003A3555">
              <w:rPr>
                <w:rFonts w:ascii="Arial Narrow" w:hAnsi="Arial Narrow"/>
                <w:b/>
                <w:color w:val="000000" w:themeColor="text1"/>
                <w:sz w:val="20"/>
                <w:szCs w:val="20"/>
              </w:rPr>
              <w:t>:</w:t>
            </w:r>
          </w:p>
        </w:tc>
        <w:tc>
          <w:tcPr>
            <w:tcW w:w="3902" w:type="pct"/>
            <w:tcBorders>
              <w:top w:val="single" w:sz="4" w:space="0" w:color="auto"/>
              <w:left w:val="single" w:sz="4" w:space="0" w:color="auto"/>
              <w:bottom w:val="single" w:sz="4" w:space="0" w:color="auto"/>
              <w:right w:val="single" w:sz="4" w:space="0" w:color="auto"/>
            </w:tcBorders>
            <w:shd w:val="clear" w:color="auto" w:fill="auto"/>
          </w:tcPr>
          <w:p w:rsidR="005E7102" w:rsidRPr="003A3555" w:rsidRDefault="005E7102" w:rsidP="00476EE6">
            <w:pPr>
              <w:pStyle w:val="Table"/>
              <w:spacing w:line="240" w:lineRule="auto"/>
              <w:rPr>
                <w:rFonts w:ascii="Arial Narrow" w:hAnsi="Arial Narrow"/>
                <w:color w:val="000000" w:themeColor="text1"/>
                <w:sz w:val="20"/>
                <w:szCs w:val="20"/>
                <w:lang w:eastAsia="en-AU"/>
              </w:rPr>
            </w:pPr>
            <w:r w:rsidRPr="003A3555">
              <w:rPr>
                <w:rFonts w:ascii="Arial Narrow" w:hAnsi="Arial Narrow"/>
                <w:color w:val="000000" w:themeColor="text1"/>
                <w:sz w:val="20"/>
                <w:szCs w:val="20"/>
                <w:lang w:eastAsia="en-AU"/>
              </w:rPr>
              <w:t>Chronic</w:t>
            </w:r>
          </w:p>
        </w:tc>
      </w:tr>
      <w:tr w:rsidR="005E7102" w:rsidRPr="003A3555" w:rsidTr="00F07F46">
        <w:trPr>
          <w:trHeight w:val="20"/>
        </w:trPr>
        <w:tc>
          <w:tcPr>
            <w:tcW w:w="1098" w:type="pct"/>
            <w:tcBorders>
              <w:top w:val="single" w:sz="4" w:space="0" w:color="auto"/>
              <w:left w:val="single" w:sz="4" w:space="0" w:color="auto"/>
              <w:bottom w:val="single" w:sz="4" w:space="0" w:color="auto"/>
              <w:right w:val="single" w:sz="4" w:space="0" w:color="auto"/>
            </w:tcBorders>
            <w:shd w:val="clear" w:color="auto" w:fill="auto"/>
            <w:hideMark/>
          </w:tcPr>
          <w:p w:rsidR="005E7102" w:rsidRPr="003A3555" w:rsidRDefault="005E7102" w:rsidP="00476EE6">
            <w:pPr>
              <w:pStyle w:val="Table"/>
              <w:spacing w:line="240" w:lineRule="auto"/>
              <w:rPr>
                <w:rFonts w:ascii="Arial Narrow" w:hAnsi="Arial Narrow"/>
                <w:b/>
                <w:color w:val="000000" w:themeColor="text1"/>
                <w:sz w:val="20"/>
                <w:szCs w:val="20"/>
                <w:lang w:eastAsia="en-AU"/>
              </w:rPr>
            </w:pPr>
            <w:r w:rsidRPr="003A3555">
              <w:rPr>
                <w:rFonts w:ascii="Arial Narrow" w:hAnsi="Arial Narrow"/>
                <w:b/>
                <w:color w:val="000000" w:themeColor="text1"/>
                <w:sz w:val="20"/>
                <w:szCs w:val="20"/>
              </w:rPr>
              <w:t>Condition:</w:t>
            </w:r>
          </w:p>
        </w:tc>
        <w:tc>
          <w:tcPr>
            <w:tcW w:w="3902" w:type="pct"/>
            <w:tcBorders>
              <w:top w:val="single" w:sz="4" w:space="0" w:color="auto"/>
              <w:left w:val="single" w:sz="4" w:space="0" w:color="auto"/>
              <w:bottom w:val="single" w:sz="4" w:space="0" w:color="auto"/>
              <w:right w:val="single" w:sz="4" w:space="0" w:color="auto"/>
            </w:tcBorders>
            <w:shd w:val="clear" w:color="auto" w:fill="auto"/>
          </w:tcPr>
          <w:p w:rsidR="005E7102" w:rsidRPr="003A3555" w:rsidRDefault="005E7102" w:rsidP="00476EE6">
            <w:pPr>
              <w:pStyle w:val="Table"/>
              <w:spacing w:line="240" w:lineRule="auto"/>
              <w:rPr>
                <w:rFonts w:ascii="Arial Narrow" w:hAnsi="Arial Narrow"/>
                <w:color w:val="000000" w:themeColor="text1"/>
                <w:sz w:val="20"/>
                <w:szCs w:val="20"/>
                <w:lang w:eastAsia="en-AU"/>
              </w:rPr>
            </w:pPr>
            <w:r w:rsidRPr="003A3555">
              <w:rPr>
                <w:rFonts w:ascii="Arial Narrow" w:hAnsi="Arial Narrow"/>
                <w:color w:val="000000" w:themeColor="text1"/>
                <w:sz w:val="20"/>
                <w:szCs w:val="20"/>
              </w:rPr>
              <w:t>Multiple Myeloma</w:t>
            </w:r>
          </w:p>
        </w:tc>
      </w:tr>
      <w:tr w:rsidR="005E7102" w:rsidRPr="003A3555" w:rsidTr="00F07F46">
        <w:trPr>
          <w:trHeight w:val="20"/>
        </w:trPr>
        <w:tc>
          <w:tcPr>
            <w:tcW w:w="1098" w:type="pct"/>
            <w:tcBorders>
              <w:top w:val="single" w:sz="4" w:space="0" w:color="auto"/>
              <w:left w:val="single" w:sz="4" w:space="0" w:color="auto"/>
              <w:bottom w:val="single" w:sz="4" w:space="0" w:color="auto"/>
              <w:right w:val="single" w:sz="4" w:space="0" w:color="auto"/>
            </w:tcBorders>
            <w:shd w:val="clear" w:color="auto" w:fill="auto"/>
            <w:hideMark/>
          </w:tcPr>
          <w:p w:rsidR="005E7102" w:rsidRPr="003A3555" w:rsidRDefault="005E7102" w:rsidP="00476EE6">
            <w:pPr>
              <w:pStyle w:val="Table"/>
              <w:spacing w:line="240" w:lineRule="auto"/>
              <w:rPr>
                <w:rFonts w:ascii="Arial Narrow" w:hAnsi="Arial Narrow"/>
                <w:b/>
                <w:color w:val="000000" w:themeColor="text1"/>
                <w:sz w:val="20"/>
                <w:szCs w:val="20"/>
                <w:lang w:eastAsia="en-AU"/>
              </w:rPr>
            </w:pPr>
            <w:r w:rsidRPr="003A3555">
              <w:rPr>
                <w:rFonts w:ascii="Arial Narrow" w:hAnsi="Arial Narrow"/>
                <w:b/>
                <w:color w:val="000000" w:themeColor="text1"/>
                <w:sz w:val="20"/>
                <w:szCs w:val="20"/>
                <w:lang w:eastAsia="en-AU"/>
              </w:rPr>
              <w:t>PBS indication:</w:t>
            </w:r>
          </w:p>
        </w:tc>
        <w:tc>
          <w:tcPr>
            <w:tcW w:w="3902" w:type="pct"/>
            <w:tcBorders>
              <w:top w:val="single" w:sz="4" w:space="0" w:color="auto"/>
              <w:left w:val="single" w:sz="4" w:space="0" w:color="auto"/>
              <w:bottom w:val="single" w:sz="4" w:space="0" w:color="auto"/>
              <w:right w:val="single" w:sz="4" w:space="0" w:color="auto"/>
            </w:tcBorders>
            <w:shd w:val="clear" w:color="auto" w:fill="auto"/>
          </w:tcPr>
          <w:p w:rsidR="005E7102" w:rsidRPr="003A3555" w:rsidRDefault="005E7102" w:rsidP="00476EE6">
            <w:pPr>
              <w:pStyle w:val="Table"/>
              <w:spacing w:line="240" w:lineRule="auto"/>
              <w:rPr>
                <w:rFonts w:ascii="Arial Narrow" w:hAnsi="Arial Narrow"/>
                <w:color w:val="000000" w:themeColor="text1"/>
                <w:sz w:val="20"/>
                <w:szCs w:val="20"/>
                <w:lang w:eastAsia="en-AU"/>
              </w:rPr>
            </w:pPr>
            <w:r w:rsidRPr="003A3555">
              <w:rPr>
                <w:rFonts w:ascii="Arial Narrow" w:hAnsi="Arial Narrow"/>
                <w:color w:val="000000" w:themeColor="text1"/>
                <w:sz w:val="20"/>
                <w:szCs w:val="20"/>
                <w:lang w:eastAsia="en-AU"/>
              </w:rPr>
              <w:t>Multiple Myeloma</w:t>
            </w:r>
          </w:p>
        </w:tc>
      </w:tr>
      <w:tr w:rsidR="005E7102" w:rsidRPr="003A3555" w:rsidTr="00F07F46">
        <w:trPr>
          <w:trHeight w:val="20"/>
        </w:trPr>
        <w:tc>
          <w:tcPr>
            <w:tcW w:w="1098" w:type="pct"/>
            <w:tcBorders>
              <w:top w:val="single" w:sz="4" w:space="0" w:color="auto"/>
              <w:left w:val="single" w:sz="4" w:space="0" w:color="auto"/>
              <w:bottom w:val="single" w:sz="4" w:space="0" w:color="auto"/>
              <w:right w:val="single" w:sz="4" w:space="0" w:color="auto"/>
            </w:tcBorders>
            <w:shd w:val="clear" w:color="auto" w:fill="auto"/>
            <w:hideMark/>
          </w:tcPr>
          <w:p w:rsidR="005E7102" w:rsidRPr="003A3555" w:rsidRDefault="005E7102" w:rsidP="00476EE6">
            <w:pPr>
              <w:pStyle w:val="Table"/>
              <w:spacing w:line="240" w:lineRule="auto"/>
              <w:rPr>
                <w:rFonts w:ascii="Arial Narrow" w:hAnsi="Arial Narrow"/>
                <w:b/>
                <w:color w:val="000000" w:themeColor="text1"/>
                <w:sz w:val="20"/>
                <w:szCs w:val="20"/>
                <w:lang w:eastAsia="en-AU"/>
              </w:rPr>
            </w:pPr>
            <w:r w:rsidRPr="003A3555">
              <w:rPr>
                <w:rFonts w:ascii="Arial Narrow" w:hAnsi="Arial Narrow"/>
                <w:b/>
                <w:color w:val="000000" w:themeColor="text1"/>
                <w:sz w:val="20"/>
                <w:szCs w:val="20"/>
                <w:lang w:eastAsia="en-AU"/>
              </w:rPr>
              <w:t>Treatment phase:</w:t>
            </w:r>
          </w:p>
        </w:tc>
        <w:tc>
          <w:tcPr>
            <w:tcW w:w="3902" w:type="pct"/>
            <w:tcBorders>
              <w:top w:val="single" w:sz="4" w:space="0" w:color="auto"/>
              <w:left w:val="single" w:sz="4" w:space="0" w:color="auto"/>
              <w:bottom w:val="single" w:sz="4" w:space="0" w:color="auto"/>
              <w:right w:val="single" w:sz="4" w:space="0" w:color="auto"/>
            </w:tcBorders>
            <w:shd w:val="clear" w:color="auto" w:fill="auto"/>
          </w:tcPr>
          <w:p w:rsidR="005E7102" w:rsidRPr="003A3555" w:rsidRDefault="005E7102" w:rsidP="00476EE6">
            <w:pPr>
              <w:pStyle w:val="Table"/>
              <w:spacing w:line="240" w:lineRule="auto"/>
              <w:rPr>
                <w:rFonts w:ascii="Arial Narrow" w:hAnsi="Arial Narrow"/>
                <w:color w:val="000000" w:themeColor="text1"/>
                <w:sz w:val="20"/>
                <w:szCs w:val="20"/>
                <w:lang w:eastAsia="en-AU"/>
              </w:rPr>
            </w:pPr>
            <w:r w:rsidRPr="003A3555">
              <w:rPr>
                <w:rFonts w:ascii="Arial Narrow" w:hAnsi="Arial Narrow"/>
                <w:color w:val="000000" w:themeColor="text1"/>
                <w:sz w:val="20"/>
                <w:szCs w:val="20"/>
                <w:lang w:eastAsia="en-AU"/>
              </w:rPr>
              <w:t>Continuing treatment</w:t>
            </w:r>
          </w:p>
        </w:tc>
      </w:tr>
      <w:tr w:rsidR="005E7102" w:rsidRPr="003A3555" w:rsidTr="00F07F46">
        <w:trPr>
          <w:trHeight w:val="20"/>
        </w:trPr>
        <w:tc>
          <w:tcPr>
            <w:tcW w:w="1098" w:type="pct"/>
            <w:tcBorders>
              <w:top w:val="single" w:sz="4" w:space="0" w:color="auto"/>
              <w:left w:val="single" w:sz="4" w:space="0" w:color="auto"/>
              <w:bottom w:val="single" w:sz="4" w:space="0" w:color="auto"/>
              <w:right w:val="single" w:sz="4" w:space="0" w:color="auto"/>
            </w:tcBorders>
            <w:shd w:val="clear" w:color="auto" w:fill="auto"/>
            <w:hideMark/>
          </w:tcPr>
          <w:p w:rsidR="005E7102" w:rsidRPr="003A3555" w:rsidRDefault="005E7102" w:rsidP="00476EE6">
            <w:pPr>
              <w:pStyle w:val="Table"/>
              <w:spacing w:line="240" w:lineRule="auto"/>
              <w:rPr>
                <w:rFonts w:ascii="Arial Narrow" w:hAnsi="Arial Narrow"/>
                <w:b/>
                <w:color w:val="000000" w:themeColor="text1"/>
                <w:sz w:val="20"/>
                <w:szCs w:val="20"/>
                <w:lang w:eastAsia="en-AU"/>
              </w:rPr>
            </w:pPr>
            <w:r w:rsidRPr="003A3555">
              <w:rPr>
                <w:rFonts w:ascii="Arial Narrow" w:hAnsi="Arial Narrow"/>
                <w:b/>
                <w:color w:val="000000" w:themeColor="text1"/>
                <w:sz w:val="20"/>
                <w:szCs w:val="20"/>
                <w:lang w:eastAsia="en-AU"/>
              </w:rPr>
              <w:t>Restriction:</w:t>
            </w:r>
          </w:p>
          <w:p w:rsidR="005E7102" w:rsidRPr="003A3555" w:rsidRDefault="005E7102" w:rsidP="00476EE6">
            <w:pPr>
              <w:pStyle w:val="Table"/>
              <w:spacing w:line="240" w:lineRule="auto"/>
              <w:rPr>
                <w:rFonts w:ascii="Arial Narrow" w:hAnsi="Arial Narrow"/>
                <w:color w:val="000000" w:themeColor="text1"/>
                <w:sz w:val="20"/>
                <w:szCs w:val="20"/>
                <w:lang w:eastAsia="en-AU"/>
              </w:rPr>
            </w:pPr>
            <w:r w:rsidRPr="003A3555">
              <w:rPr>
                <w:rFonts w:ascii="Arial Narrow" w:hAnsi="Arial Narrow"/>
                <w:color w:val="000000" w:themeColor="text1"/>
                <w:sz w:val="20"/>
                <w:szCs w:val="20"/>
              </w:rPr>
              <w:t>Section 100 (HSD)</w:t>
            </w:r>
          </w:p>
        </w:tc>
        <w:tc>
          <w:tcPr>
            <w:tcW w:w="3902" w:type="pct"/>
            <w:tcBorders>
              <w:top w:val="single" w:sz="4" w:space="0" w:color="auto"/>
              <w:left w:val="single" w:sz="4" w:space="0" w:color="auto"/>
              <w:bottom w:val="single" w:sz="4" w:space="0" w:color="auto"/>
              <w:right w:val="single" w:sz="4" w:space="0" w:color="auto"/>
            </w:tcBorders>
            <w:shd w:val="clear" w:color="auto" w:fill="auto"/>
          </w:tcPr>
          <w:p w:rsidR="005E7102" w:rsidRPr="003A3555" w:rsidRDefault="005E7102" w:rsidP="00476EE6">
            <w:pPr>
              <w:pStyle w:val="Table"/>
              <w:spacing w:line="240" w:lineRule="auto"/>
              <w:rPr>
                <w:rFonts w:ascii="Arial Narrow" w:hAnsi="Arial Narrow"/>
                <w:color w:val="000000" w:themeColor="text1"/>
                <w:sz w:val="20"/>
                <w:szCs w:val="20"/>
              </w:rPr>
            </w:pPr>
            <w:r w:rsidRPr="003A3555">
              <w:rPr>
                <w:rFonts w:ascii="Arial Narrow" w:hAnsi="Arial Narrow"/>
                <w:color w:val="000000" w:themeColor="text1"/>
                <w:sz w:val="20"/>
                <w:szCs w:val="20"/>
              </w:rPr>
              <w:fldChar w:fldCharType="begin">
                <w:ffData>
                  <w:name w:val="Check1"/>
                  <w:enabled/>
                  <w:calcOnExit w:val="0"/>
                  <w:checkBox>
                    <w:sizeAuto/>
                    <w:default w:val="0"/>
                  </w:checkBox>
                </w:ffData>
              </w:fldChar>
            </w:r>
            <w:r w:rsidRPr="003A3555">
              <w:rPr>
                <w:rFonts w:ascii="Arial Narrow" w:hAnsi="Arial Narrow"/>
                <w:color w:val="000000" w:themeColor="text1"/>
                <w:sz w:val="20"/>
                <w:szCs w:val="20"/>
              </w:rPr>
              <w:instrText xml:space="preserve"> FORMCHECKBOX </w:instrText>
            </w:r>
            <w:r w:rsidR="00171270">
              <w:rPr>
                <w:rFonts w:ascii="Arial Narrow" w:hAnsi="Arial Narrow"/>
                <w:color w:val="000000" w:themeColor="text1"/>
                <w:sz w:val="20"/>
                <w:szCs w:val="20"/>
              </w:rPr>
            </w:r>
            <w:r w:rsidR="00171270">
              <w:rPr>
                <w:rFonts w:ascii="Arial Narrow" w:hAnsi="Arial Narrow"/>
                <w:color w:val="000000" w:themeColor="text1"/>
                <w:sz w:val="20"/>
                <w:szCs w:val="20"/>
              </w:rPr>
              <w:fldChar w:fldCharType="separate"/>
            </w:r>
            <w:r w:rsidRPr="003A3555">
              <w:rPr>
                <w:rFonts w:ascii="Arial Narrow" w:hAnsi="Arial Narrow"/>
                <w:color w:val="000000" w:themeColor="text1"/>
                <w:sz w:val="20"/>
                <w:szCs w:val="20"/>
              </w:rPr>
              <w:fldChar w:fldCharType="end"/>
            </w:r>
            <w:r w:rsidRPr="003A3555">
              <w:rPr>
                <w:rFonts w:ascii="Arial Narrow" w:hAnsi="Arial Narrow"/>
                <w:color w:val="000000" w:themeColor="text1"/>
                <w:sz w:val="20"/>
                <w:szCs w:val="20"/>
              </w:rPr>
              <w:t>Restricted benefit</w:t>
            </w:r>
          </w:p>
          <w:p w:rsidR="005E7102" w:rsidRPr="003A3555" w:rsidRDefault="005E7102" w:rsidP="00476EE6">
            <w:pPr>
              <w:pStyle w:val="Table"/>
              <w:spacing w:line="240" w:lineRule="auto"/>
              <w:rPr>
                <w:rFonts w:ascii="Arial Narrow" w:hAnsi="Arial Narrow"/>
                <w:color w:val="000000" w:themeColor="text1"/>
                <w:sz w:val="20"/>
                <w:szCs w:val="20"/>
              </w:rPr>
            </w:pPr>
            <w:r w:rsidRPr="003A3555">
              <w:rPr>
                <w:rFonts w:ascii="Arial Narrow" w:hAnsi="Arial Narrow"/>
                <w:color w:val="000000" w:themeColor="text1"/>
                <w:sz w:val="20"/>
                <w:szCs w:val="20"/>
              </w:rPr>
              <w:fldChar w:fldCharType="begin">
                <w:ffData>
                  <w:name w:val=""/>
                  <w:enabled/>
                  <w:calcOnExit w:val="0"/>
                  <w:checkBox>
                    <w:sizeAuto/>
                    <w:default w:val="0"/>
                  </w:checkBox>
                </w:ffData>
              </w:fldChar>
            </w:r>
            <w:r w:rsidRPr="003A3555">
              <w:rPr>
                <w:rFonts w:ascii="Arial Narrow" w:hAnsi="Arial Narrow"/>
                <w:color w:val="000000" w:themeColor="text1"/>
                <w:sz w:val="20"/>
                <w:szCs w:val="20"/>
              </w:rPr>
              <w:instrText xml:space="preserve"> FORMCHECKBOX </w:instrText>
            </w:r>
            <w:r w:rsidR="00171270">
              <w:rPr>
                <w:rFonts w:ascii="Arial Narrow" w:hAnsi="Arial Narrow"/>
                <w:color w:val="000000" w:themeColor="text1"/>
                <w:sz w:val="20"/>
                <w:szCs w:val="20"/>
              </w:rPr>
            </w:r>
            <w:r w:rsidR="00171270">
              <w:rPr>
                <w:rFonts w:ascii="Arial Narrow" w:hAnsi="Arial Narrow"/>
                <w:color w:val="000000" w:themeColor="text1"/>
                <w:sz w:val="20"/>
                <w:szCs w:val="20"/>
              </w:rPr>
              <w:fldChar w:fldCharType="separate"/>
            </w:r>
            <w:r w:rsidRPr="003A3555">
              <w:rPr>
                <w:rFonts w:ascii="Arial Narrow" w:hAnsi="Arial Narrow"/>
                <w:color w:val="000000" w:themeColor="text1"/>
                <w:sz w:val="20"/>
                <w:szCs w:val="20"/>
              </w:rPr>
              <w:fldChar w:fldCharType="end"/>
            </w:r>
            <w:r w:rsidRPr="003A3555">
              <w:rPr>
                <w:rFonts w:ascii="Arial Narrow" w:hAnsi="Arial Narrow"/>
                <w:color w:val="000000" w:themeColor="text1"/>
                <w:sz w:val="20"/>
                <w:szCs w:val="20"/>
              </w:rPr>
              <w:t>Authority Required - In Writing</w:t>
            </w:r>
          </w:p>
          <w:p w:rsidR="005E7102" w:rsidRPr="003A3555" w:rsidRDefault="005E7102" w:rsidP="00476EE6">
            <w:pPr>
              <w:pStyle w:val="Table"/>
              <w:spacing w:line="240" w:lineRule="auto"/>
              <w:rPr>
                <w:rFonts w:ascii="Arial Narrow" w:hAnsi="Arial Narrow"/>
                <w:color w:val="000000" w:themeColor="text1"/>
                <w:sz w:val="20"/>
                <w:szCs w:val="20"/>
              </w:rPr>
            </w:pPr>
            <w:r w:rsidRPr="003A3555">
              <w:rPr>
                <w:rFonts w:ascii="Arial Narrow" w:hAnsi="Arial Narrow"/>
                <w:color w:val="000000" w:themeColor="text1"/>
                <w:sz w:val="20"/>
                <w:szCs w:val="20"/>
              </w:rPr>
              <w:fldChar w:fldCharType="begin">
                <w:ffData>
                  <w:name w:val="Check3"/>
                  <w:enabled/>
                  <w:calcOnExit w:val="0"/>
                  <w:checkBox>
                    <w:sizeAuto/>
                    <w:default w:val="1"/>
                  </w:checkBox>
                </w:ffData>
              </w:fldChar>
            </w:r>
            <w:r w:rsidRPr="003A3555">
              <w:rPr>
                <w:rFonts w:ascii="Arial Narrow" w:hAnsi="Arial Narrow"/>
                <w:color w:val="000000" w:themeColor="text1"/>
                <w:sz w:val="20"/>
                <w:szCs w:val="20"/>
              </w:rPr>
              <w:instrText xml:space="preserve"> FORMCHECKBOX </w:instrText>
            </w:r>
            <w:r w:rsidR="00171270">
              <w:rPr>
                <w:rFonts w:ascii="Arial Narrow" w:hAnsi="Arial Narrow"/>
                <w:color w:val="000000" w:themeColor="text1"/>
                <w:sz w:val="20"/>
                <w:szCs w:val="20"/>
              </w:rPr>
            </w:r>
            <w:r w:rsidR="00171270">
              <w:rPr>
                <w:rFonts w:ascii="Arial Narrow" w:hAnsi="Arial Narrow"/>
                <w:color w:val="000000" w:themeColor="text1"/>
                <w:sz w:val="20"/>
                <w:szCs w:val="20"/>
              </w:rPr>
              <w:fldChar w:fldCharType="separate"/>
            </w:r>
            <w:r w:rsidRPr="003A3555">
              <w:rPr>
                <w:rFonts w:ascii="Arial Narrow" w:hAnsi="Arial Narrow"/>
                <w:color w:val="000000" w:themeColor="text1"/>
                <w:sz w:val="20"/>
                <w:szCs w:val="20"/>
              </w:rPr>
              <w:fldChar w:fldCharType="end"/>
            </w:r>
            <w:r w:rsidRPr="003A3555">
              <w:rPr>
                <w:rFonts w:ascii="Arial Narrow" w:hAnsi="Arial Narrow"/>
                <w:color w:val="000000" w:themeColor="text1"/>
                <w:sz w:val="20"/>
                <w:szCs w:val="20"/>
              </w:rPr>
              <w:t>Authority Required - Telephone</w:t>
            </w:r>
          </w:p>
          <w:p w:rsidR="005E7102" w:rsidRPr="003A3555" w:rsidRDefault="005E7102" w:rsidP="00476EE6">
            <w:pPr>
              <w:pStyle w:val="Table"/>
              <w:spacing w:line="240" w:lineRule="auto"/>
              <w:rPr>
                <w:rFonts w:ascii="Arial Narrow" w:hAnsi="Arial Narrow"/>
                <w:color w:val="000000" w:themeColor="text1"/>
                <w:sz w:val="20"/>
                <w:szCs w:val="20"/>
              </w:rPr>
            </w:pPr>
            <w:r w:rsidRPr="003A3555">
              <w:rPr>
                <w:rFonts w:ascii="Arial Narrow" w:hAnsi="Arial Narrow"/>
                <w:color w:val="000000" w:themeColor="text1"/>
                <w:sz w:val="20"/>
                <w:szCs w:val="20"/>
              </w:rPr>
              <w:fldChar w:fldCharType="begin">
                <w:ffData>
                  <w:name w:val=""/>
                  <w:enabled/>
                  <w:calcOnExit w:val="0"/>
                  <w:checkBox>
                    <w:sizeAuto/>
                    <w:default w:val="0"/>
                  </w:checkBox>
                </w:ffData>
              </w:fldChar>
            </w:r>
            <w:r w:rsidRPr="003A3555">
              <w:rPr>
                <w:rFonts w:ascii="Arial Narrow" w:hAnsi="Arial Narrow"/>
                <w:color w:val="000000" w:themeColor="text1"/>
                <w:sz w:val="20"/>
                <w:szCs w:val="20"/>
              </w:rPr>
              <w:instrText xml:space="preserve"> FORMCHECKBOX </w:instrText>
            </w:r>
            <w:r w:rsidR="00171270">
              <w:rPr>
                <w:rFonts w:ascii="Arial Narrow" w:hAnsi="Arial Narrow"/>
                <w:color w:val="000000" w:themeColor="text1"/>
                <w:sz w:val="20"/>
                <w:szCs w:val="20"/>
              </w:rPr>
            </w:r>
            <w:r w:rsidR="00171270">
              <w:rPr>
                <w:rFonts w:ascii="Arial Narrow" w:hAnsi="Arial Narrow"/>
                <w:color w:val="000000" w:themeColor="text1"/>
                <w:sz w:val="20"/>
                <w:szCs w:val="20"/>
              </w:rPr>
              <w:fldChar w:fldCharType="separate"/>
            </w:r>
            <w:r w:rsidRPr="003A3555">
              <w:rPr>
                <w:rFonts w:ascii="Arial Narrow" w:hAnsi="Arial Narrow"/>
                <w:color w:val="000000" w:themeColor="text1"/>
                <w:sz w:val="20"/>
                <w:szCs w:val="20"/>
              </w:rPr>
              <w:fldChar w:fldCharType="end"/>
            </w:r>
            <w:r w:rsidRPr="003A3555">
              <w:rPr>
                <w:rFonts w:ascii="Arial Narrow" w:hAnsi="Arial Narrow"/>
                <w:color w:val="000000" w:themeColor="text1"/>
                <w:sz w:val="20"/>
                <w:szCs w:val="20"/>
              </w:rPr>
              <w:t>Authority Required – Emergency</w:t>
            </w:r>
          </w:p>
          <w:p w:rsidR="005E7102" w:rsidRPr="003A3555" w:rsidRDefault="005E7102" w:rsidP="00476EE6">
            <w:pPr>
              <w:pStyle w:val="Table"/>
              <w:spacing w:line="240" w:lineRule="auto"/>
              <w:rPr>
                <w:rFonts w:ascii="Arial Narrow" w:hAnsi="Arial Narrow"/>
                <w:color w:val="000000" w:themeColor="text1"/>
                <w:sz w:val="20"/>
                <w:szCs w:val="20"/>
              </w:rPr>
            </w:pPr>
            <w:r w:rsidRPr="003A3555">
              <w:rPr>
                <w:rFonts w:ascii="Arial Narrow" w:hAnsi="Arial Narrow"/>
                <w:color w:val="000000" w:themeColor="text1"/>
                <w:sz w:val="20"/>
                <w:szCs w:val="20"/>
              </w:rPr>
              <w:fldChar w:fldCharType="begin">
                <w:ffData>
                  <w:name w:val="Check5"/>
                  <w:enabled/>
                  <w:calcOnExit w:val="0"/>
                  <w:checkBox>
                    <w:sizeAuto/>
                    <w:default w:val="0"/>
                  </w:checkBox>
                </w:ffData>
              </w:fldChar>
            </w:r>
            <w:r w:rsidRPr="003A3555">
              <w:rPr>
                <w:rFonts w:ascii="Arial Narrow" w:hAnsi="Arial Narrow"/>
                <w:color w:val="000000" w:themeColor="text1"/>
                <w:sz w:val="20"/>
                <w:szCs w:val="20"/>
              </w:rPr>
              <w:instrText xml:space="preserve"> FORMCHECKBOX </w:instrText>
            </w:r>
            <w:r w:rsidR="00171270">
              <w:rPr>
                <w:rFonts w:ascii="Arial Narrow" w:hAnsi="Arial Narrow"/>
                <w:color w:val="000000" w:themeColor="text1"/>
                <w:sz w:val="20"/>
                <w:szCs w:val="20"/>
              </w:rPr>
            </w:r>
            <w:r w:rsidR="00171270">
              <w:rPr>
                <w:rFonts w:ascii="Arial Narrow" w:hAnsi="Arial Narrow"/>
                <w:color w:val="000000" w:themeColor="text1"/>
                <w:sz w:val="20"/>
                <w:szCs w:val="20"/>
              </w:rPr>
              <w:fldChar w:fldCharType="separate"/>
            </w:r>
            <w:r w:rsidRPr="003A3555">
              <w:rPr>
                <w:rFonts w:ascii="Arial Narrow" w:hAnsi="Arial Narrow"/>
                <w:color w:val="000000" w:themeColor="text1"/>
                <w:sz w:val="20"/>
                <w:szCs w:val="20"/>
              </w:rPr>
              <w:fldChar w:fldCharType="end"/>
            </w:r>
            <w:r w:rsidRPr="003A3555">
              <w:rPr>
                <w:rFonts w:ascii="Arial Narrow" w:hAnsi="Arial Narrow"/>
                <w:color w:val="000000" w:themeColor="text1"/>
                <w:sz w:val="20"/>
                <w:szCs w:val="20"/>
              </w:rPr>
              <w:t>Authority Required - Electronic</w:t>
            </w:r>
          </w:p>
          <w:p w:rsidR="005E7102" w:rsidRPr="003A3555" w:rsidRDefault="005E7102" w:rsidP="00476EE6">
            <w:pPr>
              <w:pStyle w:val="Table"/>
              <w:spacing w:line="240" w:lineRule="auto"/>
              <w:rPr>
                <w:rFonts w:ascii="Arial Narrow" w:hAnsi="Arial Narrow"/>
                <w:color w:val="000000" w:themeColor="text1"/>
                <w:sz w:val="20"/>
                <w:szCs w:val="20"/>
              </w:rPr>
            </w:pPr>
            <w:r w:rsidRPr="003A3555">
              <w:rPr>
                <w:rFonts w:ascii="Arial Narrow" w:hAnsi="Arial Narrow"/>
                <w:color w:val="000000" w:themeColor="text1"/>
                <w:sz w:val="20"/>
                <w:szCs w:val="20"/>
              </w:rPr>
              <w:fldChar w:fldCharType="begin">
                <w:ffData>
                  <w:name w:val="Check5"/>
                  <w:enabled/>
                  <w:calcOnExit w:val="0"/>
                  <w:checkBox>
                    <w:sizeAuto/>
                    <w:default w:val="0"/>
                  </w:checkBox>
                </w:ffData>
              </w:fldChar>
            </w:r>
            <w:r w:rsidRPr="003A3555">
              <w:rPr>
                <w:rFonts w:ascii="Arial Narrow" w:hAnsi="Arial Narrow"/>
                <w:color w:val="000000" w:themeColor="text1"/>
                <w:sz w:val="20"/>
                <w:szCs w:val="20"/>
              </w:rPr>
              <w:instrText xml:space="preserve"> FORMCHECKBOX </w:instrText>
            </w:r>
            <w:r w:rsidR="00171270">
              <w:rPr>
                <w:rFonts w:ascii="Arial Narrow" w:hAnsi="Arial Narrow"/>
                <w:color w:val="000000" w:themeColor="text1"/>
                <w:sz w:val="20"/>
                <w:szCs w:val="20"/>
              </w:rPr>
            </w:r>
            <w:r w:rsidR="00171270">
              <w:rPr>
                <w:rFonts w:ascii="Arial Narrow" w:hAnsi="Arial Narrow"/>
                <w:color w:val="000000" w:themeColor="text1"/>
                <w:sz w:val="20"/>
                <w:szCs w:val="20"/>
              </w:rPr>
              <w:fldChar w:fldCharType="separate"/>
            </w:r>
            <w:r w:rsidRPr="003A3555">
              <w:rPr>
                <w:rFonts w:ascii="Arial Narrow" w:hAnsi="Arial Narrow"/>
                <w:color w:val="000000" w:themeColor="text1"/>
                <w:sz w:val="20"/>
                <w:szCs w:val="20"/>
              </w:rPr>
              <w:fldChar w:fldCharType="end"/>
            </w:r>
            <w:r w:rsidRPr="003A3555">
              <w:rPr>
                <w:rFonts w:ascii="Arial Narrow" w:hAnsi="Arial Narrow"/>
                <w:color w:val="000000" w:themeColor="text1"/>
                <w:sz w:val="20"/>
                <w:szCs w:val="20"/>
              </w:rPr>
              <w:t>Streamlined</w:t>
            </w:r>
          </w:p>
        </w:tc>
      </w:tr>
      <w:tr w:rsidR="005E7102" w:rsidRPr="003A3555" w:rsidTr="00F07F46">
        <w:trPr>
          <w:trHeight w:val="20"/>
        </w:trPr>
        <w:tc>
          <w:tcPr>
            <w:tcW w:w="1098" w:type="pct"/>
            <w:tcBorders>
              <w:top w:val="single" w:sz="4" w:space="0" w:color="auto"/>
              <w:left w:val="single" w:sz="4" w:space="0" w:color="auto"/>
              <w:bottom w:val="single" w:sz="4" w:space="0" w:color="auto"/>
              <w:right w:val="single" w:sz="4" w:space="0" w:color="auto"/>
            </w:tcBorders>
            <w:shd w:val="clear" w:color="auto" w:fill="auto"/>
            <w:hideMark/>
          </w:tcPr>
          <w:p w:rsidR="005E7102" w:rsidRPr="003A3555" w:rsidRDefault="005E7102" w:rsidP="00476EE6">
            <w:pPr>
              <w:pStyle w:val="Table"/>
              <w:spacing w:line="240" w:lineRule="auto"/>
              <w:rPr>
                <w:rFonts w:ascii="Arial Narrow" w:hAnsi="Arial Narrow"/>
                <w:b/>
                <w:color w:val="000000" w:themeColor="text1"/>
                <w:sz w:val="20"/>
                <w:szCs w:val="20"/>
                <w:lang w:eastAsia="en-AU"/>
              </w:rPr>
            </w:pPr>
            <w:r w:rsidRPr="003A3555">
              <w:rPr>
                <w:rFonts w:ascii="Arial Narrow" w:hAnsi="Arial Narrow"/>
                <w:b/>
                <w:color w:val="000000" w:themeColor="text1"/>
                <w:sz w:val="20"/>
                <w:szCs w:val="20"/>
                <w:lang w:eastAsia="en-AU"/>
              </w:rPr>
              <w:t>Clinical criteria:</w:t>
            </w:r>
          </w:p>
        </w:tc>
        <w:tc>
          <w:tcPr>
            <w:tcW w:w="3902" w:type="pct"/>
            <w:tcBorders>
              <w:top w:val="single" w:sz="4" w:space="0" w:color="auto"/>
              <w:left w:val="single" w:sz="4" w:space="0" w:color="auto"/>
              <w:bottom w:val="single" w:sz="4" w:space="0" w:color="auto"/>
              <w:right w:val="single" w:sz="4" w:space="0" w:color="auto"/>
            </w:tcBorders>
            <w:shd w:val="clear" w:color="auto" w:fill="auto"/>
          </w:tcPr>
          <w:p w:rsidR="005E7102" w:rsidRPr="003A3555" w:rsidRDefault="005E7102" w:rsidP="00476EE6">
            <w:pPr>
              <w:pStyle w:val="Table"/>
              <w:spacing w:line="240" w:lineRule="auto"/>
              <w:rPr>
                <w:rFonts w:ascii="Arial Narrow" w:hAnsi="Arial Narrow"/>
                <w:color w:val="000000" w:themeColor="text1"/>
                <w:sz w:val="20"/>
                <w:szCs w:val="20"/>
                <w:lang w:eastAsia="en-AU"/>
              </w:rPr>
            </w:pPr>
            <w:r w:rsidRPr="003A3555">
              <w:rPr>
                <w:rFonts w:ascii="Arial Narrow" w:hAnsi="Arial Narrow"/>
                <w:color w:val="000000" w:themeColor="text1"/>
                <w:sz w:val="20"/>
                <w:szCs w:val="20"/>
                <w:lang w:eastAsia="en-AU"/>
              </w:rPr>
              <w:t>Patient must have previously been authorised with a PBS prescription with this drug for the condition; AND</w:t>
            </w:r>
          </w:p>
          <w:p w:rsidR="005E7102" w:rsidRPr="003A3555" w:rsidRDefault="005E7102" w:rsidP="00476EE6">
            <w:pPr>
              <w:pStyle w:val="Table"/>
              <w:spacing w:line="240" w:lineRule="auto"/>
              <w:rPr>
                <w:rFonts w:ascii="Arial Narrow" w:hAnsi="Arial Narrow"/>
                <w:color w:val="000000" w:themeColor="text1"/>
                <w:sz w:val="20"/>
                <w:szCs w:val="20"/>
                <w:lang w:eastAsia="en-AU"/>
              </w:rPr>
            </w:pPr>
            <w:r w:rsidRPr="003A3555">
              <w:rPr>
                <w:rFonts w:ascii="Arial Narrow" w:hAnsi="Arial Narrow"/>
                <w:color w:val="000000" w:themeColor="text1"/>
                <w:sz w:val="20"/>
                <w:szCs w:val="20"/>
                <w:lang w:eastAsia="en-AU"/>
              </w:rPr>
              <w:t>Patient must not have demonstrated progressive disease; AND</w:t>
            </w:r>
          </w:p>
          <w:p w:rsidR="00BB42B1" w:rsidRPr="00BB4541" w:rsidRDefault="00BB42B1" w:rsidP="00BB42B1">
            <w:pPr>
              <w:pStyle w:val="Table"/>
              <w:spacing w:line="240" w:lineRule="auto"/>
              <w:rPr>
                <w:rFonts w:ascii="Arial Narrow" w:hAnsi="Arial Narrow"/>
                <w:strike/>
                <w:color w:val="000000" w:themeColor="text1"/>
                <w:sz w:val="20"/>
                <w:szCs w:val="20"/>
                <w:lang w:eastAsia="en-AU"/>
              </w:rPr>
            </w:pPr>
            <w:r w:rsidRPr="00BB4541">
              <w:rPr>
                <w:rFonts w:ascii="Arial Narrow" w:hAnsi="Arial Narrow"/>
                <w:strike/>
                <w:color w:val="000000" w:themeColor="text1"/>
                <w:sz w:val="20"/>
                <w:szCs w:val="20"/>
                <w:lang w:eastAsia="en-AU"/>
              </w:rPr>
              <w:t xml:space="preserve">Patient must not be receiving concomitant PBS-subsidised </w:t>
            </w:r>
            <w:proofErr w:type="spellStart"/>
            <w:r w:rsidRPr="00BB4541">
              <w:rPr>
                <w:rFonts w:ascii="Arial Narrow" w:hAnsi="Arial Narrow"/>
                <w:strike/>
                <w:color w:val="000000" w:themeColor="text1"/>
                <w:sz w:val="20"/>
                <w:szCs w:val="20"/>
                <w:lang w:eastAsia="en-AU"/>
              </w:rPr>
              <w:t>bortezomib</w:t>
            </w:r>
            <w:proofErr w:type="spellEnd"/>
            <w:r w:rsidRPr="00BB4541">
              <w:rPr>
                <w:rFonts w:ascii="Arial Narrow" w:hAnsi="Arial Narrow"/>
                <w:strike/>
                <w:color w:val="000000" w:themeColor="text1"/>
                <w:sz w:val="20"/>
                <w:szCs w:val="20"/>
                <w:lang w:eastAsia="en-AU"/>
              </w:rPr>
              <w:t xml:space="preserve">, thalidomide, </w:t>
            </w:r>
            <w:proofErr w:type="spellStart"/>
            <w:r w:rsidRPr="00BB4541">
              <w:rPr>
                <w:rFonts w:ascii="Arial Narrow" w:hAnsi="Arial Narrow"/>
                <w:strike/>
                <w:color w:val="000000" w:themeColor="text1"/>
                <w:sz w:val="20"/>
                <w:szCs w:val="20"/>
                <w:lang w:eastAsia="en-AU"/>
              </w:rPr>
              <w:t>carfilzomib</w:t>
            </w:r>
            <w:proofErr w:type="spellEnd"/>
            <w:r w:rsidRPr="00BB4541">
              <w:rPr>
                <w:rFonts w:ascii="Arial Narrow" w:hAnsi="Arial Narrow"/>
                <w:strike/>
                <w:color w:val="000000" w:themeColor="text1"/>
                <w:sz w:val="20"/>
                <w:szCs w:val="20"/>
                <w:lang w:eastAsia="en-AU"/>
              </w:rPr>
              <w:t xml:space="preserve"> or its analogues; AND</w:t>
            </w:r>
          </w:p>
          <w:p w:rsidR="005E7102" w:rsidRPr="003A3555" w:rsidRDefault="005E7102" w:rsidP="00476EE6">
            <w:pPr>
              <w:pStyle w:val="Table"/>
              <w:spacing w:line="240" w:lineRule="auto"/>
              <w:rPr>
                <w:rFonts w:ascii="Arial Narrow" w:hAnsi="Arial Narrow"/>
                <w:color w:val="000000" w:themeColor="text1"/>
                <w:sz w:val="20"/>
                <w:szCs w:val="20"/>
                <w:lang w:eastAsia="en-AU"/>
              </w:rPr>
            </w:pPr>
            <w:r w:rsidRPr="003A3555">
              <w:rPr>
                <w:rFonts w:ascii="Arial Narrow" w:hAnsi="Arial Narrow"/>
                <w:color w:val="000000" w:themeColor="text1"/>
                <w:sz w:val="20"/>
                <w:szCs w:val="20"/>
                <w:lang w:eastAsia="en-AU"/>
              </w:rPr>
              <w:t>The treatment must be as monotherapy.</w:t>
            </w:r>
          </w:p>
        </w:tc>
      </w:tr>
    </w:tbl>
    <w:p w:rsidR="005E7102" w:rsidRPr="003A3555" w:rsidRDefault="005E7102" w:rsidP="00476EE6">
      <w:pPr>
        <w:pStyle w:val="TableFooter"/>
        <w:widowControl/>
        <w:rPr>
          <w:color w:val="000000" w:themeColor="text1"/>
        </w:rPr>
      </w:pPr>
      <w:r w:rsidRPr="003A3555">
        <w:rPr>
          <w:color w:val="000000" w:themeColor="text1"/>
        </w:rPr>
        <w:t>Source: Table 1-8, p.23 of the resubmission</w:t>
      </w:r>
    </w:p>
    <w:p w:rsidR="005E7102" w:rsidRPr="003A3555" w:rsidRDefault="005E7102" w:rsidP="00476EE6">
      <w:pPr>
        <w:widowControl/>
        <w:rPr>
          <w:color w:val="FF0000"/>
        </w:rPr>
      </w:pPr>
    </w:p>
    <w:p w:rsidR="00D35AD7" w:rsidRDefault="00D35AD7" w:rsidP="00C12C09">
      <w:pPr>
        <w:pStyle w:val="ListParagraph"/>
        <w:widowControl/>
        <w:numPr>
          <w:ilvl w:val="1"/>
          <w:numId w:val="2"/>
        </w:numPr>
        <w:spacing w:before="120"/>
      </w:pPr>
      <w:r>
        <w:lastRenderedPageBreak/>
        <w:t xml:space="preserve">It </w:t>
      </w:r>
      <w:proofErr w:type="gramStart"/>
      <w:r>
        <w:t>was noted</w:t>
      </w:r>
      <w:proofErr w:type="gramEnd"/>
      <w:r>
        <w:t xml:space="preserve"> that dosing for NDMM patients who have undergone ASCT</w:t>
      </w:r>
      <w:r w:rsidR="00FF22C8">
        <w:t xml:space="preserve"> is continuous daily dosing, and that the request is for a new pack size of 28. </w:t>
      </w:r>
      <w:proofErr w:type="spellStart"/>
      <w:r w:rsidR="00FF22C8">
        <w:t>Lenalidomide</w:t>
      </w:r>
      <w:proofErr w:type="spellEnd"/>
      <w:r w:rsidR="00FF22C8">
        <w:t xml:space="preserve"> for RRMM and NDMM patients who are ineligible for ASCT is given f</w:t>
      </w:r>
      <w:r w:rsidR="00C96706">
        <w:t>rom</w:t>
      </w:r>
      <w:r w:rsidR="00FF22C8">
        <w:t xml:space="preserve"> days 1 to 21 of a </w:t>
      </w:r>
      <w:proofErr w:type="gramStart"/>
      <w:r w:rsidR="00FF22C8">
        <w:t>28 day</w:t>
      </w:r>
      <w:proofErr w:type="gramEnd"/>
      <w:r w:rsidR="00FF22C8">
        <w:t xml:space="preserve"> cycle and is currently listed on the PBS as packs of 21.</w:t>
      </w:r>
    </w:p>
    <w:p w:rsidR="005E7102" w:rsidRPr="00816DB0" w:rsidRDefault="005E7102" w:rsidP="00C12C09">
      <w:pPr>
        <w:pStyle w:val="ListParagraph"/>
        <w:widowControl/>
        <w:numPr>
          <w:ilvl w:val="1"/>
          <w:numId w:val="2"/>
        </w:numPr>
        <w:spacing w:before="120"/>
      </w:pPr>
      <w:r w:rsidRPr="003A3555">
        <w:t>The resubmission added a restriction for patients on continuing treatment</w:t>
      </w:r>
      <w:r w:rsidR="0098398C" w:rsidRPr="003A3555">
        <w:t xml:space="preserve">, </w:t>
      </w:r>
      <w:r w:rsidRPr="003A3555">
        <w:t>decreased the number of repeats from five to two (</w:t>
      </w:r>
      <w:r w:rsidR="0098398C" w:rsidRPr="003A3555">
        <w:t xml:space="preserve">allowing for </w:t>
      </w:r>
      <w:r w:rsidRPr="003A3555">
        <w:t>3 months treatment)</w:t>
      </w:r>
      <w:r w:rsidR="0098398C" w:rsidRPr="003A3555">
        <w:t xml:space="preserve"> and proposed that continuing scripts be accessed by telephone authority</w:t>
      </w:r>
      <w:r w:rsidRPr="003A3555">
        <w:t xml:space="preserve">. </w:t>
      </w:r>
      <w:r w:rsidRPr="00816DB0">
        <w:t xml:space="preserve">The PBAC </w:t>
      </w:r>
      <w:r w:rsidR="005C795B">
        <w:t xml:space="preserve">had previously </w:t>
      </w:r>
      <w:r w:rsidRPr="00816DB0">
        <w:t xml:space="preserve">considered </w:t>
      </w:r>
      <w:r w:rsidR="005C795B" w:rsidRPr="00D17A82">
        <w:t xml:space="preserve">it </w:t>
      </w:r>
      <w:proofErr w:type="gramStart"/>
      <w:r w:rsidR="005C795B" w:rsidRPr="00D17A82">
        <w:t>may</w:t>
      </w:r>
      <w:proofErr w:type="gramEnd"/>
      <w:r w:rsidR="005C795B" w:rsidRPr="00D17A82">
        <w:t xml:space="preserve"> be more appropriate to provide three months treatment per prescription, instead of six, as patients receiving </w:t>
      </w:r>
      <w:proofErr w:type="spellStart"/>
      <w:r w:rsidR="005C795B" w:rsidRPr="00D17A82">
        <w:t>lenalidomide</w:t>
      </w:r>
      <w:proofErr w:type="spellEnd"/>
      <w:r w:rsidR="005C795B" w:rsidRPr="00D17A82">
        <w:t xml:space="preserve"> maintenance treatment should be regularly reviewed by a medical practitioner.</w:t>
      </w:r>
      <w:r w:rsidR="005C795B">
        <w:t xml:space="preserve"> The PBAC also considered </w:t>
      </w:r>
      <w:r w:rsidRPr="00816DB0">
        <w:t xml:space="preserve">requesting </w:t>
      </w:r>
      <w:r w:rsidR="00E84FB4">
        <w:t xml:space="preserve">initial prescriptions by written authority and </w:t>
      </w:r>
      <w:r w:rsidRPr="00816DB0">
        <w:t xml:space="preserve">continuing </w:t>
      </w:r>
      <w:r w:rsidR="00E84FB4">
        <w:t>prescriptions</w:t>
      </w:r>
      <w:r w:rsidRPr="00816DB0">
        <w:t xml:space="preserve"> by telephone authority to be reasonable (</w:t>
      </w:r>
      <w:r w:rsidR="008E6CE1">
        <w:t xml:space="preserve">paragraph 2.5, </w:t>
      </w:r>
      <w:proofErr w:type="spellStart"/>
      <w:r w:rsidRPr="00816DB0">
        <w:t>Lenalidomide</w:t>
      </w:r>
      <w:proofErr w:type="spellEnd"/>
      <w:r w:rsidRPr="00816DB0">
        <w:t xml:space="preserve"> </w:t>
      </w:r>
      <w:r w:rsidR="00011707">
        <w:t>Public Summary Document (</w:t>
      </w:r>
      <w:r w:rsidRPr="00816DB0">
        <w:t>PSD</w:t>
      </w:r>
      <w:r w:rsidR="00011707">
        <w:t>)</w:t>
      </w:r>
      <w:r w:rsidRPr="00816DB0">
        <w:t>, March 2018).</w:t>
      </w:r>
    </w:p>
    <w:p w:rsidR="00D539BE" w:rsidRPr="00D539BE" w:rsidRDefault="00D539BE" w:rsidP="00C12C09">
      <w:pPr>
        <w:pStyle w:val="ListParagraph"/>
        <w:widowControl/>
        <w:spacing w:before="120"/>
        <w:rPr>
          <w:i/>
        </w:rPr>
      </w:pPr>
      <w:r w:rsidRPr="00D539BE">
        <w:rPr>
          <w:i/>
        </w:rPr>
        <w:t>For more detail on PBAC’s view, see Section 7 PBAC outcome.</w:t>
      </w:r>
    </w:p>
    <w:p w:rsidR="005E7102" w:rsidRPr="003A3555" w:rsidRDefault="005E7102" w:rsidP="00C12C09">
      <w:pPr>
        <w:pStyle w:val="Heading1"/>
        <w:keepLines/>
        <w:widowControl/>
        <w:numPr>
          <w:ilvl w:val="0"/>
          <w:numId w:val="2"/>
        </w:numPr>
        <w:spacing w:before="120"/>
        <w:ind w:left="709" w:hanging="709"/>
        <w:rPr>
          <w:rFonts w:asciiTheme="minorHAnsi" w:eastAsiaTheme="majorEastAsia" w:hAnsiTheme="minorHAnsi" w:cstheme="majorBidi"/>
          <w:caps w:val="0"/>
          <w:snapToGrid/>
          <w:szCs w:val="28"/>
        </w:rPr>
      </w:pPr>
      <w:bookmarkStart w:id="12" w:name="_Toc532395957"/>
      <w:bookmarkStart w:id="13" w:name="_Toc532805600"/>
      <w:bookmarkStart w:id="14" w:name="_Toc533163391"/>
      <w:r w:rsidRPr="003A3555">
        <w:rPr>
          <w:rFonts w:asciiTheme="minorHAnsi" w:eastAsiaTheme="majorEastAsia" w:hAnsiTheme="minorHAnsi" w:cstheme="majorBidi"/>
          <w:caps w:val="0"/>
          <w:snapToGrid/>
          <w:szCs w:val="28"/>
        </w:rPr>
        <w:t>Background</w:t>
      </w:r>
      <w:bookmarkEnd w:id="12"/>
      <w:bookmarkEnd w:id="13"/>
      <w:bookmarkEnd w:id="14"/>
    </w:p>
    <w:p w:rsidR="005E7102" w:rsidRPr="003A3555" w:rsidRDefault="005E7102" w:rsidP="00C12C09">
      <w:pPr>
        <w:pStyle w:val="Heading2"/>
        <w:widowControl/>
        <w:spacing w:before="120"/>
      </w:pPr>
      <w:r w:rsidRPr="007B497A">
        <w:t>Registration status</w:t>
      </w:r>
    </w:p>
    <w:p w:rsidR="005E7102" w:rsidRPr="003A3555" w:rsidRDefault="005E7102" w:rsidP="00C12C09">
      <w:pPr>
        <w:pStyle w:val="ListParagraph"/>
        <w:widowControl/>
        <w:numPr>
          <w:ilvl w:val="1"/>
          <w:numId w:val="2"/>
        </w:numPr>
        <w:spacing w:before="120"/>
      </w:pPr>
      <w:proofErr w:type="spellStart"/>
      <w:r w:rsidRPr="003A3555">
        <w:t>Lenalidomide</w:t>
      </w:r>
      <w:proofErr w:type="spellEnd"/>
      <w:r w:rsidRPr="003A3555">
        <w:t xml:space="preserve"> </w:t>
      </w:r>
      <w:proofErr w:type="gramStart"/>
      <w:r w:rsidRPr="003A3555">
        <w:t>was approved</w:t>
      </w:r>
      <w:proofErr w:type="gramEnd"/>
      <w:r w:rsidRPr="003A3555">
        <w:t xml:space="preserve"> by the TGA </w:t>
      </w:r>
      <w:r w:rsidR="00C67E3C" w:rsidRPr="003A3555">
        <w:t>on the 17</w:t>
      </w:r>
      <w:r w:rsidR="00C67E3C" w:rsidRPr="003A3555">
        <w:rPr>
          <w:vertAlign w:val="superscript"/>
        </w:rPr>
        <w:t>th</w:t>
      </w:r>
      <w:r w:rsidR="00C67E3C" w:rsidRPr="003A3555">
        <w:t xml:space="preserve"> January 2018</w:t>
      </w:r>
      <w:r w:rsidR="00C67E3C">
        <w:t xml:space="preserve"> </w:t>
      </w:r>
      <w:r w:rsidRPr="003A3555">
        <w:t xml:space="preserve">for the new indication ‘maintenance treatment of patients with newly diagnosed multiple myeloma who have undergone autologous stem cell transplantation’. </w:t>
      </w:r>
    </w:p>
    <w:p w:rsidR="005E7102" w:rsidRPr="003A3555" w:rsidRDefault="005E7102" w:rsidP="00C12C09">
      <w:pPr>
        <w:pStyle w:val="Heading2"/>
        <w:widowControl/>
        <w:spacing w:before="120"/>
      </w:pPr>
      <w:r w:rsidRPr="007B497A">
        <w:t>Previous PBAC consideration</w:t>
      </w:r>
    </w:p>
    <w:p w:rsidR="00C12C09" w:rsidRDefault="005E7102" w:rsidP="00C12C09">
      <w:pPr>
        <w:pStyle w:val="ListParagraph"/>
        <w:widowControl/>
        <w:numPr>
          <w:ilvl w:val="1"/>
          <w:numId w:val="2"/>
        </w:numPr>
        <w:spacing w:before="120"/>
      </w:pPr>
      <w:r w:rsidRPr="003A3555">
        <w:t xml:space="preserve">A summary of the matters of concern raised with respect to the March 2018 submission, and how they </w:t>
      </w:r>
      <w:proofErr w:type="gramStart"/>
      <w:r w:rsidRPr="003A3555">
        <w:t>have been addressed</w:t>
      </w:r>
      <w:proofErr w:type="gramEnd"/>
      <w:r w:rsidRPr="003A3555">
        <w:t xml:space="preserve"> in the March 2019 resubmission is provided in Table </w:t>
      </w:r>
      <w:r w:rsidR="0098398C" w:rsidRPr="003A3555">
        <w:t>5</w:t>
      </w:r>
      <w:r w:rsidRPr="003A3555">
        <w:t>.</w:t>
      </w:r>
    </w:p>
    <w:p w:rsidR="005E7102" w:rsidRPr="003A3555" w:rsidRDefault="00C12C09" w:rsidP="00C12C09">
      <w:r>
        <w:br w:type="page"/>
      </w:r>
    </w:p>
    <w:p w:rsidR="005E7102" w:rsidRPr="003A3555" w:rsidRDefault="005E7102" w:rsidP="00476EE6">
      <w:pPr>
        <w:keepNext/>
        <w:widowControl/>
        <w:rPr>
          <w:rStyle w:val="CommentReference"/>
        </w:rPr>
      </w:pPr>
      <w:r w:rsidRPr="003A3555">
        <w:rPr>
          <w:rStyle w:val="CommentReference"/>
        </w:rPr>
        <w:lastRenderedPageBreak/>
        <w:t xml:space="preserve">Table </w:t>
      </w:r>
      <w:r w:rsidR="0098398C" w:rsidRPr="003A3555">
        <w:rPr>
          <w:rStyle w:val="CommentReference"/>
        </w:rPr>
        <w:t>5</w:t>
      </w:r>
      <w:r w:rsidRPr="003A3555">
        <w:rPr>
          <w:rStyle w:val="CommentReference"/>
        </w:rPr>
        <w:t>:  Summary of outstanding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Caption w:val="Table 5:  Summary of outstanding matters of concern"/>
      </w:tblPr>
      <w:tblGrid>
        <w:gridCol w:w="1555"/>
        <w:gridCol w:w="4449"/>
        <w:gridCol w:w="3013"/>
      </w:tblGrid>
      <w:tr w:rsidR="005E7102" w:rsidRPr="003A3555" w:rsidTr="004E5209">
        <w:trPr>
          <w:tblHeader/>
        </w:trPr>
        <w:tc>
          <w:tcPr>
            <w:tcW w:w="862" w:type="pct"/>
            <w:shd w:val="clear" w:color="auto" w:fill="auto"/>
            <w:tcMar>
              <w:left w:w="28" w:type="dxa"/>
              <w:right w:w="28" w:type="dxa"/>
            </w:tcMar>
            <w:vAlign w:val="center"/>
          </w:tcPr>
          <w:p w:rsidR="005E7102" w:rsidRPr="003A3555" w:rsidRDefault="005E7102" w:rsidP="00476EE6">
            <w:pPr>
              <w:pStyle w:val="Tabletext"/>
              <w:keepNext/>
              <w:rPr>
                <w:b/>
                <w:szCs w:val="20"/>
              </w:rPr>
            </w:pPr>
            <w:r w:rsidRPr="003A3555">
              <w:rPr>
                <w:b/>
                <w:szCs w:val="20"/>
              </w:rPr>
              <w:t>Component</w:t>
            </w:r>
          </w:p>
        </w:tc>
        <w:tc>
          <w:tcPr>
            <w:tcW w:w="2467" w:type="pct"/>
            <w:shd w:val="clear" w:color="auto" w:fill="auto"/>
            <w:tcMar>
              <w:left w:w="28" w:type="dxa"/>
              <w:right w:w="28" w:type="dxa"/>
            </w:tcMar>
          </w:tcPr>
          <w:p w:rsidR="005E7102" w:rsidRPr="003A3555" w:rsidRDefault="005E7102" w:rsidP="00476EE6">
            <w:pPr>
              <w:pStyle w:val="Tabletext"/>
              <w:keepNext/>
              <w:rPr>
                <w:b/>
                <w:szCs w:val="20"/>
              </w:rPr>
            </w:pPr>
            <w:r w:rsidRPr="003A3555">
              <w:rPr>
                <w:b/>
                <w:szCs w:val="20"/>
              </w:rPr>
              <w:t>Matter of concern by PBAC</w:t>
            </w:r>
          </w:p>
        </w:tc>
        <w:tc>
          <w:tcPr>
            <w:tcW w:w="1671" w:type="pct"/>
            <w:shd w:val="clear" w:color="auto" w:fill="auto"/>
            <w:tcMar>
              <w:left w:w="28" w:type="dxa"/>
              <w:right w:w="28" w:type="dxa"/>
            </w:tcMar>
          </w:tcPr>
          <w:p w:rsidR="005E7102" w:rsidRPr="003A3555" w:rsidRDefault="005E7102" w:rsidP="00476EE6">
            <w:pPr>
              <w:pStyle w:val="Tabletext"/>
              <w:keepNext/>
              <w:jc w:val="center"/>
              <w:rPr>
                <w:b/>
                <w:szCs w:val="20"/>
              </w:rPr>
            </w:pPr>
            <w:r w:rsidRPr="003A3555">
              <w:rPr>
                <w:b/>
                <w:szCs w:val="20"/>
              </w:rPr>
              <w:t>How the resubmission addresses it</w:t>
            </w:r>
          </w:p>
        </w:tc>
      </w:tr>
      <w:tr w:rsidR="00BF2294" w:rsidRPr="003A3555" w:rsidTr="004E5209">
        <w:tc>
          <w:tcPr>
            <w:tcW w:w="5000" w:type="pct"/>
            <w:gridSpan w:val="3"/>
            <w:shd w:val="clear" w:color="auto" w:fill="auto"/>
            <w:tcMar>
              <w:left w:w="28" w:type="dxa"/>
              <w:right w:w="28" w:type="dxa"/>
            </w:tcMar>
            <w:vAlign w:val="center"/>
          </w:tcPr>
          <w:p w:rsidR="00BF2294" w:rsidRPr="003A3555" w:rsidRDefault="00BF2294" w:rsidP="00476EE6">
            <w:pPr>
              <w:pStyle w:val="Tabletext"/>
              <w:keepNext/>
              <w:rPr>
                <w:b/>
                <w:szCs w:val="20"/>
              </w:rPr>
            </w:pPr>
            <w:r w:rsidRPr="003A3555">
              <w:rPr>
                <w:b/>
                <w:szCs w:val="20"/>
              </w:rPr>
              <w:t>Clinical</w:t>
            </w:r>
          </w:p>
        </w:tc>
      </w:tr>
      <w:tr w:rsidR="005E7102" w:rsidRPr="003A3555" w:rsidTr="004E5209">
        <w:tc>
          <w:tcPr>
            <w:tcW w:w="862" w:type="pct"/>
            <w:shd w:val="clear" w:color="auto" w:fill="auto"/>
            <w:tcMar>
              <w:left w:w="28" w:type="dxa"/>
              <w:right w:w="28" w:type="dxa"/>
            </w:tcMar>
          </w:tcPr>
          <w:p w:rsidR="005E7102" w:rsidRPr="003A3555" w:rsidRDefault="005E7102" w:rsidP="00720BC8">
            <w:pPr>
              <w:pStyle w:val="Tabletext"/>
              <w:rPr>
                <w:szCs w:val="20"/>
              </w:rPr>
            </w:pPr>
            <w:r w:rsidRPr="003A3555">
              <w:rPr>
                <w:szCs w:val="20"/>
              </w:rPr>
              <w:t>Comparator</w:t>
            </w:r>
          </w:p>
        </w:tc>
        <w:tc>
          <w:tcPr>
            <w:tcW w:w="2467" w:type="pct"/>
            <w:shd w:val="clear" w:color="auto" w:fill="auto"/>
            <w:tcMar>
              <w:left w:w="28" w:type="dxa"/>
              <w:right w:w="28" w:type="dxa"/>
            </w:tcMar>
          </w:tcPr>
          <w:p w:rsidR="005E7102" w:rsidRPr="003A3555" w:rsidRDefault="005E7102" w:rsidP="00476EE6">
            <w:pPr>
              <w:widowControl/>
              <w:autoSpaceDE w:val="0"/>
              <w:autoSpaceDN w:val="0"/>
              <w:adjustRightInd w:val="0"/>
              <w:jc w:val="left"/>
              <w:rPr>
                <w:rFonts w:ascii="Arial Narrow" w:hAnsi="Arial Narrow" w:cs="Calibri+FPEF"/>
                <w:snapToGrid/>
                <w:sz w:val="20"/>
                <w:szCs w:val="20"/>
                <w:lang w:eastAsia="en-AU"/>
              </w:rPr>
            </w:pPr>
            <w:r w:rsidRPr="003A3555">
              <w:rPr>
                <w:rFonts w:ascii="Arial Narrow" w:hAnsi="Arial Narrow" w:cs="Calibri+FPEF"/>
                <w:snapToGrid/>
                <w:sz w:val="20"/>
                <w:szCs w:val="20"/>
                <w:lang w:eastAsia="en-AU"/>
              </w:rPr>
              <w:t xml:space="preserve">A mixed comparator of thalidomide and BSC is reasonable, rather than the main comparator being BSC and supplementary comparator thalidomide. </w:t>
            </w:r>
          </w:p>
          <w:p w:rsidR="005E7102" w:rsidRPr="003A3555" w:rsidRDefault="005E7102" w:rsidP="0050766B">
            <w:pPr>
              <w:widowControl/>
              <w:autoSpaceDE w:val="0"/>
              <w:autoSpaceDN w:val="0"/>
              <w:adjustRightInd w:val="0"/>
              <w:jc w:val="left"/>
              <w:rPr>
                <w:rFonts w:ascii="Arial Narrow" w:hAnsi="Arial Narrow" w:cs="Calibri+FPEF"/>
                <w:snapToGrid/>
                <w:sz w:val="20"/>
                <w:szCs w:val="20"/>
                <w:lang w:eastAsia="en-AU"/>
              </w:rPr>
            </w:pPr>
            <w:r w:rsidRPr="003A3555">
              <w:rPr>
                <w:rFonts w:ascii="Arial Narrow" w:hAnsi="Arial Narrow"/>
                <w:sz w:val="20"/>
                <w:szCs w:val="20"/>
              </w:rPr>
              <w:t>(</w:t>
            </w:r>
            <w:r w:rsidR="0050766B" w:rsidRPr="003A3555">
              <w:rPr>
                <w:rFonts w:ascii="Arial Narrow" w:hAnsi="Arial Narrow"/>
                <w:sz w:val="20"/>
                <w:szCs w:val="20"/>
              </w:rPr>
              <w:t>paragraph 7.3</w:t>
            </w:r>
            <w:r w:rsidR="0050766B">
              <w:rPr>
                <w:rFonts w:ascii="Arial Narrow" w:hAnsi="Arial Narrow"/>
                <w:sz w:val="20"/>
                <w:szCs w:val="20"/>
              </w:rPr>
              <w:t xml:space="preserve">, </w:t>
            </w:r>
            <w:proofErr w:type="spellStart"/>
            <w:r w:rsidRPr="003A3555">
              <w:rPr>
                <w:rFonts w:ascii="Arial Narrow" w:hAnsi="Arial Narrow"/>
                <w:sz w:val="20"/>
                <w:szCs w:val="20"/>
              </w:rPr>
              <w:t>Lenalidomide</w:t>
            </w:r>
            <w:proofErr w:type="spellEnd"/>
            <w:r w:rsidR="0050766B">
              <w:rPr>
                <w:rFonts w:ascii="Arial Narrow" w:hAnsi="Arial Narrow"/>
                <w:sz w:val="20"/>
                <w:szCs w:val="20"/>
              </w:rPr>
              <w:t xml:space="preserve"> PSD</w:t>
            </w:r>
            <w:r w:rsidRPr="003A3555">
              <w:rPr>
                <w:rFonts w:ascii="Arial Narrow" w:hAnsi="Arial Narrow"/>
                <w:sz w:val="20"/>
                <w:szCs w:val="20"/>
              </w:rPr>
              <w:t>, March 2018)</w:t>
            </w:r>
          </w:p>
        </w:tc>
        <w:tc>
          <w:tcPr>
            <w:tcW w:w="1671" w:type="pct"/>
            <w:shd w:val="clear" w:color="auto" w:fill="auto"/>
            <w:tcMar>
              <w:left w:w="28" w:type="dxa"/>
              <w:right w:w="28" w:type="dxa"/>
            </w:tcMar>
          </w:tcPr>
          <w:p w:rsidR="005E7102" w:rsidRPr="00D32723" w:rsidRDefault="005E7102" w:rsidP="00476EE6">
            <w:pPr>
              <w:pStyle w:val="TableText0"/>
              <w:spacing w:before="0" w:after="0"/>
              <w:rPr>
                <w:szCs w:val="20"/>
              </w:rPr>
            </w:pPr>
            <w:r w:rsidRPr="00D32723">
              <w:rPr>
                <w:szCs w:val="20"/>
              </w:rPr>
              <w:t>Addressed: mixed comparator incorporating BSC (</w:t>
            </w:r>
            <w:r w:rsidR="001D6F6D">
              <w:rPr>
                <w:noProof/>
                <w:color w:val="000000"/>
                <w:szCs w:val="20"/>
                <w:highlight w:val="black"/>
              </w:rPr>
              <w:t>'''''''''''</w:t>
            </w:r>
            <w:r w:rsidRPr="00D32723">
              <w:rPr>
                <w:szCs w:val="20"/>
              </w:rPr>
              <w:t>%) and thalidomide (</w:t>
            </w:r>
            <w:proofErr w:type="gramStart"/>
            <w:r w:rsidR="001D6F6D">
              <w:rPr>
                <w:noProof/>
                <w:color w:val="000000"/>
                <w:szCs w:val="20"/>
                <w:highlight w:val="black"/>
              </w:rPr>
              <w:t>''''''''''</w:t>
            </w:r>
            <w:r w:rsidRPr="00D32723">
              <w:rPr>
                <w:szCs w:val="20"/>
              </w:rPr>
              <w:t>%</w:t>
            </w:r>
            <w:proofErr w:type="gramEnd"/>
            <w:r w:rsidRPr="00D32723">
              <w:rPr>
                <w:szCs w:val="20"/>
              </w:rPr>
              <w:t>) estimated based on MRDM dataset.</w:t>
            </w:r>
          </w:p>
        </w:tc>
      </w:tr>
      <w:tr w:rsidR="005E7102" w:rsidRPr="003A3555" w:rsidTr="004E5209">
        <w:tc>
          <w:tcPr>
            <w:tcW w:w="86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E7102" w:rsidRPr="003A3555" w:rsidRDefault="005E7102" w:rsidP="00720BC8">
            <w:pPr>
              <w:pStyle w:val="Tabletext"/>
              <w:rPr>
                <w:rFonts w:cstheme="minorHAnsi"/>
                <w:szCs w:val="20"/>
              </w:rPr>
            </w:pPr>
            <w:r w:rsidRPr="003A3555">
              <w:rPr>
                <w:rFonts w:cstheme="minorHAnsi"/>
                <w:szCs w:val="20"/>
              </w:rPr>
              <w:t>Clinical evidence</w:t>
            </w:r>
          </w:p>
        </w:tc>
        <w:tc>
          <w:tcPr>
            <w:tcW w:w="246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E7102" w:rsidRPr="003A3555" w:rsidRDefault="005E7102" w:rsidP="00476EE6">
            <w:pPr>
              <w:pStyle w:val="Tabletext"/>
            </w:pPr>
            <w:r w:rsidRPr="003A3555">
              <w:rPr>
                <w:szCs w:val="20"/>
              </w:rPr>
              <w:t>Excluded a relevant thalidomide trial (MM6)</w:t>
            </w:r>
            <w:r w:rsidR="00BF2294" w:rsidRPr="003A3555">
              <w:rPr>
                <w:szCs w:val="20"/>
              </w:rPr>
              <w:t xml:space="preserve"> and </w:t>
            </w:r>
            <w:r w:rsidRPr="003A3555">
              <w:t xml:space="preserve">updated data from </w:t>
            </w:r>
            <w:proofErr w:type="spellStart"/>
            <w:r w:rsidRPr="003A3555">
              <w:t>lenalidomide</w:t>
            </w:r>
            <w:proofErr w:type="spellEnd"/>
            <w:r w:rsidRPr="003A3555">
              <w:t xml:space="preserve"> trial (Myeloma XI).</w:t>
            </w:r>
          </w:p>
          <w:p w:rsidR="005E7102" w:rsidRPr="003A3555" w:rsidRDefault="005E7102" w:rsidP="00476EE6">
            <w:pPr>
              <w:widowControl/>
              <w:autoSpaceDE w:val="0"/>
              <w:autoSpaceDN w:val="0"/>
              <w:adjustRightInd w:val="0"/>
              <w:jc w:val="left"/>
              <w:rPr>
                <w:rFonts w:ascii="Arial Narrow" w:hAnsi="Arial Narrow"/>
                <w:sz w:val="20"/>
                <w:szCs w:val="20"/>
              </w:rPr>
            </w:pPr>
            <w:r w:rsidRPr="003A3555">
              <w:rPr>
                <w:rFonts w:ascii="Arial Narrow" w:hAnsi="Arial Narrow"/>
                <w:sz w:val="20"/>
                <w:szCs w:val="20"/>
              </w:rPr>
              <w:t>(</w:t>
            </w:r>
            <w:r w:rsidR="0050766B" w:rsidRPr="003A3555">
              <w:rPr>
                <w:rFonts w:ascii="Arial Narrow" w:hAnsi="Arial Narrow"/>
                <w:sz w:val="20"/>
                <w:szCs w:val="20"/>
              </w:rPr>
              <w:t>paragraph 7.5 &amp; 7.12</w:t>
            </w:r>
            <w:r w:rsidR="0050766B">
              <w:rPr>
                <w:rFonts w:ascii="Arial Narrow" w:hAnsi="Arial Narrow"/>
                <w:sz w:val="20"/>
                <w:szCs w:val="20"/>
              </w:rPr>
              <w:t xml:space="preserve">, </w:t>
            </w:r>
            <w:proofErr w:type="spellStart"/>
            <w:r w:rsidRPr="003A3555">
              <w:rPr>
                <w:rFonts w:ascii="Arial Narrow" w:hAnsi="Arial Narrow"/>
                <w:sz w:val="20"/>
                <w:szCs w:val="20"/>
              </w:rPr>
              <w:t>Lenalidomide</w:t>
            </w:r>
            <w:proofErr w:type="spellEnd"/>
            <w:r w:rsidR="0050766B">
              <w:rPr>
                <w:rFonts w:ascii="Arial Narrow" w:hAnsi="Arial Narrow"/>
                <w:sz w:val="20"/>
                <w:szCs w:val="20"/>
              </w:rPr>
              <w:t xml:space="preserve"> PSD, March 2018</w:t>
            </w:r>
            <w:r w:rsidRPr="003A3555">
              <w:rPr>
                <w:rFonts w:ascii="Arial Narrow" w:hAnsi="Arial Narrow"/>
                <w:sz w:val="20"/>
                <w:szCs w:val="20"/>
              </w:rPr>
              <w:t>)</w:t>
            </w:r>
          </w:p>
          <w:p w:rsidR="00BF2294" w:rsidRPr="003A3555" w:rsidRDefault="00BF2294" w:rsidP="00476EE6">
            <w:pPr>
              <w:widowControl/>
              <w:autoSpaceDE w:val="0"/>
              <w:autoSpaceDN w:val="0"/>
              <w:adjustRightInd w:val="0"/>
              <w:jc w:val="left"/>
              <w:rPr>
                <w:rFonts w:ascii="Arial Narrow" w:hAnsi="Arial Narrow" w:cs="Calibri+FPEF"/>
                <w:snapToGrid/>
                <w:sz w:val="20"/>
                <w:szCs w:val="20"/>
                <w:lang w:eastAsia="en-AU"/>
              </w:rPr>
            </w:pPr>
          </w:p>
          <w:p w:rsidR="00BF2294" w:rsidRPr="003A3555" w:rsidRDefault="00BF2294" w:rsidP="00476EE6">
            <w:pPr>
              <w:pStyle w:val="Tabletext"/>
              <w:rPr>
                <w:szCs w:val="20"/>
              </w:rPr>
            </w:pPr>
            <w:r w:rsidRPr="003A3555">
              <w:rPr>
                <w:szCs w:val="20"/>
              </w:rPr>
              <w:t>Excluded seven thalidomide trials from the 2012 IMWG consensus paper for MM maintenance therapy.</w:t>
            </w:r>
          </w:p>
          <w:p w:rsidR="00BF2294" w:rsidRPr="003A3555" w:rsidRDefault="00BF2294" w:rsidP="0050766B">
            <w:pPr>
              <w:widowControl/>
              <w:autoSpaceDE w:val="0"/>
              <w:autoSpaceDN w:val="0"/>
              <w:adjustRightInd w:val="0"/>
              <w:jc w:val="left"/>
              <w:rPr>
                <w:rFonts w:ascii="Arial Narrow" w:hAnsi="Arial Narrow" w:cs="Calibri+FPEF"/>
                <w:snapToGrid/>
                <w:sz w:val="20"/>
                <w:szCs w:val="20"/>
                <w:lang w:eastAsia="en-AU"/>
              </w:rPr>
            </w:pPr>
            <w:r w:rsidRPr="003A3555">
              <w:rPr>
                <w:rFonts w:ascii="Arial Narrow" w:hAnsi="Arial Narrow"/>
                <w:sz w:val="20"/>
                <w:szCs w:val="20"/>
              </w:rPr>
              <w:t>(</w:t>
            </w:r>
            <w:r w:rsidR="0050766B" w:rsidRPr="003A3555">
              <w:rPr>
                <w:rFonts w:ascii="Arial Narrow" w:hAnsi="Arial Narrow"/>
                <w:sz w:val="20"/>
                <w:szCs w:val="20"/>
              </w:rPr>
              <w:t>paragraph 7.11</w:t>
            </w:r>
            <w:r w:rsidR="0050766B">
              <w:rPr>
                <w:rFonts w:ascii="Arial Narrow" w:hAnsi="Arial Narrow"/>
                <w:sz w:val="20"/>
                <w:szCs w:val="20"/>
              </w:rPr>
              <w:t xml:space="preserve">, </w:t>
            </w:r>
            <w:proofErr w:type="spellStart"/>
            <w:r w:rsidRPr="003A3555">
              <w:rPr>
                <w:rFonts w:ascii="Arial Narrow" w:hAnsi="Arial Narrow"/>
                <w:sz w:val="20"/>
                <w:szCs w:val="20"/>
              </w:rPr>
              <w:t>Lenalidomide</w:t>
            </w:r>
            <w:proofErr w:type="spellEnd"/>
            <w:r w:rsidR="0050766B">
              <w:rPr>
                <w:rFonts w:ascii="Arial Narrow" w:hAnsi="Arial Narrow"/>
                <w:sz w:val="20"/>
                <w:szCs w:val="20"/>
              </w:rPr>
              <w:t xml:space="preserve"> PSD</w:t>
            </w:r>
            <w:r w:rsidRPr="003A3555">
              <w:rPr>
                <w:rFonts w:ascii="Arial Narrow" w:hAnsi="Arial Narrow"/>
                <w:sz w:val="20"/>
                <w:szCs w:val="20"/>
              </w:rPr>
              <w:t>, March 2018)</w:t>
            </w:r>
          </w:p>
        </w:tc>
        <w:tc>
          <w:tcPr>
            <w:tcW w:w="16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BF2294" w:rsidRPr="002D3AF3" w:rsidRDefault="005E7102" w:rsidP="00476EE6">
            <w:pPr>
              <w:pStyle w:val="TableText0"/>
              <w:spacing w:before="0" w:after="0"/>
              <w:rPr>
                <w:i/>
                <w:szCs w:val="20"/>
              </w:rPr>
            </w:pPr>
            <w:r w:rsidRPr="00D32723">
              <w:rPr>
                <w:szCs w:val="20"/>
              </w:rPr>
              <w:t>Partially addressed: MM6 and Myeloma XI (updated data cut</w:t>
            </w:r>
            <w:r w:rsidR="008A6909" w:rsidRPr="00D32723">
              <w:rPr>
                <w:szCs w:val="20"/>
              </w:rPr>
              <w:t>-</w:t>
            </w:r>
            <w:r w:rsidRPr="00D32723">
              <w:rPr>
                <w:szCs w:val="20"/>
              </w:rPr>
              <w:t>off Sept-17) included (not in ITC).</w:t>
            </w:r>
            <w:r w:rsidR="00BF2294" w:rsidRPr="00D32723">
              <w:rPr>
                <w:szCs w:val="20"/>
              </w:rPr>
              <w:t xml:space="preserve"> </w:t>
            </w:r>
          </w:p>
          <w:p w:rsidR="00BF2294" w:rsidRPr="00D32723" w:rsidRDefault="00BF2294" w:rsidP="00476EE6">
            <w:pPr>
              <w:pStyle w:val="TableText0"/>
              <w:spacing w:before="0" w:after="0"/>
              <w:rPr>
                <w:szCs w:val="20"/>
              </w:rPr>
            </w:pPr>
          </w:p>
          <w:p w:rsidR="005E7102" w:rsidRPr="00D32723" w:rsidRDefault="00BF2294" w:rsidP="00476EE6">
            <w:pPr>
              <w:pStyle w:val="TableText0"/>
              <w:spacing w:before="0" w:after="0"/>
              <w:rPr>
                <w:rFonts w:eastAsia="Calibri" w:cstheme="minorHAnsi"/>
                <w:szCs w:val="20"/>
              </w:rPr>
            </w:pPr>
            <w:r w:rsidRPr="00D32723">
              <w:rPr>
                <w:szCs w:val="20"/>
              </w:rPr>
              <w:t>Adequate reasons provided for including two and excluding five of the trials.</w:t>
            </w:r>
          </w:p>
        </w:tc>
      </w:tr>
      <w:tr w:rsidR="005E7102" w:rsidRPr="003A3555" w:rsidTr="004E5209">
        <w:tc>
          <w:tcPr>
            <w:tcW w:w="862" w:type="pct"/>
            <w:shd w:val="clear" w:color="auto" w:fill="auto"/>
            <w:tcMar>
              <w:left w:w="28" w:type="dxa"/>
              <w:right w:w="28" w:type="dxa"/>
            </w:tcMar>
          </w:tcPr>
          <w:p w:rsidR="005E7102" w:rsidRPr="003A3555" w:rsidRDefault="005E7102" w:rsidP="00720BC8">
            <w:pPr>
              <w:pStyle w:val="Tabletext"/>
              <w:rPr>
                <w:rFonts w:cstheme="minorHAnsi"/>
                <w:i/>
                <w:szCs w:val="20"/>
              </w:rPr>
            </w:pPr>
            <w:r w:rsidRPr="003A3555">
              <w:rPr>
                <w:szCs w:val="20"/>
              </w:rPr>
              <w:t xml:space="preserve">Indirect comparison </w:t>
            </w:r>
          </w:p>
        </w:tc>
        <w:tc>
          <w:tcPr>
            <w:tcW w:w="2467" w:type="pct"/>
            <w:shd w:val="clear" w:color="auto" w:fill="auto"/>
            <w:tcMar>
              <w:left w:w="28" w:type="dxa"/>
              <w:right w:w="28" w:type="dxa"/>
            </w:tcMar>
          </w:tcPr>
          <w:p w:rsidR="005E7102" w:rsidRPr="003A3555" w:rsidRDefault="005E7102" w:rsidP="00476EE6">
            <w:pPr>
              <w:pStyle w:val="Tabletext"/>
              <w:rPr>
                <w:szCs w:val="20"/>
              </w:rPr>
            </w:pPr>
            <w:r w:rsidRPr="003A3555">
              <w:rPr>
                <w:szCs w:val="20"/>
              </w:rPr>
              <w:t xml:space="preserve">Did not utilise ITT results from RCTs </w:t>
            </w:r>
            <w:r w:rsidR="00CF4517" w:rsidRPr="003A3555">
              <w:rPr>
                <w:szCs w:val="20"/>
              </w:rPr>
              <w:t xml:space="preserve">as excluded </w:t>
            </w:r>
            <w:r w:rsidRPr="003A3555">
              <w:rPr>
                <w:szCs w:val="20"/>
              </w:rPr>
              <w:t>patients not undergoing ASCT.</w:t>
            </w:r>
          </w:p>
          <w:p w:rsidR="005E7102" w:rsidRPr="003A3555" w:rsidRDefault="005E7102" w:rsidP="00476EE6">
            <w:pPr>
              <w:pStyle w:val="Tabletext"/>
              <w:rPr>
                <w:szCs w:val="20"/>
              </w:rPr>
            </w:pPr>
            <w:r w:rsidRPr="003A3555">
              <w:rPr>
                <w:szCs w:val="20"/>
              </w:rPr>
              <w:t>Approach to ITC (bespoke Bayesian fixed effects) inappropriate given trial heterogeneity</w:t>
            </w:r>
            <w:r w:rsidR="00BF2294" w:rsidRPr="003A3555">
              <w:rPr>
                <w:szCs w:val="20"/>
              </w:rPr>
              <w:t>.</w:t>
            </w:r>
            <w:r w:rsidRPr="003A3555">
              <w:rPr>
                <w:szCs w:val="20"/>
              </w:rPr>
              <w:t xml:space="preserve"> </w:t>
            </w:r>
          </w:p>
          <w:p w:rsidR="005E7102" w:rsidRPr="003A3555" w:rsidRDefault="005E7102" w:rsidP="00476EE6">
            <w:pPr>
              <w:pStyle w:val="Tabletext"/>
              <w:rPr>
                <w:szCs w:val="20"/>
              </w:rPr>
            </w:pPr>
            <w:r w:rsidRPr="003A3555">
              <w:rPr>
                <w:szCs w:val="20"/>
              </w:rPr>
              <w:t>Implausible results for thalidomide: Improved OS, no difference PFS.</w:t>
            </w:r>
          </w:p>
          <w:p w:rsidR="005E7102" w:rsidRPr="003A3555" w:rsidRDefault="005E7102" w:rsidP="00476EE6">
            <w:pPr>
              <w:pStyle w:val="TableText0"/>
              <w:spacing w:before="0" w:after="0"/>
              <w:rPr>
                <w:szCs w:val="20"/>
              </w:rPr>
            </w:pPr>
            <w:r w:rsidRPr="003A3555">
              <w:rPr>
                <w:szCs w:val="20"/>
              </w:rPr>
              <w:t xml:space="preserve">Included only </w:t>
            </w:r>
            <w:proofErr w:type="gramStart"/>
            <w:r w:rsidRPr="003A3555">
              <w:rPr>
                <w:szCs w:val="20"/>
              </w:rPr>
              <w:t>patients</w:t>
            </w:r>
            <w:proofErr w:type="gramEnd"/>
            <w:r w:rsidRPr="003A3555">
              <w:rPr>
                <w:szCs w:val="20"/>
              </w:rPr>
              <w:t xml:space="preserve"> post-ASCT.</w:t>
            </w:r>
          </w:p>
          <w:p w:rsidR="005E7102" w:rsidRPr="003A3555" w:rsidRDefault="005E7102" w:rsidP="0050766B">
            <w:pPr>
              <w:widowControl/>
              <w:autoSpaceDE w:val="0"/>
              <w:autoSpaceDN w:val="0"/>
              <w:adjustRightInd w:val="0"/>
              <w:jc w:val="left"/>
              <w:rPr>
                <w:rFonts w:ascii="Arial Narrow" w:hAnsi="Arial Narrow" w:cs="Calibri+FPEF"/>
                <w:snapToGrid/>
                <w:sz w:val="20"/>
                <w:szCs w:val="20"/>
                <w:lang w:eastAsia="en-AU"/>
              </w:rPr>
            </w:pPr>
            <w:r w:rsidRPr="003A3555">
              <w:rPr>
                <w:rFonts w:ascii="Arial Narrow" w:hAnsi="Arial Narrow"/>
                <w:sz w:val="20"/>
                <w:szCs w:val="20"/>
              </w:rPr>
              <w:t>(</w:t>
            </w:r>
            <w:r w:rsidR="0050766B">
              <w:rPr>
                <w:rFonts w:ascii="Arial Narrow" w:hAnsi="Arial Narrow"/>
                <w:sz w:val="20"/>
                <w:szCs w:val="20"/>
              </w:rPr>
              <w:t>paragraph 7.4 &amp;</w:t>
            </w:r>
            <w:r w:rsidR="0050766B" w:rsidRPr="003A3555">
              <w:rPr>
                <w:rFonts w:ascii="Arial Narrow" w:hAnsi="Arial Narrow"/>
                <w:sz w:val="20"/>
                <w:szCs w:val="20"/>
              </w:rPr>
              <w:t xml:space="preserve"> 7.5</w:t>
            </w:r>
            <w:r w:rsidR="0050766B">
              <w:rPr>
                <w:rFonts w:ascii="Arial Narrow" w:hAnsi="Arial Narrow"/>
                <w:sz w:val="20"/>
                <w:szCs w:val="20"/>
              </w:rPr>
              <w:t xml:space="preserve">, </w:t>
            </w:r>
            <w:proofErr w:type="spellStart"/>
            <w:r w:rsidRPr="003A3555">
              <w:rPr>
                <w:rFonts w:ascii="Arial Narrow" w:hAnsi="Arial Narrow"/>
                <w:sz w:val="20"/>
                <w:szCs w:val="20"/>
              </w:rPr>
              <w:t>Lenalidomide</w:t>
            </w:r>
            <w:proofErr w:type="spellEnd"/>
            <w:r w:rsidR="0050766B">
              <w:rPr>
                <w:rFonts w:ascii="Arial Narrow" w:hAnsi="Arial Narrow"/>
                <w:sz w:val="20"/>
                <w:szCs w:val="20"/>
              </w:rPr>
              <w:t xml:space="preserve"> PSD</w:t>
            </w:r>
            <w:r w:rsidRPr="003A3555">
              <w:rPr>
                <w:rFonts w:ascii="Arial Narrow" w:hAnsi="Arial Narrow"/>
                <w:sz w:val="20"/>
                <w:szCs w:val="20"/>
              </w:rPr>
              <w:t>, March 2018)</w:t>
            </w:r>
          </w:p>
        </w:tc>
        <w:tc>
          <w:tcPr>
            <w:tcW w:w="1671" w:type="pct"/>
            <w:shd w:val="clear" w:color="auto" w:fill="auto"/>
            <w:tcMar>
              <w:left w:w="28" w:type="dxa"/>
              <w:right w:w="28" w:type="dxa"/>
            </w:tcMar>
          </w:tcPr>
          <w:p w:rsidR="005E7102" w:rsidRPr="00D32723" w:rsidRDefault="005E7102" w:rsidP="00476EE6">
            <w:pPr>
              <w:pStyle w:val="Tabletext"/>
              <w:rPr>
                <w:szCs w:val="20"/>
              </w:rPr>
            </w:pPr>
            <w:r w:rsidRPr="00D32723">
              <w:rPr>
                <w:szCs w:val="20"/>
              </w:rPr>
              <w:t xml:space="preserve">Addressed: </w:t>
            </w:r>
          </w:p>
          <w:p w:rsidR="005E7102" w:rsidRPr="00D32723" w:rsidRDefault="005E7102" w:rsidP="00476EE6">
            <w:pPr>
              <w:pStyle w:val="Tabletext"/>
              <w:rPr>
                <w:szCs w:val="20"/>
              </w:rPr>
            </w:pPr>
            <w:r w:rsidRPr="00D32723">
              <w:rPr>
                <w:szCs w:val="20"/>
              </w:rPr>
              <w:t>Revised ITC (to include ITT) with sensitivity analysis for all patients and post-ASCT patients.</w:t>
            </w:r>
          </w:p>
          <w:p w:rsidR="005E7102" w:rsidRPr="00D32723" w:rsidRDefault="005E7102" w:rsidP="00476EE6">
            <w:pPr>
              <w:pStyle w:val="Tabletext"/>
              <w:rPr>
                <w:szCs w:val="20"/>
              </w:rPr>
            </w:pPr>
            <w:r w:rsidRPr="00D32723">
              <w:rPr>
                <w:szCs w:val="20"/>
              </w:rPr>
              <w:t>Random effects model used.</w:t>
            </w:r>
          </w:p>
          <w:p w:rsidR="005E7102" w:rsidRPr="00D32723" w:rsidRDefault="005E7102" w:rsidP="00476EE6">
            <w:pPr>
              <w:pStyle w:val="TableText0"/>
              <w:spacing w:before="0" w:after="0"/>
              <w:rPr>
                <w:rFonts w:cstheme="minorHAnsi"/>
                <w:szCs w:val="20"/>
                <w:lang w:val="en-GB"/>
              </w:rPr>
            </w:pPr>
            <w:r w:rsidRPr="00D32723">
              <w:rPr>
                <w:szCs w:val="20"/>
              </w:rPr>
              <w:t>(Pairwise frequentist ITC using updated trials)</w:t>
            </w:r>
          </w:p>
        </w:tc>
      </w:tr>
      <w:tr w:rsidR="005E7102" w:rsidRPr="003A3555" w:rsidTr="004E5209">
        <w:tc>
          <w:tcPr>
            <w:tcW w:w="862" w:type="pct"/>
            <w:shd w:val="clear" w:color="auto" w:fill="auto"/>
            <w:tcMar>
              <w:left w:w="28" w:type="dxa"/>
              <w:right w:w="28" w:type="dxa"/>
            </w:tcMar>
          </w:tcPr>
          <w:p w:rsidR="005E7102" w:rsidRPr="003A3555" w:rsidRDefault="005E7102" w:rsidP="00720BC8">
            <w:pPr>
              <w:pStyle w:val="Tabletext"/>
              <w:rPr>
                <w:szCs w:val="20"/>
              </w:rPr>
            </w:pPr>
            <w:r w:rsidRPr="003A3555">
              <w:rPr>
                <w:szCs w:val="20"/>
              </w:rPr>
              <w:t>Clinical claim</w:t>
            </w:r>
          </w:p>
        </w:tc>
        <w:tc>
          <w:tcPr>
            <w:tcW w:w="2467" w:type="pct"/>
            <w:shd w:val="clear" w:color="auto" w:fill="auto"/>
            <w:tcMar>
              <w:left w:w="28" w:type="dxa"/>
              <w:right w:w="28" w:type="dxa"/>
            </w:tcMar>
          </w:tcPr>
          <w:p w:rsidR="005E7102" w:rsidRPr="003A3555" w:rsidRDefault="005E7102" w:rsidP="00476EE6">
            <w:pPr>
              <w:pStyle w:val="Tabletext"/>
            </w:pPr>
            <w:r w:rsidRPr="003A3555">
              <w:rPr>
                <w:szCs w:val="20"/>
              </w:rPr>
              <w:t xml:space="preserve">Clinical claim </w:t>
            </w:r>
            <w:r w:rsidR="00BF2294" w:rsidRPr="003A3555">
              <w:rPr>
                <w:szCs w:val="20"/>
              </w:rPr>
              <w:t xml:space="preserve">of superiority </w:t>
            </w:r>
            <w:r w:rsidRPr="003A3555">
              <w:rPr>
                <w:szCs w:val="20"/>
              </w:rPr>
              <w:t>to thalidomide inappropriate (superior OS, non-inferior PFS and different safety)</w:t>
            </w:r>
            <w:r w:rsidR="00BF2294" w:rsidRPr="003A3555">
              <w:rPr>
                <w:szCs w:val="20"/>
              </w:rPr>
              <w:t>.</w:t>
            </w:r>
          </w:p>
          <w:p w:rsidR="005E7102" w:rsidRPr="003A3555" w:rsidRDefault="005E7102" w:rsidP="0050766B">
            <w:pPr>
              <w:widowControl/>
              <w:autoSpaceDE w:val="0"/>
              <w:autoSpaceDN w:val="0"/>
              <w:adjustRightInd w:val="0"/>
              <w:jc w:val="left"/>
              <w:rPr>
                <w:rFonts w:ascii="Arial Narrow" w:hAnsi="Arial Narrow" w:cs="Calibri+FPEF"/>
                <w:snapToGrid/>
                <w:sz w:val="20"/>
                <w:szCs w:val="20"/>
                <w:lang w:eastAsia="en-AU"/>
              </w:rPr>
            </w:pPr>
            <w:r w:rsidRPr="003A3555">
              <w:rPr>
                <w:rFonts w:ascii="Arial Narrow" w:hAnsi="Arial Narrow"/>
                <w:sz w:val="20"/>
                <w:szCs w:val="20"/>
              </w:rPr>
              <w:t>(</w:t>
            </w:r>
            <w:r w:rsidR="0050766B" w:rsidRPr="003A3555">
              <w:rPr>
                <w:rFonts w:ascii="Arial Narrow" w:hAnsi="Arial Narrow"/>
                <w:sz w:val="20"/>
                <w:szCs w:val="20"/>
              </w:rPr>
              <w:t>paragraph 7.14</w:t>
            </w:r>
            <w:r w:rsidR="0050766B">
              <w:rPr>
                <w:rFonts w:ascii="Arial Narrow" w:hAnsi="Arial Narrow"/>
                <w:sz w:val="20"/>
                <w:szCs w:val="20"/>
              </w:rPr>
              <w:t xml:space="preserve">, </w:t>
            </w:r>
            <w:proofErr w:type="spellStart"/>
            <w:r w:rsidRPr="003A3555">
              <w:rPr>
                <w:rFonts w:ascii="Arial Narrow" w:hAnsi="Arial Narrow"/>
                <w:sz w:val="20"/>
                <w:szCs w:val="20"/>
              </w:rPr>
              <w:t>Lenalidomide</w:t>
            </w:r>
            <w:proofErr w:type="spellEnd"/>
            <w:r w:rsidR="0050766B">
              <w:rPr>
                <w:rFonts w:ascii="Arial Narrow" w:hAnsi="Arial Narrow"/>
                <w:sz w:val="20"/>
                <w:szCs w:val="20"/>
              </w:rPr>
              <w:t xml:space="preserve"> PSD</w:t>
            </w:r>
            <w:r w:rsidRPr="003A3555">
              <w:rPr>
                <w:rFonts w:ascii="Arial Narrow" w:hAnsi="Arial Narrow"/>
                <w:sz w:val="20"/>
                <w:szCs w:val="20"/>
              </w:rPr>
              <w:t>, March 2018)</w:t>
            </w:r>
          </w:p>
        </w:tc>
        <w:tc>
          <w:tcPr>
            <w:tcW w:w="1671" w:type="pct"/>
            <w:shd w:val="clear" w:color="auto" w:fill="auto"/>
            <w:tcMar>
              <w:left w:w="28" w:type="dxa"/>
              <w:right w:w="28" w:type="dxa"/>
            </w:tcMar>
          </w:tcPr>
          <w:p w:rsidR="005E7102" w:rsidRPr="00D32723" w:rsidRDefault="005E7102" w:rsidP="00476EE6">
            <w:pPr>
              <w:pStyle w:val="Tabletext"/>
            </w:pPr>
            <w:r w:rsidRPr="00D32723">
              <w:rPr>
                <w:szCs w:val="20"/>
              </w:rPr>
              <w:t>Addressed: Thalidomide claim revised to non-inferior efficacy and different safety.</w:t>
            </w:r>
          </w:p>
        </w:tc>
      </w:tr>
      <w:tr w:rsidR="00BF2294" w:rsidRPr="003A3555" w:rsidTr="004E5209">
        <w:tc>
          <w:tcPr>
            <w:tcW w:w="5000" w:type="pct"/>
            <w:gridSpan w:val="3"/>
            <w:shd w:val="clear" w:color="auto" w:fill="auto"/>
            <w:tcMar>
              <w:left w:w="28" w:type="dxa"/>
              <w:right w:w="28" w:type="dxa"/>
            </w:tcMar>
          </w:tcPr>
          <w:p w:rsidR="00BF2294" w:rsidRPr="003A3555" w:rsidRDefault="00BF2294" w:rsidP="00476EE6">
            <w:pPr>
              <w:pStyle w:val="Tabletext"/>
              <w:rPr>
                <w:b/>
                <w:szCs w:val="20"/>
              </w:rPr>
            </w:pPr>
            <w:r w:rsidRPr="003A3555">
              <w:rPr>
                <w:b/>
                <w:szCs w:val="20"/>
              </w:rPr>
              <w:t>Economic</w:t>
            </w:r>
          </w:p>
        </w:tc>
      </w:tr>
      <w:tr w:rsidR="005E7102" w:rsidRPr="003A3555" w:rsidTr="004E5209">
        <w:tc>
          <w:tcPr>
            <w:tcW w:w="86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E7102" w:rsidRPr="003A3555" w:rsidRDefault="00BF2294" w:rsidP="00476EE6">
            <w:pPr>
              <w:pStyle w:val="Tabletext"/>
              <w:rPr>
                <w:rFonts w:cstheme="minorHAnsi"/>
                <w:i/>
                <w:szCs w:val="20"/>
              </w:rPr>
            </w:pPr>
            <w:r w:rsidRPr="003A3555">
              <w:rPr>
                <w:szCs w:val="20"/>
              </w:rPr>
              <w:t>Approach to the e</w:t>
            </w:r>
            <w:r w:rsidR="005E7102" w:rsidRPr="003A3555">
              <w:rPr>
                <w:szCs w:val="20"/>
              </w:rPr>
              <w:t>conomic</w:t>
            </w:r>
            <w:r w:rsidRPr="003A3555">
              <w:rPr>
                <w:szCs w:val="20"/>
              </w:rPr>
              <w:t xml:space="preserve"> analysis</w:t>
            </w:r>
          </w:p>
        </w:tc>
        <w:tc>
          <w:tcPr>
            <w:tcW w:w="246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E7102" w:rsidRPr="003A3555" w:rsidRDefault="005E7102" w:rsidP="00476EE6">
            <w:pPr>
              <w:widowControl/>
              <w:rPr>
                <w:rFonts w:ascii="Arial Narrow" w:hAnsi="Arial Narrow"/>
                <w:i/>
                <w:sz w:val="20"/>
                <w:szCs w:val="20"/>
              </w:rPr>
            </w:pPr>
            <w:r w:rsidRPr="003A3555">
              <w:rPr>
                <w:rFonts w:ascii="Arial Narrow" w:hAnsi="Arial Narrow"/>
                <w:sz w:val="20"/>
                <w:szCs w:val="20"/>
              </w:rPr>
              <w:t>Lack of support for a CEA compared with thalidomide (CMA more appropriate)</w:t>
            </w:r>
            <w:r w:rsidR="00BF2294" w:rsidRPr="003A3555">
              <w:rPr>
                <w:rFonts w:ascii="Arial Narrow" w:hAnsi="Arial Narrow"/>
                <w:sz w:val="20"/>
                <w:szCs w:val="20"/>
              </w:rPr>
              <w:t>.</w:t>
            </w:r>
          </w:p>
        </w:tc>
        <w:tc>
          <w:tcPr>
            <w:tcW w:w="16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E7102" w:rsidRPr="00D32723" w:rsidRDefault="005E7102" w:rsidP="00476EE6">
            <w:pPr>
              <w:pStyle w:val="TableText0"/>
              <w:spacing w:before="0" w:after="0"/>
              <w:rPr>
                <w:rFonts w:cstheme="minorHAnsi"/>
                <w:szCs w:val="20"/>
              </w:rPr>
            </w:pPr>
            <w:r w:rsidRPr="00D32723">
              <w:rPr>
                <w:szCs w:val="20"/>
              </w:rPr>
              <w:t xml:space="preserve">Addressed: CEA for </w:t>
            </w:r>
            <w:proofErr w:type="spellStart"/>
            <w:r w:rsidRPr="00D32723">
              <w:rPr>
                <w:szCs w:val="20"/>
              </w:rPr>
              <w:t>lenalidomide</w:t>
            </w:r>
            <w:proofErr w:type="spellEnd"/>
            <w:r w:rsidRPr="00D32723">
              <w:rPr>
                <w:szCs w:val="20"/>
              </w:rPr>
              <w:t xml:space="preserve"> with BSC</w:t>
            </w:r>
            <w:proofErr w:type="gramStart"/>
            <w:r w:rsidRPr="00D32723">
              <w:rPr>
                <w:szCs w:val="20"/>
              </w:rPr>
              <w:t>;</w:t>
            </w:r>
            <w:proofErr w:type="gramEnd"/>
            <w:r w:rsidRPr="00D32723">
              <w:rPr>
                <w:szCs w:val="20"/>
              </w:rPr>
              <w:t xml:space="preserve"> CMA for </w:t>
            </w:r>
            <w:proofErr w:type="spellStart"/>
            <w:r w:rsidRPr="00D32723">
              <w:rPr>
                <w:szCs w:val="20"/>
              </w:rPr>
              <w:t>lenalidomide</w:t>
            </w:r>
            <w:proofErr w:type="spellEnd"/>
            <w:r w:rsidRPr="00D32723">
              <w:rPr>
                <w:szCs w:val="20"/>
              </w:rPr>
              <w:t xml:space="preserve"> with thalidomide.</w:t>
            </w:r>
          </w:p>
        </w:tc>
      </w:tr>
      <w:tr w:rsidR="005E7102" w:rsidRPr="003A3555" w:rsidTr="004E5209">
        <w:tc>
          <w:tcPr>
            <w:tcW w:w="862" w:type="pct"/>
            <w:shd w:val="clear" w:color="auto" w:fill="auto"/>
            <w:tcMar>
              <w:left w:w="28" w:type="dxa"/>
              <w:right w:w="28" w:type="dxa"/>
            </w:tcMar>
          </w:tcPr>
          <w:p w:rsidR="005E7102" w:rsidRPr="003A3555" w:rsidRDefault="005E7102" w:rsidP="00476EE6">
            <w:pPr>
              <w:pStyle w:val="Tabletext"/>
              <w:rPr>
                <w:szCs w:val="20"/>
              </w:rPr>
            </w:pPr>
            <w:r w:rsidRPr="003A3555">
              <w:rPr>
                <w:szCs w:val="20"/>
              </w:rPr>
              <w:t>Time horizon</w:t>
            </w:r>
          </w:p>
        </w:tc>
        <w:tc>
          <w:tcPr>
            <w:tcW w:w="2467" w:type="pct"/>
            <w:shd w:val="clear" w:color="auto" w:fill="auto"/>
            <w:tcMar>
              <w:left w:w="28" w:type="dxa"/>
              <w:right w:w="28" w:type="dxa"/>
            </w:tcMar>
          </w:tcPr>
          <w:p w:rsidR="005E7102" w:rsidRPr="003A3555" w:rsidRDefault="005E7102" w:rsidP="00476EE6">
            <w:pPr>
              <w:pStyle w:val="TableText0"/>
              <w:spacing w:before="0" w:after="0"/>
              <w:rPr>
                <w:szCs w:val="20"/>
              </w:rPr>
            </w:pPr>
            <w:r w:rsidRPr="003A3555">
              <w:rPr>
                <w:szCs w:val="20"/>
              </w:rPr>
              <w:t xml:space="preserve">25 years was too long, and 15 years </w:t>
            </w:r>
            <w:r w:rsidR="00C67E3C" w:rsidRPr="003A3555">
              <w:rPr>
                <w:szCs w:val="20"/>
              </w:rPr>
              <w:t xml:space="preserve">considered </w:t>
            </w:r>
            <w:r w:rsidRPr="003A3555">
              <w:rPr>
                <w:szCs w:val="20"/>
              </w:rPr>
              <w:t>more appropriate.</w:t>
            </w:r>
          </w:p>
          <w:p w:rsidR="005E7102" w:rsidRPr="003A3555" w:rsidRDefault="005E7102" w:rsidP="0050766B">
            <w:pPr>
              <w:pStyle w:val="TableText0"/>
              <w:spacing w:before="0" w:after="0"/>
              <w:rPr>
                <w:szCs w:val="20"/>
              </w:rPr>
            </w:pPr>
            <w:r w:rsidRPr="003A3555">
              <w:rPr>
                <w:szCs w:val="20"/>
              </w:rPr>
              <w:t>(</w:t>
            </w:r>
            <w:r w:rsidR="0050766B" w:rsidRPr="003A3555">
              <w:rPr>
                <w:szCs w:val="20"/>
              </w:rPr>
              <w:t>paragraph 2.5</w:t>
            </w:r>
            <w:r w:rsidR="0050766B">
              <w:rPr>
                <w:szCs w:val="20"/>
              </w:rPr>
              <w:t xml:space="preserve">, </w:t>
            </w:r>
            <w:proofErr w:type="spellStart"/>
            <w:r w:rsidRPr="003A3555">
              <w:rPr>
                <w:szCs w:val="20"/>
              </w:rPr>
              <w:t>Lenalidomide</w:t>
            </w:r>
            <w:proofErr w:type="spellEnd"/>
            <w:r w:rsidR="0050766B">
              <w:rPr>
                <w:szCs w:val="20"/>
              </w:rPr>
              <w:t xml:space="preserve"> PSD</w:t>
            </w:r>
            <w:r w:rsidRPr="003A3555">
              <w:rPr>
                <w:szCs w:val="20"/>
              </w:rPr>
              <w:t>, March 2018)</w:t>
            </w:r>
          </w:p>
        </w:tc>
        <w:tc>
          <w:tcPr>
            <w:tcW w:w="1671" w:type="pct"/>
            <w:shd w:val="clear" w:color="auto" w:fill="auto"/>
            <w:tcMar>
              <w:left w:w="28" w:type="dxa"/>
              <w:right w:w="28" w:type="dxa"/>
            </w:tcMar>
          </w:tcPr>
          <w:p w:rsidR="005E7102" w:rsidRPr="00D32723" w:rsidRDefault="005E7102" w:rsidP="00476EE6">
            <w:pPr>
              <w:pStyle w:val="TableText0"/>
              <w:spacing w:before="0" w:after="0"/>
              <w:rPr>
                <w:szCs w:val="20"/>
              </w:rPr>
            </w:pPr>
            <w:r w:rsidRPr="00D32723">
              <w:rPr>
                <w:szCs w:val="20"/>
              </w:rPr>
              <w:t xml:space="preserve">Addressed: 15 years </w:t>
            </w:r>
            <w:r w:rsidR="00435D63" w:rsidRPr="00D32723">
              <w:rPr>
                <w:szCs w:val="20"/>
              </w:rPr>
              <w:t>(</w:t>
            </w:r>
            <w:r w:rsidRPr="00D32723">
              <w:rPr>
                <w:szCs w:val="20"/>
              </w:rPr>
              <w:t xml:space="preserve">vs 6 years </w:t>
            </w:r>
            <w:r w:rsidR="00435D63" w:rsidRPr="00D32723">
              <w:rPr>
                <w:szCs w:val="20"/>
              </w:rPr>
              <w:t xml:space="preserve">in </w:t>
            </w:r>
            <w:r w:rsidRPr="00D32723">
              <w:rPr>
                <w:szCs w:val="20"/>
              </w:rPr>
              <w:t>CALGB).</w:t>
            </w:r>
          </w:p>
        </w:tc>
      </w:tr>
      <w:tr w:rsidR="005E7102" w:rsidRPr="003A3555" w:rsidTr="004E5209">
        <w:tc>
          <w:tcPr>
            <w:tcW w:w="862" w:type="pct"/>
            <w:shd w:val="clear" w:color="auto" w:fill="auto"/>
            <w:tcMar>
              <w:left w:w="28" w:type="dxa"/>
              <w:right w:w="28" w:type="dxa"/>
            </w:tcMar>
          </w:tcPr>
          <w:p w:rsidR="005E7102" w:rsidRPr="003A3555" w:rsidRDefault="00BF2294" w:rsidP="00476EE6">
            <w:pPr>
              <w:pStyle w:val="Tabletext"/>
              <w:rPr>
                <w:szCs w:val="20"/>
              </w:rPr>
            </w:pPr>
            <w:r w:rsidRPr="003A3555">
              <w:rPr>
                <w:szCs w:val="20"/>
              </w:rPr>
              <w:t>Basis of evidence in model</w:t>
            </w:r>
          </w:p>
        </w:tc>
        <w:tc>
          <w:tcPr>
            <w:tcW w:w="2467" w:type="pct"/>
            <w:shd w:val="clear" w:color="auto" w:fill="auto"/>
            <w:tcMar>
              <w:left w:w="28" w:type="dxa"/>
              <w:right w:w="28" w:type="dxa"/>
            </w:tcMar>
          </w:tcPr>
          <w:p w:rsidR="005E7102" w:rsidRPr="003A3555" w:rsidRDefault="005E7102" w:rsidP="00476EE6">
            <w:pPr>
              <w:pStyle w:val="Tabletext"/>
              <w:rPr>
                <w:szCs w:val="20"/>
              </w:rPr>
            </w:pPr>
            <w:r w:rsidRPr="003A3555">
              <w:rPr>
                <w:szCs w:val="20"/>
              </w:rPr>
              <w:t>Used PFS and OS fitted curve for the entire time horizon (CALGB trial).</w:t>
            </w:r>
          </w:p>
          <w:p w:rsidR="005E7102" w:rsidRPr="003A3555" w:rsidRDefault="005E7102" w:rsidP="0050766B">
            <w:pPr>
              <w:widowControl/>
              <w:autoSpaceDE w:val="0"/>
              <w:autoSpaceDN w:val="0"/>
              <w:adjustRightInd w:val="0"/>
              <w:jc w:val="left"/>
              <w:rPr>
                <w:rFonts w:ascii="Arial Narrow" w:hAnsi="Arial Narrow" w:cs="Calibri+FPEF"/>
                <w:snapToGrid/>
                <w:sz w:val="20"/>
                <w:szCs w:val="20"/>
                <w:lang w:eastAsia="en-AU"/>
              </w:rPr>
            </w:pPr>
            <w:r w:rsidRPr="003A3555">
              <w:rPr>
                <w:rFonts w:ascii="Arial Narrow" w:hAnsi="Arial Narrow"/>
                <w:sz w:val="20"/>
                <w:szCs w:val="20"/>
              </w:rPr>
              <w:t>(</w:t>
            </w:r>
            <w:r w:rsidR="0050766B" w:rsidRPr="003A3555">
              <w:rPr>
                <w:rFonts w:ascii="Arial Narrow" w:hAnsi="Arial Narrow"/>
                <w:sz w:val="20"/>
                <w:szCs w:val="20"/>
              </w:rPr>
              <w:t>paragraph 6.40</w:t>
            </w:r>
            <w:r w:rsidR="0050766B">
              <w:rPr>
                <w:rFonts w:ascii="Arial Narrow" w:hAnsi="Arial Narrow"/>
                <w:sz w:val="20"/>
                <w:szCs w:val="20"/>
              </w:rPr>
              <w:t xml:space="preserve">, </w:t>
            </w:r>
            <w:proofErr w:type="spellStart"/>
            <w:r w:rsidRPr="003A3555">
              <w:rPr>
                <w:rFonts w:ascii="Arial Narrow" w:hAnsi="Arial Narrow"/>
                <w:sz w:val="20"/>
                <w:szCs w:val="20"/>
              </w:rPr>
              <w:t>Lenalidomide</w:t>
            </w:r>
            <w:proofErr w:type="spellEnd"/>
            <w:r w:rsidR="0050766B">
              <w:rPr>
                <w:rFonts w:ascii="Arial Narrow" w:hAnsi="Arial Narrow"/>
                <w:sz w:val="20"/>
                <w:szCs w:val="20"/>
              </w:rPr>
              <w:t xml:space="preserve"> PSD</w:t>
            </w:r>
            <w:r w:rsidRPr="003A3555">
              <w:rPr>
                <w:rFonts w:ascii="Arial Narrow" w:hAnsi="Arial Narrow"/>
                <w:sz w:val="20"/>
                <w:szCs w:val="20"/>
              </w:rPr>
              <w:t>, March 2018)</w:t>
            </w:r>
          </w:p>
        </w:tc>
        <w:tc>
          <w:tcPr>
            <w:tcW w:w="1671" w:type="pct"/>
            <w:shd w:val="clear" w:color="auto" w:fill="auto"/>
            <w:tcMar>
              <w:left w:w="28" w:type="dxa"/>
              <w:right w:w="28" w:type="dxa"/>
            </w:tcMar>
          </w:tcPr>
          <w:p w:rsidR="005E7102" w:rsidRPr="00D32723" w:rsidRDefault="005E7102" w:rsidP="005579B2">
            <w:pPr>
              <w:pStyle w:val="Tabletext"/>
              <w:rPr>
                <w:rFonts w:cstheme="minorHAnsi"/>
                <w:szCs w:val="20"/>
                <w:lang w:val="en-GB"/>
              </w:rPr>
            </w:pPr>
            <w:r w:rsidRPr="00D32723">
              <w:rPr>
                <w:szCs w:val="20"/>
              </w:rPr>
              <w:t xml:space="preserve">Modified as </w:t>
            </w:r>
            <w:proofErr w:type="gramStart"/>
            <w:r w:rsidRPr="00D32723">
              <w:rPr>
                <w:szCs w:val="20"/>
              </w:rPr>
              <w:t>requested:</w:t>
            </w:r>
            <w:proofErr w:type="gramEnd"/>
            <w:r w:rsidRPr="00D32723">
              <w:rPr>
                <w:szCs w:val="20"/>
              </w:rPr>
              <w:t xml:space="preserve"> OS and PFS were extrapolated from CALGB and applied t</w:t>
            </w:r>
            <w:r w:rsidR="00BF2294" w:rsidRPr="00D32723">
              <w:rPr>
                <w:szCs w:val="20"/>
              </w:rPr>
              <w:t>o KM in</w:t>
            </w:r>
            <w:r w:rsidRPr="00D32723">
              <w:rPr>
                <w:szCs w:val="20"/>
              </w:rPr>
              <w:t xml:space="preserve"> the model </w:t>
            </w:r>
            <w:r w:rsidR="00BF2294" w:rsidRPr="00D32723">
              <w:rPr>
                <w:szCs w:val="20"/>
              </w:rPr>
              <w:t xml:space="preserve">from </w:t>
            </w:r>
            <w:r w:rsidRPr="00D32723">
              <w:rPr>
                <w:szCs w:val="20"/>
              </w:rPr>
              <w:t xml:space="preserve">median follow-up (72 months). </w:t>
            </w:r>
          </w:p>
        </w:tc>
      </w:tr>
      <w:tr w:rsidR="005E7102" w:rsidRPr="003A3555" w:rsidTr="004E5209">
        <w:tc>
          <w:tcPr>
            <w:tcW w:w="862" w:type="pct"/>
            <w:shd w:val="clear" w:color="auto" w:fill="auto"/>
            <w:tcMar>
              <w:left w:w="28" w:type="dxa"/>
              <w:right w:w="28" w:type="dxa"/>
            </w:tcMar>
          </w:tcPr>
          <w:p w:rsidR="005E7102" w:rsidRPr="003A3555" w:rsidRDefault="005E7102" w:rsidP="00476EE6">
            <w:pPr>
              <w:pStyle w:val="Tabletext"/>
              <w:rPr>
                <w:rFonts w:cstheme="minorHAnsi"/>
                <w:i/>
                <w:szCs w:val="20"/>
              </w:rPr>
            </w:pPr>
            <w:r w:rsidRPr="003A3555">
              <w:rPr>
                <w:szCs w:val="20"/>
              </w:rPr>
              <w:t>Dose per cycle</w:t>
            </w:r>
          </w:p>
        </w:tc>
        <w:tc>
          <w:tcPr>
            <w:tcW w:w="2467" w:type="pct"/>
            <w:shd w:val="clear" w:color="auto" w:fill="auto"/>
            <w:tcMar>
              <w:left w:w="28" w:type="dxa"/>
              <w:right w:w="28" w:type="dxa"/>
            </w:tcMar>
          </w:tcPr>
          <w:p w:rsidR="005E7102" w:rsidRPr="00D32723" w:rsidRDefault="00C60F2C" w:rsidP="00476EE6">
            <w:pPr>
              <w:pStyle w:val="TableText0"/>
              <w:spacing w:before="0" w:after="0"/>
              <w:rPr>
                <w:szCs w:val="20"/>
              </w:rPr>
            </w:pPr>
            <w:r>
              <w:rPr>
                <w:szCs w:val="20"/>
              </w:rPr>
              <w:t>Sourced from IFM</w:t>
            </w:r>
            <w:r w:rsidR="005E7102" w:rsidRPr="00D32723">
              <w:rPr>
                <w:szCs w:val="20"/>
              </w:rPr>
              <w:t xml:space="preserve">2005-02 trial, since unavailable for CALGB. There is a mismatch between the assumed efficacy and the drug dose required to achieve it used within the economic evaluation. IFM2005-02 included a consolidation dose of </w:t>
            </w:r>
            <w:proofErr w:type="spellStart"/>
            <w:r w:rsidR="005E7102" w:rsidRPr="00D32723">
              <w:rPr>
                <w:szCs w:val="20"/>
              </w:rPr>
              <w:t>lenalidomide</w:t>
            </w:r>
            <w:proofErr w:type="spellEnd"/>
            <w:r w:rsidR="005E7102" w:rsidRPr="00D32723">
              <w:rPr>
                <w:szCs w:val="20"/>
              </w:rPr>
              <w:t xml:space="preserve"> 25 mg, and </w:t>
            </w:r>
            <w:r w:rsidR="00584D6E">
              <w:rPr>
                <w:szCs w:val="20"/>
              </w:rPr>
              <w:t>lower</w:t>
            </w:r>
            <w:r w:rsidR="00584D6E" w:rsidRPr="00D32723">
              <w:rPr>
                <w:szCs w:val="20"/>
              </w:rPr>
              <w:t xml:space="preserve"> </w:t>
            </w:r>
            <w:r w:rsidR="005E7102" w:rsidRPr="00D32723">
              <w:rPr>
                <w:szCs w:val="20"/>
              </w:rPr>
              <w:t>maintenance dose of 2.5 mg, in addition to 5 mg, 10 mg and 15 mg.</w:t>
            </w:r>
          </w:p>
          <w:p w:rsidR="005E7102" w:rsidRPr="00D32723" w:rsidRDefault="005E7102" w:rsidP="0050766B">
            <w:pPr>
              <w:widowControl/>
              <w:autoSpaceDE w:val="0"/>
              <w:autoSpaceDN w:val="0"/>
              <w:adjustRightInd w:val="0"/>
              <w:jc w:val="left"/>
              <w:rPr>
                <w:rFonts w:ascii="Arial Narrow" w:hAnsi="Arial Narrow" w:cs="Calibri+FPEF"/>
                <w:snapToGrid/>
                <w:sz w:val="20"/>
                <w:szCs w:val="20"/>
                <w:lang w:eastAsia="en-AU"/>
              </w:rPr>
            </w:pPr>
            <w:r w:rsidRPr="00D32723">
              <w:rPr>
                <w:rFonts w:ascii="Arial Narrow" w:hAnsi="Arial Narrow"/>
                <w:sz w:val="20"/>
                <w:szCs w:val="20"/>
              </w:rPr>
              <w:t>(</w:t>
            </w:r>
            <w:r w:rsidR="0050766B" w:rsidRPr="00D32723">
              <w:rPr>
                <w:rFonts w:ascii="Arial Narrow" w:hAnsi="Arial Narrow"/>
                <w:sz w:val="20"/>
                <w:szCs w:val="20"/>
              </w:rPr>
              <w:t>paragraph 6.42</w:t>
            </w:r>
            <w:r w:rsidR="0050766B">
              <w:rPr>
                <w:rFonts w:ascii="Arial Narrow" w:hAnsi="Arial Narrow"/>
                <w:sz w:val="20"/>
                <w:szCs w:val="20"/>
              </w:rPr>
              <w:t xml:space="preserve">, </w:t>
            </w:r>
            <w:proofErr w:type="spellStart"/>
            <w:r w:rsidRPr="00D32723">
              <w:rPr>
                <w:rFonts w:ascii="Arial Narrow" w:hAnsi="Arial Narrow"/>
                <w:sz w:val="20"/>
                <w:szCs w:val="20"/>
              </w:rPr>
              <w:t>Lenalidomide</w:t>
            </w:r>
            <w:proofErr w:type="spellEnd"/>
            <w:r w:rsidR="0050766B">
              <w:rPr>
                <w:rFonts w:ascii="Arial Narrow" w:hAnsi="Arial Narrow"/>
                <w:sz w:val="20"/>
                <w:szCs w:val="20"/>
              </w:rPr>
              <w:t xml:space="preserve"> PSD</w:t>
            </w:r>
            <w:r w:rsidRPr="00D32723">
              <w:rPr>
                <w:rFonts w:ascii="Arial Narrow" w:hAnsi="Arial Narrow"/>
                <w:sz w:val="20"/>
                <w:szCs w:val="20"/>
              </w:rPr>
              <w:t>, March 2018)</w:t>
            </w:r>
          </w:p>
        </w:tc>
        <w:tc>
          <w:tcPr>
            <w:tcW w:w="1671" w:type="pct"/>
            <w:shd w:val="clear" w:color="auto" w:fill="auto"/>
            <w:tcMar>
              <w:left w:w="28" w:type="dxa"/>
              <w:right w:w="28" w:type="dxa"/>
            </w:tcMar>
          </w:tcPr>
          <w:p w:rsidR="005E7102" w:rsidRPr="00DC0994" w:rsidRDefault="005E7102" w:rsidP="00C60F2C">
            <w:pPr>
              <w:pStyle w:val="TableText0"/>
              <w:spacing w:before="0" w:after="0"/>
              <w:rPr>
                <w:rFonts w:cstheme="minorHAnsi"/>
                <w:szCs w:val="20"/>
                <w:lang w:val="en-GB"/>
              </w:rPr>
            </w:pPr>
            <w:r w:rsidRPr="00DC0994">
              <w:rPr>
                <w:szCs w:val="20"/>
              </w:rPr>
              <w:t>Not addressed.</w:t>
            </w:r>
            <w:r w:rsidR="001B7971">
              <w:rPr>
                <w:szCs w:val="20"/>
              </w:rPr>
              <w:t xml:space="preserve"> </w:t>
            </w:r>
            <w:r w:rsidR="001B7971" w:rsidRPr="00720BC8">
              <w:rPr>
                <w:szCs w:val="20"/>
              </w:rPr>
              <w:t>The ESC noted that the average daily do</w:t>
            </w:r>
            <w:r w:rsidR="00891F2E">
              <w:rPr>
                <w:szCs w:val="20"/>
              </w:rPr>
              <w:t xml:space="preserve">se of </w:t>
            </w:r>
            <w:proofErr w:type="spellStart"/>
            <w:r w:rsidR="00891F2E">
              <w:rPr>
                <w:szCs w:val="20"/>
              </w:rPr>
              <w:t>lenalidomide</w:t>
            </w:r>
            <w:proofErr w:type="spellEnd"/>
            <w:r w:rsidR="00891F2E">
              <w:rPr>
                <w:szCs w:val="20"/>
              </w:rPr>
              <w:t xml:space="preserve"> in IFM2005-</w:t>
            </w:r>
            <w:r w:rsidR="00891F2E" w:rsidRPr="001172EE">
              <w:rPr>
                <w:szCs w:val="20"/>
              </w:rPr>
              <w:t>02</w:t>
            </w:r>
            <w:r w:rsidR="001B7971" w:rsidRPr="001172EE">
              <w:rPr>
                <w:szCs w:val="20"/>
              </w:rPr>
              <w:t xml:space="preserve"> was </w:t>
            </w:r>
            <w:r w:rsidR="001D6F6D">
              <w:rPr>
                <w:noProof/>
                <w:color w:val="000000"/>
                <w:szCs w:val="20"/>
                <w:highlight w:val="black"/>
              </w:rPr>
              <w:t>''''''''''</w:t>
            </w:r>
            <w:r w:rsidR="00891F2E" w:rsidRPr="001172EE">
              <w:rPr>
                <w:szCs w:val="20"/>
              </w:rPr>
              <w:t xml:space="preserve"> </w:t>
            </w:r>
            <w:r w:rsidR="001B7971" w:rsidRPr="001172EE">
              <w:rPr>
                <w:szCs w:val="20"/>
              </w:rPr>
              <w:t>mg. This</w:t>
            </w:r>
            <w:r w:rsidR="001B7971" w:rsidRPr="00720BC8">
              <w:rPr>
                <w:szCs w:val="20"/>
              </w:rPr>
              <w:t xml:space="preserve"> was consistent with the recommended daily dose in the PI of 10 mg/day, increasing to 15 mg/day if tolerated, as the PBAC </w:t>
            </w:r>
            <w:r w:rsidR="00C67E3C">
              <w:rPr>
                <w:szCs w:val="20"/>
              </w:rPr>
              <w:t xml:space="preserve">previously </w:t>
            </w:r>
            <w:r w:rsidR="001B7971" w:rsidRPr="00720BC8">
              <w:rPr>
                <w:szCs w:val="20"/>
              </w:rPr>
              <w:t>noted that relatively few patients would increase to 15 mg/day due to toxicity issues (</w:t>
            </w:r>
            <w:r w:rsidR="0050766B" w:rsidRPr="00720BC8">
              <w:rPr>
                <w:szCs w:val="20"/>
              </w:rPr>
              <w:t>paragraph 7.7</w:t>
            </w:r>
            <w:r w:rsidR="0050766B">
              <w:rPr>
                <w:szCs w:val="20"/>
              </w:rPr>
              <w:t xml:space="preserve">, </w:t>
            </w:r>
            <w:proofErr w:type="spellStart"/>
            <w:r w:rsidR="001B7971" w:rsidRPr="00720BC8">
              <w:rPr>
                <w:szCs w:val="20"/>
              </w:rPr>
              <w:t>Lenalidomide</w:t>
            </w:r>
            <w:proofErr w:type="spellEnd"/>
            <w:r w:rsidR="0050766B">
              <w:rPr>
                <w:szCs w:val="20"/>
              </w:rPr>
              <w:t xml:space="preserve"> PSD, March 2018</w:t>
            </w:r>
            <w:r w:rsidR="001B7971" w:rsidRPr="00720BC8">
              <w:rPr>
                <w:szCs w:val="20"/>
              </w:rPr>
              <w:t>).</w:t>
            </w:r>
            <w:r w:rsidR="001B7971">
              <w:rPr>
                <w:szCs w:val="20"/>
              </w:rPr>
              <w:t xml:space="preserve"> </w:t>
            </w:r>
          </w:p>
        </w:tc>
      </w:tr>
      <w:tr w:rsidR="005E7102" w:rsidRPr="003A3555" w:rsidTr="004E5209">
        <w:tc>
          <w:tcPr>
            <w:tcW w:w="862" w:type="pct"/>
            <w:shd w:val="clear" w:color="auto" w:fill="auto"/>
            <w:tcMar>
              <w:left w:w="28" w:type="dxa"/>
              <w:right w:w="28" w:type="dxa"/>
            </w:tcMar>
          </w:tcPr>
          <w:p w:rsidR="005E7102" w:rsidRPr="003A3555" w:rsidRDefault="005E7102" w:rsidP="00476EE6">
            <w:pPr>
              <w:pStyle w:val="Tabletext"/>
              <w:rPr>
                <w:rFonts w:cstheme="minorHAnsi"/>
                <w:i/>
                <w:szCs w:val="20"/>
              </w:rPr>
            </w:pPr>
            <w:r w:rsidRPr="003A3555">
              <w:rPr>
                <w:szCs w:val="20"/>
              </w:rPr>
              <w:t>Utilities</w:t>
            </w:r>
          </w:p>
        </w:tc>
        <w:tc>
          <w:tcPr>
            <w:tcW w:w="2467" w:type="pct"/>
            <w:shd w:val="clear" w:color="auto" w:fill="auto"/>
            <w:tcMar>
              <w:left w:w="28" w:type="dxa"/>
              <w:right w:w="28" w:type="dxa"/>
            </w:tcMar>
          </w:tcPr>
          <w:p w:rsidR="005E7102" w:rsidRPr="00D32723" w:rsidRDefault="005E7102" w:rsidP="00476EE6">
            <w:pPr>
              <w:pStyle w:val="TableText0"/>
              <w:spacing w:before="0" w:after="0"/>
              <w:rPr>
                <w:szCs w:val="20"/>
              </w:rPr>
            </w:pPr>
            <w:r w:rsidRPr="00D32723">
              <w:rPr>
                <w:szCs w:val="20"/>
              </w:rPr>
              <w:t>Unrealistic differential PF utility values</w:t>
            </w:r>
            <w:r w:rsidR="00BF2294" w:rsidRPr="00D32723">
              <w:rPr>
                <w:szCs w:val="20"/>
              </w:rPr>
              <w:t xml:space="preserve">, being </w:t>
            </w:r>
            <w:r w:rsidRPr="00D32723">
              <w:rPr>
                <w:szCs w:val="20"/>
              </w:rPr>
              <w:t xml:space="preserve">higher for </w:t>
            </w:r>
            <w:proofErr w:type="spellStart"/>
            <w:r w:rsidRPr="00D32723">
              <w:rPr>
                <w:szCs w:val="20"/>
              </w:rPr>
              <w:t>lenalidomide</w:t>
            </w:r>
            <w:proofErr w:type="spellEnd"/>
            <w:r w:rsidRPr="00D32723">
              <w:rPr>
                <w:szCs w:val="20"/>
              </w:rPr>
              <w:t xml:space="preserve"> (</w:t>
            </w:r>
            <w:proofErr w:type="spellStart"/>
            <w:r w:rsidRPr="00D32723">
              <w:rPr>
                <w:szCs w:val="20"/>
              </w:rPr>
              <w:t>lenalidomide</w:t>
            </w:r>
            <w:proofErr w:type="spellEnd"/>
            <w:r w:rsidRPr="00D32723">
              <w:rPr>
                <w:szCs w:val="20"/>
              </w:rPr>
              <w:t xml:space="preserve"> 0.795, BSC at 0.780). This is inconsistent with the clinical claim.</w:t>
            </w:r>
          </w:p>
          <w:p w:rsidR="005E7102" w:rsidRPr="00D32723" w:rsidRDefault="005E7102" w:rsidP="0050766B">
            <w:pPr>
              <w:widowControl/>
              <w:autoSpaceDE w:val="0"/>
              <w:autoSpaceDN w:val="0"/>
              <w:adjustRightInd w:val="0"/>
              <w:jc w:val="left"/>
              <w:rPr>
                <w:rFonts w:ascii="Arial Narrow" w:hAnsi="Arial Narrow"/>
                <w:sz w:val="20"/>
                <w:szCs w:val="20"/>
              </w:rPr>
            </w:pPr>
            <w:r w:rsidRPr="00D32723">
              <w:rPr>
                <w:rFonts w:ascii="Arial Narrow" w:hAnsi="Arial Narrow"/>
                <w:sz w:val="20"/>
                <w:szCs w:val="20"/>
              </w:rPr>
              <w:t>(</w:t>
            </w:r>
            <w:r w:rsidR="0050766B" w:rsidRPr="00D32723">
              <w:rPr>
                <w:rFonts w:ascii="Arial Narrow" w:hAnsi="Arial Narrow"/>
                <w:sz w:val="20"/>
                <w:szCs w:val="20"/>
              </w:rPr>
              <w:t>paragraph 7.9</w:t>
            </w:r>
            <w:r w:rsidR="0050766B">
              <w:rPr>
                <w:rFonts w:ascii="Arial Narrow" w:hAnsi="Arial Narrow"/>
                <w:sz w:val="20"/>
                <w:szCs w:val="20"/>
              </w:rPr>
              <w:t xml:space="preserve">, </w:t>
            </w:r>
            <w:proofErr w:type="spellStart"/>
            <w:r w:rsidRPr="00D32723">
              <w:rPr>
                <w:rFonts w:ascii="Arial Narrow" w:hAnsi="Arial Narrow"/>
                <w:sz w:val="20"/>
                <w:szCs w:val="20"/>
              </w:rPr>
              <w:t>Lenalidomide</w:t>
            </w:r>
            <w:proofErr w:type="spellEnd"/>
            <w:r w:rsidR="0050766B">
              <w:rPr>
                <w:rFonts w:ascii="Arial Narrow" w:hAnsi="Arial Narrow"/>
                <w:sz w:val="20"/>
                <w:szCs w:val="20"/>
              </w:rPr>
              <w:t xml:space="preserve"> PSD</w:t>
            </w:r>
            <w:r w:rsidRPr="00D32723">
              <w:rPr>
                <w:rFonts w:ascii="Arial Narrow" w:hAnsi="Arial Narrow"/>
                <w:sz w:val="20"/>
                <w:szCs w:val="20"/>
              </w:rPr>
              <w:t>, March 2018)</w:t>
            </w:r>
          </w:p>
        </w:tc>
        <w:tc>
          <w:tcPr>
            <w:tcW w:w="1671" w:type="pct"/>
            <w:shd w:val="clear" w:color="auto" w:fill="auto"/>
            <w:tcMar>
              <w:left w:w="28" w:type="dxa"/>
              <w:right w:w="28" w:type="dxa"/>
            </w:tcMar>
          </w:tcPr>
          <w:p w:rsidR="005E7102" w:rsidRPr="00D32723" w:rsidRDefault="005E7102" w:rsidP="005579B2">
            <w:pPr>
              <w:pStyle w:val="Tabletext"/>
              <w:rPr>
                <w:rFonts w:cstheme="minorHAnsi"/>
                <w:szCs w:val="20"/>
                <w:lang w:val="en-GB"/>
              </w:rPr>
            </w:pPr>
            <w:r w:rsidRPr="00D32723">
              <w:rPr>
                <w:szCs w:val="20"/>
              </w:rPr>
              <w:t xml:space="preserve">Addressed: PF utilities </w:t>
            </w:r>
            <w:r w:rsidR="00BF2294" w:rsidRPr="00D32723">
              <w:rPr>
                <w:szCs w:val="20"/>
              </w:rPr>
              <w:t xml:space="preserve">in both treatment groups </w:t>
            </w:r>
            <w:proofErr w:type="gramStart"/>
            <w:r w:rsidRPr="00D32723">
              <w:rPr>
                <w:szCs w:val="20"/>
              </w:rPr>
              <w:t>were assumed</w:t>
            </w:r>
            <w:proofErr w:type="gramEnd"/>
            <w:r w:rsidRPr="00D32723">
              <w:rPr>
                <w:szCs w:val="20"/>
              </w:rPr>
              <w:t xml:space="preserve"> at 0.780.</w:t>
            </w:r>
          </w:p>
        </w:tc>
      </w:tr>
      <w:tr w:rsidR="00BF2294" w:rsidRPr="003A3555" w:rsidTr="004E5209">
        <w:tc>
          <w:tcPr>
            <w:tcW w:w="5000" w:type="pct"/>
            <w:gridSpan w:val="3"/>
            <w:shd w:val="clear" w:color="auto" w:fill="auto"/>
            <w:tcMar>
              <w:left w:w="28" w:type="dxa"/>
              <w:right w:w="28" w:type="dxa"/>
            </w:tcMar>
          </w:tcPr>
          <w:p w:rsidR="00BF2294" w:rsidRPr="003A3555" w:rsidRDefault="00BF2294" w:rsidP="00476EE6">
            <w:pPr>
              <w:pStyle w:val="TableText0"/>
              <w:rPr>
                <w:b/>
                <w:szCs w:val="20"/>
              </w:rPr>
            </w:pPr>
            <w:r w:rsidRPr="003A3555">
              <w:rPr>
                <w:b/>
                <w:szCs w:val="20"/>
              </w:rPr>
              <w:t>Financial estimates</w:t>
            </w:r>
          </w:p>
        </w:tc>
      </w:tr>
      <w:tr w:rsidR="005E7102" w:rsidRPr="003A3555" w:rsidTr="004E5209">
        <w:tc>
          <w:tcPr>
            <w:tcW w:w="862" w:type="pct"/>
            <w:shd w:val="clear" w:color="auto" w:fill="auto"/>
            <w:tcMar>
              <w:left w:w="28" w:type="dxa"/>
              <w:right w:w="28" w:type="dxa"/>
            </w:tcMar>
          </w:tcPr>
          <w:p w:rsidR="005E7102" w:rsidRPr="003A3555" w:rsidRDefault="00BF2294" w:rsidP="00476EE6">
            <w:pPr>
              <w:pStyle w:val="Tabletext"/>
              <w:rPr>
                <w:rFonts w:cstheme="minorHAnsi"/>
                <w:i/>
                <w:szCs w:val="20"/>
              </w:rPr>
            </w:pPr>
            <w:r w:rsidRPr="003A3555">
              <w:rPr>
                <w:szCs w:val="20"/>
              </w:rPr>
              <w:t>Approach</w:t>
            </w:r>
          </w:p>
        </w:tc>
        <w:tc>
          <w:tcPr>
            <w:tcW w:w="2467" w:type="pct"/>
            <w:shd w:val="clear" w:color="auto" w:fill="auto"/>
            <w:tcMar>
              <w:left w:w="28" w:type="dxa"/>
              <w:right w:w="28" w:type="dxa"/>
            </w:tcMar>
          </w:tcPr>
          <w:p w:rsidR="005E7102" w:rsidRPr="00D32723" w:rsidRDefault="005E7102" w:rsidP="00476EE6">
            <w:pPr>
              <w:pStyle w:val="TableText0"/>
              <w:spacing w:before="0" w:after="0"/>
              <w:rPr>
                <w:szCs w:val="20"/>
              </w:rPr>
            </w:pPr>
            <w:r w:rsidRPr="00D32723">
              <w:rPr>
                <w:szCs w:val="20"/>
              </w:rPr>
              <w:t xml:space="preserve">Epidemiological approach, assuming </w:t>
            </w:r>
            <w:r w:rsidR="001D6F6D">
              <w:rPr>
                <w:noProof/>
                <w:color w:val="000000"/>
                <w:szCs w:val="20"/>
                <w:highlight w:val="black"/>
              </w:rPr>
              <w:t>''''''''''''</w:t>
            </w:r>
            <w:r w:rsidRPr="00D32723">
              <w:rPr>
                <w:szCs w:val="20"/>
              </w:rPr>
              <w:t xml:space="preserve"> uptake rate with </w:t>
            </w:r>
            <w:proofErr w:type="spellStart"/>
            <w:r w:rsidRPr="00D32723">
              <w:rPr>
                <w:szCs w:val="20"/>
              </w:rPr>
              <w:t>lenalidomide</w:t>
            </w:r>
            <w:proofErr w:type="spellEnd"/>
            <w:r w:rsidRPr="00D32723">
              <w:rPr>
                <w:szCs w:val="20"/>
              </w:rPr>
              <w:t xml:space="preserve"> in post-ASCT setting for new patients only. Not incorporating prevalent patients who may switch from other therapy (thalidomide).</w:t>
            </w:r>
          </w:p>
        </w:tc>
        <w:tc>
          <w:tcPr>
            <w:tcW w:w="1671" w:type="pct"/>
            <w:shd w:val="clear" w:color="auto" w:fill="auto"/>
            <w:tcMar>
              <w:left w:w="28" w:type="dxa"/>
              <w:right w:w="28" w:type="dxa"/>
            </w:tcMar>
          </w:tcPr>
          <w:p w:rsidR="005E7102" w:rsidRPr="00D32723" w:rsidRDefault="005E7102" w:rsidP="00476EE6">
            <w:pPr>
              <w:pStyle w:val="TableText0"/>
              <w:rPr>
                <w:rFonts w:cstheme="minorHAnsi"/>
                <w:szCs w:val="20"/>
                <w:lang w:val="en-GB"/>
              </w:rPr>
            </w:pPr>
            <w:r w:rsidRPr="00D32723">
              <w:rPr>
                <w:szCs w:val="20"/>
              </w:rPr>
              <w:t xml:space="preserve">Partially addressed: epidemiological/market </w:t>
            </w:r>
            <w:r w:rsidRPr="001172EE">
              <w:rPr>
                <w:szCs w:val="20"/>
              </w:rPr>
              <w:t xml:space="preserve">share approach adopting patient flow. Assuming </w:t>
            </w:r>
            <w:r w:rsidR="001D6F6D">
              <w:rPr>
                <w:noProof/>
                <w:color w:val="000000"/>
                <w:szCs w:val="20"/>
                <w:highlight w:val="black"/>
              </w:rPr>
              <w:t>''''''</w:t>
            </w:r>
            <w:r w:rsidRPr="001172EE">
              <w:rPr>
                <w:szCs w:val="20"/>
              </w:rPr>
              <w:t>%</w:t>
            </w:r>
            <w:r w:rsidRPr="00D32723">
              <w:rPr>
                <w:szCs w:val="20"/>
              </w:rPr>
              <w:t xml:space="preserve"> </w:t>
            </w:r>
            <w:r w:rsidRPr="00D32723">
              <w:rPr>
                <w:szCs w:val="20"/>
              </w:rPr>
              <w:lastRenderedPageBreak/>
              <w:t xml:space="preserve">uptake rate in new patients with </w:t>
            </w:r>
            <w:proofErr w:type="spellStart"/>
            <w:r w:rsidRPr="00D32723">
              <w:rPr>
                <w:szCs w:val="20"/>
              </w:rPr>
              <w:t>lenalidomide</w:t>
            </w:r>
            <w:proofErr w:type="spellEnd"/>
            <w:r w:rsidRPr="00D32723">
              <w:rPr>
                <w:szCs w:val="20"/>
              </w:rPr>
              <w:t>.</w:t>
            </w:r>
          </w:p>
        </w:tc>
      </w:tr>
      <w:tr w:rsidR="005E7102" w:rsidRPr="003A3555" w:rsidTr="004E5209">
        <w:tc>
          <w:tcPr>
            <w:tcW w:w="862" w:type="pct"/>
            <w:shd w:val="clear" w:color="auto" w:fill="auto"/>
            <w:tcMar>
              <w:left w:w="28" w:type="dxa"/>
              <w:right w:w="28" w:type="dxa"/>
            </w:tcMar>
          </w:tcPr>
          <w:p w:rsidR="005E7102" w:rsidRPr="003A3555" w:rsidRDefault="005E7102" w:rsidP="00476EE6">
            <w:pPr>
              <w:pStyle w:val="Tabletext"/>
              <w:rPr>
                <w:rFonts w:cstheme="minorHAnsi"/>
                <w:i/>
                <w:szCs w:val="20"/>
              </w:rPr>
            </w:pPr>
            <w:r w:rsidRPr="003A3555">
              <w:rPr>
                <w:szCs w:val="20"/>
              </w:rPr>
              <w:lastRenderedPageBreak/>
              <w:t>Incidence rate</w:t>
            </w:r>
          </w:p>
        </w:tc>
        <w:tc>
          <w:tcPr>
            <w:tcW w:w="2467" w:type="pct"/>
            <w:shd w:val="clear" w:color="auto" w:fill="auto"/>
            <w:tcMar>
              <w:left w:w="28" w:type="dxa"/>
              <w:right w:w="28" w:type="dxa"/>
            </w:tcMar>
          </w:tcPr>
          <w:p w:rsidR="005E7102" w:rsidRPr="00D32723" w:rsidRDefault="005E7102" w:rsidP="00476EE6">
            <w:pPr>
              <w:pStyle w:val="TableText0"/>
              <w:spacing w:before="0" w:after="0"/>
              <w:rPr>
                <w:szCs w:val="20"/>
              </w:rPr>
            </w:pPr>
            <w:r w:rsidRPr="00D32723">
              <w:rPr>
                <w:szCs w:val="20"/>
              </w:rPr>
              <w:t xml:space="preserve">Based on ABMTRR Annual Data Summary 2013 and 2015, and growth rate of </w:t>
            </w:r>
            <w:r w:rsidR="001D6F6D">
              <w:rPr>
                <w:noProof/>
                <w:color w:val="000000"/>
                <w:szCs w:val="20"/>
                <w:highlight w:val="black"/>
              </w:rPr>
              <w:t>''''''''</w:t>
            </w:r>
            <w:r w:rsidRPr="00D32723">
              <w:rPr>
                <w:szCs w:val="20"/>
              </w:rPr>
              <w:t>%.</w:t>
            </w:r>
          </w:p>
          <w:p w:rsidR="005E7102" w:rsidRPr="00D32723" w:rsidRDefault="005E7102" w:rsidP="0050766B">
            <w:pPr>
              <w:pStyle w:val="TableText0"/>
              <w:spacing w:before="0" w:after="0"/>
              <w:rPr>
                <w:szCs w:val="20"/>
              </w:rPr>
            </w:pPr>
            <w:r w:rsidRPr="00D32723">
              <w:rPr>
                <w:szCs w:val="20"/>
              </w:rPr>
              <w:t>(</w:t>
            </w:r>
            <w:r w:rsidR="0050766B" w:rsidRPr="00D32723">
              <w:rPr>
                <w:szCs w:val="20"/>
              </w:rPr>
              <w:t>paragraph 6.60</w:t>
            </w:r>
            <w:r w:rsidR="0050766B">
              <w:rPr>
                <w:szCs w:val="20"/>
              </w:rPr>
              <w:t xml:space="preserve">, </w:t>
            </w:r>
            <w:proofErr w:type="spellStart"/>
            <w:r w:rsidRPr="00D32723">
              <w:rPr>
                <w:szCs w:val="20"/>
              </w:rPr>
              <w:t>Lenalidomide</w:t>
            </w:r>
            <w:proofErr w:type="spellEnd"/>
            <w:r w:rsidR="0050766B">
              <w:rPr>
                <w:szCs w:val="20"/>
              </w:rPr>
              <w:t xml:space="preserve"> PSD</w:t>
            </w:r>
            <w:r w:rsidRPr="00D32723">
              <w:rPr>
                <w:szCs w:val="20"/>
              </w:rPr>
              <w:t>, March 2018)</w:t>
            </w:r>
          </w:p>
        </w:tc>
        <w:tc>
          <w:tcPr>
            <w:tcW w:w="1671" w:type="pct"/>
            <w:shd w:val="clear" w:color="auto" w:fill="auto"/>
            <w:tcMar>
              <w:left w:w="28" w:type="dxa"/>
              <w:right w:w="28" w:type="dxa"/>
            </w:tcMar>
          </w:tcPr>
          <w:p w:rsidR="005E7102" w:rsidRPr="00D32723" w:rsidRDefault="005E7102" w:rsidP="00C9318F">
            <w:pPr>
              <w:pStyle w:val="TableText0"/>
              <w:spacing w:before="0" w:after="0"/>
              <w:rPr>
                <w:rFonts w:cstheme="minorHAnsi"/>
                <w:szCs w:val="20"/>
                <w:lang w:val="en-GB"/>
              </w:rPr>
            </w:pPr>
            <w:r w:rsidRPr="00D32723">
              <w:rPr>
                <w:szCs w:val="20"/>
              </w:rPr>
              <w:t xml:space="preserve">Partially addressed: based on Cancer </w:t>
            </w:r>
            <w:r w:rsidRPr="001172EE">
              <w:rPr>
                <w:szCs w:val="20"/>
              </w:rPr>
              <w:t xml:space="preserve">Australia statistics website and growth rate of </w:t>
            </w:r>
            <w:r w:rsidR="001D6F6D">
              <w:rPr>
                <w:noProof/>
                <w:color w:val="000000"/>
                <w:szCs w:val="20"/>
                <w:highlight w:val="black"/>
              </w:rPr>
              <w:t>''''''''</w:t>
            </w:r>
            <w:r w:rsidRPr="001172EE">
              <w:rPr>
                <w:szCs w:val="20"/>
              </w:rPr>
              <w:t>%.</w:t>
            </w:r>
          </w:p>
        </w:tc>
      </w:tr>
      <w:tr w:rsidR="005E7102" w:rsidRPr="003A3555" w:rsidTr="004E5209">
        <w:tc>
          <w:tcPr>
            <w:tcW w:w="862" w:type="pct"/>
            <w:shd w:val="clear" w:color="auto" w:fill="auto"/>
            <w:tcMar>
              <w:left w:w="28" w:type="dxa"/>
              <w:right w:w="28" w:type="dxa"/>
            </w:tcMar>
          </w:tcPr>
          <w:p w:rsidR="005E7102" w:rsidRPr="003A3555" w:rsidRDefault="005E7102" w:rsidP="00476EE6">
            <w:pPr>
              <w:pStyle w:val="Tabletext"/>
              <w:rPr>
                <w:rFonts w:cstheme="minorHAnsi"/>
                <w:i/>
                <w:szCs w:val="20"/>
              </w:rPr>
            </w:pPr>
            <w:r w:rsidRPr="003A3555">
              <w:rPr>
                <w:szCs w:val="20"/>
              </w:rPr>
              <w:t>Prevalence rate</w:t>
            </w:r>
          </w:p>
        </w:tc>
        <w:tc>
          <w:tcPr>
            <w:tcW w:w="2467" w:type="pct"/>
            <w:shd w:val="clear" w:color="auto" w:fill="auto"/>
            <w:tcMar>
              <w:left w:w="28" w:type="dxa"/>
              <w:right w:w="28" w:type="dxa"/>
            </w:tcMar>
          </w:tcPr>
          <w:p w:rsidR="005E7102" w:rsidRPr="00D32723" w:rsidRDefault="005E7102" w:rsidP="00476EE6">
            <w:pPr>
              <w:pStyle w:val="TableText0"/>
              <w:spacing w:before="0" w:after="0"/>
              <w:rPr>
                <w:szCs w:val="20"/>
              </w:rPr>
            </w:pPr>
            <w:r w:rsidRPr="00D32723">
              <w:rPr>
                <w:szCs w:val="20"/>
              </w:rPr>
              <w:t xml:space="preserve">Did not include patients </w:t>
            </w:r>
            <w:proofErr w:type="gramStart"/>
            <w:r w:rsidRPr="00D32723">
              <w:rPr>
                <w:szCs w:val="20"/>
              </w:rPr>
              <w:t>who are post-ASCT and have not yet progressed</w:t>
            </w:r>
            <w:proofErr w:type="gramEnd"/>
            <w:r w:rsidRPr="00D32723">
              <w:rPr>
                <w:szCs w:val="20"/>
              </w:rPr>
              <w:t>.</w:t>
            </w:r>
          </w:p>
          <w:p w:rsidR="005E7102" w:rsidRPr="00D32723" w:rsidRDefault="005E7102" w:rsidP="0050766B">
            <w:pPr>
              <w:pStyle w:val="TableText0"/>
              <w:spacing w:before="0" w:after="0"/>
              <w:rPr>
                <w:szCs w:val="20"/>
              </w:rPr>
            </w:pPr>
            <w:r w:rsidRPr="00D32723">
              <w:rPr>
                <w:szCs w:val="20"/>
              </w:rPr>
              <w:t>(</w:t>
            </w:r>
            <w:r w:rsidR="0050766B" w:rsidRPr="00D32723">
              <w:rPr>
                <w:szCs w:val="20"/>
              </w:rPr>
              <w:t>paragraph 7.16</w:t>
            </w:r>
            <w:r w:rsidR="0050766B">
              <w:rPr>
                <w:szCs w:val="20"/>
              </w:rPr>
              <w:t xml:space="preserve">, </w:t>
            </w:r>
            <w:proofErr w:type="spellStart"/>
            <w:r w:rsidRPr="00D32723">
              <w:rPr>
                <w:szCs w:val="20"/>
              </w:rPr>
              <w:t>Lenalidomide</w:t>
            </w:r>
            <w:proofErr w:type="spellEnd"/>
            <w:r w:rsidR="0050766B">
              <w:rPr>
                <w:szCs w:val="20"/>
              </w:rPr>
              <w:t xml:space="preserve"> PSD</w:t>
            </w:r>
            <w:r w:rsidRPr="00D32723">
              <w:rPr>
                <w:szCs w:val="20"/>
              </w:rPr>
              <w:t>, March 2018)</w:t>
            </w:r>
          </w:p>
        </w:tc>
        <w:tc>
          <w:tcPr>
            <w:tcW w:w="1671" w:type="pct"/>
            <w:shd w:val="clear" w:color="auto" w:fill="auto"/>
            <w:tcMar>
              <w:left w:w="28" w:type="dxa"/>
              <w:right w:w="28" w:type="dxa"/>
            </w:tcMar>
          </w:tcPr>
          <w:p w:rsidR="005E7102" w:rsidRPr="00D32723" w:rsidRDefault="005E7102" w:rsidP="00C9318F">
            <w:pPr>
              <w:pStyle w:val="TableText0"/>
              <w:spacing w:before="0" w:after="0"/>
              <w:rPr>
                <w:rFonts w:cstheme="minorHAnsi"/>
                <w:szCs w:val="20"/>
                <w:lang w:val="en-GB"/>
              </w:rPr>
            </w:pPr>
            <w:r w:rsidRPr="00D32723">
              <w:rPr>
                <w:szCs w:val="20"/>
              </w:rPr>
              <w:t xml:space="preserve">Addressed: updated based on approximation from 10% Medicare Australia sample data and other sources. </w:t>
            </w:r>
          </w:p>
        </w:tc>
      </w:tr>
      <w:tr w:rsidR="005E7102" w:rsidRPr="003A3555" w:rsidTr="004E5209">
        <w:tc>
          <w:tcPr>
            <w:tcW w:w="862" w:type="pct"/>
            <w:shd w:val="clear" w:color="auto" w:fill="auto"/>
            <w:tcMar>
              <w:left w:w="28" w:type="dxa"/>
              <w:right w:w="28" w:type="dxa"/>
            </w:tcMar>
          </w:tcPr>
          <w:p w:rsidR="005E7102" w:rsidRPr="003A3555" w:rsidRDefault="005E7102" w:rsidP="00476EE6">
            <w:pPr>
              <w:pStyle w:val="Tabletext"/>
              <w:rPr>
                <w:rFonts w:cstheme="minorHAnsi"/>
                <w:i/>
                <w:szCs w:val="20"/>
              </w:rPr>
            </w:pPr>
            <w:r w:rsidRPr="003A3555">
              <w:rPr>
                <w:szCs w:val="20"/>
              </w:rPr>
              <w:t>RSA</w:t>
            </w:r>
          </w:p>
        </w:tc>
        <w:tc>
          <w:tcPr>
            <w:tcW w:w="2467" w:type="pct"/>
            <w:shd w:val="clear" w:color="auto" w:fill="auto"/>
            <w:tcMar>
              <w:left w:w="28" w:type="dxa"/>
              <w:right w:w="28" w:type="dxa"/>
            </w:tcMar>
          </w:tcPr>
          <w:p w:rsidR="005E7102" w:rsidRPr="00D32723" w:rsidRDefault="005E7102" w:rsidP="00476EE6">
            <w:pPr>
              <w:pStyle w:val="TableText0"/>
              <w:spacing w:before="0" w:after="0"/>
              <w:rPr>
                <w:szCs w:val="20"/>
              </w:rPr>
            </w:pPr>
            <w:r w:rsidRPr="00D32723">
              <w:rPr>
                <w:szCs w:val="20"/>
              </w:rPr>
              <w:t>PBAC noted that due to high potential cost an RSA would be appropriate.</w:t>
            </w:r>
          </w:p>
          <w:p w:rsidR="005E7102" w:rsidRPr="00D32723" w:rsidRDefault="005E7102" w:rsidP="0050766B">
            <w:pPr>
              <w:widowControl/>
              <w:autoSpaceDE w:val="0"/>
              <w:autoSpaceDN w:val="0"/>
              <w:adjustRightInd w:val="0"/>
              <w:jc w:val="left"/>
              <w:rPr>
                <w:rFonts w:ascii="Arial Narrow" w:hAnsi="Arial Narrow" w:cs="Calibri+FPEF"/>
                <w:snapToGrid/>
                <w:sz w:val="20"/>
                <w:szCs w:val="20"/>
                <w:lang w:eastAsia="en-AU"/>
              </w:rPr>
            </w:pPr>
            <w:r w:rsidRPr="00D32723">
              <w:rPr>
                <w:rFonts w:ascii="Arial Narrow" w:hAnsi="Arial Narrow"/>
                <w:sz w:val="20"/>
                <w:szCs w:val="20"/>
              </w:rPr>
              <w:t>(</w:t>
            </w:r>
            <w:r w:rsidR="0050766B" w:rsidRPr="00D32723">
              <w:rPr>
                <w:rFonts w:ascii="Arial Narrow" w:hAnsi="Arial Narrow"/>
                <w:sz w:val="20"/>
                <w:szCs w:val="20"/>
              </w:rPr>
              <w:t>paragraph 7.16</w:t>
            </w:r>
            <w:r w:rsidR="0050766B">
              <w:rPr>
                <w:rFonts w:ascii="Arial Narrow" w:hAnsi="Arial Narrow"/>
                <w:sz w:val="20"/>
                <w:szCs w:val="20"/>
              </w:rPr>
              <w:t xml:space="preserve">, </w:t>
            </w:r>
            <w:proofErr w:type="spellStart"/>
            <w:r w:rsidRPr="00D32723">
              <w:rPr>
                <w:rFonts w:ascii="Arial Narrow" w:hAnsi="Arial Narrow"/>
                <w:sz w:val="20"/>
                <w:szCs w:val="20"/>
              </w:rPr>
              <w:t>Lenalidomide</w:t>
            </w:r>
            <w:proofErr w:type="spellEnd"/>
            <w:r w:rsidR="0050766B">
              <w:rPr>
                <w:rFonts w:ascii="Arial Narrow" w:hAnsi="Arial Narrow"/>
                <w:sz w:val="20"/>
                <w:szCs w:val="20"/>
              </w:rPr>
              <w:t xml:space="preserve"> PSD</w:t>
            </w:r>
            <w:r w:rsidRPr="00D32723">
              <w:rPr>
                <w:rFonts w:ascii="Arial Narrow" w:hAnsi="Arial Narrow"/>
                <w:sz w:val="20"/>
                <w:szCs w:val="20"/>
              </w:rPr>
              <w:t>, March 2018)</w:t>
            </w:r>
          </w:p>
        </w:tc>
        <w:tc>
          <w:tcPr>
            <w:tcW w:w="1671" w:type="pct"/>
            <w:shd w:val="clear" w:color="auto" w:fill="auto"/>
            <w:tcMar>
              <w:left w:w="28" w:type="dxa"/>
              <w:right w:w="28" w:type="dxa"/>
            </w:tcMar>
          </w:tcPr>
          <w:p w:rsidR="005E7102" w:rsidRPr="00D32723" w:rsidRDefault="005E7102" w:rsidP="00C9318F">
            <w:pPr>
              <w:pStyle w:val="TableText0"/>
              <w:spacing w:before="0" w:after="0"/>
              <w:rPr>
                <w:rFonts w:cstheme="minorHAnsi"/>
                <w:szCs w:val="20"/>
                <w:lang w:val="en-GB"/>
              </w:rPr>
            </w:pPr>
            <w:r w:rsidRPr="00D32723">
              <w:rPr>
                <w:szCs w:val="20"/>
              </w:rPr>
              <w:t xml:space="preserve">Partially addressed: indicated amendments to the current RSA for </w:t>
            </w:r>
            <w:proofErr w:type="spellStart"/>
            <w:r w:rsidRPr="00D32723">
              <w:rPr>
                <w:szCs w:val="20"/>
              </w:rPr>
              <w:t>lenalidomide</w:t>
            </w:r>
            <w:proofErr w:type="spellEnd"/>
            <w:r w:rsidRPr="00D32723">
              <w:rPr>
                <w:szCs w:val="20"/>
              </w:rPr>
              <w:t xml:space="preserve">. However, no specific details </w:t>
            </w:r>
            <w:proofErr w:type="gramStart"/>
            <w:r w:rsidRPr="00D32723">
              <w:rPr>
                <w:szCs w:val="20"/>
              </w:rPr>
              <w:t>were provided</w:t>
            </w:r>
            <w:proofErr w:type="gramEnd"/>
            <w:r w:rsidRPr="00D32723">
              <w:rPr>
                <w:szCs w:val="20"/>
              </w:rPr>
              <w:t>.</w:t>
            </w:r>
          </w:p>
        </w:tc>
      </w:tr>
    </w:tbl>
    <w:p w:rsidR="005E7102" w:rsidRPr="003A3555" w:rsidRDefault="005E7102" w:rsidP="00476EE6">
      <w:pPr>
        <w:pStyle w:val="TableFooter"/>
        <w:widowControl/>
      </w:pPr>
      <w:r w:rsidRPr="003A3555">
        <w:t>Source: Section 1 of the March 2018 submission and pre-PBAC response, Sections 1-4 of the resubmission. Compiled during evaluation.</w:t>
      </w:r>
    </w:p>
    <w:p w:rsidR="005E7102" w:rsidRDefault="005E7102" w:rsidP="00476EE6">
      <w:pPr>
        <w:pStyle w:val="TableFooter"/>
        <w:widowControl/>
        <w:rPr>
          <w:bCs/>
          <w:szCs w:val="18"/>
        </w:rPr>
      </w:pPr>
      <w:proofErr w:type="gramStart"/>
      <w:r w:rsidRPr="003A3555">
        <w:rPr>
          <w:bCs/>
          <w:szCs w:val="18"/>
        </w:rPr>
        <w:t>ABMTRR</w:t>
      </w:r>
      <w:r w:rsidR="00222212">
        <w:rPr>
          <w:bCs/>
          <w:szCs w:val="18"/>
        </w:rPr>
        <w:t xml:space="preserve"> </w:t>
      </w:r>
      <w:r w:rsidRPr="003A3555">
        <w:rPr>
          <w:bCs/>
          <w:szCs w:val="18"/>
        </w:rPr>
        <w:t>=</w:t>
      </w:r>
      <w:r w:rsidRPr="003A3555">
        <w:t xml:space="preserve"> </w:t>
      </w:r>
      <w:r w:rsidRPr="003A3555">
        <w:rPr>
          <w:bCs/>
          <w:szCs w:val="18"/>
        </w:rPr>
        <w:t>Australasian Bone Marrow Transplant Recipient Registry; ASCT</w:t>
      </w:r>
      <w:r w:rsidR="00222212">
        <w:rPr>
          <w:bCs/>
          <w:szCs w:val="18"/>
        </w:rPr>
        <w:t xml:space="preserve"> </w:t>
      </w:r>
      <w:r w:rsidRPr="003A3555">
        <w:rPr>
          <w:bCs/>
          <w:szCs w:val="18"/>
        </w:rPr>
        <w:t>=</w:t>
      </w:r>
      <w:r w:rsidR="00222212">
        <w:rPr>
          <w:bCs/>
          <w:szCs w:val="18"/>
        </w:rPr>
        <w:t xml:space="preserve"> </w:t>
      </w:r>
      <w:r w:rsidRPr="003A3555">
        <w:rPr>
          <w:bCs/>
          <w:szCs w:val="18"/>
        </w:rPr>
        <w:t>autologous stem cells transplant; AUC</w:t>
      </w:r>
      <w:r w:rsidR="00222212">
        <w:rPr>
          <w:bCs/>
          <w:szCs w:val="18"/>
        </w:rPr>
        <w:t xml:space="preserve"> </w:t>
      </w:r>
      <w:r w:rsidRPr="003A3555">
        <w:rPr>
          <w:bCs/>
          <w:szCs w:val="18"/>
        </w:rPr>
        <w:t>=</w:t>
      </w:r>
      <w:r w:rsidR="00222212">
        <w:rPr>
          <w:bCs/>
          <w:szCs w:val="18"/>
        </w:rPr>
        <w:t xml:space="preserve"> </w:t>
      </w:r>
      <w:r w:rsidRPr="003A3555">
        <w:rPr>
          <w:bCs/>
          <w:szCs w:val="18"/>
        </w:rPr>
        <w:t>area under a curve; BSC = best supportive care; CEA</w:t>
      </w:r>
      <w:r w:rsidR="00222212">
        <w:rPr>
          <w:bCs/>
          <w:szCs w:val="18"/>
        </w:rPr>
        <w:t xml:space="preserve"> </w:t>
      </w:r>
      <w:r w:rsidRPr="003A3555">
        <w:rPr>
          <w:bCs/>
          <w:szCs w:val="18"/>
        </w:rPr>
        <w:t>=</w:t>
      </w:r>
      <w:r w:rsidR="00222212">
        <w:rPr>
          <w:bCs/>
          <w:szCs w:val="18"/>
        </w:rPr>
        <w:t xml:space="preserve"> </w:t>
      </w:r>
      <w:r w:rsidRPr="003A3555">
        <w:rPr>
          <w:bCs/>
          <w:szCs w:val="18"/>
        </w:rPr>
        <w:t>cost effectiveness analysis; CMA</w:t>
      </w:r>
      <w:r w:rsidR="00222212">
        <w:rPr>
          <w:bCs/>
          <w:szCs w:val="18"/>
        </w:rPr>
        <w:t xml:space="preserve"> </w:t>
      </w:r>
      <w:r w:rsidRPr="003A3555">
        <w:rPr>
          <w:bCs/>
          <w:szCs w:val="18"/>
        </w:rPr>
        <w:t>=</w:t>
      </w:r>
      <w:r w:rsidR="00222212">
        <w:rPr>
          <w:bCs/>
          <w:szCs w:val="18"/>
        </w:rPr>
        <w:t xml:space="preserve"> </w:t>
      </w:r>
      <w:r w:rsidRPr="003A3555">
        <w:rPr>
          <w:bCs/>
          <w:szCs w:val="18"/>
        </w:rPr>
        <w:t>cost minimisation analysis; ITC</w:t>
      </w:r>
      <w:r w:rsidR="00222212">
        <w:rPr>
          <w:bCs/>
          <w:szCs w:val="18"/>
        </w:rPr>
        <w:t xml:space="preserve"> </w:t>
      </w:r>
      <w:r w:rsidRPr="003A3555">
        <w:rPr>
          <w:bCs/>
          <w:szCs w:val="18"/>
        </w:rPr>
        <w:t>=</w:t>
      </w:r>
      <w:r w:rsidR="00222212">
        <w:rPr>
          <w:bCs/>
          <w:szCs w:val="18"/>
        </w:rPr>
        <w:t xml:space="preserve"> </w:t>
      </w:r>
      <w:r w:rsidRPr="003A3555">
        <w:rPr>
          <w:bCs/>
          <w:szCs w:val="18"/>
        </w:rPr>
        <w:t>indirect trial comparison; ITT</w:t>
      </w:r>
      <w:r w:rsidR="00222212">
        <w:rPr>
          <w:bCs/>
          <w:szCs w:val="18"/>
        </w:rPr>
        <w:t xml:space="preserve"> </w:t>
      </w:r>
      <w:r w:rsidRPr="003A3555">
        <w:rPr>
          <w:bCs/>
          <w:szCs w:val="18"/>
        </w:rPr>
        <w:t>=</w:t>
      </w:r>
      <w:r w:rsidR="00222212">
        <w:rPr>
          <w:bCs/>
          <w:szCs w:val="18"/>
        </w:rPr>
        <w:t xml:space="preserve"> </w:t>
      </w:r>
      <w:r w:rsidRPr="003A3555">
        <w:rPr>
          <w:bCs/>
          <w:szCs w:val="18"/>
        </w:rPr>
        <w:t>intention to treat; OS</w:t>
      </w:r>
      <w:r w:rsidR="00222212">
        <w:rPr>
          <w:bCs/>
          <w:szCs w:val="18"/>
        </w:rPr>
        <w:t xml:space="preserve"> </w:t>
      </w:r>
      <w:r w:rsidRPr="003A3555">
        <w:rPr>
          <w:bCs/>
          <w:szCs w:val="18"/>
        </w:rPr>
        <w:t>=</w:t>
      </w:r>
      <w:r w:rsidR="00222212">
        <w:rPr>
          <w:bCs/>
          <w:szCs w:val="18"/>
        </w:rPr>
        <w:t xml:space="preserve"> </w:t>
      </w:r>
      <w:r w:rsidRPr="003A3555">
        <w:rPr>
          <w:bCs/>
          <w:szCs w:val="18"/>
        </w:rPr>
        <w:t>overall survival; PBS</w:t>
      </w:r>
      <w:r w:rsidR="00222212">
        <w:rPr>
          <w:bCs/>
          <w:szCs w:val="18"/>
        </w:rPr>
        <w:t xml:space="preserve"> </w:t>
      </w:r>
      <w:r w:rsidRPr="003A3555">
        <w:rPr>
          <w:bCs/>
          <w:szCs w:val="18"/>
        </w:rPr>
        <w:t>=</w:t>
      </w:r>
      <w:r w:rsidR="00222212">
        <w:rPr>
          <w:bCs/>
          <w:szCs w:val="18"/>
        </w:rPr>
        <w:t xml:space="preserve"> P</w:t>
      </w:r>
      <w:r w:rsidRPr="003A3555">
        <w:rPr>
          <w:bCs/>
          <w:szCs w:val="18"/>
        </w:rPr>
        <w:t xml:space="preserve">harmaceutical </w:t>
      </w:r>
      <w:r w:rsidR="00222212">
        <w:rPr>
          <w:bCs/>
          <w:szCs w:val="18"/>
        </w:rPr>
        <w:t>B</w:t>
      </w:r>
      <w:r w:rsidRPr="003A3555">
        <w:rPr>
          <w:bCs/>
          <w:szCs w:val="18"/>
        </w:rPr>
        <w:t xml:space="preserve">enefit </w:t>
      </w:r>
      <w:r w:rsidR="00222212">
        <w:rPr>
          <w:bCs/>
          <w:szCs w:val="18"/>
        </w:rPr>
        <w:t>S</w:t>
      </w:r>
      <w:r w:rsidRPr="003A3555">
        <w:rPr>
          <w:bCs/>
          <w:szCs w:val="18"/>
        </w:rPr>
        <w:t>cheme; PF</w:t>
      </w:r>
      <w:r w:rsidR="00222212">
        <w:rPr>
          <w:bCs/>
          <w:szCs w:val="18"/>
        </w:rPr>
        <w:t xml:space="preserve"> </w:t>
      </w:r>
      <w:r w:rsidRPr="003A3555">
        <w:rPr>
          <w:bCs/>
          <w:szCs w:val="18"/>
        </w:rPr>
        <w:t>=</w:t>
      </w:r>
      <w:r w:rsidR="00222212">
        <w:rPr>
          <w:bCs/>
          <w:szCs w:val="18"/>
        </w:rPr>
        <w:t xml:space="preserve"> </w:t>
      </w:r>
      <w:r w:rsidRPr="003A3555">
        <w:rPr>
          <w:bCs/>
          <w:szCs w:val="18"/>
        </w:rPr>
        <w:t>progression free; PFS</w:t>
      </w:r>
      <w:r w:rsidR="00222212">
        <w:rPr>
          <w:bCs/>
          <w:szCs w:val="18"/>
        </w:rPr>
        <w:t xml:space="preserve"> </w:t>
      </w:r>
      <w:r w:rsidRPr="003A3555">
        <w:rPr>
          <w:bCs/>
          <w:szCs w:val="18"/>
        </w:rPr>
        <w:t>=</w:t>
      </w:r>
      <w:r w:rsidR="00222212">
        <w:rPr>
          <w:bCs/>
          <w:szCs w:val="18"/>
        </w:rPr>
        <w:t xml:space="preserve"> </w:t>
      </w:r>
      <w:r w:rsidRPr="003A3555">
        <w:rPr>
          <w:bCs/>
          <w:szCs w:val="18"/>
        </w:rPr>
        <w:t xml:space="preserve">progression-free survival; </w:t>
      </w:r>
      <w:r w:rsidR="0050766B">
        <w:rPr>
          <w:bCs/>
          <w:szCs w:val="18"/>
        </w:rPr>
        <w:t xml:space="preserve">PSD = Public Summary Document; </w:t>
      </w:r>
      <w:r w:rsidRPr="003A3555">
        <w:rPr>
          <w:bCs/>
          <w:szCs w:val="18"/>
        </w:rPr>
        <w:t>RSA</w:t>
      </w:r>
      <w:r w:rsidR="00222212">
        <w:rPr>
          <w:bCs/>
          <w:szCs w:val="18"/>
        </w:rPr>
        <w:t xml:space="preserve"> </w:t>
      </w:r>
      <w:r w:rsidRPr="003A3555">
        <w:rPr>
          <w:bCs/>
          <w:szCs w:val="18"/>
        </w:rPr>
        <w:t>=</w:t>
      </w:r>
      <w:r w:rsidR="00222212">
        <w:rPr>
          <w:bCs/>
          <w:szCs w:val="18"/>
        </w:rPr>
        <w:t xml:space="preserve"> </w:t>
      </w:r>
      <w:r w:rsidRPr="003A3555">
        <w:rPr>
          <w:bCs/>
          <w:szCs w:val="18"/>
        </w:rPr>
        <w:t>risk sharing agreement; RCT</w:t>
      </w:r>
      <w:r w:rsidR="00222212">
        <w:rPr>
          <w:bCs/>
          <w:szCs w:val="18"/>
        </w:rPr>
        <w:t xml:space="preserve"> </w:t>
      </w:r>
      <w:r w:rsidRPr="003A3555">
        <w:rPr>
          <w:bCs/>
          <w:szCs w:val="18"/>
        </w:rPr>
        <w:t>=</w:t>
      </w:r>
      <w:r w:rsidR="00222212">
        <w:rPr>
          <w:bCs/>
          <w:szCs w:val="18"/>
        </w:rPr>
        <w:t xml:space="preserve"> </w:t>
      </w:r>
      <w:r w:rsidRPr="003A3555">
        <w:rPr>
          <w:bCs/>
          <w:szCs w:val="18"/>
        </w:rPr>
        <w:t>randomi</w:t>
      </w:r>
      <w:r w:rsidR="00222212">
        <w:rPr>
          <w:bCs/>
          <w:szCs w:val="18"/>
        </w:rPr>
        <w:t>s</w:t>
      </w:r>
      <w:r w:rsidRPr="003A3555">
        <w:rPr>
          <w:bCs/>
          <w:szCs w:val="18"/>
        </w:rPr>
        <w:t>ed control trial; vs</w:t>
      </w:r>
      <w:r w:rsidR="00222212">
        <w:rPr>
          <w:bCs/>
          <w:szCs w:val="18"/>
        </w:rPr>
        <w:t xml:space="preserve"> </w:t>
      </w:r>
      <w:r w:rsidRPr="003A3555">
        <w:rPr>
          <w:bCs/>
          <w:szCs w:val="18"/>
        </w:rPr>
        <w:t>=</w:t>
      </w:r>
      <w:r w:rsidR="00222212">
        <w:rPr>
          <w:bCs/>
          <w:szCs w:val="18"/>
        </w:rPr>
        <w:t xml:space="preserve"> </w:t>
      </w:r>
      <w:r w:rsidRPr="003A3555">
        <w:rPr>
          <w:bCs/>
          <w:szCs w:val="18"/>
        </w:rPr>
        <w:t>versus</w:t>
      </w:r>
      <w:proofErr w:type="gramEnd"/>
    </w:p>
    <w:p w:rsidR="00D539BE" w:rsidRPr="00D539BE" w:rsidRDefault="00D539BE" w:rsidP="00C12C09">
      <w:pPr>
        <w:spacing w:before="120" w:after="120"/>
        <w:rPr>
          <w:i/>
        </w:rPr>
      </w:pPr>
      <w:r>
        <w:tab/>
      </w:r>
      <w:r w:rsidRPr="00D539BE">
        <w:rPr>
          <w:i/>
        </w:rPr>
        <w:t>For more detail on PBAC’s view, see Section 7 PBAC outcome.</w:t>
      </w:r>
    </w:p>
    <w:p w:rsidR="005E7102" w:rsidRPr="003A3555" w:rsidRDefault="005E7102" w:rsidP="00C12C09">
      <w:pPr>
        <w:pStyle w:val="Heading1"/>
        <w:keepLines/>
        <w:widowControl/>
        <w:numPr>
          <w:ilvl w:val="0"/>
          <w:numId w:val="2"/>
        </w:numPr>
        <w:spacing w:before="120"/>
        <w:ind w:left="709" w:hanging="709"/>
        <w:rPr>
          <w:rFonts w:asciiTheme="minorHAnsi" w:eastAsiaTheme="majorEastAsia" w:hAnsiTheme="minorHAnsi" w:cstheme="majorBidi"/>
          <w:caps w:val="0"/>
          <w:snapToGrid/>
          <w:szCs w:val="28"/>
        </w:rPr>
      </w:pPr>
      <w:bookmarkStart w:id="15" w:name="_Toc532395958"/>
      <w:bookmarkStart w:id="16" w:name="_Toc532805601"/>
      <w:bookmarkStart w:id="17" w:name="_Toc533163392"/>
      <w:r w:rsidRPr="003A3555">
        <w:rPr>
          <w:rFonts w:asciiTheme="minorHAnsi" w:eastAsiaTheme="majorEastAsia" w:hAnsiTheme="minorHAnsi" w:cstheme="majorBidi"/>
          <w:caps w:val="0"/>
          <w:snapToGrid/>
          <w:szCs w:val="28"/>
        </w:rPr>
        <w:t>Population and disease</w:t>
      </w:r>
      <w:bookmarkEnd w:id="15"/>
      <w:bookmarkEnd w:id="16"/>
      <w:bookmarkEnd w:id="17"/>
    </w:p>
    <w:p w:rsidR="005E7102" w:rsidRPr="003A3555" w:rsidRDefault="005E7102" w:rsidP="00C12C09">
      <w:pPr>
        <w:pStyle w:val="ListParagraph"/>
        <w:widowControl/>
        <w:numPr>
          <w:ilvl w:val="1"/>
          <w:numId w:val="2"/>
        </w:numPr>
        <w:spacing w:before="120"/>
      </w:pPr>
      <w:r w:rsidRPr="003A3555">
        <w:t>Multiple myeloma (MM) is a malignant plasma cell proliferation. The uncontrolled growth of myeloma cells can lead to skeletal destruction, bone marrow failure, increased plasma volume and viscosity, suppression of normal immunoglobulin production and renal insufficiency. In the symptomatic phase, the most common symptom is bone pain. MM is characterised by periods of remission post-</w:t>
      </w:r>
      <w:proofErr w:type="gramStart"/>
      <w:r w:rsidRPr="003A3555">
        <w:t>treatment which</w:t>
      </w:r>
      <w:proofErr w:type="gramEnd"/>
      <w:r w:rsidRPr="003A3555">
        <w:t xml:space="preserve"> are followed by relapse.</w:t>
      </w:r>
    </w:p>
    <w:p w:rsidR="00BF2294" w:rsidRPr="003A3555" w:rsidRDefault="005E7102" w:rsidP="00C12C09">
      <w:pPr>
        <w:pStyle w:val="ListParagraph"/>
        <w:widowControl/>
        <w:numPr>
          <w:ilvl w:val="1"/>
          <w:numId w:val="2"/>
        </w:numPr>
        <w:spacing w:before="120"/>
      </w:pPr>
      <w:proofErr w:type="spellStart"/>
      <w:r w:rsidRPr="003A3555">
        <w:t>Lenalidomide</w:t>
      </w:r>
      <w:proofErr w:type="spellEnd"/>
      <w:r w:rsidRPr="003A3555">
        <w:t xml:space="preserve"> is an immunomodulatory drug (</w:t>
      </w:r>
      <w:proofErr w:type="spellStart"/>
      <w:r w:rsidRPr="003A3555">
        <w:t>IMiD</w:t>
      </w:r>
      <w:proofErr w:type="spellEnd"/>
      <w:r w:rsidRPr="003A3555">
        <w:t xml:space="preserve">). </w:t>
      </w:r>
      <w:proofErr w:type="spellStart"/>
      <w:r w:rsidRPr="003A3555">
        <w:t>IMiDs</w:t>
      </w:r>
      <w:proofErr w:type="spellEnd"/>
      <w:r w:rsidRPr="003A3555">
        <w:t xml:space="preserve"> have both immunomodulatory and anti-angiogenic properties which could confer anti-tumour and anti-metastatic effects.</w:t>
      </w:r>
    </w:p>
    <w:p w:rsidR="00BF2294" w:rsidRDefault="008A6909" w:rsidP="00C12C09">
      <w:pPr>
        <w:pStyle w:val="ListParagraph"/>
        <w:widowControl/>
        <w:numPr>
          <w:ilvl w:val="1"/>
          <w:numId w:val="2"/>
        </w:numPr>
        <w:spacing w:before="120"/>
      </w:pPr>
      <w:r w:rsidRPr="003A3555">
        <w:t xml:space="preserve">Currently, patients with NDMM who are eligible </w:t>
      </w:r>
      <w:r w:rsidR="00C67E3C">
        <w:t xml:space="preserve">will </w:t>
      </w:r>
      <w:r w:rsidRPr="003A3555">
        <w:t xml:space="preserve">undergo an ASCT, with the potential for use of subsequent therapy to maintain the response achieved during transplant. This is the proposed population for the requested expanded listing of </w:t>
      </w:r>
      <w:proofErr w:type="spellStart"/>
      <w:r w:rsidRPr="003A3555">
        <w:t>lenalidomide</w:t>
      </w:r>
      <w:proofErr w:type="spellEnd"/>
      <w:r w:rsidRPr="003A3555">
        <w:t xml:space="preserve">. </w:t>
      </w:r>
      <w:proofErr w:type="spellStart"/>
      <w:r w:rsidR="00BF2294" w:rsidRPr="003A3555">
        <w:t>Lenalidomide</w:t>
      </w:r>
      <w:proofErr w:type="spellEnd"/>
      <w:r w:rsidR="00BF2294" w:rsidRPr="003A3555">
        <w:t xml:space="preserve"> is the only medicine currently registered by the TGA for use as maintenance therapy post-ASCT</w:t>
      </w:r>
      <w:r w:rsidR="00A96B9A" w:rsidRPr="003A3555">
        <w:t xml:space="preserve"> for MM</w:t>
      </w:r>
      <w:r w:rsidR="00BF2294" w:rsidRPr="003A3555">
        <w:t>.</w:t>
      </w:r>
    </w:p>
    <w:p w:rsidR="00D539BE" w:rsidRPr="00D539BE" w:rsidRDefault="00D539BE" w:rsidP="00C12C09">
      <w:pPr>
        <w:pStyle w:val="ListParagraph"/>
        <w:widowControl/>
        <w:spacing w:before="120"/>
        <w:rPr>
          <w:i/>
        </w:rPr>
      </w:pPr>
      <w:r w:rsidRPr="00D539BE">
        <w:rPr>
          <w:i/>
        </w:rPr>
        <w:t>For more detail on PBAC’s view, see Section 7 PBAC outcome.</w:t>
      </w:r>
    </w:p>
    <w:p w:rsidR="005E7102" w:rsidRPr="003A3555" w:rsidRDefault="005E7102" w:rsidP="00C12C09">
      <w:pPr>
        <w:pStyle w:val="Heading1"/>
        <w:keepLines/>
        <w:widowControl/>
        <w:numPr>
          <w:ilvl w:val="0"/>
          <w:numId w:val="2"/>
        </w:numPr>
        <w:spacing w:before="120"/>
        <w:ind w:left="709" w:hanging="709"/>
        <w:rPr>
          <w:rFonts w:asciiTheme="minorHAnsi" w:eastAsiaTheme="majorEastAsia" w:hAnsiTheme="minorHAnsi" w:cstheme="majorBidi"/>
          <w:caps w:val="0"/>
          <w:snapToGrid/>
          <w:szCs w:val="28"/>
        </w:rPr>
      </w:pPr>
      <w:bookmarkStart w:id="18" w:name="_Toc532395959"/>
      <w:bookmarkStart w:id="19" w:name="_Toc532805602"/>
      <w:bookmarkStart w:id="20" w:name="_Toc533163393"/>
      <w:r w:rsidRPr="003A3555">
        <w:rPr>
          <w:rFonts w:asciiTheme="minorHAnsi" w:eastAsiaTheme="majorEastAsia" w:hAnsiTheme="minorHAnsi" w:cstheme="majorBidi"/>
          <w:caps w:val="0"/>
          <w:snapToGrid/>
          <w:szCs w:val="28"/>
        </w:rPr>
        <w:t>Comparator</w:t>
      </w:r>
      <w:bookmarkEnd w:id="18"/>
      <w:bookmarkEnd w:id="19"/>
      <w:bookmarkEnd w:id="20"/>
    </w:p>
    <w:p w:rsidR="005D4155" w:rsidRPr="00720BC8" w:rsidRDefault="005E7102" w:rsidP="00C12C09">
      <w:pPr>
        <w:pStyle w:val="ListParagraph"/>
        <w:widowControl/>
        <w:numPr>
          <w:ilvl w:val="1"/>
          <w:numId w:val="2"/>
        </w:numPr>
        <w:spacing w:before="120"/>
      </w:pPr>
      <w:r w:rsidRPr="003A3555">
        <w:t>In accordance with PBAC advice (</w:t>
      </w:r>
      <w:r w:rsidR="008E6CE1">
        <w:t xml:space="preserve">paragraph 7.3, </w:t>
      </w:r>
      <w:proofErr w:type="spellStart"/>
      <w:r w:rsidRPr="003A3555">
        <w:t>Lenalidomide</w:t>
      </w:r>
      <w:proofErr w:type="spellEnd"/>
      <w:r w:rsidRPr="003A3555">
        <w:t xml:space="preserve"> PSD, March 2018), the resubmission proposed a mixed co</w:t>
      </w:r>
      <w:r w:rsidR="00577C15">
        <w:t>mparator of BSC and thalidomide, as there would be a proportion of patients who would not tolerate thalidomide.</w:t>
      </w:r>
      <w:r w:rsidRPr="003A3555">
        <w:t xml:space="preserve"> The resubmission proposed relative weights of </w:t>
      </w:r>
      <w:r w:rsidR="001D6F6D">
        <w:rPr>
          <w:noProof/>
          <w:color w:val="000000"/>
          <w:highlight w:val="black"/>
        </w:rPr>
        <w:t>''''''''</w:t>
      </w:r>
      <w:r w:rsidRPr="003A3555">
        <w:t xml:space="preserve">% </w:t>
      </w:r>
      <w:r w:rsidRPr="001172EE">
        <w:t xml:space="preserve">and </w:t>
      </w:r>
      <w:r w:rsidR="001D6F6D">
        <w:rPr>
          <w:noProof/>
          <w:color w:val="000000"/>
          <w:highlight w:val="black"/>
        </w:rPr>
        <w:t>'''''''''</w:t>
      </w:r>
      <w:r w:rsidRPr="001172EE">
        <w:t>% respectively</w:t>
      </w:r>
      <w:r w:rsidRPr="003A3555">
        <w:t xml:space="preserve"> based on the data from the </w:t>
      </w:r>
      <w:r w:rsidRPr="003A3555">
        <w:rPr>
          <w:rFonts w:cs="Calibri"/>
          <w:snapToGrid/>
          <w:szCs w:val="24"/>
          <w:lang w:eastAsia="en-AU"/>
        </w:rPr>
        <w:t>Myeloma and Related Diseases Registry (MRDR)</w:t>
      </w:r>
      <w:r w:rsidRPr="003A3555">
        <w:t xml:space="preserve">. </w:t>
      </w:r>
      <w:r w:rsidR="005D4155" w:rsidRPr="00720BC8">
        <w:t>The M</w:t>
      </w:r>
      <w:r w:rsidR="00010EEE">
        <w:t>y</w:t>
      </w:r>
      <w:r w:rsidR="002B11A4">
        <w:t>e</w:t>
      </w:r>
      <w:r w:rsidR="00010EEE">
        <w:t>loma</w:t>
      </w:r>
      <w:r w:rsidR="005D4155" w:rsidRPr="00720BC8">
        <w:t xml:space="preserve"> Scientific and Advisory Group (MSAG) guidelines indicated that although not always recommended, maintenance therapy with thalidomide </w:t>
      </w:r>
      <w:proofErr w:type="gramStart"/>
      <w:r w:rsidR="005D4155" w:rsidRPr="00720BC8">
        <w:t>is used</w:t>
      </w:r>
      <w:proofErr w:type="gramEnd"/>
      <w:r w:rsidR="005D4155" w:rsidRPr="00720BC8">
        <w:t xml:space="preserve"> in Australia for some patients. </w:t>
      </w:r>
    </w:p>
    <w:p w:rsidR="00157EBB" w:rsidRPr="003A3555" w:rsidRDefault="00157EBB" w:rsidP="00C12C09">
      <w:pPr>
        <w:pStyle w:val="ListParagraph"/>
        <w:widowControl/>
        <w:numPr>
          <w:ilvl w:val="1"/>
          <w:numId w:val="2"/>
        </w:numPr>
        <w:spacing w:before="120"/>
      </w:pPr>
      <w:r w:rsidRPr="00D32723">
        <w:lastRenderedPageBreak/>
        <w:t xml:space="preserve">The PBAC </w:t>
      </w:r>
      <w:r>
        <w:t xml:space="preserve">previously </w:t>
      </w:r>
      <w:r w:rsidRPr="00D32723">
        <w:t xml:space="preserve">considered that there were some limitations with the MRDR data, particularly </w:t>
      </w:r>
      <w:r>
        <w:t>surrounding</w:t>
      </w:r>
      <w:r w:rsidRPr="00D32723">
        <w:t xml:space="preserve"> the completeness of this data set, quality control measures, and how missing data were accounted for (</w:t>
      </w:r>
      <w:r>
        <w:t xml:space="preserve">paragraph 5.3, </w:t>
      </w:r>
      <w:proofErr w:type="spellStart"/>
      <w:r w:rsidRPr="00D32723">
        <w:t>Lenalidomide</w:t>
      </w:r>
      <w:proofErr w:type="spellEnd"/>
      <w:r w:rsidRPr="00D32723">
        <w:t xml:space="preserve"> </w:t>
      </w:r>
      <w:r>
        <w:t>PSD, March 2018</w:t>
      </w:r>
      <w:r w:rsidRPr="00D32723">
        <w:t>).</w:t>
      </w:r>
    </w:p>
    <w:p w:rsidR="00157EBB" w:rsidRDefault="00FD6B8F" w:rsidP="00C12C09">
      <w:pPr>
        <w:pStyle w:val="ListParagraph"/>
        <w:widowControl/>
        <w:numPr>
          <w:ilvl w:val="1"/>
          <w:numId w:val="2"/>
        </w:numPr>
        <w:spacing w:before="120"/>
      </w:pPr>
      <w:r w:rsidRPr="000A3D32">
        <w:rPr>
          <w:rFonts w:cs="Calibri"/>
          <w:snapToGrid/>
          <w:szCs w:val="24"/>
          <w:lang w:eastAsia="en-AU"/>
        </w:rPr>
        <w:t xml:space="preserve">Data presented in the resubmission from the MRDR indicated that </w:t>
      </w:r>
      <w:r w:rsidR="006D27F1">
        <w:rPr>
          <w:rFonts w:cs="Calibri"/>
          <w:snapToGrid/>
          <w:szCs w:val="24"/>
          <w:lang w:eastAsia="en-AU"/>
        </w:rPr>
        <w:t xml:space="preserve">the proportion of NDMM patients who undergo an ASCT and do not receive active maintenance therapy ranged from </w:t>
      </w:r>
      <w:r w:rsidR="001D6F6D">
        <w:rPr>
          <w:rFonts w:cs="Calibri"/>
          <w:noProof/>
          <w:snapToGrid/>
          <w:color w:val="000000"/>
          <w:szCs w:val="24"/>
          <w:highlight w:val="black"/>
          <w:lang w:eastAsia="en-AU"/>
        </w:rPr>
        <w:t>''''''''</w:t>
      </w:r>
      <w:r w:rsidR="006D27F1">
        <w:rPr>
          <w:rFonts w:cs="Calibri"/>
          <w:snapToGrid/>
          <w:szCs w:val="24"/>
          <w:lang w:eastAsia="en-AU"/>
        </w:rPr>
        <w:t xml:space="preserve">% to </w:t>
      </w:r>
      <w:r w:rsidR="001D6F6D">
        <w:rPr>
          <w:rFonts w:cs="Calibri"/>
          <w:noProof/>
          <w:snapToGrid/>
          <w:color w:val="000000"/>
          <w:szCs w:val="24"/>
          <w:highlight w:val="black"/>
          <w:lang w:eastAsia="en-AU"/>
        </w:rPr>
        <w:t>''''''''</w:t>
      </w:r>
      <w:r w:rsidR="006D27F1">
        <w:rPr>
          <w:rFonts w:cs="Calibri"/>
          <w:snapToGrid/>
          <w:szCs w:val="24"/>
          <w:lang w:eastAsia="en-AU"/>
        </w:rPr>
        <w:t>% and that those receiving thalidomide</w:t>
      </w:r>
      <w:r w:rsidR="00157EBB">
        <w:rPr>
          <w:rFonts w:cs="Calibri"/>
          <w:snapToGrid/>
          <w:szCs w:val="24"/>
          <w:lang w:eastAsia="en-AU"/>
        </w:rPr>
        <w:t>-based therapies</w:t>
      </w:r>
      <w:r w:rsidR="006D27F1">
        <w:rPr>
          <w:rFonts w:cs="Calibri"/>
          <w:snapToGrid/>
          <w:szCs w:val="24"/>
          <w:lang w:eastAsia="en-AU"/>
        </w:rPr>
        <w:t xml:space="preserve"> ranged from </w:t>
      </w:r>
      <w:r w:rsidR="001D6F6D">
        <w:rPr>
          <w:rFonts w:cs="Calibri"/>
          <w:noProof/>
          <w:snapToGrid/>
          <w:color w:val="000000"/>
          <w:szCs w:val="24"/>
          <w:highlight w:val="black"/>
          <w:lang w:eastAsia="en-AU"/>
        </w:rPr>
        <w:t>''''''''</w:t>
      </w:r>
      <w:r w:rsidR="006D27F1">
        <w:rPr>
          <w:rFonts w:cs="Calibri"/>
          <w:snapToGrid/>
          <w:szCs w:val="24"/>
          <w:lang w:eastAsia="en-AU"/>
        </w:rPr>
        <w:t xml:space="preserve">% to </w:t>
      </w:r>
      <w:r w:rsidR="001D6F6D">
        <w:rPr>
          <w:rFonts w:cs="Calibri"/>
          <w:noProof/>
          <w:snapToGrid/>
          <w:color w:val="000000"/>
          <w:szCs w:val="24"/>
          <w:highlight w:val="black"/>
          <w:lang w:eastAsia="en-AU"/>
        </w:rPr>
        <w:t>'''''''''</w:t>
      </w:r>
      <w:r w:rsidR="006D27F1">
        <w:rPr>
          <w:rFonts w:cs="Calibri"/>
          <w:snapToGrid/>
          <w:szCs w:val="24"/>
          <w:lang w:eastAsia="en-AU"/>
        </w:rPr>
        <w:t>% depending on the patie</w:t>
      </w:r>
      <w:r w:rsidR="00157EBB">
        <w:rPr>
          <w:rFonts w:cs="Calibri"/>
          <w:snapToGrid/>
          <w:szCs w:val="24"/>
          <w:lang w:eastAsia="en-AU"/>
        </w:rPr>
        <w:t>n</w:t>
      </w:r>
      <w:r w:rsidR="006D27F1">
        <w:rPr>
          <w:rFonts w:cs="Calibri"/>
          <w:snapToGrid/>
          <w:szCs w:val="24"/>
          <w:lang w:eastAsia="en-AU"/>
        </w:rPr>
        <w:t>ts included in the analysis and the definition of BSC</w:t>
      </w:r>
      <w:r w:rsidR="00157EBB">
        <w:rPr>
          <w:rFonts w:cs="Calibri"/>
          <w:snapToGrid/>
          <w:szCs w:val="24"/>
          <w:lang w:eastAsia="en-AU"/>
        </w:rPr>
        <w:t>.</w:t>
      </w:r>
    </w:p>
    <w:p w:rsidR="00157EBB" w:rsidRDefault="00157EBB" w:rsidP="00C12C09">
      <w:pPr>
        <w:pStyle w:val="ListParagraph"/>
        <w:widowControl/>
        <w:numPr>
          <w:ilvl w:val="1"/>
          <w:numId w:val="2"/>
        </w:numPr>
        <w:spacing w:before="120"/>
      </w:pPr>
      <w:r>
        <w:t>When considering the March 2018 submission the PBAC considered that the proportion of patients receiving thalidomide post-ASCT was likely to be higher than that estimated by the MRDR</w:t>
      </w:r>
      <w:r w:rsidR="00C02B9E">
        <w:t>. Clinician advice indicated that the use of thalidomide</w:t>
      </w:r>
      <w:r>
        <w:t xml:space="preserve"> maintenance therapy has likely increased since the MRDR analysis, which </w:t>
      </w:r>
      <w:proofErr w:type="gramStart"/>
      <w:r>
        <w:t>was based</w:t>
      </w:r>
      <w:proofErr w:type="gramEnd"/>
      <w:r>
        <w:t xml:space="preserve"> on a sample of patients taken between 2012 and 2015 (paragraph</w:t>
      </w:r>
      <w:r w:rsidR="00C02B9E">
        <w:t>s</w:t>
      </w:r>
      <w:r>
        <w:t xml:space="preserve"> 5.3</w:t>
      </w:r>
      <w:r w:rsidR="00C02B9E">
        <w:t xml:space="preserve"> and 7.3</w:t>
      </w:r>
      <w:r>
        <w:t xml:space="preserve">, </w:t>
      </w:r>
      <w:proofErr w:type="spellStart"/>
      <w:r>
        <w:t>Lenalidomide</w:t>
      </w:r>
      <w:proofErr w:type="spellEnd"/>
      <w:r>
        <w:t xml:space="preserve"> PSD, March 2018)</w:t>
      </w:r>
      <w:r w:rsidR="00C02B9E">
        <w:t xml:space="preserve">. In addition, advice from DUSC cited an analysis of the MRDR data by Bergin, 2017 </w:t>
      </w:r>
      <w:proofErr w:type="gramStart"/>
      <w:r w:rsidR="00C02B9E">
        <w:t>which</w:t>
      </w:r>
      <w:proofErr w:type="gramEnd"/>
      <w:r w:rsidR="00C02B9E">
        <w:t xml:space="preserve"> estimated the proportions of patients receiving BSC or thalidomide as 53.0% and 47.0% respectively (paragraph 6.61, </w:t>
      </w:r>
      <w:proofErr w:type="spellStart"/>
      <w:r w:rsidR="00C02B9E">
        <w:t>Lenalidomide</w:t>
      </w:r>
      <w:proofErr w:type="spellEnd"/>
      <w:r w:rsidR="00C02B9E">
        <w:t xml:space="preserve"> PSD, March 2018). </w:t>
      </w:r>
      <w:r w:rsidR="00C02B9E" w:rsidRPr="00720BC8">
        <w:t xml:space="preserve">The </w:t>
      </w:r>
      <w:r w:rsidR="00011707">
        <w:t>Pre-Sub-Committee Response (</w:t>
      </w:r>
      <w:r w:rsidR="00C02B9E" w:rsidRPr="00720BC8">
        <w:t>PSCR</w:t>
      </w:r>
      <w:r w:rsidR="00011707">
        <w:t>)</w:t>
      </w:r>
      <w:r w:rsidR="00C02B9E" w:rsidRPr="00720BC8">
        <w:t xml:space="preserve"> </w:t>
      </w:r>
      <w:r w:rsidR="00F16D92">
        <w:t xml:space="preserve">and pre-PBAC response </w:t>
      </w:r>
      <w:r w:rsidR="00C02B9E" w:rsidRPr="00720BC8">
        <w:t xml:space="preserve">stated that Bergin </w:t>
      </w:r>
      <w:r w:rsidR="00010EEE">
        <w:t>(</w:t>
      </w:r>
      <w:r w:rsidR="00C02B9E" w:rsidRPr="00720BC8">
        <w:t>2017</w:t>
      </w:r>
      <w:r w:rsidR="00010EEE">
        <w:t>)</w:t>
      </w:r>
      <w:r w:rsidR="00C02B9E" w:rsidRPr="00720BC8">
        <w:t xml:space="preserve"> is a brief conference abstract that reported limited data from an earlier analysis of a smaller cohort of patients</w:t>
      </w:r>
      <w:r w:rsidR="00ED0FD5">
        <w:t xml:space="preserve"> (218 versus 301 patients)</w:t>
      </w:r>
      <w:r w:rsidR="00C02B9E" w:rsidRPr="00720BC8">
        <w:t xml:space="preserve"> from the same registry than that used in the submission, and was therefore considered inferior.</w:t>
      </w:r>
      <w:r w:rsidR="00F16D92">
        <w:t xml:space="preserve"> </w:t>
      </w:r>
      <w:r w:rsidR="00917635">
        <w:t xml:space="preserve">In the pre-PBAC response, </w:t>
      </w:r>
      <w:proofErr w:type="gramStart"/>
      <w:r w:rsidR="00917635">
        <w:t>the use of the updated MRDR analysis in preference to Be</w:t>
      </w:r>
      <w:r w:rsidR="0002576B">
        <w:t>r</w:t>
      </w:r>
      <w:r w:rsidR="00917635">
        <w:t xml:space="preserve">gin </w:t>
      </w:r>
      <w:r w:rsidR="00010EEE">
        <w:t>(</w:t>
      </w:r>
      <w:r w:rsidR="00917635">
        <w:t>2017</w:t>
      </w:r>
      <w:r w:rsidR="00010EEE">
        <w:t>)</w:t>
      </w:r>
      <w:r w:rsidR="00917635">
        <w:t xml:space="preserve"> was also sup</w:t>
      </w:r>
      <w:r w:rsidR="00FC3E01">
        <w:t>ported by Professor Andrew Spenc</w:t>
      </w:r>
      <w:r w:rsidR="00917635">
        <w:t xml:space="preserve">er, one </w:t>
      </w:r>
      <w:r w:rsidR="0002576B">
        <w:t>of</w:t>
      </w:r>
      <w:r w:rsidR="00917635">
        <w:t xml:space="preserve"> the key authors</w:t>
      </w:r>
      <w:r w:rsidR="0002576B">
        <w:t xml:space="preserve"> of the Bergin abstract</w:t>
      </w:r>
      <w:proofErr w:type="gramEnd"/>
      <w:r w:rsidR="0002576B">
        <w:t xml:space="preserve">. </w:t>
      </w:r>
      <w:r w:rsidR="00F16D92">
        <w:t xml:space="preserve">The pre-PBAC response stated that </w:t>
      </w:r>
      <w:r w:rsidR="00E013D1">
        <w:t>it believed that the use of thalidomide post-ASCT was decreasing, not increasing, and was likely to be lower than that estimated by the MRDR, not higher, as stated by the PBAC in March 2018.</w:t>
      </w:r>
      <w:r w:rsidR="00ED0FD5">
        <w:t xml:space="preserve"> The pre-PBAC response </w:t>
      </w:r>
      <w:r w:rsidR="00E013D1">
        <w:t>provided the following information to support the estimates provided in the resubmission:</w:t>
      </w:r>
    </w:p>
    <w:p w:rsidR="00E013D1" w:rsidRDefault="00E013D1" w:rsidP="00C12C09">
      <w:pPr>
        <w:pStyle w:val="ListParagraph"/>
        <w:widowControl/>
        <w:numPr>
          <w:ilvl w:val="1"/>
          <w:numId w:val="8"/>
        </w:numPr>
        <w:spacing w:before="120"/>
        <w:ind w:left="1077" w:hanging="357"/>
      </w:pPr>
      <w:r>
        <w:t xml:space="preserve">Analysis of the 10% PBS dataset indicated that thalidomide utilisation post-ASCT was decreasing over time. The pre-PBAC response states that in 2017 </w:t>
      </w:r>
      <w:r w:rsidR="001D6F6D">
        <w:rPr>
          <w:noProof/>
          <w:color w:val="000000"/>
          <w:highlight w:val="black"/>
        </w:rPr>
        <w:t>'''''</w:t>
      </w:r>
      <w:r>
        <w:t xml:space="preserve">% of </w:t>
      </w:r>
      <w:r w:rsidR="00ED0FD5">
        <w:t xml:space="preserve">patients who initiate induction with </w:t>
      </w:r>
      <w:proofErr w:type="spellStart"/>
      <w:r w:rsidR="00ED0FD5">
        <w:t>bortezomib</w:t>
      </w:r>
      <w:proofErr w:type="spellEnd"/>
      <w:r w:rsidR="00ED0FD5">
        <w:t xml:space="preserve"> went on to receive thalidomide, a decrease from </w:t>
      </w:r>
      <w:r w:rsidR="001D6F6D">
        <w:rPr>
          <w:noProof/>
          <w:color w:val="000000"/>
          <w:highlight w:val="black"/>
        </w:rPr>
        <w:t>'''''</w:t>
      </w:r>
      <w:r w:rsidR="00ED0FD5">
        <w:t>% in 2013/2014; and</w:t>
      </w:r>
    </w:p>
    <w:p w:rsidR="00ED0FD5" w:rsidRPr="00720BC8" w:rsidRDefault="00ED0FD5" w:rsidP="00C12C09">
      <w:pPr>
        <w:pStyle w:val="ListParagraph"/>
        <w:widowControl/>
        <w:numPr>
          <w:ilvl w:val="1"/>
          <w:numId w:val="8"/>
        </w:numPr>
        <w:spacing w:before="120"/>
        <w:ind w:left="1077" w:hanging="357"/>
      </w:pPr>
      <w:r>
        <w:t>Advice from a Clinical Advisory Board was that the number of institutions using thalidomide maintenance had declined over the last few years and that there was no universal trend in the use of thalidomide post-ASCT.</w:t>
      </w:r>
    </w:p>
    <w:p w:rsidR="00A34E14" w:rsidRPr="00720BC8" w:rsidRDefault="00CE7B8C" w:rsidP="00C12C09">
      <w:pPr>
        <w:pStyle w:val="ListParagraph"/>
        <w:widowControl/>
        <w:numPr>
          <w:ilvl w:val="1"/>
          <w:numId w:val="2"/>
        </w:numPr>
        <w:spacing w:before="120"/>
      </w:pPr>
      <w:r>
        <w:t xml:space="preserve">The PBAC recalled that it had previously agreed with the ESC and DUSC in considering that Bergin, 2017 might better reflect thalidomide use. However, noting the arguments provided in the pre-PBAC response and considering the use of thalidomide outside of major teaching hospitals, agreed that thalidomide use in Bergin, 2017 </w:t>
      </w:r>
      <w:proofErr w:type="gramStart"/>
      <w:r>
        <w:t>might be overestimated</w:t>
      </w:r>
      <w:proofErr w:type="gramEnd"/>
      <w:r>
        <w:t xml:space="preserve">. The PBAC considered that it would be </w:t>
      </w:r>
      <w:r w:rsidR="00F94978">
        <w:t>more reasonable</w:t>
      </w:r>
      <w:r>
        <w:t xml:space="preserve"> to assume a </w:t>
      </w:r>
      <w:r w:rsidR="001D6F6D">
        <w:rPr>
          <w:noProof/>
          <w:color w:val="000000"/>
          <w:highlight w:val="black"/>
        </w:rPr>
        <w:t>''''''''</w:t>
      </w:r>
      <w:r>
        <w:t xml:space="preserve">% BSC </w:t>
      </w:r>
      <w:r w:rsidRPr="001172EE">
        <w:t xml:space="preserve">and </w:t>
      </w:r>
      <w:r w:rsidR="001D6F6D">
        <w:rPr>
          <w:noProof/>
          <w:color w:val="000000"/>
          <w:highlight w:val="black"/>
        </w:rPr>
        <w:t>''''''''</w:t>
      </w:r>
      <w:r w:rsidRPr="001172EE">
        <w:t>% thalidomide</w:t>
      </w:r>
      <w:r>
        <w:t xml:space="preserve"> </w:t>
      </w:r>
      <w:r w:rsidR="00B1292D">
        <w:t xml:space="preserve">weighing, which was calculated by excluding </w:t>
      </w:r>
      <w:r w:rsidR="001D6F6D">
        <w:rPr>
          <w:noProof/>
          <w:color w:val="000000"/>
          <w:highlight w:val="black"/>
        </w:rPr>
        <w:t>'''''</w:t>
      </w:r>
      <w:r w:rsidR="00B1292D">
        <w:t xml:space="preserve"> BSC patients who were considered to be receiving active therapy</w:t>
      </w:r>
      <w:r w:rsidR="009151E2">
        <w:t xml:space="preserve"> from the MRDR </w:t>
      </w:r>
      <w:r w:rsidR="009151E2">
        <w:lastRenderedPageBreak/>
        <w:t xml:space="preserve">analysis (the resubmission classified BSC as including no maintenance therapy and maintenance therapy other than </w:t>
      </w:r>
      <w:proofErr w:type="spellStart"/>
      <w:r w:rsidR="009151E2">
        <w:t>lenalidomide</w:t>
      </w:r>
      <w:proofErr w:type="spellEnd"/>
      <w:r w:rsidR="009151E2">
        <w:t xml:space="preserve"> or thalidomide)</w:t>
      </w:r>
      <w:r w:rsidR="00B1292D">
        <w:t>.</w:t>
      </w:r>
    </w:p>
    <w:p w:rsidR="005E7102" w:rsidRPr="00D539BE" w:rsidRDefault="00581C82" w:rsidP="00C12C09">
      <w:pPr>
        <w:pStyle w:val="ListParagraph"/>
        <w:widowControl/>
        <w:numPr>
          <w:ilvl w:val="1"/>
          <w:numId w:val="2"/>
        </w:numPr>
        <w:spacing w:before="120"/>
        <w:rPr>
          <w:i/>
        </w:rPr>
      </w:pPr>
      <w:r>
        <w:t>If used as post-ASCT maintenance therapy, the MSAG guidelines recommend thalidomide at a dose of 100 mg daily, with or without corticosteroids, for approximately 12 months.</w:t>
      </w:r>
      <w:r w:rsidR="00A33948">
        <w:rPr>
          <w:rStyle w:val="FootnoteReference"/>
        </w:rPr>
        <w:footnoteReference w:id="1"/>
      </w:r>
      <w:r w:rsidR="005E7102" w:rsidRPr="003A3555">
        <w:t xml:space="preserve"> </w:t>
      </w:r>
    </w:p>
    <w:p w:rsidR="00D539BE" w:rsidRPr="00D539BE" w:rsidRDefault="00D539BE" w:rsidP="00C12C09">
      <w:pPr>
        <w:pStyle w:val="ListParagraph"/>
        <w:widowControl/>
        <w:spacing w:before="120"/>
        <w:rPr>
          <w:i/>
        </w:rPr>
      </w:pPr>
      <w:r w:rsidRPr="00D539BE">
        <w:rPr>
          <w:i/>
        </w:rPr>
        <w:t>For more detail on PBAC’s view, see Section 7 PBAC outcome.</w:t>
      </w:r>
    </w:p>
    <w:p w:rsidR="005E7102" w:rsidRPr="0050766B" w:rsidRDefault="005E7102" w:rsidP="00C12C09">
      <w:pPr>
        <w:pStyle w:val="Heading1"/>
        <w:keepLines/>
        <w:widowControl/>
        <w:numPr>
          <w:ilvl w:val="0"/>
          <w:numId w:val="2"/>
        </w:numPr>
        <w:spacing w:before="120"/>
        <w:ind w:left="709" w:hanging="709"/>
        <w:rPr>
          <w:rFonts w:asciiTheme="minorHAnsi" w:eastAsiaTheme="majorEastAsia" w:hAnsiTheme="minorHAnsi" w:cstheme="majorBidi"/>
          <w:caps w:val="0"/>
          <w:snapToGrid/>
          <w:szCs w:val="28"/>
        </w:rPr>
      </w:pPr>
      <w:bookmarkStart w:id="21" w:name="_Toc532395960"/>
      <w:bookmarkStart w:id="22" w:name="_Toc532805603"/>
      <w:bookmarkStart w:id="23" w:name="_Toc533163394"/>
      <w:r w:rsidRPr="0050766B">
        <w:rPr>
          <w:rFonts w:asciiTheme="minorHAnsi" w:eastAsiaTheme="majorEastAsia" w:hAnsiTheme="minorHAnsi" w:cstheme="majorBidi"/>
          <w:caps w:val="0"/>
          <w:snapToGrid/>
          <w:szCs w:val="28"/>
        </w:rPr>
        <w:t>Consideration of the evidence</w:t>
      </w:r>
      <w:bookmarkEnd w:id="21"/>
      <w:bookmarkEnd w:id="22"/>
      <w:bookmarkEnd w:id="23"/>
    </w:p>
    <w:p w:rsidR="006D772C" w:rsidRPr="0050766B" w:rsidRDefault="006D772C" w:rsidP="00C12C09">
      <w:pPr>
        <w:pStyle w:val="Heading2"/>
        <w:spacing w:before="120"/>
      </w:pPr>
      <w:bookmarkStart w:id="24" w:name="_Toc532395961"/>
      <w:bookmarkStart w:id="25" w:name="_Toc532805604"/>
      <w:bookmarkStart w:id="26" w:name="_Toc533163395"/>
      <w:r w:rsidRPr="0050766B">
        <w:t>Sponsor hearing</w:t>
      </w:r>
    </w:p>
    <w:p w:rsidR="006D772C" w:rsidRPr="0050766B" w:rsidRDefault="006D772C" w:rsidP="00C12C09">
      <w:pPr>
        <w:numPr>
          <w:ilvl w:val="1"/>
          <w:numId w:val="2"/>
        </w:numPr>
        <w:spacing w:before="120" w:after="120"/>
        <w:rPr>
          <w:rFonts w:asciiTheme="minorHAnsi" w:hAnsiTheme="minorHAnsi"/>
          <w:bCs/>
        </w:rPr>
      </w:pPr>
      <w:r w:rsidRPr="0050766B">
        <w:rPr>
          <w:rFonts w:asciiTheme="minorHAnsi" w:hAnsiTheme="minorHAnsi"/>
          <w:bCs/>
        </w:rPr>
        <w:t>There was no hearing for this item.</w:t>
      </w:r>
    </w:p>
    <w:p w:rsidR="006D772C" w:rsidRPr="0050766B" w:rsidRDefault="006D772C" w:rsidP="00C12C09">
      <w:pPr>
        <w:pStyle w:val="Heading2"/>
        <w:spacing w:before="120"/>
      </w:pPr>
      <w:r w:rsidRPr="0050766B">
        <w:t>Consumer comments</w:t>
      </w:r>
    </w:p>
    <w:p w:rsidR="006D772C" w:rsidRPr="0050766B" w:rsidRDefault="006D772C" w:rsidP="00C12C09">
      <w:pPr>
        <w:numPr>
          <w:ilvl w:val="1"/>
          <w:numId w:val="2"/>
        </w:numPr>
        <w:spacing w:before="120" w:after="120"/>
        <w:rPr>
          <w:rFonts w:asciiTheme="minorHAnsi" w:hAnsiTheme="minorHAnsi"/>
          <w:bCs/>
        </w:rPr>
      </w:pPr>
      <w:r w:rsidRPr="0050766B">
        <w:rPr>
          <w:rFonts w:asciiTheme="minorHAnsi" w:hAnsiTheme="minorHAnsi"/>
          <w:bCs/>
        </w:rPr>
        <w:t>The PBAC noted and welcomed the input from individuals (</w:t>
      </w:r>
      <w:r w:rsidR="00ED0FD5" w:rsidRPr="0050766B">
        <w:rPr>
          <w:rFonts w:asciiTheme="minorHAnsi" w:hAnsiTheme="minorHAnsi"/>
          <w:bCs/>
        </w:rPr>
        <w:t>107</w:t>
      </w:r>
      <w:r w:rsidRPr="0050766B">
        <w:rPr>
          <w:rFonts w:asciiTheme="minorHAnsi" w:hAnsiTheme="minorHAnsi"/>
          <w:bCs/>
        </w:rPr>
        <w:t>), health care professionals (7) and organisations (</w:t>
      </w:r>
      <w:r w:rsidR="00ED0FD5" w:rsidRPr="0050766B">
        <w:rPr>
          <w:rFonts w:asciiTheme="minorHAnsi" w:hAnsiTheme="minorHAnsi"/>
          <w:bCs/>
        </w:rPr>
        <w:t>3</w:t>
      </w:r>
      <w:r w:rsidRPr="0050766B">
        <w:rPr>
          <w:rFonts w:asciiTheme="minorHAnsi" w:hAnsiTheme="minorHAnsi"/>
          <w:bCs/>
        </w:rPr>
        <w:t xml:space="preserve">) via the Consumer Comments facility on the PBS website.  The comments described a range of benefits of treatment with </w:t>
      </w:r>
      <w:proofErr w:type="spellStart"/>
      <w:r w:rsidR="00ED0FD5" w:rsidRPr="0050766B">
        <w:rPr>
          <w:rFonts w:asciiTheme="minorHAnsi" w:hAnsiTheme="minorHAnsi"/>
          <w:bCs/>
        </w:rPr>
        <w:t>lenalidom</w:t>
      </w:r>
      <w:r w:rsidR="00A277AD" w:rsidRPr="0050766B">
        <w:rPr>
          <w:rFonts w:asciiTheme="minorHAnsi" w:hAnsiTheme="minorHAnsi"/>
          <w:bCs/>
        </w:rPr>
        <w:t>id</w:t>
      </w:r>
      <w:r w:rsidR="00ED0FD5" w:rsidRPr="0050766B">
        <w:rPr>
          <w:rFonts w:asciiTheme="minorHAnsi" w:hAnsiTheme="minorHAnsi"/>
          <w:bCs/>
        </w:rPr>
        <w:t>e</w:t>
      </w:r>
      <w:proofErr w:type="spellEnd"/>
      <w:r w:rsidR="00ED0FD5" w:rsidRPr="0050766B">
        <w:rPr>
          <w:rFonts w:asciiTheme="minorHAnsi" w:hAnsiTheme="minorHAnsi"/>
          <w:bCs/>
        </w:rPr>
        <w:t xml:space="preserve"> </w:t>
      </w:r>
      <w:r w:rsidRPr="0050766B">
        <w:rPr>
          <w:rFonts w:asciiTheme="minorHAnsi" w:hAnsiTheme="minorHAnsi"/>
          <w:bCs/>
        </w:rPr>
        <w:t xml:space="preserve">including </w:t>
      </w:r>
      <w:r w:rsidR="00ED0FD5" w:rsidRPr="0050766B">
        <w:rPr>
          <w:rFonts w:asciiTheme="minorHAnsi" w:hAnsiTheme="minorHAnsi"/>
          <w:bCs/>
        </w:rPr>
        <w:t>improved overall survival</w:t>
      </w:r>
      <w:r w:rsidR="00A277AD" w:rsidRPr="0050766B">
        <w:rPr>
          <w:rFonts w:asciiTheme="minorHAnsi" w:hAnsiTheme="minorHAnsi"/>
          <w:bCs/>
        </w:rPr>
        <w:t>, quality of life</w:t>
      </w:r>
      <w:r w:rsidR="00ED0FD5" w:rsidRPr="0050766B">
        <w:rPr>
          <w:rFonts w:asciiTheme="minorHAnsi" w:hAnsiTheme="minorHAnsi"/>
          <w:bCs/>
        </w:rPr>
        <w:t xml:space="preserve"> and tolerability</w:t>
      </w:r>
      <w:r w:rsidR="00995E61">
        <w:rPr>
          <w:rFonts w:asciiTheme="minorHAnsi" w:hAnsiTheme="minorHAnsi"/>
          <w:bCs/>
        </w:rPr>
        <w:t>,</w:t>
      </w:r>
      <w:r w:rsidR="00A277AD" w:rsidRPr="0050766B">
        <w:rPr>
          <w:rFonts w:asciiTheme="minorHAnsi" w:hAnsiTheme="minorHAnsi"/>
          <w:bCs/>
        </w:rPr>
        <w:t xml:space="preserve"> and fewer side effects</w:t>
      </w:r>
      <w:r w:rsidR="00CC5B00">
        <w:rPr>
          <w:rFonts w:asciiTheme="minorHAnsi" w:hAnsiTheme="minorHAnsi"/>
          <w:bCs/>
        </w:rPr>
        <w:t xml:space="preserve"> than thalidomide</w:t>
      </w:r>
      <w:r w:rsidR="00171270">
        <w:rPr>
          <w:rFonts w:asciiTheme="minorHAnsi" w:hAnsiTheme="minorHAnsi"/>
          <w:bCs/>
        </w:rPr>
        <w:t>.</w:t>
      </w:r>
      <w:bookmarkStart w:id="27" w:name="_GoBack"/>
      <w:bookmarkEnd w:id="27"/>
    </w:p>
    <w:p w:rsidR="006D772C" w:rsidRPr="0050766B" w:rsidRDefault="006D772C" w:rsidP="00C12C09">
      <w:pPr>
        <w:numPr>
          <w:ilvl w:val="1"/>
          <w:numId w:val="2"/>
        </w:numPr>
        <w:spacing w:before="120" w:after="120"/>
        <w:rPr>
          <w:rFonts w:asciiTheme="minorHAnsi" w:hAnsiTheme="minorHAnsi"/>
          <w:bCs/>
        </w:rPr>
      </w:pPr>
      <w:r w:rsidRPr="0050766B">
        <w:rPr>
          <w:rFonts w:asciiTheme="minorHAnsi" w:hAnsiTheme="minorHAnsi"/>
          <w:bCs/>
        </w:rPr>
        <w:t xml:space="preserve">The PBAC noted the advice received from </w:t>
      </w:r>
      <w:r w:rsidR="00A277AD" w:rsidRPr="0050766B">
        <w:rPr>
          <w:rFonts w:asciiTheme="minorHAnsi" w:hAnsiTheme="minorHAnsi"/>
          <w:bCs/>
        </w:rPr>
        <w:t xml:space="preserve">the Leukaemia Foundation, Myeloma Australia and the Medical and Scientific Advisory Group (MSAG) of Myeloma Australia </w:t>
      </w:r>
      <w:r w:rsidRPr="0050766B">
        <w:rPr>
          <w:rFonts w:asciiTheme="minorHAnsi" w:hAnsiTheme="minorHAnsi"/>
          <w:bCs/>
        </w:rPr>
        <w:t xml:space="preserve">clarifying the likely use of </w:t>
      </w:r>
      <w:proofErr w:type="spellStart"/>
      <w:r w:rsidR="00A277AD" w:rsidRPr="0050766B">
        <w:rPr>
          <w:rFonts w:asciiTheme="minorHAnsi" w:hAnsiTheme="minorHAnsi"/>
          <w:bCs/>
        </w:rPr>
        <w:t>lenalidomide</w:t>
      </w:r>
      <w:proofErr w:type="spellEnd"/>
      <w:r w:rsidRPr="0050766B">
        <w:rPr>
          <w:rFonts w:asciiTheme="minorHAnsi" w:hAnsiTheme="minorHAnsi"/>
          <w:bCs/>
        </w:rPr>
        <w:t xml:space="preserve"> in clinical practice.  The PBAC specifically noted the advice that the use of </w:t>
      </w:r>
      <w:proofErr w:type="spellStart"/>
      <w:r w:rsidR="00A277AD" w:rsidRPr="0050766B">
        <w:rPr>
          <w:rFonts w:asciiTheme="minorHAnsi" w:hAnsiTheme="minorHAnsi"/>
          <w:bCs/>
        </w:rPr>
        <w:t>lenalidomide</w:t>
      </w:r>
      <w:proofErr w:type="spellEnd"/>
      <w:r w:rsidRPr="0050766B">
        <w:rPr>
          <w:rFonts w:asciiTheme="minorHAnsi" w:hAnsiTheme="minorHAnsi"/>
          <w:bCs/>
        </w:rPr>
        <w:t xml:space="preserve"> may </w:t>
      </w:r>
      <w:r w:rsidR="00A277AD" w:rsidRPr="0050766B">
        <w:rPr>
          <w:rFonts w:asciiTheme="minorHAnsi" w:hAnsiTheme="minorHAnsi"/>
          <w:bCs/>
        </w:rPr>
        <w:t>extend remission and would have fewer side effects than the currently used option</w:t>
      </w:r>
      <w:r w:rsidR="00CC5B00">
        <w:rPr>
          <w:rFonts w:asciiTheme="minorHAnsi" w:hAnsiTheme="minorHAnsi"/>
          <w:bCs/>
        </w:rPr>
        <w:t xml:space="preserve"> (thalidomide)</w:t>
      </w:r>
      <w:r w:rsidR="00A277AD" w:rsidRPr="0050766B">
        <w:rPr>
          <w:rFonts w:asciiTheme="minorHAnsi" w:hAnsiTheme="minorHAnsi"/>
          <w:bCs/>
        </w:rPr>
        <w:t xml:space="preserve">. </w:t>
      </w:r>
      <w:r w:rsidRPr="0050766B">
        <w:rPr>
          <w:rFonts w:asciiTheme="minorHAnsi" w:hAnsiTheme="minorHAnsi"/>
          <w:bCs/>
        </w:rPr>
        <w:t>The PBAC noted that this advice was supportive of the evidence provided in the submission.</w:t>
      </w:r>
    </w:p>
    <w:p w:rsidR="005E7102" w:rsidRPr="003A3555" w:rsidRDefault="005E7102" w:rsidP="00C12C09">
      <w:pPr>
        <w:pStyle w:val="Heading2"/>
        <w:widowControl/>
        <w:spacing w:before="120"/>
      </w:pPr>
      <w:r w:rsidRPr="003A3555">
        <w:t>Clinical trials</w:t>
      </w:r>
      <w:bookmarkEnd w:id="24"/>
      <w:bookmarkEnd w:id="25"/>
      <w:bookmarkEnd w:id="26"/>
    </w:p>
    <w:p w:rsidR="005E7102" w:rsidRPr="00D32723" w:rsidRDefault="005E7102" w:rsidP="00C12C09">
      <w:pPr>
        <w:pStyle w:val="ListParagraph"/>
        <w:widowControl/>
        <w:numPr>
          <w:ilvl w:val="1"/>
          <w:numId w:val="2"/>
        </w:numPr>
        <w:spacing w:before="120"/>
      </w:pPr>
      <w:r w:rsidRPr="003A3555">
        <w:t xml:space="preserve">The resubmission </w:t>
      </w:r>
      <w:proofErr w:type="gramStart"/>
      <w:r w:rsidRPr="003A3555">
        <w:t>was based</w:t>
      </w:r>
      <w:proofErr w:type="gramEnd"/>
      <w:r w:rsidRPr="003A3555">
        <w:t xml:space="preserve"> on four randomised </w:t>
      </w:r>
      <w:proofErr w:type="spellStart"/>
      <w:r w:rsidRPr="003A3555">
        <w:t>lenalidomide</w:t>
      </w:r>
      <w:proofErr w:type="spellEnd"/>
      <w:r w:rsidRPr="003A3555">
        <w:t xml:space="preserve"> trials. Two trials compared </w:t>
      </w:r>
      <w:proofErr w:type="spellStart"/>
      <w:r w:rsidRPr="003A3555">
        <w:t>lenalidomide</w:t>
      </w:r>
      <w:proofErr w:type="spellEnd"/>
      <w:r w:rsidRPr="003A3555">
        <w:t xml:space="preserve"> to placebo following ASCT (CALGB</w:t>
      </w:r>
      <w:r w:rsidR="00E94C58">
        <w:t>:</w:t>
      </w:r>
      <w:r w:rsidRPr="003A3555">
        <w:t xml:space="preserve"> </w:t>
      </w:r>
      <w:r w:rsidR="00E94C58">
        <w:t>N</w:t>
      </w:r>
      <w:r w:rsidRPr="003A3555">
        <w:t>=460</w:t>
      </w:r>
      <w:r w:rsidR="00E94C58">
        <w:t>;</w:t>
      </w:r>
      <w:r w:rsidRPr="003A3555">
        <w:t xml:space="preserve"> IFM2005-02</w:t>
      </w:r>
      <w:r w:rsidR="00E94C58">
        <w:t>:</w:t>
      </w:r>
      <w:r w:rsidRPr="003A3555">
        <w:t xml:space="preserve"> </w:t>
      </w:r>
      <w:r w:rsidR="00E94C58">
        <w:t>N</w:t>
      </w:r>
      <w:r w:rsidRPr="003A3555">
        <w:t>=614)</w:t>
      </w:r>
      <w:r w:rsidR="00FD6B8F" w:rsidRPr="003A3555">
        <w:t xml:space="preserve"> and t</w:t>
      </w:r>
      <w:r w:rsidRPr="003A3555">
        <w:t>wo included ASCT and non</w:t>
      </w:r>
      <w:r w:rsidRPr="003A3555">
        <w:noBreakHyphen/>
        <w:t xml:space="preserve">ASCT patients receiving </w:t>
      </w:r>
      <w:proofErr w:type="spellStart"/>
      <w:r w:rsidRPr="003A3555">
        <w:t>lenalidomide</w:t>
      </w:r>
      <w:proofErr w:type="spellEnd"/>
      <w:r w:rsidRPr="003A3555">
        <w:t xml:space="preserve"> maintenance compared to BSC and thus relied on subgroup analyses (GIMEMA</w:t>
      </w:r>
      <w:r w:rsidR="00E94C58">
        <w:t>:</w:t>
      </w:r>
      <w:r w:rsidRPr="003A3555">
        <w:t xml:space="preserve"> </w:t>
      </w:r>
      <w:r w:rsidR="00E94C58">
        <w:t>N</w:t>
      </w:r>
      <w:r w:rsidRPr="003A3555">
        <w:t>=135</w:t>
      </w:r>
      <w:r w:rsidR="00E94C58">
        <w:t>;</w:t>
      </w:r>
      <w:r w:rsidRPr="003A3555">
        <w:t xml:space="preserve"> Myeloma XI</w:t>
      </w:r>
      <w:r w:rsidR="00E94C58">
        <w:t>:</w:t>
      </w:r>
      <w:r w:rsidRPr="003A3555">
        <w:t xml:space="preserve"> </w:t>
      </w:r>
      <w:r w:rsidR="00E94C58">
        <w:t>N</w:t>
      </w:r>
      <w:r w:rsidRPr="003A3555">
        <w:t xml:space="preserve">=788). </w:t>
      </w:r>
      <w:r w:rsidR="002E7047">
        <w:t>The PBAC noted that u</w:t>
      </w:r>
      <w:r w:rsidRPr="00D32723">
        <w:t xml:space="preserve">pdated data for Myeloma XI (Sept-17 cut-off) </w:t>
      </w:r>
      <w:proofErr w:type="gramStart"/>
      <w:r w:rsidR="00C63074" w:rsidRPr="00D32723">
        <w:t xml:space="preserve">were </w:t>
      </w:r>
      <w:r w:rsidRPr="00D32723">
        <w:t>presented</w:t>
      </w:r>
      <w:proofErr w:type="gramEnd"/>
      <w:r w:rsidRPr="00D32723">
        <w:t xml:space="preserve"> as requested </w:t>
      </w:r>
      <w:r w:rsidR="002E7047">
        <w:t>in the March 2018 consideration</w:t>
      </w:r>
      <w:r w:rsidRPr="00D32723">
        <w:t xml:space="preserve"> (</w:t>
      </w:r>
      <w:r w:rsidR="008E6CE1">
        <w:t xml:space="preserve">paragraph 7.4, </w:t>
      </w:r>
      <w:proofErr w:type="spellStart"/>
      <w:r w:rsidRPr="00D32723">
        <w:t>Lenalidomide</w:t>
      </w:r>
      <w:proofErr w:type="spellEnd"/>
      <w:r w:rsidRPr="00D32723">
        <w:t xml:space="preserve"> PSD, March 2018).</w:t>
      </w:r>
    </w:p>
    <w:p w:rsidR="00C12C09" w:rsidRDefault="00B1292D" w:rsidP="00C12C09">
      <w:pPr>
        <w:pStyle w:val="ListParagraph"/>
        <w:widowControl/>
        <w:numPr>
          <w:ilvl w:val="1"/>
          <w:numId w:val="2"/>
        </w:numPr>
        <w:spacing w:before="120"/>
        <w:rPr>
          <w:rFonts w:cs="Calibri"/>
          <w:snapToGrid/>
          <w:szCs w:val="24"/>
          <w:lang w:eastAsia="en-AU"/>
        </w:rPr>
      </w:pPr>
      <w:r>
        <w:t>As n</w:t>
      </w:r>
      <w:r w:rsidR="005E7102" w:rsidRPr="00D32723">
        <w:t xml:space="preserve">o head-to-head trials </w:t>
      </w:r>
      <w:r w:rsidR="007138EA">
        <w:t>of</w:t>
      </w:r>
      <w:r w:rsidR="007138EA" w:rsidRPr="00D32723">
        <w:t xml:space="preserve"> </w:t>
      </w:r>
      <w:proofErr w:type="spellStart"/>
      <w:r w:rsidR="005E7102" w:rsidRPr="00D32723">
        <w:t>lenalidomide</w:t>
      </w:r>
      <w:proofErr w:type="spellEnd"/>
      <w:r w:rsidR="005E7102" w:rsidRPr="00D32723">
        <w:t xml:space="preserve"> and thalidomide were identified</w:t>
      </w:r>
      <w:r>
        <w:t xml:space="preserve">, </w:t>
      </w:r>
      <w:r w:rsidR="005E7102" w:rsidRPr="00D32723">
        <w:t>an indirect comparison was conducted</w:t>
      </w:r>
      <w:r w:rsidR="006B5EE5">
        <w:t xml:space="preserve"> using </w:t>
      </w:r>
      <w:r w:rsidR="005E7102" w:rsidRPr="00D32723">
        <w:t>two randomised trials comparing thalidomide to observation (Myeloma IX</w:t>
      </w:r>
      <w:r w:rsidR="00E94C58">
        <w:t>: N</w:t>
      </w:r>
      <w:r w:rsidR="005E7102" w:rsidRPr="00D32723">
        <w:t>=493</w:t>
      </w:r>
      <w:r w:rsidR="00E94C58">
        <w:t>;</w:t>
      </w:r>
      <w:r w:rsidR="005E7102" w:rsidRPr="00D32723">
        <w:t xml:space="preserve"> MM6</w:t>
      </w:r>
      <w:r w:rsidR="00E94C58">
        <w:t>:</w:t>
      </w:r>
      <w:r w:rsidR="005E7102" w:rsidRPr="00D32723">
        <w:t xml:space="preserve"> </w:t>
      </w:r>
      <w:r w:rsidR="00E94C58">
        <w:t>N</w:t>
      </w:r>
      <w:r w:rsidR="005E7102" w:rsidRPr="00D32723">
        <w:t xml:space="preserve">=112). </w:t>
      </w:r>
      <w:r w:rsidR="00C63074" w:rsidRPr="00D32723">
        <w:t xml:space="preserve">The inclusion of </w:t>
      </w:r>
      <w:r w:rsidR="005E7102" w:rsidRPr="00D32723">
        <w:t xml:space="preserve">MM6 was </w:t>
      </w:r>
      <w:r w:rsidR="00E94C58">
        <w:t>at the request of the</w:t>
      </w:r>
      <w:r w:rsidR="005E7102" w:rsidRPr="00D32723">
        <w:t xml:space="preserve"> PBAC (</w:t>
      </w:r>
      <w:r w:rsidR="00E94C58">
        <w:t xml:space="preserve">paragraph 7.11, </w:t>
      </w:r>
      <w:proofErr w:type="spellStart"/>
      <w:r w:rsidR="005E7102" w:rsidRPr="00D32723">
        <w:t>Lenalidomide</w:t>
      </w:r>
      <w:proofErr w:type="spellEnd"/>
      <w:r w:rsidR="005E7102" w:rsidRPr="00D32723">
        <w:t xml:space="preserve"> PSD, March 2018).</w:t>
      </w:r>
      <w:r w:rsidR="005E7102" w:rsidRPr="003A3555">
        <w:t xml:space="preserve"> For the comparison of thalidomide v</w:t>
      </w:r>
      <w:r w:rsidR="00E94C58">
        <w:t>ersus</w:t>
      </w:r>
      <w:r w:rsidR="005E7102" w:rsidRPr="003A3555">
        <w:t xml:space="preserve"> observation and </w:t>
      </w:r>
      <w:r w:rsidR="00E94C58">
        <w:t xml:space="preserve">for </w:t>
      </w:r>
      <w:r w:rsidR="005E7102" w:rsidRPr="003A3555">
        <w:t xml:space="preserve">the indirect comparison with </w:t>
      </w:r>
      <w:proofErr w:type="spellStart"/>
      <w:r w:rsidR="005E7102" w:rsidRPr="003A3555">
        <w:lastRenderedPageBreak/>
        <w:t>lenalidomide</w:t>
      </w:r>
      <w:proofErr w:type="spellEnd"/>
      <w:r w:rsidR="00FD6B8F" w:rsidRPr="003A3555">
        <w:t xml:space="preserve"> (using evidence from CALG</w:t>
      </w:r>
      <w:r w:rsidR="007D75DC" w:rsidRPr="003A3555">
        <w:t>B</w:t>
      </w:r>
      <w:r w:rsidR="00FD6B8F" w:rsidRPr="003A3555">
        <w:t>)</w:t>
      </w:r>
      <w:r w:rsidR="005E7102" w:rsidRPr="003A3555">
        <w:t xml:space="preserve">, two alternative approaches to support the clinical claim were presented, based on </w:t>
      </w:r>
      <w:r w:rsidR="007138EA">
        <w:t>(</w:t>
      </w:r>
      <w:proofErr w:type="spellStart"/>
      <w:r w:rsidR="007138EA">
        <w:t>i</w:t>
      </w:r>
      <w:proofErr w:type="spellEnd"/>
      <w:r w:rsidR="007138EA">
        <w:t>)</w:t>
      </w:r>
      <w:r w:rsidR="007138EA" w:rsidRPr="003A3555">
        <w:t xml:space="preserve"> </w:t>
      </w:r>
      <w:r w:rsidR="005E7102" w:rsidRPr="003A3555">
        <w:t xml:space="preserve">Myeloma IX alone (as per the March 2018 submission) or </w:t>
      </w:r>
      <w:r w:rsidR="007138EA">
        <w:t xml:space="preserve">(ii) </w:t>
      </w:r>
      <w:r w:rsidR="005E7102" w:rsidRPr="003A3555">
        <w:t>a meta-analysis of the Myeloma IX and MM6 trials.</w:t>
      </w:r>
      <w:r w:rsidR="00FD6B8F" w:rsidRPr="003A3555">
        <w:rPr>
          <w:rFonts w:cs="Calibri"/>
          <w:snapToGrid/>
          <w:szCs w:val="24"/>
          <w:lang w:eastAsia="en-AU"/>
        </w:rPr>
        <w:t xml:space="preserve"> Details of the trials presented in the s</w:t>
      </w:r>
      <w:r w:rsidR="0077465F">
        <w:rPr>
          <w:rFonts w:cs="Calibri"/>
          <w:snapToGrid/>
          <w:szCs w:val="24"/>
          <w:lang w:eastAsia="en-AU"/>
        </w:rPr>
        <w:t xml:space="preserve">ubmission </w:t>
      </w:r>
      <w:proofErr w:type="gramStart"/>
      <w:r w:rsidR="0077465F">
        <w:rPr>
          <w:rFonts w:cs="Calibri"/>
          <w:snapToGrid/>
          <w:szCs w:val="24"/>
          <w:lang w:eastAsia="en-AU"/>
        </w:rPr>
        <w:t>are provided</w:t>
      </w:r>
      <w:proofErr w:type="gramEnd"/>
      <w:r w:rsidR="0077465F">
        <w:rPr>
          <w:rFonts w:cs="Calibri"/>
          <w:snapToGrid/>
          <w:szCs w:val="24"/>
          <w:lang w:eastAsia="en-AU"/>
        </w:rPr>
        <w:t xml:space="preserve"> in Table </w:t>
      </w:r>
      <w:r w:rsidR="00FD6B8F" w:rsidRPr="003A3555">
        <w:rPr>
          <w:rFonts w:cs="Calibri"/>
          <w:snapToGrid/>
          <w:szCs w:val="24"/>
          <w:lang w:eastAsia="en-AU"/>
        </w:rPr>
        <w:t>6.</w:t>
      </w:r>
    </w:p>
    <w:p w:rsidR="005E7102" w:rsidRPr="00C12C09" w:rsidRDefault="00C12C09" w:rsidP="00C12C09">
      <w:pPr>
        <w:rPr>
          <w:snapToGrid/>
          <w:lang w:eastAsia="en-AU"/>
        </w:rPr>
      </w:pPr>
      <w:r>
        <w:rPr>
          <w:snapToGrid/>
          <w:lang w:eastAsia="en-AU"/>
        </w:rPr>
        <w:br w:type="page"/>
      </w:r>
    </w:p>
    <w:p w:rsidR="005E7102" w:rsidRPr="003A3555" w:rsidRDefault="005E7102" w:rsidP="00476EE6">
      <w:pPr>
        <w:widowControl/>
        <w:rPr>
          <w:rStyle w:val="CommentReference"/>
        </w:rPr>
      </w:pPr>
      <w:r w:rsidRPr="003A3555">
        <w:rPr>
          <w:rStyle w:val="CommentReference"/>
        </w:rPr>
        <w:lastRenderedPageBreak/>
        <w:t xml:space="preserve">Table </w:t>
      </w:r>
      <w:r w:rsidR="000543D1" w:rsidRPr="003A3555">
        <w:rPr>
          <w:rStyle w:val="CommentReference"/>
        </w:rPr>
        <w:t>6</w:t>
      </w:r>
      <w:r w:rsidRPr="003A3555">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6"/>
        <w:gridCol w:w="5648"/>
        <w:gridCol w:w="1933"/>
      </w:tblGrid>
      <w:tr w:rsidR="005E7102" w:rsidRPr="003A3555" w:rsidTr="0050766B">
        <w:trPr>
          <w:tblHeader/>
        </w:trPr>
        <w:tc>
          <w:tcPr>
            <w:tcW w:w="796" w:type="pct"/>
            <w:vAlign w:val="center"/>
          </w:tcPr>
          <w:p w:rsidR="005E7102" w:rsidRPr="003A3555" w:rsidRDefault="005E7102" w:rsidP="00476EE6">
            <w:pPr>
              <w:pStyle w:val="Tabletext"/>
              <w:rPr>
                <w:b/>
                <w:color w:val="000000" w:themeColor="text1"/>
              </w:rPr>
            </w:pPr>
            <w:r w:rsidRPr="003A3555">
              <w:rPr>
                <w:b/>
                <w:color w:val="000000" w:themeColor="text1"/>
              </w:rPr>
              <w:t>Trial ID</w:t>
            </w:r>
          </w:p>
        </w:tc>
        <w:tc>
          <w:tcPr>
            <w:tcW w:w="3132" w:type="pct"/>
            <w:vAlign w:val="center"/>
          </w:tcPr>
          <w:p w:rsidR="005E7102" w:rsidRPr="003A3555" w:rsidRDefault="005E7102" w:rsidP="00476EE6">
            <w:pPr>
              <w:pStyle w:val="Tabletext"/>
              <w:jc w:val="center"/>
              <w:rPr>
                <w:b/>
                <w:color w:val="000000" w:themeColor="text1"/>
              </w:rPr>
            </w:pPr>
            <w:r w:rsidRPr="003A3555">
              <w:rPr>
                <w:b/>
                <w:color w:val="000000" w:themeColor="text1"/>
              </w:rPr>
              <w:t>Protocol title/ Publication title</w:t>
            </w:r>
          </w:p>
        </w:tc>
        <w:tc>
          <w:tcPr>
            <w:tcW w:w="1072" w:type="pct"/>
            <w:vAlign w:val="center"/>
          </w:tcPr>
          <w:p w:rsidR="005E7102" w:rsidRPr="003A3555" w:rsidRDefault="005E7102" w:rsidP="00476EE6">
            <w:pPr>
              <w:pStyle w:val="Tabletext"/>
              <w:jc w:val="center"/>
              <w:rPr>
                <w:b/>
                <w:color w:val="000000" w:themeColor="text1"/>
              </w:rPr>
            </w:pPr>
            <w:r w:rsidRPr="003A3555">
              <w:rPr>
                <w:b/>
                <w:color w:val="000000" w:themeColor="text1"/>
              </w:rPr>
              <w:t>Publication citation</w:t>
            </w:r>
          </w:p>
        </w:tc>
      </w:tr>
      <w:tr w:rsidR="00D539BE" w:rsidRPr="003A3555" w:rsidTr="00D539BE">
        <w:tc>
          <w:tcPr>
            <w:tcW w:w="5000" w:type="pct"/>
            <w:gridSpan w:val="3"/>
            <w:tcBorders>
              <w:bottom w:val="single" w:sz="4" w:space="0" w:color="auto"/>
            </w:tcBorders>
            <w:vAlign w:val="center"/>
          </w:tcPr>
          <w:p w:rsidR="00D539BE" w:rsidRPr="003A3555" w:rsidRDefault="00D539BE" w:rsidP="00476EE6">
            <w:pPr>
              <w:pStyle w:val="Tabletext"/>
              <w:rPr>
                <w:color w:val="000000" w:themeColor="text1"/>
                <w:szCs w:val="18"/>
                <w:lang w:eastAsia="en-AU"/>
              </w:rPr>
            </w:pPr>
            <w:proofErr w:type="spellStart"/>
            <w:r w:rsidRPr="003A3555">
              <w:rPr>
                <w:b/>
                <w:color w:val="000000" w:themeColor="text1"/>
              </w:rPr>
              <w:t>Lenalidomide</w:t>
            </w:r>
            <w:proofErr w:type="spellEnd"/>
            <w:r w:rsidRPr="003A3555">
              <w:rPr>
                <w:b/>
                <w:color w:val="000000" w:themeColor="text1"/>
              </w:rPr>
              <w:t xml:space="preserve"> </w:t>
            </w:r>
          </w:p>
        </w:tc>
      </w:tr>
      <w:tr w:rsidR="00E94C58" w:rsidRPr="003A3555" w:rsidTr="0050766B">
        <w:tc>
          <w:tcPr>
            <w:tcW w:w="796" w:type="pct"/>
            <w:vMerge w:val="restart"/>
            <w:tcBorders>
              <w:bottom w:val="nil"/>
            </w:tcBorders>
          </w:tcPr>
          <w:p w:rsidR="00E94C58" w:rsidRDefault="00E94C58" w:rsidP="00476EE6">
            <w:pPr>
              <w:pStyle w:val="Tabletext"/>
              <w:rPr>
                <w:color w:val="000000" w:themeColor="text1"/>
              </w:rPr>
            </w:pPr>
            <w:r w:rsidRPr="003A3555">
              <w:rPr>
                <w:color w:val="000000" w:themeColor="text1"/>
              </w:rPr>
              <w:t>CALGB</w:t>
            </w:r>
          </w:p>
          <w:p w:rsidR="00E94C58" w:rsidRPr="003A3555" w:rsidRDefault="00E94C58" w:rsidP="00476EE6">
            <w:pPr>
              <w:pStyle w:val="Tabletext"/>
              <w:rPr>
                <w:color w:val="000000" w:themeColor="text1"/>
              </w:rPr>
            </w:pPr>
            <w:r w:rsidRPr="003A3555">
              <w:rPr>
                <w:color w:val="000000" w:themeColor="text1"/>
              </w:rPr>
              <w:t>NCT00114101</w:t>
            </w:r>
          </w:p>
        </w:tc>
        <w:tc>
          <w:tcPr>
            <w:tcW w:w="3132" w:type="pct"/>
            <w:tcBorders>
              <w:bottom w:val="nil"/>
            </w:tcBorders>
            <w:vAlign w:val="center"/>
          </w:tcPr>
          <w:p w:rsidR="00E94C58" w:rsidRPr="003A3555" w:rsidRDefault="00E94C58" w:rsidP="00476EE6">
            <w:pPr>
              <w:pStyle w:val="Tabletext"/>
              <w:rPr>
                <w:color w:val="000000" w:themeColor="text1"/>
                <w:szCs w:val="18"/>
                <w:lang w:eastAsia="en-AU"/>
              </w:rPr>
            </w:pPr>
            <w:r w:rsidRPr="003A3555">
              <w:rPr>
                <w:color w:val="000000" w:themeColor="text1"/>
                <w:szCs w:val="18"/>
                <w:lang w:eastAsia="en-AU"/>
              </w:rPr>
              <w:t xml:space="preserve">CSR. A Phase III Randomized, Double-Blind Study of Maintenance Therapy with </w:t>
            </w:r>
            <w:proofErr w:type="spellStart"/>
            <w:r w:rsidRPr="003A3555">
              <w:rPr>
                <w:color w:val="000000" w:themeColor="text1"/>
                <w:szCs w:val="18"/>
                <w:lang w:eastAsia="en-AU"/>
              </w:rPr>
              <w:t>Lenalidomide</w:t>
            </w:r>
            <w:proofErr w:type="spellEnd"/>
            <w:r w:rsidRPr="003A3555">
              <w:rPr>
                <w:color w:val="000000" w:themeColor="text1"/>
                <w:szCs w:val="18"/>
                <w:lang w:eastAsia="en-AU"/>
              </w:rPr>
              <w:t xml:space="preserve"> CC-5013 (NSC#703813, IND #70116) or Placebo Following Autologous Stem Cell Transplantation for Multiple Myeloma</w:t>
            </w:r>
          </w:p>
          <w:p w:rsidR="00E94C58" w:rsidRPr="003A3555" w:rsidRDefault="00E94C58" w:rsidP="00476EE6">
            <w:pPr>
              <w:pStyle w:val="Tabletext"/>
              <w:rPr>
                <w:color w:val="000000" w:themeColor="text1"/>
                <w:szCs w:val="18"/>
                <w:lang w:eastAsia="en-AU"/>
              </w:rPr>
            </w:pPr>
          </w:p>
        </w:tc>
        <w:tc>
          <w:tcPr>
            <w:tcW w:w="1072" w:type="pct"/>
            <w:tcBorders>
              <w:bottom w:val="nil"/>
            </w:tcBorders>
          </w:tcPr>
          <w:p w:rsidR="00E94C58" w:rsidRPr="003A3555" w:rsidRDefault="00E94C58" w:rsidP="00476EE6">
            <w:pPr>
              <w:pStyle w:val="Tabletext"/>
              <w:rPr>
                <w:color w:val="000000" w:themeColor="text1"/>
                <w:szCs w:val="18"/>
                <w:lang w:eastAsia="en-AU"/>
              </w:rPr>
            </w:pPr>
            <w:r w:rsidRPr="003A3555">
              <w:rPr>
                <w:color w:val="000000" w:themeColor="text1"/>
                <w:szCs w:val="18"/>
                <w:lang w:eastAsia="en-AU"/>
              </w:rPr>
              <w:t>January 2016</w:t>
            </w:r>
          </w:p>
        </w:tc>
      </w:tr>
      <w:tr w:rsidR="00BB6600" w:rsidRPr="003A3555" w:rsidTr="0050766B">
        <w:tc>
          <w:tcPr>
            <w:tcW w:w="796" w:type="pct"/>
            <w:vMerge/>
            <w:tcBorders>
              <w:top w:val="nil"/>
              <w:bottom w:val="nil"/>
            </w:tcBorders>
          </w:tcPr>
          <w:p w:rsidR="00BB6600" w:rsidRPr="003A3555" w:rsidRDefault="00BB6600" w:rsidP="00BB6600">
            <w:pPr>
              <w:pStyle w:val="Tabletext"/>
              <w:rPr>
                <w:color w:val="000000" w:themeColor="text1"/>
              </w:rPr>
            </w:pPr>
          </w:p>
        </w:tc>
        <w:tc>
          <w:tcPr>
            <w:tcW w:w="3132" w:type="pct"/>
            <w:tcBorders>
              <w:top w:val="nil"/>
              <w:bottom w:val="nil"/>
            </w:tcBorders>
            <w:vAlign w:val="center"/>
          </w:tcPr>
          <w:p w:rsidR="00BB6600" w:rsidRDefault="00BB6600" w:rsidP="007777D1">
            <w:pPr>
              <w:pStyle w:val="Tabletext"/>
              <w:rPr>
                <w:color w:val="000000" w:themeColor="text1"/>
                <w:szCs w:val="18"/>
                <w:lang w:eastAsia="en-AU"/>
              </w:rPr>
            </w:pPr>
            <w:proofErr w:type="spellStart"/>
            <w:r w:rsidRPr="003A3555">
              <w:rPr>
                <w:color w:val="000000" w:themeColor="text1"/>
                <w:szCs w:val="18"/>
                <w:lang w:eastAsia="en-AU"/>
              </w:rPr>
              <w:t>BresMed</w:t>
            </w:r>
            <w:proofErr w:type="spellEnd"/>
            <w:r w:rsidR="004E5209">
              <w:rPr>
                <w:color w:val="000000" w:themeColor="text1"/>
                <w:szCs w:val="18"/>
                <w:lang w:eastAsia="en-AU"/>
              </w:rPr>
              <w:t>.</w:t>
            </w:r>
            <w:r w:rsidRPr="003A3555">
              <w:rPr>
                <w:color w:val="000000" w:themeColor="text1"/>
                <w:szCs w:val="18"/>
                <w:lang w:eastAsia="en-AU"/>
              </w:rPr>
              <w:t xml:space="preserve"> Adjustment for treatment crossover in the Cancer and Leukaemia Group B (CALGB) trial in multiple myeloma: Statistical analysis report</w:t>
            </w:r>
          </w:p>
          <w:p w:rsidR="00BB6600" w:rsidRPr="003A3555" w:rsidRDefault="00BB6600" w:rsidP="007777D1">
            <w:pPr>
              <w:pStyle w:val="Tabletext"/>
              <w:rPr>
                <w:color w:val="000000" w:themeColor="text1"/>
                <w:szCs w:val="18"/>
                <w:lang w:eastAsia="en-AU"/>
              </w:rPr>
            </w:pPr>
          </w:p>
        </w:tc>
        <w:tc>
          <w:tcPr>
            <w:tcW w:w="1072" w:type="pct"/>
            <w:tcBorders>
              <w:top w:val="nil"/>
              <w:bottom w:val="nil"/>
            </w:tcBorders>
          </w:tcPr>
          <w:p w:rsidR="00BB6600" w:rsidRPr="003A3555" w:rsidRDefault="00BB6600" w:rsidP="00BB6600">
            <w:pPr>
              <w:pStyle w:val="Tabletext"/>
              <w:rPr>
                <w:color w:val="000000" w:themeColor="text1"/>
                <w:szCs w:val="18"/>
                <w:lang w:eastAsia="en-AU"/>
              </w:rPr>
            </w:pPr>
            <w:r w:rsidRPr="003A3555">
              <w:rPr>
                <w:color w:val="000000" w:themeColor="text1"/>
                <w:szCs w:val="18"/>
                <w:lang w:eastAsia="en-AU"/>
              </w:rPr>
              <w:t>Feb 23 2017</w:t>
            </w:r>
          </w:p>
        </w:tc>
      </w:tr>
      <w:tr w:rsidR="00E94C58" w:rsidRPr="003A3555" w:rsidTr="007777D1">
        <w:tc>
          <w:tcPr>
            <w:tcW w:w="796" w:type="pct"/>
            <w:vMerge/>
            <w:tcBorders>
              <w:top w:val="nil"/>
              <w:bottom w:val="nil"/>
            </w:tcBorders>
          </w:tcPr>
          <w:p w:rsidR="00E94C58" w:rsidRPr="003A3555" w:rsidRDefault="00E94C58" w:rsidP="00476EE6">
            <w:pPr>
              <w:pStyle w:val="Tabletext"/>
              <w:rPr>
                <w:color w:val="000000" w:themeColor="text1"/>
              </w:rPr>
            </w:pPr>
          </w:p>
        </w:tc>
        <w:tc>
          <w:tcPr>
            <w:tcW w:w="3132" w:type="pct"/>
            <w:tcBorders>
              <w:top w:val="nil"/>
              <w:bottom w:val="nil"/>
            </w:tcBorders>
          </w:tcPr>
          <w:p w:rsidR="00E94C58" w:rsidRPr="003A3555" w:rsidRDefault="00E94C58" w:rsidP="007777D1">
            <w:pPr>
              <w:pStyle w:val="Tabletext"/>
              <w:rPr>
                <w:color w:val="000000" w:themeColor="text1"/>
                <w:szCs w:val="18"/>
                <w:lang w:eastAsia="en-AU"/>
              </w:rPr>
            </w:pPr>
            <w:r w:rsidRPr="003A3555">
              <w:rPr>
                <w:color w:val="000000" w:themeColor="text1"/>
                <w:szCs w:val="18"/>
                <w:lang w:eastAsia="en-AU"/>
              </w:rPr>
              <w:t xml:space="preserve">Holstein SA, Jung S-H, Richardson PG et al. Updated analysis of CALGB (Alliance) 100104 assessing </w:t>
            </w:r>
            <w:proofErr w:type="spellStart"/>
            <w:r w:rsidRPr="003A3555">
              <w:rPr>
                <w:color w:val="000000" w:themeColor="text1"/>
                <w:szCs w:val="18"/>
                <w:lang w:eastAsia="en-AU"/>
              </w:rPr>
              <w:t>lenalidomide</w:t>
            </w:r>
            <w:proofErr w:type="spellEnd"/>
            <w:r w:rsidRPr="003A3555">
              <w:rPr>
                <w:color w:val="000000" w:themeColor="text1"/>
                <w:szCs w:val="18"/>
                <w:lang w:eastAsia="en-AU"/>
              </w:rPr>
              <w:t xml:space="preserve"> versus placebo maintenance after single autologous stem-cell transplantation for multiple myeloma: a randomised, double-blind, phase 3 trial</w:t>
            </w:r>
            <w:r w:rsidR="00B1292D">
              <w:rPr>
                <w:color w:val="000000" w:themeColor="text1"/>
                <w:szCs w:val="18"/>
                <w:lang w:eastAsia="en-AU"/>
              </w:rPr>
              <w:t xml:space="preserve"> + </w:t>
            </w:r>
            <w:r w:rsidRPr="00D32723">
              <w:rPr>
                <w:color w:val="000000" w:themeColor="text1"/>
                <w:szCs w:val="18"/>
                <w:lang w:eastAsia="en-AU"/>
              </w:rPr>
              <w:t xml:space="preserve">Corrected Supplementary Appendix </w:t>
            </w:r>
          </w:p>
        </w:tc>
        <w:tc>
          <w:tcPr>
            <w:tcW w:w="1072" w:type="pct"/>
            <w:tcBorders>
              <w:top w:val="nil"/>
              <w:bottom w:val="nil"/>
            </w:tcBorders>
          </w:tcPr>
          <w:p w:rsidR="00E94C58" w:rsidRPr="003A3555" w:rsidRDefault="00E94C58" w:rsidP="00BB6600">
            <w:pPr>
              <w:pStyle w:val="Tabletext"/>
              <w:rPr>
                <w:color w:val="000000" w:themeColor="text1"/>
                <w:szCs w:val="18"/>
                <w:lang w:eastAsia="en-AU"/>
              </w:rPr>
            </w:pPr>
            <w:r w:rsidRPr="003A3555">
              <w:rPr>
                <w:i/>
                <w:color w:val="000000" w:themeColor="text1"/>
                <w:szCs w:val="18"/>
                <w:lang w:eastAsia="en-AU"/>
              </w:rPr>
              <w:t xml:space="preserve">Lancet </w:t>
            </w:r>
            <w:proofErr w:type="spellStart"/>
            <w:r w:rsidRPr="003A3555">
              <w:rPr>
                <w:i/>
                <w:color w:val="000000" w:themeColor="text1"/>
                <w:szCs w:val="18"/>
                <w:lang w:eastAsia="en-AU"/>
              </w:rPr>
              <w:t>Haematol</w:t>
            </w:r>
            <w:proofErr w:type="spellEnd"/>
            <w:r w:rsidR="00BB6600">
              <w:rPr>
                <w:i/>
                <w:color w:val="000000" w:themeColor="text1"/>
                <w:szCs w:val="18"/>
                <w:lang w:eastAsia="en-AU"/>
              </w:rPr>
              <w:t>.</w:t>
            </w:r>
            <w:r w:rsidRPr="003A3555">
              <w:rPr>
                <w:color w:val="000000" w:themeColor="text1"/>
                <w:szCs w:val="18"/>
                <w:lang w:eastAsia="en-AU"/>
              </w:rPr>
              <w:t xml:space="preserve"> 2017; 4(9):e431-442</w:t>
            </w:r>
          </w:p>
          <w:p w:rsidR="00E94C58" w:rsidRPr="003A3555" w:rsidRDefault="00E94C58" w:rsidP="00BB6600">
            <w:pPr>
              <w:pStyle w:val="Tabletext"/>
              <w:rPr>
                <w:color w:val="000000" w:themeColor="text1"/>
                <w:szCs w:val="18"/>
                <w:lang w:eastAsia="en-AU"/>
              </w:rPr>
            </w:pPr>
          </w:p>
          <w:p w:rsidR="00E94C58" w:rsidRPr="003A3555" w:rsidRDefault="00E94C58" w:rsidP="00BB6600">
            <w:pPr>
              <w:pStyle w:val="Tabletext"/>
              <w:rPr>
                <w:color w:val="000000" w:themeColor="text1"/>
                <w:szCs w:val="18"/>
                <w:lang w:eastAsia="en-AU"/>
              </w:rPr>
            </w:pPr>
          </w:p>
        </w:tc>
      </w:tr>
      <w:tr w:rsidR="005E7102" w:rsidRPr="003A3555" w:rsidTr="0050766B">
        <w:tc>
          <w:tcPr>
            <w:tcW w:w="796" w:type="pct"/>
            <w:tcBorders>
              <w:top w:val="nil"/>
              <w:bottom w:val="nil"/>
            </w:tcBorders>
            <w:vAlign w:val="center"/>
          </w:tcPr>
          <w:p w:rsidR="005E7102" w:rsidRPr="003A3555" w:rsidRDefault="005E7102" w:rsidP="00476EE6">
            <w:pPr>
              <w:pStyle w:val="Tabletext"/>
              <w:rPr>
                <w:color w:val="000000" w:themeColor="text1"/>
              </w:rPr>
            </w:pPr>
          </w:p>
        </w:tc>
        <w:tc>
          <w:tcPr>
            <w:tcW w:w="3132" w:type="pct"/>
            <w:tcBorders>
              <w:top w:val="nil"/>
              <w:bottom w:val="nil"/>
            </w:tcBorders>
            <w:vAlign w:val="center"/>
          </w:tcPr>
          <w:p w:rsidR="005E7102" w:rsidRPr="003A3555" w:rsidRDefault="005E7102" w:rsidP="00476EE6">
            <w:pPr>
              <w:pStyle w:val="Tabletext"/>
              <w:rPr>
                <w:color w:val="000000" w:themeColor="text1"/>
                <w:szCs w:val="18"/>
                <w:lang w:eastAsia="en-AU"/>
              </w:rPr>
            </w:pPr>
            <w:r w:rsidRPr="003A3555">
              <w:rPr>
                <w:color w:val="000000" w:themeColor="text1"/>
                <w:szCs w:val="18"/>
                <w:lang w:eastAsia="en-AU"/>
              </w:rPr>
              <w:t xml:space="preserve">McCarthy PL, </w:t>
            </w:r>
            <w:proofErr w:type="spellStart"/>
            <w:r w:rsidRPr="003A3555">
              <w:rPr>
                <w:color w:val="000000" w:themeColor="text1"/>
                <w:szCs w:val="18"/>
                <w:lang w:eastAsia="en-AU"/>
              </w:rPr>
              <w:t>Owzar</w:t>
            </w:r>
            <w:proofErr w:type="spellEnd"/>
            <w:r w:rsidRPr="003A3555">
              <w:rPr>
                <w:color w:val="000000" w:themeColor="text1"/>
                <w:szCs w:val="18"/>
                <w:lang w:eastAsia="en-AU"/>
              </w:rPr>
              <w:t xml:space="preserve"> K, </w:t>
            </w:r>
            <w:proofErr w:type="spellStart"/>
            <w:r w:rsidRPr="003A3555">
              <w:rPr>
                <w:color w:val="000000" w:themeColor="text1"/>
                <w:szCs w:val="18"/>
                <w:lang w:eastAsia="en-AU"/>
              </w:rPr>
              <w:t>Hofmeister</w:t>
            </w:r>
            <w:proofErr w:type="spellEnd"/>
            <w:r w:rsidRPr="003A3555">
              <w:rPr>
                <w:color w:val="000000" w:themeColor="text1"/>
                <w:szCs w:val="18"/>
                <w:lang w:eastAsia="en-AU"/>
              </w:rPr>
              <w:t xml:space="preserve"> CC et al. </w:t>
            </w:r>
            <w:proofErr w:type="spellStart"/>
            <w:r w:rsidRPr="003A3555">
              <w:rPr>
                <w:color w:val="000000" w:themeColor="text1"/>
                <w:szCs w:val="18"/>
                <w:lang w:eastAsia="en-AU"/>
              </w:rPr>
              <w:t>Lenalidomide</w:t>
            </w:r>
            <w:proofErr w:type="spellEnd"/>
            <w:r w:rsidRPr="003A3555">
              <w:rPr>
                <w:color w:val="000000" w:themeColor="text1"/>
                <w:szCs w:val="18"/>
                <w:lang w:eastAsia="en-AU"/>
              </w:rPr>
              <w:t xml:space="preserve"> after stem-cell transplantation for multiple myeloma</w:t>
            </w:r>
          </w:p>
        </w:tc>
        <w:tc>
          <w:tcPr>
            <w:tcW w:w="1072" w:type="pct"/>
            <w:tcBorders>
              <w:top w:val="nil"/>
              <w:bottom w:val="nil"/>
            </w:tcBorders>
            <w:vAlign w:val="center"/>
          </w:tcPr>
          <w:p w:rsidR="005E7102" w:rsidRPr="003A3555" w:rsidRDefault="005E7102" w:rsidP="00BB6600">
            <w:pPr>
              <w:pStyle w:val="Tabletext"/>
              <w:rPr>
                <w:color w:val="000000" w:themeColor="text1"/>
                <w:szCs w:val="18"/>
                <w:lang w:eastAsia="en-AU"/>
              </w:rPr>
            </w:pPr>
            <w:r w:rsidRPr="003A3555">
              <w:rPr>
                <w:i/>
                <w:color w:val="000000" w:themeColor="text1"/>
                <w:szCs w:val="18"/>
                <w:lang w:eastAsia="en-AU"/>
              </w:rPr>
              <w:t xml:space="preserve">N </w:t>
            </w:r>
            <w:proofErr w:type="spellStart"/>
            <w:r w:rsidRPr="003A3555">
              <w:rPr>
                <w:i/>
                <w:color w:val="000000" w:themeColor="text1"/>
                <w:szCs w:val="18"/>
                <w:lang w:eastAsia="en-AU"/>
              </w:rPr>
              <w:t>Engl</w:t>
            </w:r>
            <w:proofErr w:type="spellEnd"/>
            <w:r w:rsidRPr="003A3555">
              <w:rPr>
                <w:i/>
                <w:color w:val="000000" w:themeColor="text1"/>
                <w:szCs w:val="18"/>
                <w:lang w:eastAsia="en-AU"/>
              </w:rPr>
              <w:t xml:space="preserve"> J Med</w:t>
            </w:r>
            <w:r w:rsidR="00BB6600">
              <w:rPr>
                <w:i/>
                <w:color w:val="000000" w:themeColor="text1"/>
                <w:szCs w:val="18"/>
                <w:lang w:eastAsia="en-AU"/>
              </w:rPr>
              <w:t>.</w:t>
            </w:r>
            <w:r w:rsidRPr="003A3555">
              <w:rPr>
                <w:color w:val="000000" w:themeColor="text1"/>
                <w:szCs w:val="18"/>
                <w:lang w:eastAsia="en-AU"/>
              </w:rPr>
              <w:t xml:space="preserve"> 2012; 366(19):1770-81</w:t>
            </w:r>
          </w:p>
        </w:tc>
      </w:tr>
      <w:tr w:rsidR="005E7102" w:rsidRPr="003A3555" w:rsidTr="0050766B">
        <w:tc>
          <w:tcPr>
            <w:tcW w:w="796" w:type="pct"/>
            <w:tcBorders>
              <w:top w:val="nil"/>
              <w:bottom w:val="nil"/>
            </w:tcBorders>
            <w:vAlign w:val="center"/>
          </w:tcPr>
          <w:p w:rsidR="005E7102" w:rsidRPr="003A3555" w:rsidRDefault="005E7102" w:rsidP="00476EE6">
            <w:pPr>
              <w:pStyle w:val="Tabletext"/>
              <w:rPr>
                <w:color w:val="000000" w:themeColor="text1"/>
              </w:rPr>
            </w:pPr>
          </w:p>
        </w:tc>
        <w:tc>
          <w:tcPr>
            <w:tcW w:w="3132" w:type="pct"/>
            <w:tcBorders>
              <w:top w:val="nil"/>
              <w:bottom w:val="nil"/>
            </w:tcBorders>
            <w:vAlign w:val="center"/>
          </w:tcPr>
          <w:p w:rsidR="005E7102" w:rsidRPr="003A3555" w:rsidRDefault="005E7102" w:rsidP="00476EE6">
            <w:pPr>
              <w:pStyle w:val="Tabletext"/>
              <w:rPr>
                <w:color w:val="000000" w:themeColor="text1"/>
                <w:szCs w:val="18"/>
                <w:lang w:eastAsia="en-AU"/>
              </w:rPr>
            </w:pPr>
            <w:r w:rsidRPr="003A3555">
              <w:rPr>
                <w:color w:val="000000" w:themeColor="text1"/>
                <w:szCs w:val="18"/>
                <w:lang w:eastAsia="en-AU"/>
              </w:rPr>
              <w:t xml:space="preserve">McCarthy PL, Holstein SA, Jung S-H et al. CALGB/ECOG 100104 (Alliance) study: </w:t>
            </w:r>
            <w:proofErr w:type="spellStart"/>
            <w:r w:rsidRPr="003A3555">
              <w:rPr>
                <w:color w:val="000000" w:themeColor="text1"/>
                <w:szCs w:val="18"/>
                <w:lang w:eastAsia="en-AU"/>
              </w:rPr>
              <w:t>Lenalidomide</w:t>
            </w:r>
            <w:proofErr w:type="spellEnd"/>
            <w:r w:rsidRPr="003A3555">
              <w:rPr>
                <w:color w:val="000000" w:themeColor="text1"/>
                <w:szCs w:val="18"/>
                <w:lang w:eastAsia="en-AU"/>
              </w:rPr>
              <w:t xml:space="preserve"> (LEN) vs placebo (PBO) maintenance (</w:t>
            </w:r>
            <w:proofErr w:type="spellStart"/>
            <w:r w:rsidRPr="003A3555">
              <w:rPr>
                <w:color w:val="000000" w:themeColor="text1"/>
                <w:szCs w:val="18"/>
                <w:lang w:eastAsia="en-AU"/>
              </w:rPr>
              <w:t>maint</w:t>
            </w:r>
            <w:proofErr w:type="spellEnd"/>
            <w:r w:rsidRPr="003A3555">
              <w:rPr>
                <w:color w:val="000000" w:themeColor="text1"/>
                <w:szCs w:val="18"/>
                <w:lang w:eastAsia="en-AU"/>
              </w:rPr>
              <w:t>) after stem cell transplant (SCT) for patients (pts) with multiple myeloma-Overall survival (OS) and progression-free survival (PFS) adjusted for treatment (</w:t>
            </w:r>
            <w:proofErr w:type="spellStart"/>
            <w:r w:rsidRPr="003A3555">
              <w:rPr>
                <w:color w:val="000000" w:themeColor="text1"/>
                <w:szCs w:val="18"/>
                <w:lang w:eastAsia="en-AU"/>
              </w:rPr>
              <w:t>tx</w:t>
            </w:r>
            <w:proofErr w:type="spellEnd"/>
            <w:r w:rsidRPr="003A3555">
              <w:rPr>
                <w:color w:val="000000" w:themeColor="text1"/>
                <w:szCs w:val="18"/>
                <w:lang w:eastAsia="en-AU"/>
              </w:rPr>
              <w:t xml:space="preserve">) crossover (XO) </w:t>
            </w:r>
          </w:p>
        </w:tc>
        <w:tc>
          <w:tcPr>
            <w:tcW w:w="1072" w:type="pct"/>
            <w:tcBorders>
              <w:top w:val="nil"/>
              <w:bottom w:val="nil"/>
            </w:tcBorders>
          </w:tcPr>
          <w:p w:rsidR="005E7102" w:rsidRPr="003A3555" w:rsidRDefault="005E7102" w:rsidP="00D0608A">
            <w:pPr>
              <w:pStyle w:val="Tabletext"/>
              <w:rPr>
                <w:color w:val="000000" w:themeColor="text1"/>
                <w:szCs w:val="18"/>
                <w:lang w:eastAsia="en-AU"/>
              </w:rPr>
            </w:pPr>
            <w:r w:rsidRPr="003A3555">
              <w:rPr>
                <w:i/>
                <w:color w:val="000000" w:themeColor="text1"/>
                <w:szCs w:val="18"/>
                <w:lang w:eastAsia="en-AU"/>
              </w:rPr>
              <w:t>Journal of Clinical Oncology</w:t>
            </w:r>
            <w:r w:rsidR="00BB6600">
              <w:rPr>
                <w:i/>
                <w:color w:val="000000" w:themeColor="text1"/>
                <w:szCs w:val="18"/>
                <w:lang w:eastAsia="en-AU"/>
              </w:rPr>
              <w:t>.</w:t>
            </w:r>
            <w:r w:rsidRPr="003A3555">
              <w:rPr>
                <w:color w:val="000000" w:themeColor="text1"/>
                <w:szCs w:val="18"/>
                <w:lang w:eastAsia="en-AU"/>
              </w:rPr>
              <w:t xml:space="preserve"> </w:t>
            </w:r>
            <w:r w:rsidR="00D0608A">
              <w:rPr>
                <w:color w:val="000000" w:themeColor="text1"/>
                <w:szCs w:val="18"/>
                <w:lang w:eastAsia="en-AU"/>
              </w:rPr>
              <w:t xml:space="preserve">2017; </w:t>
            </w:r>
            <w:r w:rsidRPr="003A3555">
              <w:rPr>
                <w:color w:val="000000" w:themeColor="text1"/>
                <w:szCs w:val="18"/>
                <w:lang w:eastAsia="en-AU"/>
              </w:rPr>
              <w:t>35:15 Supplement 1</w:t>
            </w:r>
          </w:p>
        </w:tc>
      </w:tr>
      <w:tr w:rsidR="005E7102" w:rsidRPr="003A3555" w:rsidTr="0050766B">
        <w:tc>
          <w:tcPr>
            <w:tcW w:w="796" w:type="pct"/>
            <w:tcBorders>
              <w:top w:val="nil"/>
              <w:bottom w:val="nil"/>
            </w:tcBorders>
            <w:vAlign w:val="center"/>
          </w:tcPr>
          <w:p w:rsidR="005E7102" w:rsidRPr="003A3555" w:rsidRDefault="005E7102" w:rsidP="00476EE6">
            <w:pPr>
              <w:pStyle w:val="Tabletext"/>
              <w:rPr>
                <w:color w:val="000000" w:themeColor="text1"/>
              </w:rPr>
            </w:pPr>
          </w:p>
        </w:tc>
        <w:tc>
          <w:tcPr>
            <w:tcW w:w="3132" w:type="pct"/>
            <w:tcBorders>
              <w:top w:val="nil"/>
              <w:bottom w:val="nil"/>
            </w:tcBorders>
            <w:vAlign w:val="center"/>
          </w:tcPr>
          <w:p w:rsidR="005E7102" w:rsidRPr="003A3555" w:rsidRDefault="005E7102" w:rsidP="00476EE6">
            <w:pPr>
              <w:pStyle w:val="Tabletext"/>
              <w:rPr>
                <w:color w:val="000000" w:themeColor="text1"/>
                <w:szCs w:val="18"/>
                <w:lang w:eastAsia="en-AU"/>
              </w:rPr>
            </w:pPr>
            <w:r w:rsidRPr="003A3555">
              <w:rPr>
                <w:color w:val="000000" w:themeColor="text1"/>
                <w:szCs w:val="18"/>
                <w:lang w:eastAsia="en-AU"/>
              </w:rPr>
              <w:t xml:space="preserve">McCarthy PL, </w:t>
            </w:r>
            <w:proofErr w:type="spellStart"/>
            <w:r w:rsidRPr="003A3555">
              <w:rPr>
                <w:color w:val="000000" w:themeColor="text1"/>
                <w:szCs w:val="18"/>
                <w:lang w:eastAsia="en-AU"/>
              </w:rPr>
              <w:t>Owzar</w:t>
            </w:r>
            <w:proofErr w:type="spellEnd"/>
            <w:r w:rsidRPr="003A3555">
              <w:rPr>
                <w:color w:val="000000" w:themeColor="text1"/>
                <w:szCs w:val="18"/>
                <w:lang w:eastAsia="en-AU"/>
              </w:rPr>
              <w:t xml:space="preserve"> K, </w:t>
            </w:r>
            <w:proofErr w:type="spellStart"/>
            <w:r w:rsidRPr="003A3555">
              <w:rPr>
                <w:color w:val="000000" w:themeColor="text1"/>
                <w:szCs w:val="18"/>
                <w:lang w:eastAsia="en-AU"/>
              </w:rPr>
              <w:t>Hofmeister</w:t>
            </w:r>
            <w:proofErr w:type="spellEnd"/>
            <w:r w:rsidRPr="003A3555">
              <w:rPr>
                <w:color w:val="000000" w:themeColor="text1"/>
                <w:szCs w:val="18"/>
                <w:lang w:eastAsia="en-AU"/>
              </w:rPr>
              <w:t xml:space="preserve"> CC et al.</w:t>
            </w:r>
            <w:r w:rsidRPr="003A3555">
              <w:rPr>
                <w:color w:val="000000" w:themeColor="text1"/>
              </w:rPr>
              <w:t xml:space="preserve"> </w:t>
            </w:r>
            <w:r w:rsidRPr="003A3555">
              <w:rPr>
                <w:color w:val="000000" w:themeColor="text1"/>
                <w:szCs w:val="18"/>
                <w:lang w:eastAsia="en-AU"/>
              </w:rPr>
              <w:t xml:space="preserve">Analysis of overall survival (OS) in the context of crossover from placebo to </w:t>
            </w:r>
            <w:proofErr w:type="spellStart"/>
            <w:r w:rsidRPr="003A3555">
              <w:rPr>
                <w:color w:val="000000" w:themeColor="text1"/>
                <w:szCs w:val="18"/>
                <w:lang w:eastAsia="en-AU"/>
              </w:rPr>
              <w:t>lenalidomide</w:t>
            </w:r>
            <w:proofErr w:type="spellEnd"/>
            <w:r w:rsidRPr="003A3555">
              <w:rPr>
                <w:color w:val="000000" w:themeColor="text1"/>
                <w:szCs w:val="18"/>
                <w:lang w:eastAsia="en-AU"/>
              </w:rPr>
              <w:t xml:space="preserve"> and the incidence of second primary malignancies (SPM) in the phase iii study of </w:t>
            </w:r>
            <w:proofErr w:type="spellStart"/>
            <w:r w:rsidRPr="003A3555">
              <w:rPr>
                <w:color w:val="000000" w:themeColor="text1"/>
                <w:szCs w:val="18"/>
                <w:lang w:eastAsia="en-AU"/>
              </w:rPr>
              <w:t>lenalidomide</w:t>
            </w:r>
            <w:proofErr w:type="spellEnd"/>
            <w:r w:rsidRPr="003A3555">
              <w:rPr>
                <w:color w:val="000000" w:themeColor="text1"/>
                <w:szCs w:val="18"/>
                <w:lang w:eastAsia="en-AU"/>
              </w:rPr>
              <w:t xml:space="preserve"> versus placebo maintenance therapy following autologous stem cell transplant (ASCT) for multiple myeloma (MM) CALGB (alliance) ECOG BMTCTN 100104</w:t>
            </w:r>
          </w:p>
        </w:tc>
        <w:tc>
          <w:tcPr>
            <w:tcW w:w="1072" w:type="pct"/>
            <w:tcBorders>
              <w:top w:val="nil"/>
              <w:bottom w:val="nil"/>
            </w:tcBorders>
          </w:tcPr>
          <w:p w:rsidR="005E7102" w:rsidRPr="003A3555" w:rsidRDefault="005E7102" w:rsidP="00476EE6">
            <w:pPr>
              <w:pStyle w:val="Tabletext"/>
              <w:rPr>
                <w:color w:val="000000" w:themeColor="text1"/>
                <w:szCs w:val="18"/>
                <w:lang w:eastAsia="en-AU"/>
              </w:rPr>
            </w:pPr>
            <w:r w:rsidRPr="003A3555">
              <w:rPr>
                <w:i/>
                <w:color w:val="000000" w:themeColor="text1"/>
                <w:szCs w:val="18"/>
                <w:lang w:eastAsia="en-AU"/>
              </w:rPr>
              <w:t xml:space="preserve">Clinical Lymphoma, Myeloma and </w:t>
            </w:r>
            <w:proofErr w:type="spellStart"/>
            <w:r w:rsidRPr="003A3555">
              <w:rPr>
                <w:i/>
                <w:color w:val="000000" w:themeColor="text1"/>
                <w:szCs w:val="18"/>
                <w:lang w:eastAsia="en-AU"/>
              </w:rPr>
              <w:t>Leukemia</w:t>
            </w:r>
            <w:proofErr w:type="spellEnd"/>
            <w:r w:rsidR="00BB6600">
              <w:rPr>
                <w:i/>
                <w:color w:val="000000" w:themeColor="text1"/>
                <w:szCs w:val="18"/>
                <w:lang w:eastAsia="en-AU"/>
              </w:rPr>
              <w:t>.</w:t>
            </w:r>
            <w:r w:rsidRPr="003A3555">
              <w:rPr>
                <w:i/>
                <w:color w:val="000000" w:themeColor="text1"/>
                <w:szCs w:val="18"/>
                <w:lang w:eastAsia="en-AU"/>
              </w:rPr>
              <w:t xml:space="preserve"> </w:t>
            </w:r>
            <w:r w:rsidR="00BB6600">
              <w:rPr>
                <w:color w:val="000000" w:themeColor="text1"/>
                <w:szCs w:val="18"/>
                <w:lang w:eastAsia="en-AU"/>
              </w:rPr>
              <w:t>2013;</w:t>
            </w:r>
            <w:r w:rsidRPr="003A3555">
              <w:rPr>
                <w:color w:val="000000" w:themeColor="text1"/>
                <w:szCs w:val="18"/>
                <w:lang w:eastAsia="en-AU"/>
              </w:rPr>
              <w:t>13:28</w:t>
            </w:r>
          </w:p>
        </w:tc>
      </w:tr>
      <w:tr w:rsidR="005E7102" w:rsidRPr="003A3555" w:rsidTr="0050766B">
        <w:tc>
          <w:tcPr>
            <w:tcW w:w="796" w:type="pct"/>
            <w:tcBorders>
              <w:top w:val="nil"/>
              <w:bottom w:val="nil"/>
            </w:tcBorders>
            <w:vAlign w:val="center"/>
          </w:tcPr>
          <w:p w:rsidR="005E7102" w:rsidRPr="003A3555" w:rsidRDefault="005E7102" w:rsidP="00476EE6">
            <w:pPr>
              <w:pStyle w:val="Tabletext"/>
              <w:rPr>
                <w:color w:val="000000" w:themeColor="text1"/>
              </w:rPr>
            </w:pPr>
          </w:p>
        </w:tc>
        <w:tc>
          <w:tcPr>
            <w:tcW w:w="3132" w:type="pct"/>
            <w:tcBorders>
              <w:top w:val="nil"/>
              <w:bottom w:val="nil"/>
            </w:tcBorders>
            <w:vAlign w:val="center"/>
          </w:tcPr>
          <w:p w:rsidR="005E7102" w:rsidRPr="003A3555" w:rsidRDefault="005E7102" w:rsidP="004E5209">
            <w:pPr>
              <w:pStyle w:val="Tabletext"/>
              <w:rPr>
                <w:color w:val="000000" w:themeColor="text1"/>
                <w:szCs w:val="18"/>
                <w:lang w:eastAsia="en-AU"/>
              </w:rPr>
            </w:pPr>
            <w:r w:rsidRPr="003A3555">
              <w:rPr>
                <w:color w:val="000000" w:themeColor="text1"/>
                <w:szCs w:val="18"/>
                <w:lang w:eastAsia="en-AU"/>
              </w:rPr>
              <w:t xml:space="preserve">McCarthy PL, </w:t>
            </w:r>
            <w:proofErr w:type="spellStart"/>
            <w:r w:rsidRPr="003A3555">
              <w:rPr>
                <w:color w:val="000000" w:themeColor="text1"/>
                <w:szCs w:val="18"/>
                <w:lang w:eastAsia="en-AU"/>
              </w:rPr>
              <w:t>Owzar</w:t>
            </w:r>
            <w:proofErr w:type="spellEnd"/>
            <w:r w:rsidRPr="003A3555">
              <w:rPr>
                <w:color w:val="000000" w:themeColor="text1"/>
                <w:szCs w:val="18"/>
                <w:lang w:eastAsia="en-AU"/>
              </w:rPr>
              <w:t xml:space="preserve"> K, Anderson KC</w:t>
            </w:r>
            <w:r w:rsidR="004E5209">
              <w:rPr>
                <w:color w:val="000000" w:themeColor="text1"/>
                <w:szCs w:val="18"/>
                <w:lang w:eastAsia="en-AU"/>
              </w:rPr>
              <w:t>.</w:t>
            </w:r>
            <w:r w:rsidRPr="003A3555">
              <w:rPr>
                <w:color w:val="000000" w:themeColor="text1"/>
                <w:szCs w:val="18"/>
                <w:lang w:eastAsia="en-AU"/>
              </w:rPr>
              <w:t xml:space="preserve"> Phase III intergroup study of </w:t>
            </w:r>
            <w:proofErr w:type="spellStart"/>
            <w:r w:rsidRPr="003A3555">
              <w:rPr>
                <w:color w:val="000000" w:themeColor="text1"/>
                <w:szCs w:val="18"/>
                <w:lang w:eastAsia="en-AU"/>
              </w:rPr>
              <w:t>lenalidomide</w:t>
            </w:r>
            <w:proofErr w:type="spellEnd"/>
            <w:r w:rsidRPr="003A3555">
              <w:rPr>
                <w:color w:val="000000" w:themeColor="text1"/>
                <w:szCs w:val="18"/>
                <w:lang w:eastAsia="en-AU"/>
              </w:rPr>
              <w:t xml:space="preserve"> versus placebo maintenance therapy following single autologous stem cell transplant (ASCT) for multiple myeloma (MM): CALGB 100104</w:t>
            </w:r>
          </w:p>
        </w:tc>
        <w:tc>
          <w:tcPr>
            <w:tcW w:w="1072" w:type="pct"/>
            <w:tcBorders>
              <w:top w:val="nil"/>
              <w:bottom w:val="nil"/>
            </w:tcBorders>
          </w:tcPr>
          <w:p w:rsidR="005E7102" w:rsidRPr="003A3555" w:rsidRDefault="005E7102" w:rsidP="00BB6600">
            <w:pPr>
              <w:pStyle w:val="Tabletext"/>
              <w:rPr>
                <w:color w:val="000000" w:themeColor="text1"/>
                <w:szCs w:val="18"/>
                <w:lang w:eastAsia="en-AU"/>
              </w:rPr>
            </w:pPr>
            <w:r w:rsidRPr="003A3555">
              <w:rPr>
                <w:i/>
                <w:color w:val="000000" w:themeColor="text1"/>
                <w:szCs w:val="18"/>
                <w:lang w:eastAsia="en-AU"/>
              </w:rPr>
              <w:t>Blood</w:t>
            </w:r>
            <w:r w:rsidR="00BB6600">
              <w:rPr>
                <w:i/>
                <w:color w:val="000000" w:themeColor="text1"/>
                <w:szCs w:val="18"/>
                <w:lang w:eastAsia="en-AU"/>
              </w:rPr>
              <w:t>.</w:t>
            </w:r>
            <w:r w:rsidRPr="003A3555">
              <w:rPr>
                <w:color w:val="000000" w:themeColor="text1"/>
                <w:szCs w:val="18"/>
                <w:lang w:eastAsia="en-AU"/>
              </w:rPr>
              <w:t xml:space="preserve"> 2010; 21; 116</w:t>
            </w:r>
          </w:p>
        </w:tc>
      </w:tr>
      <w:tr w:rsidR="005E7102" w:rsidRPr="003A3555" w:rsidTr="0050766B">
        <w:tc>
          <w:tcPr>
            <w:tcW w:w="796" w:type="pct"/>
            <w:tcBorders>
              <w:top w:val="nil"/>
              <w:bottom w:val="single" w:sz="4" w:space="0" w:color="auto"/>
            </w:tcBorders>
            <w:vAlign w:val="center"/>
          </w:tcPr>
          <w:p w:rsidR="005E7102" w:rsidRPr="003A3555" w:rsidRDefault="005E7102" w:rsidP="00476EE6">
            <w:pPr>
              <w:pStyle w:val="Tabletext"/>
              <w:rPr>
                <w:color w:val="000000" w:themeColor="text1"/>
              </w:rPr>
            </w:pPr>
          </w:p>
        </w:tc>
        <w:tc>
          <w:tcPr>
            <w:tcW w:w="3132" w:type="pct"/>
            <w:tcBorders>
              <w:top w:val="nil"/>
              <w:bottom w:val="single" w:sz="4" w:space="0" w:color="auto"/>
            </w:tcBorders>
            <w:vAlign w:val="center"/>
          </w:tcPr>
          <w:p w:rsidR="005E7102" w:rsidRPr="003A3555" w:rsidRDefault="005E7102" w:rsidP="004E5209">
            <w:pPr>
              <w:pStyle w:val="Tabletext"/>
              <w:rPr>
                <w:color w:val="000000" w:themeColor="text1"/>
                <w:szCs w:val="18"/>
                <w:lang w:eastAsia="en-AU"/>
              </w:rPr>
            </w:pPr>
            <w:r w:rsidRPr="003A3555">
              <w:rPr>
                <w:color w:val="000000" w:themeColor="text1"/>
                <w:szCs w:val="18"/>
                <w:lang w:eastAsia="en-AU"/>
              </w:rPr>
              <w:t xml:space="preserve">McCarthy PL et al. Phase III intergroup study of </w:t>
            </w:r>
            <w:proofErr w:type="spellStart"/>
            <w:r w:rsidRPr="003A3555">
              <w:rPr>
                <w:color w:val="000000" w:themeColor="text1"/>
                <w:szCs w:val="18"/>
                <w:lang w:eastAsia="en-AU"/>
              </w:rPr>
              <w:t>lenalidomide</w:t>
            </w:r>
            <w:proofErr w:type="spellEnd"/>
            <w:r w:rsidRPr="003A3555">
              <w:rPr>
                <w:color w:val="000000" w:themeColor="text1"/>
                <w:szCs w:val="18"/>
                <w:lang w:eastAsia="en-AU"/>
              </w:rPr>
              <w:t xml:space="preserve"> versus placebo maintenance therapy following single autologous stem cell transplant (ASCT) for multiple myeloma (MM): </w:t>
            </w:r>
            <w:proofErr w:type="spellStart"/>
            <w:r w:rsidRPr="003A3555">
              <w:rPr>
                <w:color w:val="000000" w:themeColor="text1"/>
                <w:szCs w:val="18"/>
                <w:lang w:eastAsia="en-AU"/>
              </w:rPr>
              <w:t>Calgb</w:t>
            </w:r>
            <w:proofErr w:type="spellEnd"/>
            <w:r w:rsidRPr="003A3555">
              <w:rPr>
                <w:color w:val="000000" w:themeColor="text1"/>
                <w:szCs w:val="18"/>
                <w:lang w:eastAsia="en-AU"/>
              </w:rPr>
              <w:t xml:space="preserve"> </w:t>
            </w:r>
            <w:proofErr w:type="spellStart"/>
            <w:r w:rsidRPr="003A3555">
              <w:rPr>
                <w:color w:val="000000" w:themeColor="text1"/>
                <w:szCs w:val="18"/>
                <w:lang w:eastAsia="en-AU"/>
              </w:rPr>
              <w:t>ecog</w:t>
            </w:r>
            <w:proofErr w:type="spellEnd"/>
            <w:r w:rsidRPr="003A3555">
              <w:rPr>
                <w:color w:val="000000" w:themeColor="text1"/>
                <w:szCs w:val="18"/>
                <w:lang w:eastAsia="en-AU"/>
              </w:rPr>
              <w:t xml:space="preserve"> BMT-CTN 100104. </w:t>
            </w:r>
          </w:p>
        </w:tc>
        <w:tc>
          <w:tcPr>
            <w:tcW w:w="1072" w:type="pct"/>
            <w:tcBorders>
              <w:top w:val="nil"/>
              <w:bottom w:val="single" w:sz="4" w:space="0" w:color="auto"/>
            </w:tcBorders>
          </w:tcPr>
          <w:p w:rsidR="005E7102" w:rsidRPr="003A3555" w:rsidRDefault="005E7102" w:rsidP="00476EE6">
            <w:pPr>
              <w:pStyle w:val="Tabletext"/>
              <w:rPr>
                <w:color w:val="000000" w:themeColor="text1"/>
                <w:szCs w:val="18"/>
                <w:lang w:eastAsia="en-AU"/>
              </w:rPr>
            </w:pPr>
            <w:proofErr w:type="spellStart"/>
            <w:r w:rsidRPr="003A3555">
              <w:rPr>
                <w:i/>
                <w:color w:val="000000" w:themeColor="text1"/>
                <w:szCs w:val="18"/>
                <w:lang w:eastAsia="en-AU"/>
              </w:rPr>
              <w:t>Haematologica</w:t>
            </w:r>
            <w:proofErr w:type="spellEnd"/>
            <w:r w:rsidR="00BB6600">
              <w:rPr>
                <w:i/>
                <w:color w:val="000000" w:themeColor="text1"/>
                <w:szCs w:val="18"/>
                <w:lang w:eastAsia="en-AU"/>
              </w:rPr>
              <w:t>.</w:t>
            </w:r>
            <w:r w:rsidRPr="003A3555">
              <w:rPr>
                <w:color w:val="000000" w:themeColor="text1"/>
                <w:szCs w:val="18"/>
                <w:lang w:eastAsia="en-AU"/>
              </w:rPr>
              <w:t xml:space="preserve"> 2011; 96:S23 </w:t>
            </w:r>
          </w:p>
        </w:tc>
      </w:tr>
      <w:tr w:rsidR="00C4758E" w:rsidRPr="003A3555" w:rsidTr="0050766B">
        <w:tc>
          <w:tcPr>
            <w:tcW w:w="796" w:type="pct"/>
            <w:vMerge w:val="restart"/>
            <w:tcBorders>
              <w:top w:val="single" w:sz="4" w:space="0" w:color="auto"/>
              <w:bottom w:val="nil"/>
            </w:tcBorders>
          </w:tcPr>
          <w:p w:rsidR="00C4758E" w:rsidRPr="003A3555" w:rsidRDefault="00C4758E" w:rsidP="00476EE6">
            <w:pPr>
              <w:pStyle w:val="Tabletext"/>
              <w:rPr>
                <w:color w:val="000000" w:themeColor="text1"/>
              </w:rPr>
            </w:pPr>
            <w:r w:rsidRPr="003A3555">
              <w:rPr>
                <w:color w:val="000000" w:themeColor="text1"/>
              </w:rPr>
              <w:t>IFM2005-02</w:t>
            </w:r>
          </w:p>
          <w:p w:rsidR="00C4758E" w:rsidRPr="003A3555" w:rsidRDefault="00C4758E" w:rsidP="00476EE6">
            <w:pPr>
              <w:pStyle w:val="Tabletext"/>
              <w:rPr>
                <w:color w:val="000000" w:themeColor="text1"/>
              </w:rPr>
            </w:pPr>
            <w:r w:rsidRPr="003A3555">
              <w:rPr>
                <w:color w:val="000000" w:themeColor="text1"/>
              </w:rPr>
              <w:t>NCT00430365</w:t>
            </w:r>
          </w:p>
        </w:tc>
        <w:tc>
          <w:tcPr>
            <w:tcW w:w="3132" w:type="pct"/>
            <w:tcBorders>
              <w:top w:val="single" w:sz="4" w:space="0" w:color="auto"/>
              <w:bottom w:val="nil"/>
            </w:tcBorders>
            <w:vAlign w:val="center"/>
          </w:tcPr>
          <w:p w:rsidR="00C4758E" w:rsidRDefault="00C4758E" w:rsidP="00476EE6">
            <w:pPr>
              <w:pStyle w:val="Tabletext"/>
              <w:rPr>
                <w:color w:val="000000" w:themeColor="text1"/>
                <w:szCs w:val="18"/>
                <w:lang w:eastAsia="en-AU"/>
              </w:rPr>
            </w:pPr>
            <w:r w:rsidRPr="003A3555">
              <w:rPr>
                <w:color w:val="000000" w:themeColor="text1"/>
                <w:szCs w:val="18"/>
                <w:lang w:eastAsia="en-AU"/>
              </w:rPr>
              <w:t xml:space="preserve">CSR. Benefit of A Maintenance Treatment With </w:t>
            </w:r>
            <w:proofErr w:type="spellStart"/>
            <w:r w:rsidRPr="003A3555">
              <w:rPr>
                <w:color w:val="000000" w:themeColor="text1"/>
                <w:szCs w:val="18"/>
                <w:lang w:eastAsia="en-AU"/>
              </w:rPr>
              <w:t>Lenalidomide</w:t>
            </w:r>
            <w:proofErr w:type="spellEnd"/>
            <w:r w:rsidRPr="003A3555">
              <w:rPr>
                <w:color w:val="000000" w:themeColor="text1"/>
                <w:szCs w:val="18"/>
                <w:lang w:eastAsia="en-AU"/>
              </w:rPr>
              <w:t xml:space="preserve"> Following Autologous Stem Cell Transplantation in Patients With Myeloma Aged Less Than 65 Years</w:t>
            </w:r>
          </w:p>
          <w:p w:rsidR="00C4758E" w:rsidRPr="003A3555" w:rsidRDefault="00C4758E" w:rsidP="00476EE6">
            <w:pPr>
              <w:pStyle w:val="Tabletext"/>
              <w:rPr>
                <w:color w:val="000000" w:themeColor="text1"/>
                <w:szCs w:val="18"/>
                <w:lang w:eastAsia="en-AU"/>
              </w:rPr>
            </w:pPr>
          </w:p>
        </w:tc>
        <w:tc>
          <w:tcPr>
            <w:tcW w:w="1072" w:type="pct"/>
            <w:tcBorders>
              <w:top w:val="single" w:sz="4" w:space="0" w:color="auto"/>
              <w:bottom w:val="nil"/>
            </w:tcBorders>
          </w:tcPr>
          <w:p w:rsidR="00C4758E" w:rsidRPr="003A3555" w:rsidRDefault="00C4758E" w:rsidP="00476EE6">
            <w:pPr>
              <w:pStyle w:val="Tabletext"/>
              <w:rPr>
                <w:color w:val="000000" w:themeColor="text1"/>
                <w:szCs w:val="18"/>
                <w:lang w:eastAsia="en-AU"/>
              </w:rPr>
            </w:pPr>
            <w:r w:rsidRPr="003A3555">
              <w:rPr>
                <w:color w:val="000000" w:themeColor="text1"/>
                <w:szCs w:val="18"/>
                <w:lang w:eastAsia="en-AU"/>
              </w:rPr>
              <w:t>29 April 2016</w:t>
            </w:r>
          </w:p>
          <w:p w:rsidR="00720BC8" w:rsidRDefault="00720BC8" w:rsidP="00476EE6">
            <w:pPr>
              <w:pStyle w:val="Tabletext"/>
              <w:rPr>
                <w:i/>
                <w:color w:val="000000" w:themeColor="text1"/>
                <w:szCs w:val="18"/>
                <w:lang w:eastAsia="en-AU"/>
              </w:rPr>
            </w:pPr>
          </w:p>
          <w:p w:rsidR="00C4758E" w:rsidRPr="003A3555" w:rsidRDefault="00C4758E" w:rsidP="00476EE6">
            <w:pPr>
              <w:pStyle w:val="Tabletext"/>
              <w:rPr>
                <w:color w:val="000000" w:themeColor="text1"/>
                <w:szCs w:val="18"/>
                <w:lang w:eastAsia="en-AU"/>
              </w:rPr>
            </w:pPr>
          </w:p>
        </w:tc>
      </w:tr>
      <w:tr w:rsidR="00C4758E" w:rsidRPr="003A3555" w:rsidTr="0050766B">
        <w:tc>
          <w:tcPr>
            <w:tcW w:w="796" w:type="pct"/>
            <w:vMerge/>
            <w:tcBorders>
              <w:top w:val="nil"/>
              <w:bottom w:val="nil"/>
            </w:tcBorders>
          </w:tcPr>
          <w:p w:rsidR="00C4758E" w:rsidRPr="003A3555" w:rsidRDefault="00C4758E" w:rsidP="00476EE6">
            <w:pPr>
              <w:pStyle w:val="Tabletext"/>
              <w:rPr>
                <w:color w:val="000000" w:themeColor="text1"/>
              </w:rPr>
            </w:pPr>
          </w:p>
        </w:tc>
        <w:tc>
          <w:tcPr>
            <w:tcW w:w="3132" w:type="pct"/>
            <w:tcBorders>
              <w:top w:val="nil"/>
              <w:bottom w:val="nil"/>
            </w:tcBorders>
            <w:vAlign w:val="center"/>
          </w:tcPr>
          <w:p w:rsidR="00C4758E" w:rsidRPr="003A3555" w:rsidRDefault="00C4758E" w:rsidP="004E5209">
            <w:pPr>
              <w:pStyle w:val="Tabletext"/>
              <w:rPr>
                <w:color w:val="000000" w:themeColor="text1"/>
                <w:szCs w:val="18"/>
                <w:lang w:eastAsia="en-AU"/>
              </w:rPr>
            </w:pPr>
            <w:r w:rsidRPr="003A3555">
              <w:rPr>
                <w:color w:val="000000" w:themeColor="text1"/>
                <w:szCs w:val="18"/>
                <w:lang w:eastAsia="en-AU"/>
              </w:rPr>
              <w:t xml:space="preserve">Attal M, </w:t>
            </w:r>
            <w:proofErr w:type="spellStart"/>
            <w:r w:rsidRPr="003A3555">
              <w:rPr>
                <w:color w:val="000000" w:themeColor="text1"/>
                <w:szCs w:val="18"/>
                <w:lang w:eastAsia="en-AU"/>
              </w:rPr>
              <w:t>Lauwers-Cances</w:t>
            </w:r>
            <w:proofErr w:type="spellEnd"/>
            <w:r w:rsidRPr="003A3555">
              <w:rPr>
                <w:color w:val="000000" w:themeColor="text1"/>
                <w:szCs w:val="18"/>
                <w:lang w:eastAsia="en-AU"/>
              </w:rPr>
              <w:t xml:space="preserve"> V, </w:t>
            </w:r>
            <w:proofErr w:type="spellStart"/>
            <w:r w:rsidRPr="003A3555">
              <w:rPr>
                <w:color w:val="000000" w:themeColor="text1"/>
                <w:szCs w:val="18"/>
                <w:lang w:eastAsia="en-AU"/>
              </w:rPr>
              <w:t>Marit</w:t>
            </w:r>
            <w:proofErr w:type="spellEnd"/>
            <w:r w:rsidRPr="003A3555">
              <w:rPr>
                <w:color w:val="000000" w:themeColor="text1"/>
                <w:szCs w:val="18"/>
                <w:lang w:eastAsia="en-AU"/>
              </w:rPr>
              <w:t xml:space="preserve"> G et al. </w:t>
            </w:r>
            <w:proofErr w:type="spellStart"/>
            <w:r w:rsidRPr="003A3555">
              <w:rPr>
                <w:color w:val="000000" w:themeColor="text1"/>
                <w:szCs w:val="18"/>
                <w:lang w:eastAsia="en-AU"/>
              </w:rPr>
              <w:t>Lenalidomide</w:t>
            </w:r>
            <w:proofErr w:type="spellEnd"/>
            <w:r w:rsidRPr="003A3555">
              <w:rPr>
                <w:color w:val="000000" w:themeColor="text1"/>
                <w:szCs w:val="18"/>
                <w:lang w:eastAsia="en-AU"/>
              </w:rPr>
              <w:t xml:space="preserve"> Maintenance after Stem-Cell Transplantation for Multiple Myeloma</w:t>
            </w:r>
          </w:p>
        </w:tc>
        <w:tc>
          <w:tcPr>
            <w:tcW w:w="1072" w:type="pct"/>
            <w:tcBorders>
              <w:top w:val="nil"/>
              <w:bottom w:val="nil"/>
            </w:tcBorders>
          </w:tcPr>
          <w:p w:rsidR="00C4758E" w:rsidRPr="003A3555" w:rsidRDefault="00B0731F" w:rsidP="00B0731F">
            <w:pPr>
              <w:pStyle w:val="Tabletext"/>
              <w:rPr>
                <w:color w:val="000000" w:themeColor="text1"/>
                <w:szCs w:val="18"/>
                <w:lang w:eastAsia="en-AU"/>
              </w:rPr>
            </w:pPr>
            <w:r w:rsidRPr="00B0731F">
              <w:rPr>
                <w:i/>
                <w:color w:val="000000" w:themeColor="text1"/>
                <w:szCs w:val="18"/>
                <w:lang w:eastAsia="en-AU"/>
              </w:rPr>
              <w:t xml:space="preserve">N </w:t>
            </w:r>
            <w:proofErr w:type="spellStart"/>
            <w:r w:rsidRPr="00B0731F">
              <w:rPr>
                <w:i/>
                <w:color w:val="000000" w:themeColor="text1"/>
                <w:szCs w:val="18"/>
                <w:lang w:eastAsia="en-AU"/>
              </w:rPr>
              <w:t>Engl</w:t>
            </w:r>
            <w:proofErr w:type="spellEnd"/>
            <w:r w:rsidRPr="00B0731F">
              <w:rPr>
                <w:i/>
                <w:color w:val="000000" w:themeColor="text1"/>
                <w:szCs w:val="18"/>
                <w:lang w:eastAsia="en-AU"/>
              </w:rPr>
              <w:t xml:space="preserve"> J Med</w:t>
            </w:r>
            <w:r w:rsidR="00BB6600">
              <w:rPr>
                <w:i/>
                <w:color w:val="000000" w:themeColor="text1"/>
                <w:szCs w:val="18"/>
                <w:lang w:eastAsia="en-AU"/>
              </w:rPr>
              <w:t>.</w:t>
            </w:r>
            <w:r>
              <w:rPr>
                <w:color w:val="000000" w:themeColor="text1"/>
                <w:szCs w:val="18"/>
                <w:lang w:eastAsia="en-AU"/>
              </w:rPr>
              <w:t xml:space="preserve"> 2012; 366: 1782-91</w:t>
            </w:r>
          </w:p>
        </w:tc>
      </w:tr>
      <w:tr w:rsidR="00B0731F" w:rsidRPr="003A3555" w:rsidTr="0050766B">
        <w:tc>
          <w:tcPr>
            <w:tcW w:w="796" w:type="pct"/>
            <w:tcBorders>
              <w:top w:val="nil"/>
              <w:bottom w:val="nil"/>
            </w:tcBorders>
            <w:vAlign w:val="center"/>
          </w:tcPr>
          <w:p w:rsidR="00B0731F" w:rsidRPr="003A3555" w:rsidRDefault="00B0731F" w:rsidP="00B0731F">
            <w:pPr>
              <w:pStyle w:val="Tabletext"/>
              <w:rPr>
                <w:color w:val="000000" w:themeColor="text1"/>
              </w:rPr>
            </w:pPr>
          </w:p>
        </w:tc>
        <w:tc>
          <w:tcPr>
            <w:tcW w:w="3132" w:type="pct"/>
            <w:tcBorders>
              <w:top w:val="nil"/>
              <w:bottom w:val="nil"/>
            </w:tcBorders>
            <w:vAlign w:val="center"/>
          </w:tcPr>
          <w:p w:rsidR="00B0731F" w:rsidRPr="003A3555" w:rsidRDefault="00B0731F" w:rsidP="004E5209">
            <w:pPr>
              <w:pStyle w:val="Tabletext"/>
              <w:rPr>
                <w:color w:val="000000" w:themeColor="text1"/>
                <w:szCs w:val="18"/>
                <w:lang w:eastAsia="en-AU"/>
              </w:rPr>
            </w:pPr>
            <w:r w:rsidRPr="003A3555">
              <w:rPr>
                <w:color w:val="000000" w:themeColor="text1"/>
                <w:szCs w:val="18"/>
                <w:lang w:eastAsia="en-AU"/>
              </w:rPr>
              <w:t xml:space="preserve">Attal M, </w:t>
            </w:r>
            <w:proofErr w:type="spellStart"/>
            <w:r w:rsidRPr="003A3555">
              <w:rPr>
                <w:color w:val="000000" w:themeColor="text1"/>
                <w:szCs w:val="18"/>
                <w:lang w:eastAsia="en-AU"/>
              </w:rPr>
              <w:t>Lauwers-Cances</w:t>
            </w:r>
            <w:proofErr w:type="spellEnd"/>
            <w:r w:rsidRPr="003A3555">
              <w:rPr>
                <w:color w:val="000000" w:themeColor="text1"/>
                <w:szCs w:val="18"/>
                <w:lang w:eastAsia="en-AU"/>
              </w:rPr>
              <w:t xml:space="preserve"> V, </w:t>
            </w:r>
            <w:proofErr w:type="spellStart"/>
            <w:r w:rsidRPr="003A3555">
              <w:rPr>
                <w:color w:val="000000" w:themeColor="text1"/>
                <w:szCs w:val="18"/>
                <w:lang w:eastAsia="en-AU"/>
              </w:rPr>
              <w:t>Marit</w:t>
            </w:r>
            <w:proofErr w:type="spellEnd"/>
            <w:r w:rsidRPr="003A3555">
              <w:rPr>
                <w:color w:val="000000" w:themeColor="text1"/>
                <w:szCs w:val="18"/>
                <w:lang w:eastAsia="en-AU"/>
              </w:rPr>
              <w:t xml:space="preserve"> G et al. </w:t>
            </w:r>
            <w:proofErr w:type="spellStart"/>
            <w:r w:rsidRPr="003A3555">
              <w:rPr>
                <w:color w:val="000000" w:themeColor="text1"/>
                <w:szCs w:val="18"/>
                <w:lang w:eastAsia="en-AU"/>
              </w:rPr>
              <w:t>Lenalidomide</w:t>
            </w:r>
            <w:proofErr w:type="spellEnd"/>
            <w:r w:rsidRPr="003A3555">
              <w:rPr>
                <w:color w:val="000000" w:themeColor="text1"/>
                <w:szCs w:val="18"/>
                <w:lang w:eastAsia="en-AU"/>
              </w:rPr>
              <w:t xml:space="preserve"> maintenance after stem-cell transplantation for multiple myeloma: Fo</w:t>
            </w:r>
            <w:r w:rsidR="00C60F2C">
              <w:rPr>
                <w:color w:val="000000" w:themeColor="text1"/>
                <w:szCs w:val="18"/>
                <w:lang w:eastAsia="en-AU"/>
              </w:rPr>
              <w:t>llow-up analysis of IFM</w:t>
            </w:r>
            <w:r w:rsidRPr="003A3555">
              <w:rPr>
                <w:color w:val="000000" w:themeColor="text1"/>
                <w:szCs w:val="18"/>
                <w:lang w:eastAsia="en-AU"/>
              </w:rPr>
              <w:t>2005-02</w:t>
            </w:r>
          </w:p>
        </w:tc>
        <w:tc>
          <w:tcPr>
            <w:tcW w:w="1072" w:type="pct"/>
            <w:tcBorders>
              <w:top w:val="nil"/>
              <w:bottom w:val="nil"/>
            </w:tcBorders>
          </w:tcPr>
          <w:p w:rsidR="00B0731F" w:rsidRPr="003A3555" w:rsidRDefault="00B0731F" w:rsidP="00B0731F">
            <w:pPr>
              <w:pStyle w:val="Tabletext"/>
              <w:rPr>
                <w:color w:val="000000" w:themeColor="text1"/>
                <w:szCs w:val="18"/>
                <w:lang w:eastAsia="en-AU"/>
              </w:rPr>
            </w:pPr>
            <w:r w:rsidRPr="003A3555">
              <w:rPr>
                <w:i/>
                <w:color w:val="000000" w:themeColor="text1"/>
                <w:szCs w:val="18"/>
                <w:lang w:eastAsia="en-AU"/>
              </w:rPr>
              <w:t>Blood</w:t>
            </w:r>
            <w:r w:rsidR="00BB6600">
              <w:rPr>
                <w:i/>
                <w:color w:val="000000" w:themeColor="text1"/>
                <w:szCs w:val="18"/>
                <w:lang w:eastAsia="en-AU"/>
              </w:rPr>
              <w:t>.</w:t>
            </w:r>
            <w:r w:rsidRPr="003A3555">
              <w:rPr>
                <w:color w:val="000000" w:themeColor="text1"/>
                <w:szCs w:val="18"/>
                <w:lang w:eastAsia="en-AU"/>
              </w:rPr>
              <w:t xml:space="preserve"> 2013; 122 (406) </w:t>
            </w:r>
          </w:p>
          <w:p w:rsidR="00B0731F" w:rsidRDefault="00B0731F" w:rsidP="00B0731F">
            <w:pPr>
              <w:pStyle w:val="Tabletext"/>
              <w:rPr>
                <w:i/>
                <w:color w:val="000000" w:themeColor="text1"/>
                <w:szCs w:val="18"/>
                <w:lang w:eastAsia="en-AU"/>
              </w:rPr>
            </w:pPr>
          </w:p>
          <w:p w:rsidR="00B0731F" w:rsidRPr="003A3555" w:rsidRDefault="00B0731F" w:rsidP="00B0731F">
            <w:pPr>
              <w:pStyle w:val="Tabletext"/>
              <w:rPr>
                <w:color w:val="000000" w:themeColor="text1"/>
                <w:szCs w:val="18"/>
                <w:lang w:eastAsia="en-AU"/>
              </w:rPr>
            </w:pPr>
          </w:p>
        </w:tc>
      </w:tr>
      <w:tr w:rsidR="00B0731F" w:rsidRPr="003A3555" w:rsidTr="0050766B">
        <w:tc>
          <w:tcPr>
            <w:tcW w:w="796" w:type="pct"/>
            <w:tcBorders>
              <w:top w:val="nil"/>
              <w:bottom w:val="nil"/>
            </w:tcBorders>
            <w:vAlign w:val="center"/>
          </w:tcPr>
          <w:p w:rsidR="00B0731F" w:rsidRPr="003A3555" w:rsidRDefault="00B0731F" w:rsidP="00B0731F">
            <w:pPr>
              <w:pStyle w:val="Tabletext"/>
              <w:rPr>
                <w:color w:val="000000" w:themeColor="text1"/>
              </w:rPr>
            </w:pPr>
          </w:p>
        </w:tc>
        <w:tc>
          <w:tcPr>
            <w:tcW w:w="3132" w:type="pct"/>
            <w:tcBorders>
              <w:top w:val="nil"/>
              <w:bottom w:val="nil"/>
            </w:tcBorders>
            <w:vAlign w:val="center"/>
          </w:tcPr>
          <w:p w:rsidR="00B0731F" w:rsidRPr="003A3555" w:rsidRDefault="00B0731F" w:rsidP="004E5209">
            <w:pPr>
              <w:pStyle w:val="Tabletext"/>
              <w:rPr>
                <w:color w:val="000000" w:themeColor="text1"/>
                <w:szCs w:val="18"/>
                <w:lang w:eastAsia="en-AU"/>
              </w:rPr>
            </w:pPr>
            <w:proofErr w:type="spellStart"/>
            <w:r w:rsidRPr="003A3555">
              <w:rPr>
                <w:color w:val="000000" w:themeColor="text1"/>
                <w:szCs w:val="18"/>
                <w:lang w:eastAsia="en-AU"/>
              </w:rPr>
              <w:t>Marit</w:t>
            </w:r>
            <w:proofErr w:type="spellEnd"/>
            <w:r w:rsidRPr="003A3555">
              <w:rPr>
                <w:color w:val="000000" w:themeColor="text1"/>
                <w:szCs w:val="18"/>
                <w:lang w:eastAsia="en-AU"/>
              </w:rPr>
              <w:t xml:space="preserve"> G, </w:t>
            </w:r>
            <w:proofErr w:type="spellStart"/>
            <w:r w:rsidRPr="003A3555">
              <w:rPr>
                <w:color w:val="000000" w:themeColor="text1"/>
                <w:szCs w:val="18"/>
                <w:lang w:eastAsia="en-AU"/>
              </w:rPr>
              <w:t>Lauwer-Cances</w:t>
            </w:r>
            <w:proofErr w:type="spellEnd"/>
            <w:r w:rsidRPr="003A3555">
              <w:rPr>
                <w:color w:val="000000" w:themeColor="text1"/>
                <w:szCs w:val="18"/>
                <w:lang w:eastAsia="en-AU"/>
              </w:rPr>
              <w:t xml:space="preserve"> V, </w:t>
            </w:r>
            <w:proofErr w:type="spellStart"/>
            <w:r w:rsidRPr="003A3555">
              <w:rPr>
                <w:color w:val="000000" w:themeColor="text1"/>
                <w:szCs w:val="18"/>
                <w:lang w:eastAsia="en-AU"/>
              </w:rPr>
              <w:t>Caillot</w:t>
            </w:r>
            <w:proofErr w:type="spellEnd"/>
            <w:r w:rsidRPr="003A3555">
              <w:rPr>
                <w:color w:val="000000" w:themeColor="text1"/>
                <w:szCs w:val="18"/>
                <w:lang w:eastAsia="en-AU"/>
              </w:rPr>
              <w:t xml:space="preserve"> D et al. Prognostic factors affecting progression free survival for multiple myeloma patients receiving </w:t>
            </w:r>
            <w:proofErr w:type="spellStart"/>
            <w:r w:rsidRPr="003A3555">
              <w:rPr>
                <w:color w:val="000000" w:themeColor="text1"/>
                <w:szCs w:val="18"/>
                <w:lang w:eastAsia="en-AU"/>
              </w:rPr>
              <w:t>lenalidomide</w:t>
            </w:r>
            <w:proofErr w:type="spellEnd"/>
            <w:r w:rsidRPr="003A3555">
              <w:rPr>
                <w:color w:val="000000" w:themeColor="text1"/>
                <w:szCs w:val="18"/>
                <w:lang w:eastAsia="en-AU"/>
              </w:rPr>
              <w:t xml:space="preserve"> maintenance after autologous transplantation.</w:t>
            </w:r>
            <w:r w:rsidR="00C60F2C">
              <w:rPr>
                <w:color w:val="000000" w:themeColor="text1"/>
                <w:szCs w:val="18"/>
                <w:lang w:eastAsia="en-AU"/>
              </w:rPr>
              <w:t xml:space="preserve"> Follow-up analysis of IFM</w:t>
            </w:r>
            <w:r w:rsidRPr="003A3555">
              <w:rPr>
                <w:color w:val="000000" w:themeColor="text1"/>
                <w:szCs w:val="18"/>
                <w:lang w:eastAsia="en-AU"/>
              </w:rPr>
              <w:t>2005-02</w:t>
            </w:r>
          </w:p>
        </w:tc>
        <w:tc>
          <w:tcPr>
            <w:tcW w:w="1072" w:type="pct"/>
            <w:tcBorders>
              <w:top w:val="nil"/>
              <w:bottom w:val="nil"/>
            </w:tcBorders>
          </w:tcPr>
          <w:p w:rsidR="00BB6600" w:rsidRPr="003A3555" w:rsidRDefault="00BB6600" w:rsidP="00BB6600">
            <w:pPr>
              <w:pStyle w:val="Tabletext"/>
              <w:rPr>
                <w:color w:val="000000" w:themeColor="text1"/>
                <w:szCs w:val="18"/>
                <w:lang w:eastAsia="en-AU"/>
              </w:rPr>
            </w:pPr>
            <w:r w:rsidRPr="003A3555">
              <w:rPr>
                <w:i/>
                <w:color w:val="000000" w:themeColor="text1"/>
                <w:szCs w:val="18"/>
                <w:lang w:eastAsia="en-AU"/>
              </w:rPr>
              <w:t>Blood</w:t>
            </w:r>
            <w:r>
              <w:rPr>
                <w:i/>
                <w:color w:val="000000" w:themeColor="text1"/>
                <w:szCs w:val="18"/>
                <w:lang w:eastAsia="en-AU"/>
              </w:rPr>
              <w:t>.</w:t>
            </w:r>
            <w:r w:rsidRPr="003A3555">
              <w:rPr>
                <w:i/>
                <w:color w:val="000000" w:themeColor="text1"/>
                <w:szCs w:val="18"/>
                <w:lang w:eastAsia="en-AU"/>
              </w:rPr>
              <w:t xml:space="preserve"> </w:t>
            </w:r>
            <w:r w:rsidRPr="003A3555">
              <w:rPr>
                <w:color w:val="000000" w:themeColor="text1"/>
                <w:szCs w:val="18"/>
                <w:lang w:eastAsia="en-AU"/>
              </w:rPr>
              <w:t>2013</w:t>
            </w:r>
            <w:r>
              <w:rPr>
                <w:color w:val="000000" w:themeColor="text1"/>
                <w:szCs w:val="18"/>
                <w:lang w:eastAsia="en-AU"/>
              </w:rPr>
              <w:t>; 1</w:t>
            </w:r>
            <w:r w:rsidRPr="003A3555">
              <w:rPr>
                <w:color w:val="000000" w:themeColor="text1"/>
                <w:szCs w:val="18"/>
                <w:lang w:eastAsia="en-AU"/>
              </w:rPr>
              <w:t>22 (21)</w:t>
            </w:r>
          </w:p>
          <w:p w:rsidR="00B0731F" w:rsidRPr="003A3555" w:rsidRDefault="00B0731F" w:rsidP="00B0731F">
            <w:pPr>
              <w:pStyle w:val="Tabletext"/>
              <w:rPr>
                <w:color w:val="000000" w:themeColor="text1"/>
                <w:szCs w:val="18"/>
                <w:lang w:eastAsia="en-AU"/>
              </w:rPr>
            </w:pPr>
          </w:p>
        </w:tc>
      </w:tr>
      <w:tr w:rsidR="00B0731F" w:rsidRPr="003A3555" w:rsidTr="0050766B">
        <w:tc>
          <w:tcPr>
            <w:tcW w:w="796" w:type="pct"/>
            <w:tcBorders>
              <w:top w:val="nil"/>
              <w:bottom w:val="single" w:sz="4" w:space="0" w:color="auto"/>
            </w:tcBorders>
            <w:vAlign w:val="center"/>
          </w:tcPr>
          <w:p w:rsidR="00B0731F" w:rsidRPr="003A3555" w:rsidRDefault="00B0731F" w:rsidP="00B0731F">
            <w:pPr>
              <w:pStyle w:val="Tabletext"/>
              <w:rPr>
                <w:color w:val="000000" w:themeColor="text1"/>
              </w:rPr>
            </w:pPr>
          </w:p>
        </w:tc>
        <w:tc>
          <w:tcPr>
            <w:tcW w:w="3132" w:type="pct"/>
            <w:tcBorders>
              <w:top w:val="nil"/>
              <w:bottom w:val="single" w:sz="4" w:space="0" w:color="auto"/>
            </w:tcBorders>
            <w:vAlign w:val="center"/>
          </w:tcPr>
          <w:p w:rsidR="00B0731F" w:rsidRPr="003A3555" w:rsidRDefault="00B0731F" w:rsidP="00C60F2C">
            <w:pPr>
              <w:pStyle w:val="Tabletext"/>
              <w:rPr>
                <w:color w:val="000000" w:themeColor="text1"/>
                <w:szCs w:val="18"/>
                <w:lang w:eastAsia="en-AU"/>
              </w:rPr>
            </w:pPr>
            <w:r w:rsidRPr="003A3555">
              <w:rPr>
                <w:color w:val="000000" w:themeColor="text1"/>
                <w:szCs w:val="18"/>
                <w:lang w:eastAsia="en-AU"/>
              </w:rPr>
              <w:t xml:space="preserve">Attal M, </w:t>
            </w:r>
            <w:proofErr w:type="spellStart"/>
            <w:r w:rsidRPr="003A3555">
              <w:rPr>
                <w:color w:val="000000" w:themeColor="text1"/>
                <w:szCs w:val="18"/>
                <w:lang w:eastAsia="en-AU"/>
              </w:rPr>
              <w:t>Lauwers-Cances</w:t>
            </w:r>
            <w:proofErr w:type="spellEnd"/>
            <w:r w:rsidRPr="003A3555">
              <w:rPr>
                <w:color w:val="000000" w:themeColor="text1"/>
                <w:szCs w:val="18"/>
                <w:lang w:eastAsia="en-AU"/>
              </w:rPr>
              <w:t xml:space="preserve"> V, </w:t>
            </w:r>
            <w:proofErr w:type="spellStart"/>
            <w:r w:rsidRPr="003A3555">
              <w:rPr>
                <w:color w:val="000000" w:themeColor="text1"/>
                <w:szCs w:val="18"/>
                <w:lang w:eastAsia="en-AU"/>
              </w:rPr>
              <w:t>Marit</w:t>
            </w:r>
            <w:proofErr w:type="spellEnd"/>
            <w:r w:rsidRPr="003A3555">
              <w:rPr>
                <w:color w:val="000000" w:themeColor="text1"/>
                <w:szCs w:val="18"/>
                <w:lang w:eastAsia="en-AU"/>
              </w:rPr>
              <w:t xml:space="preserve"> G et al. Maintenance treatment with </w:t>
            </w:r>
            <w:proofErr w:type="spellStart"/>
            <w:r w:rsidRPr="003A3555">
              <w:rPr>
                <w:color w:val="000000" w:themeColor="text1"/>
                <w:szCs w:val="18"/>
                <w:lang w:eastAsia="en-AU"/>
              </w:rPr>
              <w:t>lenalidomide</w:t>
            </w:r>
            <w:proofErr w:type="spellEnd"/>
            <w:r w:rsidRPr="003A3555">
              <w:rPr>
                <w:color w:val="000000" w:themeColor="text1"/>
                <w:szCs w:val="18"/>
                <w:lang w:eastAsia="en-AU"/>
              </w:rPr>
              <w:t xml:space="preserve"> after transplantation for MYELOMA: Final analysis of the IFM2005-02</w:t>
            </w:r>
          </w:p>
        </w:tc>
        <w:tc>
          <w:tcPr>
            <w:tcW w:w="1072" w:type="pct"/>
            <w:tcBorders>
              <w:top w:val="nil"/>
              <w:bottom w:val="single" w:sz="4" w:space="0" w:color="auto"/>
            </w:tcBorders>
          </w:tcPr>
          <w:p w:rsidR="00B0731F" w:rsidRPr="003A3555" w:rsidRDefault="00B0731F" w:rsidP="00B0731F">
            <w:pPr>
              <w:pStyle w:val="Tabletext"/>
              <w:rPr>
                <w:color w:val="000000" w:themeColor="text1"/>
                <w:szCs w:val="18"/>
                <w:lang w:eastAsia="en-AU"/>
              </w:rPr>
            </w:pPr>
            <w:r w:rsidRPr="003A3555">
              <w:rPr>
                <w:i/>
                <w:color w:val="000000" w:themeColor="text1"/>
                <w:szCs w:val="18"/>
                <w:lang w:eastAsia="en-AU"/>
              </w:rPr>
              <w:t>Blood</w:t>
            </w:r>
            <w:r w:rsidR="00BB6600">
              <w:rPr>
                <w:i/>
                <w:color w:val="000000" w:themeColor="text1"/>
                <w:szCs w:val="18"/>
                <w:lang w:eastAsia="en-AU"/>
              </w:rPr>
              <w:t>.</w:t>
            </w:r>
            <w:r w:rsidRPr="003A3555">
              <w:rPr>
                <w:color w:val="000000" w:themeColor="text1"/>
                <w:szCs w:val="18"/>
                <w:lang w:eastAsia="en-AU"/>
              </w:rPr>
              <w:t xml:space="preserve"> 2010</w:t>
            </w:r>
            <w:r>
              <w:rPr>
                <w:color w:val="000000" w:themeColor="text1"/>
                <w:szCs w:val="18"/>
                <w:lang w:eastAsia="en-AU"/>
              </w:rPr>
              <w:t xml:space="preserve">; </w:t>
            </w:r>
            <w:r w:rsidRPr="003A3555">
              <w:rPr>
                <w:color w:val="000000" w:themeColor="text1"/>
                <w:szCs w:val="18"/>
                <w:lang w:eastAsia="en-AU"/>
              </w:rPr>
              <w:t>116 (21)</w:t>
            </w:r>
          </w:p>
        </w:tc>
      </w:tr>
      <w:tr w:rsidR="00B0731F" w:rsidRPr="003A3555" w:rsidTr="0050766B">
        <w:tc>
          <w:tcPr>
            <w:tcW w:w="796" w:type="pct"/>
            <w:vMerge w:val="restart"/>
            <w:tcBorders>
              <w:bottom w:val="nil"/>
            </w:tcBorders>
          </w:tcPr>
          <w:p w:rsidR="00B0731F" w:rsidRPr="003A3555" w:rsidRDefault="00B0731F" w:rsidP="00B0731F">
            <w:pPr>
              <w:pStyle w:val="Tabletext"/>
              <w:rPr>
                <w:color w:val="000000" w:themeColor="text1"/>
              </w:rPr>
            </w:pPr>
            <w:r w:rsidRPr="003A3555">
              <w:rPr>
                <w:color w:val="000000" w:themeColor="text1"/>
              </w:rPr>
              <w:t>GIMEMA</w:t>
            </w:r>
          </w:p>
          <w:p w:rsidR="00B0731F" w:rsidRPr="003A3555" w:rsidRDefault="00B0731F" w:rsidP="00B0731F">
            <w:pPr>
              <w:pStyle w:val="Tabletext"/>
              <w:rPr>
                <w:color w:val="000000" w:themeColor="text1"/>
              </w:rPr>
            </w:pPr>
            <w:r w:rsidRPr="003A3555">
              <w:rPr>
                <w:color w:val="000000" w:themeColor="text1"/>
              </w:rPr>
              <w:t>NCT00551928</w:t>
            </w:r>
          </w:p>
        </w:tc>
        <w:tc>
          <w:tcPr>
            <w:tcW w:w="3132" w:type="pct"/>
            <w:tcBorders>
              <w:bottom w:val="nil"/>
            </w:tcBorders>
            <w:vAlign w:val="center"/>
          </w:tcPr>
          <w:p w:rsidR="00B0731F" w:rsidRPr="003A3555" w:rsidRDefault="00B0731F" w:rsidP="00B0731F">
            <w:pPr>
              <w:pStyle w:val="Tabletext"/>
              <w:rPr>
                <w:color w:val="000000" w:themeColor="text1"/>
                <w:szCs w:val="18"/>
                <w:lang w:eastAsia="en-AU"/>
              </w:rPr>
            </w:pPr>
            <w:r w:rsidRPr="003A3555">
              <w:rPr>
                <w:color w:val="000000" w:themeColor="text1"/>
                <w:szCs w:val="18"/>
                <w:lang w:eastAsia="en-AU"/>
              </w:rPr>
              <w:t xml:space="preserve">Palumbo A, </w:t>
            </w:r>
            <w:proofErr w:type="spellStart"/>
            <w:r w:rsidRPr="003A3555">
              <w:rPr>
                <w:color w:val="000000" w:themeColor="text1"/>
                <w:szCs w:val="18"/>
                <w:lang w:eastAsia="en-AU"/>
              </w:rPr>
              <w:t>Cavallo</w:t>
            </w:r>
            <w:proofErr w:type="spellEnd"/>
            <w:r w:rsidRPr="003A3555">
              <w:rPr>
                <w:color w:val="000000" w:themeColor="text1"/>
                <w:szCs w:val="18"/>
                <w:lang w:eastAsia="en-AU"/>
              </w:rPr>
              <w:t xml:space="preserve"> F, Gay F et al. Autologous Transplantation and Maintenance Therapy in Multiple Myeloma</w:t>
            </w:r>
          </w:p>
        </w:tc>
        <w:tc>
          <w:tcPr>
            <w:tcW w:w="1072" w:type="pct"/>
            <w:tcBorders>
              <w:bottom w:val="nil"/>
            </w:tcBorders>
          </w:tcPr>
          <w:p w:rsidR="00B0731F" w:rsidRPr="003A3555" w:rsidRDefault="00B0731F" w:rsidP="00B0731F">
            <w:pPr>
              <w:pStyle w:val="Tabletext"/>
              <w:rPr>
                <w:color w:val="000000" w:themeColor="text1"/>
                <w:szCs w:val="18"/>
                <w:lang w:eastAsia="en-AU"/>
              </w:rPr>
            </w:pPr>
            <w:r w:rsidRPr="003A3555">
              <w:rPr>
                <w:i/>
                <w:color w:val="000000" w:themeColor="text1"/>
                <w:szCs w:val="18"/>
                <w:lang w:eastAsia="en-AU"/>
              </w:rPr>
              <w:t xml:space="preserve">N </w:t>
            </w:r>
            <w:proofErr w:type="spellStart"/>
            <w:r w:rsidRPr="003A3555">
              <w:rPr>
                <w:i/>
                <w:color w:val="000000" w:themeColor="text1"/>
                <w:szCs w:val="18"/>
                <w:lang w:eastAsia="en-AU"/>
              </w:rPr>
              <w:t>Engl</w:t>
            </w:r>
            <w:proofErr w:type="spellEnd"/>
            <w:r w:rsidRPr="003A3555">
              <w:rPr>
                <w:i/>
                <w:color w:val="000000" w:themeColor="text1"/>
                <w:szCs w:val="18"/>
                <w:lang w:eastAsia="en-AU"/>
              </w:rPr>
              <w:t xml:space="preserve"> J Med</w:t>
            </w:r>
            <w:r w:rsidR="00BB6600">
              <w:rPr>
                <w:color w:val="000000" w:themeColor="text1"/>
                <w:szCs w:val="18"/>
                <w:lang w:eastAsia="en-AU"/>
              </w:rPr>
              <w:t xml:space="preserve">. </w:t>
            </w:r>
            <w:r w:rsidRPr="003A3555">
              <w:rPr>
                <w:color w:val="000000" w:themeColor="text1"/>
                <w:szCs w:val="18"/>
                <w:lang w:eastAsia="en-AU"/>
              </w:rPr>
              <w:t>2014; 310(10):895-905</w:t>
            </w:r>
          </w:p>
        </w:tc>
      </w:tr>
      <w:tr w:rsidR="00B0731F" w:rsidRPr="003A3555" w:rsidTr="0050766B">
        <w:tc>
          <w:tcPr>
            <w:tcW w:w="796" w:type="pct"/>
            <w:vMerge/>
            <w:tcBorders>
              <w:top w:val="nil"/>
              <w:bottom w:val="nil"/>
            </w:tcBorders>
            <w:vAlign w:val="center"/>
          </w:tcPr>
          <w:p w:rsidR="00B0731F" w:rsidRPr="003A3555" w:rsidRDefault="00B0731F" w:rsidP="00B0731F">
            <w:pPr>
              <w:pStyle w:val="Tabletext"/>
              <w:rPr>
                <w:color w:val="000000" w:themeColor="text1"/>
              </w:rPr>
            </w:pPr>
          </w:p>
        </w:tc>
        <w:tc>
          <w:tcPr>
            <w:tcW w:w="3132" w:type="pct"/>
            <w:tcBorders>
              <w:top w:val="nil"/>
              <w:bottom w:val="nil"/>
            </w:tcBorders>
            <w:vAlign w:val="center"/>
          </w:tcPr>
          <w:p w:rsidR="00B0731F" w:rsidRPr="003A3555" w:rsidRDefault="00B0731F" w:rsidP="00B0731F">
            <w:pPr>
              <w:pStyle w:val="Tabletext"/>
              <w:rPr>
                <w:color w:val="000000" w:themeColor="text1"/>
                <w:szCs w:val="18"/>
                <w:lang w:eastAsia="en-AU"/>
              </w:rPr>
            </w:pPr>
            <w:proofErr w:type="spellStart"/>
            <w:r w:rsidRPr="003A3555">
              <w:rPr>
                <w:color w:val="000000" w:themeColor="text1"/>
                <w:szCs w:val="18"/>
                <w:lang w:eastAsia="en-AU"/>
              </w:rPr>
              <w:t>Boccadoro</w:t>
            </w:r>
            <w:proofErr w:type="spellEnd"/>
            <w:r w:rsidRPr="003A3555">
              <w:rPr>
                <w:color w:val="000000" w:themeColor="text1"/>
                <w:szCs w:val="18"/>
                <w:lang w:eastAsia="en-AU"/>
              </w:rPr>
              <w:t xml:space="preserve"> M, </w:t>
            </w:r>
            <w:proofErr w:type="spellStart"/>
            <w:r w:rsidRPr="003A3555">
              <w:rPr>
                <w:color w:val="000000" w:themeColor="text1"/>
                <w:szCs w:val="18"/>
                <w:lang w:eastAsia="en-AU"/>
              </w:rPr>
              <w:t>Cavallo</w:t>
            </w:r>
            <w:proofErr w:type="spellEnd"/>
            <w:r w:rsidRPr="003A3555">
              <w:rPr>
                <w:color w:val="000000" w:themeColor="text1"/>
                <w:szCs w:val="18"/>
                <w:lang w:eastAsia="en-AU"/>
              </w:rPr>
              <w:t xml:space="preserve"> F, Gay F et al. </w:t>
            </w:r>
            <w:proofErr w:type="spellStart"/>
            <w:r w:rsidRPr="003A3555">
              <w:rPr>
                <w:color w:val="000000" w:themeColor="text1"/>
                <w:szCs w:val="18"/>
                <w:lang w:eastAsia="en-AU"/>
              </w:rPr>
              <w:t>Melphalan</w:t>
            </w:r>
            <w:proofErr w:type="spellEnd"/>
            <w:r w:rsidRPr="003A3555">
              <w:rPr>
                <w:color w:val="000000" w:themeColor="text1"/>
                <w:szCs w:val="18"/>
                <w:lang w:eastAsia="en-AU"/>
              </w:rPr>
              <w:t>/prednisone/</w:t>
            </w:r>
            <w:proofErr w:type="spellStart"/>
            <w:r w:rsidRPr="003A3555">
              <w:rPr>
                <w:color w:val="000000" w:themeColor="text1"/>
                <w:szCs w:val="18"/>
                <w:lang w:eastAsia="en-AU"/>
              </w:rPr>
              <w:t>lenalidomide</w:t>
            </w:r>
            <w:proofErr w:type="spellEnd"/>
            <w:r w:rsidRPr="003A3555">
              <w:rPr>
                <w:color w:val="000000" w:themeColor="text1"/>
                <w:szCs w:val="18"/>
                <w:lang w:eastAsia="en-AU"/>
              </w:rPr>
              <w:t xml:space="preserve"> (MPR) versus high-dose </w:t>
            </w:r>
            <w:proofErr w:type="spellStart"/>
            <w:r w:rsidRPr="003A3555">
              <w:rPr>
                <w:color w:val="000000" w:themeColor="text1"/>
                <w:szCs w:val="18"/>
                <w:lang w:eastAsia="en-AU"/>
              </w:rPr>
              <w:t>melphalan</w:t>
            </w:r>
            <w:proofErr w:type="spellEnd"/>
            <w:r w:rsidRPr="003A3555">
              <w:rPr>
                <w:color w:val="000000" w:themeColor="text1"/>
                <w:szCs w:val="18"/>
                <w:lang w:eastAsia="en-AU"/>
              </w:rPr>
              <w:t xml:space="preserve"> and autologous transplantation </w:t>
            </w:r>
            <w:r w:rsidRPr="003A3555">
              <w:rPr>
                <w:color w:val="000000" w:themeColor="text1"/>
                <w:szCs w:val="18"/>
                <w:lang w:eastAsia="en-AU"/>
              </w:rPr>
              <w:lastRenderedPageBreak/>
              <w:t xml:space="preserve">(MEL200) plus </w:t>
            </w:r>
            <w:proofErr w:type="spellStart"/>
            <w:r w:rsidRPr="003A3555">
              <w:rPr>
                <w:color w:val="000000" w:themeColor="text1"/>
                <w:szCs w:val="18"/>
                <w:lang w:eastAsia="en-AU"/>
              </w:rPr>
              <w:t>lenalidomide</w:t>
            </w:r>
            <w:proofErr w:type="spellEnd"/>
            <w:r w:rsidRPr="003A3555">
              <w:rPr>
                <w:color w:val="000000" w:themeColor="text1"/>
                <w:szCs w:val="18"/>
                <w:lang w:eastAsia="en-AU"/>
              </w:rPr>
              <w:t xml:space="preserve"> maintenance or no maintenance in newly diagnosed multiple myeloma (MM) patients</w:t>
            </w:r>
          </w:p>
        </w:tc>
        <w:tc>
          <w:tcPr>
            <w:tcW w:w="1072" w:type="pct"/>
            <w:tcBorders>
              <w:top w:val="nil"/>
              <w:bottom w:val="nil"/>
            </w:tcBorders>
          </w:tcPr>
          <w:p w:rsidR="00B0731F" w:rsidRPr="003A3555" w:rsidRDefault="00B0731F" w:rsidP="00BB6600">
            <w:pPr>
              <w:pStyle w:val="Tabletext"/>
              <w:rPr>
                <w:color w:val="000000" w:themeColor="text1"/>
                <w:szCs w:val="18"/>
                <w:lang w:eastAsia="en-AU"/>
              </w:rPr>
            </w:pPr>
            <w:r w:rsidRPr="003A3555">
              <w:rPr>
                <w:i/>
                <w:color w:val="000000" w:themeColor="text1"/>
                <w:szCs w:val="18"/>
                <w:lang w:eastAsia="en-AU"/>
              </w:rPr>
              <w:lastRenderedPageBreak/>
              <w:t>Journal of clinical oncology</w:t>
            </w:r>
            <w:r w:rsidR="00BB6600">
              <w:rPr>
                <w:i/>
                <w:color w:val="000000" w:themeColor="text1"/>
                <w:szCs w:val="18"/>
                <w:lang w:eastAsia="en-AU"/>
              </w:rPr>
              <w:t>.</w:t>
            </w:r>
            <w:r w:rsidRPr="003A3555">
              <w:rPr>
                <w:color w:val="000000" w:themeColor="text1"/>
                <w:szCs w:val="18"/>
                <w:lang w:eastAsia="en-AU"/>
              </w:rPr>
              <w:t xml:space="preserve"> </w:t>
            </w:r>
            <w:r w:rsidR="00BB6600">
              <w:rPr>
                <w:color w:val="000000" w:themeColor="text1"/>
                <w:szCs w:val="18"/>
                <w:lang w:eastAsia="en-AU"/>
              </w:rPr>
              <w:t xml:space="preserve">2013; </w:t>
            </w:r>
            <w:r w:rsidRPr="003A3555">
              <w:rPr>
                <w:color w:val="000000" w:themeColor="text1"/>
                <w:szCs w:val="18"/>
                <w:lang w:eastAsia="en-AU"/>
              </w:rPr>
              <w:t xml:space="preserve">31(15 suppl. 1) </w:t>
            </w:r>
          </w:p>
        </w:tc>
      </w:tr>
      <w:tr w:rsidR="00B0731F" w:rsidRPr="003A3555" w:rsidTr="0050766B">
        <w:tc>
          <w:tcPr>
            <w:tcW w:w="796" w:type="pct"/>
            <w:tcBorders>
              <w:top w:val="nil"/>
              <w:bottom w:val="nil"/>
            </w:tcBorders>
            <w:vAlign w:val="center"/>
          </w:tcPr>
          <w:p w:rsidR="00B0731F" w:rsidRPr="003A3555" w:rsidRDefault="00B0731F" w:rsidP="00B0731F">
            <w:pPr>
              <w:pStyle w:val="Tabletext"/>
              <w:rPr>
                <w:color w:val="000000" w:themeColor="text1"/>
              </w:rPr>
            </w:pPr>
          </w:p>
        </w:tc>
        <w:tc>
          <w:tcPr>
            <w:tcW w:w="3132" w:type="pct"/>
            <w:tcBorders>
              <w:top w:val="nil"/>
              <w:bottom w:val="nil"/>
            </w:tcBorders>
            <w:vAlign w:val="center"/>
          </w:tcPr>
          <w:p w:rsidR="00B0731F" w:rsidRPr="003A3555" w:rsidRDefault="00B0731F" w:rsidP="00B0731F">
            <w:pPr>
              <w:pStyle w:val="Tabletext"/>
              <w:rPr>
                <w:color w:val="000000" w:themeColor="text1"/>
                <w:szCs w:val="18"/>
                <w:lang w:eastAsia="en-AU"/>
              </w:rPr>
            </w:pPr>
            <w:proofErr w:type="spellStart"/>
            <w:r w:rsidRPr="003A3555">
              <w:rPr>
                <w:color w:val="000000" w:themeColor="text1"/>
                <w:szCs w:val="18"/>
                <w:lang w:eastAsia="en-AU"/>
              </w:rPr>
              <w:t>Cavallo</w:t>
            </w:r>
            <w:proofErr w:type="spellEnd"/>
            <w:r w:rsidRPr="003A3555">
              <w:rPr>
                <w:color w:val="000000" w:themeColor="text1"/>
                <w:szCs w:val="18"/>
                <w:lang w:eastAsia="en-AU"/>
              </w:rPr>
              <w:t xml:space="preserve"> F, Gay F, Di Raimondo F, et al.</w:t>
            </w:r>
            <w:r w:rsidRPr="003A3555">
              <w:rPr>
                <w:color w:val="000000" w:themeColor="text1"/>
              </w:rPr>
              <w:t xml:space="preserve"> </w:t>
            </w:r>
            <w:proofErr w:type="spellStart"/>
            <w:r w:rsidRPr="003A3555">
              <w:rPr>
                <w:color w:val="000000" w:themeColor="text1"/>
                <w:szCs w:val="18"/>
                <w:lang w:eastAsia="en-AU"/>
              </w:rPr>
              <w:t>Lenalidomide</w:t>
            </w:r>
            <w:proofErr w:type="spellEnd"/>
            <w:r w:rsidRPr="003A3555">
              <w:rPr>
                <w:color w:val="000000" w:themeColor="text1"/>
                <w:szCs w:val="18"/>
                <w:lang w:eastAsia="en-AU"/>
              </w:rPr>
              <w:t xml:space="preserve"> maintenance improves survival in newly diagnosed young multiple myeloma (MM) patients</w:t>
            </w:r>
          </w:p>
        </w:tc>
        <w:tc>
          <w:tcPr>
            <w:tcW w:w="1072" w:type="pct"/>
            <w:tcBorders>
              <w:top w:val="nil"/>
              <w:bottom w:val="nil"/>
            </w:tcBorders>
          </w:tcPr>
          <w:p w:rsidR="00B0731F" w:rsidRPr="003A3555" w:rsidRDefault="00B0731F" w:rsidP="00B0731F">
            <w:pPr>
              <w:pStyle w:val="Tabletext"/>
              <w:rPr>
                <w:color w:val="000000" w:themeColor="text1"/>
                <w:szCs w:val="18"/>
                <w:lang w:eastAsia="en-AU"/>
              </w:rPr>
            </w:pPr>
            <w:proofErr w:type="spellStart"/>
            <w:r w:rsidRPr="003A3555">
              <w:rPr>
                <w:i/>
                <w:color w:val="000000" w:themeColor="text1"/>
                <w:szCs w:val="18"/>
                <w:lang w:eastAsia="en-AU"/>
              </w:rPr>
              <w:t>Haematologica</w:t>
            </w:r>
            <w:proofErr w:type="spellEnd"/>
            <w:r w:rsidR="00BB6600">
              <w:rPr>
                <w:i/>
                <w:color w:val="000000" w:themeColor="text1"/>
                <w:szCs w:val="18"/>
                <w:lang w:eastAsia="en-AU"/>
              </w:rPr>
              <w:t>.</w:t>
            </w:r>
            <w:r w:rsidRPr="003A3555">
              <w:rPr>
                <w:i/>
                <w:color w:val="000000" w:themeColor="text1"/>
                <w:szCs w:val="18"/>
                <w:lang w:eastAsia="en-AU"/>
              </w:rPr>
              <w:t xml:space="preserve"> </w:t>
            </w:r>
            <w:r w:rsidRPr="003A3555">
              <w:rPr>
                <w:color w:val="000000" w:themeColor="text1"/>
                <w:szCs w:val="18"/>
                <w:lang w:eastAsia="en-AU"/>
              </w:rPr>
              <w:t>2013; 98:50</w:t>
            </w:r>
          </w:p>
        </w:tc>
      </w:tr>
      <w:tr w:rsidR="00B0731F" w:rsidRPr="003A3555" w:rsidTr="0050766B">
        <w:tc>
          <w:tcPr>
            <w:tcW w:w="796" w:type="pct"/>
            <w:tcBorders>
              <w:top w:val="nil"/>
              <w:bottom w:val="nil"/>
            </w:tcBorders>
            <w:vAlign w:val="center"/>
          </w:tcPr>
          <w:p w:rsidR="00B0731F" w:rsidRPr="003A3555" w:rsidRDefault="00B0731F" w:rsidP="00B0731F">
            <w:pPr>
              <w:pStyle w:val="Tabletext"/>
              <w:rPr>
                <w:color w:val="000000" w:themeColor="text1"/>
              </w:rPr>
            </w:pPr>
          </w:p>
        </w:tc>
        <w:tc>
          <w:tcPr>
            <w:tcW w:w="3132" w:type="pct"/>
            <w:tcBorders>
              <w:top w:val="nil"/>
              <w:bottom w:val="nil"/>
            </w:tcBorders>
          </w:tcPr>
          <w:p w:rsidR="00B0731F" w:rsidRPr="003A3555" w:rsidRDefault="00B0731F" w:rsidP="004E5209">
            <w:pPr>
              <w:pStyle w:val="Tabletext"/>
              <w:rPr>
                <w:color w:val="000000" w:themeColor="text1"/>
                <w:szCs w:val="18"/>
                <w:lang w:eastAsia="en-AU"/>
              </w:rPr>
            </w:pPr>
            <w:proofErr w:type="spellStart"/>
            <w:r w:rsidRPr="003A3555">
              <w:rPr>
                <w:color w:val="000000" w:themeColor="text1"/>
                <w:szCs w:val="18"/>
                <w:lang w:eastAsia="en-AU"/>
              </w:rPr>
              <w:t>Cavallo</w:t>
            </w:r>
            <w:proofErr w:type="spellEnd"/>
            <w:r w:rsidRPr="003A3555">
              <w:rPr>
                <w:color w:val="000000" w:themeColor="text1"/>
                <w:szCs w:val="18"/>
                <w:lang w:eastAsia="en-AU"/>
              </w:rPr>
              <w:t xml:space="preserve"> F, </w:t>
            </w:r>
            <w:proofErr w:type="spellStart"/>
            <w:r w:rsidRPr="003A3555">
              <w:rPr>
                <w:color w:val="000000" w:themeColor="text1"/>
                <w:szCs w:val="18"/>
                <w:lang w:eastAsia="en-AU"/>
              </w:rPr>
              <w:t>Hardan</w:t>
            </w:r>
            <w:proofErr w:type="spellEnd"/>
            <w:r w:rsidRPr="003A3555">
              <w:rPr>
                <w:color w:val="000000" w:themeColor="text1"/>
                <w:szCs w:val="18"/>
                <w:lang w:eastAsia="en-AU"/>
              </w:rPr>
              <w:t xml:space="preserve"> I, Gay F et al. </w:t>
            </w:r>
            <w:proofErr w:type="spellStart"/>
            <w:r w:rsidRPr="003A3555">
              <w:rPr>
                <w:color w:val="000000" w:themeColor="text1"/>
                <w:szCs w:val="18"/>
                <w:lang w:eastAsia="en-AU"/>
              </w:rPr>
              <w:t>Lenalidomide</w:t>
            </w:r>
            <w:proofErr w:type="spellEnd"/>
            <w:r w:rsidRPr="003A3555">
              <w:rPr>
                <w:color w:val="000000" w:themeColor="text1"/>
                <w:szCs w:val="18"/>
                <w:lang w:eastAsia="en-AU"/>
              </w:rPr>
              <w:t xml:space="preserve"> maintenance significantly reduces the risk of progression in newly diagnosed young multiple myeloma patients enrolled in RV-MM-PI-209 trial</w:t>
            </w:r>
          </w:p>
        </w:tc>
        <w:tc>
          <w:tcPr>
            <w:tcW w:w="1072" w:type="pct"/>
            <w:tcBorders>
              <w:top w:val="nil"/>
              <w:bottom w:val="nil"/>
            </w:tcBorders>
          </w:tcPr>
          <w:p w:rsidR="00B0731F" w:rsidRPr="003A3555" w:rsidRDefault="00B0731F" w:rsidP="00BB6600">
            <w:pPr>
              <w:pStyle w:val="Tabletext"/>
              <w:rPr>
                <w:color w:val="000000" w:themeColor="text1"/>
                <w:szCs w:val="18"/>
                <w:lang w:eastAsia="en-AU"/>
              </w:rPr>
            </w:pPr>
            <w:proofErr w:type="spellStart"/>
            <w:r w:rsidRPr="003A3555">
              <w:rPr>
                <w:i/>
                <w:color w:val="000000" w:themeColor="text1"/>
                <w:szCs w:val="18"/>
                <w:lang w:eastAsia="en-AU"/>
              </w:rPr>
              <w:t>Haematologica</w:t>
            </w:r>
            <w:proofErr w:type="spellEnd"/>
            <w:r w:rsidR="00BB6600">
              <w:rPr>
                <w:i/>
                <w:color w:val="000000" w:themeColor="text1"/>
                <w:szCs w:val="18"/>
                <w:lang w:eastAsia="en-AU"/>
              </w:rPr>
              <w:t>.</w:t>
            </w:r>
            <w:r w:rsidRPr="003A3555">
              <w:rPr>
                <w:color w:val="000000" w:themeColor="text1"/>
                <w:szCs w:val="18"/>
                <w:lang w:eastAsia="en-AU"/>
              </w:rPr>
              <w:t xml:space="preserve"> 2012</w:t>
            </w:r>
            <w:r w:rsidR="00BB6600">
              <w:rPr>
                <w:color w:val="000000" w:themeColor="text1"/>
                <w:szCs w:val="18"/>
                <w:lang w:eastAsia="en-AU"/>
              </w:rPr>
              <w:t>;</w:t>
            </w:r>
            <w:r w:rsidRPr="003A3555">
              <w:rPr>
                <w:color w:val="000000" w:themeColor="text1"/>
                <w:szCs w:val="18"/>
                <w:lang w:eastAsia="en-AU"/>
              </w:rPr>
              <w:t xml:space="preserve"> 97: 472-473 </w:t>
            </w:r>
          </w:p>
        </w:tc>
      </w:tr>
      <w:tr w:rsidR="00B0731F" w:rsidRPr="003A3555" w:rsidTr="0050766B">
        <w:tc>
          <w:tcPr>
            <w:tcW w:w="796" w:type="pct"/>
            <w:tcBorders>
              <w:top w:val="nil"/>
              <w:bottom w:val="nil"/>
            </w:tcBorders>
            <w:vAlign w:val="center"/>
          </w:tcPr>
          <w:p w:rsidR="00B0731F" w:rsidRPr="003A3555" w:rsidRDefault="00B0731F" w:rsidP="00B0731F">
            <w:pPr>
              <w:pStyle w:val="Tabletext"/>
              <w:rPr>
                <w:color w:val="000000" w:themeColor="text1"/>
              </w:rPr>
            </w:pPr>
          </w:p>
        </w:tc>
        <w:tc>
          <w:tcPr>
            <w:tcW w:w="3132" w:type="pct"/>
            <w:tcBorders>
              <w:top w:val="nil"/>
              <w:bottom w:val="nil"/>
            </w:tcBorders>
          </w:tcPr>
          <w:p w:rsidR="00B0731F" w:rsidRPr="003A3555" w:rsidRDefault="00B0731F" w:rsidP="00B0731F">
            <w:pPr>
              <w:pStyle w:val="Tabletext"/>
              <w:rPr>
                <w:color w:val="000000" w:themeColor="text1"/>
                <w:szCs w:val="18"/>
                <w:lang w:eastAsia="en-AU"/>
              </w:rPr>
            </w:pPr>
            <w:r w:rsidRPr="003A3555">
              <w:rPr>
                <w:color w:val="000000" w:themeColor="text1"/>
                <w:szCs w:val="18"/>
                <w:lang w:eastAsia="en-AU"/>
              </w:rPr>
              <w:t xml:space="preserve">Palumbo A, </w:t>
            </w:r>
            <w:proofErr w:type="spellStart"/>
            <w:r w:rsidRPr="003A3555">
              <w:rPr>
                <w:color w:val="000000" w:themeColor="text1"/>
                <w:szCs w:val="18"/>
                <w:lang w:eastAsia="en-AU"/>
              </w:rPr>
              <w:t>Cavallo</w:t>
            </w:r>
            <w:proofErr w:type="spellEnd"/>
            <w:r w:rsidRPr="003A3555">
              <w:rPr>
                <w:color w:val="000000" w:themeColor="text1"/>
                <w:szCs w:val="18"/>
                <w:lang w:eastAsia="en-AU"/>
              </w:rPr>
              <w:t xml:space="preserve"> F, Gay F et al. </w:t>
            </w:r>
            <w:proofErr w:type="spellStart"/>
            <w:r w:rsidRPr="003A3555">
              <w:rPr>
                <w:color w:val="000000" w:themeColor="text1"/>
                <w:szCs w:val="18"/>
                <w:lang w:eastAsia="en-AU"/>
              </w:rPr>
              <w:t>Melphalan</w:t>
            </w:r>
            <w:proofErr w:type="spellEnd"/>
            <w:r w:rsidRPr="003A3555">
              <w:rPr>
                <w:color w:val="000000" w:themeColor="text1"/>
                <w:szCs w:val="18"/>
                <w:lang w:eastAsia="en-AU"/>
              </w:rPr>
              <w:t>/Prednisone/</w:t>
            </w:r>
            <w:proofErr w:type="spellStart"/>
            <w:r w:rsidRPr="003A3555">
              <w:rPr>
                <w:color w:val="000000" w:themeColor="text1"/>
                <w:szCs w:val="18"/>
                <w:lang w:eastAsia="en-AU"/>
              </w:rPr>
              <w:t>Lenalidomide</w:t>
            </w:r>
            <w:proofErr w:type="spellEnd"/>
            <w:r w:rsidRPr="003A3555">
              <w:rPr>
                <w:color w:val="000000" w:themeColor="text1"/>
                <w:szCs w:val="18"/>
                <w:lang w:eastAsia="en-AU"/>
              </w:rPr>
              <w:t xml:space="preserve"> (</w:t>
            </w:r>
            <w:proofErr w:type="spellStart"/>
            <w:r w:rsidRPr="003A3555">
              <w:rPr>
                <w:color w:val="000000" w:themeColor="text1"/>
                <w:szCs w:val="18"/>
                <w:lang w:eastAsia="en-AU"/>
              </w:rPr>
              <w:t>Mpr</w:t>
            </w:r>
            <w:proofErr w:type="spellEnd"/>
            <w:r w:rsidRPr="003A3555">
              <w:rPr>
                <w:color w:val="000000" w:themeColor="text1"/>
                <w:szCs w:val="18"/>
                <w:lang w:eastAsia="en-AU"/>
              </w:rPr>
              <w:t xml:space="preserve">) Versus High-Dose </w:t>
            </w:r>
            <w:proofErr w:type="spellStart"/>
            <w:r w:rsidRPr="003A3555">
              <w:rPr>
                <w:color w:val="000000" w:themeColor="text1"/>
                <w:szCs w:val="18"/>
                <w:lang w:eastAsia="en-AU"/>
              </w:rPr>
              <w:t>Melphalan</w:t>
            </w:r>
            <w:proofErr w:type="spellEnd"/>
            <w:r w:rsidRPr="003A3555">
              <w:rPr>
                <w:color w:val="000000" w:themeColor="text1"/>
                <w:szCs w:val="18"/>
                <w:lang w:eastAsia="en-AU"/>
              </w:rPr>
              <w:t xml:space="preserve"> And Autologous Transplantation (Mel200) In Newly Diagnosed Multiple Myeloma (MM) Patients</w:t>
            </w:r>
          </w:p>
        </w:tc>
        <w:tc>
          <w:tcPr>
            <w:tcW w:w="1072" w:type="pct"/>
            <w:tcBorders>
              <w:top w:val="nil"/>
              <w:bottom w:val="nil"/>
            </w:tcBorders>
          </w:tcPr>
          <w:p w:rsidR="00B0731F" w:rsidRPr="003A3555" w:rsidRDefault="00B0731F" w:rsidP="00BB6600">
            <w:pPr>
              <w:pStyle w:val="Tabletext"/>
              <w:rPr>
                <w:color w:val="000000" w:themeColor="text1"/>
                <w:szCs w:val="18"/>
                <w:lang w:eastAsia="en-AU"/>
              </w:rPr>
            </w:pPr>
            <w:proofErr w:type="spellStart"/>
            <w:r w:rsidRPr="003A3555">
              <w:rPr>
                <w:i/>
                <w:color w:val="000000" w:themeColor="text1"/>
                <w:szCs w:val="18"/>
                <w:lang w:eastAsia="en-AU"/>
              </w:rPr>
              <w:t>Haematologica</w:t>
            </w:r>
            <w:proofErr w:type="spellEnd"/>
            <w:r w:rsidR="00BB6600">
              <w:rPr>
                <w:i/>
                <w:color w:val="000000" w:themeColor="text1"/>
                <w:szCs w:val="18"/>
                <w:lang w:eastAsia="en-AU"/>
              </w:rPr>
              <w:t>.</w:t>
            </w:r>
            <w:r w:rsidRPr="003A3555">
              <w:rPr>
                <w:color w:val="000000" w:themeColor="text1"/>
                <w:szCs w:val="18"/>
                <w:lang w:eastAsia="en-AU"/>
              </w:rPr>
              <w:t xml:space="preserve"> 2013, 98:96, </w:t>
            </w:r>
          </w:p>
        </w:tc>
      </w:tr>
      <w:tr w:rsidR="00B0731F" w:rsidRPr="003A3555" w:rsidTr="0050766B">
        <w:tc>
          <w:tcPr>
            <w:tcW w:w="796" w:type="pct"/>
            <w:tcBorders>
              <w:top w:val="nil"/>
              <w:bottom w:val="single" w:sz="4" w:space="0" w:color="auto"/>
            </w:tcBorders>
            <w:vAlign w:val="center"/>
          </w:tcPr>
          <w:p w:rsidR="00B0731F" w:rsidRPr="003A3555" w:rsidRDefault="00B0731F" w:rsidP="00B0731F">
            <w:pPr>
              <w:pStyle w:val="Tabletext"/>
              <w:rPr>
                <w:color w:val="000000" w:themeColor="text1"/>
              </w:rPr>
            </w:pPr>
          </w:p>
        </w:tc>
        <w:tc>
          <w:tcPr>
            <w:tcW w:w="3132" w:type="pct"/>
            <w:tcBorders>
              <w:top w:val="nil"/>
              <w:bottom w:val="single" w:sz="4" w:space="0" w:color="auto"/>
            </w:tcBorders>
          </w:tcPr>
          <w:p w:rsidR="00B0731F" w:rsidRPr="003A3555" w:rsidRDefault="00B0731F" w:rsidP="00B0731F">
            <w:pPr>
              <w:pStyle w:val="Tabletext"/>
              <w:rPr>
                <w:color w:val="000000" w:themeColor="text1"/>
                <w:szCs w:val="18"/>
                <w:lang w:eastAsia="en-AU"/>
              </w:rPr>
            </w:pPr>
            <w:proofErr w:type="spellStart"/>
            <w:r w:rsidRPr="003A3555">
              <w:rPr>
                <w:color w:val="000000" w:themeColor="text1"/>
                <w:szCs w:val="18"/>
                <w:lang w:eastAsia="en-AU"/>
              </w:rPr>
              <w:t>Cavallo</w:t>
            </w:r>
            <w:proofErr w:type="spellEnd"/>
            <w:r w:rsidRPr="003A3555">
              <w:rPr>
                <w:color w:val="000000" w:themeColor="text1"/>
                <w:szCs w:val="18"/>
                <w:lang w:eastAsia="en-AU"/>
              </w:rPr>
              <w:t xml:space="preserve"> F, Gay F, </w:t>
            </w:r>
            <w:proofErr w:type="spellStart"/>
            <w:r w:rsidRPr="003A3555">
              <w:rPr>
                <w:color w:val="000000" w:themeColor="text1"/>
                <w:szCs w:val="18"/>
                <w:lang w:eastAsia="en-AU"/>
              </w:rPr>
              <w:t>Caravita</w:t>
            </w:r>
            <w:proofErr w:type="spellEnd"/>
            <w:r w:rsidRPr="003A3555">
              <w:rPr>
                <w:color w:val="000000" w:themeColor="text1"/>
                <w:szCs w:val="18"/>
                <w:lang w:eastAsia="en-AU"/>
              </w:rPr>
              <w:t xml:space="preserve"> di </w:t>
            </w:r>
            <w:proofErr w:type="spellStart"/>
            <w:r w:rsidRPr="003A3555">
              <w:rPr>
                <w:color w:val="000000" w:themeColor="text1"/>
                <w:szCs w:val="18"/>
                <w:lang w:eastAsia="en-AU"/>
              </w:rPr>
              <w:t>toritto</w:t>
            </w:r>
            <w:proofErr w:type="spellEnd"/>
            <w:r w:rsidRPr="003A3555">
              <w:rPr>
                <w:color w:val="000000" w:themeColor="text1"/>
                <w:szCs w:val="18"/>
                <w:lang w:eastAsia="en-AU"/>
              </w:rPr>
              <w:t xml:space="preserve"> T</w:t>
            </w:r>
            <w:r w:rsidR="004E5209">
              <w:rPr>
                <w:color w:val="000000" w:themeColor="text1"/>
                <w:szCs w:val="18"/>
                <w:lang w:eastAsia="en-AU"/>
              </w:rPr>
              <w:t>.</w:t>
            </w:r>
            <w:r w:rsidRPr="003A3555">
              <w:rPr>
                <w:color w:val="000000" w:themeColor="text1"/>
                <w:szCs w:val="18"/>
                <w:lang w:eastAsia="en-AU"/>
              </w:rPr>
              <w:t xml:space="preserve"> </w:t>
            </w:r>
            <w:proofErr w:type="spellStart"/>
            <w:r w:rsidRPr="003A3555">
              <w:rPr>
                <w:color w:val="000000" w:themeColor="text1"/>
                <w:szCs w:val="18"/>
                <w:lang w:eastAsia="en-AU"/>
              </w:rPr>
              <w:t>Lenalidomide</w:t>
            </w:r>
            <w:proofErr w:type="spellEnd"/>
            <w:r w:rsidRPr="003A3555">
              <w:rPr>
                <w:color w:val="000000" w:themeColor="text1"/>
                <w:szCs w:val="18"/>
                <w:lang w:eastAsia="en-AU"/>
              </w:rPr>
              <w:t xml:space="preserve"> Maintenance Improves Progression Free Survival in Newly Diagnosed</w:t>
            </w:r>
            <w:r w:rsidR="004E5209">
              <w:rPr>
                <w:color w:val="000000" w:themeColor="text1"/>
                <w:szCs w:val="18"/>
                <w:lang w:eastAsia="en-AU"/>
              </w:rPr>
              <w:t xml:space="preserve"> </w:t>
            </w:r>
            <w:r w:rsidRPr="003A3555">
              <w:rPr>
                <w:color w:val="000000" w:themeColor="text1"/>
                <w:szCs w:val="18"/>
                <w:lang w:eastAsia="en-AU"/>
              </w:rPr>
              <w:t>Young Multiple Myeloma (MM) Patients</w:t>
            </w:r>
          </w:p>
        </w:tc>
        <w:tc>
          <w:tcPr>
            <w:tcW w:w="1072" w:type="pct"/>
            <w:tcBorders>
              <w:top w:val="nil"/>
              <w:bottom w:val="single" w:sz="4" w:space="0" w:color="auto"/>
            </w:tcBorders>
            <w:vAlign w:val="center"/>
          </w:tcPr>
          <w:p w:rsidR="00B0731F" w:rsidRPr="003A3555" w:rsidRDefault="00B0731F" w:rsidP="00BB6600">
            <w:pPr>
              <w:pStyle w:val="Tabletext"/>
              <w:rPr>
                <w:color w:val="000000" w:themeColor="text1"/>
                <w:szCs w:val="18"/>
                <w:lang w:eastAsia="en-AU"/>
              </w:rPr>
            </w:pPr>
            <w:r w:rsidRPr="003A3555">
              <w:rPr>
                <w:i/>
                <w:color w:val="000000" w:themeColor="text1"/>
                <w:szCs w:val="18"/>
                <w:lang w:eastAsia="en-AU"/>
              </w:rPr>
              <w:t xml:space="preserve">Clinical Lymphoma, Myeloma and </w:t>
            </w:r>
            <w:proofErr w:type="spellStart"/>
            <w:r w:rsidRPr="003A3555">
              <w:rPr>
                <w:i/>
                <w:color w:val="000000" w:themeColor="text1"/>
                <w:szCs w:val="18"/>
                <w:lang w:eastAsia="en-AU"/>
              </w:rPr>
              <w:t>Leukemia</w:t>
            </w:r>
            <w:proofErr w:type="spellEnd"/>
            <w:r w:rsidR="00BB6600">
              <w:rPr>
                <w:i/>
                <w:color w:val="000000" w:themeColor="text1"/>
                <w:szCs w:val="18"/>
                <w:lang w:eastAsia="en-AU"/>
              </w:rPr>
              <w:t>.</w:t>
            </w:r>
            <w:r w:rsidRPr="003A3555">
              <w:rPr>
                <w:color w:val="000000" w:themeColor="text1"/>
                <w:szCs w:val="18"/>
                <w:lang w:eastAsia="en-AU"/>
              </w:rPr>
              <w:t xml:space="preserve"> 2013</w:t>
            </w:r>
            <w:r w:rsidR="00BB6600">
              <w:rPr>
                <w:color w:val="000000" w:themeColor="text1"/>
                <w:szCs w:val="18"/>
                <w:lang w:eastAsia="en-AU"/>
              </w:rPr>
              <w:t>;</w:t>
            </w:r>
            <w:r w:rsidRPr="003A3555">
              <w:rPr>
                <w:color w:val="000000" w:themeColor="text1"/>
                <w:szCs w:val="18"/>
                <w:lang w:eastAsia="en-AU"/>
              </w:rPr>
              <w:t xml:space="preserve"> 13</w:t>
            </w:r>
            <w:r w:rsidR="00BB6600">
              <w:rPr>
                <w:color w:val="000000" w:themeColor="text1"/>
                <w:szCs w:val="18"/>
                <w:lang w:eastAsia="en-AU"/>
              </w:rPr>
              <w:t>:</w:t>
            </w:r>
            <w:r w:rsidRPr="003A3555">
              <w:rPr>
                <w:color w:val="000000" w:themeColor="text1"/>
                <w:szCs w:val="18"/>
                <w:lang w:eastAsia="en-AU"/>
              </w:rPr>
              <w:t xml:space="preserve"> S120</w:t>
            </w:r>
            <w:r w:rsidR="00BB6600">
              <w:rPr>
                <w:color w:val="000000" w:themeColor="text1"/>
                <w:szCs w:val="18"/>
                <w:lang w:eastAsia="en-AU"/>
              </w:rPr>
              <w:t xml:space="preserve"> </w:t>
            </w:r>
          </w:p>
        </w:tc>
      </w:tr>
      <w:tr w:rsidR="00B0731F" w:rsidRPr="003A3555" w:rsidTr="007777D1">
        <w:tc>
          <w:tcPr>
            <w:tcW w:w="796" w:type="pct"/>
            <w:vMerge w:val="restart"/>
            <w:tcBorders>
              <w:bottom w:val="nil"/>
            </w:tcBorders>
          </w:tcPr>
          <w:p w:rsidR="00B0731F" w:rsidRPr="003A3555" w:rsidRDefault="00B0731F" w:rsidP="00B0731F">
            <w:pPr>
              <w:pStyle w:val="Tabletext"/>
              <w:rPr>
                <w:color w:val="000000" w:themeColor="text1"/>
              </w:rPr>
            </w:pPr>
            <w:r w:rsidRPr="003A3555">
              <w:rPr>
                <w:color w:val="000000" w:themeColor="text1"/>
              </w:rPr>
              <w:t>Myeloma XI</w:t>
            </w:r>
          </w:p>
          <w:p w:rsidR="00B0731F" w:rsidRPr="003A3555" w:rsidRDefault="00B0731F" w:rsidP="00B0731F">
            <w:pPr>
              <w:pStyle w:val="Tabletext"/>
              <w:rPr>
                <w:color w:val="000000" w:themeColor="text1"/>
              </w:rPr>
            </w:pPr>
            <w:r w:rsidRPr="003A3555">
              <w:rPr>
                <w:color w:val="000000" w:themeColor="text1"/>
              </w:rPr>
              <w:t>NCT01554852</w:t>
            </w:r>
          </w:p>
        </w:tc>
        <w:tc>
          <w:tcPr>
            <w:tcW w:w="3132" w:type="pct"/>
            <w:tcBorders>
              <w:bottom w:val="nil"/>
            </w:tcBorders>
          </w:tcPr>
          <w:p w:rsidR="00B0731F" w:rsidRPr="003A3555" w:rsidRDefault="00B0731F" w:rsidP="004E5209">
            <w:pPr>
              <w:pStyle w:val="Tabletext"/>
              <w:rPr>
                <w:color w:val="000000" w:themeColor="text1"/>
                <w:szCs w:val="18"/>
                <w:lang w:eastAsia="en-AU"/>
              </w:rPr>
            </w:pPr>
            <w:r w:rsidRPr="003A3555">
              <w:rPr>
                <w:color w:val="000000" w:themeColor="text1"/>
                <w:szCs w:val="18"/>
                <w:lang w:eastAsia="en-AU"/>
              </w:rPr>
              <w:t xml:space="preserve">Jackson GH, Davies FE, </w:t>
            </w:r>
            <w:proofErr w:type="spellStart"/>
            <w:r w:rsidRPr="003A3555">
              <w:rPr>
                <w:color w:val="000000" w:themeColor="text1"/>
                <w:szCs w:val="18"/>
                <w:lang w:eastAsia="en-AU"/>
              </w:rPr>
              <w:t>Pawlyn</w:t>
            </w:r>
            <w:proofErr w:type="spellEnd"/>
            <w:r w:rsidRPr="003A3555">
              <w:rPr>
                <w:color w:val="000000" w:themeColor="text1"/>
                <w:szCs w:val="18"/>
                <w:lang w:eastAsia="en-AU"/>
              </w:rPr>
              <w:t xml:space="preserve"> C et al. </w:t>
            </w:r>
            <w:proofErr w:type="spellStart"/>
            <w:r w:rsidRPr="003A3555">
              <w:rPr>
                <w:color w:val="000000" w:themeColor="text1"/>
                <w:szCs w:val="18"/>
                <w:lang w:eastAsia="en-AU"/>
              </w:rPr>
              <w:t>Lenalidomide</w:t>
            </w:r>
            <w:proofErr w:type="spellEnd"/>
            <w:r w:rsidRPr="003A3555">
              <w:rPr>
                <w:color w:val="000000" w:themeColor="text1"/>
                <w:szCs w:val="18"/>
                <w:lang w:eastAsia="en-AU"/>
              </w:rPr>
              <w:t xml:space="preserve"> Is a Highly Effective Maintenance Therapy in Myeloma Subjects of All Ages; Results of the Phase III Myeloma XI Study</w:t>
            </w:r>
          </w:p>
        </w:tc>
        <w:tc>
          <w:tcPr>
            <w:tcW w:w="1072" w:type="pct"/>
            <w:tcBorders>
              <w:bottom w:val="nil"/>
            </w:tcBorders>
            <w:vAlign w:val="center"/>
          </w:tcPr>
          <w:p w:rsidR="00B0731F" w:rsidRPr="003A3555" w:rsidRDefault="00B0731F" w:rsidP="00BB6600">
            <w:pPr>
              <w:pStyle w:val="Tabletext"/>
              <w:rPr>
                <w:color w:val="000000" w:themeColor="text1"/>
                <w:szCs w:val="18"/>
                <w:lang w:eastAsia="en-AU"/>
              </w:rPr>
            </w:pPr>
            <w:r w:rsidRPr="003A3555">
              <w:rPr>
                <w:color w:val="000000" w:themeColor="text1"/>
                <w:szCs w:val="18"/>
                <w:lang w:eastAsia="en-AU"/>
              </w:rPr>
              <w:t xml:space="preserve">ASH 58th Annual Meeting and Exposition </w:t>
            </w:r>
            <w:r w:rsidR="00BB6600">
              <w:rPr>
                <w:color w:val="000000" w:themeColor="text1"/>
                <w:szCs w:val="18"/>
                <w:lang w:eastAsia="en-AU"/>
              </w:rPr>
              <w:t xml:space="preserve">2016, </w:t>
            </w:r>
            <w:r w:rsidRPr="003A3555">
              <w:rPr>
                <w:color w:val="000000" w:themeColor="text1"/>
                <w:szCs w:val="18"/>
                <w:lang w:eastAsia="en-AU"/>
              </w:rPr>
              <w:t>December 3-6</w:t>
            </w:r>
            <w:r w:rsidR="00BB6600">
              <w:rPr>
                <w:color w:val="000000" w:themeColor="text1"/>
                <w:szCs w:val="18"/>
                <w:lang w:eastAsia="en-AU"/>
              </w:rPr>
              <w:t>; 1143</w:t>
            </w:r>
          </w:p>
        </w:tc>
      </w:tr>
      <w:tr w:rsidR="00B0731F" w:rsidRPr="003A3555" w:rsidTr="0050766B">
        <w:tc>
          <w:tcPr>
            <w:tcW w:w="796" w:type="pct"/>
            <w:vMerge/>
            <w:tcBorders>
              <w:top w:val="nil"/>
              <w:bottom w:val="nil"/>
            </w:tcBorders>
            <w:vAlign w:val="center"/>
          </w:tcPr>
          <w:p w:rsidR="00B0731F" w:rsidRPr="003A3555" w:rsidRDefault="00B0731F" w:rsidP="00B0731F">
            <w:pPr>
              <w:pStyle w:val="Tabletext"/>
              <w:rPr>
                <w:color w:val="000000" w:themeColor="text1"/>
              </w:rPr>
            </w:pPr>
          </w:p>
        </w:tc>
        <w:tc>
          <w:tcPr>
            <w:tcW w:w="3132" w:type="pct"/>
            <w:tcBorders>
              <w:top w:val="nil"/>
              <w:bottom w:val="nil"/>
            </w:tcBorders>
            <w:vAlign w:val="center"/>
          </w:tcPr>
          <w:p w:rsidR="00B0731F" w:rsidRPr="003A3555" w:rsidRDefault="00B0731F" w:rsidP="004E5209">
            <w:pPr>
              <w:pStyle w:val="Tabletext"/>
              <w:rPr>
                <w:color w:val="000000" w:themeColor="text1"/>
                <w:szCs w:val="18"/>
                <w:lang w:eastAsia="en-AU"/>
              </w:rPr>
            </w:pPr>
            <w:r w:rsidRPr="003A3555">
              <w:rPr>
                <w:color w:val="000000" w:themeColor="text1"/>
                <w:szCs w:val="18"/>
                <w:lang w:eastAsia="en-AU"/>
              </w:rPr>
              <w:t xml:space="preserve">Jackson GH, Davies FE, </w:t>
            </w:r>
            <w:proofErr w:type="spellStart"/>
            <w:r w:rsidRPr="003A3555">
              <w:rPr>
                <w:color w:val="000000" w:themeColor="text1"/>
                <w:szCs w:val="18"/>
                <w:lang w:eastAsia="en-AU"/>
              </w:rPr>
              <w:t>Pawlyn</w:t>
            </w:r>
            <w:proofErr w:type="spellEnd"/>
            <w:r w:rsidRPr="003A3555">
              <w:rPr>
                <w:color w:val="000000" w:themeColor="text1"/>
                <w:szCs w:val="18"/>
                <w:lang w:eastAsia="en-AU"/>
              </w:rPr>
              <w:t xml:space="preserve"> C et al.</w:t>
            </w:r>
            <w:r w:rsidRPr="003A3555">
              <w:rPr>
                <w:color w:val="000000" w:themeColor="text1"/>
              </w:rPr>
              <w:t xml:space="preserve"> </w:t>
            </w:r>
            <w:proofErr w:type="spellStart"/>
            <w:r w:rsidRPr="003A3555">
              <w:rPr>
                <w:color w:val="000000" w:themeColor="text1"/>
                <w:szCs w:val="18"/>
                <w:lang w:eastAsia="en-AU"/>
              </w:rPr>
              <w:t>Lenalidomide</w:t>
            </w:r>
            <w:proofErr w:type="spellEnd"/>
            <w:r w:rsidRPr="003A3555">
              <w:rPr>
                <w:color w:val="000000" w:themeColor="text1"/>
                <w:szCs w:val="18"/>
                <w:lang w:eastAsia="en-AU"/>
              </w:rPr>
              <w:t xml:space="preserve"> Induction and Maintenance Therapy for Transplant Eligible Myeloma Subjects: Results of the Myeloma XI Study’</w:t>
            </w:r>
          </w:p>
        </w:tc>
        <w:tc>
          <w:tcPr>
            <w:tcW w:w="1072" w:type="pct"/>
            <w:tcBorders>
              <w:top w:val="nil"/>
              <w:bottom w:val="nil"/>
            </w:tcBorders>
            <w:vAlign w:val="center"/>
          </w:tcPr>
          <w:p w:rsidR="00B0731F" w:rsidRPr="003A3555" w:rsidRDefault="00B0731F" w:rsidP="00B0731F">
            <w:pPr>
              <w:pStyle w:val="Tabletext"/>
              <w:rPr>
                <w:color w:val="000000" w:themeColor="text1"/>
                <w:szCs w:val="18"/>
                <w:lang w:eastAsia="en-AU"/>
              </w:rPr>
            </w:pPr>
            <w:r w:rsidRPr="003A3555">
              <w:rPr>
                <w:color w:val="000000" w:themeColor="text1"/>
                <w:szCs w:val="18"/>
                <w:lang w:eastAsia="en-AU"/>
              </w:rPr>
              <w:t>ASCO conference presentation 2017, abstract 8009</w:t>
            </w:r>
          </w:p>
        </w:tc>
      </w:tr>
      <w:tr w:rsidR="00B0731F" w:rsidRPr="003A3555" w:rsidTr="0050766B">
        <w:tc>
          <w:tcPr>
            <w:tcW w:w="796" w:type="pct"/>
            <w:tcBorders>
              <w:top w:val="nil"/>
              <w:bottom w:val="nil"/>
            </w:tcBorders>
            <w:vAlign w:val="center"/>
          </w:tcPr>
          <w:p w:rsidR="00B0731F" w:rsidRPr="003A3555" w:rsidRDefault="00B0731F" w:rsidP="00B0731F">
            <w:pPr>
              <w:pStyle w:val="Tabletext"/>
              <w:rPr>
                <w:color w:val="000000" w:themeColor="text1"/>
              </w:rPr>
            </w:pPr>
          </w:p>
        </w:tc>
        <w:tc>
          <w:tcPr>
            <w:tcW w:w="3132" w:type="pct"/>
            <w:tcBorders>
              <w:top w:val="nil"/>
              <w:bottom w:val="nil"/>
            </w:tcBorders>
            <w:vAlign w:val="center"/>
          </w:tcPr>
          <w:p w:rsidR="00B0731F" w:rsidRPr="003A3555" w:rsidRDefault="00B0731F" w:rsidP="004E5209">
            <w:pPr>
              <w:pStyle w:val="Tabletext"/>
              <w:rPr>
                <w:color w:val="000000" w:themeColor="text1"/>
                <w:szCs w:val="18"/>
                <w:lang w:eastAsia="en-AU"/>
              </w:rPr>
            </w:pPr>
            <w:r w:rsidRPr="003A3555">
              <w:rPr>
                <w:color w:val="000000" w:themeColor="text1"/>
                <w:szCs w:val="18"/>
                <w:lang w:eastAsia="en-AU"/>
              </w:rPr>
              <w:t xml:space="preserve">Jones JR, Cairns DA, </w:t>
            </w:r>
            <w:proofErr w:type="spellStart"/>
            <w:r w:rsidRPr="003A3555">
              <w:rPr>
                <w:color w:val="000000" w:themeColor="text1"/>
                <w:szCs w:val="18"/>
                <w:lang w:eastAsia="en-AU"/>
              </w:rPr>
              <w:t>Sigworth</w:t>
            </w:r>
            <w:proofErr w:type="spellEnd"/>
            <w:r w:rsidRPr="003A3555">
              <w:rPr>
                <w:color w:val="000000" w:themeColor="text1"/>
                <w:szCs w:val="18"/>
                <w:lang w:eastAsia="en-AU"/>
              </w:rPr>
              <w:t xml:space="preserve"> R et al</w:t>
            </w:r>
            <w:r w:rsidR="004E5209">
              <w:rPr>
                <w:color w:val="000000" w:themeColor="text1"/>
                <w:szCs w:val="18"/>
                <w:lang w:eastAsia="en-AU"/>
              </w:rPr>
              <w:t>.</w:t>
            </w:r>
            <w:r w:rsidRPr="003A3555">
              <w:rPr>
                <w:color w:val="000000" w:themeColor="text1"/>
                <w:szCs w:val="18"/>
                <w:lang w:eastAsia="en-AU"/>
              </w:rPr>
              <w:t xml:space="preserve"> Myeloma XI Trial for Newly Diagnosed Multiple Myeloma (NDMM); A Report of Second Primary Malignancy (SPM) Rates and the Importance of Review of Reported Cases</w:t>
            </w:r>
          </w:p>
        </w:tc>
        <w:tc>
          <w:tcPr>
            <w:tcW w:w="1072" w:type="pct"/>
            <w:tcBorders>
              <w:top w:val="nil"/>
              <w:bottom w:val="nil"/>
            </w:tcBorders>
          </w:tcPr>
          <w:p w:rsidR="00B0731F" w:rsidRPr="003A3555" w:rsidRDefault="00B0731F" w:rsidP="00BB6600">
            <w:pPr>
              <w:pStyle w:val="Tabletext"/>
              <w:rPr>
                <w:color w:val="000000" w:themeColor="text1"/>
                <w:szCs w:val="18"/>
                <w:lang w:eastAsia="en-AU"/>
              </w:rPr>
            </w:pPr>
            <w:r w:rsidRPr="003A3555">
              <w:rPr>
                <w:i/>
                <w:color w:val="000000" w:themeColor="text1"/>
                <w:szCs w:val="18"/>
                <w:lang w:eastAsia="en-AU"/>
              </w:rPr>
              <w:t>Blood</w:t>
            </w:r>
            <w:r w:rsidR="00BB6600">
              <w:rPr>
                <w:i/>
                <w:color w:val="000000" w:themeColor="text1"/>
                <w:szCs w:val="18"/>
                <w:lang w:eastAsia="en-AU"/>
              </w:rPr>
              <w:t>.</w:t>
            </w:r>
            <w:r w:rsidRPr="003A3555">
              <w:rPr>
                <w:color w:val="000000" w:themeColor="text1"/>
                <w:szCs w:val="18"/>
                <w:lang w:eastAsia="en-AU"/>
              </w:rPr>
              <w:t xml:space="preserve"> 2015. 126 (23):1847</w:t>
            </w:r>
          </w:p>
        </w:tc>
      </w:tr>
      <w:tr w:rsidR="00B0731F" w:rsidRPr="003A3555" w:rsidTr="0050766B">
        <w:tc>
          <w:tcPr>
            <w:tcW w:w="796" w:type="pct"/>
            <w:tcBorders>
              <w:top w:val="nil"/>
            </w:tcBorders>
            <w:vAlign w:val="center"/>
          </w:tcPr>
          <w:p w:rsidR="00B0731F" w:rsidRPr="00D32723" w:rsidRDefault="00B0731F" w:rsidP="00B0731F">
            <w:pPr>
              <w:pStyle w:val="Tabletext"/>
              <w:rPr>
                <w:color w:val="000000" w:themeColor="text1"/>
              </w:rPr>
            </w:pPr>
          </w:p>
        </w:tc>
        <w:tc>
          <w:tcPr>
            <w:tcW w:w="3132" w:type="pct"/>
            <w:tcBorders>
              <w:top w:val="nil"/>
            </w:tcBorders>
            <w:vAlign w:val="center"/>
          </w:tcPr>
          <w:p w:rsidR="00B0731F" w:rsidRPr="00D32723" w:rsidRDefault="00B0731F" w:rsidP="00B0731F">
            <w:pPr>
              <w:pStyle w:val="Tabletext"/>
              <w:rPr>
                <w:color w:val="000000" w:themeColor="text1"/>
                <w:szCs w:val="18"/>
                <w:lang w:eastAsia="en-AU"/>
              </w:rPr>
            </w:pPr>
            <w:r w:rsidRPr="00D32723">
              <w:rPr>
                <w:color w:val="000000" w:themeColor="text1"/>
                <w:szCs w:val="18"/>
                <w:lang w:eastAsia="en-AU"/>
              </w:rPr>
              <w:t xml:space="preserve">Jones J, </w:t>
            </w:r>
            <w:proofErr w:type="spellStart"/>
            <w:r w:rsidRPr="00D32723">
              <w:rPr>
                <w:color w:val="000000" w:themeColor="text1"/>
                <w:szCs w:val="18"/>
                <w:lang w:eastAsia="en-AU"/>
              </w:rPr>
              <w:t>Pawlyn</w:t>
            </w:r>
            <w:proofErr w:type="spellEnd"/>
            <w:r w:rsidRPr="00D32723">
              <w:rPr>
                <w:color w:val="000000" w:themeColor="text1"/>
                <w:szCs w:val="18"/>
                <w:lang w:eastAsia="en-AU"/>
              </w:rPr>
              <w:t xml:space="preserve"> C, </w:t>
            </w:r>
            <w:proofErr w:type="spellStart"/>
            <w:r w:rsidRPr="00D32723">
              <w:rPr>
                <w:color w:val="000000" w:themeColor="text1"/>
                <w:szCs w:val="18"/>
                <w:lang w:eastAsia="en-AU"/>
              </w:rPr>
              <w:t>Brioli</w:t>
            </w:r>
            <w:proofErr w:type="spellEnd"/>
            <w:r w:rsidRPr="00D32723">
              <w:rPr>
                <w:color w:val="000000" w:themeColor="text1"/>
                <w:szCs w:val="18"/>
                <w:lang w:eastAsia="en-AU"/>
              </w:rPr>
              <w:t xml:space="preserve"> A et al. Myeloma XI trial-second primary malignancy interim report in newly diagnosed multiple myeloma (NDMM) patients</w:t>
            </w:r>
          </w:p>
          <w:p w:rsidR="00B0731F" w:rsidRPr="00D32723" w:rsidRDefault="00B0731F" w:rsidP="00B0731F">
            <w:pPr>
              <w:pStyle w:val="Tabletext"/>
              <w:rPr>
                <w:color w:val="000000" w:themeColor="text1"/>
                <w:lang w:eastAsia="en-AU"/>
              </w:rPr>
            </w:pPr>
            <w:r w:rsidRPr="00D32723">
              <w:rPr>
                <w:color w:val="000000" w:themeColor="text1"/>
                <w:lang w:eastAsia="en-AU"/>
              </w:rPr>
              <w:t xml:space="preserve">Jackson et al. </w:t>
            </w:r>
            <w:proofErr w:type="spellStart"/>
            <w:r w:rsidRPr="00D32723">
              <w:rPr>
                <w:color w:val="000000" w:themeColor="text1"/>
                <w:lang w:eastAsia="en-AU"/>
              </w:rPr>
              <w:t>Lenalidomide</w:t>
            </w:r>
            <w:proofErr w:type="spellEnd"/>
            <w:r w:rsidRPr="00D32723">
              <w:rPr>
                <w:color w:val="000000" w:themeColor="text1"/>
                <w:lang w:eastAsia="en-AU"/>
              </w:rPr>
              <w:t xml:space="preserve"> maintenance significantly improves outcomes compared to observation irrespective of cytogenetic risk: results of Myeloma XI</w:t>
            </w:r>
          </w:p>
          <w:p w:rsidR="00B0731F" w:rsidRPr="00D32723" w:rsidRDefault="00B0731F" w:rsidP="00B0731F">
            <w:pPr>
              <w:pStyle w:val="Tabletext"/>
              <w:rPr>
                <w:color w:val="000000" w:themeColor="text1"/>
                <w:szCs w:val="18"/>
                <w:lang w:eastAsia="en-AU"/>
              </w:rPr>
            </w:pPr>
            <w:r w:rsidRPr="00D32723">
              <w:rPr>
                <w:color w:val="000000" w:themeColor="text1"/>
                <w:szCs w:val="18"/>
                <w:lang w:eastAsia="en-AU"/>
              </w:rPr>
              <w:t xml:space="preserve">Bradbury C A, Jenner M W, </w:t>
            </w:r>
            <w:proofErr w:type="spellStart"/>
            <w:r w:rsidRPr="00D32723">
              <w:rPr>
                <w:color w:val="000000" w:themeColor="text1"/>
                <w:szCs w:val="18"/>
                <w:lang w:eastAsia="en-AU"/>
              </w:rPr>
              <w:t>Striha</w:t>
            </w:r>
            <w:proofErr w:type="spellEnd"/>
            <w:r w:rsidRPr="00D32723">
              <w:rPr>
                <w:color w:val="000000" w:themeColor="text1"/>
                <w:szCs w:val="18"/>
                <w:lang w:eastAsia="en-AU"/>
              </w:rPr>
              <w:t xml:space="preserve"> A et al. Thrombotic Events in Patients with Myeloma Treated with Immunomodulatory Drugs; Results of the Myeloma XI Study</w:t>
            </w:r>
          </w:p>
        </w:tc>
        <w:tc>
          <w:tcPr>
            <w:tcW w:w="1072" w:type="pct"/>
            <w:tcBorders>
              <w:top w:val="nil"/>
            </w:tcBorders>
          </w:tcPr>
          <w:p w:rsidR="00B0731F" w:rsidRPr="003A3555" w:rsidRDefault="00B0731F" w:rsidP="00B0731F">
            <w:pPr>
              <w:pStyle w:val="Tabletext"/>
              <w:rPr>
                <w:color w:val="000000" w:themeColor="text1"/>
                <w:szCs w:val="18"/>
                <w:lang w:eastAsia="en-AU"/>
              </w:rPr>
            </w:pPr>
            <w:r w:rsidRPr="003A3555">
              <w:rPr>
                <w:i/>
                <w:color w:val="000000" w:themeColor="text1"/>
                <w:szCs w:val="18"/>
                <w:lang w:eastAsia="en-AU"/>
              </w:rPr>
              <w:t>Blood</w:t>
            </w:r>
            <w:r w:rsidR="00BB6600">
              <w:rPr>
                <w:i/>
                <w:color w:val="000000" w:themeColor="text1"/>
                <w:szCs w:val="18"/>
                <w:lang w:eastAsia="en-AU"/>
              </w:rPr>
              <w:t>.</w:t>
            </w:r>
            <w:r w:rsidRPr="003A3555">
              <w:rPr>
                <w:color w:val="000000" w:themeColor="text1"/>
                <w:szCs w:val="18"/>
                <w:lang w:eastAsia="en-AU"/>
              </w:rPr>
              <w:t xml:space="preserve"> 2014</w:t>
            </w:r>
            <w:r w:rsidR="00BB6600">
              <w:rPr>
                <w:color w:val="000000" w:themeColor="text1"/>
                <w:szCs w:val="18"/>
                <w:lang w:eastAsia="en-AU"/>
              </w:rPr>
              <w:t xml:space="preserve">; </w:t>
            </w:r>
            <w:r w:rsidRPr="003A3555">
              <w:rPr>
                <w:color w:val="000000" w:themeColor="text1"/>
                <w:szCs w:val="18"/>
                <w:lang w:eastAsia="en-AU"/>
              </w:rPr>
              <w:t>124(21)</w:t>
            </w:r>
          </w:p>
          <w:p w:rsidR="00BB6600" w:rsidRDefault="00BB6600" w:rsidP="00B0731F">
            <w:pPr>
              <w:pStyle w:val="Tabletext"/>
              <w:rPr>
                <w:i/>
                <w:color w:val="000000" w:themeColor="text1"/>
                <w:lang w:eastAsia="en-AU"/>
              </w:rPr>
            </w:pPr>
          </w:p>
          <w:p w:rsidR="00BB6600" w:rsidRDefault="00BB6600" w:rsidP="00B0731F">
            <w:pPr>
              <w:pStyle w:val="Tabletext"/>
              <w:rPr>
                <w:i/>
                <w:color w:val="000000" w:themeColor="text1"/>
                <w:lang w:eastAsia="en-AU"/>
              </w:rPr>
            </w:pPr>
          </w:p>
          <w:p w:rsidR="00B0731F" w:rsidRDefault="00B0731F" w:rsidP="00B0731F">
            <w:pPr>
              <w:pStyle w:val="Tabletext"/>
              <w:rPr>
                <w:color w:val="000000" w:themeColor="text1"/>
                <w:szCs w:val="18"/>
                <w:lang w:eastAsia="en-AU"/>
              </w:rPr>
            </w:pPr>
            <w:r w:rsidRPr="003A3555">
              <w:rPr>
                <w:i/>
                <w:color w:val="000000" w:themeColor="text1"/>
                <w:lang w:eastAsia="en-AU"/>
              </w:rPr>
              <w:t>Blood</w:t>
            </w:r>
            <w:r w:rsidR="00BB6600">
              <w:rPr>
                <w:i/>
                <w:color w:val="000000" w:themeColor="text1"/>
                <w:lang w:eastAsia="en-AU"/>
              </w:rPr>
              <w:t>.</w:t>
            </w:r>
            <w:r w:rsidRPr="003A3555">
              <w:rPr>
                <w:i/>
                <w:color w:val="000000" w:themeColor="text1"/>
                <w:lang w:eastAsia="en-AU"/>
              </w:rPr>
              <w:t xml:space="preserve"> </w:t>
            </w:r>
            <w:r w:rsidRPr="003A3555">
              <w:rPr>
                <w:color w:val="000000" w:themeColor="text1"/>
                <w:lang w:eastAsia="en-AU"/>
              </w:rPr>
              <w:t>2017</w:t>
            </w:r>
            <w:r w:rsidR="00BB6600">
              <w:rPr>
                <w:color w:val="000000" w:themeColor="text1"/>
                <w:lang w:eastAsia="en-AU"/>
              </w:rPr>
              <w:t>;</w:t>
            </w:r>
            <w:r w:rsidRPr="003A3555">
              <w:rPr>
                <w:color w:val="000000" w:themeColor="text1"/>
                <w:szCs w:val="18"/>
                <w:lang w:eastAsia="en-AU"/>
              </w:rPr>
              <w:t xml:space="preserve"> 130(1)</w:t>
            </w:r>
          </w:p>
          <w:p w:rsidR="00BB6600" w:rsidRDefault="00BB6600" w:rsidP="00B0731F">
            <w:pPr>
              <w:pStyle w:val="Tabletext"/>
              <w:rPr>
                <w:color w:val="000000" w:themeColor="text1"/>
                <w:szCs w:val="18"/>
                <w:lang w:eastAsia="en-AU"/>
              </w:rPr>
            </w:pPr>
          </w:p>
          <w:p w:rsidR="00BB6600" w:rsidRPr="003A3555" w:rsidRDefault="00BB6600" w:rsidP="00B0731F">
            <w:pPr>
              <w:pStyle w:val="Tabletext"/>
              <w:rPr>
                <w:color w:val="000000" w:themeColor="text1"/>
                <w:szCs w:val="18"/>
                <w:lang w:eastAsia="en-AU"/>
              </w:rPr>
            </w:pPr>
          </w:p>
          <w:p w:rsidR="00B0731F" w:rsidRPr="003A3555" w:rsidRDefault="00B0731F" w:rsidP="00BB6600">
            <w:pPr>
              <w:pStyle w:val="Tabletext"/>
              <w:rPr>
                <w:i/>
                <w:color w:val="000000" w:themeColor="text1"/>
                <w:szCs w:val="18"/>
                <w:lang w:eastAsia="en-AU"/>
              </w:rPr>
            </w:pPr>
            <w:r w:rsidRPr="003A3555">
              <w:rPr>
                <w:i/>
                <w:color w:val="000000" w:themeColor="text1"/>
                <w:szCs w:val="18"/>
                <w:lang w:eastAsia="en-AU"/>
              </w:rPr>
              <w:t>Blood</w:t>
            </w:r>
            <w:r w:rsidR="00BB6600">
              <w:rPr>
                <w:i/>
                <w:color w:val="000000" w:themeColor="text1"/>
                <w:szCs w:val="18"/>
                <w:lang w:eastAsia="en-AU"/>
              </w:rPr>
              <w:t>.</w:t>
            </w:r>
            <w:r w:rsidRPr="003A3555">
              <w:rPr>
                <w:i/>
                <w:color w:val="000000" w:themeColor="text1"/>
                <w:szCs w:val="18"/>
                <w:lang w:eastAsia="en-AU"/>
              </w:rPr>
              <w:t xml:space="preserve"> 2017</w:t>
            </w:r>
            <w:r w:rsidR="00BB6600">
              <w:rPr>
                <w:i/>
                <w:color w:val="000000" w:themeColor="text1"/>
                <w:szCs w:val="18"/>
                <w:lang w:eastAsia="en-AU"/>
              </w:rPr>
              <w:t>;</w:t>
            </w:r>
            <w:r w:rsidRPr="003A3555">
              <w:rPr>
                <w:i/>
                <w:color w:val="000000" w:themeColor="text1"/>
                <w:szCs w:val="18"/>
                <w:lang w:eastAsia="en-AU"/>
              </w:rPr>
              <w:t xml:space="preserve"> 130(1)</w:t>
            </w:r>
            <w:r w:rsidR="00BB6600">
              <w:rPr>
                <w:i/>
                <w:color w:val="000000" w:themeColor="text1"/>
                <w:szCs w:val="18"/>
                <w:lang w:eastAsia="en-AU"/>
              </w:rPr>
              <w:t>:</w:t>
            </w:r>
            <w:r w:rsidRPr="003A3555">
              <w:rPr>
                <w:i/>
                <w:color w:val="000000" w:themeColor="text1"/>
                <w:szCs w:val="18"/>
                <w:lang w:eastAsia="en-AU"/>
              </w:rPr>
              <w:t>553</w:t>
            </w:r>
          </w:p>
        </w:tc>
      </w:tr>
      <w:tr w:rsidR="00D539BE" w:rsidRPr="003A3555" w:rsidTr="00D539BE">
        <w:tc>
          <w:tcPr>
            <w:tcW w:w="5000" w:type="pct"/>
            <w:gridSpan w:val="3"/>
            <w:tcBorders>
              <w:bottom w:val="single" w:sz="4" w:space="0" w:color="auto"/>
            </w:tcBorders>
            <w:vAlign w:val="center"/>
          </w:tcPr>
          <w:p w:rsidR="00D539BE" w:rsidRPr="003A3555" w:rsidRDefault="00D539BE" w:rsidP="00B0731F">
            <w:pPr>
              <w:pStyle w:val="Tabletext"/>
              <w:rPr>
                <w:color w:val="000000" w:themeColor="text1"/>
                <w:szCs w:val="18"/>
                <w:lang w:eastAsia="en-AU"/>
              </w:rPr>
            </w:pPr>
            <w:r w:rsidRPr="003A3555">
              <w:rPr>
                <w:b/>
                <w:color w:val="000000" w:themeColor="text1"/>
              </w:rPr>
              <w:t xml:space="preserve">Thalidomide </w:t>
            </w:r>
          </w:p>
        </w:tc>
      </w:tr>
      <w:tr w:rsidR="00B0731F" w:rsidRPr="003A3555" w:rsidTr="0050766B">
        <w:tc>
          <w:tcPr>
            <w:tcW w:w="796" w:type="pct"/>
            <w:vMerge w:val="restart"/>
            <w:tcBorders>
              <w:bottom w:val="nil"/>
            </w:tcBorders>
          </w:tcPr>
          <w:p w:rsidR="00B0731F" w:rsidRPr="003A3555" w:rsidRDefault="00B0731F" w:rsidP="00B0731F">
            <w:pPr>
              <w:pStyle w:val="Tabletext"/>
              <w:rPr>
                <w:color w:val="000000" w:themeColor="text1"/>
              </w:rPr>
            </w:pPr>
            <w:r w:rsidRPr="003A3555">
              <w:rPr>
                <w:color w:val="000000" w:themeColor="text1"/>
              </w:rPr>
              <w:t>Myeloma IX</w:t>
            </w:r>
          </w:p>
          <w:p w:rsidR="00B0731F" w:rsidRPr="003A3555" w:rsidRDefault="00B0731F" w:rsidP="00B0731F">
            <w:pPr>
              <w:pStyle w:val="Tabletext"/>
              <w:rPr>
                <w:color w:val="000000" w:themeColor="text1"/>
              </w:rPr>
            </w:pPr>
            <w:r w:rsidRPr="003A3555">
              <w:rPr>
                <w:color w:val="000000" w:themeColor="text1"/>
              </w:rPr>
              <w:t>ISRCTN68454111</w:t>
            </w:r>
          </w:p>
        </w:tc>
        <w:tc>
          <w:tcPr>
            <w:tcW w:w="3132" w:type="pct"/>
            <w:tcBorders>
              <w:bottom w:val="nil"/>
            </w:tcBorders>
            <w:vAlign w:val="center"/>
          </w:tcPr>
          <w:p w:rsidR="00B0731F" w:rsidRPr="003A3555" w:rsidRDefault="00B0731F" w:rsidP="00B0731F">
            <w:pPr>
              <w:pStyle w:val="Tabletext"/>
              <w:rPr>
                <w:color w:val="000000" w:themeColor="text1"/>
                <w:szCs w:val="18"/>
                <w:lang w:eastAsia="en-AU"/>
              </w:rPr>
            </w:pPr>
            <w:r w:rsidRPr="003A3555">
              <w:rPr>
                <w:color w:val="000000" w:themeColor="text1"/>
                <w:szCs w:val="18"/>
                <w:lang w:eastAsia="en-AU"/>
              </w:rPr>
              <w:t>Morgan G, Davies FE, Gregory WM et al. The role of maintenance thalidomide therapy in multiple myeloma: MRC Myeloma IX results and meta-analysis</w:t>
            </w:r>
          </w:p>
        </w:tc>
        <w:tc>
          <w:tcPr>
            <w:tcW w:w="1072" w:type="pct"/>
            <w:tcBorders>
              <w:bottom w:val="nil"/>
            </w:tcBorders>
          </w:tcPr>
          <w:p w:rsidR="00B0731F" w:rsidRPr="003A3555" w:rsidRDefault="00B0731F" w:rsidP="00BB6600">
            <w:pPr>
              <w:pStyle w:val="Tabletext"/>
              <w:rPr>
                <w:color w:val="000000" w:themeColor="text1"/>
                <w:szCs w:val="18"/>
                <w:lang w:eastAsia="en-AU"/>
              </w:rPr>
            </w:pPr>
            <w:r w:rsidRPr="003A3555">
              <w:rPr>
                <w:i/>
                <w:color w:val="000000" w:themeColor="text1"/>
                <w:szCs w:val="18"/>
                <w:lang w:eastAsia="en-AU"/>
              </w:rPr>
              <w:t>Blood</w:t>
            </w:r>
            <w:r w:rsidR="00BB6600">
              <w:rPr>
                <w:i/>
                <w:color w:val="000000" w:themeColor="text1"/>
                <w:szCs w:val="18"/>
                <w:lang w:eastAsia="en-AU"/>
              </w:rPr>
              <w:t>.</w:t>
            </w:r>
            <w:r w:rsidRPr="003A3555">
              <w:rPr>
                <w:color w:val="000000" w:themeColor="text1"/>
                <w:szCs w:val="18"/>
                <w:lang w:eastAsia="en-AU"/>
              </w:rPr>
              <w:t xml:space="preserve"> 2012</w:t>
            </w:r>
            <w:r w:rsidR="00BB6600">
              <w:rPr>
                <w:color w:val="000000" w:themeColor="text1"/>
                <w:szCs w:val="18"/>
                <w:lang w:eastAsia="en-AU"/>
              </w:rPr>
              <w:t>;</w:t>
            </w:r>
            <w:r w:rsidRPr="003A3555">
              <w:rPr>
                <w:color w:val="000000" w:themeColor="text1"/>
                <w:szCs w:val="18"/>
                <w:lang w:eastAsia="en-AU"/>
              </w:rPr>
              <w:t xml:space="preserve"> 119(1)</w:t>
            </w:r>
            <w:r w:rsidR="00BB6600">
              <w:rPr>
                <w:color w:val="000000" w:themeColor="text1"/>
                <w:szCs w:val="18"/>
                <w:lang w:eastAsia="en-AU"/>
              </w:rPr>
              <w:t>:7-</w:t>
            </w:r>
            <w:r w:rsidRPr="003A3555">
              <w:rPr>
                <w:color w:val="000000" w:themeColor="text1"/>
                <w:szCs w:val="18"/>
                <w:lang w:eastAsia="en-AU"/>
              </w:rPr>
              <w:t>15</w:t>
            </w:r>
          </w:p>
        </w:tc>
      </w:tr>
      <w:tr w:rsidR="00B0731F" w:rsidRPr="003A3555" w:rsidTr="0050766B">
        <w:tc>
          <w:tcPr>
            <w:tcW w:w="796" w:type="pct"/>
            <w:vMerge/>
            <w:tcBorders>
              <w:top w:val="nil"/>
              <w:bottom w:val="nil"/>
            </w:tcBorders>
            <w:vAlign w:val="center"/>
          </w:tcPr>
          <w:p w:rsidR="00B0731F" w:rsidRPr="003A3555" w:rsidRDefault="00B0731F" w:rsidP="00B0731F">
            <w:pPr>
              <w:pStyle w:val="Tabletext"/>
              <w:rPr>
                <w:color w:val="000000" w:themeColor="text1"/>
              </w:rPr>
            </w:pPr>
          </w:p>
        </w:tc>
        <w:tc>
          <w:tcPr>
            <w:tcW w:w="3132" w:type="pct"/>
            <w:tcBorders>
              <w:top w:val="nil"/>
              <w:bottom w:val="nil"/>
            </w:tcBorders>
            <w:vAlign w:val="center"/>
          </w:tcPr>
          <w:p w:rsidR="00B0731F" w:rsidRPr="003A3555" w:rsidRDefault="00B0731F" w:rsidP="00B0731F">
            <w:pPr>
              <w:pStyle w:val="Tabletext"/>
              <w:rPr>
                <w:color w:val="000000" w:themeColor="text1"/>
                <w:szCs w:val="18"/>
                <w:lang w:eastAsia="en-AU"/>
              </w:rPr>
            </w:pPr>
            <w:r w:rsidRPr="003A3555">
              <w:rPr>
                <w:color w:val="000000" w:themeColor="text1"/>
                <w:szCs w:val="18"/>
                <w:lang w:eastAsia="en-AU"/>
              </w:rPr>
              <w:t>Morgan G, Davies FE, Gregory WM et al. Long-term follow-up of MRC Myeloma IX trial: Survival outcomes with bisphosphonate and thalidomide treatment</w:t>
            </w:r>
          </w:p>
        </w:tc>
        <w:tc>
          <w:tcPr>
            <w:tcW w:w="1072" w:type="pct"/>
            <w:tcBorders>
              <w:top w:val="nil"/>
              <w:bottom w:val="nil"/>
            </w:tcBorders>
          </w:tcPr>
          <w:p w:rsidR="00B0731F" w:rsidRPr="003A3555" w:rsidRDefault="00B0731F" w:rsidP="00BB6600">
            <w:pPr>
              <w:pStyle w:val="Tabletext"/>
              <w:rPr>
                <w:color w:val="000000" w:themeColor="text1"/>
                <w:szCs w:val="18"/>
                <w:lang w:eastAsia="en-AU"/>
              </w:rPr>
            </w:pPr>
            <w:r w:rsidRPr="003A3555">
              <w:rPr>
                <w:i/>
                <w:color w:val="000000" w:themeColor="text1"/>
                <w:szCs w:val="18"/>
                <w:lang w:eastAsia="en-AU"/>
              </w:rPr>
              <w:t>Clinical Cancer Research</w:t>
            </w:r>
            <w:r w:rsidR="00BB6600">
              <w:rPr>
                <w:i/>
                <w:color w:val="000000" w:themeColor="text1"/>
                <w:szCs w:val="18"/>
                <w:lang w:eastAsia="en-AU"/>
              </w:rPr>
              <w:t>.</w:t>
            </w:r>
            <w:r w:rsidRPr="003A3555">
              <w:rPr>
                <w:color w:val="000000" w:themeColor="text1"/>
                <w:szCs w:val="18"/>
                <w:lang w:eastAsia="en-AU"/>
              </w:rPr>
              <w:t xml:space="preserve"> 2013</w:t>
            </w:r>
            <w:r w:rsidR="00BB6600">
              <w:rPr>
                <w:color w:val="000000" w:themeColor="text1"/>
                <w:szCs w:val="18"/>
                <w:lang w:eastAsia="en-AU"/>
              </w:rPr>
              <w:t>;</w:t>
            </w:r>
            <w:r w:rsidRPr="003A3555">
              <w:rPr>
                <w:color w:val="000000" w:themeColor="text1"/>
                <w:szCs w:val="18"/>
                <w:lang w:eastAsia="en-AU"/>
              </w:rPr>
              <w:t xml:space="preserve"> 19(21): 6030-38</w:t>
            </w:r>
          </w:p>
        </w:tc>
      </w:tr>
      <w:tr w:rsidR="00B0731F" w:rsidRPr="003A3555" w:rsidTr="0050766B">
        <w:tc>
          <w:tcPr>
            <w:tcW w:w="796" w:type="pct"/>
            <w:tcBorders>
              <w:top w:val="nil"/>
            </w:tcBorders>
            <w:vAlign w:val="center"/>
          </w:tcPr>
          <w:p w:rsidR="00B0731F" w:rsidRPr="003A3555" w:rsidRDefault="00B0731F" w:rsidP="00B0731F">
            <w:pPr>
              <w:pStyle w:val="Tabletext"/>
              <w:rPr>
                <w:color w:val="000000" w:themeColor="text1"/>
              </w:rPr>
            </w:pPr>
          </w:p>
        </w:tc>
        <w:tc>
          <w:tcPr>
            <w:tcW w:w="3132" w:type="pct"/>
            <w:tcBorders>
              <w:top w:val="nil"/>
            </w:tcBorders>
            <w:vAlign w:val="center"/>
          </w:tcPr>
          <w:p w:rsidR="00B0731F" w:rsidRPr="003A3555" w:rsidRDefault="00B0731F" w:rsidP="00B0731F">
            <w:pPr>
              <w:pStyle w:val="Tabletext"/>
              <w:rPr>
                <w:color w:val="000000" w:themeColor="text1"/>
                <w:szCs w:val="18"/>
                <w:lang w:eastAsia="en-AU"/>
              </w:rPr>
            </w:pPr>
            <w:r w:rsidRPr="003A3555">
              <w:rPr>
                <w:color w:val="000000" w:themeColor="text1"/>
                <w:szCs w:val="18"/>
                <w:lang w:eastAsia="en-AU"/>
              </w:rPr>
              <w:t>Morgan G, Davies FE, Gregory WM et al. Thalidomide maintenance significantly improves progression-free survival (PFS) and overall survival (OS) of myeloma patients when effective relapse treatments are used: MRC myeloma IX results’</w:t>
            </w:r>
          </w:p>
        </w:tc>
        <w:tc>
          <w:tcPr>
            <w:tcW w:w="1072" w:type="pct"/>
            <w:tcBorders>
              <w:top w:val="nil"/>
            </w:tcBorders>
          </w:tcPr>
          <w:p w:rsidR="00B0731F" w:rsidRPr="003A3555" w:rsidRDefault="00B0731F" w:rsidP="00BB6600">
            <w:pPr>
              <w:pStyle w:val="Tabletext"/>
              <w:rPr>
                <w:color w:val="000000" w:themeColor="text1"/>
                <w:szCs w:val="18"/>
                <w:lang w:eastAsia="en-AU"/>
              </w:rPr>
            </w:pPr>
            <w:r w:rsidRPr="003A3555">
              <w:rPr>
                <w:i/>
                <w:color w:val="000000" w:themeColor="text1"/>
                <w:szCs w:val="18"/>
                <w:lang w:eastAsia="en-AU"/>
              </w:rPr>
              <w:t>Blood</w:t>
            </w:r>
            <w:r w:rsidR="00BB6600">
              <w:rPr>
                <w:i/>
                <w:color w:val="000000" w:themeColor="text1"/>
                <w:szCs w:val="18"/>
                <w:lang w:eastAsia="en-AU"/>
              </w:rPr>
              <w:t>.</w:t>
            </w:r>
            <w:r w:rsidRPr="003A3555">
              <w:rPr>
                <w:i/>
                <w:color w:val="000000" w:themeColor="text1"/>
                <w:szCs w:val="18"/>
                <w:lang w:eastAsia="en-AU"/>
              </w:rPr>
              <w:t xml:space="preserve"> </w:t>
            </w:r>
            <w:r w:rsidRPr="003A3555">
              <w:rPr>
                <w:color w:val="000000" w:themeColor="text1"/>
                <w:szCs w:val="18"/>
                <w:lang w:eastAsia="en-AU"/>
              </w:rPr>
              <w:t>2010</w:t>
            </w:r>
            <w:r w:rsidR="00BB6600">
              <w:rPr>
                <w:color w:val="000000" w:themeColor="text1"/>
                <w:szCs w:val="18"/>
                <w:lang w:eastAsia="en-AU"/>
              </w:rPr>
              <w:t>;</w:t>
            </w:r>
            <w:r w:rsidRPr="003A3555">
              <w:rPr>
                <w:color w:val="000000" w:themeColor="text1"/>
                <w:szCs w:val="18"/>
                <w:lang w:eastAsia="en-AU"/>
              </w:rPr>
              <w:t xml:space="preserve"> 116 (21)</w:t>
            </w:r>
          </w:p>
        </w:tc>
      </w:tr>
      <w:tr w:rsidR="00B0731F" w:rsidRPr="003A3555" w:rsidTr="0050766B">
        <w:tc>
          <w:tcPr>
            <w:tcW w:w="796" w:type="pct"/>
          </w:tcPr>
          <w:p w:rsidR="00B0731F" w:rsidRPr="003A3555" w:rsidRDefault="00B0731F" w:rsidP="00B0731F">
            <w:pPr>
              <w:pStyle w:val="Tabletext"/>
              <w:rPr>
                <w:color w:val="000000" w:themeColor="text1"/>
              </w:rPr>
            </w:pPr>
            <w:r w:rsidRPr="003A3555">
              <w:rPr>
                <w:color w:val="000000" w:themeColor="text1"/>
              </w:rPr>
              <w:t>MM6</w:t>
            </w:r>
          </w:p>
          <w:p w:rsidR="00B0731F" w:rsidRPr="003A3555" w:rsidRDefault="00B0731F" w:rsidP="00B0731F">
            <w:pPr>
              <w:pStyle w:val="Tabletext"/>
              <w:rPr>
                <w:color w:val="000000" w:themeColor="text1"/>
              </w:rPr>
            </w:pPr>
          </w:p>
          <w:p w:rsidR="00B0731F" w:rsidRPr="003A3555" w:rsidRDefault="00B0731F" w:rsidP="00B0731F">
            <w:pPr>
              <w:pStyle w:val="Tabletext"/>
              <w:rPr>
                <w:color w:val="000000" w:themeColor="text1"/>
              </w:rPr>
            </w:pPr>
          </w:p>
        </w:tc>
        <w:tc>
          <w:tcPr>
            <w:tcW w:w="3132" w:type="pct"/>
            <w:vAlign w:val="center"/>
          </w:tcPr>
          <w:p w:rsidR="00B0731F" w:rsidRDefault="00B0731F" w:rsidP="00B0731F">
            <w:pPr>
              <w:pStyle w:val="Tabletext"/>
              <w:rPr>
                <w:color w:val="000000" w:themeColor="text1"/>
                <w:szCs w:val="18"/>
                <w:lang w:eastAsia="en-AU"/>
              </w:rPr>
            </w:pPr>
            <w:r w:rsidRPr="003A3555">
              <w:rPr>
                <w:color w:val="000000" w:themeColor="text1"/>
                <w:szCs w:val="18"/>
                <w:lang w:eastAsia="en-AU"/>
              </w:rPr>
              <w:t>Spencer et al. Consolidation therapy with low-dose thalidomide and prednisolone prolongs the survival of multiple myeloma subjects undergoing a single autologous stem-cell transplantation procedure.</w:t>
            </w:r>
          </w:p>
          <w:p w:rsidR="00B0731F" w:rsidRPr="003A3555" w:rsidRDefault="00B0731F" w:rsidP="00B0731F">
            <w:pPr>
              <w:pStyle w:val="Tabletext"/>
              <w:rPr>
                <w:color w:val="000000" w:themeColor="text1"/>
                <w:szCs w:val="18"/>
                <w:lang w:eastAsia="en-AU"/>
              </w:rPr>
            </w:pPr>
            <w:proofErr w:type="spellStart"/>
            <w:r w:rsidRPr="003A3555">
              <w:rPr>
                <w:color w:val="000000" w:themeColor="text1"/>
                <w:szCs w:val="18"/>
                <w:lang w:eastAsia="en-AU"/>
              </w:rPr>
              <w:t>Kalff</w:t>
            </w:r>
            <w:proofErr w:type="spellEnd"/>
            <w:r w:rsidRPr="003A3555">
              <w:rPr>
                <w:color w:val="000000" w:themeColor="text1"/>
                <w:szCs w:val="18"/>
                <w:lang w:eastAsia="en-AU"/>
              </w:rPr>
              <w:t xml:space="preserve"> et al. Thalidomide and prednisolone versus prednisolone alone as consolidation therapy after autologous stem-cell transplantation in subjects with newly diagnosed multiple myeloma: Final analysis of the ALLG MM6 multicentre, open-label, randomised phase 3 study.</w:t>
            </w:r>
          </w:p>
        </w:tc>
        <w:tc>
          <w:tcPr>
            <w:tcW w:w="1072" w:type="pct"/>
          </w:tcPr>
          <w:p w:rsidR="00B0731F" w:rsidRPr="003A3555" w:rsidRDefault="00B0731F" w:rsidP="00B0731F">
            <w:pPr>
              <w:pStyle w:val="Tabletext"/>
              <w:rPr>
                <w:color w:val="000000" w:themeColor="text1"/>
                <w:lang w:eastAsia="en-AU"/>
              </w:rPr>
            </w:pPr>
            <w:r w:rsidRPr="003A3555">
              <w:rPr>
                <w:i/>
                <w:color w:val="000000" w:themeColor="text1"/>
                <w:lang w:eastAsia="en-AU"/>
              </w:rPr>
              <w:t>Journal of Clinical Oncology</w:t>
            </w:r>
            <w:r w:rsidR="00BB6600">
              <w:rPr>
                <w:i/>
                <w:color w:val="000000" w:themeColor="text1"/>
                <w:lang w:eastAsia="en-AU"/>
              </w:rPr>
              <w:t>.</w:t>
            </w:r>
            <w:r w:rsidRPr="003A3555">
              <w:rPr>
                <w:color w:val="000000" w:themeColor="text1"/>
                <w:lang w:eastAsia="en-AU"/>
              </w:rPr>
              <w:t xml:space="preserve"> 2009</w:t>
            </w:r>
            <w:r w:rsidR="00BB6600">
              <w:rPr>
                <w:color w:val="000000" w:themeColor="text1"/>
                <w:lang w:eastAsia="en-AU"/>
              </w:rPr>
              <w:t>;</w:t>
            </w:r>
            <w:r w:rsidRPr="003A3555">
              <w:rPr>
                <w:color w:val="000000" w:themeColor="text1"/>
                <w:lang w:eastAsia="en-AU"/>
              </w:rPr>
              <w:t xml:space="preserve"> 27(11)</w:t>
            </w:r>
            <w:r w:rsidR="00BB6600">
              <w:rPr>
                <w:color w:val="000000" w:themeColor="text1"/>
                <w:lang w:eastAsia="en-AU"/>
              </w:rPr>
              <w:t xml:space="preserve">: </w:t>
            </w:r>
            <w:r w:rsidRPr="003A3555">
              <w:rPr>
                <w:color w:val="000000" w:themeColor="text1"/>
                <w:lang w:eastAsia="en-AU"/>
              </w:rPr>
              <w:t>1788-93</w:t>
            </w:r>
          </w:p>
          <w:p w:rsidR="00B0731F" w:rsidRPr="003A3555" w:rsidRDefault="00B0731F" w:rsidP="00BB6600">
            <w:pPr>
              <w:pStyle w:val="Tabletext"/>
              <w:rPr>
                <w:i/>
                <w:color w:val="000000" w:themeColor="text1"/>
                <w:szCs w:val="18"/>
                <w:lang w:eastAsia="en-AU"/>
              </w:rPr>
            </w:pPr>
            <w:r w:rsidRPr="003A3555">
              <w:rPr>
                <w:i/>
                <w:color w:val="000000" w:themeColor="text1"/>
                <w:szCs w:val="18"/>
                <w:lang w:eastAsia="en-AU"/>
              </w:rPr>
              <w:t>The Lancet Haematology</w:t>
            </w:r>
            <w:r w:rsidR="00BB6600">
              <w:rPr>
                <w:i/>
                <w:color w:val="000000" w:themeColor="text1"/>
                <w:szCs w:val="18"/>
                <w:lang w:eastAsia="en-AU"/>
              </w:rPr>
              <w:t>.</w:t>
            </w:r>
            <w:r w:rsidRPr="003A3555">
              <w:rPr>
                <w:color w:val="000000" w:themeColor="text1"/>
                <w:szCs w:val="18"/>
                <w:lang w:eastAsia="en-AU"/>
              </w:rPr>
              <w:t xml:space="preserve"> 2014</w:t>
            </w:r>
            <w:r w:rsidR="00BB6600">
              <w:rPr>
                <w:color w:val="000000" w:themeColor="text1"/>
                <w:szCs w:val="18"/>
                <w:lang w:eastAsia="en-AU"/>
              </w:rPr>
              <w:t>;</w:t>
            </w:r>
            <w:r w:rsidRPr="003A3555">
              <w:rPr>
                <w:color w:val="000000" w:themeColor="text1"/>
                <w:szCs w:val="18"/>
                <w:lang w:eastAsia="en-AU"/>
              </w:rPr>
              <w:t xml:space="preserve"> 1(3)</w:t>
            </w:r>
            <w:r w:rsidR="00BB6600">
              <w:rPr>
                <w:color w:val="000000" w:themeColor="text1"/>
                <w:szCs w:val="18"/>
                <w:lang w:eastAsia="en-AU"/>
              </w:rPr>
              <w:t>:</w:t>
            </w:r>
            <w:r w:rsidRPr="003A3555">
              <w:rPr>
                <w:color w:val="000000" w:themeColor="text1"/>
                <w:szCs w:val="18"/>
                <w:lang w:eastAsia="en-AU"/>
              </w:rPr>
              <w:t>e112-e119</w:t>
            </w:r>
          </w:p>
        </w:tc>
      </w:tr>
    </w:tbl>
    <w:p w:rsidR="005E7102" w:rsidRPr="003A3555" w:rsidRDefault="005E7102" w:rsidP="00476EE6">
      <w:pPr>
        <w:pStyle w:val="TableFooter"/>
        <w:widowControl/>
        <w:rPr>
          <w:color w:val="000000" w:themeColor="text1"/>
          <w:sz w:val="20"/>
        </w:rPr>
      </w:pPr>
      <w:r w:rsidRPr="003A3555">
        <w:rPr>
          <w:color w:val="000000" w:themeColor="text1"/>
        </w:rPr>
        <w:t>Source: Table 2.2.1, p.40-42 of the submission and Table 2-2, p. 27 of the resubmission.</w:t>
      </w:r>
    </w:p>
    <w:p w:rsidR="005E7102" w:rsidRDefault="005E7102" w:rsidP="00C12C09">
      <w:pPr>
        <w:pStyle w:val="ListParagraph"/>
        <w:widowControl/>
        <w:numPr>
          <w:ilvl w:val="1"/>
          <w:numId w:val="2"/>
        </w:numPr>
        <w:spacing w:before="120"/>
      </w:pPr>
      <w:r w:rsidRPr="003A3555">
        <w:t xml:space="preserve">The key features of the randomised trials are summarised in </w:t>
      </w:r>
      <w:r w:rsidR="00C63074" w:rsidRPr="003A3555">
        <w:t>Table 7</w:t>
      </w:r>
      <w:r w:rsidRPr="003A3555">
        <w:t xml:space="preserve">. </w:t>
      </w:r>
    </w:p>
    <w:p w:rsidR="005E7102" w:rsidRPr="003A3555" w:rsidRDefault="005E7102" w:rsidP="007777D1">
      <w:pPr>
        <w:keepNext/>
        <w:widowControl/>
        <w:rPr>
          <w:rStyle w:val="CommentReference"/>
          <w:color w:val="FF0000"/>
        </w:rPr>
      </w:pPr>
      <w:r w:rsidRPr="003A3555">
        <w:rPr>
          <w:rStyle w:val="CommentReference"/>
        </w:rPr>
        <w:lastRenderedPageBreak/>
        <w:t xml:space="preserve">Table </w:t>
      </w:r>
      <w:r w:rsidR="00C63074" w:rsidRPr="003A3555">
        <w:rPr>
          <w:rStyle w:val="CommentReference"/>
        </w:rPr>
        <w:t>7</w:t>
      </w:r>
      <w:r w:rsidRPr="003A3555">
        <w:rPr>
          <w:rStyle w:val="CommentReference"/>
        </w:rPr>
        <w:t>: Key features of the included evidence – direct and indirect comparisons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Key features of the included evidence – direct and indirect comparisons"/>
      </w:tblPr>
      <w:tblGrid>
        <w:gridCol w:w="1286"/>
        <w:gridCol w:w="840"/>
        <w:gridCol w:w="988"/>
        <w:gridCol w:w="1277"/>
        <w:gridCol w:w="1701"/>
        <w:gridCol w:w="1417"/>
        <w:gridCol w:w="1508"/>
      </w:tblGrid>
      <w:tr w:rsidR="005E7102" w:rsidRPr="003A3555" w:rsidTr="00B1292D">
        <w:tc>
          <w:tcPr>
            <w:tcW w:w="713" w:type="pct"/>
            <w:shd w:val="clear" w:color="auto" w:fill="auto"/>
            <w:vAlign w:val="center"/>
          </w:tcPr>
          <w:p w:rsidR="005E7102" w:rsidRPr="003A3555" w:rsidRDefault="005E7102" w:rsidP="007777D1">
            <w:pPr>
              <w:pStyle w:val="Tabletext"/>
              <w:keepNext/>
              <w:rPr>
                <w:b/>
              </w:rPr>
            </w:pPr>
            <w:r w:rsidRPr="003A3555">
              <w:rPr>
                <w:b/>
              </w:rPr>
              <w:t>Trial</w:t>
            </w:r>
          </w:p>
        </w:tc>
        <w:tc>
          <w:tcPr>
            <w:tcW w:w="466" w:type="pct"/>
            <w:shd w:val="clear" w:color="auto" w:fill="auto"/>
            <w:vAlign w:val="center"/>
          </w:tcPr>
          <w:p w:rsidR="005E7102" w:rsidRPr="003A3555" w:rsidRDefault="005E7102" w:rsidP="007777D1">
            <w:pPr>
              <w:pStyle w:val="Tabletext"/>
              <w:keepNext/>
              <w:jc w:val="center"/>
              <w:rPr>
                <w:b/>
              </w:rPr>
            </w:pPr>
            <w:r w:rsidRPr="003A3555">
              <w:rPr>
                <w:b/>
              </w:rPr>
              <w:t>N</w:t>
            </w:r>
          </w:p>
        </w:tc>
        <w:tc>
          <w:tcPr>
            <w:tcW w:w="548" w:type="pct"/>
            <w:shd w:val="clear" w:color="auto" w:fill="auto"/>
            <w:vAlign w:val="center"/>
          </w:tcPr>
          <w:p w:rsidR="005E7102" w:rsidRPr="003A3555" w:rsidRDefault="007777D1" w:rsidP="007777D1">
            <w:pPr>
              <w:pStyle w:val="Tabletext"/>
              <w:keepNext/>
              <w:jc w:val="center"/>
              <w:rPr>
                <w:b/>
              </w:rPr>
            </w:pPr>
            <w:r>
              <w:rPr>
                <w:b/>
              </w:rPr>
              <w:t>Design</w:t>
            </w:r>
          </w:p>
        </w:tc>
        <w:tc>
          <w:tcPr>
            <w:tcW w:w="708" w:type="pct"/>
            <w:shd w:val="clear" w:color="auto" w:fill="auto"/>
            <w:vAlign w:val="center"/>
          </w:tcPr>
          <w:p w:rsidR="005E7102" w:rsidRPr="003A3555" w:rsidRDefault="005E7102" w:rsidP="007777D1">
            <w:pPr>
              <w:pStyle w:val="Tabletext"/>
              <w:keepNext/>
              <w:jc w:val="center"/>
              <w:rPr>
                <w:b/>
              </w:rPr>
            </w:pPr>
            <w:r w:rsidRPr="003A3555">
              <w:rPr>
                <w:b/>
              </w:rPr>
              <w:t>Risk of bias</w:t>
            </w:r>
          </w:p>
        </w:tc>
        <w:tc>
          <w:tcPr>
            <w:tcW w:w="943" w:type="pct"/>
            <w:shd w:val="clear" w:color="auto" w:fill="auto"/>
            <w:vAlign w:val="center"/>
          </w:tcPr>
          <w:p w:rsidR="005E7102" w:rsidRPr="003A3555" w:rsidRDefault="005E7102" w:rsidP="007777D1">
            <w:pPr>
              <w:pStyle w:val="Tabletext"/>
              <w:keepNext/>
              <w:jc w:val="center"/>
              <w:rPr>
                <w:b/>
              </w:rPr>
            </w:pPr>
            <w:r w:rsidRPr="003A3555">
              <w:rPr>
                <w:b/>
              </w:rPr>
              <w:t>Patient population</w:t>
            </w:r>
          </w:p>
        </w:tc>
        <w:tc>
          <w:tcPr>
            <w:tcW w:w="786" w:type="pct"/>
            <w:shd w:val="clear" w:color="auto" w:fill="auto"/>
            <w:vAlign w:val="center"/>
          </w:tcPr>
          <w:p w:rsidR="005E7102" w:rsidRPr="003A3555" w:rsidRDefault="005E7102" w:rsidP="007777D1">
            <w:pPr>
              <w:pStyle w:val="Tabletext"/>
              <w:keepNext/>
              <w:jc w:val="center"/>
              <w:rPr>
                <w:b/>
              </w:rPr>
            </w:pPr>
            <w:r w:rsidRPr="003A3555">
              <w:rPr>
                <w:b/>
              </w:rPr>
              <w:t>Outcomes</w:t>
            </w:r>
          </w:p>
        </w:tc>
        <w:tc>
          <w:tcPr>
            <w:tcW w:w="836" w:type="pct"/>
            <w:shd w:val="clear" w:color="auto" w:fill="auto"/>
            <w:vAlign w:val="center"/>
          </w:tcPr>
          <w:p w:rsidR="005E7102" w:rsidRPr="003A3555" w:rsidRDefault="005E7102" w:rsidP="007777D1">
            <w:pPr>
              <w:pStyle w:val="Tabletext"/>
              <w:keepNext/>
              <w:jc w:val="center"/>
              <w:rPr>
                <w:b/>
              </w:rPr>
            </w:pPr>
            <w:r w:rsidRPr="003A3555">
              <w:rPr>
                <w:b/>
              </w:rPr>
              <w:t>Use in modelled evaluation</w:t>
            </w:r>
          </w:p>
        </w:tc>
      </w:tr>
      <w:tr w:rsidR="005E7102" w:rsidRPr="003A3555" w:rsidTr="00453D1C">
        <w:tc>
          <w:tcPr>
            <w:tcW w:w="5000" w:type="pct"/>
            <w:gridSpan w:val="7"/>
            <w:shd w:val="clear" w:color="auto" w:fill="auto"/>
            <w:vAlign w:val="center"/>
          </w:tcPr>
          <w:p w:rsidR="005E7102" w:rsidRPr="003A3555" w:rsidRDefault="005E7102" w:rsidP="007777D1">
            <w:pPr>
              <w:pStyle w:val="Tabletext"/>
              <w:keepNext/>
              <w:rPr>
                <w:b/>
              </w:rPr>
            </w:pPr>
            <w:proofErr w:type="spellStart"/>
            <w:r w:rsidRPr="003A3555">
              <w:rPr>
                <w:b/>
              </w:rPr>
              <w:t>Lenalidomide</w:t>
            </w:r>
            <w:proofErr w:type="spellEnd"/>
            <w:r w:rsidRPr="003A3555">
              <w:rPr>
                <w:b/>
              </w:rPr>
              <w:t xml:space="preserve"> vs. placebo</w:t>
            </w:r>
          </w:p>
        </w:tc>
      </w:tr>
      <w:tr w:rsidR="005E7102" w:rsidRPr="003A3555" w:rsidTr="00B1292D">
        <w:tc>
          <w:tcPr>
            <w:tcW w:w="713" w:type="pct"/>
            <w:shd w:val="clear" w:color="auto" w:fill="auto"/>
            <w:vAlign w:val="center"/>
          </w:tcPr>
          <w:p w:rsidR="005E7102" w:rsidRPr="003A3555" w:rsidRDefault="005E7102" w:rsidP="007777D1">
            <w:pPr>
              <w:pStyle w:val="Tabletext"/>
              <w:keepNext/>
            </w:pPr>
            <w:r w:rsidRPr="003A3555">
              <w:t xml:space="preserve">CALGB </w:t>
            </w:r>
          </w:p>
        </w:tc>
        <w:tc>
          <w:tcPr>
            <w:tcW w:w="466" w:type="pct"/>
            <w:shd w:val="clear" w:color="auto" w:fill="auto"/>
            <w:vAlign w:val="center"/>
          </w:tcPr>
          <w:p w:rsidR="005E7102" w:rsidRPr="003A3555" w:rsidRDefault="005E7102" w:rsidP="007777D1">
            <w:pPr>
              <w:pStyle w:val="Tabletext"/>
              <w:keepNext/>
              <w:jc w:val="center"/>
            </w:pPr>
            <w:r w:rsidRPr="003A3555">
              <w:t>460</w:t>
            </w:r>
          </w:p>
        </w:tc>
        <w:tc>
          <w:tcPr>
            <w:tcW w:w="548" w:type="pct"/>
            <w:shd w:val="clear" w:color="auto" w:fill="auto"/>
            <w:vAlign w:val="center"/>
          </w:tcPr>
          <w:p w:rsidR="005E7102" w:rsidRPr="003A3555" w:rsidRDefault="005E7102" w:rsidP="007777D1">
            <w:pPr>
              <w:pStyle w:val="Tabletext"/>
              <w:keepNext/>
              <w:jc w:val="center"/>
            </w:pPr>
            <w:r w:rsidRPr="003A3555">
              <w:t>R, DB</w:t>
            </w:r>
          </w:p>
        </w:tc>
        <w:tc>
          <w:tcPr>
            <w:tcW w:w="708" w:type="pct"/>
            <w:shd w:val="clear" w:color="auto" w:fill="auto"/>
            <w:vAlign w:val="center"/>
          </w:tcPr>
          <w:p w:rsidR="005E7102" w:rsidRPr="003A3555" w:rsidRDefault="005E7102" w:rsidP="007777D1">
            <w:pPr>
              <w:pStyle w:val="Tabletext"/>
              <w:keepNext/>
              <w:jc w:val="center"/>
            </w:pPr>
            <w:r w:rsidRPr="003A3555">
              <w:t>Low; crossover</w:t>
            </w:r>
          </w:p>
        </w:tc>
        <w:tc>
          <w:tcPr>
            <w:tcW w:w="943" w:type="pct"/>
            <w:shd w:val="clear" w:color="auto" w:fill="auto"/>
            <w:vAlign w:val="center"/>
          </w:tcPr>
          <w:p w:rsidR="005E7102" w:rsidRPr="003A3555" w:rsidRDefault="005E7102" w:rsidP="007777D1">
            <w:pPr>
              <w:pStyle w:val="Tabletext"/>
              <w:keepNext/>
              <w:jc w:val="center"/>
            </w:pPr>
            <w:r w:rsidRPr="003A3555">
              <w:t>Post</w:t>
            </w:r>
            <w:r w:rsidRPr="003A3555">
              <w:noBreakHyphen/>
              <w:t>ASCT</w:t>
            </w:r>
          </w:p>
        </w:tc>
        <w:tc>
          <w:tcPr>
            <w:tcW w:w="786" w:type="pct"/>
            <w:shd w:val="clear" w:color="auto" w:fill="auto"/>
            <w:vAlign w:val="center"/>
          </w:tcPr>
          <w:p w:rsidR="005E7102" w:rsidRPr="003A3555" w:rsidRDefault="005E7102" w:rsidP="007777D1">
            <w:pPr>
              <w:pStyle w:val="Tabletext"/>
              <w:keepNext/>
              <w:jc w:val="center"/>
            </w:pPr>
            <w:r w:rsidRPr="003A3555">
              <w:t>PFS, OS, ORR, PFS2</w:t>
            </w:r>
          </w:p>
        </w:tc>
        <w:tc>
          <w:tcPr>
            <w:tcW w:w="836" w:type="pct"/>
            <w:shd w:val="clear" w:color="auto" w:fill="auto"/>
            <w:vAlign w:val="center"/>
          </w:tcPr>
          <w:p w:rsidR="005E7102" w:rsidRPr="003A3555" w:rsidRDefault="005E7102" w:rsidP="007777D1">
            <w:pPr>
              <w:pStyle w:val="Tabletext"/>
              <w:keepNext/>
              <w:jc w:val="center"/>
            </w:pPr>
            <w:r w:rsidRPr="003A3555">
              <w:t xml:space="preserve">OS, PFS, </w:t>
            </w:r>
            <w:proofErr w:type="spellStart"/>
            <w:r w:rsidRPr="003A3555">
              <w:t>ToT</w:t>
            </w:r>
            <w:proofErr w:type="spellEnd"/>
            <w:r w:rsidRPr="003A3555">
              <w:t>, AE</w:t>
            </w:r>
          </w:p>
        </w:tc>
      </w:tr>
      <w:tr w:rsidR="005E7102" w:rsidRPr="003A3555" w:rsidTr="00B1292D">
        <w:tc>
          <w:tcPr>
            <w:tcW w:w="713" w:type="pct"/>
            <w:shd w:val="clear" w:color="auto" w:fill="auto"/>
            <w:vAlign w:val="center"/>
          </w:tcPr>
          <w:p w:rsidR="005E7102" w:rsidRPr="003A3555" w:rsidRDefault="00C60F2C" w:rsidP="007777D1">
            <w:pPr>
              <w:pStyle w:val="Tabletext"/>
              <w:keepNext/>
            </w:pPr>
            <w:r>
              <w:t>IFM</w:t>
            </w:r>
            <w:r w:rsidR="005E7102" w:rsidRPr="003A3555">
              <w:t>2005</w:t>
            </w:r>
            <w:r w:rsidR="005E7102" w:rsidRPr="003A3555">
              <w:noBreakHyphen/>
              <w:t>02</w:t>
            </w:r>
          </w:p>
        </w:tc>
        <w:tc>
          <w:tcPr>
            <w:tcW w:w="466" w:type="pct"/>
            <w:shd w:val="clear" w:color="auto" w:fill="auto"/>
            <w:vAlign w:val="center"/>
          </w:tcPr>
          <w:p w:rsidR="005E7102" w:rsidRPr="003A3555" w:rsidRDefault="005E7102" w:rsidP="007777D1">
            <w:pPr>
              <w:pStyle w:val="Tabletext"/>
              <w:keepNext/>
              <w:jc w:val="center"/>
            </w:pPr>
            <w:r w:rsidRPr="003A3555">
              <w:t>614</w:t>
            </w:r>
          </w:p>
        </w:tc>
        <w:tc>
          <w:tcPr>
            <w:tcW w:w="548" w:type="pct"/>
            <w:shd w:val="clear" w:color="auto" w:fill="auto"/>
            <w:vAlign w:val="center"/>
          </w:tcPr>
          <w:p w:rsidR="005E7102" w:rsidRPr="003A3555" w:rsidRDefault="005E7102" w:rsidP="007777D1">
            <w:pPr>
              <w:pStyle w:val="Tabletext"/>
              <w:keepNext/>
              <w:jc w:val="center"/>
            </w:pPr>
            <w:r w:rsidRPr="003A3555">
              <w:t>R, DB</w:t>
            </w:r>
          </w:p>
        </w:tc>
        <w:tc>
          <w:tcPr>
            <w:tcW w:w="708" w:type="pct"/>
            <w:shd w:val="clear" w:color="auto" w:fill="auto"/>
            <w:vAlign w:val="center"/>
          </w:tcPr>
          <w:p w:rsidR="005E7102" w:rsidRPr="003A3555" w:rsidRDefault="005E7102" w:rsidP="007777D1">
            <w:pPr>
              <w:pStyle w:val="Tabletext"/>
              <w:keepNext/>
              <w:jc w:val="center"/>
            </w:pPr>
            <w:r w:rsidRPr="003A3555">
              <w:t>Low</w:t>
            </w:r>
          </w:p>
        </w:tc>
        <w:tc>
          <w:tcPr>
            <w:tcW w:w="943" w:type="pct"/>
            <w:shd w:val="clear" w:color="auto" w:fill="auto"/>
            <w:vAlign w:val="center"/>
          </w:tcPr>
          <w:p w:rsidR="005E7102" w:rsidRPr="003A3555" w:rsidRDefault="005E7102" w:rsidP="007777D1">
            <w:pPr>
              <w:pStyle w:val="Tabletext"/>
              <w:keepNext/>
              <w:jc w:val="center"/>
              <w:rPr>
                <w:vertAlign w:val="superscript"/>
              </w:rPr>
            </w:pPr>
            <w:r w:rsidRPr="003A3555">
              <w:t>Post</w:t>
            </w:r>
            <w:r w:rsidRPr="003A3555">
              <w:noBreakHyphen/>
              <w:t>ASCT</w:t>
            </w:r>
          </w:p>
        </w:tc>
        <w:tc>
          <w:tcPr>
            <w:tcW w:w="786" w:type="pct"/>
            <w:shd w:val="clear" w:color="auto" w:fill="auto"/>
            <w:vAlign w:val="center"/>
          </w:tcPr>
          <w:p w:rsidR="005E7102" w:rsidRPr="003A3555" w:rsidRDefault="005E7102" w:rsidP="007777D1">
            <w:pPr>
              <w:pStyle w:val="Tabletext"/>
              <w:keepNext/>
              <w:jc w:val="center"/>
            </w:pPr>
            <w:r w:rsidRPr="003A3555">
              <w:t>PFS, OS, ORR, PFS2</w:t>
            </w:r>
          </w:p>
        </w:tc>
        <w:tc>
          <w:tcPr>
            <w:tcW w:w="836" w:type="pct"/>
            <w:shd w:val="clear" w:color="auto" w:fill="auto"/>
            <w:vAlign w:val="center"/>
          </w:tcPr>
          <w:p w:rsidR="005E7102" w:rsidRPr="003A3555" w:rsidRDefault="005E7102" w:rsidP="007777D1">
            <w:pPr>
              <w:pStyle w:val="Tabletext"/>
              <w:keepNext/>
              <w:jc w:val="center"/>
            </w:pPr>
            <w:r w:rsidRPr="003A3555">
              <w:t xml:space="preserve">OS, PFS sensitivity analysis, AE </w:t>
            </w:r>
          </w:p>
        </w:tc>
      </w:tr>
      <w:tr w:rsidR="005E7102" w:rsidRPr="003A3555" w:rsidTr="00B1292D">
        <w:tc>
          <w:tcPr>
            <w:tcW w:w="713" w:type="pct"/>
            <w:shd w:val="clear" w:color="auto" w:fill="auto"/>
            <w:vAlign w:val="center"/>
          </w:tcPr>
          <w:p w:rsidR="005E7102" w:rsidRPr="003A3555" w:rsidRDefault="005E7102" w:rsidP="007777D1">
            <w:pPr>
              <w:pStyle w:val="Tabletext"/>
              <w:keepNext/>
            </w:pPr>
            <w:r w:rsidRPr="003A3555">
              <w:t>GIMEMA</w:t>
            </w:r>
          </w:p>
        </w:tc>
        <w:tc>
          <w:tcPr>
            <w:tcW w:w="466" w:type="pct"/>
            <w:shd w:val="clear" w:color="auto" w:fill="auto"/>
            <w:vAlign w:val="center"/>
          </w:tcPr>
          <w:p w:rsidR="005E7102" w:rsidRPr="003A3555" w:rsidRDefault="005E7102" w:rsidP="007777D1">
            <w:pPr>
              <w:pStyle w:val="Tabletext"/>
              <w:keepNext/>
              <w:jc w:val="center"/>
            </w:pPr>
            <w:r w:rsidRPr="003A3555">
              <w:t>135</w:t>
            </w:r>
            <w:r w:rsidR="007777D1">
              <w:rPr>
                <w:vertAlign w:val="superscript"/>
              </w:rPr>
              <w:t>a</w:t>
            </w:r>
          </w:p>
        </w:tc>
        <w:tc>
          <w:tcPr>
            <w:tcW w:w="548" w:type="pct"/>
            <w:shd w:val="clear" w:color="auto" w:fill="auto"/>
            <w:vAlign w:val="center"/>
          </w:tcPr>
          <w:p w:rsidR="005E7102" w:rsidRPr="003A3555" w:rsidRDefault="005E7102" w:rsidP="007777D1">
            <w:pPr>
              <w:pStyle w:val="Tabletext"/>
              <w:keepNext/>
              <w:jc w:val="center"/>
            </w:pPr>
            <w:r w:rsidRPr="003A3555">
              <w:t>R, OL</w:t>
            </w:r>
          </w:p>
        </w:tc>
        <w:tc>
          <w:tcPr>
            <w:tcW w:w="708" w:type="pct"/>
            <w:shd w:val="clear" w:color="auto" w:fill="auto"/>
            <w:vAlign w:val="center"/>
          </w:tcPr>
          <w:p w:rsidR="005E7102" w:rsidRPr="003A3555" w:rsidRDefault="005E7102" w:rsidP="007777D1">
            <w:pPr>
              <w:pStyle w:val="Tabletext"/>
              <w:keepNext/>
              <w:jc w:val="center"/>
            </w:pPr>
            <w:r w:rsidRPr="003A3555">
              <w:t>Low/unclear</w:t>
            </w:r>
          </w:p>
        </w:tc>
        <w:tc>
          <w:tcPr>
            <w:tcW w:w="943" w:type="pct"/>
            <w:shd w:val="clear" w:color="auto" w:fill="auto"/>
            <w:vAlign w:val="center"/>
          </w:tcPr>
          <w:p w:rsidR="005E7102" w:rsidRPr="003A3555" w:rsidRDefault="005E7102" w:rsidP="007777D1">
            <w:pPr>
              <w:pStyle w:val="Tabletext"/>
              <w:keepNext/>
              <w:jc w:val="center"/>
            </w:pPr>
            <w:r w:rsidRPr="003A3555">
              <w:t>ASCT and non</w:t>
            </w:r>
            <w:r w:rsidRPr="003A3555">
              <w:noBreakHyphen/>
              <w:t>ASCT</w:t>
            </w:r>
          </w:p>
        </w:tc>
        <w:tc>
          <w:tcPr>
            <w:tcW w:w="786" w:type="pct"/>
            <w:shd w:val="clear" w:color="auto" w:fill="auto"/>
            <w:vAlign w:val="center"/>
          </w:tcPr>
          <w:p w:rsidR="005E7102" w:rsidRPr="003A3555" w:rsidRDefault="005E7102" w:rsidP="007777D1">
            <w:pPr>
              <w:pStyle w:val="Tabletext"/>
              <w:keepNext/>
              <w:jc w:val="center"/>
            </w:pPr>
            <w:r w:rsidRPr="003A3555">
              <w:t>PFS, OS, PFS2</w:t>
            </w:r>
          </w:p>
        </w:tc>
        <w:tc>
          <w:tcPr>
            <w:tcW w:w="836" w:type="pct"/>
            <w:shd w:val="clear" w:color="auto" w:fill="auto"/>
            <w:vAlign w:val="center"/>
          </w:tcPr>
          <w:p w:rsidR="005E7102" w:rsidRPr="003A3555" w:rsidRDefault="005E7102" w:rsidP="007777D1">
            <w:pPr>
              <w:pStyle w:val="Tabletext"/>
              <w:keepNext/>
              <w:jc w:val="center"/>
            </w:pPr>
            <w:r w:rsidRPr="003A3555">
              <w:t>OS, PFS sensitivity analysis, AE</w:t>
            </w:r>
          </w:p>
        </w:tc>
      </w:tr>
      <w:tr w:rsidR="005E7102" w:rsidRPr="003A3555" w:rsidTr="00B1292D">
        <w:tc>
          <w:tcPr>
            <w:tcW w:w="713" w:type="pct"/>
            <w:shd w:val="clear" w:color="auto" w:fill="auto"/>
            <w:vAlign w:val="center"/>
          </w:tcPr>
          <w:p w:rsidR="005E7102" w:rsidRPr="003A3555" w:rsidRDefault="005E7102" w:rsidP="007777D1">
            <w:pPr>
              <w:pStyle w:val="Tabletext"/>
              <w:keepNext/>
            </w:pPr>
            <w:r w:rsidRPr="003A3555">
              <w:t>Myeloma XI</w:t>
            </w:r>
          </w:p>
        </w:tc>
        <w:tc>
          <w:tcPr>
            <w:tcW w:w="466" w:type="pct"/>
            <w:shd w:val="clear" w:color="auto" w:fill="auto"/>
            <w:vAlign w:val="center"/>
          </w:tcPr>
          <w:p w:rsidR="005E7102" w:rsidRPr="003A3555" w:rsidRDefault="005E7102" w:rsidP="007777D1">
            <w:pPr>
              <w:pStyle w:val="Tabletext"/>
              <w:keepNext/>
              <w:jc w:val="center"/>
            </w:pPr>
            <w:r w:rsidRPr="003A3555">
              <w:t>788</w:t>
            </w:r>
            <w:r w:rsidR="007777D1">
              <w:rPr>
                <w:vertAlign w:val="superscript"/>
              </w:rPr>
              <w:t>a</w:t>
            </w:r>
          </w:p>
        </w:tc>
        <w:tc>
          <w:tcPr>
            <w:tcW w:w="548" w:type="pct"/>
            <w:shd w:val="clear" w:color="auto" w:fill="auto"/>
            <w:vAlign w:val="center"/>
          </w:tcPr>
          <w:p w:rsidR="005E7102" w:rsidRPr="003A3555" w:rsidRDefault="005E7102" w:rsidP="007777D1">
            <w:pPr>
              <w:pStyle w:val="Tabletext"/>
              <w:keepNext/>
              <w:jc w:val="center"/>
            </w:pPr>
            <w:r w:rsidRPr="003A3555">
              <w:t>R, OL</w:t>
            </w:r>
          </w:p>
        </w:tc>
        <w:tc>
          <w:tcPr>
            <w:tcW w:w="708" w:type="pct"/>
            <w:shd w:val="clear" w:color="auto" w:fill="auto"/>
            <w:vAlign w:val="center"/>
          </w:tcPr>
          <w:p w:rsidR="005E7102" w:rsidRPr="003A3555" w:rsidRDefault="005E7102" w:rsidP="007777D1">
            <w:pPr>
              <w:pStyle w:val="Tabletext"/>
              <w:keepNext/>
              <w:jc w:val="center"/>
            </w:pPr>
            <w:r w:rsidRPr="003A3555">
              <w:t>Low/unclear</w:t>
            </w:r>
          </w:p>
        </w:tc>
        <w:tc>
          <w:tcPr>
            <w:tcW w:w="943" w:type="pct"/>
            <w:shd w:val="clear" w:color="auto" w:fill="auto"/>
            <w:vAlign w:val="center"/>
          </w:tcPr>
          <w:p w:rsidR="005E7102" w:rsidRPr="003A3555" w:rsidRDefault="005E7102" w:rsidP="007777D1">
            <w:pPr>
              <w:pStyle w:val="Tabletext"/>
              <w:keepNext/>
              <w:jc w:val="center"/>
            </w:pPr>
            <w:r w:rsidRPr="003A3555">
              <w:t>ASCT and non</w:t>
            </w:r>
            <w:r w:rsidRPr="003A3555">
              <w:noBreakHyphen/>
              <w:t>ASCT</w:t>
            </w:r>
          </w:p>
        </w:tc>
        <w:tc>
          <w:tcPr>
            <w:tcW w:w="786" w:type="pct"/>
            <w:shd w:val="clear" w:color="auto" w:fill="auto"/>
            <w:vAlign w:val="center"/>
          </w:tcPr>
          <w:p w:rsidR="005E7102" w:rsidRPr="003A3555" w:rsidRDefault="005E7102" w:rsidP="007777D1">
            <w:pPr>
              <w:pStyle w:val="Tabletext"/>
              <w:keepNext/>
              <w:jc w:val="center"/>
            </w:pPr>
            <w:r w:rsidRPr="003A3555">
              <w:t>PFS</w:t>
            </w:r>
          </w:p>
        </w:tc>
        <w:tc>
          <w:tcPr>
            <w:tcW w:w="836" w:type="pct"/>
            <w:shd w:val="clear" w:color="auto" w:fill="auto"/>
            <w:vAlign w:val="center"/>
          </w:tcPr>
          <w:p w:rsidR="005E7102" w:rsidRPr="00D32723" w:rsidRDefault="005E7102" w:rsidP="007777D1">
            <w:pPr>
              <w:pStyle w:val="Tabletext"/>
              <w:keepNext/>
              <w:jc w:val="center"/>
            </w:pPr>
            <w:r w:rsidRPr="00D32723">
              <w:t>Patient level data were not available</w:t>
            </w:r>
          </w:p>
        </w:tc>
      </w:tr>
      <w:tr w:rsidR="005D6951" w:rsidRPr="003A3555" w:rsidDel="00DF3A1C" w:rsidTr="00B1292D">
        <w:tc>
          <w:tcPr>
            <w:tcW w:w="713" w:type="pct"/>
            <w:shd w:val="clear" w:color="auto" w:fill="auto"/>
            <w:vAlign w:val="center"/>
          </w:tcPr>
          <w:p w:rsidR="005D6951" w:rsidRPr="003A3555" w:rsidDel="00DF3A1C" w:rsidRDefault="005D6951" w:rsidP="007777D1">
            <w:pPr>
              <w:pStyle w:val="Tabletext"/>
              <w:keepNext/>
            </w:pPr>
            <w:r>
              <w:t>Meta-analyses</w:t>
            </w:r>
          </w:p>
        </w:tc>
        <w:tc>
          <w:tcPr>
            <w:tcW w:w="466" w:type="pct"/>
            <w:shd w:val="clear" w:color="auto" w:fill="auto"/>
            <w:vAlign w:val="center"/>
          </w:tcPr>
          <w:p w:rsidR="005D6951" w:rsidRPr="003A3555" w:rsidDel="00DF3A1C" w:rsidRDefault="005D6951" w:rsidP="007777D1">
            <w:pPr>
              <w:pStyle w:val="Tabletext"/>
              <w:keepNext/>
              <w:jc w:val="center"/>
              <w:rPr>
                <w:color w:val="FF0000"/>
              </w:rPr>
            </w:pPr>
            <w:r>
              <w:rPr>
                <w:color w:val="FF0000"/>
              </w:rPr>
              <w:t>-</w:t>
            </w:r>
          </w:p>
        </w:tc>
        <w:tc>
          <w:tcPr>
            <w:tcW w:w="2985" w:type="pct"/>
            <w:gridSpan w:val="4"/>
            <w:shd w:val="clear" w:color="auto" w:fill="auto"/>
            <w:vAlign w:val="center"/>
          </w:tcPr>
          <w:p w:rsidR="005D6951" w:rsidRPr="003A3555" w:rsidDel="008A452F" w:rsidRDefault="005D6951" w:rsidP="007777D1">
            <w:pPr>
              <w:pStyle w:val="Tabletext"/>
              <w:keepNext/>
            </w:pPr>
            <w:r>
              <w:t>CALGB</w:t>
            </w:r>
            <w:r w:rsidR="00C60F2C">
              <w:t xml:space="preserve"> (adjusted for crossover) / IFM</w:t>
            </w:r>
            <w:r>
              <w:t>2005-02 / GIMEMA (subgroup analysis) / Myeloma XI (Sept 17 cut-off data)</w:t>
            </w:r>
          </w:p>
        </w:tc>
        <w:tc>
          <w:tcPr>
            <w:tcW w:w="836" w:type="pct"/>
            <w:shd w:val="clear" w:color="auto" w:fill="auto"/>
            <w:vAlign w:val="center"/>
          </w:tcPr>
          <w:p w:rsidR="005D6951" w:rsidRPr="003A3555" w:rsidDel="00DF3A1C" w:rsidRDefault="005D6951" w:rsidP="007777D1">
            <w:pPr>
              <w:pStyle w:val="Tabletext"/>
              <w:keepNext/>
              <w:jc w:val="center"/>
            </w:pPr>
            <w:r>
              <w:t>OS and PFS, sensitivity analyse</w:t>
            </w:r>
            <w:r w:rsidRPr="003A3555">
              <w:t>s</w:t>
            </w:r>
          </w:p>
        </w:tc>
      </w:tr>
      <w:tr w:rsidR="005E7102" w:rsidRPr="003A3555" w:rsidTr="00453D1C">
        <w:tc>
          <w:tcPr>
            <w:tcW w:w="5000" w:type="pct"/>
            <w:gridSpan w:val="7"/>
            <w:shd w:val="clear" w:color="auto" w:fill="auto"/>
            <w:vAlign w:val="center"/>
          </w:tcPr>
          <w:p w:rsidR="005E7102" w:rsidRPr="003A3555" w:rsidRDefault="005E7102" w:rsidP="007777D1">
            <w:pPr>
              <w:pStyle w:val="Tabletext"/>
              <w:keepNext/>
              <w:rPr>
                <w:b/>
              </w:rPr>
            </w:pPr>
            <w:r w:rsidRPr="003A3555">
              <w:rPr>
                <w:b/>
              </w:rPr>
              <w:t>Thalidomide vs. BSC</w:t>
            </w:r>
          </w:p>
        </w:tc>
      </w:tr>
      <w:tr w:rsidR="005E7102" w:rsidRPr="003A3555" w:rsidTr="00B1292D">
        <w:tc>
          <w:tcPr>
            <w:tcW w:w="713" w:type="pct"/>
            <w:shd w:val="clear" w:color="auto" w:fill="auto"/>
            <w:vAlign w:val="center"/>
          </w:tcPr>
          <w:p w:rsidR="005E7102" w:rsidRPr="003A3555" w:rsidRDefault="005E7102" w:rsidP="007777D1">
            <w:pPr>
              <w:pStyle w:val="Tabletext"/>
              <w:keepNext/>
            </w:pPr>
            <w:r w:rsidRPr="003A3555">
              <w:t>Myeloma IX</w:t>
            </w:r>
          </w:p>
        </w:tc>
        <w:tc>
          <w:tcPr>
            <w:tcW w:w="466" w:type="pct"/>
            <w:shd w:val="clear" w:color="auto" w:fill="auto"/>
            <w:vAlign w:val="center"/>
          </w:tcPr>
          <w:p w:rsidR="005E7102" w:rsidRPr="003A3555" w:rsidRDefault="005E7102" w:rsidP="007777D1">
            <w:pPr>
              <w:pStyle w:val="Tabletext"/>
              <w:keepNext/>
              <w:jc w:val="center"/>
            </w:pPr>
            <w:r w:rsidRPr="003A3555">
              <w:t>493</w:t>
            </w:r>
            <w:r w:rsidR="007777D1">
              <w:rPr>
                <w:vertAlign w:val="superscript"/>
              </w:rPr>
              <w:t>a</w:t>
            </w:r>
          </w:p>
        </w:tc>
        <w:tc>
          <w:tcPr>
            <w:tcW w:w="548" w:type="pct"/>
            <w:shd w:val="clear" w:color="auto" w:fill="auto"/>
            <w:vAlign w:val="center"/>
          </w:tcPr>
          <w:p w:rsidR="005E7102" w:rsidRPr="003A3555" w:rsidRDefault="005E7102" w:rsidP="007777D1">
            <w:pPr>
              <w:pStyle w:val="Tabletext"/>
              <w:keepNext/>
              <w:jc w:val="center"/>
            </w:pPr>
            <w:r w:rsidRPr="003A3555">
              <w:t>R, OL</w:t>
            </w:r>
          </w:p>
        </w:tc>
        <w:tc>
          <w:tcPr>
            <w:tcW w:w="708" w:type="pct"/>
            <w:shd w:val="clear" w:color="auto" w:fill="auto"/>
            <w:vAlign w:val="center"/>
          </w:tcPr>
          <w:p w:rsidR="005E7102" w:rsidRPr="003A3555" w:rsidRDefault="005E7102" w:rsidP="007777D1">
            <w:pPr>
              <w:pStyle w:val="Tabletext"/>
              <w:keepNext/>
              <w:jc w:val="center"/>
            </w:pPr>
            <w:r w:rsidRPr="003A3555">
              <w:t>Low/unclear</w:t>
            </w:r>
          </w:p>
        </w:tc>
        <w:tc>
          <w:tcPr>
            <w:tcW w:w="943" w:type="pct"/>
            <w:shd w:val="clear" w:color="auto" w:fill="auto"/>
            <w:vAlign w:val="center"/>
          </w:tcPr>
          <w:p w:rsidR="005E7102" w:rsidRPr="003A3555" w:rsidRDefault="005E7102" w:rsidP="007777D1">
            <w:pPr>
              <w:pStyle w:val="Tabletext"/>
              <w:keepNext/>
              <w:jc w:val="center"/>
            </w:pPr>
            <w:r w:rsidRPr="003A3555">
              <w:t>ASCT and non</w:t>
            </w:r>
            <w:r w:rsidRPr="003A3555">
              <w:noBreakHyphen/>
              <w:t>ASCT</w:t>
            </w:r>
          </w:p>
        </w:tc>
        <w:tc>
          <w:tcPr>
            <w:tcW w:w="786" w:type="pct"/>
            <w:shd w:val="clear" w:color="auto" w:fill="auto"/>
            <w:vAlign w:val="center"/>
          </w:tcPr>
          <w:p w:rsidR="005E7102" w:rsidRPr="003A3555" w:rsidRDefault="005E7102" w:rsidP="007777D1">
            <w:pPr>
              <w:pStyle w:val="Tabletext"/>
              <w:keepNext/>
              <w:jc w:val="center"/>
            </w:pPr>
            <w:r w:rsidRPr="003A3555">
              <w:t>PFS, OS</w:t>
            </w:r>
          </w:p>
        </w:tc>
        <w:tc>
          <w:tcPr>
            <w:tcW w:w="836" w:type="pct"/>
            <w:shd w:val="clear" w:color="auto" w:fill="auto"/>
            <w:vAlign w:val="center"/>
          </w:tcPr>
          <w:p w:rsidR="005E7102" w:rsidRPr="003A3555" w:rsidRDefault="005E7102" w:rsidP="007777D1">
            <w:pPr>
              <w:pStyle w:val="Tabletext"/>
              <w:keepNext/>
              <w:jc w:val="center"/>
              <w:rPr>
                <w:color w:val="FF0000"/>
              </w:rPr>
            </w:pPr>
            <w:r w:rsidRPr="003A3555">
              <w:t>NA</w:t>
            </w:r>
          </w:p>
        </w:tc>
      </w:tr>
      <w:tr w:rsidR="005E7102" w:rsidRPr="003A3555" w:rsidTr="00B1292D">
        <w:tc>
          <w:tcPr>
            <w:tcW w:w="713" w:type="pct"/>
            <w:shd w:val="clear" w:color="auto" w:fill="auto"/>
            <w:vAlign w:val="center"/>
          </w:tcPr>
          <w:p w:rsidR="005E7102" w:rsidRPr="003A3555" w:rsidRDefault="005E7102" w:rsidP="007777D1">
            <w:pPr>
              <w:pStyle w:val="Tabletext"/>
              <w:keepNext/>
            </w:pPr>
            <w:r w:rsidRPr="003A3555">
              <w:t>MM6</w:t>
            </w:r>
          </w:p>
        </w:tc>
        <w:tc>
          <w:tcPr>
            <w:tcW w:w="466" w:type="pct"/>
            <w:shd w:val="clear" w:color="auto" w:fill="auto"/>
            <w:vAlign w:val="center"/>
          </w:tcPr>
          <w:p w:rsidR="005E7102" w:rsidRPr="003A3555" w:rsidRDefault="005E7102" w:rsidP="007777D1">
            <w:pPr>
              <w:pStyle w:val="Tabletext"/>
              <w:keepNext/>
              <w:jc w:val="center"/>
            </w:pPr>
            <w:r w:rsidRPr="003A3555">
              <w:t>243</w:t>
            </w:r>
          </w:p>
        </w:tc>
        <w:tc>
          <w:tcPr>
            <w:tcW w:w="548" w:type="pct"/>
            <w:shd w:val="clear" w:color="auto" w:fill="auto"/>
            <w:vAlign w:val="center"/>
          </w:tcPr>
          <w:p w:rsidR="005E7102" w:rsidRPr="003A3555" w:rsidRDefault="005E7102" w:rsidP="007777D1">
            <w:pPr>
              <w:pStyle w:val="Tabletext"/>
              <w:keepNext/>
              <w:jc w:val="center"/>
            </w:pPr>
            <w:r w:rsidRPr="003A3555">
              <w:t>R, OL</w:t>
            </w:r>
          </w:p>
        </w:tc>
        <w:tc>
          <w:tcPr>
            <w:tcW w:w="708" w:type="pct"/>
            <w:shd w:val="clear" w:color="auto" w:fill="auto"/>
            <w:vAlign w:val="center"/>
          </w:tcPr>
          <w:p w:rsidR="005E7102" w:rsidRPr="007777D1" w:rsidRDefault="002F377A" w:rsidP="007777D1">
            <w:pPr>
              <w:pStyle w:val="Tabletext"/>
              <w:keepNext/>
              <w:jc w:val="center"/>
              <w:rPr>
                <w:vertAlign w:val="superscript"/>
              </w:rPr>
            </w:pPr>
            <w:r w:rsidRPr="007777D1">
              <w:t>High/</w:t>
            </w:r>
            <w:proofErr w:type="spellStart"/>
            <w:r w:rsidRPr="007777D1">
              <w:t>unclear</w:t>
            </w:r>
            <w:r w:rsidR="007777D1" w:rsidRPr="007777D1">
              <w:rPr>
                <w:vertAlign w:val="superscript"/>
              </w:rPr>
              <w:t>b</w:t>
            </w:r>
            <w:proofErr w:type="spellEnd"/>
          </w:p>
        </w:tc>
        <w:tc>
          <w:tcPr>
            <w:tcW w:w="943" w:type="pct"/>
            <w:shd w:val="clear" w:color="auto" w:fill="auto"/>
            <w:vAlign w:val="center"/>
          </w:tcPr>
          <w:p w:rsidR="005E7102" w:rsidRPr="00D32723" w:rsidRDefault="005E7102" w:rsidP="007777D1">
            <w:pPr>
              <w:pStyle w:val="Tabletext"/>
              <w:keepNext/>
              <w:jc w:val="center"/>
            </w:pPr>
            <w:r w:rsidRPr="00D32723">
              <w:t>Post</w:t>
            </w:r>
            <w:r w:rsidRPr="00D32723">
              <w:noBreakHyphen/>
              <w:t>ASCT</w:t>
            </w:r>
          </w:p>
        </w:tc>
        <w:tc>
          <w:tcPr>
            <w:tcW w:w="786" w:type="pct"/>
            <w:shd w:val="clear" w:color="auto" w:fill="auto"/>
            <w:vAlign w:val="center"/>
          </w:tcPr>
          <w:p w:rsidR="005E7102" w:rsidRPr="003A3555" w:rsidRDefault="005E7102" w:rsidP="007777D1">
            <w:pPr>
              <w:pStyle w:val="Tabletext"/>
              <w:keepNext/>
              <w:jc w:val="center"/>
            </w:pPr>
            <w:r w:rsidRPr="003A3555">
              <w:t>PFS, OS</w:t>
            </w:r>
          </w:p>
        </w:tc>
        <w:tc>
          <w:tcPr>
            <w:tcW w:w="836" w:type="pct"/>
            <w:shd w:val="clear" w:color="auto" w:fill="auto"/>
            <w:vAlign w:val="center"/>
          </w:tcPr>
          <w:p w:rsidR="005E7102" w:rsidRPr="003A3555" w:rsidRDefault="005E7102" w:rsidP="007777D1">
            <w:pPr>
              <w:pStyle w:val="Tabletext"/>
              <w:keepNext/>
              <w:jc w:val="center"/>
            </w:pPr>
            <w:r w:rsidRPr="003A3555">
              <w:t>NA</w:t>
            </w:r>
          </w:p>
        </w:tc>
      </w:tr>
      <w:tr w:rsidR="005D6951" w:rsidRPr="003A3555" w:rsidTr="00B1292D">
        <w:tc>
          <w:tcPr>
            <w:tcW w:w="713" w:type="pct"/>
            <w:shd w:val="clear" w:color="auto" w:fill="auto"/>
            <w:vAlign w:val="center"/>
          </w:tcPr>
          <w:p w:rsidR="005D6951" w:rsidRPr="003A3555" w:rsidRDefault="005D6951" w:rsidP="007777D1">
            <w:pPr>
              <w:pStyle w:val="Tabletext"/>
              <w:keepNext/>
            </w:pPr>
            <w:r>
              <w:t>Meta-analyses</w:t>
            </w:r>
          </w:p>
        </w:tc>
        <w:tc>
          <w:tcPr>
            <w:tcW w:w="466" w:type="pct"/>
            <w:shd w:val="clear" w:color="auto" w:fill="auto"/>
            <w:vAlign w:val="center"/>
          </w:tcPr>
          <w:p w:rsidR="005D6951" w:rsidRPr="003A3555" w:rsidRDefault="005D6951" w:rsidP="007777D1">
            <w:pPr>
              <w:pStyle w:val="Tabletext"/>
              <w:keepNext/>
              <w:jc w:val="center"/>
            </w:pPr>
            <w:r>
              <w:t>-</w:t>
            </w:r>
          </w:p>
        </w:tc>
        <w:tc>
          <w:tcPr>
            <w:tcW w:w="2985" w:type="pct"/>
            <w:gridSpan w:val="4"/>
            <w:shd w:val="clear" w:color="auto" w:fill="auto"/>
            <w:vAlign w:val="center"/>
          </w:tcPr>
          <w:p w:rsidR="005D6951" w:rsidRPr="003A3555" w:rsidRDefault="005D6951" w:rsidP="007777D1">
            <w:pPr>
              <w:pStyle w:val="Tabletext"/>
              <w:keepNext/>
            </w:pPr>
            <w:r>
              <w:t>Myeloma IX (subgroup analysis) / MM6</w:t>
            </w:r>
          </w:p>
        </w:tc>
        <w:tc>
          <w:tcPr>
            <w:tcW w:w="836" w:type="pct"/>
            <w:shd w:val="clear" w:color="auto" w:fill="auto"/>
            <w:vAlign w:val="center"/>
          </w:tcPr>
          <w:p w:rsidR="005D6951" w:rsidRPr="003A3555" w:rsidRDefault="005D6951" w:rsidP="007777D1">
            <w:pPr>
              <w:pStyle w:val="Tabletext"/>
              <w:keepNext/>
              <w:jc w:val="center"/>
            </w:pPr>
            <w:r>
              <w:t>OS and PFS, sensitivity analyse</w:t>
            </w:r>
            <w:r w:rsidRPr="003A3555">
              <w:t>s</w:t>
            </w:r>
          </w:p>
        </w:tc>
      </w:tr>
      <w:tr w:rsidR="00DF3A1C" w:rsidRPr="003A3555" w:rsidTr="00DF3A1C">
        <w:tc>
          <w:tcPr>
            <w:tcW w:w="5000" w:type="pct"/>
            <w:gridSpan w:val="7"/>
            <w:shd w:val="clear" w:color="auto" w:fill="auto"/>
            <w:vAlign w:val="center"/>
          </w:tcPr>
          <w:p w:rsidR="00DF3A1C" w:rsidRPr="00DF3A1C" w:rsidRDefault="00DF3A1C" w:rsidP="007777D1">
            <w:pPr>
              <w:pStyle w:val="Tabletext"/>
              <w:keepNext/>
              <w:rPr>
                <w:b/>
              </w:rPr>
            </w:pPr>
            <w:proofErr w:type="spellStart"/>
            <w:r w:rsidRPr="00DF3A1C">
              <w:rPr>
                <w:b/>
              </w:rPr>
              <w:t>Lenalidomide</w:t>
            </w:r>
            <w:proofErr w:type="spellEnd"/>
            <w:r w:rsidRPr="00DF3A1C">
              <w:rPr>
                <w:b/>
              </w:rPr>
              <w:t xml:space="preserve"> vs. thalidomide</w:t>
            </w:r>
          </w:p>
        </w:tc>
      </w:tr>
      <w:tr w:rsidR="00DF3A1C" w:rsidRPr="003A3555" w:rsidTr="00B1292D">
        <w:tc>
          <w:tcPr>
            <w:tcW w:w="713" w:type="pct"/>
            <w:shd w:val="clear" w:color="auto" w:fill="auto"/>
            <w:vAlign w:val="center"/>
          </w:tcPr>
          <w:p w:rsidR="00DF3A1C" w:rsidRPr="003A3555" w:rsidRDefault="005D6951" w:rsidP="007777D1">
            <w:pPr>
              <w:pStyle w:val="Tabletext"/>
              <w:keepNext/>
              <w:rPr>
                <w:color w:val="FF0000"/>
              </w:rPr>
            </w:pPr>
            <w:r>
              <w:t>Indirect comparison</w:t>
            </w:r>
          </w:p>
        </w:tc>
        <w:tc>
          <w:tcPr>
            <w:tcW w:w="3451" w:type="pct"/>
            <w:gridSpan w:val="5"/>
            <w:shd w:val="clear" w:color="auto" w:fill="auto"/>
            <w:vAlign w:val="center"/>
          </w:tcPr>
          <w:p w:rsidR="00DF3A1C" w:rsidRDefault="00DF3A1C" w:rsidP="007777D1">
            <w:pPr>
              <w:pStyle w:val="Tabletext"/>
              <w:keepNext/>
            </w:pPr>
            <w:r>
              <w:t>Primary analysis: CALGB (adjusted for crossover) versus Myeloma IX (subgroup analysis)</w:t>
            </w:r>
          </w:p>
          <w:p w:rsidR="00DF3A1C" w:rsidRPr="003A3555" w:rsidRDefault="00DF3A1C" w:rsidP="007777D1">
            <w:pPr>
              <w:pStyle w:val="Tabletext"/>
              <w:keepNext/>
            </w:pPr>
            <w:r>
              <w:t xml:space="preserve">Sensitivity analyses: </w:t>
            </w:r>
            <w:proofErr w:type="spellStart"/>
            <w:r w:rsidR="005D6951">
              <w:t>Lenalidomide</w:t>
            </w:r>
            <w:proofErr w:type="spellEnd"/>
            <w:r w:rsidR="005D6951">
              <w:t xml:space="preserve"> meta-analyses versus thalidomide meta-analyses</w:t>
            </w:r>
          </w:p>
        </w:tc>
        <w:tc>
          <w:tcPr>
            <w:tcW w:w="836" w:type="pct"/>
            <w:shd w:val="clear" w:color="auto" w:fill="auto"/>
            <w:vAlign w:val="center"/>
          </w:tcPr>
          <w:p w:rsidR="00DF3A1C" w:rsidRPr="003A3555" w:rsidRDefault="00DF3A1C" w:rsidP="007777D1">
            <w:pPr>
              <w:pStyle w:val="Tabletext"/>
              <w:keepNext/>
              <w:jc w:val="center"/>
            </w:pPr>
            <w:r w:rsidRPr="003A3555">
              <w:t>O</w:t>
            </w:r>
            <w:r w:rsidR="005D6951">
              <w:t>S and PFS, sensitivity analyse</w:t>
            </w:r>
            <w:r w:rsidRPr="003A3555">
              <w:t>s</w:t>
            </w:r>
          </w:p>
        </w:tc>
      </w:tr>
    </w:tbl>
    <w:p w:rsidR="005E7102" w:rsidRPr="003A3555" w:rsidRDefault="005E7102" w:rsidP="00476EE6">
      <w:pPr>
        <w:pStyle w:val="TableFooter"/>
        <w:widowControl/>
      </w:pPr>
      <w:r w:rsidRPr="003A3555">
        <w:t xml:space="preserve">AE = adverse events; ASCT = autologous stem cell transplant; DB = double blind; NA = not applicable; OL = open label; OS = overall survival; PFS = progression-free survival; PFS2 = progression free survival after next line of therapy; R = randomised; </w:t>
      </w:r>
      <w:proofErr w:type="spellStart"/>
      <w:r w:rsidRPr="003A3555">
        <w:t>ToT</w:t>
      </w:r>
      <w:proofErr w:type="spellEnd"/>
      <w:r w:rsidRPr="003A3555">
        <w:t xml:space="preserve"> = time on treatment.</w:t>
      </w:r>
    </w:p>
    <w:p w:rsidR="005E7102" w:rsidRPr="003A3555" w:rsidRDefault="007777D1" w:rsidP="00476EE6">
      <w:pPr>
        <w:pStyle w:val="TableFooter"/>
        <w:widowControl/>
        <w:rPr>
          <w:szCs w:val="18"/>
        </w:rPr>
      </w:pPr>
      <w:r>
        <w:rPr>
          <w:szCs w:val="18"/>
        </w:rPr>
        <w:t>a</w:t>
      </w:r>
      <w:r w:rsidR="005E7102" w:rsidRPr="003A3555">
        <w:rPr>
          <w:szCs w:val="18"/>
        </w:rPr>
        <w:t>. Reported subgroups, Total population as follows: GIMEMA = 273</w:t>
      </w:r>
      <w:proofErr w:type="gramStart"/>
      <w:r w:rsidR="005E7102" w:rsidRPr="003A3555">
        <w:rPr>
          <w:szCs w:val="18"/>
        </w:rPr>
        <w:t>;</w:t>
      </w:r>
      <w:proofErr w:type="gramEnd"/>
      <w:r w:rsidR="005E7102" w:rsidRPr="003A3555">
        <w:rPr>
          <w:szCs w:val="18"/>
        </w:rPr>
        <w:t xml:space="preserve"> Myeloma XI = 1,550 and Myeloma IX= 820.</w:t>
      </w:r>
    </w:p>
    <w:p w:rsidR="00A21F6A" w:rsidRPr="003A3555" w:rsidRDefault="007777D1" w:rsidP="00476EE6">
      <w:pPr>
        <w:pStyle w:val="CommentText"/>
        <w:widowControl/>
        <w:rPr>
          <w:rFonts w:ascii="Arial Narrow" w:hAnsi="Arial Narrow"/>
          <w:sz w:val="18"/>
          <w:szCs w:val="18"/>
        </w:rPr>
      </w:pPr>
      <w:r>
        <w:rPr>
          <w:rFonts w:ascii="Arial Narrow" w:hAnsi="Arial Narrow"/>
          <w:sz w:val="18"/>
          <w:szCs w:val="18"/>
        </w:rPr>
        <w:t>b</w:t>
      </w:r>
      <w:r w:rsidR="00A21F6A" w:rsidRPr="003A3555">
        <w:rPr>
          <w:rFonts w:ascii="Arial Narrow" w:hAnsi="Arial Narrow"/>
          <w:sz w:val="18"/>
          <w:szCs w:val="18"/>
        </w:rPr>
        <w:t xml:space="preserve">. </w:t>
      </w:r>
      <w:r w:rsidR="00FD6B8F" w:rsidRPr="003A3555">
        <w:rPr>
          <w:rFonts w:ascii="Arial Narrow" w:hAnsi="Arial Narrow"/>
          <w:sz w:val="18"/>
          <w:szCs w:val="18"/>
        </w:rPr>
        <w:t>The r</w:t>
      </w:r>
      <w:r w:rsidR="00A21F6A" w:rsidRPr="003A3555">
        <w:rPr>
          <w:rFonts w:ascii="Arial Narrow" w:hAnsi="Arial Narrow"/>
          <w:sz w:val="18"/>
          <w:szCs w:val="18"/>
        </w:rPr>
        <w:t>esubmission stated MM6 had a “considerable risk” of bias, though it was unc</w:t>
      </w:r>
      <w:r w:rsidR="00FD6B8F" w:rsidRPr="003A3555">
        <w:rPr>
          <w:rFonts w:ascii="Arial Narrow" w:hAnsi="Arial Narrow"/>
          <w:sz w:val="18"/>
          <w:szCs w:val="18"/>
        </w:rPr>
        <w:t xml:space="preserve">lear to the evaluators whether </w:t>
      </w:r>
      <w:r w:rsidR="00D13DF2" w:rsidRPr="003A3555">
        <w:rPr>
          <w:rFonts w:ascii="Arial Narrow" w:hAnsi="Arial Narrow"/>
          <w:sz w:val="18"/>
          <w:szCs w:val="18"/>
        </w:rPr>
        <w:t xml:space="preserve">this trial had a greater risk of bias than the other randomised, open-label trials.  </w:t>
      </w:r>
    </w:p>
    <w:p w:rsidR="005E7102" w:rsidRPr="003A3555" w:rsidRDefault="005E7102" w:rsidP="00476EE6">
      <w:pPr>
        <w:pStyle w:val="TableFooter"/>
        <w:widowControl/>
      </w:pPr>
      <w:r w:rsidRPr="003A3555">
        <w:t>Source: Table 2.3.1, p.51-54 and Table 2.3.2, p.56-57 of the March-2018 submission. Section 2.5-2.6, p.80-127 of the March-2018 submission. Table 2-4, p.30 of the resubmission</w:t>
      </w:r>
      <w:r w:rsidR="00C63074" w:rsidRPr="003A3555">
        <w:t>.</w:t>
      </w:r>
    </w:p>
    <w:p w:rsidR="005E7102" w:rsidRPr="00600AD1" w:rsidRDefault="005E7102" w:rsidP="00C12C09">
      <w:pPr>
        <w:pStyle w:val="ListParagraph"/>
        <w:widowControl/>
        <w:numPr>
          <w:ilvl w:val="1"/>
          <w:numId w:val="2"/>
        </w:numPr>
        <w:spacing w:before="120"/>
      </w:pPr>
      <w:r w:rsidRPr="003A3555">
        <w:t xml:space="preserve">In CALGB, crossover occurred from the placebo arm to the </w:t>
      </w:r>
      <w:proofErr w:type="spellStart"/>
      <w:r w:rsidRPr="003A3555">
        <w:t>lenalidomide</w:t>
      </w:r>
      <w:proofErr w:type="spellEnd"/>
      <w:r w:rsidRPr="003A3555">
        <w:t xml:space="preserve"> arm after the trial was </w:t>
      </w:r>
      <w:proofErr w:type="spellStart"/>
      <w:r w:rsidRPr="003A3555">
        <w:t>unblinded</w:t>
      </w:r>
      <w:proofErr w:type="spellEnd"/>
      <w:r w:rsidRPr="003A3555">
        <w:t xml:space="preserve"> following the interim analysis. Crossover </w:t>
      </w:r>
      <w:proofErr w:type="gramStart"/>
      <w:r w:rsidRPr="003A3555">
        <w:t>was only allowed</w:t>
      </w:r>
      <w:proofErr w:type="gramEnd"/>
      <w:r w:rsidRPr="003A3555">
        <w:t xml:space="preserve"> for placebo patients who had not progressed. </w:t>
      </w:r>
      <w:r w:rsidRPr="00600AD1">
        <w:t xml:space="preserve">The comparative efficacy based on PFS and OS outcomes </w:t>
      </w:r>
      <w:proofErr w:type="gramStart"/>
      <w:r w:rsidRPr="00600AD1">
        <w:t>may be diluted</w:t>
      </w:r>
      <w:proofErr w:type="gramEnd"/>
      <w:r w:rsidRPr="00600AD1">
        <w:t xml:space="preserve"> by crossover, biasing against </w:t>
      </w:r>
      <w:proofErr w:type="spellStart"/>
      <w:r w:rsidRPr="00600AD1">
        <w:t>lenalidomide</w:t>
      </w:r>
      <w:proofErr w:type="spellEnd"/>
      <w:r w:rsidR="00FD6B8F" w:rsidRPr="00600AD1">
        <w:t xml:space="preserve">; </w:t>
      </w:r>
      <w:r w:rsidRPr="00600AD1">
        <w:t xml:space="preserve">the submission adjusted for this effect. The PBAC </w:t>
      </w:r>
      <w:r w:rsidR="00E94F54">
        <w:t xml:space="preserve">previously </w:t>
      </w:r>
      <w:r w:rsidRPr="00600AD1">
        <w:t xml:space="preserve">acknowledged that crossover </w:t>
      </w:r>
      <w:r w:rsidR="00C60F2C">
        <w:t xml:space="preserve">in CALGB, and </w:t>
      </w:r>
      <w:proofErr w:type="spellStart"/>
      <w:r w:rsidR="00C60F2C">
        <w:t>unblinding</w:t>
      </w:r>
      <w:proofErr w:type="spellEnd"/>
      <w:r w:rsidR="00C60F2C">
        <w:t xml:space="preserve"> in IFM</w:t>
      </w:r>
      <w:r w:rsidR="002B11A4">
        <w:t>2005-0</w:t>
      </w:r>
      <w:r w:rsidRPr="00600AD1">
        <w:t xml:space="preserve">2 may have diluted the treatment effect of </w:t>
      </w:r>
      <w:proofErr w:type="spellStart"/>
      <w:r w:rsidRPr="00600AD1">
        <w:t>lenalidomide</w:t>
      </w:r>
      <w:proofErr w:type="spellEnd"/>
      <w:r w:rsidRPr="00600AD1">
        <w:t xml:space="preserve"> </w:t>
      </w:r>
      <w:bookmarkStart w:id="28" w:name="_Hlk532369343"/>
      <w:r w:rsidRPr="00600AD1">
        <w:t>(</w:t>
      </w:r>
      <w:r w:rsidR="008E6CE1">
        <w:t xml:space="preserve">paragraph 7.5, </w:t>
      </w:r>
      <w:proofErr w:type="spellStart"/>
      <w:r w:rsidRPr="00600AD1">
        <w:t>Lenalidomide</w:t>
      </w:r>
      <w:proofErr w:type="spellEnd"/>
      <w:r w:rsidRPr="00600AD1">
        <w:t xml:space="preserve"> PSD</w:t>
      </w:r>
      <w:r w:rsidR="008E6CE1">
        <w:t>,</w:t>
      </w:r>
      <w:r w:rsidRPr="00600AD1">
        <w:t xml:space="preserve"> March 2018).</w:t>
      </w:r>
    </w:p>
    <w:bookmarkEnd w:id="28"/>
    <w:p w:rsidR="005E7102" w:rsidRPr="00600AD1" w:rsidRDefault="005E7102" w:rsidP="00C12C09">
      <w:pPr>
        <w:pStyle w:val="ListParagraph"/>
        <w:widowControl/>
        <w:numPr>
          <w:ilvl w:val="1"/>
          <w:numId w:val="2"/>
        </w:numPr>
        <w:spacing w:before="120"/>
      </w:pPr>
      <w:r w:rsidRPr="00600AD1">
        <w:t xml:space="preserve">There were transitivity issues between the trials for </w:t>
      </w:r>
      <w:proofErr w:type="spellStart"/>
      <w:r w:rsidRPr="00600AD1">
        <w:t>lenalidomide</w:t>
      </w:r>
      <w:proofErr w:type="spellEnd"/>
      <w:r w:rsidRPr="00600AD1">
        <w:t>. Only CALGB used the dosage regimen recommended in the approved PI (starting dose of 10 mg/day increasing after 3 months to 15 mg/day if tolerated</w:t>
      </w:r>
      <w:r w:rsidRPr="00D539BE">
        <w:t>)</w:t>
      </w:r>
      <w:r w:rsidR="0037680E" w:rsidRPr="00D539BE">
        <w:t xml:space="preserve">; however, the mean daily dose in CALGB </w:t>
      </w:r>
      <w:proofErr w:type="gramStart"/>
      <w:r w:rsidR="0037680E" w:rsidRPr="00D539BE">
        <w:t>was not reported</w:t>
      </w:r>
      <w:proofErr w:type="gramEnd"/>
      <w:r w:rsidR="00E94F54">
        <w:t>.</w:t>
      </w:r>
      <w:r w:rsidR="008D7310">
        <w:t xml:space="preserve"> </w:t>
      </w:r>
      <w:r w:rsidR="00E94F54">
        <w:t>T</w:t>
      </w:r>
      <w:r w:rsidR="008D7310">
        <w:t xml:space="preserve">he PBAC noted that Holstein, 2017 reported that the median dose for the duration of treatment for the </w:t>
      </w:r>
      <w:proofErr w:type="spellStart"/>
      <w:r w:rsidR="008D7310">
        <w:t>lenalidomide</w:t>
      </w:r>
      <w:proofErr w:type="spellEnd"/>
      <w:r w:rsidR="008D7310">
        <w:t xml:space="preserve"> group </w:t>
      </w:r>
      <w:r w:rsidR="00E94F54">
        <w:t xml:space="preserve">in CALGB </w:t>
      </w:r>
      <w:r w:rsidR="008D7310">
        <w:t xml:space="preserve">was 6.8 mg per day </w:t>
      </w:r>
      <w:r w:rsidR="00E94F54">
        <w:t>(</w:t>
      </w:r>
      <w:r w:rsidR="008D7310">
        <w:t>interquartile range: 4.6</w:t>
      </w:r>
      <w:r w:rsidR="00C60F2C">
        <w:t>, 9</w:t>
      </w:r>
      <w:r w:rsidR="008D7310">
        <w:t>.5)</w:t>
      </w:r>
      <w:r w:rsidRPr="00D539BE">
        <w:t>.</w:t>
      </w:r>
      <w:r w:rsidRPr="00600AD1">
        <w:t xml:space="preserve"> </w:t>
      </w:r>
      <w:r w:rsidR="00EE4C4B" w:rsidRPr="00600AD1">
        <w:t xml:space="preserve">The PBAC </w:t>
      </w:r>
      <w:r w:rsidR="008D7310">
        <w:t xml:space="preserve">previously </w:t>
      </w:r>
      <w:r w:rsidR="00EE4C4B" w:rsidRPr="00600AD1">
        <w:t>noted that there would be relatively few patients increasing their dose to 15 mg/day in Australian clinical practice, particularly given that greater exposure to the drug may increase toxicities and the risk of secondary primary malignancy (</w:t>
      </w:r>
      <w:r w:rsidR="008E6CE1">
        <w:t xml:space="preserve">paragraph 7.7, </w:t>
      </w:r>
      <w:proofErr w:type="spellStart"/>
      <w:r w:rsidR="00EE4C4B" w:rsidRPr="00600AD1">
        <w:t>Lenalidomide</w:t>
      </w:r>
      <w:proofErr w:type="spellEnd"/>
      <w:r w:rsidR="00EE4C4B" w:rsidRPr="00600AD1">
        <w:t xml:space="preserve"> PSD</w:t>
      </w:r>
      <w:r w:rsidR="008E6CE1">
        <w:t>,</w:t>
      </w:r>
      <w:r w:rsidR="00EE4C4B" w:rsidRPr="00600AD1">
        <w:t xml:space="preserve"> March 2018). </w:t>
      </w:r>
      <w:r w:rsidR="00C60F2C">
        <w:t>Patients in IFM</w:t>
      </w:r>
      <w:r w:rsidRPr="00600AD1">
        <w:t xml:space="preserve">2005-02 received 2 cycles of 25 mg/day </w:t>
      </w:r>
      <w:proofErr w:type="spellStart"/>
      <w:r w:rsidRPr="00600AD1">
        <w:t>lenalidomide</w:t>
      </w:r>
      <w:proofErr w:type="spellEnd"/>
      <w:r w:rsidRPr="00600AD1">
        <w:t xml:space="preserve"> post-ASCT, followed by </w:t>
      </w:r>
      <w:r w:rsidR="00DC0994" w:rsidRPr="00D539BE">
        <w:t xml:space="preserve">an </w:t>
      </w:r>
      <w:r w:rsidR="00DC0994" w:rsidRPr="001172EE">
        <w:t xml:space="preserve">average of </w:t>
      </w:r>
      <w:r w:rsidR="001D6F6D">
        <w:rPr>
          <w:noProof/>
          <w:color w:val="000000"/>
          <w:highlight w:val="black"/>
        </w:rPr>
        <w:t>'''''''''</w:t>
      </w:r>
      <w:r w:rsidRPr="001172EE">
        <w:t xml:space="preserve"> mg/day. GIMEMA</w:t>
      </w:r>
      <w:r w:rsidRPr="00600AD1">
        <w:t xml:space="preserve"> and Myeloma XI both used a dose of 10 mg/day for 21 days of a </w:t>
      </w:r>
      <w:proofErr w:type="gramStart"/>
      <w:r w:rsidRPr="00600AD1">
        <w:t>28 day</w:t>
      </w:r>
      <w:proofErr w:type="gramEnd"/>
      <w:r w:rsidRPr="00600AD1">
        <w:t xml:space="preserve"> cycle. </w:t>
      </w:r>
      <w:r w:rsidR="00EE4C4B" w:rsidRPr="00600AD1">
        <w:t xml:space="preserve"> Due to these </w:t>
      </w:r>
      <w:r w:rsidR="00EE4C4B" w:rsidRPr="00600AD1">
        <w:lastRenderedPageBreak/>
        <w:t>differences in dosing regimen from CALGB, along with other differences in study conduct and trial populations</w:t>
      </w:r>
      <w:r w:rsidRPr="00600AD1">
        <w:t xml:space="preserve">, these trials (IFM2005-02, GIMEMA and Myeloma XI) </w:t>
      </w:r>
      <w:proofErr w:type="gramStart"/>
      <w:r w:rsidRPr="00600AD1">
        <w:t>were included</w:t>
      </w:r>
      <w:proofErr w:type="gramEnd"/>
      <w:r w:rsidRPr="00600AD1">
        <w:t xml:space="preserve"> </w:t>
      </w:r>
      <w:r w:rsidR="00C63074" w:rsidRPr="00600AD1">
        <w:t xml:space="preserve">by the resubmission </w:t>
      </w:r>
      <w:r w:rsidRPr="00600AD1">
        <w:t xml:space="preserve">in the </w:t>
      </w:r>
      <w:r w:rsidR="00C4758E">
        <w:t xml:space="preserve">meta-analyses and </w:t>
      </w:r>
      <w:r w:rsidRPr="00600AD1">
        <w:t>indirect comparison</w:t>
      </w:r>
      <w:r w:rsidR="00C4758E">
        <w:t>s</w:t>
      </w:r>
      <w:r w:rsidRPr="00600AD1">
        <w:t xml:space="preserve"> as sensitivity analys</w:t>
      </w:r>
      <w:r w:rsidR="00C4758E">
        <w:t>e</w:t>
      </w:r>
      <w:r w:rsidRPr="00600AD1">
        <w:t>s.</w:t>
      </w:r>
      <w:r w:rsidR="00E50595" w:rsidRPr="00600AD1">
        <w:t xml:space="preserve"> </w:t>
      </w:r>
    </w:p>
    <w:p w:rsidR="00FD6B8F" w:rsidRDefault="005E7102" w:rsidP="00C12C09">
      <w:pPr>
        <w:pStyle w:val="ListParagraph"/>
        <w:widowControl/>
        <w:numPr>
          <w:ilvl w:val="1"/>
          <w:numId w:val="2"/>
        </w:numPr>
        <w:spacing w:before="120"/>
      </w:pPr>
      <w:r w:rsidRPr="00600AD1">
        <w:t xml:space="preserve">The GIMEMA, Myeloma XI and Myeloma IX trials also included NDMM patients who did not receive an ASCT but </w:t>
      </w:r>
      <w:proofErr w:type="gramStart"/>
      <w:r w:rsidRPr="00600AD1">
        <w:t>were randomised</w:t>
      </w:r>
      <w:proofErr w:type="gramEnd"/>
      <w:r w:rsidRPr="00600AD1">
        <w:t xml:space="preserve"> to maintenance therapy; the resubmission included analys</w:t>
      </w:r>
      <w:r w:rsidR="00C63074" w:rsidRPr="00600AD1">
        <w:t>e</w:t>
      </w:r>
      <w:r w:rsidRPr="00600AD1">
        <w:t xml:space="preserve">s of </w:t>
      </w:r>
      <w:r w:rsidR="00BC7930" w:rsidRPr="00600AD1">
        <w:t xml:space="preserve">ITT, ASCT and non-ASCT </w:t>
      </w:r>
      <w:r w:rsidRPr="00600AD1">
        <w:t>patients. This was in line with PBAC requests (</w:t>
      </w:r>
      <w:r w:rsidR="008E6CE1">
        <w:t xml:space="preserve">paragraph 7.4, </w:t>
      </w:r>
      <w:proofErr w:type="spellStart"/>
      <w:r w:rsidRPr="00600AD1">
        <w:t>Lenalidomide</w:t>
      </w:r>
      <w:proofErr w:type="spellEnd"/>
      <w:r w:rsidRPr="00600AD1">
        <w:t xml:space="preserve"> PSD</w:t>
      </w:r>
      <w:r w:rsidR="008E6CE1">
        <w:t>,</w:t>
      </w:r>
      <w:r w:rsidRPr="00600AD1">
        <w:t xml:space="preserve"> March 2018)</w:t>
      </w:r>
      <w:r w:rsidR="002F377A">
        <w:t>.</w:t>
      </w:r>
    </w:p>
    <w:p w:rsidR="00D06857" w:rsidRPr="00D539BE" w:rsidRDefault="00D06857" w:rsidP="00C12C09">
      <w:pPr>
        <w:pStyle w:val="ListParagraph"/>
        <w:widowControl/>
        <w:numPr>
          <w:ilvl w:val="1"/>
          <w:numId w:val="2"/>
        </w:numPr>
        <w:spacing w:before="120"/>
        <w:rPr>
          <w:rFonts w:cs="Calibri"/>
          <w:snapToGrid/>
          <w:szCs w:val="24"/>
          <w:lang w:eastAsia="en-AU"/>
        </w:rPr>
      </w:pPr>
      <w:r w:rsidRPr="00D539BE">
        <w:t xml:space="preserve">MM6 data </w:t>
      </w:r>
      <w:r w:rsidR="00995E61">
        <w:t>were</w:t>
      </w:r>
      <w:r w:rsidR="00995E61" w:rsidRPr="00D539BE">
        <w:t xml:space="preserve"> </w:t>
      </w:r>
      <w:r w:rsidRPr="00D539BE">
        <w:t xml:space="preserve">included in the meta-analyses and indirect comparisons of </w:t>
      </w:r>
      <w:proofErr w:type="spellStart"/>
      <w:r w:rsidRPr="00D539BE">
        <w:t>lenalidomide</w:t>
      </w:r>
      <w:proofErr w:type="spellEnd"/>
      <w:r w:rsidRPr="00D539BE">
        <w:t xml:space="preserve"> and thalidomide as sensitivity analyses only as it was conducted in an earlier </w:t>
      </w:r>
      <w:proofErr w:type="gramStart"/>
      <w:r w:rsidRPr="00D539BE">
        <w:t>time period</w:t>
      </w:r>
      <w:proofErr w:type="gramEnd"/>
      <w:r w:rsidRPr="00D539BE">
        <w:t xml:space="preserve"> than the </w:t>
      </w:r>
      <w:proofErr w:type="spellStart"/>
      <w:r w:rsidRPr="00D539BE">
        <w:t>lenalidomide</w:t>
      </w:r>
      <w:proofErr w:type="spellEnd"/>
      <w:r w:rsidRPr="00D539BE">
        <w:t xml:space="preserve"> trials and due to the resubmission determining that it was affected by a high level of bias. </w:t>
      </w:r>
      <w:proofErr w:type="gramStart"/>
      <w:r w:rsidRPr="00D539BE">
        <w:t xml:space="preserve">This was based on the </w:t>
      </w:r>
      <w:r w:rsidRPr="00D539BE">
        <w:rPr>
          <w:rFonts w:cs="Calibri"/>
          <w:snapToGrid/>
          <w:szCs w:val="24"/>
          <w:lang w:eastAsia="en-AU"/>
        </w:rPr>
        <w:t>independent assessment</w:t>
      </w:r>
      <w:r w:rsidR="00995E61" w:rsidRPr="00995E61">
        <w:rPr>
          <w:rFonts w:cs="Calibri"/>
          <w:snapToGrid/>
          <w:szCs w:val="24"/>
          <w:lang w:eastAsia="en-AU"/>
        </w:rPr>
        <w:t xml:space="preserve"> </w:t>
      </w:r>
      <w:r w:rsidR="00995E61" w:rsidRPr="00D539BE">
        <w:rPr>
          <w:rFonts w:cs="Calibri"/>
          <w:snapToGrid/>
          <w:szCs w:val="24"/>
          <w:lang w:eastAsia="en-AU"/>
        </w:rPr>
        <w:t>of the results of MM6</w:t>
      </w:r>
      <w:r w:rsidRPr="00D539BE">
        <w:rPr>
          <w:rFonts w:cs="Calibri"/>
          <w:snapToGrid/>
          <w:szCs w:val="24"/>
          <w:lang w:eastAsia="en-AU"/>
        </w:rPr>
        <w:t xml:space="preserve"> by the Melbourne University Statistical Consulting Centre</w:t>
      </w:r>
      <w:proofErr w:type="gramEnd"/>
      <w:r w:rsidRPr="00D539BE">
        <w:rPr>
          <w:rFonts w:cs="Calibri"/>
          <w:snapToGrid/>
          <w:szCs w:val="24"/>
          <w:lang w:eastAsia="en-AU"/>
        </w:rPr>
        <w:t xml:space="preserve">. Three potential issues in the </w:t>
      </w:r>
      <w:proofErr w:type="spellStart"/>
      <w:r w:rsidRPr="00D539BE">
        <w:rPr>
          <w:rFonts w:cs="Calibri"/>
          <w:snapToGrid/>
          <w:szCs w:val="24"/>
          <w:lang w:eastAsia="en-AU"/>
        </w:rPr>
        <w:t>Kalff</w:t>
      </w:r>
      <w:proofErr w:type="spellEnd"/>
      <w:r w:rsidRPr="00D539BE">
        <w:rPr>
          <w:rFonts w:cs="Calibri"/>
          <w:snapToGrid/>
          <w:szCs w:val="24"/>
          <w:lang w:eastAsia="en-AU"/>
        </w:rPr>
        <w:t>, 2014 paper were identified:</w:t>
      </w:r>
    </w:p>
    <w:p w:rsidR="00D06857" w:rsidRPr="007777D1" w:rsidRDefault="00D06857" w:rsidP="00C12C09">
      <w:pPr>
        <w:pStyle w:val="ListParagraph"/>
        <w:widowControl/>
        <w:numPr>
          <w:ilvl w:val="0"/>
          <w:numId w:val="9"/>
        </w:numPr>
        <w:spacing w:before="120"/>
        <w:rPr>
          <w:color w:val="000000" w:themeColor="text1"/>
          <w:szCs w:val="24"/>
        </w:rPr>
      </w:pPr>
      <w:r w:rsidRPr="007777D1">
        <w:rPr>
          <w:color w:val="000000" w:themeColor="text1"/>
          <w:szCs w:val="24"/>
        </w:rPr>
        <w:t xml:space="preserve">it was implausible that the PFS and OS HRs (0.16 and 0.12 respectively) could change so dramatically from those reported in Spencer (2009) (0.50 and 0.41 respectively); </w:t>
      </w:r>
    </w:p>
    <w:p w:rsidR="00D06857" w:rsidRPr="007777D1" w:rsidRDefault="00D06857" w:rsidP="00C12C09">
      <w:pPr>
        <w:pStyle w:val="ListParagraph"/>
        <w:widowControl/>
        <w:numPr>
          <w:ilvl w:val="0"/>
          <w:numId w:val="9"/>
        </w:numPr>
        <w:spacing w:before="120"/>
        <w:rPr>
          <w:color w:val="000000" w:themeColor="text1"/>
          <w:szCs w:val="24"/>
        </w:rPr>
      </w:pPr>
      <w:r w:rsidRPr="007777D1">
        <w:rPr>
          <w:color w:val="000000" w:themeColor="text1"/>
          <w:szCs w:val="24"/>
        </w:rPr>
        <w:t xml:space="preserve">the </w:t>
      </w:r>
      <w:r w:rsidR="000833A4">
        <w:rPr>
          <w:color w:val="000000" w:themeColor="text1"/>
          <w:szCs w:val="24"/>
        </w:rPr>
        <w:t xml:space="preserve">analysis assumed 100% survival over the 8 to 12 months </w:t>
      </w:r>
      <w:r w:rsidRPr="007777D1">
        <w:rPr>
          <w:color w:val="000000" w:themeColor="text1"/>
          <w:szCs w:val="24"/>
        </w:rPr>
        <w:t>duration of</w:t>
      </w:r>
      <w:r w:rsidR="000833A4">
        <w:rPr>
          <w:color w:val="000000" w:themeColor="text1"/>
          <w:szCs w:val="24"/>
        </w:rPr>
        <w:t xml:space="preserve"> treatment;</w:t>
      </w:r>
      <w:r w:rsidRPr="007777D1">
        <w:rPr>
          <w:color w:val="000000" w:themeColor="text1"/>
          <w:szCs w:val="24"/>
        </w:rPr>
        <w:t xml:space="preserve"> and </w:t>
      </w:r>
    </w:p>
    <w:p w:rsidR="00D06857" w:rsidRPr="00D539BE" w:rsidRDefault="00D06857" w:rsidP="00C12C09">
      <w:pPr>
        <w:pStyle w:val="ListParagraph"/>
        <w:widowControl/>
        <w:numPr>
          <w:ilvl w:val="0"/>
          <w:numId w:val="9"/>
        </w:numPr>
        <w:spacing w:before="120"/>
      </w:pPr>
      <w:proofErr w:type="gramStart"/>
      <w:r w:rsidRPr="00D539BE">
        <w:rPr>
          <w:color w:val="000000" w:themeColor="text1"/>
          <w:szCs w:val="24"/>
        </w:rPr>
        <w:t>the</w:t>
      </w:r>
      <w:proofErr w:type="gramEnd"/>
      <w:r w:rsidRPr="00D539BE">
        <w:rPr>
          <w:color w:val="000000" w:themeColor="text1"/>
          <w:szCs w:val="24"/>
        </w:rPr>
        <w:t xml:space="preserve"> confidence intervals for PFS and OS were too narrow given the number of subjects in the trial.</w:t>
      </w:r>
    </w:p>
    <w:p w:rsidR="00FD6B8F" w:rsidRPr="00D539BE" w:rsidRDefault="00D06857" w:rsidP="00C12C09">
      <w:pPr>
        <w:pStyle w:val="ListParagraph"/>
        <w:widowControl/>
        <w:numPr>
          <w:ilvl w:val="1"/>
          <w:numId w:val="2"/>
        </w:numPr>
        <w:spacing w:before="120"/>
      </w:pPr>
      <w:r w:rsidRPr="00D539BE">
        <w:t xml:space="preserve">The ESC considered that the different treatment setting and potential statistical errors from the </w:t>
      </w:r>
      <w:proofErr w:type="spellStart"/>
      <w:r w:rsidRPr="00D539BE">
        <w:t>Kalff</w:t>
      </w:r>
      <w:proofErr w:type="spellEnd"/>
      <w:r w:rsidRPr="00D539BE">
        <w:t xml:space="preserve"> 2014 paper justified not combining the results from MM6 in meta-analyses with those from Myeloma IX</w:t>
      </w:r>
      <w:r w:rsidR="00227F50">
        <w:t xml:space="preserve">; instead using </w:t>
      </w:r>
      <w:r w:rsidR="004E5209">
        <w:t>MM6</w:t>
      </w:r>
      <w:r w:rsidR="00227F50">
        <w:t xml:space="preserve"> in sensitivity analyses</w:t>
      </w:r>
      <w:r w:rsidRPr="00D539BE">
        <w:t>.</w:t>
      </w:r>
    </w:p>
    <w:p w:rsidR="005E7102" w:rsidRPr="003A3555" w:rsidRDefault="005E7102" w:rsidP="00C12C09">
      <w:pPr>
        <w:pStyle w:val="Heading2"/>
        <w:widowControl/>
        <w:spacing w:before="120"/>
      </w:pPr>
      <w:bookmarkStart w:id="29" w:name="_Toc532395962"/>
      <w:bookmarkStart w:id="30" w:name="_Toc532805605"/>
      <w:bookmarkStart w:id="31" w:name="_Toc533163396"/>
      <w:r w:rsidRPr="003A3555">
        <w:t>Comparative effectiveness</w:t>
      </w:r>
      <w:bookmarkEnd w:id="29"/>
      <w:bookmarkEnd w:id="30"/>
      <w:bookmarkEnd w:id="31"/>
    </w:p>
    <w:p w:rsidR="005E7102" w:rsidRPr="00600AD1" w:rsidRDefault="005E7102" w:rsidP="00C12C09">
      <w:pPr>
        <w:pStyle w:val="ListParagraph"/>
        <w:widowControl/>
        <w:spacing w:before="120"/>
        <w:ind w:left="0"/>
        <w:rPr>
          <w:u w:val="single"/>
        </w:rPr>
      </w:pPr>
      <w:proofErr w:type="spellStart"/>
      <w:r w:rsidRPr="00600AD1">
        <w:rPr>
          <w:u w:val="single"/>
        </w:rPr>
        <w:t>Lenalidomide</w:t>
      </w:r>
      <w:proofErr w:type="spellEnd"/>
      <w:r w:rsidRPr="00600AD1">
        <w:rPr>
          <w:u w:val="single"/>
        </w:rPr>
        <w:t xml:space="preserve"> vs. BSC</w:t>
      </w:r>
    </w:p>
    <w:p w:rsidR="005E7102" w:rsidRPr="00600AD1" w:rsidRDefault="005E7102" w:rsidP="00C12C09">
      <w:pPr>
        <w:pStyle w:val="ListParagraph"/>
        <w:widowControl/>
        <w:numPr>
          <w:ilvl w:val="1"/>
          <w:numId w:val="2"/>
        </w:numPr>
        <w:spacing w:before="120"/>
        <w:rPr>
          <w:rStyle w:val="CommentReference"/>
          <w:color w:val="FF0000"/>
        </w:rPr>
      </w:pPr>
      <w:r w:rsidRPr="003A3555">
        <w:rPr>
          <w:rFonts w:cs="Calibri"/>
          <w:snapToGrid/>
          <w:szCs w:val="24"/>
          <w:lang w:eastAsia="en-AU"/>
        </w:rPr>
        <w:t xml:space="preserve">The results from </w:t>
      </w:r>
      <w:r w:rsidRPr="00684FB0">
        <w:t>CALGB</w:t>
      </w:r>
      <w:r w:rsidRPr="00684FB0">
        <w:rPr>
          <w:rFonts w:cs="Calibri"/>
          <w:snapToGrid/>
          <w:szCs w:val="24"/>
          <w:lang w:eastAsia="en-AU"/>
        </w:rPr>
        <w:t xml:space="preserve"> </w:t>
      </w:r>
      <w:r w:rsidRPr="003A3555">
        <w:rPr>
          <w:rFonts w:cs="Calibri"/>
          <w:snapToGrid/>
          <w:szCs w:val="24"/>
          <w:lang w:eastAsia="en-AU"/>
        </w:rPr>
        <w:t>and IFM2005</w:t>
      </w:r>
      <w:r w:rsidRPr="003A3555">
        <w:rPr>
          <w:rFonts w:cs="Calibri"/>
          <w:snapToGrid/>
          <w:szCs w:val="24"/>
          <w:lang w:eastAsia="en-AU"/>
        </w:rPr>
        <w:noBreakHyphen/>
        <w:t xml:space="preserve">02 for PFS and OS </w:t>
      </w:r>
      <w:proofErr w:type="gramStart"/>
      <w:r w:rsidRPr="003A3555">
        <w:rPr>
          <w:rFonts w:cs="Calibri"/>
          <w:snapToGrid/>
          <w:szCs w:val="24"/>
          <w:lang w:eastAsia="en-AU"/>
        </w:rPr>
        <w:t>are presented</w:t>
      </w:r>
      <w:proofErr w:type="gramEnd"/>
      <w:r w:rsidRPr="003A3555">
        <w:rPr>
          <w:rFonts w:cs="Calibri"/>
          <w:snapToGrid/>
          <w:szCs w:val="24"/>
          <w:lang w:eastAsia="en-AU"/>
        </w:rPr>
        <w:t xml:space="preserve"> in Tables </w:t>
      </w:r>
      <w:r w:rsidR="00C63074" w:rsidRPr="003A3555">
        <w:rPr>
          <w:rFonts w:cs="Calibri"/>
          <w:snapToGrid/>
          <w:szCs w:val="24"/>
          <w:lang w:eastAsia="en-AU"/>
        </w:rPr>
        <w:t>8</w:t>
      </w:r>
      <w:r w:rsidRPr="003A3555">
        <w:rPr>
          <w:rFonts w:cs="Calibri"/>
          <w:snapToGrid/>
          <w:szCs w:val="24"/>
          <w:lang w:eastAsia="en-AU"/>
        </w:rPr>
        <w:t xml:space="preserve"> and </w:t>
      </w:r>
      <w:r w:rsidR="00C63074" w:rsidRPr="003A3555">
        <w:rPr>
          <w:rFonts w:cs="Calibri"/>
          <w:snapToGrid/>
          <w:szCs w:val="24"/>
          <w:lang w:eastAsia="en-AU"/>
        </w:rPr>
        <w:t>9</w:t>
      </w:r>
      <w:r w:rsidRPr="003A3555">
        <w:rPr>
          <w:rFonts w:cs="Calibri"/>
          <w:snapToGrid/>
          <w:szCs w:val="24"/>
          <w:lang w:eastAsia="en-AU"/>
        </w:rPr>
        <w:t xml:space="preserve"> (with the corresponding Kaplan-Meier data </w:t>
      </w:r>
      <w:r w:rsidR="00820A05" w:rsidRPr="003A3555">
        <w:rPr>
          <w:rFonts w:cs="Calibri"/>
          <w:snapToGrid/>
          <w:szCs w:val="24"/>
          <w:lang w:eastAsia="en-AU"/>
        </w:rPr>
        <w:t xml:space="preserve">for CALGB </w:t>
      </w:r>
      <w:r w:rsidRPr="003A3555">
        <w:rPr>
          <w:rFonts w:cs="Calibri"/>
          <w:snapToGrid/>
          <w:szCs w:val="24"/>
          <w:lang w:eastAsia="en-AU"/>
        </w:rPr>
        <w:t>in Figure 1</w:t>
      </w:r>
      <w:r w:rsidR="00590C09" w:rsidRPr="003A3555">
        <w:rPr>
          <w:rFonts w:cs="Calibri"/>
          <w:snapToGrid/>
          <w:szCs w:val="24"/>
          <w:lang w:eastAsia="en-AU"/>
        </w:rPr>
        <w:t xml:space="preserve"> and Figure 2</w:t>
      </w:r>
      <w:r w:rsidRPr="003A3555">
        <w:rPr>
          <w:rFonts w:cs="Calibri"/>
          <w:snapToGrid/>
          <w:szCs w:val="24"/>
          <w:lang w:eastAsia="en-AU"/>
        </w:rPr>
        <w:t xml:space="preserve">). </w:t>
      </w:r>
      <w:r w:rsidRPr="00600AD1">
        <w:rPr>
          <w:rFonts w:cs="Calibri"/>
          <w:snapToGrid/>
          <w:szCs w:val="24"/>
          <w:lang w:eastAsia="en-AU"/>
        </w:rPr>
        <w:t xml:space="preserve">While both trials showed a statistically significant improvement in PFS, only CALGB showed a statistically significant improvement in OS. </w:t>
      </w:r>
      <w:r w:rsidRPr="00600AD1">
        <w:rPr>
          <w:szCs w:val="20"/>
        </w:rPr>
        <w:t>The March</w:t>
      </w:r>
      <w:r w:rsidR="00027B01">
        <w:rPr>
          <w:szCs w:val="20"/>
        </w:rPr>
        <w:t xml:space="preserve"> </w:t>
      </w:r>
      <w:r w:rsidRPr="00600AD1">
        <w:rPr>
          <w:szCs w:val="20"/>
        </w:rPr>
        <w:t xml:space="preserve">2018 submission argued that this was due to IFM2005-02 being underpowered to detect a difference in OS. </w:t>
      </w:r>
      <w:r w:rsidR="001F5B60">
        <w:rPr>
          <w:szCs w:val="20"/>
        </w:rPr>
        <w:t>The</w:t>
      </w:r>
      <w:r w:rsidR="00C63074" w:rsidRPr="00600AD1">
        <w:rPr>
          <w:szCs w:val="20"/>
        </w:rPr>
        <w:t xml:space="preserve"> </w:t>
      </w:r>
      <w:r w:rsidR="00D06857">
        <w:rPr>
          <w:szCs w:val="20"/>
        </w:rPr>
        <w:t>evaluators considered this</w:t>
      </w:r>
      <w:r w:rsidR="00C63074" w:rsidRPr="00600AD1">
        <w:rPr>
          <w:szCs w:val="20"/>
        </w:rPr>
        <w:t xml:space="preserve"> reasonable. </w:t>
      </w:r>
      <w:r w:rsidRPr="00600AD1">
        <w:rPr>
          <w:szCs w:val="20"/>
        </w:rPr>
        <w:t xml:space="preserve">Additionally, the trial was </w:t>
      </w:r>
      <w:proofErr w:type="spellStart"/>
      <w:r w:rsidRPr="00600AD1">
        <w:rPr>
          <w:szCs w:val="20"/>
        </w:rPr>
        <w:t>unblinded</w:t>
      </w:r>
      <w:proofErr w:type="spellEnd"/>
      <w:r w:rsidRPr="00600AD1">
        <w:rPr>
          <w:szCs w:val="20"/>
        </w:rPr>
        <w:t xml:space="preserve"> after the interim analysis (July 2010)</w:t>
      </w:r>
      <w:r w:rsidR="00345300" w:rsidRPr="00600AD1">
        <w:rPr>
          <w:rStyle w:val="CommentReference"/>
        </w:rPr>
        <w:t>.</w:t>
      </w:r>
    </w:p>
    <w:p w:rsidR="005E7102" w:rsidRPr="003A3555" w:rsidRDefault="005E7102" w:rsidP="00476EE6">
      <w:pPr>
        <w:keepNext/>
        <w:widowControl/>
        <w:rPr>
          <w:rStyle w:val="CommentReference"/>
        </w:rPr>
      </w:pPr>
      <w:r w:rsidRPr="003A3555">
        <w:rPr>
          <w:rStyle w:val="CommentReference"/>
        </w:rPr>
        <w:lastRenderedPageBreak/>
        <w:t xml:space="preserve">Table </w:t>
      </w:r>
      <w:r w:rsidR="00C63074" w:rsidRPr="003A3555">
        <w:rPr>
          <w:rStyle w:val="CommentReference"/>
        </w:rPr>
        <w:t>8</w:t>
      </w:r>
      <w:r w:rsidRPr="003A3555">
        <w:rPr>
          <w:rStyle w:val="CommentReference"/>
        </w:rPr>
        <w:t xml:space="preserve">: </w:t>
      </w:r>
      <w:r w:rsidR="009A6A3D" w:rsidRPr="003A3555">
        <w:rPr>
          <w:rStyle w:val="CommentReference"/>
        </w:rPr>
        <w:t xml:space="preserve">CALGB and IFM 2005 02 – </w:t>
      </w:r>
      <w:r w:rsidRPr="003A3555">
        <w:rPr>
          <w:rStyle w:val="CommentReference"/>
        </w:rPr>
        <w:t xml:space="preserve">PFS results – </w:t>
      </w:r>
      <w:proofErr w:type="spellStart"/>
      <w:r w:rsidRPr="003A3555">
        <w:rPr>
          <w:rStyle w:val="CommentReference"/>
        </w:rPr>
        <w:t>lenalidomide</w:t>
      </w:r>
      <w:proofErr w:type="spellEnd"/>
      <w:r w:rsidRPr="003A3555">
        <w:rPr>
          <w:rStyle w:val="CommentReference"/>
        </w:rPr>
        <w:t xml:space="preserve"> versus BSC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CALGB and IFM 2005 02 – PFS results – lenalidomide versus BSC"/>
      </w:tblPr>
      <w:tblGrid>
        <w:gridCol w:w="1556"/>
        <w:gridCol w:w="994"/>
        <w:gridCol w:w="1417"/>
        <w:gridCol w:w="995"/>
        <w:gridCol w:w="1417"/>
        <w:gridCol w:w="1419"/>
        <w:gridCol w:w="162"/>
        <w:gridCol w:w="1057"/>
      </w:tblGrid>
      <w:tr w:rsidR="00DE782C" w:rsidRPr="003A3555" w:rsidTr="00DE782C">
        <w:trPr>
          <w:tblHeader/>
        </w:trPr>
        <w:tc>
          <w:tcPr>
            <w:tcW w:w="862" w:type="pct"/>
            <w:vMerge w:val="restart"/>
            <w:tcMar>
              <w:left w:w="28" w:type="dxa"/>
              <w:right w:w="28" w:type="dxa"/>
            </w:tcMar>
            <w:vAlign w:val="center"/>
          </w:tcPr>
          <w:p w:rsidR="00DE782C" w:rsidRPr="003A3555" w:rsidRDefault="00DE782C" w:rsidP="00476EE6">
            <w:pPr>
              <w:pStyle w:val="Tabletext"/>
              <w:keepNext/>
              <w:rPr>
                <w:b/>
              </w:rPr>
            </w:pPr>
          </w:p>
        </w:tc>
        <w:tc>
          <w:tcPr>
            <w:tcW w:w="1336" w:type="pct"/>
            <w:gridSpan w:val="2"/>
            <w:tcMar>
              <w:left w:w="28" w:type="dxa"/>
              <w:right w:w="28" w:type="dxa"/>
            </w:tcMar>
            <w:vAlign w:val="center"/>
          </w:tcPr>
          <w:p w:rsidR="00DE782C" w:rsidRPr="003A3555" w:rsidRDefault="00DE782C" w:rsidP="00476EE6">
            <w:pPr>
              <w:pStyle w:val="Tabletext"/>
              <w:keepNext/>
              <w:jc w:val="center"/>
              <w:rPr>
                <w:b/>
              </w:rPr>
            </w:pPr>
            <w:proofErr w:type="spellStart"/>
            <w:r w:rsidRPr="003A3555">
              <w:rPr>
                <w:b/>
              </w:rPr>
              <w:t>Lenalidomide</w:t>
            </w:r>
            <w:proofErr w:type="spellEnd"/>
          </w:p>
        </w:tc>
        <w:tc>
          <w:tcPr>
            <w:tcW w:w="1337" w:type="pct"/>
            <w:gridSpan w:val="2"/>
            <w:tcMar>
              <w:left w:w="28" w:type="dxa"/>
              <w:right w:w="28" w:type="dxa"/>
            </w:tcMar>
            <w:vAlign w:val="center"/>
          </w:tcPr>
          <w:p w:rsidR="00DE782C" w:rsidRPr="003A3555" w:rsidRDefault="00DE782C" w:rsidP="00476EE6">
            <w:pPr>
              <w:pStyle w:val="Tabletext"/>
              <w:keepNext/>
              <w:jc w:val="center"/>
              <w:rPr>
                <w:b/>
              </w:rPr>
            </w:pPr>
            <w:r w:rsidRPr="003A3555">
              <w:rPr>
                <w:b/>
              </w:rPr>
              <w:t>BSC</w:t>
            </w:r>
          </w:p>
        </w:tc>
        <w:tc>
          <w:tcPr>
            <w:tcW w:w="787" w:type="pct"/>
            <w:vMerge w:val="restart"/>
            <w:tcMar>
              <w:left w:w="28" w:type="dxa"/>
              <w:right w:w="28" w:type="dxa"/>
            </w:tcMar>
            <w:vAlign w:val="center"/>
          </w:tcPr>
          <w:p w:rsidR="00DE782C" w:rsidRPr="003A3555" w:rsidRDefault="00DE782C" w:rsidP="00476EE6">
            <w:pPr>
              <w:pStyle w:val="Tabletext"/>
              <w:keepNext/>
              <w:jc w:val="center"/>
              <w:rPr>
                <w:b/>
              </w:rPr>
            </w:pPr>
            <w:r w:rsidRPr="003A3555">
              <w:rPr>
                <w:b/>
              </w:rPr>
              <w:t>Difference in median, months</w:t>
            </w:r>
          </w:p>
        </w:tc>
        <w:tc>
          <w:tcPr>
            <w:tcW w:w="677" w:type="pct"/>
            <w:gridSpan w:val="2"/>
            <w:vMerge w:val="restart"/>
            <w:tcMar>
              <w:left w:w="28" w:type="dxa"/>
              <w:right w:w="28" w:type="dxa"/>
            </w:tcMar>
            <w:vAlign w:val="center"/>
          </w:tcPr>
          <w:p w:rsidR="00DE782C" w:rsidRPr="003A3555" w:rsidRDefault="00DE782C" w:rsidP="00476EE6">
            <w:pPr>
              <w:pStyle w:val="Tabletext"/>
              <w:keepNext/>
              <w:jc w:val="center"/>
              <w:rPr>
                <w:b/>
              </w:rPr>
            </w:pPr>
            <w:r w:rsidRPr="003A3555">
              <w:rPr>
                <w:b/>
              </w:rPr>
              <w:t xml:space="preserve">Hazard ratio </w:t>
            </w:r>
            <w:r>
              <w:rPr>
                <w:b/>
              </w:rPr>
              <w:br/>
            </w:r>
            <w:r w:rsidRPr="003A3555">
              <w:rPr>
                <w:b/>
              </w:rPr>
              <w:t>(95% CI)</w:t>
            </w:r>
          </w:p>
        </w:tc>
      </w:tr>
      <w:tr w:rsidR="00DE782C" w:rsidRPr="003A3555" w:rsidTr="00DE782C">
        <w:tc>
          <w:tcPr>
            <w:tcW w:w="862" w:type="pct"/>
            <w:vMerge/>
            <w:tcBorders>
              <w:bottom w:val="single" w:sz="4" w:space="0" w:color="auto"/>
            </w:tcBorders>
            <w:tcMar>
              <w:left w:w="28" w:type="dxa"/>
              <w:right w:w="28" w:type="dxa"/>
            </w:tcMar>
            <w:vAlign w:val="center"/>
          </w:tcPr>
          <w:p w:rsidR="00DE782C" w:rsidRPr="00222212" w:rsidRDefault="00DE782C" w:rsidP="00476EE6">
            <w:pPr>
              <w:pStyle w:val="Tabletext"/>
              <w:keepNext/>
              <w:rPr>
                <w:b/>
              </w:rPr>
            </w:pPr>
          </w:p>
        </w:tc>
        <w:tc>
          <w:tcPr>
            <w:tcW w:w="551" w:type="pct"/>
            <w:tcBorders>
              <w:bottom w:val="single" w:sz="4" w:space="0" w:color="auto"/>
            </w:tcBorders>
            <w:tcMar>
              <w:left w:w="28" w:type="dxa"/>
              <w:right w:w="28" w:type="dxa"/>
            </w:tcMar>
            <w:vAlign w:val="center"/>
          </w:tcPr>
          <w:p w:rsidR="00DE782C" w:rsidRPr="00222212" w:rsidRDefault="00DE782C" w:rsidP="00476EE6">
            <w:pPr>
              <w:pStyle w:val="Tabletext"/>
              <w:keepNext/>
              <w:jc w:val="center"/>
              <w:rPr>
                <w:b/>
              </w:rPr>
            </w:pPr>
            <w:proofErr w:type="gramStart"/>
            <w:r w:rsidRPr="00222212">
              <w:rPr>
                <w:b/>
              </w:rPr>
              <w:t>n/N</w:t>
            </w:r>
            <w:proofErr w:type="gramEnd"/>
            <w:r w:rsidRPr="00222212">
              <w:rPr>
                <w:b/>
              </w:rPr>
              <w:t xml:space="preserve"> (%)</w:t>
            </w:r>
          </w:p>
        </w:tc>
        <w:tc>
          <w:tcPr>
            <w:tcW w:w="786" w:type="pct"/>
            <w:tcBorders>
              <w:bottom w:val="single" w:sz="4" w:space="0" w:color="auto"/>
            </w:tcBorders>
            <w:tcMar>
              <w:left w:w="28" w:type="dxa"/>
              <w:right w:w="28" w:type="dxa"/>
            </w:tcMar>
            <w:vAlign w:val="center"/>
          </w:tcPr>
          <w:p w:rsidR="00DE782C" w:rsidRPr="00222212" w:rsidRDefault="00DE782C" w:rsidP="00476EE6">
            <w:pPr>
              <w:pStyle w:val="Tabletext"/>
              <w:keepNext/>
              <w:jc w:val="center"/>
              <w:rPr>
                <w:b/>
              </w:rPr>
            </w:pPr>
            <w:r w:rsidRPr="00222212">
              <w:rPr>
                <w:b/>
              </w:rPr>
              <w:t>Median PFS, m</w:t>
            </w:r>
            <w:r>
              <w:rPr>
                <w:b/>
              </w:rPr>
              <w:t>on</w:t>
            </w:r>
            <w:r w:rsidRPr="00222212">
              <w:rPr>
                <w:b/>
              </w:rPr>
              <w:t>ths (95% CI)</w:t>
            </w:r>
          </w:p>
        </w:tc>
        <w:tc>
          <w:tcPr>
            <w:tcW w:w="552" w:type="pct"/>
            <w:tcBorders>
              <w:bottom w:val="single" w:sz="4" w:space="0" w:color="auto"/>
            </w:tcBorders>
            <w:tcMar>
              <w:left w:w="28" w:type="dxa"/>
              <w:right w:w="28" w:type="dxa"/>
            </w:tcMar>
            <w:vAlign w:val="center"/>
          </w:tcPr>
          <w:p w:rsidR="00DE782C" w:rsidRPr="00222212" w:rsidRDefault="00DE782C" w:rsidP="00476EE6">
            <w:pPr>
              <w:pStyle w:val="Tabletext"/>
              <w:keepNext/>
              <w:jc w:val="center"/>
              <w:rPr>
                <w:b/>
              </w:rPr>
            </w:pPr>
            <w:proofErr w:type="gramStart"/>
            <w:r w:rsidRPr="00222212">
              <w:rPr>
                <w:b/>
              </w:rPr>
              <w:t>n/N</w:t>
            </w:r>
            <w:proofErr w:type="gramEnd"/>
            <w:r w:rsidRPr="00222212">
              <w:rPr>
                <w:b/>
              </w:rPr>
              <w:t xml:space="preserve"> (%)</w:t>
            </w:r>
          </w:p>
        </w:tc>
        <w:tc>
          <w:tcPr>
            <w:tcW w:w="786" w:type="pct"/>
            <w:tcBorders>
              <w:bottom w:val="single" w:sz="4" w:space="0" w:color="auto"/>
            </w:tcBorders>
            <w:tcMar>
              <w:left w:w="28" w:type="dxa"/>
              <w:right w:w="28" w:type="dxa"/>
            </w:tcMar>
            <w:vAlign w:val="center"/>
          </w:tcPr>
          <w:p w:rsidR="00DE782C" w:rsidRPr="00222212" w:rsidRDefault="00DE782C" w:rsidP="00476EE6">
            <w:pPr>
              <w:pStyle w:val="Tabletext"/>
              <w:keepNext/>
              <w:jc w:val="center"/>
              <w:rPr>
                <w:b/>
              </w:rPr>
            </w:pPr>
            <w:r w:rsidRPr="00222212">
              <w:rPr>
                <w:b/>
              </w:rPr>
              <w:t>Median PFS, m</w:t>
            </w:r>
            <w:r>
              <w:rPr>
                <w:b/>
              </w:rPr>
              <w:t>on</w:t>
            </w:r>
            <w:r w:rsidRPr="00222212">
              <w:rPr>
                <w:b/>
              </w:rPr>
              <w:t>ths (95% CI)</w:t>
            </w:r>
          </w:p>
        </w:tc>
        <w:tc>
          <w:tcPr>
            <w:tcW w:w="787" w:type="pct"/>
            <w:vMerge/>
            <w:tcBorders>
              <w:bottom w:val="single" w:sz="4" w:space="0" w:color="auto"/>
            </w:tcBorders>
            <w:tcMar>
              <w:left w:w="28" w:type="dxa"/>
              <w:right w:w="28" w:type="dxa"/>
            </w:tcMar>
            <w:vAlign w:val="center"/>
          </w:tcPr>
          <w:p w:rsidR="00DE782C" w:rsidRPr="003A3555" w:rsidRDefault="00DE782C" w:rsidP="00476EE6">
            <w:pPr>
              <w:pStyle w:val="Tabletext"/>
              <w:keepNext/>
            </w:pPr>
          </w:p>
        </w:tc>
        <w:tc>
          <w:tcPr>
            <w:tcW w:w="677" w:type="pct"/>
            <w:gridSpan w:val="2"/>
            <w:vMerge/>
            <w:tcBorders>
              <w:bottom w:val="single" w:sz="4" w:space="0" w:color="auto"/>
            </w:tcBorders>
            <w:tcMar>
              <w:left w:w="28" w:type="dxa"/>
              <w:right w:w="28" w:type="dxa"/>
            </w:tcMar>
            <w:vAlign w:val="center"/>
          </w:tcPr>
          <w:p w:rsidR="00DE782C" w:rsidRPr="003A3555" w:rsidRDefault="00DE782C" w:rsidP="00476EE6">
            <w:pPr>
              <w:pStyle w:val="Tabletext"/>
              <w:keepNext/>
            </w:pPr>
          </w:p>
        </w:tc>
      </w:tr>
      <w:tr w:rsidR="005E7102" w:rsidRPr="00222212" w:rsidTr="00DE782C">
        <w:tc>
          <w:tcPr>
            <w:tcW w:w="862" w:type="pct"/>
            <w:tcBorders>
              <w:right w:val="nil"/>
            </w:tcBorders>
            <w:tcMar>
              <w:left w:w="28" w:type="dxa"/>
              <w:right w:w="28" w:type="dxa"/>
            </w:tcMar>
            <w:vAlign w:val="center"/>
          </w:tcPr>
          <w:p w:rsidR="005E7102" w:rsidRPr="00222212" w:rsidRDefault="005E7102" w:rsidP="00476EE6">
            <w:pPr>
              <w:pStyle w:val="Tabletext"/>
              <w:keepNext/>
              <w:rPr>
                <w:b/>
              </w:rPr>
            </w:pPr>
            <w:r w:rsidRPr="00222212">
              <w:rPr>
                <w:b/>
              </w:rPr>
              <w:t>CALGB</w:t>
            </w:r>
          </w:p>
        </w:tc>
        <w:tc>
          <w:tcPr>
            <w:tcW w:w="551" w:type="pct"/>
            <w:tcBorders>
              <w:left w:val="nil"/>
              <w:right w:val="nil"/>
            </w:tcBorders>
            <w:tcMar>
              <w:left w:w="28" w:type="dxa"/>
              <w:right w:w="28" w:type="dxa"/>
            </w:tcMar>
            <w:vAlign w:val="center"/>
          </w:tcPr>
          <w:p w:rsidR="005E7102" w:rsidRPr="00222212" w:rsidRDefault="005E7102" w:rsidP="00476EE6">
            <w:pPr>
              <w:pStyle w:val="Tabletext"/>
              <w:keepNext/>
              <w:rPr>
                <w:b/>
              </w:rPr>
            </w:pPr>
          </w:p>
        </w:tc>
        <w:tc>
          <w:tcPr>
            <w:tcW w:w="786" w:type="pct"/>
            <w:tcBorders>
              <w:left w:val="nil"/>
              <w:right w:val="nil"/>
            </w:tcBorders>
            <w:tcMar>
              <w:left w:w="28" w:type="dxa"/>
              <w:right w:w="28" w:type="dxa"/>
            </w:tcMar>
            <w:vAlign w:val="center"/>
          </w:tcPr>
          <w:p w:rsidR="005E7102" w:rsidRPr="00222212" w:rsidRDefault="005E7102" w:rsidP="00476EE6">
            <w:pPr>
              <w:pStyle w:val="Tabletext"/>
              <w:keepNext/>
              <w:rPr>
                <w:b/>
              </w:rPr>
            </w:pPr>
          </w:p>
        </w:tc>
        <w:tc>
          <w:tcPr>
            <w:tcW w:w="552" w:type="pct"/>
            <w:tcBorders>
              <w:left w:val="nil"/>
              <w:right w:val="nil"/>
            </w:tcBorders>
            <w:tcMar>
              <w:left w:w="28" w:type="dxa"/>
              <w:right w:w="28" w:type="dxa"/>
            </w:tcMar>
            <w:vAlign w:val="center"/>
          </w:tcPr>
          <w:p w:rsidR="005E7102" w:rsidRPr="00222212" w:rsidRDefault="005E7102" w:rsidP="00476EE6">
            <w:pPr>
              <w:pStyle w:val="Tabletext"/>
              <w:keepNext/>
              <w:rPr>
                <w:b/>
              </w:rPr>
            </w:pPr>
          </w:p>
        </w:tc>
        <w:tc>
          <w:tcPr>
            <w:tcW w:w="786" w:type="pct"/>
            <w:tcBorders>
              <w:left w:val="nil"/>
              <w:right w:val="nil"/>
            </w:tcBorders>
            <w:tcMar>
              <w:left w:w="28" w:type="dxa"/>
              <w:right w:w="28" w:type="dxa"/>
            </w:tcMar>
            <w:vAlign w:val="center"/>
          </w:tcPr>
          <w:p w:rsidR="005E7102" w:rsidRPr="00222212" w:rsidRDefault="005E7102" w:rsidP="00476EE6">
            <w:pPr>
              <w:pStyle w:val="Tabletext"/>
              <w:keepNext/>
              <w:rPr>
                <w:b/>
              </w:rPr>
            </w:pPr>
          </w:p>
        </w:tc>
        <w:tc>
          <w:tcPr>
            <w:tcW w:w="787" w:type="pct"/>
            <w:tcBorders>
              <w:left w:val="nil"/>
              <w:right w:val="nil"/>
            </w:tcBorders>
            <w:tcMar>
              <w:left w:w="28" w:type="dxa"/>
              <w:right w:w="28" w:type="dxa"/>
            </w:tcMar>
            <w:vAlign w:val="center"/>
          </w:tcPr>
          <w:p w:rsidR="005E7102" w:rsidRPr="00222212" w:rsidRDefault="005E7102" w:rsidP="00476EE6">
            <w:pPr>
              <w:pStyle w:val="Tabletext"/>
              <w:keepNext/>
              <w:rPr>
                <w:b/>
              </w:rPr>
            </w:pPr>
          </w:p>
        </w:tc>
        <w:tc>
          <w:tcPr>
            <w:tcW w:w="90" w:type="pct"/>
            <w:tcBorders>
              <w:left w:val="nil"/>
              <w:right w:val="nil"/>
            </w:tcBorders>
            <w:tcMar>
              <w:left w:w="28" w:type="dxa"/>
              <w:right w:w="28" w:type="dxa"/>
            </w:tcMar>
            <w:vAlign w:val="center"/>
          </w:tcPr>
          <w:p w:rsidR="005E7102" w:rsidRPr="00222212" w:rsidRDefault="005E7102" w:rsidP="00476EE6">
            <w:pPr>
              <w:pStyle w:val="Tabletext"/>
              <w:keepNext/>
              <w:rPr>
                <w:b/>
              </w:rPr>
            </w:pPr>
          </w:p>
        </w:tc>
        <w:tc>
          <w:tcPr>
            <w:tcW w:w="587" w:type="pct"/>
            <w:tcBorders>
              <w:left w:val="nil"/>
            </w:tcBorders>
            <w:tcMar>
              <w:left w:w="28" w:type="dxa"/>
              <w:right w:w="28" w:type="dxa"/>
            </w:tcMar>
            <w:vAlign w:val="center"/>
          </w:tcPr>
          <w:p w:rsidR="005E7102" w:rsidRPr="00222212" w:rsidRDefault="005E7102" w:rsidP="00476EE6">
            <w:pPr>
              <w:pStyle w:val="Tabletext"/>
              <w:keepNext/>
              <w:rPr>
                <w:b/>
              </w:rPr>
            </w:pPr>
          </w:p>
        </w:tc>
      </w:tr>
      <w:tr w:rsidR="00DE782C" w:rsidRPr="003A3555" w:rsidTr="00DE782C">
        <w:tc>
          <w:tcPr>
            <w:tcW w:w="862" w:type="pct"/>
            <w:tcBorders>
              <w:bottom w:val="single" w:sz="4" w:space="0" w:color="auto"/>
            </w:tcBorders>
            <w:tcMar>
              <w:left w:w="28" w:type="dxa"/>
              <w:right w:w="28" w:type="dxa"/>
            </w:tcMar>
            <w:vAlign w:val="center"/>
          </w:tcPr>
          <w:p w:rsidR="00DE782C" w:rsidRPr="003A3555" w:rsidRDefault="00DE782C" w:rsidP="00476EE6">
            <w:pPr>
              <w:pStyle w:val="Tabletext"/>
              <w:keepNext/>
            </w:pPr>
            <w:r w:rsidRPr="003A3555">
              <w:t>Oct 2016</w:t>
            </w:r>
            <w:r w:rsidRPr="003A3555">
              <w:rPr>
                <w:vertAlign w:val="superscript"/>
              </w:rPr>
              <w:t>a</w:t>
            </w:r>
          </w:p>
        </w:tc>
        <w:tc>
          <w:tcPr>
            <w:tcW w:w="551" w:type="pct"/>
            <w:tcBorders>
              <w:bottom w:val="single" w:sz="4" w:space="0" w:color="auto"/>
            </w:tcBorders>
            <w:tcMar>
              <w:left w:w="28" w:type="dxa"/>
              <w:right w:w="28" w:type="dxa"/>
            </w:tcMar>
            <w:vAlign w:val="center"/>
          </w:tcPr>
          <w:p w:rsidR="00DE782C" w:rsidRPr="003A3555" w:rsidRDefault="00DE782C" w:rsidP="00476EE6">
            <w:pPr>
              <w:pStyle w:val="Tabletext"/>
              <w:keepNext/>
              <w:jc w:val="center"/>
            </w:pPr>
            <w:r w:rsidRPr="003A3555">
              <w:t>146/231 (63%)</w:t>
            </w:r>
          </w:p>
        </w:tc>
        <w:tc>
          <w:tcPr>
            <w:tcW w:w="786" w:type="pct"/>
            <w:tcBorders>
              <w:bottom w:val="single" w:sz="4" w:space="0" w:color="auto"/>
            </w:tcBorders>
            <w:tcMar>
              <w:left w:w="28" w:type="dxa"/>
              <w:right w:w="28" w:type="dxa"/>
            </w:tcMar>
            <w:vAlign w:val="center"/>
          </w:tcPr>
          <w:p w:rsidR="00DE782C" w:rsidRPr="003A3555" w:rsidRDefault="00DE782C" w:rsidP="00476EE6">
            <w:pPr>
              <w:pStyle w:val="Tabletext"/>
              <w:keepNext/>
              <w:jc w:val="center"/>
            </w:pPr>
            <w:r w:rsidRPr="003A3555">
              <w:t>57.3</w:t>
            </w:r>
          </w:p>
          <w:p w:rsidR="00DE782C" w:rsidRPr="003A3555" w:rsidRDefault="00DE782C" w:rsidP="00476EE6">
            <w:pPr>
              <w:pStyle w:val="Tabletext"/>
              <w:keepNext/>
              <w:jc w:val="center"/>
            </w:pPr>
            <w:r w:rsidRPr="003A3555">
              <w:t>(44.2, 73.3)</w:t>
            </w:r>
          </w:p>
        </w:tc>
        <w:tc>
          <w:tcPr>
            <w:tcW w:w="552" w:type="pct"/>
            <w:tcBorders>
              <w:bottom w:val="single" w:sz="4" w:space="0" w:color="auto"/>
            </w:tcBorders>
            <w:tcMar>
              <w:left w:w="28" w:type="dxa"/>
              <w:right w:w="28" w:type="dxa"/>
            </w:tcMar>
            <w:vAlign w:val="center"/>
          </w:tcPr>
          <w:p w:rsidR="00DE782C" w:rsidRPr="003A3555" w:rsidRDefault="00DE782C" w:rsidP="00476EE6">
            <w:pPr>
              <w:pStyle w:val="Tabletext"/>
              <w:keepNext/>
              <w:jc w:val="center"/>
            </w:pPr>
            <w:r w:rsidRPr="003A3555">
              <w:t>176/229 (77%)</w:t>
            </w:r>
          </w:p>
        </w:tc>
        <w:tc>
          <w:tcPr>
            <w:tcW w:w="786" w:type="pct"/>
            <w:tcBorders>
              <w:bottom w:val="single" w:sz="4" w:space="0" w:color="auto"/>
            </w:tcBorders>
            <w:tcMar>
              <w:left w:w="28" w:type="dxa"/>
              <w:right w:w="28" w:type="dxa"/>
            </w:tcMar>
            <w:vAlign w:val="center"/>
          </w:tcPr>
          <w:p w:rsidR="00DE782C" w:rsidRPr="003A3555" w:rsidRDefault="00DE782C" w:rsidP="00476EE6">
            <w:pPr>
              <w:pStyle w:val="Tabletext"/>
              <w:keepNext/>
              <w:jc w:val="center"/>
            </w:pPr>
            <w:r w:rsidRPr="003A3555">
              <w:t>28.9</w:t>
            </w:r>
          </w:p>
          <w:p w:rsidR="00DE782C" w:rsidRPr="003A3555" w:rsidRDefault="00DE782C" w:rsidP="00476EE6">
            <w:pPr>
              <w:pStyle w:val="Tabletext"/>
              <w:keepNext/>
              <w:jc w:val="center"/>
            </w:pPr>
            <w:r w:rsidRPr="003A3555">
              <w:t>(23.0, 36.3)</w:t>
            </w:r>
          </w:p>
        </w:tc>
        <w:tc>
          <w:tcPr>
            <w:tcW w:w="787" w:type="pct"/>
            <w:tcBorders>
              <w:bottom w:val="single" w:sz="4" w:space="0" w:color="auto"/>
            </w:tcBorders>
            <w:tcMar>
              <w:left w:w="28" w:type="dxa"/>
              <w:right w:w="28" w:type="dxa"/>
            </w:tcMar>
            <w:vAlign w:val="center"/>
          </w:tcPr>
          <w:p w:rsidR="00DE782C" w:rsidRPr="003A3555" w:rsidRDefault="00DE782C" w:rsidP="00476EE6">
            <w:pPr>
              <w:pStyle w:val="Tabletext"/>
              <w:keepNext/>
              <w:jc w:val="center"/>
            </w:pPr>
            <w:r w:rsidRPr="003A3555">
              <w:t>28.4</w:t>
            </w:r>
          </w:p>
        </w:tc>
        <w:tc>
          <w:tcPr>
            <w:tcW w:w="677" w:type="pct"/>
            <w:gridSpan w:val="2"/>
            <w:tcBorders>
              <w:bottom w:val="single" w:sz="4" w:space="0" w:color="auto"/>
            </w:tcBorders>
            <w:tcMar>
              <w:left w:w="28" w:type="dxa"/>
              <w:right w:w="28" w:type="dxa"/>
            </w:tcMar>
            <w:vAlign w:val="center"/>
          </w:tcPr>
          <w:p w:rsidR="00DE782C" w:rsidRPr="003A3555" w:rsidRDefault="00DE782C" w:rsidP="00476EE6">
            <w:pPr>
              <w:pStyle w:val="Tabletext"/>
              <w:keepNext/>
              <w:jc w:val="center"/>
              <w:rPr>
                <w:b/>
              </w:rPr>
            </w:pPr>
            <w:r w:rsidRPr="003A3555">
              <w:rPr>
                <w:b/>
              </w:rPr>
              <w:t>0.57</w:t>
            </w:r>
          </w:p>
          <w:p w:rsidR="00DE782C" w:rsidRPr="003A3555" w:rsidRDefault="00DE782C" w:rsidP="00476EE6">
            <w:pPr>
              <w:pStyle w:val="Tabletext"/>
              <w:keepNext/>
              <w:jc w:val="center"/>
            </w:pPr>
            <w:r w:rsidRPr="003A3555">
              <w:rPr>
                <w:b/>
              </w:rPr>
              <w:t>(0.46, 0.71)</w:t>
            </w:r>
          </w:p>
        </w:tc>
      </w:tr>
      <w:tr w:rsidR="005E7102" w:rsidRPr="00222212" w:rsidTr="00DE782C">
        <w:tc>
          <w:tcPr>
            <w:tcW w:w="862" w:type="pct"/>
            <w:tcBorders>
              <w:right w:val="nil"/>
            </w:tcBorders>
            <w:tcMar>
              <w:left w:w="28" w:type="dxa"/>
              <w:right w:w="28" w:type="dxa"/>
            </w:tcMar>
            <w:vAlign w:val="center"/>
          </w:tcPr>
          <w:p w:rsidR="005E7102" w:rsidRPr="00222212" w:rsidRDefault="005E7102" w:rsidP="00C60F2C">
            <w:pPr>
              <w:pStyle w:val="Tabletext"/>
              <w:keepNext/>
              <w:rPr>
                <w:b/>
              </w:rPr>
            </w:pPr>
            <w:r w:rsidRPr="00222212">
              <w:rPr>
                <w:b/>
              </w:rPr>
              <w:t>IFM2005-02</w:t>
            </w:r>
          </w:p>
        </w:tc>
        <w:tc>
          <w:tcPr>
            <w:tcW w:w="551" w:type="pct"/>
            <w:tcBorders>
              <w:top w:val="single" w:sz="4" w:space="0" w:color="auto"/>
              <w:left w:val="nil"/>
              <w:bottom w:val="single" w:sz="4" w:space="0" w:color="auto"/>
              <w:right w:val="nil"/>
            </w:tcBorders>
            <w:shd w:val="clear" w:color="auto" w:fill="auto"/>
            <w:tcMar>
              <w:left w:w="28" w:type="dxa"/>
              <w:right w:w="28" w:type="dxa"/>
            </w:tcMar>
            <w:vAlign w:val="center"/>
          </w:tcPr>
          <w:p w:rsidR="005E7102" w:rsidRPr="00222212" w:rsidRDefault="005E7102" w:rsidP="00476EE6">
            <w:pPr>
              <w:pStyle w:val="Tabletext"/>
              <w:keepNext/>
              <w:rPr>
                <w:rFonts w:eastAsia="SimSun"/>
                <w:b/>
                <w:iCs/>
                <w:szCs w:val="20"/>
              </w:rPr>
            </w:pPr>
          </w:p>
        </w:tc>
        <w:tc>
          <w:tcPr>
            <w:tcW w:w="786" w:type="pct"/>
            <w:tcBorders>
              <w:top w:val="single" w:sz="4" w:space="0" w:color="auto"/>
              <w:left w:val="nil"/>
              <w:bottom w:val="single" w:sz="4" w:space="0" w:color="auto"/>
              <w:right w:val="nil"/>
            </w:tcBorders>
            <w:shd w:val="clear" w:color="auto" w:fill="auto"/>
            <w:tcMar>
              <w:left w:w="28" w:type="dxa"/>
              <w:right w:w="28" w:type="dxa"/>
            </w:tcMar>
            <w:vAlign w:val="center"/>
          </w:tcPr>
          <w:p w:rsidR="005E7102" w:rsidRPr="00222212" w:rsidRDefault="005E7102" w:rsidP="00476EE6">
            <w:pPr>
              <w:pStyle w:val="Tabletext"/>
              <w:keepNext/>
              <w:rPr>
                <w:rFonts w:eastAsia="SimSun"/>
                <w:b/>
                <w:iCs/>
                <w:szCs w:val="20"/>
              </w:rPr>
            </w:pPr>
          </w:p>
        </w:tc>
        <w:tc>
          <w:tcPr>
            <w:tcW w:w="552" w:type="pct"/>
            <w:tcBorders>
              <w:top w:val="single" w:sz="4" w:space="0" w:color="auto"/>
              <w:left w:val="nil"/>
              <w:bottom w:val="single" w:sz="4" w:space="0" w:color="auto"/>
              <w:right w:val="nil"/>
            </w:tcBorders>
            <w:shd w:val="clear" w:color="auto" w:fill="auto"/>
            <w:tcMar>
              <w:left w:w="28" w:type="dxa"/>
              <w:right w:w="28" w:type="dxa"/>
            </w:tcMar>
            <w:vAlign w:val="center"/>
          </w:tcPr>
          <w:p w:rsidR="005E7102" w:rsidRPr="00222212" w:rsidRDefault="005E7102" w:rsidP="00476EE6">
            <w:pPr>
              <w:pStyle w:val="Tabletext"/>
              <w:keepNext/>
              <w:rPr>
                <w:rFonts w:eastAsia="SimSun"/>
                <w:b/>
                <w:iCs/>
                <w:szCs w:val="20"/>
              </w:rPr>
            </w:pPr>
          </w:p>
        </w:tc>
        <w:tc>
          <w:tcPr>
            <w:tcW w:w="786" w:type="pct"/>
            <w:tcBorders>
              <w:top w:val="single" w:sz="4" w:space="0" w:color="auto"/>
              <w:left w:val="nil"/>
              <w:bottom w:val="single" w:sz="4" w:space="0" w:color="auto"/>
              <w:right w:val="nil"/>
            </w:tcBorders>
            <w:shd w:val="clear" w:color="auto" w:fill="auto"/>
            <w:tcMar>
              <w:left w:w="28" w:type="dxa"/>
              <w:right w:w="28" w:type="dxa"/>
            </w:tcMar>
            <w:vAlign w:val="center"/>
          </w:tcPr>
          <w:p w:rsidR="005E7102" w:rsidRPr="00222212" w:rsidRDefault="005E7102" w:rsidP="00476EE6">
            <w:pPr>
              <w:pStyle w:val="Tabletext"/>
              <w:keepNext/>
              <w:rPr>
                <w:rFonts w:eastAsia="SimSun"/>
                <w:b/>
                <w:iCs/>
                <w:szCs w:val="20"/>
              </w:rPr>
            </w:pPr>
          </w:p>
        </w:tc>
        <w:tc>
          <w:tcPr>
            <w:tcW w:w="787" w:type="pct"/>
            <w:tcBorders>
              <w:top w:val="single" w:sz="4" w:space="0" w:color="auto"/>
              <w:left w:val="nil"/>
              <w:bottom w:val="single" w:sz="4" w:space="0" w:color="auto"/>
              <w:right w:val="nil"/>
            </w:tcBorders>
            <w:shd w:val="clear" w:color="auto" w:fill="auto"/>
            <w:tcMar>
              <w:left w:w="28" w:type="dxa"/>
              <w:right w:w="28" w:type="dxa"/>
            </w:tcMar>
            <w:vAlign w:val="center"/>
          </w:tcPr>
          <w:p w:rsidR="005E7102" w:rsidRPr="00222212" w:rsidRDefault="005E7102" w:rsidP="00476EE6">
            <w:pPr>
              <w:pStyle w:val="Tabletext"/>
              <w:keepNext/>
              <w:rPr>
                <w:rFonts w:eastAsia="SimSun"/>
                <w:b/>
                <w:iCs/>
                <w:szCs w:val="20"/>
              </w:rPr>
            </w:pPr>
          </w:p>
        </w:tc>
        <w:tc>
          <w:tcPr>
            <w:tcW w:w="90" w:type="pct"/>
            <w:tcBorders>
              <w:top w:val="single" w:sz="4" w:space="0" w:color="auto"/>
              <w:left w:val="nil"/>
              <w:bottom w:val="single" w:sz="4" w:space="0" w:color="auto"/>
              <w:right w:val="nil"/>
            </w:tcBorders>
            <w:shd w:val="clear" w:color="auto" w:fill="auto"/>
            <w:tcMar>
              <w:left w:w="28" w:type="dxa"/>
              <w:right w:w="28" w:type="dxa"/>
            </w:tcMar>
            <w:vAlign w:val="center"/>
          </w:tcPr>
          <w:p w:rsidR="005E7102" w:rsidRPr="00222212" w:rsidRDefault="005E7102" w:rsidP="00476EE6">
            <w:pPr>
              <w:pStyle w:val="Tabletext"/>
              <w:keepNext/>
              <w:rPr>
                <w:rFonts w:eastAsia="SimSun"/>
                <w:b/>
                <w:iCs/>
                <w:szCs w:val="18"/>
                <w:bdr w:val="none" w:sz="0" w:space="0" w:color="auto" w:frame="1"/>
                <w:lang w:eastAsia="en-AU"/>
              </w:rPr>
            </w:pPr>
          </w:p>
        </w:tc>
        <w:tc>
          <w:tcPr>
            <w:tcW w:w="58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5E7102" w:rsidRPr="00222212" w:rsidRDefault="005E7102" w:rsidP="00476EE6">
            <w:pPr>
              <w:pStyle w:val="Tabletext"/>
              <w:keepNext/>
              <w:rPr>
                <w:rFonts w:eastAsia="SimSun"/>
                <w:b/>
                <w:iCs/>
                <w:szCs w:val="20"/>
              </w:rPr>
            </w:pPr>
          </w:p>
        </w:tc>
      </w:tr>
      <w:tr w:rsidR="00DE782C" w:rsidRPr="003A3555" w:rsidTr="00DE782C">
        <w:tc>
          <w:tcPr>
            <w:tcW w:w="862" w:type="pct"/>
            <w:tcMar>
              <w:left w:w="28" w:type="dxa"/>
              <w:right w:w="28" w:type="dxa"/>
            </w:tcMar>
            <w:vAlign w:val="center"/>
          </w:tcPr>
          <w:p w:rsidR="00DE782C" w:rsidRPr="003A3555" w:rsidRDefault="00DE782C" w:rsidP="00476EE6">
            <w:pPr>
              <w:pStyle w:val="Tabletext"/>
              <w:keepNext/>
            </w:pPr>
            <w:r w:rsidRPr="003A3555">
              <w:t>Feb 2016</w:t>
            </w:r>
            <w:r w:rsidRPr="003A3555">
              <w:rPr>
                <w:vertAlign w:val="superscript"/>
              </w:rPr>
              <w:t>b</w:t>
            </w:r>
          </w:p>
        </w:tc>
        <w:tc>
          <w:tcPr>
            <w:tcW w:w="55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782C" w:rsidRPr="003A3555" w:rsidRDefault="00DE782C" w:rsidP="00476EE6">
            <w:pPr>
              <w:pStyle w:val="Tabletext"/>
              <w:keepNext/>
              <w:jc w:val="center"/>
            </w:pPr>
            <w:r w:rsidRPr="003A3555">
              <w:rPr>
                <w:rFonts w:eastAsia="SimSun"/>
                <w:iCs/>
                <w:szCs w:val="18"/>
                <w:bdr w:val="none" w:sz="0" w:space="0" w:color="auto" w:frame="1"/>
                <w:lang w:eastAsia="en-AU"/>
              </w:rPr>
              <w:t>218/307 (71.0%)</w:t>
            </w:r>
          </w:p>
        </w:tc>
        <w:tc>
          <w:tcPr>
            <w:tcW w:w="78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782C" w:rsidRPr="003A3555" w:rsidRDefault="00DE782C" w:rsidP="00476EE6">
            <w:pPr>
              <w:pStyle w:val="Tabletext"/>
              <w:keepNext/>
              <w:jc w:val="center"/>
              <w:rPr>
                <w:rFonts w:eastAsia="SimSun"/>
                <w:iCs/>
                <w:szCs w:val="18"/>
                <w:bdr w:val="none" w:sz="0" w:space="0" w:color="auto" w:frame="1"/>
                <w:lang w:eastAsia="en-AU"/>
              </w:rPr>
            </w:pPr>
            <w:r w:rsidRPr="003A3555">
              <w:rPr>
                <w:rFonts w:eastAsia="SimSun"/>
                <w:iCs/>
                <w:szCs w:val="18"/>
                <w:bdr w:val="none" w:sz="0" w:space="0" w:color="auto" w:frame="1"/>
                <w:lang w:eastAsia="en-AU"/>
              </w:rPr>
              <w:t>44.4</w:t>
            </w:r>
          </w:p>
          <w:p w:rsidR="00DE782C" w:rsidRPr="003A3555" w:rsidRDefault="00DE782C" w:rsidP="00476EE6">
            <w:pPr>
              <w:pStyle w:val="Tabletext"/>
              <w:keepNext/>
              <w:jc w:val="center"/>
            </w:pPr>
            <w:r w:rsidRPr="003A3555">
              <w:rPr>
                <w:rFonts w:eastAsia="SimSun"/>
                <w:iCs/>
                <w:szCs w:val="18"/>
                <w:bdr w:val="none" w:sz="0" w:space="0" w:color="auto" w:frame="1"/>
                <w:lang w:eastAsia="en-AU"/>
              </w:rPr>
              <w:t>(39.6, 52.0)</w:t>
            </w:r>
          </w:p>
        </w:tc>
        <w:tc>
          <w:tcPr>
            <w:tcW w:w="55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782C" w:rsidRPr="003A3555" w:rsidRDefault="00DE782C" w:rsidP="00476EE6">
            <w:pPr>
              <w:pStyle w:val="Tabletext"/>
              <w:keepNext/>
              <w:jc w:val="center"/>
            </w:pPr>
            <w:r w:rsidRPr="003A3555">
              <w:rPr>
                <w:rFonts w:eastAsia="SimSun"/>
                <w:iCs/>
                <w:szCs w:val="18"/>
                <w:bdr w:val="none" w:sz="0" w:space="0" w:color="auto" w:frame="1"/>
                <w:lang w:eastAsia="en-AU"/>
              </w:rPr>
              <w:t>257/307 (83.7%)</w:t>
            </w:r>
          </w:p>
        </w:tc>
        <w:tc>
          <w:tcPr>
            <w:tcW w:w="78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782C" w:rsidRPr="003A3555" w:rsidRDefault="00DE782C" w:rsidP="00476EE6">
            <w:pPr>
              <w:pStyle w:val="Tabletext"/>
              <w:keepNext/>
              <w:jc w:val="center"/>
              <w:rPr>
                <w:rFonts w:eastAsia="SimSun"/>
                <w:iCs/>
                <w:szCs w:val="18"/>
                <w:bdr w:val="none" w:sz="0" w:space="0" w:color="auto" w:frame="1"/>
                <w:lang w:eastAsia="en-AU"/>
              </w:rPr>
            </w:pPr>
            <w:r w:rsidRPr="003A3555">
              <w:rPr>
                <w:rFonts w:eastAsia="SimSun"/>
                <w:iCs/>
                <w:szCs w:val="18"/>
                <w:bdr w:val="none" w:sz="0" w:space="0" w:color="auto" w:frame="1"/>
                <w:lang w:eastAsia="en-AU"/>
              </w:rPr>
              <w:t>23.8</w:t>
            </w:r>
          </w:p>
          <w:p w:rsidR="00DE782C" w:rsidRPr="003A3555" w:rsidRDefault="00DE782C" w:rsidP="00476EE6">
            <w:pPr>
              <w:pStyle w:val="Tabletext"/>
              <w:keepNext/>
              <w:jc w:val="center"/>
            </w:pPr>
            <w:r w:rsidRPr="003A3555">
              <w:rPr>
                <w:rFonts w:eastAsia="SimSun"/>
                <w:iCs/>
                <w:szCs w:val="18"/>
                <w:bdr w:val="none" w:sz="0" w:space="0" w:color="auto" w:frame="1"/>
                <w:lang w:eastAsia="en-AU"/>
              </w:rPr>
              <w:t>(21.2, 27.3)</w:t>
            </w:r>
          </w:p>
        </w:tc>
        <w:tc>
          <w:tcPr>
            <w:tcW w:w="78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782C" w:rsidRPr="003A3555" w:rsidRDefault="00DE782C" w:rsidP="00476EE6">
            <w:pPr>
              <w:pStyle w:val="Tabletext"/>
              <w:keepNext/>
              <w:jc w:val="center"/>
            </w:pPr>
            <w:r w:rsidRPr="003A3555">
              <w:rPr>
                <w:rFonts w:eastAsia="SimSun"/>
                <w:iCs/>
                <w:szCs w:val="18"/>
                <w:bdr w:val="none" w:sz="0" w:space="0" w:color="auto" w:frame="1"/>
                <w:lang w:eastAsia="en-AU"/>
              </w:rPr>
              <w:t>20.6</w:t>
            </w:r>
          </w:p>
        </w:tc>
        <w:tc>
          <w:tcPr>
            <w:tcW w:w="677"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782C" w:rsidRPr="003A3555" w:rsidRDefault="00DE782C" w:rsidP="00476EE6">
            <w:pPr>
              <w:pStyle w:val="Tabletext"/>
              <w:keepNext/>
              <w:jc w:val="center"/>
              <w:rPr>
                <w:rFonts w:eastAsia="SimSun"/>
                <w:b/>
                <w:iCs/>
                <w:szCs w:val="18"/>
                <w:bdr w:val="none" w:sz="0" w:space="0" w:color="auto" w:frame="1"/>
                <w:lang w:eastAsia="en-AU"/>
              </w:rPr>
            </w:pPr>
            <w:r w:rsidRPr="003A3555">
              <w:rPr>
                <w:rFonts w:eastAsia="SimSun"/>
                <w:b/>
                <w:iCs/>
                <w:szCs w:val="18"/>
                <w:bdr w:val="none" w:sz="0" w:space="0" w:color="auto" w:frame="1"/>
                <w:lang w:eastAsia="en-AU"/>
              </w:rPr>
              <w:t>0.57</w:t>
            </w:r>
          </w:p>
          <w:p w:rsidR="00DE782C" w:rsidRPr="003A3555" w:rsidRDefault="00DE782C" w:rsidP="00476EE6">
            <w:pPr>
              <w:pStyle w:val="Tabletext"/>
              <w:keepNext/>
              <w:jc w:val="center"/>
            </w:pPr>
            <w:r w:rsidRPr="003A3555">
              <w:rPr>
                <w:rFonts w:eastAsia="SimSun"/>
                <w:b/>
                <w:iCs/>
                <w:szCs w:val="18"/>
                <w:bdr w:val="none" w:sz="0" w:space="0" w:color="auto" w:frame="1"/>
                <w:lang w:eastAsia="en-AU"/>
              </w:rPr>
              <w:t>(0.47, 0.68)</w:t>
            </w:r>
          </w:p>
        </w:tc>
      </w:tr>
    </w:tbl>
    <w:p w:rsidR="005E7102" w:rsidRPr="003A3555" w:rsidRDefault="00684FB0" w:rsidP="00476EE6">
      <w:pPr>
        <w:pStyle w:val="TableFooter"/>
        <w:keepNext/>
        <w:widowControl/>
        <w:rPr>
          <w:rFonts w:eastAsia="Calibri"/>
        </w:rPr>
      </w:pPr>
      <w:r w:rsidRPr="003A3555">
        <w:t>ASCT = autologous stem cell transplant;</w:t>
      </w:r>
      <w:r>
        <w:t xml:space="preserve"> </w:t>
      </w:r>
      <w:r w:rsidR="005E7102" w:rsidRPr="003A3555">
        <w:t>BSC</w:t>
      </w:r>
      <w:r w:rsidR="00222212">
        <w:t xml:space="preserve"> </w:t>
      </w:r>
      <w:r w:rsidR="005E7102" w:rsidRPr="003A3555">
        <w:t>=</w:t>
      </w:r>
      <w:r w:rsidR="00222212">
        <w:t xml:space="preserve"> </w:t>
      </w:r>
      <w:r w:rsidR="005E7102" w:rsidRPr="003A3555">
        <w:t xml:space="preserve">best supportive care; </w:t>
      </w:r>
      <w:r w:rsidR="005E7102" w:rsidRPr="003A3555">
        <w:rPr>
          <w:rFonts w:eastAsia="Calibri"/>
        </w:rPr>
        <w:t>CI</w:t>
      </w:r>
      <w:r w:rsidR="00222212">
        <w:rPr>
          <w:rFonts w:eastAsia="Calibri"/>
        </w:rPr>
        <w:t xml:space="preserve"> </w:t>
      </w:r>
      <w:r w:rsidR="005E7102" w:rsidRPr="003A3555">
        <w:rPr>
          <w:rFonts w:eastAsia="Calibri"/>
        </w:rPr>
        <w:t>= confidence interval</w:t>
      </w:r>
      <w:r>
        <w:rPr>
          <w:rFonts w:eastAsia="Calibri"/>
        </w:rPr>
        <w:t>; PFS = progression-free survival</w:t>
      </w:r>
    </w:p>
    <w:p w:rsidR="00222212" w:rsidRDefault="005E7102" w:rsidP="00476EE6">
      <w:pPr>
        <w:pStyle w:val="TableFooter"/>
        <w:widowControl/>
        <w:jc w:val="left"/>
        <w:rPr>
          <w:rFonts w:eastAsia="Calibri"/>
          <w:i/>
        </w:rPr>
      </w:pPr>
      <w:proofErr w:type="gramStart"/>
      <w:r w:rsidRPr="003A3555">
        <w:rPr>
          <w:rFonts w:eastAsia="Calibri"/>
        </w:rPr>
        <w:t>a</w:t>
      </w:r>
      <w:proofErr w:type="gramEnd"/>
      <w:r w:rsidR="00222212">
        <w:rPr>
          <w:rFonts w:eastAsia="Calibri"/>
        </w:rPr>
        <w:t>. F</w:t>
      </w:r>
      <w:r w:rsidRPr="003A3555">
        <w:rPr>
          <w:rFonts w:eastAsia="Calibri"/>
        </w:rPr>
        <w:t xml:space="preserve">rom ASCT; </w:t>
      </w:r>
      <w:r w:rsidR="00222212">
        <w:rPr>
          <w:rFonts w:eastAsia="Calibri"/>
        </w:rPr>
        <w:br/>
      </w:r>
      <w:r w:rsidRPr="003A3555">
        <w:rPr>
          <w:rFonts w:eastAsia="Calibri"/>
        </w:rPr>
        <w:t>b</w:t>
      </w:r>
      <w:r w:rsidR="00222212">
        <w:rPr>
          <w:rFonts w:eastAsia="Calibri"/>
        </w:rPr>
        <w:t>. F</w:t>
      </w:r>
      <w:r w:rsidRPr="003A3555">
        <w:rPr>
          <w:rFonts w:eastAsia="Calibri"/>
        </w:rPr>
        <w:t>rom maintenance randomisation</w:t>
      </w:r>
      <w:r w:rsidRPr="003A3555">
        <w:rPr>
          <w:rFonts w:eastAsia="Calibri"/>
          <w:i/>
        </w:rPr>
        <w:t xml:space="preserve">. </w:t>
      </w:r>
    </w:p>
    <w:p w:rsidR="005E7102" w:rsidRPr="003A3555" w:rsidRDefault="005E7102" w:rsidP="00476EE6">
      <w:pPr>
        <w:pStyle w:val="TableFooter"/>
        <w:widowControl/>
        <w:jc w:val="left"/>
        <w:rPr>
          <w:rFonts w:eastAsia="Calibri"/>
          <w:i/>
        </w:rPr>
      </w:pPr>
      <w:r w:rsidRPr="003A3555">
        <w:t>Statistically significant differences bolded.</w:t>
      </w:r>
    </w:p>
    <w:p w:rsidR="005E7102" w:rsidRPr="003A3555" w:rsidRDefault="005E7102" w:rsidP="00476EE6">
      <w:pPr>
        <w:pStyle w:val="TableFooter"/>
        <w:widowControl/>
        <w:rPr>
          <w:sz w:val="20"/>
        </w:rPr>
      </w:pPr>
      <w:r w:rsidRPr="003A3555">
        <w:t>Source: Table 2.5.1, p.80 of the March-2018 submission.</w:t>
      </w:r>
    </w:p>
    <w:p w:rsidR="00E44C6D" w:rsidRDefault="00E44C6D" w:rsidP="00476EE6">
      <w:pPr>
        <w:widowControl/>
        <w:jc w:val="left"/>
        <w:rPr>
          <w:b/>
          <w:sz w:val="20"/>
          <w:szCs w:val="20"/>
        </w:rPr>
      </w:pPr>
    </w:p>
    <w:p w:rsidR="005E7102" w:rsidRPr="0037680E" w:rsidRDefault="005E7102" w:rsidP="000152ED">
      <w:pPr>
        <w:keepNext/>
        <w:widowControl/>
        <w:jc w:val="left"/>
        <w:rPr>
          <w:rFonts w:ascii="Arial Narrow" w:hAnsi="Arial Narrow"/>
        </w:rPr>
      </w:pPr>
      <w:r w:rsidRPr="0037680E">
        <w:rPr>
          <w:rFonts w:ascii="Arial Narrow" w:hAnsi="Arial Narrow"/>
          <w:b/>
          <w:sz w:val="20"/>
          <w:szCs w:val="20"/>
        </w:rPr>
        <w:t xml:space="preserve">Figure 1: Kaplan-Meier curves of PFS comparing </w:t>
      </w:r>
      <w:proofErr w:type="spellStart"/>
      <w:r w:rsidRPr="0037680E">
        <w:rPr>
          <w:rFonts w:ascii="Arial Narrow" w:hAnsi="Arial Narrow"/>
          <w:b/>
          <w:sz w:val="20"/>
          <w:szCs w:val="20"/>
        </w:rPr>
        <w:t>lenalidomide</w:t>
      </w:r>
      <w:proofErr w:type="spellEnd"/>
      <w:r w:rsidRPr="0037680E">
        <w:rPr>
          <w:rFonts w:ascii="Arial Narrow" w:hAnsi="Arial Narrow"/>
          <w:b/>
          <w:sz w:val="20"/>
          <w:szCs w:val="20"/>
        </w:rPr>
        <w:t xml:space="preserve"> with BSC </w:t>
      </w:r>
      <w:r w:rsidR="00820A05" w:rsidRPr="0037680E">
        <w:rPr>
          <w:rFonts w:ascii="Arial Narrow" w:hAnsi="Arial Narrow"/>
          <w:b/>
          <w:sz w:val="20"/>
          <w:szCs w:val="20"/>
        </w:rPr>
        <w:t xml:space="preserve">- </w:t>
      </w:r>
      <w:r w:rsidRPr="0037680E">
        <w:rPr>
          <w:rFonts w:ascii="Arial Narrow" w:hAnsi="Arial Narrow"/>
          <w:b/>
          <w:sz w:val="20"/>
          <w:szCs w:val="20"/>
        </w:rPr>
        <w:t>CALGB (Oct 2016 cut</w:t>
      </w:r>
      <w:r w:rsidR="00FD6B8F" w:rsidRPr="0037680E">
        <w:rPr>
          <w:rFonts w:ascii="Arial Narrow" w:hAnsi="Arial Narrow"/>
          <w:b/>
          <w:sz w:val="20"/>
          <w:szCs w:val="20"/>
        </w:rPr>
        <w:t>-</w:t>
      </w:r>
      <w:r w:rsidRPr="0037680E">
        <w:rPr>
          <w:rFonts w:ascii="Arial Narrow" w:hAnsi="Arial Narrow"/>
          <w:b/>
          <w:sz w:val="20"/>
          <w:szCs w:val="20"/>
        </w:rPr>
        <w:t xml:space="preserve">off) </w:t>
      </w:r>
    </w:p>
    <w:p w:rsidR="005E7102" w:rsidRPr="003A3555" w:rsidRDefault="005E7102" w:rsidP="000152ED">
      <w:pPr>
        <w:pStyle w:val="TableFooter"/>
        <w:keepNext/>
        <w:widowControl/>
        <w:rPr>
          <w:b/>
          <w:color w:val="FF0000"/>
          <w:sz w:val="20"/>
          <w:szCs w:val="20"/>
        </w:rPr>
      </w:pPr>
      <w:r w:rsidRPr="003A3555">
        <w:rPr>
          <w:noProof/>
          <w:snapToGrid/>
          <w:color w:val="FF0000"/>
          <w:lang w:eastAsia="en-AU"/>
        </w:rPr>
        <w:drawing>
          <wp:inline distT="0" distB="0" distL="0" distR="0" wp14:anchorId="289D9EF2" wp14:editId="41E76B67">
            <wp:extent cx="4317558" cy="2639833"/>
            <wp:effectExtent l="0" t="0" r="6985" b="8255"/>
            <wp:docPr id="8" name="Picture 8" title="Figure 1: Kaplan-Meier curves of PFS comparing lenalidomide with BSC - CALGB (Oct 2016 cut-off) "/>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7295" cy="2658015"/>
                    </a:xfrm>
                    <a:prstGeom prst="rect">
                      <a:avLst/>
                    </a:prstGeom>
                    <a:noFill/>
                  </pic:spPr>
                </pic:pic>
              </a:graphicData>
            </a:graphic>
          </wp:inline>
        </w:drawing>
      </w:r>
    </w:p>
    <w:p w:rsidR="005E7102" w:rsidRPr="003A3555" w:rsidRDefault="005E7102" w:rsidP="000152ED">
      <w:pPr>
        <w:pStyle w:val="TableFooter"/>
        <w:keepNext/>
        <w:widowControl/>
        <w:rPr>
          <w:color w:val="FF0000"/>
          <w:szCs w:val="18"/>
        </w:rPr>
      </w:pPr>
    </w:p>
    <w:p w:rsidR="005E7102" w:rsidRPr="003A3555" w:rsidRDefault="005E7102" w:rsidP="000152ED">
      <w:pPr>
        <w:pStyle w:val="TableFooter"/>
        <w:keepNext/>
        <w:widowControl/>
      </w:pPr>
      <w:r w:rsidRPr="003A3555">
        <w:t>ASCT = autologous stem cell transplant; CI = confidence interval; HR = hazard ratio; PFS = progression-free survival</w:t>
      </w:r>
    </w:p>
    <w:p w:rsidR="005E7102" w:rsidRPr="00600AD1" w:rsidRDefault="00222212" w:rsidP="000152ED">
      <w:pPr>
        <w:pStyle w:val="TableFooter"/>
        <w:keepNext/>
        <w:widowControl/>
      </w:pPr>
      <w:r>
        <w:t xml:space="preserve">Notes: </w:t>
      </w:r>
      <w:r w:rsidR="005E7102" w:rsidRPr="00600AD1">
        <w:t xml:space="preserve">PFS </w:t>
      </w:r>
      <w:proofErr w:type="gramStart"/>
      <w:r w:rsidR="005E7102" w:rsidRPr="00600AD1">
        <w:t>was measured</w:t>
      </w:r>
      <w:proofErr w:type="gramEnd"/>
      <w:r w:rsidR="005E7102" w:rsidRPr="00600AD1">
        <w:t xml:space="preserve"> as time since ASCT according to EMA censoring rules (months). Trial refers to placebo, have used best supportive care for consistency. </w:t>
      </w:r>
    </w:p>
    <w:p w:rsidR="005E7102" w:rsidRPr="003A3555" w:rsidRDefault="005E7102" w:rsidP="000152ED">
      <w:pPr>
        <w:pStyle w:val="TableFooter"/>
        <w:keepNext/>
        <w:widowControl/>
      </w:pPr>
      <w:r w:rsidRPr="003A3555">
        <w:t>Source: Figure 2.5.1, p.82 of the March-2018 resubmission.</w:t>
      </w:r>
    </w:p>
    <w:p w:rsidR="005E7102" w:rsidRPr="003A3555" w:rsidRDefault="005E7102" w:rsidP="00476EE6">
      <w:pPr>
        <w:widowControl/>
        <w:rPr>
          <w:rFonts w:ascii="Arial Narrow" w:hAnsi="Arial Narrow"/>
          <w:sz w:val="18"/>
          <w:szCs w:val="18"/>
        </w:rPr>
      </w:pPr>
    </w:p>
    <w:p w:rsidR="005E7102" w:rsidRPr="003A3555" w:rsidRDefault="005E7102" w:rsidP="00D04B59">
      <w:pPr>
        <w:keepNext/>
        <w:widowControl/>
        <w:rPr>
          <w:rStyle w:val="CommentReference"/>
        </w:rPr>
      </w:pPr>
      <w:r w:rsidRPr="003A3555">
        <w:rPr>
          <w:rStyle w:val="CommentReference"/>
        </w:rPr>
        <w:lastRenderedPageBreak/>
        <w:t xml:space="preserve">Table </w:t>
      </w:r>
      <w:r w:rsidR="00C63074" w:rsidRPr="003A3555">
        <w:rPr>
          <w:rStyle w:val="CommentReference"/>
        </w:rPr>
        <w:t>9</w:t>
      </w:r>
      <w:r w:rsidRPr="003A3555">
        <w:rPr>
          <w:rStyle w:val="CommentReference"/>
        </w:rPr>
        <w:t xml:space="preserve">: </w:t>
      </w:r>
      <w:r w:rsidR="00C60F2C">
        <w:rPr>
          <w:rStyle w:val="CommentReference"/>
        </w:rPr>
        <w:t>CALGB and IFM</w:t>
      </w:r>
      <w:r w:rsidR="009A6A3D" w:rsidRPr="003A3555">
        <w:rPr>
          <w:rStyle w:val="CommentReference"/>
        </w:rPr>
        <w:t xml:space="preserve">2005 02 – </w:t>
      </w:r>
      <w:r w:rsidRPr="003A3555">
        <w:rPr>
          <w:rStyle w:val="CommentReference"/>
        </w:rPr>
        <w:t xml:space="preserve">OS results – </w:t>
      </w:r>
      <w:proofErr w:type="spellStart"/>
      <w:r w:rsidRPr="003A3555">
        <w:rPr>
          <w:rStyle w:val="CommentReference"/>
        </w:rPr>
        <w:t>lenalidomide</w:t>
      </w:r>
      <w:proofErr w:type="spellEnd"/>
      <w:r w:rsidRPr="003A3555">
        <w:rPr>
          <w:rStyle w:val="CommentReference"/>
        </w:rPr>
        <w:t xml:space="preserve"> versus BSC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CALGB and IFM2005 02 – OS results – lenalidomide versus BSC"/>
      </w:tblPr>
      <w:tblGrid>
        <w:gridCol w:w="1189"/>
        <w:gridCol w:w="1076"/>
        <w:gridCol w:w="1419"/>
        <w:gridCol w:w="1134"/>
        <w:gridCol w:w="1417"/>
        <w:gridCol w:w="1419"/>
        <w:gridCol w:w="142"/>
        <w:gridCol w:w="1221"/>
      </w:tblGrid>
      <w:tr w:rsidR="00DE782C" w:rsidRPr="003A3555" w:rsidTr="00DE782C">
        <w:trPr>
          <w:tblHeader/>
        </w:trPr>
        <w:tc>
          <w:tcPr>
            <w:tcW w:w="659" w:type="pct"/>
            <w:vMerge w:val="restart"/>
            <w:tcMar>
              <w:left w:w="28" w:type="dxa"/>
              <w:right w:w="28" w:type="dxa"/>
            </w:tcMar>
            <w:vAlign w:val="center"/>
          </w:tcPr>
          <w:p w:rsidR="00DE782C" w:rsidRPr="003A3555" w:rsidRDefault="00DE782C" w:rsidP="00D04B59">
            <w:pPr>
              <w:pStyle w:val="Tabletext"/>
              <w:keepNext/>
              <w:rPr>
                <w:b/>
                <w:szCs w:val="20"/>
              </w:rPr>
            </w:pPr>
          </w:p>
        </w:tc>
        <w:tc>
          <w:tcPr>
            <w:tcW w:w="1382" w:type="pct"/>
            <w:gridSpan w:val="2"/>
            <w:tcMar>
              <w:left w:w="28" w:type="dxa"/>
              <w:right w:w="28" w:type="dxa"/>
            </w:tcMar>
            <w:vAlign w:val="center"/>
          </w:tcPr>
          <w:p w:rsidR="00DE782C" w:rsidRPr="003A3555" w:rsidRDefault="00DE782C" w:rsidP="00D04B59">
            <w:pPr>
              <w:pStyle w:val="Tabletext"/>
              <w:keepNext/>
              <w:jc w:val="center"/>
              <w:rPr>
                <w:b/>
                <w:szCs w:val="20"/>
              </w:rPr>
            </w:pPr>
            <w:proofErr w:type="spellStart"/>
            <w:r w:rsidRPr="003A3555">
              <w:rPr>
                <w:b/>
                <w:szCs w:val="20"/>
              </w:rPr>
              <w:t>Lenalidomide</w:t>
            </w:r>
            <w:proofErr w:type="spellEnd"/>
          </w:p>
        </w:tc>
        <w:tc>
          <w:tcPr>
            <w:tcW w:w="1415" w:type="pct"/>
            <w:gridSpan w:val="2"/>
            <w:tcMar>
              <w:left w:w="28" w:type="dxa"/>
              <w:right w:w="28" w:type="dxa"/>
            </w:tcMar>
            <w:vAlign w:val="center"/>
          </w:tcPr>
          <w:p w:rsidR="00DE782C" w:rsidRPr="003A3555" w:rsidRDefault="00DE782C" w:rsidP="00D04B59">
            <w:pPr>
              <w:pStyle w:val="Tabletext"/>
              <w:keepNext/>
              <w:jc w:val="center"/>
              <w:rPr>
                <w:b/>
                <w:szCs w:val="20"/>
              </w:rPr>
            </w:pPr>
            <w:r w:rsidRPr="003A3555">
              <w:rPr>
                <w:b/>
                <w:szCs w:val="20"/>
              </w:rPr>
              <w:t>BSC</w:t>
            </w:r>
          </w:p>
        </w:tc>
        <w:tc>
          <w:tcPr>
            <w:tcW w:w="787" w:type="pct"/>
            <w:vMerge w:val="restart"/>
            <w:tcMar>
              <w:left w:w="28" w:type="dxa"/>
              <w:right w:w="28" w:type="dxa"/>
            </w:tcMar>
            <w:vAlign w:val="center"/>
          </w:tcPr>
          <w:p w:rsidR="00DE782C" w:rsidRPr="003A3555" w:rsidRDefault="00DE782C" w:rsidP="00D04B59">
            <w:pPr>
              <w:pStyle w:val="Tabletext"/>
              <w:keepNext/>
              <w:jc w:val="center"/>
              <w:rPr>
                <w:b/>
                <w:szCs w:val="20"/>
              </w:rPr>
            </w:pPr>
            <w:r w:rsidRPr="003A3555">
              <w:rPr>
                <w:b/>
                <w:szCs w:val="20"/>
              </w:rPr>
              <w:t>Difference in median, months</w:t>
            </w:r>
          </w:p>
        </w:tc>
        <w:tc>
          <w:tcPr>
            <w:tcW w:w="757" w:type="pct"/>
            <w:gridSpan w:val="2"/>
            <w:vMerge w:val="restart"/>
            <w:tcMar>
              <w:left w:w="28" w:type="dxa"/>
              <w:right w:w="28" w:type="dxa"/>
            </w:tcMar>
            <w:vAlign w:val="center"/>
          </w:tcPr>
          <w:p w:rsidR="00DE782C" w:rsidRPr="003A3555" w:rsidRDefault="00DE782C" w:rsidP="00D04B59">
            <w:pPr>
              <w:pStyle w:val="Tabletext"/>
              <w:keepNext/>
              <w:jc w:val="center"/>
              <w:rPr>
                <w:b/>
                <w:szCs w:val="20"/>
              </w:rPr>
            </w:pPr>
            <w:r w:rsidRPr="003A3555">
              <w:rPr>
                <w:b/>
                <w:szCs w:val="20"/>
              </w:rPr>
              <w:t xml:space="preserve">Hazard ratio </w:t>
            </w:r>
            <w:r>
              <w:rPr>
                <w:b/>
                <w:szCs w:val="20"/>
              </w:rPr>
              <w:br/>
            </w:r>
            <w:r w:rsidRPr="003A3555">
              <w:rPr>
                <w:b/>
                <w:szCs w:val="20"/>
              </w:rPr>
              <w:t>(95% CI)</w:t>
            </w:r>
          </w:p>
        </w:tc>
      </w:tr>
      <w:tr w:rsidR="00DE782C" w:rsidRPr="003A3555" w:rsidTr="00DE782C">
        <w:trPr>
          <w:tblHeader/>
        </w:trPr>
        <w:tc>
          <w:tcPr>
            <w:tcW w:w="659" w:type="pct"/>
            <w:vMerge/>
            <w:tcBorders>
              <w:bottom w:val="single" w:sz="4" w:space="0" w:color="auto"/>
            </w:tcBorders>
            <w:tcMar>
              <w:left w:w="28" w:type="dxa"/>
              <w:right w:w="28" w:type="dxa"/>
            </w:tcMar>
            <w:vAlign w:val="center"/>
          </w:tcPr>
          <w:p w:rsidR="00DE782C" w:rsidRPr="003A3555" w:rsidRDefault="00DE782C" w:rsidP="00D04B59">
            <w:pPr>
              <w:pStyle w:val="Tabletext"/>
              <w:keepNext/>
              <w:rPr>
                <w:szCs w:val="20"/>
              </w:rPr>
            </w:pPr>
          </w:p>
        </w:tc>
        <w:tc>
          <w:tcPr>
            <w:tcW w:w="596" w:type="pct"/>
            <w:tcBorders>
              <w:bottom w:val="single" w:sz="4" w:space="0" w:color="auto"/>
            </w:tcBorders>
            <w:tcMar>
              <w:left w:w="28" w:type="dxa"/>
              <w:right w:w="28" w:type="dxa"/>
            </w:tcMar>
            <w:vAlign w:val="center"/>
          </w:tcPr>
          <w:p w:rsidR="00DE782C" w:rsidRPr="00222212" w:rsidRDefault="00DE782C" w:rsidP="00D04B59">
            <w:pPr>
              <w:pStyle w:val="Tabletext"/>
              <w:keepNext/>
              <w:jc w:val="center"/>
              <w:rPr>
                <w:b/>
                <w:szCs w:val="20"/>
              </w:rPr>
            </w:pPr>
            <w:proofErr w:type="gramStart"/>
            <w:r w:rsidRPr="00222212">
              <w:rPr>
                <w:b/>
                <w:szCs w:val="20"/>
              </w:rPr>
              <w:t>n/N</w:t>
            </w:r>
            <w:proofErr w:type="gramEnd"/>
            <w:r w:rsidRPr="00222212">
              <w:rPr>
                <w:b/>
                <w:szCs w:val="20"/>
              </w:rPr>
              <w:t xml:space="preserve"> (%)</w:t>
            </w:r>
          </w:p>
        </w:tc>
        <w:tc>
          <w:tcPr>
            <w:tcW w:w="787" w:type="pct"/>
            <w:tcBorders>
              <w:bottom w:val="single" w:sz="4" w:space="0" w:color="auto"/>
            </w:tcBorders>
            <w:tcMar>
              <w:left w:w="28" w:type="dxa"/>
              <w:right w:w="28" w:type="dxa"/>
            </w:tcMar>
            <w:vAlign w:val="center"/>
          </w:tcPr>
          <w:p w:rsidR="00DE782C" w:rsidRPr="00222212" w:rsidRDefault="00DE782C" w:rsidP="00D04B59">
            <w:pPr>
              <w:pStyle w:val="Tabletext"/>
              <w:keepNext/>
              <w:jc w:val="center"/>
              <w:rPr>
                <w:b/>
                <w:szCs w:val="20"/>
              </w:rPr>
            </w:pPr>
            <w:r w:rsidRPr="00222212">
              <w:rPr>
                <w:b/>
                <w:szCs w:val="20"/>
              </w:rPr>
              <w:t>Median OS, m</w:t>
            </w:r>
            <w:r>
              <w:rPr>
                <w:b/>
                <w:szCs w:val="20"/>
              </w:rPr>
              <w:t>on</w:t>
            </w:r>
            <w:r w:rsidRPr="00222212">
              <w:rPr>
                <w:b/>
                <w:szCs w:val="20"/>
              </w:rPr>
              <w:t>ths (95% CI)</w:t>
            </w:r>
          </w:p>
        </w:tc>
        <w:tc>
          <w:tcPr>
            <w:tcW w:w="629" w:type="pct"/>
            <w:tcBorders>
              <w:bottom w:val="single" w:sz="4" w:space="0" w:color="auto"/>
            </w:tcBorders>
            <w:tcMar>
              <w:left w:w="28" w:type="dxa"/>
              <w:right w:w="28" w:type="dxa"/>
            </w:tcMar>
            <w:vAlign w:val="center"/>
          </w:tcPr>
          <w:p w:rsidR="00DE782C" w:rsidRPr="00222212" w:rsidRDefault="00DE782C" w:rsidP="00D04B59">
            <w:pPr>
              <w:pStyle w:val="Tabletext"/>
              <w:keepNext/>
              <w:jc w:val="center"/>
              <w:rPr>
                <w:b/>
                <w:szCs w:val="20"/>
              </w:rPr>
            </w:pPr>
            <w:proofErr w:type="gramStart"/>
            <w:r w:rsidRPr="00222212">
              <w:rPr>
                <w:b/>
                <w:szCs w:val="20"/>
              </w:rPr>
              <w:t>n/N</w:t>
            </w:r>
            <w:proofErr w:type="gramEnd"/>
            <w:r w:rsidRPr="00222212">
              <w:rPr>
                <w:b/>
                <w:szCs w:val="20"/>
              </w:rPr>
              <w:t xml:space="preserve"> (%)</w:t>
            </w:r>
          </w:p>
        </w:tc>
        <w:tc>
          <w:tcPr>
            <w:tcW w:w="786" w:type="pct"/>
            <w:tcBorders>
              <w:bottom w:val="single" w:sz="4" w:space="0" w:color="auto"/>
            </w:tcBorders>
            <w:tcMar>
              <w:left w:w="28" w:type="dxa"/>
              <w:right w:w="28" w:type="dxa"/>
            </w:tcMar>
            <w:vAlign w:val="center"/>
          </w:tcPr>
          <w:p w:rsidR="00DE782C" w:rsidRPr="00222212" w:rsidRDefault="00DE782C" w:rsidP="00D04B59">
            <w:pPr>
              <w:pStyle w:val="Tabletext"/>
              <w:keepNext/>
              <w:jc w:val="center"/>
              <w:rPr>
                <w:b/>
                <w:szCs w:val="20"/>
              </w:rPr>
            </w:pPr>
            <w:r w:rsidRPr="00222212">
              <w:rPr>
                <w:b/>
                <w:szCs w:val="20"/>
              </w:rPr>
              <w:t>Median OS m</w:t>
            </w:r>
            <w:r>
              <w:rPr>
                <w:b/>
                <w:szCs w:val="20"/>
              </w:rPr>
              <w:t>on</w:t>
            </w:r>
            <w:r w:rsidRPr="00222212">
              <w:rPr>
                <w:b/>
                <w:szCs w:val="20"/>
              </w:rPr>
              <w:t>ths (95% CI)</w:t>
            </w:r>
          </w:p>
        </w:tc>
        <w:tc>
          <w:tcPr>
            <w:tcW w:w="787" w:type="pct"/>
            <w:vMerge/>
            <w:tcBorders>
              <w:bottom w:val="single" w:sz="4" w:space="0" w:color="auto"/>
            </w:tcBorders>
            <w:tcMar>
              <w:left w:w="28" w:type="dxa"/>
              <w:right w:w="28" w:type="dxa"/>
            </w:tcMar>
            <w:vAlign w:val="center"/>
          </w:tcPr>
          <w:p w:rsidR="00DE782C" w:rsidRPr="003A3555" w:rsidRDefault="00DE782C" w:rsidP="00D04B59">
            <w:pPr>
              <w:pStyle w:val="Tabletext"/>
              <w:keepNext/>
              <w:rPr>
                <w:szCs w:val="20"/>
              </w:rPr>
            </w:pPr>
          </w:p>
        </w:tc>
        <w:tc>
          <w:tcPr>
            <w:tcW w:w="757" w:type="pct"/>
            <w:gridSpan w:val="2"/>
            <w:vMerge/>
            <w:tcBorders>
              <w:bottom w:val="single" w:sz="4" w:space="0" w:color="auto"/>
            </w:tcBorders>
            <w:tcMar>
              <w:left w:w="28" w:type="dxa"/>
              <w:right w:w="28" w:type="dxa"/>
            </w:tcMar>
            <w:vAlign w:val="center"/>
          </w:tcPr>
          <w:p w:rsidR="00DE782C" w:rsidRPr="003A3555" w:rsidRDefault="00DE782C" w:rsidP="00D04B59">
            <w:pPr>
              <w:pStyle w:val="Tabletext"/>
              <w:keepNext/>
              <w:rPr>
                <w:szCs w:val="20"/>
              </w:rPr>
            </w:pPr>
          </w:p>
        </w:tc>
      </w:tr>
      <w:tr w:rsidR="005E7102" w:rsidRPr="00222212" w:rsidTr="00DE782C">
        <w:tc>
          <w:tcPr>
            <w:tcW w:w="659" w:type="pct"/>
            <w:tcBorders>
              <w:right w:val="nil"/>
            </w:tcBorders>
            <w:tcMar>
              <w:left w:w="28" w:type="dxa"/>
              <w:right w:w="28" w:type="dxa"/>
            </w:tcMar>
            <w:vAlign w:val="center"/>
          </w:tcPr>
          <w:p w:rsidR="005E7102" w:rsidRPr="00222212" w:rsidRDefault="005E7102" w:rsidP="00D04B59">
            <w:pPr>
              <w:pStyle w:val="Tabletext"/>
              <w:keepNext/>
              <w:rPr>
                <w:b/>
                <w:szCs w:val="20"/>
              </w:rPr>
            </w:pPr>
            <w:r w:rsidRPr="00222212">
              <w:rPr>
                <w:b/>
                <w:szCs w:val="20"/>
              </w:rPr>
              <w:t>CALGB</w:t>
            </w:r>
          </w:p>
        </w:tc>
        <w:tc>
          <w:tcPr>
            <w:tcW w:w="596" w:type="pct"/>
            <w:tcBorders>
              <w:left w:val="nil"/>
              <w:right w:val="nil"/>
            </w:tcBorders>
            <w:tcMar>
              <w:left w:w="28" w:type="dxa"/>
              <w:right w:w="28" w:type="dxa"/>
            </w:tcMar>
            <w:vAlign w:val="center"/>
          </w:tcPr>
          <w:p w:rsidR="005E7102" w:rsidRPr="00222212" w:rsidRDefault="005E7102" w:rsidP="00D04B59">
            <w:pPr>
              <w:pStyle w:val="Tabletext"/>
              <w:keepNext/>
              <w:rPr>
                <w:b/>
                <w:szCs w:val="20"/>
              </w:rPr>
            </w:pPr>
          </w:p>
        </w:tc>
        <w:tc>
          <w:tcPr>
            <w:tcW w:w="787" w:type="pct"/>
            <w:tcBorders>
              <w:left w:val="nil"/>
              <w:right w:val="nil"/>
            </w:tcBorders>
            <w:tcMar>
              <w:left w:w="28" w:type="dxa"/>
              <w:right w:w="28" w:type="dxa"/>
            </w:tcMar>
            <w:vAlign w:val="center"/>
          </w:tcPr>
          <w:p w:rsidR="005E7102" w:rsidRPr="00222212" w:rsidRDefault="005E7102" w:rsidP="00D04B59">
            <w:pPr>
              <w:pStyle w:val="Tabletext"/>
              <w:keepNext/>
              <w:rPr>
                <w:b/>
                <w:szCs w:val="20"/>
              </w:rPr>
            </w:pPr>
          </w:p>
        </w:tc>
        <w:tc>
          <w:tcPr>
            <w:tcW w:w="629" w:type="pct"/>
            <w:tcBorders>
              <w:left w:val="nil"/>
              <w:right w:val="nil"/>
            </w:tcBorders>
            <w:tcMar>
              <w:left w:w="28" w:type="dxa"/>
              <w:right w:w="28" w:type="dxa"/>
            </w:tcMar>
            <w:vAlign w:val="center"/>
          </w:tcPr>
          <w:p w:rsidR="005E7102" w:rsidRPr="00222212" w:rsidRDefault="005E7102" w:rsidP="00D04B59">
            <w:pPr>
              <w:pStyle w:val="Tabletext"/>
              <w:keepNext/>
              <w:rPr>
                <w:b/>
                <w:szCs w:val="20"/>
              </w:rPr>
            </w:pPr>
          </w:p>
        </w:tc>
        <w:tc>
          <w:tcPr>
            <w:tcW w:w="786" w:type="pct"/>
            <w:tcBorders>
              <w:left w:val="nil"/>
              <w:right w:val="nil"/>
            </w:tcBorders>
            <w:tcMar>
              <w:left w:w="28" w:type="dxa"/>
              <w:right w:w="28" w:type="dxa"/>
            </w:tcMar>
            <w:vAlign w:val="center"/>
          </w:tcPr>
          <w:p w:rsidR="005E7102" w:rsidRPr="00222212" w:rsidRDefault="005E7102" w:rsidP="00D04B59">
            <w:pPr>
              <w:pStyle w:val="Tabletext"/>
              <w:keepNext/>
              <w:rPr>
                <w:b/>
                <w:szCs w:val="20"/>
              </w:rPr>
            </w:pPr>
          </w:p>
        </w:tc>
        <w:tc>
          <w:tcPr>
            <w:tcW w:w="787" w:type="pct"/>
            <w:tcBorders>
              <w:left w:val="nil"/>
              <w:right w:val="nil"/>
            </w:tcBorders>
            <w:tcMar>
              <w:left w:w="28" w:type="dxa"/>
              <w:right w:w="28" w:type="dxa"/>
            </w:tcMar>
            <w:vAlign w:val="center"/>
          </w:tcPr>
          <w:p w:rsidR="005E7102" w:rsidRPr="00222212" w:rsidRDefault="005E7102" w:rsidP="00D04B59">
            <w:pPr>
              <w:pStyle w:val="Tabletext"/>
              <w:keepNext/>
              <w:rPr>
                <w:b/>
                <w:szCs w:val="20"/>
              </w:rPr>
            </w:pPr>
          </w:p>
        </w:tc>
        <w:tc>
          <w:tcPr>
            <w:tcW w:w="79" w:type="pct"/>
            <w:tcBorders>
              <w:left w:val="nil"/>
              <w:right w:val="nil"/>
            </w:tcBorders>
            <w:tcMar>
              <w:left w:w="28" w:type="dxa"/>
              <w:right w:w="28" w:type="dxa"/>
            </w:tcMar>
            <w:vAlign w:val="center"/>
          </w:tcPr>
          <w:p w:rsidR="005E7102" w:rsidRPr="00222212" w:rsidRDefault="005E7102" w:rsidP="00D04B59">
            <w:pPr>
              <w:pStyle w:val="Tabletext"/>
              <w:keepNext/>
              <w:rPr>
                <w:b/>
                <w:szCs w:val="20"/>
              </w:rPr>
            </w:pPr>
          </w:p>
        </w:tc>
        <w:tc>
          <w:tcPr>
            <w:tcW w:w="678" w:type="pct"/>
            <w:tcBorders>
              <w:left w:val="nil"/>
            </w:tcBorders>
            <w:tcMar>
              <w:left w:w="28" w:type="dxa"/>
              <w:right w:w="28" w:type="dxa"/>
            </w:tcMar>
            <w:vAlign w:val="center"/>
          </w:tcPr>
          <w:p w:rsidR="005E7102" w:rsidRPr="00222212" w:rsidRDefault="005E7102" w:rsidP="00D04B59">
            <w:pPr>
              <w:pStyle w:val="Tabletext"/>
              <w:keepNext/>
              <w:rPr>
                <w:b/>
                <w:szCs w:val="20"/>
              </w:rPr>
            </w:pPr>
          </w:p>
        </w:tc>
      </w:tr>
      <w:tr w:rsidR="00DE782C" w:rsidRPr="003A3555" w:rsidTr="00DE782C">
        <w:tc>
          <w:tcPr>
            <w:tcW w:w="65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782C" w:rsidRPr="00684FB0" w:rsidRDefault="00DE782C" w:rsidP="00D04B59">
            <w:pPr>
              <w:pStyle w:val="Tabletext"/>
              <w:keepNext/>
              <w:rPr>
                <w:szCs w:val="20"/>
              </w:rPr>
            </w:pPr>
            <w:r w:rsidRPr="00684FB0">
              <w:rPr>
                <w:rFonts w:eastAsia="SimSun"/>
                <w:iCs/>
                <w:szCs w:val="20"/>
                <w:bdr w:val="none" w:sz="0" w:space="0" w:color="auto" w:frame="1"/>
                <w:lang w:eastAsia="en-AU"/>
              </w:rPr>
              <w:t>Oct 2016</w:t>
            </w:r>
            <w:r w:rsidRPr="00684FB0">
              <w:rPr>
                <w:rFonts w:eastAsia="SimSun"/>
                <w:iCs/>
                <w:szCs w:val="20"/>
                <w:bdr w:val="none" w:sz="0" w:space="0" w:color="auto" w:frame="1"/>
                <w:vertAlign w:val="superscript"/>
                <w:lang w:eastAsia="en-AU"/>
              </w:rPr>
              <w:t>a</w:t>
            </w:r>
          </w:p>
        </w:tc>
        <w:tc>
          <w:tcPr>
            <w:tcW w:w="59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782C" w:rsidRPr="00684FB0" w:rsidRDefault="00DE782C" w:rsidP="00D04B59">
            <w:pPr>
              <w:pStyle w:val="Tabletext"/>
              <w:keepNext/>
              <w:jc w:val="center"/>
              <w:rPr>
                <w:szCs w:val="20"/>
              </w:rPr>
            </w:pPr>
            <w:r w:rsidRPr="00684FB0">
              <w:rPr>
                <w:iCs/>
                <w:szCs w:val="20"/>
                <w:bdr w:val="none" w:sz="0" w:space="0" w:color="auto" w:frame="1"/>
                <w:lang w:eastAsia="en-AU"/>
              </w:rPr>
              <w:t>88/231</w:t>
            </w:r>
            <w:r w:rsidRPr="00684FB0">
              <w:rPr>
                <w:szCs w:val="20"/>
                <w:lang w:eastAsia="en-AU"/>
              </w:rPr>
              <w:t xml:space="preserve"> (38.1%)</w:t>
            </w:r>
          </w:p>
        </w:tc>
        <w:tc>
          <w:tcPr>
            <w:tcW w:w="78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782C" w:rsidRPr="00684FB0" w:rsidRDefault="00DE782C" w:rsidP="00D04B59">
            <w:pPr>
              <w:pStyle w:val="Tabletext"/>
              <w:keepNext/>
              <w:jc w:val="center"/>
              <w:rPr>
                <w:szCs w:val="20"/>
                <w:lang w:eastAsia="en-AU"/>
              </w:rPr>
            </w:pPr>
            <w:r w:rsidRPr="00684FB0">
              <w:rPr>
                <w:szCs w:val="20"/>
                <w:lang w:eastAsia="en-AU"/>
              </w:rPr>
              <w:t>113.8</w:t>
            </w:r>
          </w:p>
          <w:p w:rsidR="00DE782C" w:rsidRPr="00684FB0" w:rsidRDefault="00DE782C" w:rsidP="00D04B59">
            <w:pPr>
              <w:pStyle w:val="Tabletext"/>
              <w:keepNext/>
              <w:jc w:val="center"/>
              <w:rPr>
                <w:szCs w:val="20"/>
              </w:rPr>
            </w:pPr>
            <w:r w:rsidRPr="00684FB0">
              <w:rPr>
                <w:szCs w:val="20"/>
                <w:lang w:eastAsia="en-AU"/>
              </w:rPr>
              <w:t>(100.4, NE)</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782C" w:rsidRPr="00684FB0" w:rsidRDefault="00DE782C" w:rsidP="00D04B59">
            <w:pPr>
              <w:pStyle w:val="Tabletext"/>
              <w:keepNext/>
              <w:jc w:val="center"/>
              <w:rPr>
                <w:szCs w:val="20"/>
              </w:rPr>
            </w:pPr>
            <w:r w:rsidRPr="00684FB0">
              <w:rPr>
                <w:iCs/>
                <w:szCs w:val="20"/>
                <w:bdr w:val="none" w:sz="0" w:space="0" w:color="auto" w:frame="1"/>
                <w:lang w:eastAsia="en-AU"/>
              </w:rPr>
              <w:t xml:space="preserve">120/229 </w:t>
            </w:r>
            <w:r w:rsidRPr="00684FB0">
              <w:rPr>
                <w:szCs w:val="20"/>
                <w:lang w:eastAsia="en-AU"/>
              </w:rPr>
              <w:t>(52.4%)</w:t>
            </w:r>
          </w:p>
        </w:tc>
        <w:tc>
          <w:tcPr>
            <w:tcW w:w="78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782C" w:rsidRPr="00684FB0" w:rsidRDefault="00DE782C" w:rsidP="00D04B59">
            <w:pPr>
              <w:pStyle w:val="Tabletext"/>
              <w:keepNext/>
              <w:jc w:val="center"/>
              <w:rPr>
                <w:szCs w:val="20"/>
                <w:lang w:eastAsia="en-AU"/>
              </w:rPr>
            </w:pPr>
            <w:r w:rsidRPr="00684FB0">
              <w:rPr>
                <w:szCs w:val="20"/>
                <w:lang w:eastAsia="en-AU"/>
              </w:rPr>
              <w:t>84.1</w:t>
            </w:r>
          </w:p>
          <w:p w:rsidR="00DE782C" w:rsidRPr="00684FB0" w:rsidRDefault="00DE782C" w:rsidP="00D04B59">
            <w:pPr>
              <w:pStyle w:val="Tabletext"/>
              <w:keepNext/>
              <w:jc w:val="center"/>
              <w:rPr>
                <w:szCs w:val="20"/>
              </w:rPr>
            </w:pPr>
            <w:r w:rsidRPr="00684FB0">
              <w:rPr>
                <w:szCs w:val="20"/>
                <w:lang w:eastAsia="en-AU"/>
              </w:rPr>
              <w:t>(73.8, 106.0)</w:t>
            </w:r>
          </w:p>
        </w:tc>
        <w:tc>
          <w:tcPr>
            <w:tcW w:w="78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782C" w:rsidRPr="00684FB0" w:rsidRDefault="00DE782C" w:rsidP="00D04B59">
            <w:pPr>
              <w:pStyle w:val="Tabletext"/>
              <w:keepNext/>
              <w:jc w:val="center"/>
              <w:rPr>
                <w:szCs w:val="20"/>
              </w:rPr>
            </w:pPr>
            <w:r w:rsidRPr="00684FB0">
              <w:rPr>
                <w:szCs w:val="20"/>
                <w:lang w:eastAsia="en-AU"/>
              </w:rPr>
              <w:t>29.7</w:t>
            </w:r>
          </w:p>
        </w:tc>
        <w:tc>
          <w:tcPr>
            <w:tcW w:w="757"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782C" w:rsidRPr="00684FB0" w:rsidRDefault="00DE782C" w:rsidP="00D04B59">
            <w:pPr>
              <w:pStyle w:val="Tabletext"/>
              <w:keepNext/>
              <w:jc w:val="center"/>
              <w:rPr>
                <w:b/>
                <w:szCs w:val="20"/>
                <w:lang w:eastAsia="en-AU"/>
              </w:rPr>
            </w:pPr>
            <w:r w:rsidRPr="00684FB0">
              <w:rPr>
                <w:b/>
                <w:szCs w:val="20"/>
                <w:lang w:eastAsia="en-AU"/>
              </w:rPr>
              <w:t>0.61</w:t>
            </w:r>
          </w:p>
          <w:p w:rsidR="00DE782C" w:rsidRPr="00684FB0" w:rsidRDefault="00DE782C" w:rsidP="00D04B59">
            <w:pPr>
              <w:pStyle w:val="Tabletext"/>
              <w:keepNext/>
              <w:jc w:val="center"/>
              <w:rPr>
                <w:szCs w:val="20"/>
              </w:rPr>
            </w:pPr>
            <w:r w:rsidRPr="00684FB0">
              <w:rPr>
                <w:b/>
                <w:szCs w:val="20"/>
                <w:lang w:eastAsia="en-AU"/>
              </w:rPr>
              <w:t>(0</w:t>
            </w:r>
            <w:r>
              <w:rPr>
                <w:b/>
                <w:szCs w:val="20"/>
                <w:lang w:eastAsia="en-AU"/>
              </w:rPr>
              <w:t>.</w:t>
            </w:r>
            <w:r w:rsidRPr="00684FB0">
              <w:rPr>
                <w:b/>
                <w:szCs w:val="20"/>
                <w:lang w:eastAsia="en-AU"/>
              </w:rPr>
              <w:t>46, 0</w:t>
            </w:r>
            <w:r>
              <w:rPr>
                <w:b/>
                <w:szCs w:val="20"/>
                <w:lang w:eastAsia="en-AU"/>
              </w:rPr>
              <w:t>.</w:t>
            </w:r>
            <w:r w:rsidRPr="00684FB0">
              <w:rPr>
                <w:b/>
                <w:szCs w:val="20"/>
                <w:lang w:eastAsia="en-AU"/>
              </w:rPr>
              <w:t>80)</w:t>
            </w:r>
          </w:p>
        </w:tc>
      </w:tr>
      <w:tr w:rsidR="005E7102" w:rsidRPr="00222212" w:rsidTr="00DE782C">
        <w:tc>
          <w:tcPr>
            <w:tcW w:w="659" w:type="pct"/>
            <w:tcBorders>
              <w:top w:val="single" w:sz="4" w:space="0" w:color="auto"/>
              <w:left w:val="single" w:sz="4" w:space="0" w:color="auto"/>
              <w:bottom w:val="single" w:sz="4" w:space="0" w:color="auto"/>
              <w:right w:val="nil"/>
            </w:tcBorders>
            <w:tcMar>
              <w:left w:w="28" w:type="dxa"/>
              <w:right w:w="28" w:type="dxa"/>
            </w:tcMar>
            <w:vAlign w:val="center"/>
          </w:tcPr>
          <w:p w:rsidR="005E7102" w:rsidRPr="00684FB0" w:rsidRDefault="005E7102" w:rsidP="00D04B59">
            <w:pPr>
              <w:pStyle w:val="Tabletext"/>
              <w:keepNext/>
              <w:rPr>
                <w:rFonts w:eastAsia="SimSun"/>
                <w:b/>
                <w:iCs/>
                <w:szCs w:val="20"/>
                <w:bdr w:val="none" w:sz="0" w:space="0" w:color="auto" w:frame="1"/>
                <w:lang w:eastAsia="en-AU"/>
              </w:rPr>
            </w:pPr>
            <w:r w:rsidRPr="00684FB0">
              <w:rPr>
                <w:rFonts w:eastAsia="SimSun"/>
                <w:b/>
                <w:iCs/>
                <w:szCs w:val="20"/>
                <w:bdr w:val="none" w:sz="0" w:space="0" w:color="auto" w:frame="1"/>
                <w:lang w:eastAsia="en-AU"/>
              </w:rPr>
              <w:t>IFM2005-02</w:t>
            </w:r>
          </w:p>
        </w:tc>
        <w:tc>
          <w:tcPr>
            <w:tcW w:w="596" w:type="pct"/>
            <w:tcBorders>
              <w:top w:val="single" w:sz="4" w:space="0" w:color="auto"/>
              <w:left w:val="nil"/>
              <w:bottom w:val="single" w:sz="4" w:space="0" w:color="auto"/>
              <w:right w:val="nil"/>
            </w:tcBorders>
            <w:tcMar>
              <w:left w:w="28" w:type="dxa"/>
              <w:right w:w="28" w:type="dxa"/>
            </w:tcMar>
            <w:vAlign w:val="center"/>
          </w:tcPr>
          <w:p w:rsidR="005E7102" w:rsidRPr="00684FB0" w:rsidRDefault="005E7102" w:rsidP="00D04B59">
            <w:pPr>
              <w:pStyle w:val="Tabletext"/>
              <w:keepNext/>
              <w:rPr>
                <w:b/>
                <w:szCs w:val="20"/>
                <w:lang w:eastAsia="en-AU"/>
              </w:rPr>
            </w:pPr>
          </w:p>
        </w:tc>
        <w:tc>
          <w:tcPr>
            <w:tcW w:w="787" w:type="pct"/>
            <w:tcBorders>
              <w:top w:val="single" w:sz="4" w:space="0" w:color="auto"/>
              <w:left w:val="nil"/>
              <w:bottom w:val="single" w:sz="4" w:space="0" w:color="auto"/>
              <w:right w:val="nil"/>
            </w:tcBorders>
            <w:tcMar>
              <w:left w:w="28" w:type="dxa"/>
              <w:right w:w="28" w:type="dxa"/>
            </w:tcMar>
            <w:vAlign w:val="center"/>
          </w:tcPr>
          <w:p w:rsidR="005E7102" w:rsidRPr="00684FB0" w:rsidRDefault="005E7102" w:rsidP="00D04B59">
            <w:pPr>
              <w:pStyle w:val="Tabletext"/>
              <w:keepNext/>
              <w:rPr>
                <w:b/>
                <w:szCs w:val="20"/>
                <w:lang w:eastAsia="en-AU"/>
              </w:rPr>
            </w:pPr>
          </w:p>
        </w:tc>
        <w:tc>
          <w:tcPr>
            <w:tcW w:w="629" w:type="pct"/>
            <w:tcBorders>
              <w:top w:val="single" w:sz="4" w:space="0" w:color="auto"/>
              <w:left w:val="nil"/>
              <w:bottom w:val="single" w:sz="4" w:space="0" w:color="auto"/>
              <w:right w:val="nil"/>
            </w:tcBorders>
            <w:tcMar>
              <w:left w:w="28" w:type="dxa"/>
              <w:right w:w="28" w:type="dxa"/>
            </w:tcMar>
            <w:vAlign w:val="center"/>
          </w:tcPr>
          <w:p w:rsidR="005E7102" w:rsidRPr="00684FB0" w:rsidRDefault="005E7102" w:rsidP="00D04B59">
            <w:pPr>
              <w:pStyle w:val="Tabletext"/>
              <w:keepNext/>
              <w:rPr>
                <w:b/>
                <w:szCs w:val="20"/>
                <w:lang w:eastAsia="en-AU"/>
              </w:rPr>
            </w:pPr>
          </w:p>
        </w:tc>
        <w:tc>
          <w:tcPr>
            <w:tcW w:w="786" w:type="pct"/>
            <w:tcBorders>
              <w:top w:val="single" w:sz="4" w:space="0" w:color="auto"/>
              <w:left w:val="nil"/>
              <w:bottom w:val="single" w:sz="4" w:space="0" w:color="auto"/>
              <w:right w:val="nil"/>
            </w:tcBorders>
            <w:tcMar>
              <w:left w:w="28" w:type="dxa"/>
              <w:right w:w="28" w:type="dxa"/>
            </w:tcMar>
            <w:vAlign w:val="center"/>
          </w:tcPr>
          <w:p w:rsidR="005E7102" w:rsidRPr="00684FB0" w:rsidRDefault="005E7102" w:rsidP="00D04B59">
            <w:pPr>
              <w:pStyle w:val="Tabletext"/>
              <w:keepNext/>
              <w:rPr>
                <w:b/>
                <w:szCs w:val="20"/>
                <w:lang w:eastAsia="en-AU"/>
              </w:rPr>
            </w:pPr>
          </w:p>
        </w:tc>
        <w:tc>
          <w:tcPr>
            <w:tcW w:w="787" w:type="pct"/>
            <w:tcBorders>
              <w:top w:val="single" w:sz="4" w:space="0" w:color="auto"/>
              <w:left w:val="nil"/>
              <w:bottom w:val="single" w:sz="4" w:space="0" w:color="auto"/>
              <w:right w:val="nil"/>
            </w:tcBorders>
            <w:tcMar>
              <w:left w:w="28" w:type="dxa"/>
              <w:right w:w="28" w:type="dxa"/>
            </w:tcMar>
            <w:vAlign w:val="center"/>
          </w:tcPr>
          <w:p w:rsidR="005E7102" w:rsidRPr="00684FB0" w:rsidRDefault="005E7102" w:rsidP="00D04B59">
            <w:pPr>
              <w:pStyle w:val="Tabletext"/>
              <w:keepNext/>
              <w:rPr>
                <w:b/>
                <w:szCs w:val="20"/>
                <w:lang w:eastAsia="en-AU"/>
              </w:rPr>
            </w:pPr>
          </w:p>
        </w:tc>
        <w:tc>
          <w:tcPr>
            <w:tcW w:w="79" w:type="pct"/>
            <w:tcBorders>
              <w:top w:val="single" w:sz="4" w:space="0" w:color="auto"/>
              <w:left w:val="nil"/>
              <w:bottom w:val="single" w:sz="4" w:space="0" w:color="auto"/>
              <w:right w:val="nil"/>
            </w:tcBorders>
            <w:tcMar>
              <w:left w:w="28" w:type="dxa"/>
              <w:right w:w="28" w:type="dxa"/>
            </w:tcMar>
            <w:vAlign w:val="center"/>
          </w:tcPr>
          <w:p w:rsidR="005E7102" w:rsidRPr="00684FB0" w:rsidRDefault="005E7102" w:rsidP="00D04B59">
            <w:pPr>
              <w:pStyle w:val="Tabletext"/>
              <w:keepNext/>
              <w:rPr>
                <w:b/>
                <w:szCs w:val="20"/>
                <w:lang w:eastAsia="en-AU"/>
              </w:rPr>
            </w:pPr>
          </w:p>
        </w:tc>
        <w:tc>
          <w:tcPr>
            <w:tcW w:w="678" w:type="pct"/>
            <w:tcBorders>
              <w:top w:val="single" w:sz="4" w:space="0" w:color="auto"/>
              <w:left w:val="nil"/>
              <w:bottom w:val="single" w:sz="4" w:space="0" w:color="auto"/>
              <w:right w:val="single" w:sz="4" w:space="0" w:color="auto"/>
            </w:tcBorders>
            <w:tcMar>
              <w:left w:w="28" w:type="dxa"/>
              <w:right w:w="28" w:type="dxa"/>
            </w:tcMar>
            <w:vAlign w:val="center"/>
          </w:tcPr>
          <w:p w:rsidR="005E7102" w:rsidRPr="00684FB0" w:rsidRDefault="005E7102" w:rsidP="00D04B59">
            <w:pPr>
              <w:pStyle w:val="Tabletext"/>
              <w:keepNext/>
              <w:rPr>
                <w:b/>
                <w:szCs w:val="20"/>
                <w:lang w:eastAsia="en-AU"/>
              </w:rPr>
            </w:pPr>
          </w:p>
        </w:tc>
      </w:tr>
      <w:tr w:rsidR="00DE782C" w:rsidRPr="003A3555" w:rsidTr="00DE782C">
        <w:tc>
          <w:tcPr>
            <w:tcW w:w="65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782C" w:rsidRPr="00684FB0" w:rsidRDefault="00DE782C" w:rsidP="00D04B59">
            <w:pPr>
              <w:pStyle w:val="Tabletext"/>
              <w:keepNext/>
              <w:rPr>
                <w:szCs w:val="20"/>
              </w:rPr>
            </w:pPr>
            <w:r w:rsidRPr="00684FB0">
              <w:rPr>
                <w:rFonts w:eastAsia="SimSun"/>
                <w:iCs/>
                <w:szCs w:val="20"/>
                <w:bdr w:val="none" w:sz="0" w:space="0" w:color="auto" w:frame="1"/>
                <w:lang w:eastAsia="en-AU"/>
              </w:rPr>
              <w:t>Feb 2016</w:t>
            </w:r>
            <w:r w:rsidRPr="00684FB0">
              <w:rPr>
                <w:rFonts w:eastAsia="SimSun"/>
                <w:iCs/>
                <w:szCs w:val="20"/>
                <w:bdr w:val="none" w:sz="0" w:space="0" w:color="auto" w:frame="1"/>
                <w:vertAlign w:val="superscript"/>
                <w:lang w:eastAsia="en-AU"/>
              </w:rPr>
              <w:t xml:space="preserve">b </w:t>
            </w:r>
          </w:p>
        </w:tc>
        <w:tc>
          <w:tcPr>
            <w:tcW w:w="59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782C" w:rsidRPr="00684FB0" w:rsidRDefault="00DE782C" w:rsidP="00D04B59">
            <w:pPr>
              <w:pStyle w:val="Tabletext"/>
              <w:keepNext/>
              <w:jc w:val="center"/>
              <w:rPr>
                <w:szCs w:val="20"/>
              </w:rPr>
            </w:pPr>
            <w:r w:rsidRPr="00684FB0">
              <w:rPr>
                <w:szCs w:val="20"/>
                <w:lang w:eastAsia="en-AU"/>
              </w:rPr>
              <w:t>143/307 (46.6%)</w:t>
            </w:r>
          </w:p>
        </w:tc>
        <w:tc>
          <w:tcPr>
            <w:tcW w:w="78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782C" w:rsidRPr="00684FB0" w:rsidRDefault="00DE782C" w:rsidP="00D04B59">
            <w:pPr>
              <w:pStyle w:val="Tabletext"/>
              <w:keepNext/>
              <w:jc w:val="center"/>
              <w:rPr>
                <w:szCs w:val="20"/>
                <w:lang w:eastAsia="en-AU"/>
              </w:rPr>
            </w:pPr>
            <w:r w:rsidRPr="00684FB0">
              <w:rPr>
                <w:szCs w:val="20"/>
                <w:lang w:eastAsia="en-AU"/>
              </w:rPr>
              <w:t>105.9</w:t>
            </w:r>
          </w:p>
          <w:p w:rsidR="00DE782C" w:rsidRPr="00684FB0" w:rsidRDefault="00DE782C" w:rsidP="00D04B59">
            <w:pPr>
              <w:pStyle w:val="Tabletext"/>
              <w:keepNext/>
              <w:jc w:val="center"/>
              <w:rPr>
                <w:szCs w:val="20"/>
              </w:rPr>
            </w:pPr>
            <w:r w:rsidRPr="00684FB0">
              <w:rPr>
                <w:szCs w:val="20"/>
                <w:lang w:eastAsia="en-AU"/>
              </w:rPr>
              <w:t>(88.8, NE)</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782C" w:rsidRPr="00684FB0" w:rsidRDefault="00DE782C" w:rsidP="00D04B59">
            <w:pPr>
              <w:pStyle w:val="Tabletext"/>
              <w:keepNext/>
              <w:jc w:val="center"/>
              <w:rPr>
                <w:szCs w:val="20"/>
              </w:rPr>
            </w:pPr>
            <w:r w:rsidRPr="00684FB0">
              <w:rPr>
                <w:szCs w:val="20"/>
                <w:lang w:eastAsia="en-AU"/>
              </w:rPr>
              <w:t>160//307 (52.1%)</w:t>
            </w:r>
          </w:p>
        </w:tc>
        <w:tc>
          <w:tcPr>
            <w:tcW w:w="78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782C" w:rsidRPr="00684FB0" w:rsidRDefault="00DE782C" w:rsidP="00D04B59">
            <w:pPr>
              <w:pStyle w:val="Tabletext"/>
              <w:keepNext/>
              <w:jc w:val="center"/>
              <w:rPr>
                <w:szCs w:val="20"/>
                <w:lang w:eastAsia="en-AU"/>
              </w:rPr>
            </w:pPr>
            <w:r w:rsidRPr="00684FB0">
              <w:rPr>
                <w:szCs w:val="20"/>
                <w:lang w:eastAsia="en-AU"/>
              </w:rPr>
              <w:t>88.1</w:t>
            </w:r>
          </w:p>
          <w:p w:rsidR="00DE782C" w:rsidRPr="00684FB0" w:rsidRDefault="00DE782C" w:rsidP="00D04B59">
            <w:pPr>
              <w:pStyle w:val="Tabletext"/>
              <w:keepNext/>
              <w:jc w:val="center"/>
              <w:rPr>
                <w:szCs w:val="20"/>
              </w:rPr>
            </w:pPr>
            <w:r w:rsidRPr="00684FB0">
              <w:rPr>
                <w:szCs w:val="20"/>
                <w:lang w:eastAsia="en-AU"/>
              </w:rPr>
              <w:t>(80.7, 108.4)</w:t>
            </w:r>
          </w:p>
        </w:tc>
        <w:tc>
          <w:tcPr>
            <w:tcW w:w="78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782C" w:rsidRPr="00684FB0" w:rsidRDefault="00DE782C" w:rsidP="00D04B59">
            <w:pPr>
              <w:pStyle w:val="Tabletext"/>
              <w:keepNext/>
              <w:jc w:val="center"/>
              <w:rPr>
                <w:szCs w:val="20"/>
              </w:rPr>
            </w:pPr>
            <w:r w:rsidRPr="00684FB0">
              <w:rPr>
                <w:szCs w:val="20"/>
                <w:lang w:eastAsia="en-AU"/>
              </w:rPr>
              <w:t>17.8</w:t>
            </w:r>
          </w:p>
        </w:tc>
        <w:tc>
          <w:tcPr>
            <w:tcW w:w="757"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782C" w:rsidRPr="00684FB0" w:rsidRDefault="00DE782C" w:rsidP="00D04B59">
            <w:pPr>
              <w:pStyle w:val="Tabletext"/>
              <w:keepNext/>
              <w:jc w:val="center"/>
              <w:rPr>
                <w:szCs w:val="20"/>
                <w:lang w:eastAsia="en-AU"/>
              </w:rPr>
            </w:pPr>
            <w:r w:rsidRPr="00684FB0">
              <w:rPr>
                <w:szCs w:val="20"/>
                <w:lang w:eastAsia="en-AU"/>
              </w:rPr>
              <w:t>0.90</w:t>
            </w:r>
          </w:p>
          <w:p w:rsidR="00DE782C" w:rsidRPr="00684FB0" w:rsidRDefault="00DE782C" w:rsidP="00D04B59">
            <w:pPr>
              <w:pStyle w:val="Tabletext"/>
              <w:keepNext/>
              <w:jc w:val="center"/>
              <w:rPr>
                <w:szCs w:val="20"/>
              </w:rPr>
            </w:pPr>
            <w:r w:rsidRPr="00684FB0">
              <w:rPr>
                <w:szCs w:val="20"/>
                <w:lang w:eastAsia="en-AU"/>
              </w:rPr>
              <w:t>(0.72, 1.13)</w:t>
            </w:r>
          </w:p>
        </w:tc>
      </w:tr>
    </w:tbl>
    <w:p w:rsidR="005E7102" w:rsidRPr="003A3555" w:rsidRDefault="005E7102" w:rsidP="00D04B59">
      <w:pPr>
        <w:pStyle w:val="TableFooter"/>
        <w:keepNext/>
        <w:widowControl/>
        <w:rPr>
          <w:rFonts w:eastAsia="Calibri"/>
        </w:rPr>
      </w:pPr>
      <w:r w:rsidRPr="003A3555">
        <w:rPr>
          <w:rFonts w:eastAsia="Calibri"/>
        </w:rPr>
        <w:t>ASCT</w:t>
      </w:r>
      <w:r w:rsidR="00684FB0">
        <w:rPr>
          <w:rFonts w:eastAsia="Calibri"/>
        </w:rPr>
        <w:t xml:space="preserve"> </w:t>
      </w:r>
      <w:r w:rsidRPr="003A3555">
        <w:rPr>
          <w:rFonts w:eastAsia="Calibri"/>
        </w:rPr>
        <w:t>= autologous stem cell transplant; BSC</w:t>
      </w:r>
      <w:r w:rsidR="00684FB0">
        <w:rPr>
          <w:rFonts w:eastAsia="Calibri"/>
        </w:rPr>
        <w:t xml:space="preserve"> </w:t>
      </w:r>
      <w:r w:rsidRPr="003A3555">
        <w:rPr>
          <w:rFonts w:eastAsia="Calibri"/>
        </w:rPr>
        <w:t>=</w:t>
      </w:r>
      <w:r w:rsidR="00684FB0">
        <w:rPr>
          <w:rFonts w:eastAsia="Calibri"/>
        </w:rPr>
        <w:t xml:space="preserve"> </w:t>
      </w:r>
      <w:r w:rsidRPr="003A3555">
        <w:rPr>
          <w:rFonts w:eastAsia="Calibri"/>
        </w:rPr>
        <w:t>best supportive care; CI = confidence interval; NE = not evaluable; OS = overall survival.</w:t>
      </w:r>
    </w:p>
    <w:p w:rsidR="00684FB0" w:rsidRDefault="005E7102" w:rsidP="00D04B59">
      <w:pPr>
        <w:pStyle w:val="TableFooter"/>
        <w:keepNext/>
        <w:widowControl/>
        <w:rPr>
          <w:rFonts w:eastAsia="Calibri"/>
        </w:rPr>
      </w:pPr>
      <w:r w:rsidRPr="003A3555">
        <w:rPr>
          <w:rFonts w:eastAsia="Calibri"/>
        </w:rPr>
        <w:t xml:space="preserve">Notes: Myeloma XI: OS has not been reported; Myeloma IX: post-ASCT pathway, the median OS was not reached in </w:t>
      </w:r>
      <w:proofErr w:type="gramStart"/>
      <w:r w:rsidRPr="003A3555">
        <w:rPr>
          <w:rFonts w:eastAsia="Calibri"/>
        </w:rPr>
        <w:t>either arm and</w:t>
      </w:r>
      <w:proofErr w:type="gramEnd"/>
      <w:r w:rsidRPr="003A3555">
        <w:rPr>
          <w:rFonts w:eastAsia="Calibri"/>
        </w:rPr>
        <w:t xml:space="preserve"> the HR not reported. </w:t>
      </w:r>
    </w:p>
    <w:p w:rsidR="00684FB0" w:rsidRDefault="005E7102" w:rsidP="00D04B59">
      <w:pPr>
        <w:pStyle w:val="TableFooter"/>
        <w:keepNext/>
        <w:widowControl/>
        <w:rPr>
          <w:rFonts w:eastAsia="Calibri"/>
        </w:rPr>
      </w:pPr>
      <w:proofErr w:type="gramStart"/>
      <w:r w:rsidRPr="003A3555">
        <w:rPr>
          <w:rFonts w:eastAsia="Calibri"/>
        </w:rPr>
        <w:t>a</w:t>
      </w:r>
      <w:proofErr w:type="gramEnd"/>
      <w:r w:rsidRPr="003A3555">
        <w:rPr>
          <w:rFonts w:eastAsia="Calibri"/>
        </w:rPr>
        <w:t xml:space="preserve"> from ASCT; </w:t>
      </w:r>
    </w:p>
    <w:p w:rsidR="00684FB0" w:rsidRDefault="005E7102" w:rsidP="00D04B59">
      <w:pPr>
        <w:pStyle w:val="TableFooter"/>
        <w:keepNext/>
        <w:widowControl/>
        <w:rPr>
          <w:rFonts w:eastAsia="Calibri"/>
        </w:rPr>
      </w:pPr>
      <w:proofErr w:type="gramStart"/>
      <w:r w:rsidRPr="003A3555">
        <w:rPr>
          <w:rFonts w:eastAsia="Calibri"/>
        </w:rPr>
        <w:t>b</w:t>
      </w:r>
      <w:proofErr w:type="gramEnd"/>
      <w:r w:rsidRPr="003A3555">
        <w:rPr>
          <w:rFonts w:eastAsia="Calibri"/>
        </w:rPr>
        <w:t xml:space="preserve"> from maintenance randomisation. </w:t>
      </w:r>
    </w:p>
    <w:p w:rsidR="005E7102" w:rsidRPr="003A3555" w:rsidRDefault="00684FB0" w:rsidP="00D04B59">
      <w:pPr>
        <w:pStyle w:val="TableFooter"/>
        <w:keepNext/>
        <w:widowControl/>
        <w:rPr>
          <w:rFonts w:eastAsia="Calibri"/>
          <w:i/>
        </w:rPr>
      </w:pPr>
      <w:r w:rsidRPr="00684FB0">
        <w:rPr>
          <w:rFonts w:eastAsia="Calibri"/>
        </w:rPr>
        <w:t>Some f</w:t>
      </w:r>
      <w:r w:rsidR="005E7102" w:rsidRPr="00684FB0">
        <w:rPr>
          <w:rFonts w:eastAsia="Calibri"/>
        </w:rPr>
        <w:t xml:space="preserve">igures are corrected from submission and proportions presented to </w:t>
      </w:r>
      <w:proofErr w:type="gramStart"/>
      <w:r w:rsidR="005E7102" w:rsidRPr="00684FB0">
        <w:rPr>
          <w:rFonts w:eastAsia="Calibri"/>
        </w:rPr>
        <w:t>1</w:t>
      </w:r>
      <w:proofErr w:type="gramEnd"/>
      <w:r w:rsidR="005E7102" w:rsidRPr="00684FB0">
        <w:rPr>
          <w:rFonts w:eastAsia="Calibri"/>
        </w:rPr>
        <w:t xml:space="preserve"> decimal point. </w:t>
      </w:r>
      <w:r w:rsidR="005E7102" w:rsidRPr="00684FB0">
        <w:t>St</w:t>
      </w:r>
      <w:r w:rsidR="005E7102" w:rsidRPr="003A3555">
        <w:t>atistically significant differences bolded.</w:t>
      </w:r>
    </w:p>
    <w:p w:rsidR="005E7102" w:rsidRPr="003A3555" w:rsidRDefault="005E7102" w:rsidP="00D04B59">
      <w:pPr>
        <w:pStyle w:val="TableFooter"/>
        <w:keepNext/>
        <w:widowControl/>
        <w:rPr>
          <w:sz w:val="20"/>
        </w:rPr>
      </w:pPr>
      <w:r w:rsidRPr="003A3555">
        <w:t>Source: Table 2.5.3, p.85-86 of the March-2018 submission.</w:t>
      </w:r>
    </w:p>
    <w:p w:rsidR="005E7102" w:rsidRPr="003A3555" w:rsidRDefault="005E7102" w:rsidP="00476EE6">
      <w:pPr>
        <w:pStyle w:val="TableFooter"/>
        <w:widowControl/>
      </w:pPr>
    </w:p>
    <w:p w:rsidR="005E7102" w:rsidRPr="003A3555" w:rsidRDefault="005E7102" w:rsidP="00476EE6">
      <w:pPr>
        <w:keepNext/>
        <w:keepLines/>
        <w:widowControl/>
        <w:rPr>
          <w:rFonts w:ascii="Arial Narrow" w:hAnsi="Arial Narrow"/>
          <w:b/>
          <w:sz w:val="20"/>
          <w:szCs w:val="20"/>
        </w:rPr>
      </w:pPr>
      <w:r w:rsidRPr="003A3555">
        <w:rPr>
          <w:rFonts w:ascii="Arial Narrow" w:hAnsi="Arial Narrow"/>
          <w:b/>
          <w:sz w:val="20"/>
          <w:szCs w:val="20"/>
        </w:rPr>
        <w:t xml:space="preserve">Figure 2: Kaplan-Meier curve of OS of </w:t>
      </w:r>
      <w:proofErr w:type="spellStart"/>
      <w:r w:rsidRPr="003A3555">
        <w:rPr>
          <w:rFonts w:ascii="Arial Narrow" w:hAnsi="Arial Narrow"/>
          <w:b/>
          <w:sz w:val="20"/>
          <w:szCs w:val="20"/>
        </w:rPr>
        <w:t>lenalidomide</w:t>
      </w:r>
      <w:proofErr w:type="spellEnd"/>
      <w:r w:rsidRPr="003A3555">
        <w:rPr>
          <w:rFonts w:ascii="Arial Narrow" w:hAnsi="Arial Narrow"/>
          <w:b/>
          <w:sz w:val="20"/>
          <w:szCs w:val="20"/>
        </w:rPr>
        <w:t xml:space="preserve"> compared with BSC </w:t>
      </w:r>
      <w:r w:rsidR="00820A05" w:rsidRPr="003A3555">
        <w:rPr>
          <w:rFonts w:ascii="Arial Narrow" w:hAnsi="Arial Narrow"/>
          <w:b/>
          <w:sz w:val="20"/>
          <w:szCs w:val="20"/>
        </w:rPr>
        <w:t xml:space="preserve">- </w:t>
      </w:r>
      <w:r w:rsidRPr="003A3555">
        <w:rPr>
          <w:rFonts w:ascii="Arial Narrow" w:hAnsi="Arial Narrow"/>
          <w:b/>
          <w:sz w:val="20"/>
          <w:szCs w:val="20"/>
        </w:rPr>
        <w:t>CALGB (Oct 2016 cut</w:t>
      </w:r>
      <w:r w:rsidR="00FD6B8F" w:rsidRPr="003A3555">
        <w:rPr>
          <w:rFonts w:ascii="Arial Narrow" w:hAnsi="Arial Narrow"/>
          <w:b/>
          <w:sz w:val="20"/>
          <w:szCs w:val="20"/>
        </w:rPr>
        <w:t>-</w:t>
      </w:r>
      <w:r w:rsidRPr="003A3555">
        <w:rPr>
          <w:rFonts w:ascii="Arial Narrow" w:hAnsi="Arial Narrow"/>
          <w:b/>
          <w:sz w:val="20"/>
          <w:szCs w:val="20"/>
        </w:rPr>
        <w:t xml:space="preserve">off) </w:t>
      </w:r>
    </w:p>
    <w:tbl>
      <w:tblPr>
        <w:tblW w:w="0" w:type="auto"/>
        <w:tblLook w:val="04A0" w:firstRow="1" w:lastRow="0" w:firstColumn="1" w:lastColumn="0" w:noHBand="0" w:noVBand="1"/>
      </w:tblPr>
      <w:tblGrid>
        <w:gridCol w:w="8498"/>
      </w:tblGrid>
      <w:tr w:rsidR="005E7102" w:rsidRPr="003A3555" w:rsidTr="00453D1C">
        <w:tc>
          <w:tcPr>
            <w:tcW w:w="8498" w:type="dxa"/>
          </w:tcPr>
          <w:p w:rsidR="005E7102" w:rsidRPr="003A3555" w:rsidRDefault="005E7102" w:rsidP="00476EE6">
            <w:pPr>
              <w:keepNext/>
              <w:widowControl/>
              <w:rPr>
                <w:rFonts w:ascii="Arial Narrow" w:hAnsi="Arial Narrow"/>
                <w:b/>
                <w:sz w:val="20"/>
                <w:szCs w:val="20"/>
              </w:rPr>
            </w:pPr>
            <w:r w:rsidRPr="003A3555">
              <w:rPr>
                <w:rFonts w:ascii="Arial Narrow" w:hAnsi="Arial Narrow"/>
                <w:noProof/>
                <w:sz w:val="18"/>
                <w:szCs w:val="18"/>
                <w:lang w:eastAsia="en-AU"/>
              </w:rPr>
              <w:drawing>
                <wp:inline distT="0" distB="0" distL="0" distR="0" wp14:anchorId="72D2C478" wp14:editId="1AC81B58">
                  <wp:extent cx="4357315" cy="2866277"/>
                  <wp:effectExtent l="0" t="0" r="5715" b="0"/>
                  <wp:docPr id="10" name="Picture 10" title="Figure 2: Kaplan-Meier curve of OS of lenalidomide compared with BSC - CALGB (Oct 2016 cut-of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6740" cy="2957992"/>
                          </a:xfrm>
                          <a:prstGeom prst="rect">
                            <a:avLst/>
                          </a:prstGeom>
                          <a:noFill/>
                        </pic:spPr>
                      </pic:pic>
                    </a:graphicData>
                  </a:graphic>
                </wp:inline>
              </w:drawing>
            </w:r>
          </w:p>
        </w:tc>
      </w:tr>
    </w:tbl>
    <w:p w:rsidR="005E7102" w:rsidRPr="003A3555" w:rsidRDefault="005E7102" w:rsidP="00476EE6">
      <w:pPr>
        <w:pStyle w:val="TableFooter"/>
        <w:widowControl/>
        <w:rPr>
          <w:szCs w:val="18"/>
        </w:rPr>
      </w:pPr>
      <w:r w:rsidRPr="003A3555">
        <w:rPr>
          <w:szCs w:val="18"/>
        </w:rPr>
        <w:t>ASCT</w:t>
      </w:r>
      <w:r w:rsidR="00AE2CD7">
        <w:rPr>
          <w:szCs w:val="18"/>
        </w:rPr>
        <w:t xml:space="preserve"> </w:t>
      </w:r>
      <w:r w:rsidRPr="003A3555">
        <w:rPr>
          <w:szCs w:val="18"/>
        </w:rPr>
        <w:t>= autologous stem cell transplant; CI</w:t>
      </w:r>
      <w:r w:rsidR="00AE2CD7">
        <w:rPr>
          <w:szCs w:val="18"/>
        </w:rPr>
        <w:t xml:space="preserve"> </w:t>
      </w:r>
      <w:r w:rsidRPr="003A3555">
        <w:rPr>
          <w:szCs w:val="18"/>
        </w:rPr>
        <w:t>= confidence interval; HR</w:t>
      </w:r>
      <w:r w:rsidR="00AE2CD7">
        <w:rPr>
          <w:szCs w:val="18"/>
        </w:rPr>
        <w:t xml:space="preserve"> </w:t>
      </w:r>
      <w:r w:rsidRPr="003A3555">
        <w:rPr>
          <w:szCs w:val="18"/>
        </w:rPr>
        <w:t>= hazard ratio; OS</w:t>
      </w:r>
      <w:r w:rsidR="00AE2CD7">
        <w:rPr>
          <w:szCs w:val="18"/>
        </w:rPr>
        <w:t xml:space="preserve"> </w:t>
      </w:r>
      <w:r w:rsidRPr="003A3555">
        <w:rPr>
          <w:szCs w:val="18"/>
        </w:rPr>
        <w:t>= overall survival.</w:t>
      </w:r>
    </w:p>
    <w:p w:rsidR="005E7102" w:rsidRPr="00401CF2" w:rsidRDefault="005E7102" w:rsidP="00476EE6">
      <w:pPr>
        <w:pStyle w:val="TableFooter"/>
        <w:widowControl/>
        <w:rPr>
          <w:szCs w:val="18"/>
        </w:rPr>
      </w:pPr>
      <w:r w:rsidRPr="003A3555">
        <w:rPr>
          <w:szCs w:val="18"/>
        </w:rPr>
        <w:t>Notes: OS is measured as time since ASCT (months)</w:t>
      </w:r>
      <w:r w:rsidR="00820A05" w:rsidRPr="003A3555">
        <w:rPr>
          <w:szCs w:val="18"/>
        </w:rPr>
        <w:t xml:space="preserve">. </w:t>
      </w:r>
      <w:r w:rsidRPr="00401CF2">
        <w:rPr>
          <w:szCs w:val="18"/>
        </w:rPr>
        <w:t>Trial refers to placebo, have used best supportive care for consistency.</w:t>
      </w:r>
    </w:p>
    <w:p w:rsidR="005E7102" w:rsidRDefault="005E7102" w:rsidP="00476EE6">
      <w:pPr>
        <w:pStyle w:val="TableFooter"/>
        <w:widowControl/>
        <w:rPr>
          <w:szCs w:val="18"/>
        </w:rPr>
      </w:pPr>
      <w:r w:rsidRPr="00401CF2">
        <w:rPr>
          <w:szCs w:val="18"/>
        </w:rPr>
        <w:t>Source: Figure 2.5.4, p.86 of the March-2018 submission.</w:t>
      </w:r>
    </w:p>
    <w:p w:rsidR="00684FB0" w:rsidRPr="00684FB0" w:rsidRDefault="00684FB0" w:rsidP="00C12C09">
      <w:pPr>
        <w:pStyle w:val="ListParagraph"/>
        <w:widowControl/>
        <w:numPr>
          <w:ilvl w:val="1"/>
          <w:numId w:val="2"/>
        </w:numPr>
        <w:spacing w:before="120"/>
      </w:pPr>
      <w:r w:rsidRPr="00684FB0">
        <w:rPr>
          <w:rFonts w:cs="Calibri"/>
          <w:snapToGrid/>
          <w:szCs w:val="24"/>
          <w:lang w:eastAsia="en-AU"/>
        </w:rPr>
        <w:t xml:space="preserve">The PFS and OS results for the post-ASCT subgroups in GIMEMA and Myeloma XI (including updated data for the Sept-17 cut-off) </w:t>
      </w:r>
      <w:proofErr w:type="gramStart"/>
      <w:r w:rsidRPr="00684FB0">
        <w:rPr>
          <w:rFonts w:cs="Calibri"/>
          <w:snapToGrid/>
          <w:szCs w:val="24"/>
          <w:lang w:eastAsia="en-AU"/>
        </w:rPr>
        <w:t>are presented</w:t>
      </w:r>
      <w:proofErr w:type="gramEnd"/>
      <w:r w:rsidRPr="00684FB0">
        <w:rPr>
          <w:rFonts w:cs="Calibri"/>
          <w:snapToGrid/>
          <w:szCs w:val="24"/>
          <w:lang w:eastAsia="en-AU"/>
        </w:rPr>
        <w:t xml:space="preserve"> in Tables 10 and 11, and Figures 3 and 4. No Kaplan-Meier curves </w:t>
      </w:r>
      <w:proofErr w:type="gramStart"/>
      <w:r w:rsidRPr="00684FB0">
        <w:rPr>
          <w:rFonts w:cs="Calibri"/>
          <w:snapToGrid/>
          <w:szCs w:val="24"/>
          <w:lang w:eastAsia="en-AU"/>
        </w:rPr>
        <w:t>were presented</w:t>
      </w:r>
      <w:proofErr w:type="gramEnd"/>
      <w:r w:rsidRPr="00684FB0">
        <w:rPr>
          <w:rFonts w:cs="Calibri"/>
          <w:snapToGrid/>
          <w:szCs w:val="24"/>
          <w:lang w:eastAsia="en-AU"/>
        </w:rPr>
        <w:t xml:space="preserve"> for the post-ASCT subgroup in GIMEMA. There were statistically significant improvements in PFS for </w:t>
      </w:r>
      <w:proofErr w:type="spellStart"/>
      <w:r w:rsidRPr="00684FB0">
        <w:rPr>
          <w:rFonts w:cs="Calibri"/>
          <w:snapToGrid/>
          <w:szCs w:val="24"/>
          <w:lang w:eastAsia="en-AU"/>
        </w:rPr>
        <w:t>lenalidomide</w:t>
      </w:r>
      <w:proofErr w:type="spellEnd"/>
      <w:r w:rsidRPr="00684FB0">
        <w:rPr>
          <w:rFonts w:cs="Calibri"/>
          <w:snapToGrid/>
          <w:szCs w:val="24"/>
          <w:lang w:eastAsia="en-AU"/>
        </w:rPr>
        <w:t xml:space="preserve"> versus BSC for the post-ASCT subgroup in GIMEMA and Myeloma XI. There were no statistically significant improvements in OS for </w:t>
      </w:r>
      <w:proofErr w:type="spellStart"/>
      <w:r w:rsidRPr="00684FB0">
        <w:rPr>
          <w:rFonts w:cs="Calibri"/>
          <w:snapToGrid/>
          <w:szCs w:val="24"/>
          <w:lang w:eastAsia="en-AU"/>
        </w:rPr>
        <w:t>lenalidomide</w:t>
      </w:r>
      <w:proofErr w:type="spellEnd"/>
      <w:r w:rsidRPr="00684FB0">
        <w:rPr>
          <w:rFonts w:cs="Calibri"/>
          <w:snapToGrid/>
          <w:szCs w:val="24"/>
          <w:lang w:eastAsia="en-AU"/>
        </w:rPr>
        <w:t xml:space="preserve"> versus BSC in the post-ASCT subgroups in GIMEMA or Myeloma XI.</w:t>
      </w:r>
    </w:p>
    <w:p w:rsidR="005E7102" w:rsidRPr="00684FB0" w:rsidRDefault="00684FB0" w:rsidP="00476EE6">
      <w:pPr>
        <w:pStyle w:val="PBACHeading1"/>
        <w:numPr>
          <w:ilvl w:val="0"/>
          <w:numId w:val="0"/>
        </w:numPr>
        <w:spacing w:after="0"/>
        <w:rPr>
          <w:rFonts w:ascii="Arial Narrow" w:hAnsi="Arial Narrow"/>
          <w:sz w:val="20"/>
          <w:szCs w:val="16"/>
        </w:rPr>
      </w:pPr>
      <w:r w:rsidRPr="00684FB0">
        <w:rPr>
          <w:rStyle w:val="CommentReference"/>
          <w:b/>
        </w:rPr>
        <w:lastRenderedPageBreak/>
        <w:t xml:space="preserve">Table 10: GIMEMA and Myeloma XI – Results of subgroup analyses with whole trial population results and complement results – PFS </w:t>
      </w:r>
      <w:r w:rsidR="00AF1C83">
        <w:rPr>
          <w:rStyle w:val="CommentReference"/>
          <w:b/>
        </w:rPr>
        <w:t xml:space="preserve">– </w:t>
      </w:r>
      <w:proofErr w:type="spellStart"/>
      <w:r w:rsidRPr="00684FB0">
        <w:rPr>
          <w:rStyle w:val="CommentReference"/>
          <w:b/>
        </w:rPr>
        <w:t>lenalidomide</w:t>
      </w:r>
      <w:proofErr w:type="spellEnd"/>
      <w:r w:rsidR="00AF1C83">
        <w:rPr>
          <w:rStyle w:val="CommentReference"/>
          <w:b/>
        </w:rPr>
        <w:t xml:space="preserve"> versus BSC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GIMEMA and Myeloma XI – Results of subgroup analyses with whole trial population results and complement results – PFS – lenalidomide versus BSC"/>
      </w:tblPr>
      <w:tblGrid>
        <w:gridCol w:w="1839"/>
        <w:gridCol w:w="851"/>
        <w:gridCol w:w="1417"/>
        <w:gridCol w:w="851"/>
        <w:gridCol w:w="1417"/>
        <w:gridCol w:w="1419"/>
        <w:gridCol w:w="258"/>
        <w:gridCol w:w="965"/>
      </w:tblGrid>
      <w:tr w:rsidR="00EF509B" w:rsidRPr="003A3555" w:rsidTr="00EF509B">
        <w:trPr>
          <w:tblHeader/>
        </w:trPr>
        <w:tc>
          <w:tcPr>
            <w:tcW w:w="1019" w:type="pct"/>
            <w:vMerge w:val="restart"/>
            <w:tcMar>
              <w:left w:w="28" w:type="dxa"/>
              <w:right w:w="28" w:type="dxa"/>
            </w:tcMar>
            <w:vAlign w:val="center"/>
          </w:tcPr>
          <w:p w:rsidR="00EF509B" w:rsidRPr="003A3555" w:rsidRDefault="00EF509B" w:rsidP="00476EE6">
            <w:pPr>
              <w:keepNext/>
              <w:widowControl/>
              <w:jc w:val="center"/>
              <w:rPr>
                <w:rFonts w:ascii="Arial Narrow" w:hAnsi="Arial Narrow" w:cs="Times New Roman"/>
                <w:b/>
                <w:snapToGrid/>
                <w:sz w:val="20"/>
              </w:rPr>
            </w:pPr>
          </w:p>
        </w:tc>
        <w:tc>
          <w:tcPr>
            <w:tcW w:w="1258" w:type="pct"/>
            <w:gridSpan w:val="2"/>
            <w:tcMar>
              <w:left w:w="28" w:type="dxa"/>
              <w:right w:w="28" w:type="dxa"/>
            </w:tcMar>
            <w:vAlign w:val="center"/>
          </w:tcPr>
          <w:p w:rsidR="00EF509B" w:rsidRPr="003A3555" w:rsidRDefault="00EF509B" w:rsidP="00476EE6">
            <w:pPr>
              <w:keepNext/>
              <w:widowControl/>
              <w:jc w:val="center"/>
              <w:rPr>
                <w:rFonts w:ascii="Arial Narrow" w:hAnsi="Arial Narrow" w:cs="Times New Roman"/>
                <w:b/>
                <w:snapToGrid/>
                <w:sz w:val="20"/>
              </w:rPr>
            </w:pPr>
            <w:proofErr w:type="spellStart"/>
            <w:r w:rsidRPr="003A3555">
              <w:rPr>
                <w:rFonts w:ascii="Arial Narrow" w:hAnsi="Arial Narrow" w:cs="Times New Roman"/>
                <w:b/>
                <w:snapToGrid/>
                <w:sz w:val="20"/>
              </w:rPr>
              <w:t>Lenalidomide</w:t>
            </w:r>
            <w:proofErr w:type="spellEnd"/>
          </w:p>
        </w:tc>
        <w:tc>
          <w:tcPr>
            <w:tcW w:w="1258" w:type="pct"/>
            <w:gridSpan w:val="2"/>
            <w:tcMar>
              <w:left w:w="28" w:type="dxa"/>
              <w:right w:w="28" w:type="dxa"/>
            </w:tcMar>
            <w:vAlign w:val="center"/>
          </w:tcPr>
          <w:p w:rsidR="00EF509B" w:rsidRPr="003A3555" w:rsidRDefault="00EF509B" w:rsidP="00476EE6">
            <w:pPr>
              <w:keepNext/>
              <w:widowControl/>
              <w:jc w:val="center"/>
              <w:rPr>
                <w:rFonts w:ascii="Arial Narrow" w:hAnsi="Arial Narrow" w:cs="Times New Roman"/>
                <w:b/>
                <w:snapToGrid/>
                <w:sz w:val="20"/>
              </w:rPr>
            </w:pPr>
            <w:r w:rsidRPr="003A3555">
              <w:rPr>
                <w:rFonts w:ascii="Arial Narrow" w:hAnsi="Arial Narrow" w:cs="Times New Roman"/>
                <w:b/>
                <w:snapToGrid/>
                <w:sz w:val="20"/>
              </w:rPr>
              <w:t>BSC</w:t>
            </w:r>
          </w:p>
        </w:tc>
        <w:tc>
          <w:tcPr>
            <w:tcW w:w="787" w:type="pct"/>
            <w:vMerge w:val="restart"/>
            <w:tcMar>
              <w:left w:w="28" w:type="dxa"/>
              <w:right w:w="28" w:type="dxa"/>
            </w:tcMar>
            <w:vAlign w:val="center"/>
          </w:tcPr>
          <w:p w:rsidR="00EF509B" w:rsidRPr="003A3555" w:rsidRDefault="00EF509B" w:rsidP="00476EE6">
            <w:pPr>
              <w:keepNext/>
              <w:widowControl/>
              <w:jc w:val="center"/>
              <w:rPr>
                <w:rFonts w:ascii="Arial Narrow" w:hAnsi="Arial Narrow" w:cs="Times New Roman"/>
                <w:b/>
                <w:snapToGrid/>
                <w:sz w:val="20"/>
              </w:rPr>
            </w:pPr>
            <w:r w:rsidRPr="003A3555">
              <w:rPr>
                <w:rFonts w:ascii="Arial Narrow" w:hAnsi="Arial Narrow" w:cs="Times New Roman"/>
                <w:b/>
                <w:snapToGrid/>
                <w:sz w:val="20"/>
              </w:rPr>
              <w:t>Difference in median, m</w:t>
            </w:r>
            <w:r>
              <w:rPr>
                <w:rFonts w:ascii="Arial Narrow" w:hAnsi="Arial Narrow" w:cs="Times New Roman"/>
                <w:b/>
                <w:snapToGrid/>
                <w:sz w:val="20"/>
              </w:rPr>
              <w:t>onths</w:t>
            </w:r>
          </w:p>
        </w:tc>
        <w:tc>
          <w:tcPr>
            <w:tcW w:w="678" w:type="pct"/>
            <w:gridSpan w:val="2"/>
            <w:vMerge w:val="restart"/>
            <w:tcMar>
              <w:left w:w="28" w:type="dxa"/>
              <w:right w:w="28" w:type="dxa"/>
            </w:tcMar>
            <w:vAlign w:val="center"/>
          </w:tcPr>
          <w:p w:rsidR="00EF509B" w:rsidRPr="003A3555" w:rsidRDefault="00EF509B" w:rsidP="00476EE6">
            <w:pPr>
              <w:keepNext/>
              <w:widowControl/>
              <w:jc w:val="center"/>
              <w:rPr>
                <w:rFonts w:ascii="Arial Narrow" w:hAnsi="Arial Narrow" w:cs="Times New Roman"/>
                <w:b/>
                <w:snapToGrid/>
                <w:sz w:val="20"/>
              </w:rPr>
            </w:pPr>
            <w:r w:rsidRPr="003A3555">
              <w:rPr>
                <w:rFonts w:ascii="Arial Narrow" w:hAnsi="Arial Narrow" w:cs="Times New Roman"/>
                <w:b/>
                <w:snapToGrid/>
                <w:sz w:val="20"/>
              </w:rPr>
              <w:t xml:space="preserve">Hazard ratio </w:t>
            </w:r>
            <w:r>
              <w:rPr>
                <w:rFonts w:ascii="Arial Narrow" w:hAnsi="Arial Narrow" w:cs="Times New Roman"/>
                <w:b/>
                <w:snapToGrid/>
                <w:sz w:val="20"/>
              </w:rPr>
              <w:br/>
            </w:r>
            <w:r w:rsidRPr="003A3555">
              <w:rPr>
                <w:rFonts w:ascii="Arial Narrow" w:hAnsi="Arial Narrow" w:cs="Times New Roman"/>
                <w:b/>
                <w:snapToGrid/>
                <w:sz w:val="20"/>
              </w:rPr>
              <w:t>(95% CI)</w:t>
            </w:r>
          </w:p>
        </w:tc>
      </w:tr>
      <w:tr w:rsidR="00EF509B" w:rsidRPr="003A3555" w:rsidTr="00EF509B">
        <w:tc>
          <w:tcPr>
            <w:tcW w:w="1019" w:type="pct"/>
            <w:vMerge/>
            <w:tcBorders>
              <w:bottom w:val="single" w:sz="4" w:space="0" w:color="auto"/>
            </w:tcBorders>
            <w:tcMar>
              <w:left w:w="28" w:type="dxa"/>
              <w:right w:w="28" w:type="dxa"/>
            </w:tcMar>
            <w:vAlign w:val="center"/>
          </w:tcPr>
          <w:p w:rsidR="00EF509B" w:rsidRPr="003A3555" w:rsidRDefault="00EF509B" w:rsidP="00476EE6">
            <w:pPr>
              <w:keepNext/>
              <w:widowControl/>
              <w:jc w:val="left"/>
              <w:rPr>
                <w:rFonts w:ascii="Arial Narrow" w:hAnsi="Arial Narrow" w:cs="Times New Roman"/>
                <w:snapToGrid/>
                <w:sz w:val="20"/>
              </w:rPr>
            </w:pPr>
          </w:p>
        </w:tc>
        <w:tc>
          <w:tcPr>
            <w:tcW w:w="472" w:type="pct"/>
            <w:tcBorders>
              <w:bottom w:val="single" w:sz="4" w:space="0" w:color="auto"/>
            </w:tcBorders>
            <w:tcMar>
              <w:left w:w="28" w:type="dxa"/>
              <w:right w:w="28" w:type="dxa"/>
            </w:tcMar>
            <w:vAlign w:val="center"/>
          </w:tcPr>
          <w:p w:rsidR="00EF509B" w:rsidRPr="003A3555" w:rsidRDefault="00EF509B" w:rsidP="00476EE6">
            <w:pPr>
              <w:keepNext/>
              <w:widowControl/>
              <w:jc w:val="center"/>
              <w:rPr>
                <w:rFonts w:ascii="Arial Narrow" w:hAnsi="Arial Narrow" w:cs="Times New Roman"/>
                <w:b/>
                <w:snapToGrid/>
                <w:sz w:val="20"/>
              </w:rPr>
            </w:pPr>
            <w:proofErr w:type="gramStart"/>
            <w:r w:rsidRPr="003A3555">
              <w:rPr>
                <w:rFonts w:ascii="Arial Narrow" w:hAnsi="Arial Narrow" w:cs="Times New Roman"/>
                <w:b/>
                <w:snapToGrid/>
                <w:sz w:val="20"/>
              </w:rPr>
              <w:t>n/N</w:t>
            </w:r>
            <w:proofErr w:type="gramEnd"/>
            <w:r w:rsidRPr="003A3555">
              <w:rPr>
                <w:rFonts w:ascii="Arial Narrow" w:hAnsi="Arial Narrow" w:cs="Times New Roman"/>
                <w:b/>
                <w:snapToGrid/>
                <w:sz w:val="20"/>
              </w:rPr>
              <w:t xml:space="preserve"> (%)</w:t>
            </w:r>
          </w:p>
        </w:tc>
        <w:tc>
          <w:tcPr>
            <w:tcW w:w="786" w:type="pct"/>
            <w:tcBorders>
              <w:bottom w:val="single" w:sz="4" w:space="0" w:color="auto"/>
            </w:tcBorders>
            <w:tcMar>
              <w:left w:w="28" w:type="dxa"/>
              <w:right w:w="28" w:type="dxa"/>
            </w:tcMar>
            <w:vAlign w:val="center"/>
          </w:tcPr>
          <w:p w:rsidR="00EF509B" w:rsidRPr="003A3555" w:rsidRDefault="00EF509B" w:rsidP="00476EE6">
            <w:pPr>
              <w:keepNext/>
              <w:widowControl/>
              <w:jc w:val="center"/>
              <w:rPr>
                <w:rFonts w:ascii="Arial Narrow" w:hAnsi="Arial Narrow" w:cs="Times New Roman"/>
                <w:b/>
                <w:snapToGrid/>
                <w:sz w:val="20"/>
              </w:rPr>
            </w:pPr>
            <w:r w:rsidRPr="003A3555">
              <w:rPr>
                <w:rFonts w:ascii="Arial Narrow" w:hAnsi="Arial Narrow" w:cs="Times New Roman"/>
                <w:b/>
                <w:snapToGrid/>
                <w:sz w:val="20"/>
              </w:rPr>
              <w:t xml:space="preserve">Median PFS, </w:t>
            </w:r>
            <w:r>
              <w:rPr>
                <w:rFonts w:ascii="Arial Narrow" w:hAnsi="Arial Narrow" w:cs="Times New Roman"/>
                <w:b/>
                <w:snapToGrid/>
                <w:sz w:val="20"/>
              </w:rPr>
              <w:br/>
            </w:r>
            <w:r w:rsidRPr="003A3555">
              <w:rPr>
                <w:rFonts w:ascii="Arial Narrow" w:hAnsi="Arial Narrow" w:cs="Times New Roman"/>
                <w:b/>
                <w:snapToGrid/>
                <w:sz w:val="20"/>
              </w:rPr>
              <w:t>m</w:t>
            </w:r>
            <w:r>
              <w:rPr>
                <w:rFonts w:ascii="Arial Narrow" w:hAnsi="Arial Narrow" w:cs="Times New Roman"/>
                <w:b/>
                <w:snapToGrid/>
                <w:sz w:val="20"/>
              </w:rPr>
              <w:t>on</w:t>
            </w:r>
            <w:r w:rsidRPr="003A3555">
              <w:rPr>
                <w:rFonts w:ascii="Arial Narrow" w:hAnsi="Arial Narrow" w:cs="Times New Roman"/>
                <w:b/>
                <w:snapToGrid/>
                <w:sz w:val="20"/>
              </w:rPr>
              <w:t>ths (95% CI)</w:t>
            </w:r>
          </w:p>
        </w:tc>
        <w:tc>
          <w:tcPr>
            <w:tcW w:w="472" w:type="pct"/>
            <w:tcBorders>
              <w:bottom w:val="single" w:sz="4" w:space="0" w:color="auto"/>
            </w:tcBorders>
            <w:tcMar>
              <w:left w:w="28" w:type="dxa"/>
              <w:right w:w="28" w:type="dxa"/>
            </w:tcMar>
            <w:vAlign w:val="center"/>
          </w:tcPr>
          <w:p w:rsidR="00EF509B" w:rsidRPr="003A3555" w:rsidRDefault="00EF509B" w:rsidP="00476EE6">
            <w:pPr>
              <w:keepNext/>
              <w:widowControl/>
              <w:jc w:val="center"/>
              <w:rPr>
                <w:rFonts w:ascii="Arial Narrow" w:hAnsi="Arial Narrow" w:cs="Times New Roman"/>
                <w:b/>
                <w:snapToGrid/>
                <w:sz w:val="20"/>
              </w:rPr>
            </w:pPr>
            <w:proofErr w:type="gramStart"/>
            <w:r w:rsidRPr="003A3555">
              <w:rPr>
                <w:rFonts w:ascii="Arial Narrow" w:hAnsi="Arial Narrow" w:cs="Times New Roman"/>
                <w:b/>
                <w:snapToGrid/>
                <w:sz w:val="20"/>
              </w:rPr>
              <w:t>n/N</w:t>
            </w:r>
            <w:proofErr w:type="gramEnd"/>
            <w:r w:rsidRPr="003A3555">
              <w:rPr>
                <w:rFonts w:ascii="Arial Narrow" w:hAnsi="Arial Narrow" w:cs="Times New Roman"/>
                <w:b/>
                <w:snapToGrid/>
                <w:sz w:val="20"/>
              </w:rPr>
              <w:t xml:space="preserve"> (%)</w:t>
            </w:r>
          </w:p>
        </w:tc>
        <w:tc>
          <w:tcPr>
            <w:tcW w:w="786" w:type="pct"/>
            <w:tcBorders>
              <w:bottom w:val="single" w:sz="4" w:space="0" w:color="auto"/>
            </w:tcBorders>
            <w:tcMar>
              <w:left w:w="28" w:type="dxa"/>
              <w:right w:w="28" w:type="dxa"/>
            </w:tcMar>
            <w:vAlign w:val="center"/>
          </w:tcPr>
          <w:p w:rsidR="00EF509B" w:rsidRPr="003A3555" w:rsidRDefault="00EF509B" w:rsidP="00476EE6">
            <w:pPr>
              <w:keepNext/>
              <w:widowControl/>
              <w:jc w:val="center"/>
              <w:rPr>
                <w:rFonts w:ascii="Arial Narrow" w:hAnsi="Arial Narrow" w:cs="Times New Roman"/>
                <w:b/>
                <w:snapToGrid/>
                <w:sz w:val="20"/>
              </w:rPr>
            </w:pPr>
            <w:r w:rsidRPr="003A3555">
              <w:rPr>
                <w:rFonts w:ascii="Arial Narrow" w:hAnsi="Arial Narrow" w:cs="Times New Roman"/>
                <w:b/>
                <w:snapToGrid/>
                <w:sz w:val="20"/>
              </w:rPr>
              <w:t>Median PFS, m</w:t>
            </w:r>
            <w:r>
              <w:rPr>
                <w:rFonts w:ascii="Arial Narrow" w:hAnsi="Arial Narrow" w:cs="Times New Roman"/>
                <w:b/>
                <w:snapToGrid/>
                <w:sz w:val="20"/>
              </w:rPr>
              <w:t>on</w:t>
            </w:r>
            <w:r w:rsidRPr="003A3555">
              <w:rPr>
                <w:rFonts w:ascii="Arial Narrow" w:hAnsi="Arial Narrow" w:cs="Times New Roman"/>
                <w:b/>
                <w:snapToGrid/>
                <w:sz w:val="20"/>
              </w:rPr>
              <w:t>ths (95% CI)</w:t>
            </w:r>
          </w:p>
        </w:tc>
        <w:tc>
          <w:tcPr>
            <w:tcW w:w="787" w:type="pct"/>
            <w:vMerge/>
            <w:tcBorders>
              <w:bottom w:val="single" w:sz="4" w:space="0" w:color="auto"/>
            </w:tcBorders>
            <w:tcMar>
              <w:left w:w="28" w:type="dxa"/>
              <w:right w:w="28" w:type="dxa"/>
            </w:tcMar>
            <w:vAlign w:val="center"/>
          </w:tcPr>
          <w:p w:rsidR="00EF509B" w:rsidRPr="003A3555" w:rsidRDefault="00EF509B" w:rsidP="00476EE6">
            <w:pPr>
              <w:keepNext/>
              <w:widowControl/>
              <w:jc w:val="center"/>
              <w:rPr>
                <w:rFonts w:ascii="Arial Narrow" w:hAnsi="Arial Narrow" w:cs="Times New Roman"/>
                <w:snapToGrid/>
                <w:sz w:val="20"/>
              </w:rPr>
            </w:pPr>
          </w:p>
        </w:tc>
        <w:tc>
          <w:tcPr>
            <w:tcW w:w="678" w:type="pct"/>
            <w:gridSpan w:val="2"/>
            <w:vMerge/>
            <w:tcBorders>
              <w:bottom w:val="single" w:sz="4" w:space="0" w:color="auto"/>
            </w:tcBorders>
            <w:tcMar>
              <w:left w:w="28" w:type="dxa"/>
              <w:right w:w="28" w:type="dxa"/>
            </w:tcMar>
            <w:vAlign w:val="center"/>
          </w:tcPr>
          <w:p w:rsidR="00EF509B" w:rsidRPr="003A3555" w:rsidRDefault="00EF509B" w:rsidP="00476EE6">
            <w:pPr>
              <w:keepNext/>
              <w:widowControl/>
              <w:jc w:val="center"/>
              <w:rPr>
                <w:rFonts w:ascii="Arial Narrow" w:hAnsi="Arial Narrow" w:cs="Times New Roman"/>
                <w:snapToGrid/>
                <w:sz w:val="20"/>
              </w:rPr>
            </w:pPr>
          </w:p>
        </w:tc>
      </w:tr>
      <w:tr w:rsidR="00EF509B" w:rsidRPr="003A3555" w:rsidTr="00EF509B">
        <w:tc>
          <w:tcPr>
            <w:tcW w:w="1019" w:type="pct"/>
            <w:tcBorders>
              <w:right w:val="nil"/>
            </w:tcBorders>
            <w:tcMar>
              <w:left w:w="28" w:type="dxa"/>
              <w:right w:w="28" w:type="dxa"/>
            </w:tcMar>
            <w:vAlign w:val="center"/>
          </w:tcPr>
          <w:p w:rsidR="005E7102" w:rsidRPr="003A3555" w:rsidRDefault="005E7102" w:rsidP="00476EE6">
            <w:pPr>
              <w:keepNext/>
              <w:widowControl/>
              <w:jc w:val="left"/>
              <w:rPr>
                <w:rFonts w:ascii="Arial Narrow" w:hAnsi="Arial Narrow" w:cs="Times New Roman"/>
                <w:b/>
                <w:snapToGrid/>
                <w:sz w:val="20"/>
              </w:rPr>
            </w:pPr>
            <w:r w:rsidRPr="003A3555">
              <w:rPr>
                <w:rFonts w:ascii="Arial Narrow" w:hAnsi="Arial Narrow" w:cs="Times New Roman"/>
                <w:b/>
                <w:snapToGrid/>
                <w:sz w:val="20"/>
              </w:rPr>
              <w:t>GIMEMA</w:t>
            </w:r>
          </w:p>
        </w:tc>
        <w:tc>
          <w:tcPr>
            <w:tcW w:w="472" w:type="pct"/>
            <w:tcBorders>
              <w:left w:val="nil"/>
              <w:right w:val="nil"/>
            </w:tcBorders>
            <w:tcMar>
              <w:left w:w="28" w:type="dxa"/>
              <w:right w:w="28" w:type="dxa"/>
            </w:tcMar>
          </w:tcPr>
          <w:p w:rsidR="005E7102" w:rsidRPr="003A3555" w:rsidRDefault="005E7102" w:rsidP="00476EE6">
            <w:pPr>
              <w:keepNext/>
              <w:widowControl/>
              <w:jc w:val="left"/>
              <w:rPr>
                <w:rFonts w:ascii="Arial Narrow" w:hAnsi="Arial Narrow" w:cs="Times New Roman"/>
                <w:snapToGrid/>
                <w:sz w:val="20"/>
              </w:rPr>
            </w:pPr>
          </w:p>
        </w:tc>
        <w:tc>
          <w:tcPr>
            <w:tcW w:w="786" w:type="pct"/>
            <w:tcBorders>
              <w:left w:val="nil"/>
              <w:right w:val="nil"/>
            </w:tcBorders>
            <w:tcMar>
              <w:left w:w="28" w:type="dxa"/>
              <w:right w:w="28" w:type="dxa"/>
            </w:tcMar>
          </w:tcPr>
          <w:p w:rsidR="005E7102" w:rsidRPr="003A3555" w:rsidRDefault="005E7102" w:rsidP="00476EE6">
            <w:pPr>
              <w:keepNext/>
              <w:widowControl/>
              <w:jc w:val="left"/>
              <w:rPr>
                <w:rFonts w:ascii="Arial Narrow" w:hAnsi="Arial Narrow" w:cs="Times New Roman"/>
                <w:snapToGrid/>
                <w:sz w:val="20"/>
              </w:rPr>
            </w:pPr>
          </w:p>
        </w:tc>
        <w:tc>
          <w:tcPr>
            <w:tcW w:w="472" w:type="pct"/>
            <w:tcBorders>
              <w:left w:val="nil"/>
              <w:right w:val="nil"/>
            </w:tcBorders>
            <w:tcMar>
              <w:left w:w="28" w:type="dxa"/>
              <w:right w:w="28" w:type="dxa"/>
            </w:tcMar>
          </w:tcPr>
          <w:p w:rsidR="005E7102" w:rsidRPr="003A3555" w:rsidRDefault="005E7102" w:rsidP="00476EE6">
            <w:pPr>
              <w:keepNext/>
              <w:widowControl/>
              <w:jc w:val="left"/>
              <w:rPr>
                <w:rFonts w:ascii="Arial Narrow" w:hAnsi="Arial Narrow" w:cs="Times New Roman"/>
                <w:snapToGrid/>
                <w:sz w:val="20"/>
              </w:rPr>
            </w:pPr>
          </w:p>
        </w:tc>
        <w:tc>
          <w:tcPr>
            <w:tcW w:w="786" w:type="pct"/>
            <w:tcBorders>
              <w:left w:val="nil"/>
              <w:right w:val="nil"/>
            </w:tcBorders>
            <w:tcMar>
              <w:left w:w="28" w:type="dxa"/>
              <w:right w:w="28" w:type="dxa"/>
            </w:tcMar>
          </w:tcPr>
          <w:p w:rsidR="005E7102" w:rsidRPr="003A3555" w:rsidRDefault="005E7102" w:rsidP="00476EE6">
            <w:pPr>
              <w:keepNext/>
              <w:widowControl/>
              <w:jc w:val="left"/>
              <w:rPr>
                <w:rFonts w:ascii="Arial Narrow" w:hAnsi="Arial Narrow" w:cs="Times New Roman"/>
                <w:snapToGrid/>
                <w:sz w:val="20"/>
              </w:rPr>
            </w:pPr>
          </w:p>
        </w:tc>
        <w:tc>
          <w:tcPr>
            <w:tcW w:w="787" w:type="pct"/>
            <w:tcBorders>
              <w:left w:val="nil"/>
              <w:right w:val="nil"/>
            </w:tcBorders>
            <w:tcMar>
              <w:left w:w="28" w:type="dxa"/>
              <w:right w:w="28" w:type="dxa"/>
            </w:tcMar>
          </w:tcPr>
          <w:p w:rsidR="005E7102" w:rsidRPr="003A3555" w:rsidRDefault="005E7102" w:rsidP="00476EE6">
            <w:pPr>
              <w:keepNext/>
              <w:widowControl/>
              <w:jc w:val="left"/>
              <w:rPr>
                <w:rFonts w:ascii="Arial Narrow" w:hAnsi="Arial Narrow" w:cs="Times New Roman"/>
                <w:snapToGrid/>
                <w:sz w:val="20"/>
              </w:rPr>
            </w:pPr>
          </w:p>
        </w:tc>
        <w:tc>
          <w:tcPr>
            <w:tcW w:w="143" w:type="pct"/>
            <w:tcBorders>
              <w:left w:val="nil"/>
              <w:right w:val="nil"/>
            </w:tcBorders>
            <w:tcMar>
              <w:left w:w="28" w:type="dxa"/>
              <w:right w:w="28" w:type="dxa"/>
            </w:tcMar>
          </w:tcPr>
          <w:p w:rsidR="005E7102" w:rsidRPr="003A3555" w:rsidRDefault="005E7102" w:rsidP="00476EE6">
            <w:pPr>
              <w:keepNext/>
              <w:widowControl/>
              <w:jc w:val="left"/>
              <w:rPr>
                <w:rFonts w:ascii="Arial Narrow" w:hAnsi="Arial Narrow" w:cs="Times New Roman"/>
                <w:snapToGrid/>
                <w:sz w:val="20"/>
              </w:rPr>
            </w:pPr>
          </w:p>
        </w:tc>
        <w:tc>
          <w:tcPr>
            <w:tcW w:w="535" w:type="pct"/>
            <w:tcBorders>
              <w:left w:val="nil"/>
            </w:tcBorders>
            <w:tcMar>
              <w:left w:w="28" w:type="dxa"/>
              <w:right w:w="28" w:type="dxa"/>
            </w:tcMar>
          </w:tcPr>
          <w:p w:rsidR="005E7102" w:rsidRPr="003A3555" w:rsidRDefault="005E7102" w:rsidP="00476EE6">
            <w:pPr>
              <w:keepNext/>
              <w:widowControl/>
              <w:jc w:val="left"/>
              <w:rPr>
                <w:rFonts w:ascii="Arial Narrow" w:hAnsi="Arial Narrow" w:cs="Times New Roman"/>
                <w:snapToGrid/>
                <w:sz w:val="20"/>
              </w:rPr>
            </w:pPr>
          </w:p>
        </w:tc>
      </w:tr>
      <w:tr w:rsidR="00DE782C" w:rsidRPr="003A3555" w:rsidTr="00EF509B">
        <w:tc>
          <w:tcPr>
            <w:tcW w:w="1019" w:type="pct"/>
            <w:tcMar>
              <w:left w:w="28" w:type="dxa"/>
              <w:right w:w="28" w:type="dxa"/>
            </w:tcMar>
            <w:vAlign w:val="center"/>
          </w:tcPr>
          <w:p w:rsidR="00DE782C" w:rsidRPr="003A3555" w:rsidRDefault="00DE782C" w:rsidP="00476EE6">
            <w:pPr>
              <w:keepNext/>
              <w:widowControl/>
              <w:jc w:val="left"/>
              <w:rPr>
                <w:rFonts w:ascii="Arial Narrow" w:hAnsi="Arial Narrow" w:cs="Times New Roman"/>
                <w:snapToGrid/>
                <w:sz w:val="20"/>
              </w:rPr>
            </w:pPr>
            <w:r w:rsidRPr="003A3555">
              <w:rPr>
                <w:rFonts w:ascii="Arial Narrow" w:hAnsi="Arial Narrow" w:cs="Times New Roman"/>
                <w:snapToGrid/>
                <w:sz w:val="20"/>
              </w:rPr>
              <w:t>Whole (Apr 2013)</w:t>
            </w:r>
          </w:p>
        </w:tc>
        <w:tc>
          <w:tcPr>
            <w:tcW w:w="472" w:type="pct"/>
            <w:tcMar>
              <w:left w:w="28" w:type="dxa"/>
              <w:right w:w="28" w:type="dxa"/>
            </w:tcMar>
            <w:vAlign w:val="center"/>
          </w:tcPr>
          <w:p w:rsidR="00DE782C" w:rsidRPr="003A3555" w:rsidRDefault="00DE782C"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N</w:t>
            </w:r>
            <w:r>
              <w:rPr>
                <w:rFonts w:ascii="Arial Narrow" w:hAnsi="Arial Narrow" w:cs="Times New Roman"/>
                <w:snapToGrid/>
                <w:sz w:val="20"/>
              </w:rPr>
              <w:t>R</w:t>
            </w:r>
          </w:p>
        </w:tc>
        <w:tc>
          <w:tcPr>
            <w:tcW w:w="786" w:type="pct"/>
            <w:tcMar>
              <w:left w:w="28" w:type="dxa"/>
              <w:right w:w="28" w:type="dxa"/>
            </w:tcMar>
            <w:vAlign w:val="center"/>
          </w:tcPr>
          <w:p w:rsidR="00DE782C" w:rsidRPr="003A3555" w:rsidRDefault="00AF1C83" w:rsidP="00AF1C83">
            <w:pPr>
              <w:keepNext/>
              <w:widowControl/>
              <w:jc w:val="center"/>
              <w:rPr>
                <w:rFonts w:ascii="Arial Narrow" w:hAnsi="Arial Narrow" w:cs="Times New Roman"/>
                <w:snapToGrid/>
                <w:sz w:val="20"/>
              </w:rPr>
            </w:pPr>
            <w:r>
              <w:rPr>
                <w:rFonts w:ascii="Arial Narrow" w:hAnsi="Arial Narrow" w:cs="Times New Roman"/>
                <w:snapToGrid/>
                <w:sz w:val="20"/>
              </w:rPr>
              <w:t>41.9</w:t>
            </w:r>
          </w:p>
        </w:tc>
        <w:tc>
          <w:tcPr>
            <w:tcW w:w="472" w:type="pct"/>
            <w:tcMar>
              <w:left w:w="28" w:type="dxa"/>
              <w:right w:w="28" w:type="dxa"/>
            </w:tcMar>
            <w:vAlign w:val="center"/>
          </w:tcPr>
          <w:p w:rsidR="00DE782C" w:rsidRPr="003A3555" w:rsidRDefault="00DE782C"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N</w:t>
            </w:r>
            <w:r>
              <w:rPr>
                <w:rFonts w:ascii="Arial Narrow" w:hAnsi="Arial Narrow" w:cs="Times New Roman"/>
                <w:snapToGrid/>
                <w:sz w:val="20"/>
              </w:rPr>
              <w:t>R</w:t>
            </w:r>
          </w:p>
        </w:tc>
        <w:tc>
          <w:tcPr>
            <w:tcW w:w="786" w:type="pct"/>
            <w:tcMar>
              <w:left w:w="28" w:type="dxa"/>
              <w:right w:w="28" w:type="dxa"/>
            </w:tcMar>
            <w:vAlign w:val="center"/>
          </w:tcPr>
          <w:p w:rsidR="00DE782C" w:rsidRPr="003A3555" w:rsidRDefault="00DE782C" w:rsidP="00AF1C83">
            <w:pPr>
              <w:keepNext/>
              <w:widowControl/>
              <w:jc w:val="center"/>
              <w:rPr>
                <w:rFonts w:ascii="Arial Narrow" w:hAnsi="Arial Narrow" w:cs="Times New Roman"/>
                <w:snapToGrid/>
                <w:sz w:val="20"/>
              </w:rPr>
            </w:pPr>
            <w:r w:rsidRPr="003A3555">
              <w:rPr>
                <w:rFonts w:ascii="Arial Narrow" w:hAnsi="Arial Narrow" w:cs="Times New Roman"/>
                <w:snapToGrid/>
                <w:sz w:val="20"/>
              </w:rPr>
              <w:t xml:space="preserve">21.6 </w:t>
            </w:r>
          </w:p>
        </w:tc>
        <w:tc>
          <w:tcPr>
            <w:tcW w:w="787" w:type="pct"/>
            <w:tcMar>
              <w:left w:w="28" w:type="dxa"/>
              <w:right w:w="28" w:type="dxa"/>
            </w:tcMar>
            <w:vAlign w:val="center"/>
          </w:tcPr>
          <w:p w:rsidR="00DE782C" w:rsidRPr="003A3555" w:rsidRDefault="00DE782C"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20.3</w:t>
            </w:r>
          </w:p>
        </w:tc>
        <w:tc>
          <w:tcPr>
            <w:tcW w:w="678" w:type="pct"/>
            <w:gridSpan w:val="2"/>
            <w:tcMar>
              <w:left w:w="28" w:type="dxa"/>
              <w:right w:w="28" w:type="dxa"/>
            </w:tcMar>
            <w:vAlign w:val="center"/>
          </w:tcPr>
          <w:p w:rsidR="00DE782C" w:rsidRPr="003A3555" w:rsidRDefault="00DE782C" w:rsidP="00476EE6">
            <w:pPr>
              <w:keepNext/>
              <w:widowControl/>
              <w:jc w:val="center"/>
              <w:rPr>
                <w:rFonts w:ascii="Arial Narrow" w:hAnsi="Arial Narrow" w:cs="Times New Roman"/>
                <w:i/>
                <w:snapToGrid/>
                <w:sz w:val="20"/>
              </w:rPr>
            </w:pPr>
            <w:r w:rsidRPr="003A3555">
              <w:rPr>
                <w:rFonts w:ascii="Arial Narrow" w:hAnsi="Arial Narrow" w:cs="Times New Roman"/>
                <w:b/>
                <w:snapToGrid/>
                <w:sz w:val="20"/>
              </w:rPr>
              <w:t xml:space="preserve">0.48 </w:t>
            </w:r>
            <w:r>
              <w:rPr>
                <w:rFonts w:ascii="Arial Narrow" w:hAnsi="Arial Narrow" w:cs="Times New Roman"/>
                <w:b/>
                <w:snapToGrid/>
                <w:sz w:val="20"/>
              </w:rPr>
              <w:br/>
            </w:r>
            <w:r w:rsidRPr="003A3555">
              <w:rPr>
                <w:rFonts w:ascii="Arial Narrow" w:hAnsi="Arial Narrow" w:cs="Times New Roman"/>
                <w:b/>
                <w:snapToGrid/>
                <w:sz w:val="20"/>
              </w:rPr>
              <w:t>(0.35, 0.68)</w:t>
            </w:r>
            <w:r w:rsidRPr="003A3555">
              <w:rPr>
                <w:rFonts w:ascii="Arial Narrow" w:hAnsi="Arial Narrow" w:cs="Times New Roman"/>
                <w:b/>
                <w:snapToGrid/>
                <w:sz w:val="20"/>
                <w:vertAlign w:val="superscript"/>
              </w:rPr>
              <w:t>a</w:t>
            </w:r>
          </w:p>
        </w:tc>
      </w:tr>
      <w:tr w:rsidR="00DE782C" w:rsidRPr="003A3555" w:rsidTr="00EF509B">
        <w:tc>
          <w:tcPr>
            <w:tcW w:w="1019" w:type="pct"/>
            <w:tcMar>
              <w:left w:w="28" w:type="dxa"/>
              <w:right w:w="28" w:type="dxa"/>
            </w:tcMar>
            <w:vAlign w:val="center"/>
          </w:tcPr>
          <w:p w:rsidR="00DE782C" w:rsidRPr="003A3555" w:rsidRDefault="00DE782C" w:rsidP="00476EE6">
            <w:pPr>
              <w:keepNext/>
              <w:widowControl/>
              <w:jc w:val="left"/>
              <w:rPr>
                <w:rFonts w:ascii="Arial Narrow" w:hAnsi="Arial Narrow" w:cs="Times New Roman"/>
                <w:snapToGrid/>
                <w:sz w:val="20"/>
              </w:rPr>
            </w:pPr>
            <w:r w:rsidRPr="003A3555">
              <w:rPr>
                <w:rFonts w:ascii="Arial Narrow" w:hAnsi="Arial Narrow" w:cs="Times New Roman"/>
                <w:snapToGrid/>
                <w:sz w:val="20"/>
              </w:rPr>
              <w:t>Post-ASCT subgroup (Apr 2013)</w:t>
            </w:r>
          </w:p>
        </w:tc>
        <w:tc>
          <w:tcPr>
            <w:tcW w:w="472" w:type="pct"/>
            <w:tcMar>
              <w:left w:w="28" w:type="dxa"/>
              <w:right w:w="28" w:type="dxa"/>
            </w:tcMar>
            <w:vAlign w:val="center"/>
          </w:tcPr>
          <w:p w:rsidR="00DE782C" w:rsidRPr="003A3555" w:rsidRDefault="00DE782C"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NR</w:t>
            </w:r>
          </w:p>
        </w:tc>
        <w:tc>
          <w:tcPr>
            <w:tcW w:w="786" w:type="pct"/>
            <w:tcMar>
              <w:left w:w="28" w:type="dxa"/>
              <w:right w:w="28" w:type="dxa"/>
            </w:tcMar>
            <w:vAlign w:val="center"/>
          </w:tcPr>
          <w:p w:rsidR="00DE782C" w:rsidRPr="003A3555" w:rsidRDefault="00DE782C"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NR</w:t>
            </w:r>
          </w:p>
        </w:tc>
        <w:tc>
          <w:tcPr>
            <w:tcW w:w="472" w:type="pct"/>
            <w:tcMar>
              <w:left w:w="28" w:type="dxa"/>
              <w:right w:w="28" w:type="dxa"/>
            </w:tcMar>
            <w:vAlign w:val="center"/>
          </w:tcPr>
          <w:p w:rsidR="00DE782C" w:rsidRPr="003A3555" w:rsidRDefault="00DE782C"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NR</w:t>
            </w:r>
          </w:p>
        </w:tc>
        <w:tc>
          <w:tcPr>
            <w:tcW w:w="786" w:type="pct"/>
            <w:tcMar>
              <w:left w:w="28" w:type="dxa"/>
              <w:right w:w="28" w:type="dxa"/>
            </w:tcMar>
            <w:vAlign w:val="center"/>
          </w:tcPr>
          <w:p w:rsidR="00DE782C" w:rsidRPr="003A3555" w:rsidRDefault="00DE782C"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NR</w:t>
            </w:r>
          </w:p>
        </w:tc>
        <w:tc>
          <w:tcPr>
            <w:tcW w:w="787" w:type="pct"/>
            <w:tcMar>
              <w:left w:w="28" w:type="dxa"/>
              <w:right w:w="28" w:type="dxa"/>
            </w:tcMar>
            <w:vAlign w:val="center"/>
          </w:tcPr>
          <w:p w:rsidR="00DE782C" w:rsidRPr="003A3555" w:rsidRDefault="00DE782C"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NR</w:t>
            </w:r>
          </w:p>
        </w:tc>
        <w:tc>
          <w:tcPr>
            <w:tcW w:w="678" w:type="pct"/>
            <w:gridSpan w:val="2"/>
            <w:tcMar>
              <w:left w:w="28" w:type="dxa"/>
              <w:right w:w="28" w:type="dxa"/>
            </w:tcMar>
            <w:vAlign w:val="center"/>
          </w:tcPr>
          <w:p w:rsidR="00DE782C" w:rsidRPr="00DE782C" w:rsidRDefault="00DE782C" w:rsidP="00476EE6">
            <w:pPr>
              <w:keepNext/>
              <w:widowControl/>
              <w:jc w:val="center"/>
              <w:rPr>
                <w:rFonts w:ascii="Arial Narrow" w:hAnsi="Arial Narrow" w:cs="Times New Roman"/>
                <w:b/>
                <w:snapToGrid/>
                <w:sz w:val="20"/>
              </w:rPr>
            </w:pPr>
            <w:r w:rsidRPr="003A3555">
              <w:rPr>
                <w:rFonts w:ascii="Arial Narrow" w:hAnsi="Arial Narrow" w:cs="Times New Roman"/>
                <w:b/>
                <w:snapToGrid/>
                <w:sz w:val="20"/>
              </w:rPr>
              <w:t xml:space="preserve">0.42 </w:t>
            </w:r>
            <w:r>
              <w:rPr>
                <w:rFonts w:ascii="Arial Narrow" w:hAnsi="Arial Narrow" w:cs="Times New Roman"/>
                <w:b/>
                <w:snapToGrid/>
                <w:sz w:val="20"/>
              </w:rPr>
              <w:br/>
            </w:r>
            <w:r w:rsidRPr="003A3555">
              <w:rPr>
                <w:rFonts w:ascii="Arial Narrow" w:hAnsi="Arial Narrow" w:cs="Times New Roman"/>
                <w:b/>
                <w:snapToGrid/>
                <w:sz w:val="20"/>
              </w:rPr>
              <w:t>(0.24, 0.73)</w:t>
            </w:r>
          </w:p>
        </w:tc>
      </w:tr>
      <w:tr w:rsidR="00DE782C" w:rsidRPr="003A3555" w:rsidTr="00EF509B">
        <w:tc>
          <w:tcPr>
            <w:tcW w:w="1019" w:type="pct"/>
            <w:tcMar>
              <w:left w:w="28" w:type="dxa"/>
              <w:right w:w="28" w:type="dxa"/>
            </w:tcMar>
            <w:vAlign w:val="center"/>
          </w:tcPr>
          <w:p w:rsidR="00DE782C" w:rsidRPr="003A3555" w:rsidRDefault="00DE782C" w:rsidP="00476EE6">
            <w:pPr>
              <w:keepNext/>
              <w:widowControl/>
              <w:jc w:val="left"/>
              <w:rPr>
                <w:rFonts w:ascii="Arial Narrow" w:hAnsi="Arial Narrow" w:cs="Times New Roman"/>
                <w:snapToGrid/>
                <w:sz w:val="20"/>
              </w:rPr>
            </w:pPr>
            <w:r w:rsidRPr="003A3555">
              <w:rPr>
                <w:rFonts w:ascii="Arial Narrow" w:hAnsi="Arial Narrow" w:cs="Times New Roman"/>
                <w:snapToGrid/>
                <w:sz w:val="20"/>
              </w:rPr>
              <w:t>Complement (Apr 2013)</w:t>
            </w:r>
          </w:p>
        </w:tc>
        <w:tc>
          <w:tcPr>
            <w:tcW w:w="472" w:type="pct"/>
            <w:tcMar>
              <w:left w:w="28" w:type="dxa"/>
              <w:right w:w="28" w:type="dxa"/>
            </w:tcMar>
            <w:vAlign w:val="center"/>
          </w:tcPr>
          <w:p w:rsidR="00DE782C" w:rsidRPr="003A3555" w:rsidRDefault="00DE782C"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NR</w:t>
            </w:r>
          </w:p>
        </w:tc>
        <w:tc>
          <w:tcPr>
            <w:tcW w:w="786" w:type="pct"/>
            <w:tcMar>
              <w:left w:w="28" w:type="dxa"/>
              <w:right w:w="28" w:type="dxa"/>
            </w:tcMar>
            <w:vAlign w:val="center"/>
          </w:tcPr>
          <w:p w:rsidR="00DE782C" w:rsidRPr="003A3555" w:rsidRDefault="00DE782C"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NR</w:t>
            </w:r>
          </w:p>
        </w:tc>
        <w:tc>
          <w:tcPr>
            <w:tcW w:w="472" w:type="pct"/>
            <w:tcMar>
              <w:left w:w="28" w:type="dxa"/>
              <w:right w:w="28" w:type="dxa"/>
            </w:tcMar>
            <w:vAlign w:val="center"/>
          </w:tcPr>
          <w:p w:rsidR="00DE782C" w:rsidRPr="003A3555" w:rsidRDefault="00DE782C"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NR</w:t>
            </w:r>
          </w:p>
        </w:tc>
        <w:tc>
          <w:tcPr>
            <w:tcW w:w="786" w:type="pct"/>
            <w:tcMar>
              <w:left w:w="28" w:type="dxa"/>
              <w:right w:w="28" w:type="dxa"/>
            </w:tcMar>
            <w:vAlign w:val="center"/>
          </w:tcPr>
          <w:p w:rsidR="00DE782C" w:rsidRPr="003A3555" w:rsidRDefault="00DE782C"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NR</w:t>
            </w:r>
          </w:p>
        </w:tc>
        <w:tc>
          <w:tcPr>
            <w:tcW w:w="787" w:type="pct"/>
            <w:tcMar>
              <w:left w:w="28" w:type="dxa"/>
              <w:right w:w="28" w:type="dxa"/>
            </w:tcMar>
            <w:vAlign w:val="center"/>
          </w:tcPr>
          <w:p w:rsidR="00DE782C" w:rsidRPr="003A3555" w:rsidRDefault="00DE782C"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NR</w:t>
            </w:r>
          </w:p>
        </w:tc>
        <w:tc>
          <w:tcPr>
            <w:tcW w:w="678" w:type="pct"/>
            <w:gridSpan w:val="2"/>
            <w:tcMar>
              <w:left w:w="28" w:type="dxa"/>
              <w:right w:w="28" w:type="dxa"/>
            </w:tcMar>
            <w:vAlign w:val="center"/>
          </w:tcPr>
          <w:p w:rsidR="00DE782C" w:rsidRPr="003A3555" w:rsidRDefault="00DE782C" w:rsidP="00476EE6">
            <w:pPr>
              <w:keepNext/>
              <w:widowControl/>
              <w:jc w:val="center"/>
              <w:rPr>
                <w:rFonts w:ascii="Arial Narrow" w:hAnsi="Arial Narrow" w:cs="Times New Roman"/>
                <w:snapToGrid/>
                <w:sz w:val="20"/>
              </w:rPr>
            </w:pPr>
            <w:r w:rsidRPr="003A3555">
              <w:rPr>
                <w:rFonts w:ascii="Arial Narrow" w:hAnsi="Arial Narrow" w:cs="Times New Roman"/>
                <w:b/>
                <w:snapToGrid/>
                <w:sz w:val="20"/>
              </w:rPr>
              <w:t xml:space="preserve">0.43 </w:t>
            </w:r>
            <w:r>
              <w:rPr>
                <w:rFonts w:ascii="Arial Narrow" w:hAnsi="Arial Narrow" w:cs="Times New Roman"/>
                <w:b/>
                <w:snapToGrid/>
                <w:sz w:val="20"/>
              </w:rPr>
              <w:br/>
            </w:r>
            <w:r w:rsidRPr="003A3555">
              <w:rPr>
                <w:rFonts w:ascii="Arial Narrow" w:hAnsi="Arial Narrow" w:cs="Times New Roman"/>
                <w:b/>
                <w:snapToGrid/>
                <w:sz w:val="20"/>
              </w:rPr>
              <w:t>(0.28, 0.67)</w:t>
            </w:r>
          </w:p>
        </w:tc>
      </w:tr>
      <w:tr w:rsidR="00DE782C" w:rsidRPr="003A3555" w:rsidTr="00EF509B">
        <w:tc>
          <w:tcPr>
            <w:tcW w:w="1019" w:type="pct"/>
            <w:tcBorders>
              <w:bottom w:val="single" w:sz="4" w:space="0" w:color="auto"/>
            </w:tcBorders>
            <w:tcMar>
              <w:left w:w="28" w:type="dxa"/>
              <w:right w:w="28" w:type="dxa"/>
            </w:tcMar>
            <w:vAlign w:val="center"/>
          </w:tcPr>
          <w:p w:rsidR="00DE782C" w:rsidRPr="003A3555" w:rsidRDefault="00DE782C" w:rsidP="00476EE6">
            <w:pPr>
              <w:keepNext/>
              <w:widowControl/>
              <w:jc w:val="left"/>
              <w:rPr>
                <w:rFonts w:ascii="Arial Narrow" w:hAnsi="Arial Narrow" w:cs="Times New Roman"/>
                <w:snapToGrid/>
                <w:sz w:val="20"/>
              </w:rPr>
            </w:pPr>
            <w:r w:rsidRPr="003A3555">
              <w:rPr>
                <w:rFonts w:ascii="Arial Narrow" w:hAnsi="Arial Narrow" w:cs="Times New Roman"/>
                <w:snapToGrid/>
                <w:sz w:val="20"/>
              </w:rPr>
              <w:t>Mar 2015</w:t>
            </w:r>
            <w:r w:rsidRPr="003A3555">
              <w:rPr>
                <w:rFonts w:ascii="Arial Narrow" w:hAnsi="Arial Narrow" w:cs="Times New Roman"/>
                <w:snapToGrid/>
                <w:sz w:val="20"/>
                <w:vertAlign w:val="superscript"/>
              </w:rPr>
              <w:t xml:space="preserve">– </w:t>
            </w:r>
            <w:r w:rsidRPr="003A3555">
              <w:rPr>
                <w:rFonts w:ascii="Arial Narrow" w:hAnsi="Arial Narrow" w:cs="Times New Roman"/>
                <w:snapToGrid/>
                <w:sz w:val="20"/>
              </w:rPr>
              <w:t>ASCT subgroup</w:t>
            </w:r>
          </w:p>
        </w:tc>
        <w:tc>
          <w:tcPr>
            <w:tcW w:w="472" w:type="pct"/>
            <w:tcBorders>
              <w:bottom w:val="single" w:sz="4" w:space="0" w:color="auto"/>
            </w:tcBorders>
            <w:tcMar>
              <w:left w:w="28" w:type="dxa"/>
              <w:right w:w="28" w:type="dxa"/>
            </w:tcMar>
            <w:vAlign w:val="center"/>
          </w:tcPr>
          <w:p w:rsidR="00DE782C" w:rsidRPr="003A3555" w:rsidRDefault="00DE782C"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NR</w:t>
            </w:r>
          </w:p>
        </w:tc>
        <w:tc>
          <w:tcPr>
            <w:tcW w:w="786" w:type="pct"/>
            <w:tcBorders>
              <w:bottom w:val="single" w:sz="4" w:space="0" w:color="auto"/>
            </w:tcBorders>
            <w:tcMar>
              <w:left w:w="28" w:type="dxa"/>
              <w:right w:w="28" w:type="dxa"/>
            </w:tcMar>
            <w:vAlign w:val="center"/>
          </w:tcPr>
          <w:p w:rsidR="00DE782C" w:rsidRPr="003A3555" w:rsidRDefault="00DE782C"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NR</w:t>
            </w:r>
          </w:p>
        </w:tc>
        <w:tc>
          <w:tcPr>
            <w:tcW w:w="472" w:type="pct"/>
            <w:tcBorders>
              <w:bottom w:val="single" w:sz="4" w:space="0" w:color="auto"/>
            </w:tcBorders>
            <w:tcMar>
              <w:left w:w="28" w:type="dxa"/>
              <w:right w:w="28" w:type="dxa"/>
            </w:tcMar>
            <w:vAlign w:val="center"/>
          </w:tcPr>
          <w:p w:rsidR="00DE782C" w:rsidRPr="003A3555" w:rsidRDefault="00DE782C"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NR</w:t>
            </w:r>
          </w:p>
        </w:tc>
        <w:tc>
          <w:tcPr>
            <w:tcW w:w="786" w:type="pct"/>
            <w:tcBorders>
              <w:bottom w:val="single" w:sz="4" w:space="0" w:color="auto"/>
            </w:tcBorders>
            <w:tcMar>
              <w:left w:w="28" w:type="dxa"/>
              <w:right w:w="28" w:type="dxa"/>
            </w:tcMar>
            <w:vAlign w:val="center"/>
          </w:tcPr>
          <w:p w:rsidR="00DE782C" w:rsidRPr="003A3555" w:rsidRDefault="00DE782C"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NR</w:t>
            </w:r>
          </w:p>
        </w:tc>
        <w:tc>
          <w:tcPr>
            <w:tcW w:w="787" w:type="pct"/>
            <w:tcBorders>
              <w:bottom w:val="single" w:sz="4" w:space="0" w:color="auto"/>
            </w:tcBorders>
            <w:tcMar>
              <w:left w:w="28" w:type="dxa"/>
              <w:right w:w="28" w:type="dxa"/>
            </w:tcMar>
            <w:vAlign w:val="center"/>
          </w:tcPr>
          <w:p w:rsidR="00DE782C" w:rsidRPr="003A3555" w:rsidRDefault="00DE782C"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NR</w:t>
            </w:r>
          </w:p>
        </w:tc>
        <w:tc>
          <w:tcPr>
            <w:tcW w:w="678" w:type="pct"/>
            <w:gridSpan w:val="2"/>
            <w:tcBorders>
              <w:bottom w:val="single" w:sz="4" w:space="0" w:color="auto"/>
            </w:tcBorders>
            <w:tcMar>
              <w:left w:w="28" w:type="dxa"/>
              <w:right w:w="28" w:type="dxa"/>
            </w:tcMar>
            <w:vAlign w:val="center"/>
          </w:tcPr>
          <w:p w:rsidR="00DE782C" w:rsidRPr="003A3555" w:rsidRDefault="00DE782C" w:rsidP="00476EE6">
            <w:pPr>
              <w:keepNext/>
              <w:widowControl/>
              <w:jc w:val="center"/>
              <w:rPr>
                <w:rFonts w:ascii="Arial Narrow" w:hAnsi="Arial Narrow" w:cs="Times New Roman"/>
                <w:i/>
                <w:snapToGrid/>
                <w:sz w:val="20"/>
              </w:rPr>
            </w:pPr>
            <w:r w:rsidRPr="003A3555">
              <w:rPr>
                <w:rFonts w:ascii="Arial Narrow" w:hAnsi="Arial Narrow" w:cs="Times New Roman"/>
                <w:b/>
                <w:snapToGrid/>
                <w:sz w:val="20"/>
              </w:rPr>
              <w:t xml:space="preserve">0.52 </w:t>
            </w:r>
            <w:r>
              <w:rPr>
                <w:rFonts w:ascii="Arial Narrow" w:hAnsi="Arial Narrow" w:cs="Times New Roman"/>
                <w:b/>
                <w:snapToGrid/>
                <w:sz w:val="20"/>
              </w:rPr>
              <w:br/>
            </w:r>
            <w:r w:rsidRPr="003A3555">
              <w:rPr>
                <w:rFonts w:ascii="Arial Narrow" w:hAnsi="Arial Narrow" w:cs="Times New Roman"/>
                <w:b/>
                <w:snapToGrid/>
                <w:sz w:val="20"/>
              </w:rPr>
              <w:t>(0.33</w:t>
            </w:r>
            <w:r>
              <w:rPr>
                <w:rFonts w:ascii="Arial Narrow" w:hAnsi="Arial Narrow" w:cs="Times New Roman"/>
                <w:b/>
                <w:snapToGrid/>
                <w:sz w:val="20"/>
              </w:rPr>
              <w:t xml:space="preserve">, </w:t>
            </w:r>
            <w:r w:rsidRPr="003A3555">
              <w:rPr>
                <w:rFonts w:ascii="Arial Narrow" w:hAnsi="Arial Narrow" w:cs="Times New Roman"/>
                <w:b/>
                <w:snapToGrid/>
                <w:sz w:val="20"/>
              </w:rPr>
              <w:t>0.82)</w:t>
            </w:r>
          </w:p>
        </w:tc>
      </w:tr>
      <w:tr w:rsidR="005E7102" w:rsidRPr="003A3555" w:rsidTr="00AE2CD7">
        <w:tc>
          <w:tcPr>
            <w:tcW w:w="5000" w:type="pct"/>
            <w:gridSpan w:val="8"/>
            <w:tcBorders>
              <w:bottom w:val="single" w:sz="4" w:space="0" w:color="auto"/>
            </w:tcBorders>
            <w:tcMar>
              <w:left w:w="28" w:type="dxa"/>
              <w:right w:w="28" w:type="dxa"/>
            </w:tcMar>
            <w:vAlign w:val="center"/>
          </w:tcPr>
          <w:p w:rsidR="005E7102" w:rsidRPr="003A3555" w:rsidRDefault="005E7102" w:rsidP="00476EE6">
            <w:pPr>
              <w:keepNext/>
              <w:widowControl/>
              <w:jc w:val="left"/>
              <w:rPr>
                <w:rFonts w:ascii="Arial Narrow" w:hAnsi="Arial Narrow" w:cs="Times New Roman"/>
                <w:b/>
                <w:snapToGrid/>
                <w:sz w:val="20"/>
              </w:rPr>
            </w:pPr>
            <w:r w:rsidRPr="003A3555">
              <w:rPr>
                <w:rFonts w:ascii="Arial Narrow" w:hAnsi="Arial Narrow" w:cs="Times New Roman"/>
                <w:b/>
                <w:snapToGrid/>
                <w:sz w:val="20"/>
              </w:rPr>
              <w:t>Myeloma XI (cut</w:t>
            </w:r>
            <w:r w:rsidR="00AE2CD7">
              <w:rPr>
                <w:rFonts w:ascii="Arial Narrow" w:hAnsi="Arial Narrow" w:cs="Times New Roman"/>
                <w:b/>
                <w:snapToGrid/>
                <w:sz w:val="20"/>
              </w:rPr>
              <w:t>-</w:t>
            </w:r>
            <w:r w:rsidRPr="003A3555">
              <w:rPr>
                <w:rFonts w:ascii="Arial Narrow" w:hAnsi="Arial Narrow" w:cs="Times New Roman"/>
                <w:b/>
                <w:snapToGrid/>
                <w:sz w:val="20"/>
              </w:rPr>
              <w:t>off unspecified)</w:t>
            </w:r>
          </w:p>
        </w:tc>
      </w:tr>
      <w:tr w:rsidR="00DE782C" w:rsidRPr="003A3555" w:rsidTr="00EF509B">
        <w:tc>
          <w:tcPr>
            <w:tcW w:w="1019" w:type="pct"/>
            <w:tcBorders>
              <w:bottom w:val="single" w:sz="4" w:space="0" w:color="auto"/>
            </w:tcBorders>
            <w:tcMar>
              <w:left w:w="28" w:type="dxa"/>
              <w:right w:w="28" w:type="dxa"/>
            </w:tcMar>
            <w:vAlign w:val="center"/>
          </w:tcPr>
          <w:p w:rsidR="00DE782C" w:rsidRPr="003A3555" w:rsidRDefault="00DE782C" w:rsidP="00476EE6">
            <w:pPr>
              <w:keepNext/>
              <w:widowControl/>
              <w:jc w:val="left"/>
              <w:rPr>
                <w:rFonts w:ascii="Arial Narrow" w:hAnsi="Arial Narrow" w:cs="Times New Roman"/>
                <w:snapToGrid/>
                <w:sz w:val="20"/>
              </w:rPr>
            </w:pPr>
            <w:r w:rsidRPr="003A3555">
              <w:rPr>
                <w:rFonts w:ascii="Arial Narrow" w:hAnsi="Arial Narrow" w:cs="Times New Roman"/>
                <w:snapToGrid/>
                <w:sz w:val="20"/>
              </w:rPr>
              <w:t>Whole</w:t>
            </w:r>
          </w:p>
        </w:tc>
        <w:tc>
          <w:tcPr>
            <w:tcW w:w="472" w:type="pct"/>
            <w:tcBorders>
              <w:bottom w:val="single" w:sz="4" w:space="0" w:color="auto"/>
            </w:tcBorders>
            <w:tcMar>
              <w:left w:w="28" w:type="dxa"/>
              <w:right w:w="28" w:type="dxa"/>
            </w:tcMar>
            <w:vAlign w:val="center"/>
          </w:tcPr>
          <w:p w:rsidR="00DE782C" w:rsidRPr="003A3555" w:rsidRDefault="00DE782C"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NR</w:t>
            </w:r>
          </w:p>
        </w:tc>
        <w:tc>
          <w:tcPr>
            <w:tcW w:w="786" w:type="pct"/>
            <w:tcBorders>
              <w:bottom w:val="single" w:sz="4" w:space="0" w:color="auto"/>
            </w:tcBorders>
            <w:tcMar>
              <w:left w:w="28" w:type="dxa"/>
              <w:right w:w="28" w:type="dxa"/>
            </w:tcMar>
            <w:vAlign w:val="center"/>
          </w:tcPr>
          <w:p w:rsidR="00DE782C" w:rsidRPr="003A3555" w:rsidRDefault="00DE782C"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 xml:space="preserve">36 </w:t>
            </w:r>
            <w:r w:rsidR="00AF1C83">
              <w:rPr>
                <w:rFonts w:ascii="Arial Narrow" w:hAnsi="Arial Narrow" w:cs="Times New Roman"/>
                <w:snapToGrid/>
                <w:sz w:val="20"/>
              </w:rPr>
              <w:br/>
            </w:r>
            <w:r w:rsidRPr="003A3555">
              <w:rPr>
                <w:rFonts w:ascii="Arial Narrow" w:hAnsi="Arial Narrow" w:cs="Times New Roman"/>
                <w:snapToGrid/>
                <w:sz w:val="20"/>
              </w:rPr>
              <w:t>(31, 39)</w:t>
            </w:r>
          </w:p>
        </w:tc>
        <w:tc>
          <w:tcPr>
            <w:tcW w:w="472" w:type="pct"/>
            <w:tcBorders>
              <w:bottom w:val="single" w:sz="4" w:space="0" w:color="auto"/>
            </w:tcBorders>
            <w:tcMar>
              <w:left w:w="28" w:type="dxa"/>
              <w:right w:w="28" w:type="dxa"/>
            </w:tcMar>
            <w:vAlign w:val="center"/>
          </w:tcPr>
          <w:p w:rsidR="00DE782C" w:rsidRPr="003A3555" w:rsidRDefault="00DE782C"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NR</w:t>
            </w:r>
          </w:p>
        </w:tc>
        <w:tc>
          <w:tcPr>
            <w:tcW w:w="786" w:type="pct"/>
            <w:tcBorders>
              <w:bottom w:val="single" w:sz="4" w:space="0" w:color="auto"/>
            </w:tcBorders>
            <w:tcMar>
              <w:left w:w="28" w:type="dxa"/>
              <w:right w:w="28" w:type="dxa"/>
            </w:tcMar>
            <w:vAlign w:val="center"/>
          </w:tcPr>
          <w:p w:rsidR="00DE782C" w:rsidRPr="003A3555" w:rsidRDefault="00DE782C"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 xml:space="preserve">18 </w:t>
            </w:r>
            <w:r w:rsidR="00AF1C83">
              <w:rPr>
                <w:rFonts w:ascii="Arial Narrow" w:hAnsi="Arial Narrow" w:cs="Times New Roman"/>
                <w:snapToGrid/>
                <w:sz w:val="20"/>
              </w:rPr>
              <w:br/>
            </w:r>
            <w:r w:rsidRPr="003A3555">
              <w:rPr>
                <w:rFonts w:ascii="Arial Narrow" w:hAnsi="Arial Narrow" w:cs="Times New Roman"/>
                <w:snapToGrid/>
                <w:sz w:val="20"/>
              </w:rPr>
              <w:t>(16, 20)</w:t>
            </w:r>
          </w:p>
        </w:tc>
        <w:tc>
          <w:tcPr>
            <w:tcW w:w="787" w:type="pct"/>
            <w:tcBorders>
              <w:bottom w:val="single" w:sz="4" w:space="0" w:color="auto"/>
            </w:tcBorders>
            <w:tcMar>
              <w:left w:w="28" w:type="dxa"/>
              <w:right w:w="28" w:type="dxa"/>
            </w:tcMar>
            <w:vAlign w:val="center"/>
          </w:tcPr>
          <w:p w:rsidR="00DE782C" w:rsidRPr="003A3555" w:rsidRDefault="00DE782C"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18</w:t>
            </w:r>
          </w:p>
        </w:tc>
        <w:tc>
          <w:tcPr>
            <w:tcW w:w="678" w:type="pct"/>
            <w:gridSpan w:val="2"/>
            <w:tcBorders>
              <w:bottom w:val="single" w:sz="4" w:space="0" w:color="auto"/>
            </w:tcBorders>
            <w:tcMar>
              <w:left w:w="28" w:type="dxa"/>
              <w:right w:w="28" w:type="dxa"/>
            </w:tcMar>
            <w:vAlign w:val="center"/>
          </w:tcPr>
          <w:p w:rsidR="00DE782C" w:rsidRPr="003A3555" w:rsidRDefault="00DE782C" w:rsidP="00476EE6">
            <w:pPr>
              <w:keepNext/>
              <w:widowControl/>
              <w:jc w:val="center"/>
              <w:rPr>
                <w:rFonts w:ascii="Arial Narrow" w:hAnsi="Arial Narrow" w:cs="Times New Roman"/>
                <w:i/>
                <w:snapToGrid/>
                <w:sz w:val="20"/>
              </w:rPr>
            </w:pPr>
            <w:r w:rsidRPr="003A3555">
              <w:rPr>
                <w:rFonts w:ascii="Arial Narrow" w:hAnsi="Arial Narrow" w:cs="Times New Roman"/>
                <w:b/>
                <w:snapToGrid/>
                <w:sz w:val="20"/>
              </w:rPr>
              <w:t xml:space="preserve">0.45 </w:t>
            </w:r>
            <w:r>
              <w:rPr>
                <w:rFonts w:ascii="Arial Narrow" w:hAnsi="Arial Narrow" w:cs="Times New Roman"/>
                <w:b/>
                <w:snapToGrid/>
                <w:sz w:val="20"/>
              </w:rPr>
              <w:br/>
            </w:r>
            <w:r w:rsidRPr="003A3555">
              <w:rPr>
                <w:rFonts w:ascii="Arial Narrow" w:hAnsi="Arial Narrow" w:cs="Times New Roman"/>
                <w:b/>
                <w:snapToGrid/>
                <w:sz w:val="20"/>
              </w:rPr>
              <w:t>(0.39, 0.52)</w:t>
            </w:r>
          </w:p>
        </w:tc>
      </w:tr>
      <w:tr w:rsidR="00EF509B" w:rsidRPr="003A3555" w:rsidTr="00EF509B">
        <w:tc>
          <w:tcPr>
            <w:tcW w:w="1019" w:type="pct"/>
            <w:tcBorders>
              <w:bottom w:val="single" w:sz="4" w:space="0" w:color="auto"/>
            </w:tcBorders>
            <w:tcMar>
              <w:left w:w="28" w:type="dxa"/>
              <w:right w:w="28" w:type="dxa"/>
            </w:tcMar>
            <w:vAlign w:val="center"/>
          </w:tcPr>
          <w:p w:rsidR="00EF509B" w:rsidRPr="003A3555" w:rsidRDefault="00EF509B" w:rsidP="00476EE6">
            <w:pPr>
              <w:keepNext/>
              <w:widowControl/>
              <w:jc w:val="left"/>
              <w:rPr>
                <w:rFonts w:ascii="Arial Narrow" w:hAnsi="Arial Narrow" w:cs="Times New Roman"/>
                <w:snapToGrid/>
                <w:sz w:val="20"/>
              </w:rPr>
            </w:pPr>
            <w:r w:rsidRPr="003A3555">
              <w:rPr>
                <w:rFonts w:ascii="Arial Narrow" w:hAnsi="Arial Narrow" w:cs="Times New Roman"/>
                <w:snapToGrid/>
                <w:sz w:val="20"/>
              </w:rPr>
              <w:t>ASCT</w:t>
            </w:r>
            <w:r w:rsidRPr="003A3555">
              <w:rPr>
                <w:rFonts w:ascii="Arial Narrow" w:hAnsi="Arial Narrow" w:cs="Times New Roman"/>
                <w:snapToGrid/>
                <w:sz w:val="20"/>
                <w:vertAlign w:val="superscript"/>
              </w:rPr>
              <w:t xml:space="preserve"> </w:t>
            </w:r>
            <w:r w:rsidRPr="003A3555">
              <w:rPr>
                <w:rFonts w:ascii="Arial Narrow" w:hAnsi="Arial Narrow" w:cs="Times New Roman"/>
                <w:snapToGrid/>
                <w:sz w:val="20"/>
              </w:rPr>
              <w:t>subgroup</w:t>
            </w:r>
          </w:p>
        </w:tc>
        <w:tc>
          <w:tcPr>
            <w:tcW w:w="472" w:type="pct"/>
            <w:tcBorders>
              <w:bottom w:val="single" w:sz="4" w:space="0" w:color="auto"/>
            </w:tcBorders>
            <w:tcMar>
              <w:left w:w="28" w:type="dxa"/>
              <w:right w:w="28" w:type="dxa"/>
            </w:tcMar>
            <w:vAlign w:val="center"/>
          </w:tcPr>
          <w:p w:rsidR="00EF509B" w:rsidRPr="003A3555" w:rsidRDefault="00EF509B"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118/451 (26.1%)</w:t>
            </w:r>
          </w:p>
        </w:tc>
        <w:tc>
          <w:tcPr>
            <w:tcW w:w="786" w:type="pct"/>
            <w:tcBorders>
              <w:bottom w:val="single" w:sz="4" w:space="0" w:color="auto"/>
            </w:tcBorders>
            <w:tcMar>
              <w:left w:w="28" w:type="dxa"/>
              <w:right w:w="28" w:type="dxa"/>
            </w:tcMar>
            <w:vAlign w:val="center"/>
          </w:tcPr>
          <w:p w:rsidR="00EF509B" w:rsidRPr="003A3555" w:rsidRDefault="00EF509B"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 xml:space="preserve">50 </w:t>
            </w:r>
            <w:r w:rsidR="00AF1C83">
              <w:rPr>
                <w:rFonts w:ascii="Arial Narrow" w:hAnsi="Arial Narrow" w:cs="Times New Roman"/>
                <w:snapToGrid/>
                <w:sz w:val="20"/>
              </w:rPr>
              <w:br/>
            </w:r>
            <w:r w:rsidRPr="003A3555">
              <w:rPr>
                <w:rFonts w:ascii="Arial Narrow" w:hAnsi="Arial Narrow" w:cs="Times New Roman"/>
                <w:snapToGrid/>
                <w:sz w:val="20"/>
              </w:rPr>
              <w:t>(44, NE)</w:t>
            </w:r>
          </w:p>
        </w:tc>
        <w:tc>
          <w:tcPr>
            <w:tcW w:w="472" w:type="pct"/>
            <w:tcBorders>
              <w:bottom w:val="single" w:sz="4" w:space="0" w:color="auto"/>
            </w:tcBorders>
            <w:tcMar>
              <w:left w:w="28" w:type="dxa"/>
              <w:right w:w="28" w:type="dxa"/>
            </w:tcMar>
            <w:vAlign w:val="center"/>
          </w:tcPr>
          <w:p w:rsidR="00EF509B" w:rsidRPr="003A3555" w:rsidRDefault="00EF509B"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185/377 (54.9%)</w:t>
            </w:r>
          </w:p>
        </w:tc>
        <w:tc>
          <w:tcPr>
            <w:tcW w:w="786" w:type="pct"/>
            <w:tcBorders>
              <w:bottom w:val="single" w:sz="4" w:space="0" w:color="auto"/>
            </w:tcBorders>
            <w:tcMar>
              <w:left w:w="28" w:type="dxa"/>
              <w:right w:w="28" w:type="dxa"/>
            </w:tcMar>
            <w:vAlign w:val="center"/>
          </w:tcPr>
          <w:p w:rsidR="00EF509B" w:rsidRPr="003A3555" w:rsidRDefault="00EF509B"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 xml:space="preserve">28 </w:t>
            </w:r>
            <w:r w:rsidR="00AF1C83">
              <w:rPr>
                <w:rFonts w:ascii="Arial Narrow" w:hAnsi="Arial Narrow" w:cs="Times New Roman"/>
                <w:snapToGrid/>
                <w:sz w:val="20"/>
              </w:rPr>
              <w:br/>
            </w:r>
            <w:r w:rsidRPr="003A3555">
              <w:rPr>
                <w:rFonts w:ascii="Arial Narrow" w:hAnsi="Arial Narrow" w:cs="Times New Roman"/>
                <w:snapToGrid/>
                <w:sz w:val="20"/>
              </w:rPr>
              <w:t>(23, 32)</w:t>
            </w:r>
          </w:p>
        </w:tc>
        <w:tc>
          <w:tcPr>
            <w:tcW w:w="787" w:type="pct"/>
            <w:tcBorders>
              <w:bottom w:val="single" w:sz="4" w:space="0" w:color="auto"/>
            </w:tcBorders>
            <w:tcMar>
              <w:left w:w="28" w:type="dxa"/>
              <w:right w:w="28" w:type="dxa"/>
            </w:tcMar>
            <w:vAlign w:val="center"/>
          </w:tcPr>
          <w:p w:rsidR="00EF509B" w:rsidRPr="003A3555" w:rsidRDefault="00EF509B" w:rsidP="00476EE6">
            <w:pPr>
              <w:keepNext/>
              <w:widowControl/>
              <w:jc w:val="center"/>
              <w:rPr>
                <w:rFonts w:ascii="Arial Narrow" w:hAnsi="Arial Narrow" w:cs="Times New Roman"/>
                <w:snapToGrid/>
                <w:sz w:val="20"/>
              </w:rPr>
            </w:pPr>
            <w:r w:rsidRPr="003A3555">
              <w:rPr>
                <w:rFonts w:ascii="Arial Narrow" w:hAnsi="Arial Narrow" w:cs="Times New Roman"/>
                <w:snapToGrid/>
                <w:sz w:val="20"/>
              </w:rPr>
              <w:t>22</w:t>
            </w:r>
          </w:p>
        </w:tc>
        <w:tc>
          <w:tcPr>
            <w:tcW w:w="678" w:type="pct"/>
            <w:gridSpan w:val="2"/>
            <w:tcBorders>
              <w:bottom w:val="single" w:sz="4" w:space="0" w:color="auto"/>
            </w:tcBorders>
            <w:tcMar>
              <w:left w:w="28" w:type="dxa"/>
              <w:right w:w="28" w:type="dxa"/>
            </w:tcMar>
            <w:vAlign w:val="center"/>
          </w:tcPr>
          <w:p w:rsidR="00EF509B" w:rsidRPr="003A3555" w:rsidRDefault="00EF509B" w:rsidP="00476EE6">
            <w:pPr>
              <w:keepNext/>
              <w:widowControl/>
              <w:jc w:val="center"/>
              <w:rPr>
                <w:rFonts w:ascii="Arial Narrow" w:hAnsi="Arial Narrow" w:cs="Times New Roman"/>
                <w:snapToGrid/>
                <w:sz w:val="20"/>
              </w:rPr>
            </w:pPr>
            <w:r w:rsidRPr="003A3555">
              <w:rPr>
                <w:rFonts w:ascii="Arial Narrow" w:hAnsi="Arial Narrow" w:cs="Times New Roman"/>
                <w:b/>
                <w:snapToGrid/>
                <w:sz w:val="20"/>
              </w:rPr>
              <w:t xml:space="preserve">0.47 </w:t>
            </w:r>
            <w:r>
              <w:rPr>
                <w:rFonts w:ascii="Arial Narrow" w:hAnsi="Arial Narrow" w:cs="Times New Roman"/>
                <w:b/>
                <w:snapToGrid/>
                <w:sz w:val="20"/>
              </w:rPr>
              <w:br/>
            </w:r>
            <w:r w:rsidRPr="003A3555">
              <w:rPr>
                <w:rFonts w:ascii="Arial Narrow" w:hAnsi="Arial Narrow" w:cs="Times New Roman"/>
                <w:b/>
                <w:snapToGrid/>
                <w:sz w:val="20"/>
              </w:rPr>
              <w:t>(0.38, 0.60)</w:t>
            </w:r>
          </w:p>
        </w:tc>
      </w:tr>
      <w:tr w:rsidR="00EF509B" w:rsidRPr="003A3555" w:rsidTr="00D539BE">
        <w:tc>
          <w:tcPr>
            <w:tcW w:w="1019" w:type="pct"/>
            <w:tcMar>
              <w:left w:w="28" w:type="dxa"/>
              <w:right w:w="28" w:type="dxa"/>
            </w:tcMar>
            <w:vAlign w:val="center"/>
          </w:tcPr>
          <w:p w:rsidR="00EF509B" w:rsidRPr="003A3555" w:rsidRDefault="00EF509B" w:rsidP="00476EE6">
            <w:pPr>
              <w:keepNext/>
              <w:widowControl/>
              <w:jc w:val="left"/>
              <w:rPr>
                <w:rFonts w:ascii="Arial Narrow" w:hAnsi="Arial Narrow" w:cs="Times New Roman"/>
                <w:snapToGrid/>
                <w:sz w:val="20"/>
              </w:rPr>
            </w:pPr>
            <w:r w:rsidRPr="003A3555">
              <w:rPr>
                <w:rFonts w:ascii="Arial Narrow" w:hAnsi="Arial Narrow" w:cs="Times New Roman"/>
                <w:snapToGrid/>
                <w:sz w:val="20"/>
              </w:rPr>
              <w:t>Complement</w:t>
            </w:r>
          </w:p>
        </w:tc>
        <w:tc>
          <w:tcPr>
            <w:tcW w:w="472" w:type="pct"/>
            <w:tcMar>
              <w:left w:w="28" w:type="dxa"/>
              <w:right w:w="28" w:type="dxa"/>
            </w:tcMar>
            <w:vAlign w:val="center"/>
          </w:tcPr>
          <w:p w:rsidR="00EF509B" w:rsidRPr="003A3555" w:rsidRDefault="00EF509B" w:rsidP="00D539BE">
            <w:pPr>
              <w:keepNext/>
              <w:widowControl/>
              <w:jc w:val="center"/>
              <w:rPr>
                <w:rFonts w:ascii="Arial Narrow" w:hAnsi="Arial Narrow" w:cs="Times New Roman"/>
                <w:snapToGrid/>
                <w:sz w:val="20"/>
              </w:rPr>
            </w:pPr>
            <w:r w:rsidRPr="003A3555">
              <w:rPr>
                <w:rFonts w:ascii="Arial Narrow" w:hAnsi="Arial Narrow" w:cs="Times New Roman"/>
                <w:snapToGrid/>
                <w:sz w:val="20"/>
              </w:rPr>
              <w:t>NR</w:t>
            </w:r>
          </w:p>
        </w:tc>
        <w:tc>
          <w:tcPr>
            <w:tcW w:w="786" w:type="pct"/>
            <w:tcMar>
              <w:left w:w="28" w:type="dxa"/>
              <w:right w:w="28" w:type="dxa"/>
            </w:tcMar>
            <w:vAlign w:val="center"/>
          </w:tcPr>
          <w:p w:rsidR="00EF509B" w:rsidRPr="003A3555" w:rsidRDefault="00EF509B" w:rsidP="00D539BE">
            <w:pPr>
              <w:keepNext/>
              <w:widowControl/>
              <w:jc w:val="center"/>
              <w:rPr>
                <w:rFonts w:ascii="Arial Narrow" w:hAnsi="Arial Narrow" w:cs="Times New Roman"/>
                <w:snapToGrid/>
                <w:sz w:val="20"/>
              </w:rPr>
            </w:pPr>
            <w:r w:rsidRPr="003A3555">
              <w:rPr>
                <w:rFonts w:ascii="Arial Narrow" w:hAnsi="Arial Narrow" w:cs="Times New Roman"/>
                <w:snapToGrid/>
                <w:sz w:val="20"/>
              </w:rPr>
              <w:t xml:space="preserve">24 </w:t>
            </w:r>
            <w:r w:rsidR="00AF1C83">
              <w:rPr>
                <w:rFonts w:ascii="Arial Narrow" w:hAnsi="Arial Narrow" w:cs="Times New Roman"/>
                <w:snapToGrid/>
                <w:sz w:val="20"/>
              </w:rPr>
              <w:br/>
            </w:r>
            <w:r w:rsidRPr="003A3555">
              <w:rPr>
                <w:rFonts w:ascii="Arial Narrow" w:hAnsi="Arial Narrow" w:cs="Times New Roman"/>
                <w:snapToGrid/>
                <w:sz w:val="20"/>
              </w:rPr>
              <w:t>(21, 30)</w:t>
            </w:r>
          </w:p>
        </w:tc>
        <w:tc>
          <w:tcPr>
            <w:tcW w:w="472" w:type="pct"/>
            <w:tcMar>
              <w:left w:w="28" w:type="dxa"/>
              <w:right w:w="28" w:type="dxa"/>
            </w:tcMar>
            <w:vAlign w:val="center"/>
          </w:tcPr>
          <w:p w:rsidR="00EF509B" w:rsidRPr="003A3555" w:rsidRDefault="00EF509B" w:rsidP="00D539BE">
            <w:pPr>
              <w:keepNext/>
              <w:widowControl/>
              <w:jc w:val="center"/>
              <w:rPr>
                <w:rFonts w:ascii="Arial Narrow" w:hAnsi="Arial Narrow" w:cs="Times New Roman"/>
                <w:snapToGrid/>
                <w:sz w:val="20"/>
              </w:rPr>
            </w:pPr>
            <w:r w:rsidRPr="003A3555">
              <w:rPr>
                <w:rFonts w:ascii="Arial Narrow" w:hAnsi="Arial Narrow" w:cs="Times New Roman"/>
                <w:snapToGrid/>
                <w:sz w:val="20"/>
              </w:rPr>
              <w:t>NR</w:t>
            </w:r>
          </w:p>
        </w:tc>
        <w:tc>
          <w:tcPr>
            <w:tcW w:w="786" w:type="pct"/>
            <w:tcMar>
              <w:left w:w="28" w:type="dxa"/>
              <w:right w:w="28" w:type="dxa"/>
            </w:tcMar>
            <w:vAlign w:val="center"/>
          </w:tcPr>
          <w:p w:rsidR="00EF509B" w:rsidRPr="003A3555" w:rsidRDefault="00EF509B" w:rsidP="00D539BE">
            <w:pPr>
              <w:keepNext/>
              <w:widowControl/>
              <w:jc w:val="center"/>
              <w:rPr>
                <w:rFonts w:ascii="Arial Narrow" w:hAnsi="Arial Narrow" w:cs="Times New Roman"/>
                <w:snapToGrid/>
                <w:sz w:val="20"/>
              </w:rPr>
            </w:pPr>
            <w:r w:rsidRPr="003A3555">
              <w:rPr>
                <w:rFonts w:ascii="Arial Narrow" w:hAnsi="Arial Narrow" w:cs="Times New Roman"/>
                <w:snapToGrid/>
                <w:sz w:val="20"/>
              </w:rPr>
              <w:t xml:space="preserve">11 </w:t>
            </w:r>
            <w:r w:rsidR="00AF1C83">
              <w:rPr>
                <w:rFonts w:ascii="Arial Narrow" w:hAnsi="Arial Narrow" w:cs="Times New Roman"/>
                <w:snapToGrid/>
                <w:sz w:val="20"/>
              </w:rPr>
              <w:br/>
            </w:r>
            <w:r w:rsidRPr="003A3555">
              <w:rPr>
                <w:rFonts w:ascii="Arial Narrow" w:hAnsi="Arial Narrow" w:cs="Times New Roman"/>
                <w:snapToGrid/>
                <w:sz w:val="20"/>
              </w:rPr>
              <w:t>(9, 13)</w:t>
            </w:r>
          </w:p>
        </w:tc>
        <w:tc>
          <w:tcPr>
            <w:tcW w:w="787" w:type="pct"/>
            <w:tcMar>
              <w:left w:w="28" w:type="dxa"/>
              <w:right w:w="28" w:type="dxa"/>
            </w:tcMar>
            <w:vAlign w:val="center"/>
          </w:tcPr>
          <w:p w:rsidR="00EF509B" w:rsidRPr="003A3555" w:rsidRDefault="00EF509B" w:rsidP="00D539BE">
            <w:pPr>
              <w:keepNext/>
              <w:widowControl/>
              <w:jc w:val="center"/>
              <w:rPr>
                <w:rFonts w:ascii="Arial Narrow" w:hAnsi="Arial Narrow" w:cs="Times New Roman"/>
                <w:snapToGrid/>
                <w:sz w:val="20"/>
              </w:rPr>
            </w:pPr>
            <w:r w:rsidRPr="003A3555">
              <w:rPr>
                <w:rFonts w:ascii="Arial Narrow" w:hAnsi="Arial Narrow" w:cs="Times New Roman"/>
                <w:snapToGrid/>
                <w:sz w:val="20"/>
              </w:rPr>
              <w:t>13</w:t>
            </w:r>
          </w:p>
        </w:tc>
        <w:tc>
          <w:tcPr>
            <w:tcW w:w="678" w:type="pct"/>
            <w:gridSpan w:val="2"/>
            <w:tcMar>
              <w:left w:w="28" w:type="dxa"/>
              <w:right w:w="28" w:type="dxa"/>
            </w:tcMar>
          </w:tcPr>
          <w:p w:rsidR="00EF509B" w:rsidRPr="003A3555" w:rsidRDefault="00EF509B" w:rsidP="00476EE6">
            <w:pPr>
              <w:keepNext/>
              <w:widowControl/>
              <w:jc w:val="center"/>
              <w:rPr>
                <w:rFonts w:ascii="Arial Narrow" w:hAnsi="Arial Narrow" w:cs="Times New Roman"/>
                <w:snapToGrid/>
                <w:sz w:val="20"/>
              </w:rPr>
            </w:pPr>
            <w:r w:rsidRPr="003A3555">
              <w:rPr>
                <w:rFonts w:ascii="Arial Narrow" w:hAnsi="Arial Narrow" w:cs="Times New Roman"/>
                <w:b/>
                <w:snapToGrid/>
                <w:sz w:val="20"/>
              </w:rPr>
              <w:t xml:space="preserve">0.42 </w:t>
            </w:r>
            <w:r>
              <w:rPr>
                <w:rFonts w:ascii="Arial Narrow" w:hAnsi="Arial Narrow" w:cs="Times New Roman"/>
                <w:b/>
                <w:snapToGrid/>
                <w:sz w:val="20"/>
              </w:rPr>
              <w:br/>
            </w:r>
            <w:r w:rsidRPr="003A3555">
              <w:rPr>
                <w:rFonts w:ascii="Arial Narrow" w:hAnsi="Arial Narrow" w:cs="Times New Roman"/>
                <w:b/>
                <w:snapToGrid/>
                <w:sz w:val="20"/>
              </w:rPr>
              <w:t>(0.35, 0.51)</w:t>
            </w:r>
          </w:p>
        </w:tc>
      </w:tr>
      <w:tr w:rsidR="005E7102" w:rsidRPr="003A3555" w:rsidTr="00AE2CD7">
        <w:tc>
          <w:tcPr>
            <w:tcW w:w="5000" w:type="pct"/>
            <w:gridSpan w:val="8"/>
            <w:shd w:val="clear" w:color="auto" w:fill="auto"/>
            <w:tcMar>
              <w:left w:w="28" w:type="dxa"/>
              <w:right w:w="28" w:type="dxa"/>
            </w:tcMar>
            <w:vAlign w:val="center"/>
          </w:tcPr>
          <w:p w:rsidR="005E7102" w:rsidRPr="003A3555" w:rsidRDefault="005E7102" w:rsidP="00476EE6">
            <w:pPr>
              <w:keepNext/>
              <w:widowControl/>
              <w:jc w:val="left"/>
              <w:rPr>
                <w:rFonts w:ascii="Arial Narrow" w:hAnsi="Arial Narrow" w:cs="Times New Roman"/>
                <w:snapToGrid/>
                <w:sz w:val="20"/>
              </w:rPr>
            </w:pPr>
            <w:r w:rsidRPr="003A3555">
              <w:rPr>
                <w:rFonts w:ascii="Arial Narrow" w:hAnsi="Arial Narrow" w:cs="Times New Roman"/>
                <w:b/>
                <w:snapToGrid/>
                <w:sz w:val="20"/>
              </w:rPr>
              <w:t>Myeloma XI – (cut</w:t>
            </w:r>
            <w:r w:rsidR="00AE2CD7">
              <w:rPr>
                <w:rFonts w:ascii="Arial Narrow" w:hAnsi="Arial Narrow" w:cs="Times New Roman"/>
                <w:b/>
                <w:snapToGrid/>
                <w:sz w:val="20"/>
              </w:rPr>
              <w:t>-</w:t>
            </w:r>
            <w:r w:rsidRPr="003A3555">
              <w:rPr>
                <w:rFonts w:ascii="Arial Narrow" w:hAnsi="Arial Narrow" w:cs="Times New Roman"/>
                <w:b/>
                <w:snapToGrid/>
                <w:sz w:val="20"/>
              </w:rPr>
              <w:t>off September 2017)</w:t>
            </w:r>
          </w:p>
        </w:tc>
      </w:tr>
      <w:tr w:rsidR="00EF509B" w:rsidRPr="003A3555" w:rsidTr="00EF509B">
        <w:tc>
          <w:tcPr>
            <w:tcW w:w="1019" w:type="pct"/>
            <w:shd w:val="clear" w:color="auto" w:fill="auto"/>
            <w:tcMar>
              <w:left w:w="28" w:type="dxa"/>
              <w:right w:w="28" w:type="dxa"/>
            </w:tcMar>
            <w:vAlign w:val="center"/>
          </w:tcPr>
          <w:p w:rsidR="00EF509B" w:rsidRPr="003A3555" w:rsidRDefault="00EF509B" w:rsidP="00476EE6">
            <w:pPr>
              <w:keepNext/>
              <w:widowControl/>
              <w:jc w:val="left"/>
              <w:rPr>
                <w:rFonts w:ascii="Arial Narrow" w:hAnsi="Arial Narrow" w:cs="Times New Roman"/>
                <w:snapToGrid/>
                <w:sz w:val="20"/>
              </w:rPr>
            </w:pPr>
            <w:r w:rsidRPr="003A3555">
              <w:rPr>
                <w:rFonts w:ascii="Arial Narrow" w:hAnsi="Arial Narrow" w:cs="Times New Roman"/>
                <w:snapToGrid/>
                <w:sz w:val="20"/>
              </w:rPr>
              <w:t xml:space="preserve">Whole </w:t>
            </w:r>
          </w:p>
        </w:tc>
        <w:tc>
          <w:tcPr>
            <w:tcW w:w="472" w:type="pct"/>
            <w:shd w:val="clear" w:color="auto" w:fill="auto"/>
            <w:tcMar>
              <w:left w:w="28" w:type="dxa"/>
              <w:right w:w="28" w:type="dxa"/>
            </w:tcMar>
            <w:vAlign w:val="center"/>
          </w:tcPr>
          <w:p w:rsidR="00EF509B" w:rsidRPr="00600AD1" w:rsidRDefault="00EF509B" w:rsidP="00476EE6">
            <w:pPr>
              <w:pStyle w:val="Tabletext"/>
              <w:keepNext/>
              <w:jc w:val="center"/>
            </w:pPr>
            <w:r w:rsidRPr="00600AD1">
              <w:t>NR/1</w:t>
            </w:r>
            <w:r>
              <w:t>,</w:t>
            </w:r>
            <w:r w:rsidRPr="00600AD1">
              <w:t>137</w:t>
            </w:r>
          </w:p>
        </w:tc>
        <w:tc>
          <w:tcPr>
            <w:tcW w:w="786" w:type="pct"/>
            <w:shd w:val="clear" w:color="auto" w:fill="auto"/>
            <w:tcMar>
              <w:left w:w="28" w:type="dxa"/>
              <w:right w:w="28" w:type="dxa"/>
            </w:tcMar>
            <w:vAlign w:val="center"/>
          </w:tcPr>
          <w:p w:rsidR="00AF1C83" w:rsidRPr="00600AD1" w:rsidRDefault="00EF509B" w:rsidP="00AF1C83">
            <w:pPr>
              <w:keepNext/>
              <w:widowControl/>
              <w:jc w:val="center"/>
              <w:rPr>
                <w:rFonts w:ascii="Arial Narrow" w:hAnsi="Arial Narrow" w:cs="Times New Roman"/>
                <w:snapToGrid/>
                <w:sz w:val="20"/>
              </w:rPr>
            </w:pPr>
            <w:r w:rsidRPr="00600AD1">
              <w:rPr>
                <w:rFonts w:ascii="Arial Narrow" w:hAnsi="Arial Narrow" w:cs="Times New Roman"/>
                <w:snapToGrid/>
                <w:sz w:val="20"/>
              </w:rPr>
              <w:t>38.9</w:t>
            </w:r>
          </w:p>
        </w:tc>
        <w:tc>
          <w:tcPr>
            <w:tcW w:w="472" w:type="pct"/>
            <w:shd w:val="clear" w:color="auto" w:fill="auto"/>
            <w:tcMar>
              <w:left w:w="28" w:type="dxa"/>
              <w:right w:w="28" w:type="dxa"/>
            </w:tcMar>
            <w:vAlign w:val="center"/>
          </w:tcPr>
          <w:p w:rsidR="00EF509B" w:rsidRPr="00600AD1" w:rsidRDefault="00EF509B" w:rsidP="00476EE6">
            <w:pPr>
              <w:pStyle w:val="Tabletext"/>
              <w:keepNext/>
              <w:jc w:val="center"/>
            </w:pPr>
            <w:r>
              <w:t>NR/834</w:t>
            </w:r>
          </w:p>
        </w:tc>
        <w:tc>
          <w:tcPr>
            <w:tcW w:w="786" w:type="pct"/>
            <w:shd w:val="clear" w:color="auto" w:fill="auto"/>
            <w:tcMar>
              <w:left w:w="28" w:type="dxa"/>
              <w:right w:w="28" w:type="dxa"/>
            </w:tcMar>
            <w:vAlign w:val="center"/>
          </w:tcPr>
          <w:p w:rsidR="00EF509B" w:rsidRPr="00600AD1" w:rsidRDefault="00EF509B" w:rsidP="00476EE6">
            <w:pPr>
              <w:keepNext/>
              <w:widowControl/>
              <w:jc w:val="center"/>
              <w:rPr>
                <w:rFonts w:ascii="Arial Narrow" w:hAnsi="Arial Narrow" w:cs="Times New Roman"/>
                <w:snapToGrid/>
                <w:sz w:val="20"/>
              </w:rPr>
            </w:pPr>
            <w:r w:rsidRPr="00600AD1">
              <w:rPr>
                <w:rFonts w:ascii="Arial Narrow" w:hAnsi="Arial Narrow" w:cs="Times New Roman"/>
                <w:snapToGrid/>
                <w:sz w:val="20"/>
              </w:rPr>
              <w:t>20.0</w:t>
            </w:r>
          </w:p>
        </w:tc>
        <w:tc>
          <w:tcPr>
            <w:tcW w:w="787" w:type="pct"/>
            <w:shd w:val="clear" w:color="auto" w:fill="auto"/>
            <w:tcMar>
              <w:left w:w="28" w:type="dxa"/>
              <w:right w:w="28" w:type="dxa"/>
            </w:tcMar>
            <w:vAlign w:val="center"/>
          </w:tcPr>
          <w:p w:rsidR="00EF509B" w:rsidRPr="00600AD1" w:rsidRDefault="00EF509B" w:rsidP="00476EE6">
            <w:pPr>
              <w:keepNext/>
              <w:widowControl/>
              <w:jc w:val="center"/>
              <w:rPr>
                <w:rFonts w:ascii="Arial Narrow" w:hAnsi="Arial Narrow" w:cs="Times New Roman"/>
                <w:snapToGrid/>
                <w:sz w:val="20"/>
              </w:rPr>
            </w:pPr>
            <w:r w:rsidRPr="00600AD1">
              <w:rPr>
                <w:rFonts w:ascii="Arial Narrow" w:hAnsi="Arial Narrow" w:cs="Times New Roman"/>
                <w:snapToGrid/>
                <w:sz w:val="20"/>
              </w:rPr>
              <w:t>18.9</w:t>
            </w:r>
          </w:p>
        </w:tc>
        <w:tc>
          <w:tcPr>
            <w:tcW w:w="678" w:type="pct"/>
            <w:gridSpan w:val="2"/>
            <w:shd w:val="clear" w:color="auto" w:fill="auto"/>
            <w:tcMar>
              <w:left w:w="28" w:type="dxa"/>
              <w:right w:w="28" w:type="dxa"/>
            </w:tcMar>
            <w:vAlign w:val="center"/>
          </w:tcPr>
          <w:p w:rsidR="00EF509B" w:rsidRPr="00600AD1" w:rsidRDefault="00EF509B" w:rsidP="00476EE6">
            <w:pPr>
              <w:keepNext/>
              <w:widowControl/>
              <w:jc w:val="center"/>
              <w:rPr>
                <w:rFonts w:ascii="Arial Narrow" w:hAnsi="Arial Narrow" w:cs="Times New Roman"/>
                <w:snapToGrid/>
                <w:sz w:val="20"/>
              </w:rPr>
            </w:pPr>
            <w:r w:rsidRPr="003A3555">
              <w:rPr>
                <w:rFonts w:ascii="Arial Narrow" w:hAnsi="Arial Narrow" w:cs="Times New Roman"/>
                <w:b/>
                <w:snapToGrid/>
                <w:sz w:val="20"/>
              </w:rPr>
              <w:t xml:space="preserve">0.46 </w:t>
            </w:r>
            <w:r>
              <w:rPr>
                <w:rFonts w:ascii="Arial Narrow" w:hAnsi="Arial Narrow" w:cs="Times New Roman"/>
                <w:b/>
                <w:snapToGrid/>
                <w:sz w:val="20"/>
              </w:rPr>
              <w:br/>
            </w:r>
            <w:r w:rsidRPr="003A3555">
              <w:rPr>
                <w:rFonts w:ascii="Arial Narrow" w:hAnsi="Arial Narrow" w:cs="Times New Roman"/>
                <w:b/>
                <w:snapToGrid/>
                <w:sz w:val="20"/>
              </w:rPr>
              <w:t>(0.41, 0.53)</w:t>
            </w:r>
          </w:p>
        </w:tc>
      </w:tr>
      <w:tr w:rsidR="00EF509B" w:rsidRPr="003A3555" w:rsidTr="00EF509B">
        <w:tc>
          <w:tcPr>
            <w:tcW w:w="1019" w:type="pct"/>
            <w:shd w:val="clear" w:color="auto" w:fill="auto"/>
            <w:tcMar>
              <w:left w:w="28" w:type="dxa"/>
              <w:right w:w="28" w:type="dxa"/>
            </w:tcMar>
            <w:vAlign w:val="center"/>
          </w:tcPr>
          <w:p w:rsidR="00EF509B" w:rsidRPr="003A3555" w:rsidRDefault="00EF509B" w:rsidP="00476EE6">
            <w:pPr>
              <w:keepNext/>
              <w:widowControl/>
              <w:jc w:val="left"/>
              <w:rPr>
                <w:rFonts w:ascii="Arial Narrow" w:hAnsi="Arial Narrow" w:cs="Times New Roman"/>
                <w:snapToGrid/>
                <w:sz w:val="20"/>
              </w:rPr>
            </w:pPr>
            <w:r w:rsidRPr="003A3555">
              <w:rPr>
                <w:rFonts w:ascii="Arial Narrow" w:hAnsi="Arial Narrow" w:cs="Times New Roman"/>
                <w:snapToGrid/>
                <w:sz w:val="20"/>
              </w:rPr>
              <w:t>ASCT subgroup</w:t>
            </w:r>
          </w:p>
        </w:tc>
        <w:tc>
          <w:tcPr>
            <w:tcW w:w="472" w:type="pct"/>
            <w:shd w:val="clear" w:color="auto" w:fill="auto"/>
            <w:tcMar>
              <w:left w:w="28" w:type="dxa"/>
              <w:right w:w="28" w:type="dxa"/>
            </w:tcMar>
            <w:vAlign w:val="center"/>
          </w:tcPr>
          <w:p w:rsidR="00EF509B" w:rsidRPr="00600AD1" w:rsidRDefault="00EF509B" w:rsidP="00476EE6">
            <w:pPr>
              <w:keepNext/>
              <w:widowControl/>
              <w:jc w:val="center"/>
              <w:rPr>
                <w:rFonts w:ascii="Arial Narrow" w:hAnsi="Arial Narrow" w:cs="Times New Roman"/>
                <w:snapToGrid/>
                <w:sz w:val="20"/>
              </w:rPr>
            </w:pPr>
            <w:r w:rsidRPr="00600AD1">
              <w:rPr>
                <w:rFonts w:ascii="Arial Narrow" w:hAnsi="Arial Narrow" w:cs="Times New Roman"/>
                <w:snapToGrid/>
                <w:sz w:val="20"/>
              </w:rPr>
              <w:t>NR/1</w:t>
            </w:r>
            <w:r>
              <w:rPr>
                <w:rFonts w:ascii="Arial Narrow" w:hAnsi="Arial Narrow" w:cs="Times New Roman"/>
                <w:snapToGrid/>
                <w:sz w:val="20"/>
              </w:rPr>
              <w:t>,</w:t>
            </w:r>
            <w:r w:rsidRPr="00600AD1">
              <w:rPr>
                <w:rFonts w:ascii="Arial Narrow" w:hAnsi="Arial Narrow" w:cs="Times New Roman"/>
                <w:snapToGrid/>
                <w:sz w:val="20"/>
              </w:rPr>
              <w:t>137</w:t>
            </w:r>
          </w:p>
        </w:tc>
        <w:tc>
          <w:tcPr>
            <w:tcW w:w="786" w:type="pct"/>
            <w:shd w:val="clear" w:color="auto" w:fill="auto"/>
            <w:tcMar>
              <w:left w:w="28" w:type="dxa"/>
              <w:right w:w="28" w:type="dxa"/>
            </w:tcMar>
            <w:vAlign w:val="center"/>
          </w:tcPr>
          <w:p w:rsidR="00AF1C83" w:rsidRPr="00600AD1" w:rsidRDefault="00EF509B" w:rsidP="00AF1C83">
            <w:pPr>
              <w:keepNext/>
              <w:widowControl/>
              <w:jc w:val="center"/>
              <w:rPr>
                <w:rFonts w:ascii="Arial Narrow" w:hAnsi="Arial Narrow" w:cs="Times New Roman"/>
                <w:snapToGrid/>
                <w:sz w:val="20"/>
              </w:rPr>
            </w:pPr>
            <w:r w:rsidRPr="00600AD1">
              <w:rPr>
                <w:rFonts w:ascii="Arial Narrow" w:hAnsi="Arial Narrow" w:cs="Times New Roman"/>
                <w:snapToGrid/>
                <w:sz w:val="20"/>
              </w:rPr>
              <w:t>56.9</w:t>
            </w:r>
          </w:p>
        </w:tc>
        <w:tc>
          <w:tcPr>
            <w:tcW w:w="472" w:type="pct"/>
            <w:shd w:val="clear" w:color="auto" w:fill="auto"/>
            <w:tcMar>
              <w:left w:w="28" w:type="dxa"/>
              <w:right w:w="28" w:type="dxa"/>
            </w:tcMar>
            <w:vAlign w:val="center"/>
          </w:tcPr>
          <w:p w:rsidR="00EF509B" w:rsidRPr="00600AD1" w:rsidRDefault="00EF509B" w:rsidP="00476EE6">
            <w:pPr>
              <w:pStyle w:val="Tabletext"/>
              <w:keepNext/>
              <w:jc w:val="center"/>
            </w:pPr>
            <w:r>
              <w:t>NR/834</w:t>
            </w:r>
          </w:p>
        </w:tc>
        <w:tc>
          <w:tcPr>
            <w:tcW w:w="786" w:type="pct"/>
            <w:shd w:val="clear" w:color="auto" w:fill="auto"/>
            <w:tcMar>
              <w:left w:w="28" w:type="dxa"/>
              <w:right w:w="28" w:type="dxa"/>
            </w:tcMar>
            <w:vAlign w:val="center"/>
          </w:tcPr>
          <w:p w:rsidR="00EF509B" w:rsidRPr="00600AD1" w:rsidRDefault="00EF509B" w:rsidP="00476EE6">
            <w:pPr>
              <w:keepNext/>
              <w:widowControl/>
              <w:jc w:val="center"/>
              <w:rPr>
                <w:rFonts w:ascii="Arial Narrow" w:hAnsi="Arial Narrow" w:cs="Times New Roman"/>
                <w:snapToGrid/>
                <w:sz w:val="20"/>
              </w:rPr>
            </w:pPr>
            <w:r w:rsidRPr="00600AD1">
              <w:rPr>
                <w:rFonts w:ascii="Arial Narrow" w:hAnsi="Arial Narrow" w:cs="Times New Roman"/>
                <w:snapToGrid/>
                <w:sz w:val="20"/>
              </w:rPr>
              <w:t>30.1</w:t>
            </w:r>
          </w:p>
        </w:tc>
        <w:tc>
          <w:tcPr>
            <w:tcW w:w="787" w:type="pct"/>
            <w:shd w:val="clear" w:color="auto" w:fill="auto"/>
            <w:tcMar>
              <w:left w:w="28" w:type="dxa"/>
              <w:right w:w="28" w:type="dxa"/>
            </w:tcMar>
            <w:vAlign w:val="center"/>
          </w:tcPr>
          <w:p w:rsidR="00EF509B" w:rsidRPr="00600AD1" w:rsidRDefault="00EF509B" w:rsidP="00476EE6">
            <w:pPr>
              <w:keepNext/>
              <w:widowControl/>
              <w:jc w:val="center"/>
              <w:rPr>
                <w:rFonts w:ascii="Arial Narrow" w:hAnsi="Arial Narrow" w:cs="Times New Roman"/>
                <w:snapToGrid/>
                <w:sz w:val="20"/>
              </w:rPr>
            </w:pPr>
            <w:r w:rsidRPr="00600AD1">
              <w:rPr>
                <w:rFonts w:ascii="Arial Narrow" w:hAnsi="Arial Narrow" w:cs="Times New Roman"/>
                <w:snapToGrid/>
                <w:sz w:val="20"/>
              </w:rPr>
              <w:t>26.8</w:t>
            </w:r>
          </w:p>
        </w:tc>
        <w:tc>
          <w:tcPr>
            <w:tcW w:w="678" w:type="pct"/>
            <w:gridSpan w:val="2"/>
            <w:shd w:val="clear" w:color="auto" w:fill="auto"/>
            <w:tcMar>
              <w:left w:w="28" w:type="dxa"/>
              <w:right w:w="28" w:type="dxa"/>
            </w:tcMar>
            <w:vAlign w:val="center"/>
          </w:tcPr>
          <w:p w:rsidR="00EF509B" w:rsidRPr="00600AD1" w:rsidRDefault="00EF509B" w:rsidP="00476EE6">
            <w:pPr>
              <w:keepNext/>
              <w:widowControl/>
              <w:jc w:val="center"/>
              <w:rPr>
                <w:rFonts w:ascii="Arial Narrow" w:hAnsi="Arial Narrow" w:cs="Times New Roman"/>
                <w:snapToGrid/>
                <w:sz w:val="20"/>
              </w:rPr>
            </w:pPr>
            <w:r w:rsidRPr="003A3555">
              <w:rPr>
                <w:rFonts w:ascii="Arial Narrow" w:hAnsi="Arial Narrow" w:cs="Times New Roman"/>
                <w:b/>
                <w:snapToGrid/>
                <w:sz w:val="20"/>
              </w:rPr>
              <w:t xml:space="preserve">0.48 </w:t>
            </w:r>
            <w:r>
              <w:rPr>
                <w:rFonts w:ascii="Arial Narrow" w:hAnsi="Arial Narrow" w:cs="Times New Roman"/>
                <w:b/>
                <w:snapToGrid/>
                <w:sz w:val="20"/>
              </w:rPr>
              <w:br/>
            </w:r>
            <w:r w:rsidRPr="003A3555">
              <w:rPr>
                <w:rFonts w:ascii="Arial Narrow" w:hAnsi="Arial Narrow" w:cs="Times New Roman"/>
                <w:b/>
                <w:snapToGrid/>
                <w:sz w:val="20"/>
              </w:rPr>
              <w:t>(0.40, 0.58)</w:t>
            </w:r>
          </w:p>
        </w:tc>
      </w:tr>
      <w:tr w:rsidR="00EF509B" w:rsidRPr="003A3555" w:rsidTr="00EF509B">
        <w:tc>
          <w:tcPr>
            <w:tcW w:w="1019" w:type="pct"/>
            <w:tcBorders>
              <w:bottom w:val="single" w:sz="4" w:space="0" w:color="auto"/>
            </w:tcBorders>
            <w:shd w:val="clear" w:color="auto" w:fill="auto"/>
            <w:tcMar>
              <w:left w:w="28" w:type="dxa"/>
              <w:right w:w="28" w:type="dxa"/>
            </w:tcMar>
            <w:vAlign w:val="center"/>
          </w:tcPr>
          <w:p w:rsidR="00EF509B" w:rsidRPr="003A3555" w:rsidRDefault="00EF509B" w:rsidP="00476EE6">
            <w:pPr>
              <w:keepNext/>
              <w:widowControl/>
              <w:jc w:val="left"/>
              <w:rPr>
                <w:rFonts w:ascii="Arial Narrow" w:hAnsi="Arial Narrow" w:cs="Times New Roman"/>
                <w:snapToGrid/>
                <w:sz w:val="20"/>
              </w:rPr>
            </w:pPr>
            <w:r w:rsidRPr="003A3555">
              <w:rPr>
                <w:rFonts w:ascii="Arial Narrow" w:hAnsi="Arial Narrow" w:cs="Times New Roman"/>
                <w:snapToGrid/>
                <w:sz w:val="20"/>
              </w:rPr>
              <w:t>Complement</w:t>
            </w:r>
          </w:p>
        </w:tc>
        <w:tc>
          <w:tcPr>
            <w:tcW w:w="472" w:type="pct"/>
            <w:tcBorders>
              <w:bottom w:val="single" w:sz="4" w:space="0" w:color="auto"/>
            </w:tcBorders>
            <w:shd w:val="clear" w:color="auto" w:fill="auto"/>
            <w:tcMar>
              <w:left w:w="28" w:type="dxa"/>
              <w:right w:w="28" w:type="dxa"/>
            </w:tcMar>
            <w:vAlign w:val="center"/>
          </w:tcPr>
          <w:p w:rsidR="00EF509B" w:rsidRPr="00600AD1" w:rsidRDefault="00EF509B" w:rsidP="00476EE6">
            <w:pPr>
              <w:keepNext/>
              <w:widowControl/>
              <w:jc w:val="center"/>
              <w:rPr>
                <w:rFonts w:ascii="Arial Narrow" w:hAnsi="Arial Narrow" w:cs="Times New Roman"/>
                <w:snapToGrid/>
                <w:sz w:val="20"/>
              </w:rPr>
            </w:pPr>
            <w:r w:rsidRPr="00600AD1">
              <w:rPr>
                <w:rFonts w:ascii="Arial Narrow" w:hAnsi="Arial Narrow" w:cs="Times New Roman"/>
                <w:snapToGrid/>
                <w:sz w:val="20"/>
              </w:rPr>
              <w:t>NR/1</w:t>
            </w:r>
            <w:r>
              <w:rPr>
                <w:rFonts w:ascii="Arial Narrow" w:hAnsi="Arial Narrow" w:cs="Times New Roman"/>
                <w:snapToGrid/>
                <w:sz w:val="20"/>
              </w:rPr>
              <w:t>,</w:t>
            </w:r>
            <w:r w:rsidRPr="00600AD1">
              <w:rPr>
                <w:rFonts w:ascii="Arial Narrow" w:hAnsi="Arial Narrow" w:cs="Times New Roman"/>
                <w:snapToGrid/>
                <w:sz w:val="20"/>
              </w:rPr>
              <w:t>137</w:t>
            </w:r>
          </w:p>
        </w:tc>
        <w:tc>
          <w:tcPr>
            <w:tcW w:w="786" w:type="pct"/>
            <w:tcBorders>
              <w:bottom w:val="single" w:sz="4" w:space="0" w:color="auto"/>
            </w:tcBorders>
            <w:shd w:val="clear" w:color="auto" w:fill="auto"/>
            <w:tcMar>
              <w:left w:w="28" w:type="dxa"/>
              <w:right w:w="28" w:type="dxa"/>
            </w:tcMar>
            <w:vAlign w:val="center"/>
          </w:tcPr>
          <w:p w:rsidR="00EF509B" w:rsidRPr="00600AD1" w:rsidRDefault="00EF509B" w:rsidP="00476EE6">
            <w:pPr>
              <w:keepNext/>
              <w:widowControl/>
              <w:jc w:val="center"/>
              <w:rPr>
                <w:rFonts w:ascii="Arial Narrow" w:hAnsi="Arial Narrow" w:cs="Times New Roman"/>
                <w:snapToGrid/>
                <w:sz w:val="20"/>
              </w:rPr>
            </w:pPr>
            <w:r w:rsidRPr="00600AD1">
              <w:rPr>
                <w:rFonts w:ascii="Arial Narrow" w:hAnsi="Arial Narrow" w:cs="Times New Roman"/>
                <w:snapToGrid/>
                <w:sz w:val="20"/>
              </w:rPr>
              <w:t>26.0</w:t>
            </w:r>
          </w:p>
        </w:tc>
        <w:tc>
          <w:tcPr>
            <w:tcW w:w="472" w:type="pct"/>
            <w:tcBorders>
              <w:bottom w:val="single" w:sz="4" w:space="0" w:color="auto"/>
            </w:tcBorders>
            <w:shd w:val="clear" w:color="auto" w:fill="auto"/>
            <w:tcMar>
              <w:left w:w="28" w:type="dxa"/>
              <w:right w:w="28" w:type="dxa"/>
            </w:tcMar>
            <w:vAlign w:val="center"/>
          </w:tcPr>
          <w:p w:rsidR="00EF509B" w:rsidRPr="00600AD1" w:rsidRDefault="00EF509B" w:rsidP="00476EE6">
            <w:pPr>
              <w:pStyle w:val="Tabletext"/>
              <w:keepNext/>
              <w:jc w:val="center"/>
            </w:pPr>
            <w:r>
              <w:t>NR/834</w:t>
            </w:r>
          </w:p>
        </w:tc>
        <w:tc>
          <w:tcPr>
            <w:tcW w:w="786" w:type="pct"/>
            <w:tcBorders>
              <w:bottom w:val="single" w:sz="4" w:space="0" w:color="auto"/>
            </w:tcBorders>
            <w:shd w:val="clear" w:color="auto" w:fill="auto"/>
            <w:tcMar>
              <w:left w:w="28" w:type="dxa"/>
              <w:right w:w="28" w:type="dxa"/>
            </w:tcMar>
            <w:vAlign w:val="center"/>
          </w:tcPr>
          <w:p w:rsidR="00EF509B" w:rsidRPr="00600AD1" w:rsidRDefault="00EF509B" w:rsidP="00476EE6">
            <w:pPr>
              <w:keepNext/>
              <w:widowControl/>
              <w:jc w:val="center"/>
              <w:rPr>
                <w:rFonts w:ascii="Arial Narrow" w:hAnsi="Arial Narrow" w:cs="Times New Roman"/>
                <w:snapToGrid/>
                <w:sz w:val="20"/>
              </w:rPr>
            </w:pPr>
            <w:r w:rsidRPr="00600AD1">
              <w:rPr>
                <w:rFonts w:ascii="Arial Narrow" w:hAnsi="Arial Narrow" w:cs="Times New Roman"/>
                <w:snapToGrid/>
                <w:sz w:val="20"/>
              </w:rPr>
              <w:t>11.0</w:t>
            </w:r>
          </w:p>
        </w:tc>
        <w:tc>
          <w:tcPr>
            <w:tcW w:w="787" w:type="pct"/>
            <w:tcBorders>
              <w:bottom w:val="single" w:sz="4" w:space="0" w:color="auto"/>
            </w:tcBorders>
            <w:shd w:val="clear" w:color="auto" w:fill="auto"/>
            <w:tcMar>
              <w:left w:w="28" w:type="dxa"/>
              <w:right w:w="28" w:type="dxa"/>
            </w:tcMar>
            <w:vAlign w:val="center"/>
          </w:tcPr>
          <w:p w:rsidR="00EF509B" w:rsidRPr="00600AD1" w:rsidRDefault="00EF509B" w:rsidP="00476EE6">
            <w:pPr>
              <w:keepNext/>
              <w:widowControl/>
              <w:jc w:val="center"/>
              <w:rPr>
                <w:rFonts w:ascii="Arial Narrow" w:hAnsi="Arial Narrow" w:cs="Times New Roman"/>
                <w:snapToGrid/>
                <w:sz w:val="20"/>
              </w:rPr>
            </w:pPr>
            <w:r w:rsidRPr="00600AD1">
              <w:rPr>
                <w:rFonts w:ascii="Arial Narrow" w:hAnsi="Arial Narrow" w:cs="Times New Roman"/>
                <w:snapToGrid/>
                <w:sz w:val="20"/>
              </w:rPr>
              <w:t>15.0</w:t>
            </w:r>
          </w:p>
        </w:tc>
        <w:tc>
          <w:tcPr>
            <w:tcW w:w="678" w:type="pct"/>
            <w:gridSpan w:val="2"/>
            <w:tcBorders>
              <w:bottom w:val="single" w:sz="4" w:space="0" w:color="auto"/>
            </w:tcBorders>
            <w:shd w:val="clear" w:color="auto" w:fill="auto"/>
            <w:tcMar>
              <w:left w:w="28" w:type="dxa"/>
              <w:right w:w="28" w:type="dxa"/>
            </w:tcMar>
            <w:vAlign w:val="center"/>
          </w:tcPr>
          <w:p w:rsidR="00EF509B" w:rsidRPr="00600AD1" w:rsidRDefault="00EF509B" w:rsidP="00476EE6">
            <w:pPr>
              <w:keepNext/>
              <w:widowControl/>
              <w:jc w:val="center"/>
              <w:rPr>
                <w:rFonts w:ascii="Arial Narrow" w:hAnsi="Arial Narrow" w:cs="Times New Roman"/>
                <w:snapToGrid/>
                <w:sz w:val="20"/>
              </w:rPr>
            </w:pPr>
            <w:r w:rsidRPr="003A3555">
              <w:rPr>
                <w:rFonts w:ascii="Arial Narrow" w:hAnsi="Arial Narrow" w:cs="Times New Roman"/>
                <w:b/>
                <w:snapToGrid/>
                <w:sz w:val="20"/>
              </w:rPr>
              <w:t xml:space="preserve">0.44 </w:t>
            </w:r>
            <w:r>
              <w:rPr>
                <w:rFonts w:ascii="Arial Narrow" w:hAnsi="Arial Narrow" w:cs="Times New Roman"/>
                <w:b/>
                <w:snapToGrid/>
                <w:sz w:val="20"/>
              </w:rPr>
              <w:br/>
            </w:r>
            <w:r w:rsidRPr="003A3555">
              <w:rPr>
                <w:rFonts w:ascii="Arial Narrow" w:hAnsi="Arial Narrow" w:cs="Times New Roman"/>
                <w:b/>
                <w:snapToGrid/>
                <w:sz w:val="20"/>
              </w:rPr>
              <w:t>(0.37, 0.53)</w:t>
            </w:r>
          </w:p>
        </w:tc>
      </w:tr>
    </w:tbl>
    <w:p w:rsidR="005E7102" w:rsidRPr="003A3555" w:rsidRDefault="00267836" w:rsidP="00476EE6">
      <w:pPr>
        <w:pStyle w:val="TableFooter"/>
        <w:keepNext/>
        <w:widowControl/>
        <w:rPr>
          <w:rFonts w:eastAsia="Calibri"/>
        </w:rPr>
      </w:pPr>
      <w:r w:rsidRPr="003A3555">
        <w:rPr>
          <w:szCs w:val="18"/>
        </w:rPr>
        <w:t>ASCT</w:t>
      </w:r>
      <w:r>
        <w:rPr>
          <w:szCs w:val="18"/>
        </w:rPr>
        <w:t xml:space="preserve"> </w:t>
      </w:r>
      <w:r w:rsidRPr="003A3555">
        <w:rPr>
          <w:szCs w:val="18"/>
        </w:rPr>
        <w:t xml:space="preserve">= autologous stem cell transplant; </w:t>
      </w:r>
      <w:r w:rsidR="005E7102" w:rsidRPr="003A3555">
        <w:t>BSC</w:t>
      </w:r>
      <w:r w:rsidR="00AE2CD7">
        <w:t xml:space="preserve"> </w:t>
      </w:r>
      <w:r w:rsidR="005E7102" w:rsidRPr="003A3555">
        <w:t>=</w:t>
      </w:r>
      <w:r w:rsidR="00AE2CD7">
        <w:t xml:space="preserve"> </w:t>
      </w:r>
      <w:r w:rsidR="005E7102" w:rsidRPr="003A3555">
        <w:t xml:space="preserve">best supportive care; </w:t>
      </w:r>
      <w:r w:rsidR="005E7102" w:rsidRPr="003A3555">
        <w:rPr>
          <w:rFonts w:eastAsia="Calibri"/>
        </w:rPr>
        <w:t>CI</w:t>
      </w:r>
      <w:r w:rsidR="00AE2CD7">
        <w:rPr>
          <w:rFonts w:eastAsia="Calibri"/>
        </w:rPr>
        <w:t xml:space="preserve"> </w:t>
      </w:r>
      <w:r w:rsidR="005E7102" w:rsidRPr="003A3555">
        <w:rPr>
          <w:rFonts w:eastAsia="Calibri"/>
        </w:rPr>
        <w:t xml:space="preserve">= confidence interval; </w:t>
      </w:r>
      <w:r>
        <w:rPr>
          <w:rFonts w:eastAsia="Calibri"/>
        </w:rPr>
        <w:t xml:space="preserve">HR = hazard ratio; </w:t>
      </w:r>
      <w:r w:rsidR="005E7102" w:rsidRPr="003A3555">
        <w:rPr>
          <w:rFonts w:eastAsia="Calibri"/>
        </w:rPr>
        <w:t>NE</w:t>
      </w:r>
      <w:r w:rsidR="00AE2CD7">
        <w:rPr>
          <w:rFonts w:eastAsia="Calibri"/>
        </w:rPr>
        <w:t xml:space="preserve"> </w:t>
      </w:r>
      <w:r w:rsidR="005E7102" w:rsidRPr="003A3555">
        <w:rPr>
          <w:rFonts w:eastAsia="Calibri"/>
        </w:rPr>
        <w:t>= not evaluable; NR</w:t>
      </w:r>
      <w:r w:rsidR="00AE2CD7">
        <w:rPr>
          <w:rFonts w:eastAsia="Calibri"/>
        </w:rPr>
        <w:t xml:space="preserve"> </w:t>
      </w:r>
      <w:r w:rsidR="005E7102" w:rsidRPr="003A3555">
        <w:rPr>
          <w:rFonts w:eastAsia="Calibri"/>
        </w:rPr>
        <w:t>=</w:t>
      </w:r>
      <w:r w:rsidR="00AE2CD7">
        <w:rPr>
          <w:rFonts w:eastAsia="Calibri"/>
        </w:rPr>
        <w:t xml:space="preserve"> </w:t>
      </w:r>
      <w:r w:rsidR="005E7102" w:rsidRPr="003A3555">
        <w:rPr>
          <w:rFonts w:eastAsia="Calibri"/>
        </w:rPr>
        <w:t>not reported</w:t>
      </w:r>
      <w:r w:rsidR="00430522">
        <w:rPr>
          <w:rFonts w:eastAsia="Calibri"/>
        </w:rPr>
        <w:t>; PFS = progression free sur</w:t>
      </w:r>
      <w:r>
        <w:rPr>
          <w:rFonts w:eastAsia="Calibri"/>
        </w:rPr>
        <w:t>vival</w:t>
      </w:r>
    </w:p>
    <w:p w:rsidR="005E7102" w:rsidRPr="003A3555" w:rsidRDefault="005E7102" w:rsidP="00476EE6">
      <w:pPr>
        <w:pStyle w:val="TableFooter"/>
        <w:widowControl/>
        <w:jc w:val="left"/>
        <w:rPr>
          <w:rFonts w:eastAsia="Calibri"/>
          <w:i/>
        </w:rPr>
      </w:pPr>
      <w:r w:rsidRPr="003A3555">
        <w:rPr>
          <w:rFonts w:eastAsia="Calibri"/>
        </w:rPr>
        <w:t>a. Overall trial results differ in Figure S2B (HR</w:t>
      </w:r>
      <w:r w:rsidR="00267836">
        <w:rPr>
          <w:rFonts w:eastAsia="Calibri"/>
        </w:rPr>
        <w:t xml:space="preserve"> =</w:t>
      </w:r>
      <w:r w:rsidRPr="003A3555">
        <w:rPr>
          <w:rFonts w:eastAsia="Calibri"/>
        </w:rPr>
        <w:t xml:space="preserve"> 0.48; 95% CI</w:t>
      </w:r>
      <w:r w:rsidR="00267836">
        <w:rPr>
          <w:rFonts w:eastAsia="Calibri"/>
        </w:rPr>
        <w:t>:</w:t>
      </w:r>
      <w:r w:rsidRPr="003A3555">
        <w:rPr>
          <w:rFonts w:eastAsia="Calibri"/>
        </w:rPr>
        <w:t xml:space="preserve"> 0.35</w:t>
      </w:r>
      <w:r w:rsidR="00267836">
        <w:rPr>
          <w:rFonts w:eastAsia="Calibri"/>
        </w:rPr>
        <w:t xml:space="preserve">, </w:t>
      </w:r>
      <w:r w:rsidRPr="003A3555">
        <w:rPr>
          <w:rFonts w:eastAsia="Calibri"/>
        </w:rPr>
        <w:t>0.68) than in the text (HR</w:t>
      </w:r>
      <w:r w:rsidR="00267836">
        <w:rPr>
          <w:rFonts w:eastAsia="Calibri"/>
        </w:rPr>
        <w:t xml:space="preserve"> =</w:t>
      </w:r>
      <w:r w:rsidRPr="003A3555">
        <w:rPr>
          <w:rFonts w:eastAsia="Calibri"/>
        </w:rPr>
        <w:t xml:space="preserve"> 0.47; 95% CI</w:t>
      </w:r>
      <w:r w:rsidR="00267836">
        <w:rPr>
          <w:rFonts w:eastAsia="Calibri"/>
        </w:rPr>
        <w:t>:</w:t>
      </w:r>
      <w:r w:rsidRPr="003A3555">
        <w:rPr>
          <w:rFonts w:eastAsia="Calibri"/>
        </w:rPr>
        <w:t xml:space="preserve"> 0.33</w:t>
      </w:r>
      <w:r w:rsidR="00267836">
        <w:rPr>
          <w:rFonts w:eastAsia="Calibri"/>
        </w:rPr>
        <w:t>.</w:t>
      </w:r>
      <w:r w:rsidRPr="003A3555">
        <w:rPr>
          <w:rFonts w:eastAsia="Calibri"/>
        </w:rPr>
        <w:t xml:space="preserve"> 0.65; p901) in Palumbo et al. (2014). </w:t>
      </w:r>
      <w:r w:rsidR="00AE2CD7">
        <w:rPr>
          <w:rFonts w:eastAsia="Calibri"/>
        </w:rPr>
        <w:br/>
      </w:r>
      <w:r w:rsidRPr="003A3555">
        <w:t>Statistically significant differences bolded.</w:t>
      </w:r>
    </w:p>
    <w:p w:rsidR="005E7102" w:rsidRPr="003A3555" w:rsidRDefault="005E7102" w:rsidP="00476EE6">
      <w:pPr>
        <w:pStyle w:val="TableFooter"/>
        <w:widowControl/>
        <w:rPr>
          <w:sz w:val="20"/>
        </w:rPr>
      </w:pPr>
      <w:r w:rsidRPr="003A3555">
        <w:t xml:space="preserve">Source: Table 2.5.1, p.80, Table 2.6.1, p.108 &amp; Figure 2.6.1, p.109 of the March 2018 submission, Table 2-3, p.28 of the resubmission, Slide 3 of Attachment 5 of the resubmission (Jones and Jackson (ASH 2017)). </w:t>
      </w:r>
    </w:p>
    <w:p w:rsidR="005E7102" w:rsidRPr="003A3555" w:rsidRDefault="005E7102" w:rsidP="00476EE6">
      <w:pPr>
        <w:widowControl/>
        <w:rPr>
          <w:rFonts w:ascii="Arial Narrow" w:hAnsi="Arial Narrow"/>
          <w:b/>
          <w:color w:val="FF0000"/>
          <w:sz w:val="20"/>
          <w:szCs w:val="16"/>
        </w:rPr>
      </w:pPr>
    </w:p>
    <w:p w:rsidR="005E7102" w:rsidRPr="003A3555" w:rsidRDefault="005E7102" w:rsidP="001172EE">
      <w:pPr>
        <w:keepNext/>
        <w:keepLines/>
        <w:widowControl/>
        <w:rPr>
          <w:rFonts w:ascii="Arial Narrow" w:hAnsi="Arial Narrow"/>
          <w:b/>
          <w:sz w:val="20"/>
          <w:szCs w:val="20"/>
        </w:rPr>
      </w:pPr>
      <w:r w:rsidRPr="003A3555">
        <w:rPr>
          <w:rFonts w:ascii="Arial Narrow" w:hAnsi="Arial Narrow"/>
          <w:b/>
          <w:sz w:val="20"/>
          <w:szCs w:val="20"/>
        </w:rPr>
        <w:lastRenderedPageBreak/>
        <w:t xml:space="preserve">Figure 3: Kaplan-Meier curve of PFS with </w:t>
      </w:r>
      <w:proofErr w:type="spellStart"/>
      <w:r w:rsidRPr="003A3555">
        <w:rPr>
          <w:rFonts w:ascii="Arial Narrow" w:hAnsi="Arial Narrow"/>
          <w:b/>
          <w:sz w:val="20"/>
          <w:szCs w:val="20"/>
        </w:rPr>
        <w:t>lenalidomide</w:t>
      </w:r>
      <w:proofErr w:type="spellEnd"/>
      <w:r w:rsidRPr="003A3555">
        <w:rPr>
          <w:rFonts w:ascii="Arial Narrow" w:hAnsi="Arial Narrow"/>
          <w:b/>
          <w:sz w:val="20"/>
          <w:szCs w:val="20"/>
        </w:rPr>
        <w:t xml:space="preserve"> and BSC post</w:t>
      </w:r>
      <w:r w:rsidRPr="003A3555">
        <w:rPr>
          <w:rFonts w:ascii="Arial Narrow" w:hAnsi="Arial Narrow"/>
          <w:b/>
          <w:sz w:val="20"/>
          <w:szCs w:val="20"/>
        </w:rPr>
        <w:noBreakHyphen/>
        <w:t>ASCT for Myeloma XI (data cut-off not reported)</w:t>
      </w:r>
    </w:p>
    <w:p w:rsidR="005E7102" w:rsidRPr="003A3555" w:rsidRDefault="005E7102" w:rsidP="001172EE">
      <w:pPr>
        <w:keepNext/>
        <w:keepLines/>
        <w:widowControl/>
        <w:rPr>
          <w:rFonts w:ascii="Arial Narrow" w:hAnsi="Arial Narrow"/>
          <w:b/>
          <w:color w:val="FF0000"/>
          <w:sz w:val="20"/>
          <w:szCs w:val="20"/>
        </w:rPr>
      </w:pPr>
      <w:r w:rsidRPr="003A3555">
        <w:rPr>
          <w:rFonts w:ascii="Arial Narrow" w:hAnsi="Arial Narrow"/>
          <w:b/>
          <w:noProof/>
          <w:color w:val="FF0000"/>
          <w:sz w:val="20"/>
          <w:szCs w:val="20"/>
          <w:lang w:eastAsia="en-AU"/>
        </w:rPr>
        <w:drawing>
          <wp:inline distT="0" distB="0" distL="0" distR="0" wp14:anchorId="0EBCD704" wp14:editId="7D915CE9">
            <wp:extent cx="5615580" cy="2767054"/>
            <wp:effectExtent l="0" t="0" r="4445" b="0"/>
            <wp:docPr id="21" name="Picture 21" title="Figure 3: Kaplan-Meier curve of PFS with lenalidomide and BSC post ASCT for Myeloma XI (data cut-off not re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3731" cy="2766143"/>
                    </a:xfrm>
                    <a:prstGeom prst="rect">
                      <a:avLst/>
                    </a:prstGeom>
                    <a:noFill/>
                  </pic:spPr>
                </pic:pic>
              </a:graphicData>
            </a:graphic>
          </wp:inline>
        </w:drawing>
      </w:r>
    </w:p>
    <w:p w:rsidR="005E7102" w:rsidRPr="003A3555" w:rsidRDefault="005E7102" w:rsidP="001172EE">
      <w:pPr>
        <w:pStyle w:val="TableFooter"/>
        <w:keepNext/>
        <w:keepLines/>
        <w:widowControl/>
      </w:pPr>
      <w:r w:rsidRPr="003A3555">
        <w:t>ASCT</w:t>
      </w:r>
      <w:r w:rsidR="00AE2CD7">
        <w:t xml:space="preserve"> </w:t>
      </w:r>
      <w:r w:rsidRPr="003A3555">
        <w:t xml:space="preserve">= autologous stem cell transplant; </w:t>
      </w:r>
      <w:r w:rsidR="00267836">
        <w:t xml:space="preserve">BSC = best supportive care; </w:t>
      </w:r>
      <w:r w:rsidRPr="003A3555">
        <w:t>CI</w:t>
      </w:r>
      <w:r w:rsidR="00AE2CD7">
        <w:t xml:space="preserve"> </w:t>
      </w:r>
      <w:r w:rsidRPr="003A3555">
        <w:t>= confidence interval; HR</w:t>
      </w:r>
      <w:r w:rsidR="00AE2CD7">
        <w:t xml:space="preserve"> </w:t>
      </w:r>
      <w:r w:rsidRPr="003A3555">
        <w:t>= hazard ratio; PFS</w:t>
      </w:r>
      <w:r w:rsidR="00AE2CD7">
        <w:t xml:space="preserve"> = progression-free survival</w:t>
      </w:r>
    </w:p>
    <w:p w:rsidR="005E7102" w:rsidRPr="003A3555" w:rsidRDefault="005E7102" w:rsidP="001172EE">
      <w:pPr>
        <w:pStyle w:val="TableFooter"/>
        <w:keepNext/>
        <w:keepLines/>
        <w:widowControl/>
      </w:pPr>
      <w:r w:rsidRPr="003A3555">
        <w:t xml:space="preserve">Note: PFS </w:t>
      </w:r>
      <w:proofErr w:type="gramStart"/>
      <w:r w:rsidRPr="003A3555">
        <w:t>is measured</w:t>
      </w:r>
      <w:proofErr w:type="gramEnd"/>
      <w:r w:rsidRPr="003A3555">
        <w:t xml:space="preserve"> as time since maintenance randomisation (months); censoring rules not reported.</w:t>
      </w:r>
    </w:p>
    <w:p w:rsidR="005E7102" w:rsidRPr="003A3555" w:rsidRDefault="005E7102" w:rsidP="001172EE">
      <w:pPr>
        <w:pStyle w:val="TableFooter"/>
        <w:keepNext/>
        <w:keepLines/>
        <w:widowControl/>
      </w:pPr>
      <w:r w:rsidRPr="003A3555">
        <w:t xml:space="preserve">Source: Figure 2.5.3, p.84 of the March 2018 submission. </w:t>
      </w:r>
    </w:p>
    <w:p w:rsidR="005E7102" w:rsidRPr="003A3555" w:rsidRDefault="005E7102" w:rsidP="00476EE6">
      <w:pPr>
        <w:widowControl/>
        <w:rPr>
          <w:rFonts w:ascii="Arial Narrow" w:hAnsi="Arial Narrow"/>
          <w:b/>
          <w:color w:val="FF0000"/>
          <w:sz w:val="20"/>
          <w:szCs w:val="16"/>
        </w:rPr>
      </w:pPr>
    </w:p>
    <w:p w:rsidR="005E7102" w:rsidRPr="003A3555" w:rsidRDefault="005E7102" w:rsidP="00476EE6">
      <w:pPr>
        <w:keepNext/>
        <w:widowControl/>
      </w:pPr>
      <w:r w:rsidRPr="003A3555">
        <w:rPr>
          <w:rStyle w:val="CommentReference"/>
        </w:rPr>
        <w:t xml:space="preserve">Table </w:t>
      </w:r>
      <w:r w:rsidR="00A8030B" w:rsidRPr="003A3555">
        <w:rPr>
          <w:rStyle w:val="CommentReference"/>
        </w:rPr>
        <w:t>11</w:t>
      </w:r>
      <w:r w:rsidRPr="003A3555">
        <w:rPr>
          <w:rStyle w:val="CommentReference"/>
        </w:rPr>
        <w:t xml:space="preserve">: </w:t>
      </w:r>
      <w:r w:rsidR="009A6A3D" w:rsidRPr="003A3555">
        <w:rPr>
          <w:rFonts w:ascii="Arial Narrow" w:hAnsi="Arial Narrow"/>
          <w:b/>
          <w:sz w:val="20"/>
          <w:szCs w:val="16"/>
        </w:rPr>
        <w:t xml:space="preserve">GIMEMA and Myeloma XI – </w:t>
      </w:r>
      <w:r w:rsidRPr="003A3555">
        <w:rPr>
          <w:rStyle w:val="CommentReference"/>
        </w:rPr>
        <w:t>Results of subgroup analysis</w:t>
      </w:r>
      <w:r w:rsidR="00AF1C83">
        <w:rPr>
          <w:rStyle w:val="CommentReference"/>
        </w:rPr>
        <w:t xml:space="preserve"> </w:t>
      </w:r>
      <w:r w:rsidRPr="003A3555">
        <w:rPr>
          <w:rStyle w:val="CommentReference"/>
        </w:rPr>
        <w:t xml:space="preserve">– OS </w:t>
      </w:r>
      <w:r w:rsidR="00AF1C83">
        <w:rPr>
          <w:rStyle w:val="CommentReference"/>
        </w:rPr>
        <w:t xml:space="preserve">– </w:t>
      </w:r>
      <w:proofErr w:type="spellStart"/>
      <w:r w:rsidR="00AF1C83">
        <w:rPr>
          <w:rStyle w:val="CommentReference"/>
        </w:rPr>
        <w:t>lenalidomide</w:t>
      </w:r>
      <w:proofErr w:type="spellEnd"/>
      <w:r w:rsidR="00AF1C83">
        <w:rPr>
          <w:rStyle w:val="CommentReference"/>
        </w:rPr>
        <w:t xml:space="preserve"> versus BSC</w:t>
      </w:r>
    </w:p>
    <w:tbl>
      <w:tblPr>
        <w:tblW w:w="49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1: GIMEMA and Myeloma XI – Results of subgroup analysis – OS – lenalidomide versus BSC"/>
      </w:tblPr>
      <w:tblGrid>
        <w:gridCol w:w="2542"/>
        <w:gridCol w:w="992"/>
        <w:gridCol w:w="1560"/>
        <w:gridCol w:w="992"/>
        <w:gridCol w:w="1565"/>
        <w:gridCol w:w="427"/>
        <w:gridCol w:w="928"/>
      </w:tblGrid>
      <w:tr w:rsidR="00EF509B" w:rsidRPr="003A3555" w:rsidTr="00EF509B">
        <w:trPr>
          <w:trHeight w:val="20"/>
          <w:tblHeader/>
        </w:trPr>
        <w:tc>
          <w:tcPr>
            <w:tcW w:w="1411" w:type="pct"/>
            <w:tcBorders>
              <w:bottom w:val="nil"/>
            </w:tcBorders>
            <w:shd w:val="clear" w:color="auto" w:fill="auto"/>
            <w:tcMar>
              <w:left w:w="28" w:type="dxa"/>
              <w:right w:w="28" w:type="dxa"/>
            </w:tcMar>
            <w:vAlign w:val="center"/>
          </w:tcPr>
          <w:p w:rsidR="00EF509B" w:rsidRPr="003A3555" w:rsidRDefault="00EF509B" w:rsidP="00476EE6">
            <w:pPr>
              <w:pStyle w:val="Tabletext"/>
              <w:keepNext/>
              <w:adjustRightInd w:val="0"/>
              <w:snapToGrid w:val="0"/>
              <w:rPr>
                <w:rFonts w:eastAsia="SimSun"/>
                <w:b/>
                <w:iCs/>
                <w:szCs w:val="18"/>
                <w:bdr w:val="none" w:sz="0" w:space="0" w:color="auto" w:frame="1"/>
                <w:lang w:eastAsia="en-AU"/>
              </w:rPr>
            </w:pPr>
          </w:p>
        </w:tc>
        <w:tc>
          <w:tcPr>
            <w:tcW w:w="1417" w:type="pct"/>
            <w:gridSpan w:val="2"/>
            <w:shd w:val="clear" w:color="auto" w:fill="auto"/>
            <w:tcMar>
              <w:left w:w="28" w:type="dxa"/>
              <w:right w:w="28" w:type="dxa"/>
            </w:tcMar>
            <w:vAlign w:val="center"/>
          </w:tcPr>
          <w:p w:rsidR="00EF509B" w:rsidRPr="003A3555" w:rsidRDefault="00EF509B" w:rsidP="00476EE6">
            <w:pPr>
              <w:pStyle w:val="Tabletext"/>
              <w:keepNext/>
              <w:jc w:val="center"/>
              <w:rPr>
                <w:rFonts w:eastAsia="SimSun"/>
                <w:b/>
                <w:iCs/>
                <w:szCs w:val="18"/>
                <w:bdr w:val="none" w:sz="0" w:space="0" w:color="auto" w:frame="1"/>
                <w:lang w:eastAsia="en-AU"/>
              </w:rPr>
            </w:pPr>
            <w:proofErr w:type="spellStart"/>
            <w:r w:rsidRPr="003A3555">
              <w:rPr>
                <w:rFonts w:eastAsia="SimSun"/>
                <w:b/>
                <w:iCs/>
                <w:szCs w:val="18"/>
                <w:bdr w:val="none" w:sz="0" w:space="0" w:color="auto" w:frame="1"/>
                <w:lang w:eastAsia="en-AU"/>
              </w:rPr>
              <w:t>Lenalidomide</w:t>
            </w:r>
            <w:proofErr w:type="spellEnd"/>
          </w:p>
        </w:tc>
        <w:tc>
          <w:tcPr>
            <w:tcW w:w="1420" w:type="pct"/>
            <w:gridSpan w:val="2"/>
            <w:shd w:val="clear" w:color="auto" w:fill="auto"/>
            <w:tcMar>
              <w:left w:w="28" w:type="dxa"/>
              <w:right w:w="28" w:type="dxa"/>
            </w:tcMar>
            <w:vAlign w:val="center"/>
          </w:tcPr>
          <w:p w:rsidR="00EF509B" w:rsidRPr="003A3555" w:rsidRDefault="00EF509B" w:rsidP="00476EE6">
            <w:pPr>
              <w:pStyle w:val="Tabletext"/>
              <w:keepNext/>
              <w:jc w:val="center"/>
              <w:rPr>
                <w:rFonts w:eastAsia="SimSun"/>
                <w:b/>
                <w:iCs/>
                <w:szCs w:val="18"/>
                <w:bdr w:val="none" w:sz="0" w:space="0" w:color="auto" w:frame="1"/>
                <w:lang w:eastAsia="en-AU"/>
              </w:rPr>
            </w:pPr>
            <w:r w:rsidRPr="003A3555">
              <w:rPr>
                <w:rFonts w:eastAsia="SimSun"/>
                <w:b/>
                <w:iCs/>
                <w:szCs w:val="18"/>
                <w:bdr w:val="none" w:sz="0" w:space="0" w:color="auto" w:frame="1"/>
                <w:lang w:eastAsia="en-AU"/>
              </w:rPr>
              <w:t>BSC</w:t>
            </w:r>
          </w:p>
        </w:tc>
        <w:tc>
          <w:tcPr>
            <w:tcW w:w="752" w:type="pct"/>
            <w:gridSpan w:val="2"/>
            <w:vMerge w:val="restart"/>
            <w:shd w:val="clear" w:color="auto" w:fill="auto"/>
            <w:tcMar>
              <w:left w:w="28" w:type="dxa"/>
              <w:right w:w="28" w:type="dxa"/>
            </w:tcMar>
            <w:vAlign w:val="center"/>
          </w:tcPr>
          <w:p w:rsidR="00EF509B" w:rsidRPr="003A3555" w:rsidRDefault="00EF509B" w:rsidP="00476EE6">
            <w:pPr>
              <w:pStyle w:val="Tabletext"/>
              <w:keepNext/>
              <w:adjustRightInd w:val="0"/>
              <w:snapToGrid w:val="0"/>
              <w:jc w:val="center"/>
              <w:rPr>
                <w:rFonts w:eastAsia="SimSun"/>
                <w:b/>
                <w:iCs/>
                <w:szCs w:val="18"/>
                <w:bdr w:val="none" w:sz="0" w:space="0" w:color="auto" w:frame="1"/>
                <w:lang w:eastAsia="en-AU"/>
              </w:rPr>
            </w:pPr>
            <w:r w:rsidRPr="003A3555">
              <w:rPr>
                <w:rFonts w:eastAsia="SimSun"/>
                <w:b/>
                <w:iCs/>
                <w:szCs w:val="18"/>
                <w:bdr w:val="none" w:sz="0" w:space="0" w:color="auto" w:frame="1"/>
                <w:lang w:eastAsia="en-AU"/>
              </w:rPr>
              <w:t xml:space="preserve">Hazard ratio </w:t>
            </w:r>
            <w:r>
              <w:rPr>
                <w:rFonts w:eastAsia="SimSun"/>
                <w:b/>
                <w:iCs/>
                <w:szCs w:val="18"/>
                <w:bdr w:val="none" w:sz="0" w:space="0" w:color="auto" w:frame="1"/>
                <w:lang w:eastAsia="en-AU"/>
              </w:rPr>
              <w:br/>
            </w:r>
            <w:r w:rsidRPr="003A3555">
              <w:rPr>
                <w:rFonts w:eastAsia="SimSun"/>
                <w:b/>
                <w:iCs/>
                <w:szCs w:val="18"/>
                <w:bdr w:val="none" w:sz="0" w:space="0" w:color="auto" w:frame="1"/>
                <w:lang w:eastAsia="en-AU"/>
              </w:rPr>
              <w:t>(95% CI)</w:t>
            </w:r>
          </w:p>
        </w:tc>
      </w:tr>
      <w:tr w:rsidR="00EF509B" w:rsidRPr="003A3555" w:rsidTr="00EF509B">
        <w:trPr>
          <w:trHeight w:val="20"/>
          <w:tblHeader/>
        </w:trPr>
        <w:tc>
          <w:tcPr>
            <w:tcW w:w="1411" w:type="pct"/>
            <w:tcBorders>
              <w:top w:val="nil"/>
              <w:bottom w:val="single" w:sz="4" w:space="0" w:color="auto"/>
            </w:tcBorders>
            <w:shd w:val="clear" w:color="auto" w:fill="auto"/>
            <w:tcMar>
              <w:left w:w="28" w:type="dxa"/>
              <w:right w:w="28" w:type="dxa"/>
            </w:tcMar>
            <w:vAlign w:val="center"/>
            <w:hideMark/>
          </w:tcPr>
          <w:p w:rsidR="00EF509B" w:rsidRPr="003A3555" w:rsidRDefault="00EF509B" w:rsidP="00476EE6">
            <w:pPr>
              <w:pStyle w:val="Tabletext"/>
              <w:adjustRightInd w:val="0"/>
              <w:snapToGrid w:val="0"/>
              <w:rPr>
                <w:rFonts w:eastAsia="SimSun"/>
                <w:b/>
                <w:iCs/>
                <w:szCs w:val="18"/>
                <w:bdr w:val="none" w:sz="0" w:space="0" w:color="auto" w:frame="1"/>
                <w:lang w:eastAsia="en-AU"/>
              </w:rPr>
            </w:pPr>
            <w:r w:rsidRPr="003A3555">
              <w:rPr>
                <w:rFonts w:eastAsia="SimSun"/>
                <w:b/>
                <w:iCs/>
                <w:szCs w:val="18"/>
                <w:bdr w:val="none" w:sz="0" w:space="0" w:color="auto" w:frame="1"/>
                <w:lang w:eastAsia="en-AU"/>
              </w:rPr>
              <w:t>Trial ID</w:t>
            </w:r>
          </w:p>
        </w:tc>
        <w:tc>
          <w:tcPr>
            <w:tcW w:w="551" w:type="pct"/>
            <w:tcBorders>
              <w:bottom w:val="single" w:sz="4" w:space="0" w:color="auto"/>
            </w:tcBorders>
            <w:shd w:val="clear" w:color="auto" w:fill="auto"/>
            <w:tcMar>
              <w:left w:w="28" w:type="dxa"/>
              <w:right w:w="28" w:type="dxa"/>
            </w:tcMar>
            <w:vAlign w:val="center"/>
            <w:hideMark/>
          </w:tcPr>
          <w:p w:rsidR="00EF509B" w:rsidRPr="003A3555" w:rsidRDefault="00EF509B" w:rsidP="00476EE6">
            <w:pPr>
              <w:pStyle w:val="Tabletext"/>
              <w:jc w:val="center"/>
              <w:rPr>
                <w:rFonts w:eastAsia="SimSun"/>
                <w:b/>
                <w:iCs/>
                <w:szCs w:val="18"/>
                <w:bdr w:val="none" w:sz="0" w:space="0" w:color="auto" w:frame="1"/>
                <w:lang w:eastAsia="en-AU"/>
              </w:rPr>
            </w:pPr>
            <w:proofErr w:type="gramStart"/>
            <w:r w:rsidRPr="003A3555">
              <w:rPr>
                <w:rFonts w:eastAsia="SimSun"/>
                <w:b/>
                <w:iCs/>
                <w:szCs w:val="18"/>
                <w:bdr w:val="none" w:sz="0" w:space="0" w:color="auto" w:frame="1"/>
                <w:lang w:eastAsia="en-AU"/>
              </w:rPr>
              <w:t>n/N</w:t>
            </w:r>
            <w:proofErr w:type="gramEnd"/>
            <w:r w:rsidRPr="003A3555">
              <w:rPr>
                <w:rFonts w:eastAsia="SimSun"/>
                <w:b/>
                <w:iCs/>
                <w:szCs w:val="18"/>
                <w:bdr w:val="none" w:sz="0" w:space="0" w:color="auto" w:frame="1"/>
                <w:lang w:eastAsia="en-AU"/>
              </w:rPr>
              <w:t xml:space="preserve"> </w:t>
            </w:r>
            <w:r>
              <w:rPr>
                <w:rFonts w:eastAsia="SimSun"/>
                <w:b/>
                <w:iCs/>
                <w:szCs w:val="18"/>
                <w:bdr w:val="none" w:sz="0" w:space="0" w:color="auto" w:frame="1"/>
                <w:lang w:eastAsia="en-AU"/>
              </w:rPr>
              <w:br/>
            </w:r>
            <w:r w:rsidRPr="003A3555">
              <w:rPr>
                <w:rFonts w:eastAsia="SimSun"/>
                <w:b/>
                <w:iCs/>
                <w:szCs w:val="18"/>
                <w:bdr w:val="none" w:sz="0" w:space="0" w:color="auto" w:frame="1"/>
                <w:lang w:eastAsia="en-AU"/>
              </w:rPr>
              <w:t>(%)</w:t>
            </w:r>
          </w:p>
        </w:tc>
        <w:tc>
          <w:tcPr>
            <w:tcW w:w="866" w:type="pct"/>
            <w:tcBorders>
              <w:bottom w:val="single" w:sz="4" w:space="0" w:color="auto"/>
            </w:tcBorders>
            <w:shd w:val="clear" w:color="auto" w:fill="auto"/>
            <w:tcMar>
              <w:left w:w="28" w:type="dxa"/>
              <w:right w:w="28" w:type="dxa"/>
            </w:tcMar>
            <w:vAlign w:val="center"/>
            <w:hideMark/>
          </w:tcPr>
          <w:p w:rsidR="00EF509B" w:rsidRPr="003A3555" w:rsidRDefault="00EF509B" w:rsidP="00476EE6">
            <w:pPr>
              <w:pStyle w:val="Tabletext"/>
              <w:jc w:val="center"/>
              <w:rPr>
                <w:rFonts w:eastAsia="SimSun"/>
                <w:b/>
                <w:iCs/>
                <w:szCs w:val="18"/>
                <w:bdr w:val="none" w:sz="0" w:space="0" w:color="auto" w:frame="1"/>
                <w:lang w:eastAsia="en-AU"/>
              </w:rPr>
            </w:pPr>
            <w:r w:rsidRPr="003A3555">
              <w:rPr>
                <w:rFonts w:eastAsia="SimSun"/>
                <w:b/>
                <w:iCs/>
                <w:szCs w:val="18"/>
                <w:bdr w:val="none" w:sz="0" w:space="0" w:color="auto" w:frame="1"/>
                <w:lang w:eastAsia="en-AU"/>
              </w:rPr>
              <w:t xml:space="preserve">Median OS, </w:t>
            </w:r>
            <w:r>
              <w:rPr>
                <w:rFonts w:eastAsia="SimSun"/>
                <w:b/>
                <w:iCs/>
                <w:szCs w:val="18"/>
                <w:bdr w:val="none" w:sz="0" w:space="0" w:color="auto" w:frame="1"/>
                <w:lang w:eastAsia="en-AU"/>
              </w:rPr>
              <w:br/>
            </w:r>
            <w:r w:rsidRPr="003A3555">
              <w:rPr>
                <w:rFonts w:eastAsia="SimSun"/>
                <w:b/>
                <w:iCs/>
                <w:szCs w:val="18"/>
                <w:bdr w:val="none" w:sz="0" w:space="0" w:color="auto" w:frame="1"/>
                <w:lang w:eastAsia="en-AU"/>
              </w:rPr>
              <w:t>m</w:t>
            </w:r>
            <w:r>
              <w:rPr>
                <w:rFonts w:eastAsia="SimSun"/>
                <w:b/>
                <w:iCs/>
                <w:szCs w:val="18"/>
                <w:bdr w:val="none" w:sz="0" w:space="0" w:color="auto" w:frame="1"/>
                <w:lang w:eastAsia="en-AU"/>
              </w:rPr>
              <w:t>on</w:t>
            </w:r>
            <w:r w:rsidRPr="003A3555">
              <w:rPr>
                <w:rFonts w:eastAsia="SimSun"/>
                <w:b/>
                <w:iCs/>
                <w:szCs w:val="18"/>
                <w:bdr w:val="none" w:sz="0" w:space="0" w:color="auto" w:frame="1"/>
                <w:lang w:eastAsia="en-AU"/>
              </w:rPr>
              <w:t>ths</w:t>
            </w:r>
            <w:r>
              <w:rPr>
                <w:rFonts w:eastAsia="SimSun"/>
                <w:b/>
                <w:iCs/>
                <w:szCs w:val="18"/>
                <w:bdr w:val="none" w:sz="0" w:space="0" w:color="auto" w:frame="1"/>
                <w:lang w:eastAsia="en-AU"/>
              </w:rPr>
              <w:t xml:space="preserve"> </w:t>
            </w:r>
            <w:r w:rsidRPr="003A3555">
              <w:rPr>
                <w:rFonts w:eastAsia="SimSun"/>
                <w:b/>
                <w:iCs/>
                <w:szCs w:val="18"/>
                <w:bdr w:val="none" w:sz="0" w:space="0" w:color="auto" w:frame="1"/>
                <w:lang w:eastAsia="en-AU"/>
              </w:rPr>
              <w:t>(95% CI)</w:t>
            </w:r>
          </w:p>
        </w:tc>
        <w:tc>
          <w:tcPr>
            <w:tcW w:w="551" w:type="pct"/>
            <w:tcBorders>
              <w:bottom w:val="single" w:sz="4" w:space="0" w:color="auto"/>
            </w:tcBorders>
            <w:shd w:val="clear" w:color="auto" w:fill="auto"/>
            <w:tcMar>
              <w:left w:w="28" w:type="dxa"/>
              <w:right w:w="28" w:type="dxa"/>
            </w:tcMar>
            <w:vAlign w:val="center"/>
            <w:hideMark/>
          </w:tcPr>
          <w:p w:rsidR="00EF509B" w:rsidRPr="003A3555" w:rsidRDefault="00EF509B" w:rsidP="00476EE6">
            <w:pPr>
              <w:pStyle w:val="Tabletext"/>
              <w:jc w:val="center"/>
              <w:rPr>
                <w:rFonts w:eastAsia="SimSun"/>
                <w:b/>
                <w:iCs/>
                <w:szCs w:val="18"/>
                <w:bdr w:val="none" w:sz="0" w:space="0" w:color="auto" w:frame="1"/>
                <w:lang w:eastAsia="en-AU"/>
              </w:rPr>
            </w:pPr>
            <w:proofErr w:type="gramStart"/>
            <w:r w:rsidRPr="003A3555">
              <w:rPr>
                <w:rFonts w:eastAsia="SimSun"/>
                <w:b/>
                <w:iCs/>
                <w:szCs w:val="18"/>
                <w:bdr w:val="none" w:sz="0" w:space="0" w:color="auto" w:frame="1"/>
                <w:lang w:eastAsia="en-AU"/>
              </w:rPr>
              <w:t>n/N</w:t>
            </w:r>
            <w:proofErr w:type="gramEnd"/>
            <w:r w:rsidRPr="003A3555">
              <w:rPr>
                <w:rFonts w:eastAsia="SimSun"/>
                <w:b/>
                <w:iCs/>
                <w:szCs w:val="18"/>
                <w:bdr w:val="none" w:sz="0" w:space="0" w:color="auto" w:frame="1"/>
                <w:lang w:eastAsia="en-AU"/>
              </w:rPr>
              <w:t xml:space="preserve"> </w:t>
            </w:r>
            <w:r>
              <w:rPr>
                <w:rFonts w:eastAsia="SimSun"/>
                <w:b/>
                <w:iCs/>
                <w:szCs w:val="18"/>
                <w:bdr w:val="none" w:sz="0" w:space="0" w:color="auto" w:frame="1"/>
                <w:lang w:eastAsia="en-AU"/>
              </w:rPr>
              <w:br/>
            </w:r>
            <w:r w:rsidRPr="003A3555">
              <w:rPr>
                <w:rFonts w:eastAsia="SimSun"/>
                <w:b/>
                <w:iCs/>
                <w:szCs w:val="18"/>
                <w:bdr w:val="none" w:sz="0" w:space="0" w:color="auto" w:frame="1"/>
                <w:lang w:eastAsia="en-AU"/>
              </w:rPr>
              <w:t>(%)</w:t>
            </w:r>
          </w:p>
        </w:tc>
        <w:tc>
          <w:tcPr>
            <w:tcW w:w="869" w:type="pct"/>
            <w:tcBorders>
              <w:bottom w:val="single" w:sz="4" w:space="0" w:color="auto"/>
            </w:tcBorders>
            <w:shd w:val="clear" w:color="auto" w:fill="auto"/>
            <w:tcMar>
              <w:left w:w="28" w:type="dxa"/>
              <w:right w:w="28" w:type="dxa"/>
            </w:tcMar>
            <w:vAlign w:val="center"/>
            <w:hideMark/>
          </w:tcPr>
          <w:p w:rsidR="00EF509B" w:rsidRPr="003A3555" w:rsidRDefault="00EF509B" w:rsidP="00476EE6">
            <w:pPr>
              <w:pStyle w:val="Tabletext"/>
              <w:jc w:val="center"/>
              <w:rPr>
                <w:rFonts w:eastAsia="SimSun"/>
                <w:b/>
                <w:iCs/>
                <w:szCs w:val="18"/>
                <w:bdr w:val="none" w:sz="0" w:space="0" w:color="auto" w:frame="1"/>
                <w:lang w:eastAsia="en-AU"/>
              </w:rPr>
            </w:pPr>
            <w:r w:rsidRPr="003A3555">
              <w:rPr>
                <w:rFonts w:eastAsia="SimSun"/>
                <w:b/>
                <w:iCs/>
                <w:szCs w:val="18"/>
                <w:bdr w:val="none" w:sz="0" w:space="0" w:color="auto" w:frame="1"/>
                <w:lang w:eastAsia="en-AU"/>
              </w:rPr>
              <w:t>Median OS, m</w:t>
            </w:r>
            <w:r>
              <w:rPr>
                <w:rFonts w:eastAsia="SimSun"/>
                <w:b/>
                <w:iCs/>
                <w:szCs w:val="18"/>
                <w:bdr w:val="none" w:sz="0" w:space="0" w:color="auto" w:frame="1"/>
                <w:lang w:eastAsia="en-AU"/>
              </w:rPr>
              <w:t>on</w:t>
            </w:r>
            <w:r w:rsidRPr="003A3555">
              <w:rPr>
                <w:rFonts w:eastAsia="SimSun"/>
                <w:b/>
                <w:iCs/>
                <w:szCs w:val="18"/>
                <w:bdr w:val="none" w:sz="0" w:space="0" w:color="auto" w:frame="1"/>
                <w:lang w:eastAsia="en-AU"/>
              </w:rPr>
              <w:t>ths (95% CI)</w:t>
            </w:r>
          </w:p>
        </w:tc>
        <w:tc>
          <w:tcPr>
            <w:tcW w:w="752" w:type="pct"/>
            <w:gridSpan w:val="2"/>
            <w:vMerge/>
            <w:tcBorders>
              <w:bottom w:val="single" w:sz="4" w:space="0" w:color="auto"/>
            </w:tcBorders>
            <w:shd w:val="clear" w:color="auto" w:fill="auto"/>
            <w:tcMar>
              <w:left w:w="28" w:type="dxa"/>
              <w:right w:w="28" w:type="dxa"/>
            </w:tcMar>
            <w:vAlign w:val="center"/>
            <w:hideMark/>
          </w:tcPr>
          <w:p w:rsidR="00EF509B" w:rsidRPr="003A3555" w:rsidRDefault="00EF509B" w:rsidP="00476EE6">
            <w:pPr>
              <w:pStyle w:val="Tabletext"/>
              <w:jc w:val="center"/>
              <w:rPr>
                <w:rFonts w:eastAsia="SimSun"/>
                <w:b/>
                <w:iCs/>
                <w:szCs w:val="18"/>
                <w:bdr w:val="none" w:sz="0" w:space="0" w:color="auto" w:frame="1"/>
                <w:lang w:eastAsia="en-AU"/>
              </w:rPr>
            </w:pPr>
          </w:p>
        </w:tc>
      </w:tr>
      <w:tr w:rsidR="00EF509B" w:rsidRPr="003A3555" w:rsidTr="00AF1C83">
        <w:trPr>
          <w:trHeight w:val="20"/>
        </w:trPr>
        <w:tc>
          <w:tcPr>
            <w:tcW w:w="1411" w:type="pct"/>
            <w:tcBorders>
              <w:bottom w:val="single" w:sz="4" w:space="0" w:color="auto"/>
              <w:right w:val="nil"/>
            </w:tcBorders>
            <w:shd w:val="clear" w:color="auto" w:fill="auto"/>
            <w:tcMar>
              <w:left w:w="28" w:type="dxa"/>
              <w:right w:w="28" w:type="dxa"/>
            </w:tcMar>
          </w:tcPr>
          <w:p w:rsidR="005E7102" w:rsidRPr="003A3555" w:rsidRDefault="005E7102" w:rsidP="00476EE6">
            <w:pPr>
              <w:pStyle w:val="Tabletext"/>
              <w:adjustRightInd w:val="0"/>
              <w:snapToGrid w:val="0"/>
              <w:rPr>
                <w:rFonts w:eastAsia="SimSun"/>
                <w:b/>
                <w:iCs/>
                <w:szCs w:val="18"/>
                <w:bdr w:val="none" w:sz="0" w:space="0" w:color="auto" w:frame="1"/>
                <w:lang w:eastAsia="en-AU"/>
              </w:rPr>
            </w:pPr>
            <w:r w:rsidRPr="003A3555">
              <w:rPr>
                <w:rFonts w:eastAsia="SimSun"/>
                <w:b/>
                <w:iCs/>
                <w:szCs w:val="18"/>
                <w:bdr w:val="none" w:sz="0" w:space="0" w:color="auto" w:frame="1"/>
                <w:lang w:eastAsia="en-AU"/>
              </w:rPr>
              <w:t>GIMEMA</w:t>
            </w:r>
          </w:p>
        </w:tc>
        <w:tc>
          <w:tcPr>
            <w:tcW w:w="551" w:type="pct"/>
            <w:tcBorders>
              <w:left w:val="nil"/>
              <w:bottom w:val="single" w:sz="4" w:space="0" w:color="auto"/>
              <w:right w:val="nil"/>
            </w:tcBorders>
            <w:shd w:val="clear" w:color="auto" w:fill="auto"/>
            <w:tcMar>
              <w:left w:w="28" w:type="dxa"/>
              <w:right w:w="28" w:type="dxa"/>
            </w:tcMar>
            <w:vAlign w:val="center"/>
          </w:tcPr>
          <w:p w:rsidR="005E7102" w:rsidRPr="003A3555" w:rsidRDefault="005E7102" w:rsidP="00476EE6">
            <w:pPr>
              <w:pStyle w:val="Tabletext"/>
              <w:adjustRightInd w:val="0"/>
              <w:snapToGrid w:val="0"/>
              <w:jc w:val="center"/>
              <w:rPr>
                <w:rFonts w:eastAsia="SimSun"/>
                <w:iCs/>
                <w:szCs w:val="18"/>
                <w:bdr w:val="none" w:sz="0" w:space="0" w:color="auto" w:frame="1"/>
                <w:lang w:eastAsia="en-AU"/>
              </w:rPr>
            </w:pPr>
          </w:p>
        </w:tc>
        <w:tc>
          <w:tcPr>
            <w:tcW w:w="866" w:type="pct"/>
            <w:tcBorders>
              <w:left w:val="nil"/>
              <w:bottom w:val="single" w:sz="4" w:space="0" w:color="auto"/>
              <w:right w:val="nil"/>
            </w:tcBorders>
            <w:shd w:val="clear" w:color="auto" w:fill="auto"/>
            <w:tcMar>
              <w:left w:w="28" w:type="dxa"/>
              <w:right w:w="28" w:type="dxa"/>
            </w:tcMar>
            <w:vAlign w:val="center"/>
          </w:tcPr>
          <w:p w:rsidR="005E7102" w:rsidRPr="003A3555" w:rsidRDefault="005E7102" w:rsidP="00476EE6">
            <w:pPr>
              <w:pStyle w:val="Tabletext"/>
              <w:jc w:val="center"/>
              <w:rPr>
                <w:lang w:eastAsia="en-AU"/>
              </w:rPr>
            </w:pPr>
          </w:p>
        </w:tc>
        <w:tc>
          <w:tcPr>
            <w:tcW w:w="551" w:type="pct"/>
            <w:tcBorders>
              <w:left w:val="nil"/>
              <w:bottom w:val="single" w:sz="4" w:space="0" w:color="auto"/>
              <w:right w:val="nil"/>
            </w:tcBorders>
            <w:shd w:val="clear" w:color="auto" w:fill="auto"/>
            <w:tcMar>
              <w:left w:w="28" w:type="dxa"/>
              <w:right w:w="28" w:type="dxa"/>
            </w:tcMar>
            <w:vAlign w:val="center"/>
          </w:tcPr>
          <w:p w:rsidR="005E7102" w:rsidRPr="003A3555" w:rsidRDefault="005E7102" w:rsidP="00476EE6">
            <w:pPr>
              <w:pStyle w:val="Tabletext"/>
              <w:adjustRightInd w:val="0"/>
              <w:snapToGrid w:val="0"/>
              <w:jc w:val="center"/>
              <w:rPr>
                <w:rFonts w:eastAsia="SimSun"/>
                <w:iCs/>
                <w:szCs w:val="18"/>
                <w:bdr w:val="none" w:sz="0" w:space="0" w:color="auto" w:frame="1"/>
                <w:lang w:eastAsia="en-AU"/>
              </w:rPr>
            </w:pPr>
          </w:p>
        </w:tc>
        <w:tc>
          <w:tcPr>
            <w:tcW w:w="869" w:type="pct"/>
            <w:tcBorders>
              <w:left w:val="nil"/>
              <w:bottom w:val="single" w:sz="4" w:space="0" w:color="auto"/>
              <w:right w:val="nil"/>
            </w:tcBorders>
            <w:shd w:val="clear" w:color="auto" w:fill="auto"/>
            <w:tcMar>
              <w:left w:w="28" w:type="dxa"/>
              <w:right w:w="28" w:type="dxa"/>
            </w:tcMar>
            <w:vAlign w:val="center"/>
          </w:tcPr>
          <w:p w:rsidR="005E7102" w:rsidRPr="003A3555" w:rsidRDefault="005E7102" w:rsidP="00476EE6">
            <w:pPr>
              <w:pStyle w:val="Tabletext"/>
              <w:jc w:val="center"/>
              <w:rPr>
                <w:lang w:eastAsia="en-AU"/>
              </w:rPr>
            </w:pPr>
          </w:p>
        </w:tc>
        <w:tc>
          <w:tcPr>
            <w:tcW w:w="237" w:type="pct"/>
            <w:tcBorders>
              <w:left w:val="nil"/>
              <w:bottom w:val="single" w:sz="4" w:space="0" w:color="auto"/>
              <w:right w:val="nil"/>
            </w:tcBorders>
            <w:shd w:val="clear" w:color="auto" w:fill="auto"/>
            <w:tcMar>
              <w:left w:w="28" w:type="dxa"/>
              <w:right w:w="28" w:type="dxa"/>
            </w:tcMar>
            <w:vAlign w:val="center"/>
          </w:tcPr>
          <w:p w:rsidR="005E7102" w:rsidRPr="003A3555" w:rsidRDefault="005E7102" w:rsidP="00476EE6">
            <w:pPr>
              <w:pStyle w:val="Tabletext"/>
              <w:adjustRightInd w:val="0"/>
              <w:snapToGrid w:val="0"/>
              <w:jc w:val="center"/>
              <w:rPr>
                <w:rFonts w:eastAsia="SimSun"/>
                <w:iCs/>
                <w:szCs w:val="18"/>
                <w:bdr w:val="none" w:sz="0" w:space="0" w:color="auto" w:frame="1"/>
                <w:lang w:eastAsia="en-AU"/>
              </w:rPr>
            </w:pPr>
          </w:p>
        </w:tc>
        <w:tc>
          <w:tcPr>
            <w:tcW w:w="515" w:type="pct"/>
            <w:tcBorders>
              <w:left w:val="nil"/>
              <w:bottom w:val="single" w:sz="4" w:space="0" w:color="auto"/>
            </w:tcBorders>
            <w:tcMar>
              <w:left w:w="28" w:type="dxa"/>
              <w:right w:w="28" w:type="dxa"/>
            </w:tcMar>
          </w:tcPr>
          <w:p w:rsidR="005E7102" w:rsidRPr="003A3555" w:rsidRDefault="005E7102" w:rsidP="00476EE6">
            <w:pPr>
              <w:pStyle w:val="Tabletext"/>
              <w:adjustRightInd w:val="0"/>
              <w:snapToGrid w:val="0"/>
              <w:jc w:val="center"/>
              <w:rPr>
                <w:rFonts w:eastAsia="SimSun"/>
                <w:iCs/>
                <w:szCs w:val="18"/>
                <w:bdr w:val="none" w:sz="0" w:space="0" w:color="auto" w:frame="1"/>
                <w:lang w:eastAsia="en-AU"/>
              </w:rPr>
            </w:pPr>
          </w:p>
        </w:tc>
      </w:tr>
      <w:tr w:rsidR="00EF509B" w:rsidRPr="003A3555" w:rsidTr="00AF1C83">
        <w:trPr>
          <w:trHeight w:val="227"/>
        </w:trPr>
        <w:tc>
          <w:tcPr>
            <w:tcW w:w="1411" w:type="pct"/>
            <w:tcBorders>
              <w:right w:val="single" w:sz="4" w:space="0" w:color="auto"/>
            </w:tcBorders>
            <w:shd w:val="clear" w:color="auto" w:fill="auto"/>
            <w:tcMar>
              <w:left w:w="28" w:type="dxa"/>
              <w:right w:w="28" w:type="dxa"/>
            </w:tcMar>
            <w:vAlign w:val="center"/>
          </w:tcPr>
          <w:p w:rsidR="00EF509B" w:rsidRPr="00267836" w:rsidRDefault="00EF509B" w:rsidP="00476EE6">
            <w:pPr>
              <w:pStyle w:val="Tabletext"/>
              <w:adjustRightInd w:val="0"/>
              <w:snapToGrid w:val="0"/>
              <w:rPr>
                <w:rFonts w:eastAsia="SimSun"/>
                <w:iCs/>
                <w:szCs w:val="18"/>
                <w:bdr w:val="none" w:sz="0" w:space="0" w:color="auto" w:frame="1"/>
                <w:lang w:eastAsia="en-AU"/>
              </w:rPr>
            </w:pPr>
            <w:r w:rsidRPr="00267836">
              <w:rPr>
                <w:rFonts w:eastAsia="SimSun"/>
                <w:iCs/>
                <w:szCs w:val="18"/>
                <w:bdr w:val="none" w:sz="0" w:space="0" w:color="auto" w:frame="1"/>
                <w:lang w:eastAsia="en-AU"/>
              </w:rPr>
              <w:t xml:space="preserve">Apr 2013 - Whole </w:t>
            </w:r>
          </w:p>
        </w:tc>
        <w:tc>
          <w:tcPr>
            <w:tcW w:w="551" w:type="pct"/>
            <w:tcBorders>
              <w:left w:val="single" w:sz="4" w:space="0" w:color="auto"/>
              <w:right w:val="single" w:sz="4" w:space="0" w:color="auto"/>
            </w:tcBorders>
            <w:shd w:val="clear" w:color="auto" w:fill="auto"/>
            <w:tcMar>
              <w:left w:w="28" w:type="dxa"/>
              <w:right w:w="28" w:type="dxa"/>
            </w:tcMar>
            <w:vAlign w:val="center"/>
          </w:tcPr>
          <w:p w:rsidR="00EF509B" w:rsidRPr="00267836" w:rsidRDefault="00EF509B" w:rsidP="00AF1C83">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NR</w:t>
            </w:r>
          </w:p>
        </w:tc>
        <w:tc>
          <w:tcPr>
            <w:tcW w:w="866" w:type="pct"/>
            <w:tcBorders>
              <w:left w:val="single" w:sz="4" w:space="0" w:color="auto"/>
              <w:right w:val="single" w:sz="4" w:space="0" w:color="auto"/>
            </w:tcBorders>
            <w:shd w:val="clear" w:color="auto" w:fill="auto"/>
            <w:tcMar>
              <w:left w:w="28" w:type="dxa"/>
              <w:right w:w="28" w:type="dxa"/>
            </w:tcMar>
            <w:vAlign w:val="center"/>
          </w:tcPr>
          <w:p w:rsidR="00EF509B" w:rsidRPr="00267836" w:rsidRDefault="00EF509B" w:rsidP="00AF1C83">
            <w:pPr>
              <w:pStyle w:val="Tabletext"/>
              <w:jc w:val="center"/>
              <w:rPr>
                <w:lang w:eastAsia="en-AU"/>
              </w:rPr>
            </w:pPr>
            <w:r w:rsidRPr="00267836">
              <w:rPr>
                <w:rFonts w:eastAsia="SimSun"/>
                <w:iCs/>
                <w:szCs w:val="18"/>
                <w:bdr w:val="none" w:sz="0" w:space="0" w:color="auto" w:frame="1"/>
                <w:lang w:eastAsia="en-AU"/>
              </w:rPr>
              <w:t>NR</w:t>
            </w:r>
            <w:r w:rsidRPr="00267836">
              <w:rPr>
                <w:lang w:eastAsia="en-AU"/>
              </w:rPr>
              <w:t xml:space="preserve"> </w:t>
            </w:r>
            <w:r w:rsidRPr="00267836">
              <w:rPr>
                <w:lang w:eastAsia="en-AU"/>
              </w:rPr>
              <w:br/>
              <w:t>(3-yr OS 88.0%)</w:t>
            </w:r>
          </w:p>
        </w:tc>
        <w:tc>
          <w:tcPr>
            <w:tcW w:w="551" w:type="pct"/>
            <w:tcBorders>
              <w:left w:val="single" w:sz="4" w:space="0" w:color="auto"/>
              <w:right w:val="single" w:sz="4" w:space="0" w:color="auto"/>
            </w:tcBorders>
            <w:shd w:val="clear" w:color="auto" w:fill="auto"/>
            <w:tcMar>
              <w:left w:w="28" w:type="dxa"/>
              <w:right w:w="28" w:type="dxa"/>
            </w:tcMar>
            <w:vAlign w:val="center"/>
          </w:tcPr>
          <w:p w:rsidR="00EF509B" w:rsidRPr="00267836" w:rsidRDefault="00EF509B" w:rsidP="00AF1C83">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NR</w:t>
            </w:r>
          </w:p>
        </w:tc>
        <w:tc>
          <w:tcPr>
            <w:tcW w:w="869" w:type="pct"/>
            <w:tcBorders>
              <w:left w:val="single" w:sz="4" w:space="0" w:color="auto"/>
              <w:right w:val="single" w:sz="4" w:space="0" w:color="auto"/>
            </w:tcBorders>
            <w:shd w:val="clear" w:color="auto" w:fill="auto"/>
            <w:tcMar>
              <w:left w:w="28" w:type="dxa"/>
              <w:right w:w="28" w:type="dxa"/>
            </w:tcMar>
            <w:vAlign w:val="center"/>
          </w:tcPr>
          <w:p w:rsidR="00EF509B" w:rsidRPr="00267836" w:rsidRDefault="00EF509B" w:rsidP="00AF1C83">
            <w:pPr>
              <w:pStyle w:val="Tabletext"/>
              <w:jc w:val="center"/>
              <w:rPr>
                <w:lang w:eastAsia="en-AU"/>
              </w:rPr>
            </w:pPr>
            <w:r w:rsidRPr="00267836">
              <w:rPr>
                <w:rFonts w:eastAsia="SimSun"/>
                <w:iCs/>
                <w:szCs w:val="18"/>
                <w:bdr w:val="none" w:sz="0" w:space="0" w:color="auto" w:frame="1"/>
                <w:lang w:eastAsia="en-AU"/>
              </w:rPr>
              <w:t>NR</w:t>
            </w:r>
            <w:r w:rsidRPr="00267836">
              <w:rPr>
                <w:lang w:eastAsia="en-AU"/>
              </w:rPr>
              <w:t xml:space="preserve"> </w:t>
            </w:r>
            <w:r w:rsidRPr="00267836">
              <w:rPr>
                <w:lang w:eastAsia="en-AU"/>
              </w:rPr>
              <w:br/>
              <w:t>(3-yr OS 79.2%)</w:t>
            </w:r>
          </w:p>
        </w:tc>
        <w:tc>
          <w:tcPr>
            <w:tcW w:w="752" w:type="pct"/>
            <w:gridSpan w:val="2"/>
            <w:tcBorders>
              <w:left w:val="single" w:sz="4" w:space="0" w:color="auto"/>
            </w:tcBorders>
            <w:shd w:val="clear" w:color="auto" w:fill="auto"/>
            <w:tcMar>
              <w:left w:w="28" w:type="dxa"/>
              <w:right w:w="28" w:type="dxa"/>
            </w:tcMar>
            <w:vAlign w:val="center"/>
          </w:tcPr>
          <w:p w:rsidR="00EF509B" w:rsidRPr="00267836" w:rsidRDefault="00EF509B" w:rsidP="00AF1C83">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 xml:space="preserve">0.67 </w:t>
            </w:r>
            <w:r>
              <w:rPr>
                <w:rFonts w:eastAsia="SimSun"/>
                <w:iCs/>
                <w:szCs w:val="18"/>
                <w:bdr w:val="none" w:sz="0" w:space="0" w:color="auto" w:frame="1"/>
                <w:lang w:eastAsia="en-AU"/>
              </w:rPr>
              <w:br/>
            </w:r>
            <w:r w:rsidRPr="00267836">
              <w:rPr>
                <w:rFonts w:eastAsia="SimSun"/>
                <w:iCs/>
                <w:szCs w:val="18"/>
                <w:bdr w:val="none" w:sz="0" w:space="0" w:color="auto" w:frame="1"/>
                <w:lang w:eastAsia="en-AU"/>
              </w:rPr>
              <w:t>(0.38, 1.21)</w:t>
            </w:r>
            <w:r w:rsidRPr="00267836">
              <w:rPr>
                <w:rFonts w:eastAsia="SimSun"/>
                <w:iCs/>
                <w:szCs w:val="18"/>
                <w:bdr w:val="none" w:sz="0" w:space="0" w:color="auto" w:frame="1"/>
                <w:vertAlign w:val="superscript"/>
                <w:lang w:eastAsia="en-AU"/>
              </w:rPr>
              <w:t>a</w:t>
            </w:r>
          </w:p>
        </w:tc>
      </w:tr>
      <w:tr w:rsidR="00EF509B" w:rsidRPr="003A3555" w:rsidTr="00EF509B">
        <w:trPr>
          <w:trHeight w:val="20"/>
        </w:trPr>
        <w:tc>
          <w:tcPr>
            <w:tcW w:w="1411" w:type="pct"/>
            <w:shd w:val="clear" w:color="auto" w:fill="auto"/>
            <w:tcMar>
              <w:left w:w="28" w:type="dxa"/>
              <w:right w:w="28" w:type="dxa"/>
            </w:tcMar>
            <w:vAlign w:val="center"/>
          </w:tcPr>
          <w:p w:rsidR="00EF509B" w:rsidRPr="00267836" w:rsidRDefault="00EF509B" w:rsidP="00476EE6">
            <w:pPr>
              <w:pStyle w:val="Tabletext"/>
              <w:adjustRightInd w:val="0"/>
              <w:snapToGrid w:val="0"/>
              <w:rPr>
                <w:rFonts w:eastAsia="SimSun"/>
                <w:iCs/>
                <w:szCs w:val="18"/>
                <w:bdr w:val="none" w:sz="0" w:space="0" w:color="auto" w:frame="1"/>
                <w:lang w:eastAsia="en-AU"/>
              </w:rPr>
            </w:pPr>
            <w:r w:rsidRPr="00267836">
              <w:rPr>
                <w:rFonts w:eastAsia="SimSun"/>
                <w:iCs/>
                <w:szCs w:val="18"/>
                <w:bdr w:val="none" w:sz="0" w:space="0" w:color="auto" w:frame="1"/>
                <w:lang w:eastAsia="en-AU"/>
              </w:rPr>
              <w:t>Apr 2013 - ASCT subgroup</w:t>
            </w:r>
          </w:p>
        </w:tc>
        <w:tc>
          <w:tcPr>
            <w:tcW w:w="551" w:type="pct"/>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NR</w:t>
            </w:r>
          </w:p>
        </w:tc>
        <w:tc>
          <w:tcPr>
            <w:tcW w:w="866" w:type="pct"/>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NR</w:t>
            </w:r>
          </w:p>
        </w:tc>
        <w:tc>
          <w:tcPr>
            <w:tcW w:w="551" w:type="pct"/>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NR</w:t>
            </w:r>
          </w:p>
        </w:tc>
        <w:tc>
          <w:tcPr>
            <w:tcW w:w="869" w:type="pct"/>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NR</w:t>
            </w:r>
          </w:p>
        </w:tc>
        <w:tc>
          <w:tcPr>
            <w:tcW w:w="752" w:type="pct"/>
            <w:gridSpan w:val="2"/>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20"/>
              </w:rPr>
              <w:t xml:space="preserve">0.62 </w:t>
            </w:r>
            <w:r>
              <w:rPr>
                <w:rFonts w:eastAsia="SimSun"/>
                <w:iCs/>
                <w:szCs w:val="20"/>
              </w:rPr>
              <w:br/>
            </w:r>
            <w:r w:rsidRPr="00267836">
              <w:rPr>
                <w:rFonts w:eastAsia="SimSun"/>
                <w:iCs/>
                <w:szCs w:val="20"/>
              </w:rPr>
              <w:t>(0.24, 1.59)</w:t>
            </w:r>
          </w:p>
        </w:tc>
      </w:tr>
      <w:tr w:rsidR="00EF509B" w:rsidRPr="003A3555" w:rsidTr="00EF509B">
        <w:trPr>
          <w:trHeight w:val="20"/>
        </w:trPr>
        <w:tc>
          <w:tcPr>
            <w:tcW w:w="1411" w:type="pct"/>
            <w:tcBorders>
              <w:bottom w:val="single" w:sz="4" w:space="0" w:color="auto"/>
            </w:tcBorders>
            <w:shd w:val="clear" w:color="auto" w:fill="auto"/>
            <w:tcMar>
              <w:left w:w="28" w:type="dxa"/>
              <w:right w:w="28" w:type="dxa"/>
            </w:tcMar>
            <w:vAlign w:val="center"/>
          </w:tcPr>
          <w:p w:rsidR="00EF509B" w:rsidRPr="00267836" w:rsidRDefault="00EF509B" w:rsidP="00476EE6">
            <w:pPr>
              <w:pStyle w:val="Tabletext"/>
              <w:adjustRightInd w:val="0"/>
              <w:snapToGrid w:val="0"/>
              <w:rPr>
                <w:rFonts w:eastAsia="SimSun"/>
                <w:iCs/>
                <w:szCs w:val="18"/>
                <w:bdr w:val="none" w:sz="0" w:space="0" w:color="auto" w:frame="1"/>
                <w:lang w:eastAsia="en-AU"/>
              </w:rPr>
            </w:pPr>
            <w:r w:rsidRPr="00267836">
              <w:rPr>
                <w:rFonts w:eastAsia="SimSun"/>
                <w:iCs/>
                <w:szCs w:val="18"/>
                <w:bdr w:val="none" w:sz="0" w:space="0" w:color="auto" w:frame="1"/>
                <w:lang w:eastAsia="en-AU"/>
              </w:rPr>
              <w:t xml:space="preserve">Apr 2013 - Complement </w:t>
            </w:r>
          </w:p>
        </w:tc>
        <w:tc>
          <w:tcPr>
            <w:tcW w:w="551" w:type="pct"/>
            <w:tcBorders>
              <w:bottom w:val="single" w:sz="4" w:space="0" w:color="auto"/>
            </w:tcBorders>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NR</w:t>
            </w:r>
          </w:p>
        </w:tc>
        <w:tc>
          <w:tcPr>
            <w:tcW w:w="866" w:type="pct"/>
            <w:tcBorders>
              <w:bottom w:val="single" w:sz="4" w:space="0" w:color="auto"/>
            </w:tcBorders>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NR</w:t>
            </w:r>
          </w:p>
        </w:tc>
        <w:tc>
          <w:tcPr>
            <w:tcW w:w="551" w:type="pct"/>
            <w:tcBorders>
              <w:bottom w:val="single" w:sz="4" w:space="0" w:color="auto"/>
            </w:tcBorders>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NR</w:t>
            </w:r>
          </w:p>
        </w:tc>
        <w:tc>
          <w:tcPr>
            <w:tcW w:w="869" w:type="pct"/>
            <w:tcBorders>
              <w:bottom w:val="single" w:sz="4" w:space="0" w:color="auto"/>
            </w:tcBorders>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NR</w:t>
            </w:r>
          </w:p>
        </w:tc>
        <w:tc>
          <w:tcPr>
            <w:tcW w:w="752" w:type="pct"/>
            <w:gridSpan w:val="2"/>
            <w:tcBorders>
              <w:bottom w:val="single" w:sz="4" w:space="0" w:color="auto"/>
            </w:tcBorders>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 xml:space="preserve">0.68 </w:t>
            </w:r>
            <w:r>
              <w:rPr>
                <w:rFonts w:eastAsia="SimSun"/>
                <w:iCs/>
                <w:szCs w:val="18"/>
                <w:bdr w:val="none" w:sz="0" w:space="0" w:color="auto" w:frame="1"/>
                <w:lang w:eastAsia="en-AU"/>
              </w:rPr>
              <w:br/>
            </w:r>
            <w:r w:rsidRPr="00267836">
              <w:rPr>
                <w:rFonts w:eastAsia="SimSun"/>
                <w:iCs/>
                <w:szCs w:val="18"/>
                <w:bdr w:val="none" w:sz="0" w:space="0" w:color="auto" w:frame="1"/>
                <w:lang w:eastAsia="en-AU"/>
              </w:rPr>
              <w:t>(0.32, 1.45)</w:t>
            </w:r>
          </w:p>
        </w:tc>
      </w:tr>
      <w:tr w:rsidR="00EF509B" w:rsidRPr="003A3555" w:rsidTr="00EF509B">
        <w:trPr>
          <w:trHeight w:val="20"/>
        </w:trPr>
        <w:tc>
          <w:tcPr>
            <w:tcW w:w="1411" w:type="pct"/>
            <w:shd w:val="clear" w:color="auto" w:fill="auto"/>
            <w:tcMar>
              <w:left w:w="28" w:type="dxa"/>
              <w:right w:w="28" w:type="dxa"/>
            </w:tcMar>
            <w:vAlign w:val="center"/>
          </w:tcPr>
          <w:p w:rsidR="00EF509B" w:rsidRPr="00267836" w:rsidRDefault="00EF509B" w:rsidP="00476EE6">
            <w:pPr>
              <w:pStyle w:val="Tabletext"/>
              <w:adjustRightInd w:val="0"/>
              <w:snapToGrid w:val="0"/>
              <w:rPr>
                <w:rFonts w:eastAsia="SimSun"/>
                <w:iCs/>
                <w:szCs w:val="18"/>
                <w:bdr w:val="none" w:sz="0" w:space="0" w:color="auto" w:frame="1"/>
                <w:lang w:eastAsia="en-AU"/>
              </w:rPr>
            </w:pPr>
            <w:r w:rsidRPr="00267836">
              <w:rPr>
                <w:rFonts w:eastAsia="SimSun"/>
                <w:iCs/>
                <w:szCs w:val="18"/>
                <w:bdr w:val="none" w:sz="0" w:space="0" w:color="auto" w:frame="1"/>
                <w:lang w:eastAsia="en-AU"/>
              </w:rPr>
              <w:t xml:space="preserve">Mar 2015 - Whole </w:t>
            </w:r>
          </w:p>
        </w:tc>
        <w:tc>
          <w:tcPr>
            <w:tcW w:w="551" w:type="pct"/>
            <w:tcBorders>
              <w:bottom w:val="single" w:sz="4" w:space="0" w:color="auto"/>
            </w:tcBorders>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NR</w:t>
            </w:r>
          </w:p>
        </w:tc>
        <w:tc>
          <w:tcPr>
            <w:tcW w:w="866" w:type="pct"/>
            <w:tcBorders>
              <w:bottom w:val="single" w:sz="4" w:space="0" w:color="auto"/>
            </w:tcBorders>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NR</w:t>
            </w:r>
          </w:p>
        </w:tc>
        <w:tc>
          <w:tcPr>
            <w:tcW w:w="551" w:type="pct"/>
            <w:tcBorders>
              <w:bottom w:val="single" w:sz="4" w:space="0" w:color="auto"/>
            </w:tcBorders>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NR</w:t>
            </w:r>
          </w:p>
        </w:tc>
        <w:tc>
          <w:tcPr>
            <w:tcW w:w="869" w:type="pct"/>
            <w:tcBorders>
              <w:bottom w:val="single" w:sz="4" w:space="0" w:color="auto"/>
            </w:tcBorders>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NR</w:t>
            </w:r>
          </w:p>
        </w:tc>
        <w:tc>
          <w:tcPr>
            <w:tcW w:w="752" w:type="pct"/>
            <w:gridSpan w:val="2"/>
            <w:tcBorders>
              <w:bottom w:val="single" w:sz="4" w:space="0" w:color="auto"/>
            </w:tcBorders>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NR</w:t>
            </w:r>
          </w:p>
        </w:tc>
      </w:tr>
      <w:tr w:rsidR="00EF509B" w:rsidRPr="003A3555" w:rsidTr="00EF509B">
        <w:trPr>
          <w:trHeight w:val="20"/>
        </w:trPr>
        <w:tc>
          <w:tcPr>
            <w:tcW w:w="1411" w:type="pct"/>
            <w:tcBorders>
              <w:bottom w:val="single" w:sz="4" w:space="0" w:color="auto"/>
            </w:tcBorders>
            <w:shd w:val="clear" w:color="auto" w:fill="auto"/>
            <w:tcMar>
              <w:left w:w="28" w:type="dxa"/>
              <w:right w:w="28" w:type="dxa"/>
            </w:tcMar>
            <w:vAlign w:val="center"/>
          </w:tcPr>
          <w:p w:rsidR="00EF509B" w:rsidRPr="00267836" w:rsidRDefault="00EF509B" w:rsidP="00476EE6">
            <w:pPr>
              <w:pStyle w:val="Tabletext"/>
              <w:adjustRightInd w:val="0"/>
              <w:snapToGrid w:val="0"/>
              <w:rPr>
                <w:rFonts w:eastAsia="SimSun"/>
                <w:iCs/>
                <w:szCs w:val="18"/>
                <w:bdr w:val="none" w:sz="0" w:space="0" w:color="auto" w:frame="1"/>
                <w:lang w:eastAsia="en-AU"/>
              </w:rPr>
            </w:pPr>
            <w:r w:rsidRPr="00267836">
              <w:rPr>
                <w:rFonts w:eastAsia="SimSun"/>
                <w:iCs/>
                <w:szCs w:val="18"/>
                <w:bdr w:val="none" w:sz="0" w:space="0" w:color="auto" w:frame="1"/>
                <w:lang w:eastAsia="en-AU"/>
              </w:rPr>
              <w:t>Mar 2015 - ASCT subgroup</w:t>
            </w:r>
          </w:p>
        </w:tc>
        <w:tc>
          <w:tcPr>
            <w:tcW w:w="551" w:type="pct"/>
            <w:tcBorders>
              <w:bottom w:val="single" w:sz="4" w:space="0" w:color="auto"/>
            </w:tcBorders>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15/67 (22.4%)</w:t>
            </w:r>
          </w:p>
        </w:tc>
        <w:tc>
          <w:tcPr>
            <w:tcW w:w="866" w:type="pct"/>
            <w:tcBorders>
              <w:bottom w:val="single" w:sz="4" w:space="0" w:color="auto"/>
            </w:tcBorders>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 xml:space="preserve">68.5 </w:t>
            </w:r>
            <w:r w:rsidR="00AF1C83">
              <w:rPr>
                <w:rFonts w:eastAsia="SimSun"/>
                <w:iCs/>
                <w:szCs w:val="18"/>
                <w:bdr w:val="none" w:sz="0" w:space="0" w:color="auto" w:frame="1"/>
                <w:lang w:eastAsia="en-AU"/>
              </w:rPr>
              <w:br/>
            </w:r>
            <w:r w:rsidRPr="00267836">
              <w:rPr>
                <w:rFonts w:eastAsia="SimSun"/>
                <w:iCs/>
                <w:szCs w:val="18"/>
                <w:bdr w:val="none" w:sz="0" w:space="0" w:color="auto" w:frame="1"/>
                <w:lang w:eastAsia="en-AU"/>
              </w:rPr>
              <w:t>(66.9, NE)</w:t>
            </w:r>
          </w:p>
        </w:tc>
        <w:tc>
          <w:tcPr>
            <w:tcW w:w="551" w:type="pct"/>
            <w:tcBorders>
              <w:bottom w:val="single" w:sz="4" w:space="0" w:color="auto"/>
            </w:tcBorders>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23/68 (33.8%)</w:t>
            </w:r>
          </w:p>
        </w:tc>
        <w:tc>
          <w:tcPr>
            <w:tcW w:w="869" w:type="pct"/>
            <w:tcBorders>
              <w:bottom w:val="single" w:sz="4" w:space="0" w:color="auto"/>
            </w:tcBorders>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NR</w:t>
            </w:r>
            <w:r w:rsidRPr="00267836" w:rsidDel="00E200EA">
              <w:rPr>
                <w:rFonts w:eastAsia="SimSun"/>
                <w:iCs/>
                <w:szCs w:val="18"/>
                <w:bdr w:val="none" w:sz="0" w:space="0" w:color="auto" w:frame="1"/>
                <w:lang w:eastAsia="en-AU"/>
              </w:rPr>
              <w:t xml:space="preserve"> </w:t>
            </w:r>
            <w:r w:rsidR="00AF1C83">
              <w:rPr>
                <w:rFonts w:eastAsia="SimSun"/>
                <w:iCs/>
                <w:szCs w:val="18"/>
                <w:bdr w:val="none" w:sz="0" w:space="0" w:color="auto" w:frame="1"/>
                <w:lang w:eastAsia="en-AU"/>
              </w:rPr>
              <w:br/>
            </w:r>
            <w:r w:rsidRPr="00267836">
              <w:rPr>
                <w:rFonts w:eastAsia="SimSun"/>
                <w:iCs/>
                <w:szCs w:val="18"/>
                <w:bdr w:val="none" w:sz="0" w:space="0" w:color="auto" w:frame="1"/>
                <w:lang w:eastAsia="en-AU"/>
              </w:rPr>
              <w:t>(61.9, NE)</w:t>
            </w:r>
          </w:p>
        </w:tc>
        <w:tc>
          <w:tcPr>
            <w:tcW w:w="752" w:type="pct"/>
            <w:gridSpan w:val="2"/>
            <w:tcBorders>
              <w:bottom w:val="single" w:sz="4" w:space="0" w:color="auto"/>
            </w:tcBorders>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 xml:space="preserve">0.66 </w:t>
            </w:r>
            <w:r>
              <w:rPr>
                <w:rFonts w:eastAsia="SimSun"/>
                <w:iCs/>
                <w:szCs w:val="18"/>
                <w:bdr w:val="none" w:sz="0" w:space="0" w:color="auto" w:frame="1"/>
                <w:lang w:eastAsia="en-AU"/>
              </w:rPr>
              <w:br/>
            </w:r>
            <w:r w:rsidRPr="00267836">
              <w:rPr>
                <w:rFonts w:eastAsia="SimSun"/>
                <w:iCs/>
                <w:szCs w:val="18"/>
                <w:bdr w:val="none" w:sz="0" w:space="0" w:color="auto" w:frame="1"/>
                <w:lang w:eastAsia="en-AU"/>
              </w:rPr>
              <w:t>(0.34, 1.26)</w:t>
            </w:r>
          </w:p>
        </w:tc>
      </w:tr>
      <w:tr w:rsidR="00EF509B" w:rsidRPr="003A3555" w:rsidTr="00EF509B">
        <w:trPr>
          <w:trHeight w:val="20"/>
        </w:trPr>
        <w:tc>
          <w:tcPr>
            <w:tcW w:w="1411" w:type="pct"/>
            <w:shd w:val="clear" w:color="auto" w:fill="auto"/>
            <w:tcMar>
              <w:left w:w="28" w:type="dxa"/>
              <w:right w:w="28" w:type="dxa"/>
            </w:tcMar>
            <w:vAlign w:val="center"/>
          </w:tcPr>
          <w:p w:rsidR="00EF509B" w:rsidRPr="00267836" w:rsidRDefault="00EF509B" w:rsidP="00476EE6">
            <w:pPr>
              <w:pStyle w:val="Tabletext"/>
              <w:adjustRightInd w:val="0"/>
              <w:snapToGrid w:val="0"/>
              <w:rPr>
                <w:rFonts w:eastAsia="SimSun"/>
                <w:iCs/>
                <w:szCs w:val="18"/>
                <w:bdr w:val="none" w:sz="0" w:space="0" w:color="auto" w:frame="1"/>
                <w:lang w:eastAsia="en-AU"/>
              </w:rPr>
            </w:pPr>
            <w:r w:rsidRPr="00267836">
              <w:rPr>
                <w:rFonts w:eastAsia="SimSun"/>
                <w:iCs/>
                <w:szCs w:val="18"/>
                <w:bdr w:val="none" w:sz="0" w:space="0" w:color="auto" w:frame="1"/>
                <w:lang w:eastAsia="en-AU"/>
              </w:rPr>
              <w:t xml:space="preserve">Mar 2015 - Complement </w:t>
            </w:r>
          </w:p>
        </w:tc>
        <w:tc>
          <w:tcPr>
            <w:tcW w:w="551" w:type="pct"/>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NR</w:t>
            </w:r>
          </w:p>
        </w:tc>
        <w:tc>
          <w:tcPr>
            <w:tcW w:w="866" w:type="pct"/>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NR</w:t>
            </w:r>
          </w:p>
        </w:tc>
        <w:tc>
          <w:tcPr>
            <w:tcW w:w="551" w:type="pct"/>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NR</w:t>
            </w:r>
          </w:p>
        </w:tc>
        <w:tc>
          <w:tcPr>
            <w:tcW w:w="869" w:type="pct"/>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NR</w:t>
            </w:r>
          </w:p>
        </w:tc>
        <w:tc>
          <w:tcPr>
            <w:tcW w:w="752" w:type="pct"/>
            <w:gridSpan w:val="2"/>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NR</w:t>
            </w:r>
          </w:p>
        </w:tc>
      </w:tr>
      <w:tr w:rsidR="00EF509B" w:rsidRPr="003A3555" w:rsidTr="00EF509B">
        <w:trPr>
          <w:trHeight w:val="20"/>
        </w:trPr>
        <w:tc>
          <w:tcPr>
            <w:tcW w:w="1962" w:type="pct"/>
            <w:gridSpan w:val="2"/>
            <w:shd w:val="clear" w:color="auto" w:fill="auto"/>
            <w:tcMar>
              <w:left w:w="28" w:type="dxa"/>
              <w:right w:w="28" w:type="dxa"/>
            </w:tcMar>
          </w:tcPr>
          <w:p w:rsidR="00070C87" w:rsidRPr="00267836" w:rsidRDefault="00070C87" w:rsidP="00476EE6">
            <w:pPr>
              <w:pStyle w:val="Tabletext"/>
              <w:adjustRightInd w:val="0"/>
              <w:snapToGrid w:val="0"/>
              <w:rPr>
                <w:rFonts w:eastAsia="SimSun"/>
                <w:iCs/>
                <w:szCs w:val="18"/>
                <w:bdr w:val="none" w:sz="0" w:space="0" w:color="auto" w:frame="1"/>
                <w:lang w:eastAsia="en-AU"/>
              </w:rPr>
            </w:pPr>
            <w:r w:rsidRPr="00267836">
              <w:rPr>
                <w:b/>
              </w:rPr>
              <w:t>Myeloma XI</w:t>
            </w:r>
          </w:p>
        </w:tc>
        <w:tc>
          <w:tcPr>
            <w:tcW w:w="866" w:type="pct"/>
            <w:shd w:val="clear" w:color="auto" w:fill="auto"/>
          </w:tcPr>
          <w:p w:rsidR="00070C87" w:rsidRPr="00267836" w:rsidRDefault="00070C87" w:rsidP="008D7310">
            <w:pPr>
              <w:pStyle w:val="Tabletext"/>
              <w:adjustRightInd w:val="0"/>
              <w:snapToGrid w:val="0"/>
              <w:jc w:val="center"/>
              <w:rPr>
                <w:rFonts w:eastAsia="SimSun"/>
                <w:iCs/>
                <w:szCs w:val="18"/>
                <w:bdr w:val="none" w:sz="0" w:space="0" w:color="auto" w:frame="1"/>
                <w:lang w:eastAsia="en-AU"/>
              </w:rPr>
            </w:pPr>
            <w:r w:rsidRPr="00267836">
              <w:rPr>
                <w:b/>
              </w:rPr>
              <w:t>3-year rate, %</w:t>
            </w:r>
          </w:p>
        </w:tc>
        <w:tc>
          <w:tcPr>
            <w:tcW w:w="551" w:type="pct"/>
            <w:shd w:val="clear" w:color="auto" w:fill="auto"/>
          </w:tcPr>
          <w:p w:rsidR="00070C87" w:rsidRPr="00267836" w:rsidRDefault="00070C87" w:rsidP="008D7310">
            <w:pPr>
              <w:pStyle w:val="Tabletext"/>
              <w:adjustRightInd w:val="0"/>
              <w:snapToGrid w:val="0"/>
              <w:jc w:val="center"/>
              <w:rPr>
                <w:rFonts w:eastAsia="SimSun"/>
                <w:iCs/>
                <w:szCs w:val="18"/>
                <w:bdr w:val="none" w:sz="0" w:space="0" w:color="auto" w:frame="1"/>
                <w:lang w:eastAsia="en-AU"/>
              </w:rPr>
            </w:pPr>
          </w:p>
        </w:tc>
        <w:tc>
          <w:tcPr>
            <w:tcW w:w="869" w:type="pct"/>
            <w:shd w:val="clear" w:color="auto" w:fill="auto"/>
          </w:tcPr>
          <w:p w:rsidR="00070C87" w:rsidRPr="00267836" w:rsidRDefault="00070C87" w:rsidP="008D7310">
            <w:pPr>
              <w:pStyle w:val="Tabletext"/>
              <w:adjustRightInd w:val="0"/>
              <w:snapToGrid w:val="0"/>
              <w:jc w:val="center"/>
              <w:rPr>
                <w:rFonts w:eastAsia="SimSun"/>
                <w:iCs/>
                <w:szCs w:val="18"/>
                <w:bdr w:val="none" w:sz="0" w:space="0" w:color="auto" w:frame="1"/>
                <w:lang w:eastAsia="en-AU"/>
              </w:rPr>
            </w:pPr>
            <w:r w:rsidRPr="00267836">
              <w:rPr>
                <w:b/>
              </w:rPr>
              <w:t>3-year rate, %</w:t>
            </w:r>
          </w:p>
        </w:tc>
        <w:tc>
          <w:tcPr>
            <w:tcW w:w="752" w:type="pct"/>
            <w:gridSpan w:val="2"/>
            <w:shd w:val="clear" w:color="auto" w:fill="auto"/>
          </w:tcPr>
          <w:p w:rsidR="00070C87" w:rsidRPr="00267836" w:rsidRDefault="00070C87" w:rsidP="00476EE6">
            <w:pPr>
              <w:pStyle w:val="Tabletext"/>
              <w:adjustRightInd w:val="0"/>
              <w:snapToGrid w:val="0"/>
              <w:rPr>
                <w:rFonts w:eastAsia="SimSun"/>
                <w:iCs/>
                <w:szCs w:val="18"/>
                <w:bdr w:val="none" w:sz="0" w:space="0" w:color="auto" w:frame="1"/>
                <w:lang w:eastAsia="en-AU"/>
              </w:rPr>
            </w:pPr>
          </w:p>
        </w:tc>
      </w:tr>
      <w:tr w:rsidR="00EF509B" w:rsidRPr="003A3555" w:rsidTr="00EF509B">
        <w:trPr>
          <w:trHeight w:val="20"/>
        </w:trPr>
        <w:tc>
          <w:tcPr>
            <w:tcW w:w="1411" w:type="pct"/>
            <w:shd w:val="clear" w:color="auto" w:fill="auto"/>
            <w:tcMar>
              <w:left w:w="28" w:type="dxa"/>
              <w:right w:w="28" w:type="dxa"/>
            </w:tcMar>
            <w:vAlign w:val="center"/>
          </w:tcPr>
          <w:p w:rsidR="00EF509B" w:rsidRPr="00267836" w:rsidRDefault="00EF509B" w:rsidP="00476EE6">
            <w:pPr>
              <w:widowControl/>
              <w:jc w:val="left"/>
              <w:rPr>
                <w:rFonts w:ascii="Arial Narrow" w:eastAsia="SimSun" w:hAnsi="Arial Narrow"/>
                <w:iCs/>
                <w:sz w:val="20"/>
                <w:szCs w:val="20"/>
                <w:bdr w:val="none" w:sz="0" w:space="0" w:color="auto" w:frame="1"/>
                <w:lang w:eastAsia="en-AU"/>
              </w:rPr>
            </w:pPr>
            <w:r w:rsidRPr="00267836">
              <w:rPr>
                <w:rFonts w:ascii="Arial Narrow" w:hAnsi="Arial Narrow" w:cs="Times New Roman"/>
                <w:snapToGrid/>
                <w:sz w:val="20"/>
                <w:szCs w:val="20"/>
              </w:rPr>
              <w:t xml:space="preserve">Whole </w:t>
            </w:r>
            <w:r w:rsidRPr="00267836">
              <w:rPr>
                <w:rFonts w:ascii="Arial Narrow" w:hAnsi="Arial Narrow"/>
                <w:sz w:val="20"/>
                <w:szCs w:val="20"/>
              </w:rPr>
              <w:t>(Sept-2017)</w:t>
            </w:r>
          </w:p>
        </w:tc>
        <w:tc>
          <w:tcPr>
            <w:tcW w:w="551" w:type="pct"/>
            <w:shd w:val="clear" w:color="auto" w:fill="auto"/>
            <w:tcMar>
              <w:left w:w="28" w:type="dxa"/>
              <w:right w:w="28" w:type="dxa"/>
            </w:tcMar>
            <w:vAlign w:val="center"/>
          </w:tcPr>
          <w:p w:rsidR="00EF509B" w:rsidRPr="00267836" w:rsidRDefault="00EF509B" w:rsidP="00476EE6">
            <w:pPr>
              <w:pStyle w:val="Tabletext"/>
              <w:adjustRightInd w:val="0"/>
              <w:snapToGrid w:val="0"/>
              <w:jc w:val="center"/>
            </w:pPr>
            <w:r w:rsidRPr="00267836">
              <w:t>NR</w:t>
            </w:r>
          </w:p>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t>(21.4%)</w:t>
            </w:r>
          </w:p>
        </w:tc>
        <w:tc>
          <w:tcPr>
            <w:tcW w:w="866" w:type="pct"/>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t>78.6%</w:t>
            </w:r>
          </w:p>
        </w:tc>
        <w:tc>
          <w:tcPr>
            <w:tcW w:w="551" w:type="pct"/>
            <w:shd w:val="clear" w:color="auto" w:fill="auto"/>
            <w:tcMar>
              <w:left w:w="28" w:type="dxa"/>
              <w:right w:w="28" w:type="dxa"/>
            </w:tcMar>
            <w:vAlign w:val="center"/>
          </w:tcPr>
          <w:p w:rsidR="00EF509B" w:rsidRPr="00267836" w:rsidRDefault="00EF509B" w:rsidP="00476EE6">
            <w:pPr>
              <w:pStyle w:val="Tabletext"/>
              <w:adjustRightInd w:val="0"/>
              <w:snapToGrid w:val="0"/>
              <w:jc w:val="center"/>
            </w:pPr>
            <w:r w:rsidRPr="00267836">
              <w:t>NR</w:t>
            </w:r>
          </w:p>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t>(24.2%)</w:t>
            </w:r>
          </w:p>
        </w:tc>
        <w:tc>
          <w:tcPr>
            <w:tcW w:w="869" w:type="pct"/>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t>75.8%</w:t>
            </w:r>
          </w:p>
        </w:tc>
        <w:tc>
          <w:tcPr>
            <w:tcW w:w="752" w:type="pct"/>
            <w:gridSpan w:val="2"/>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t xml:space="preserve">0.87 </w:t>
            </w:r>
            <w:r>
              <w:br/>
            </w:r>
            <w:r w:rsidRPr="00267836">
              <w:t>(0.73, 1.05)</w:t>
            </w:r>
          </w:p>
        </w:tc>
      </w:tr>
      <w:tr w:rsidR="00EF509B" w:rsidRPr="003A3555" w:rsidTr="00EF509B">
        <w:trPr>
          <w:trHeight w:val="20"/>
        </w:trPr>
        <w:tc>
          <w:tcPr>
            <w:tcW w:w="1411" w:type="pct"/>
            <w:shd w:val="clear" w:color="auto" w:fill="auto"/>
            <w:tcMar>
              <w:left w:w="28" w:type="dxa"/>
              <w:right w:w="28" w:type="dxa"/>
            </w:tcMar>
            <w:vAlign w:val="center"/>
          </w:tcPr>
          <w:p w:rsidR="00EF509B" w:rsidRPr="00267836" w:rsidRDefault="00EF509B" w:rsidP="00476EE6">
            <w:pPr>
              <w:pStyle w:val="Tabletext"/>
              <w:adjustRightInd w:val="0"/>
              <w:snapToGrid w:val="0"/>
              <w:rPr>
                <w:rFonts w:eastAsia="SimSun"/>
                <w:iCs/>
                <w:szCs w:val="18"/>
                <w:bdr w:val="none" w:sz="0" w:space="0" w:color="auto" w:frame="1"/>
                <w:lang w:eastAsia="en-AU"/>
              </w:rPr>
            </w:pPr>
            <w:r w:rsidRPr="00267836">
              <w:t>ASCT subgroup (Sept-2017)</w:t>
            </w:r>
          </w:p>
        </w:tc>
        <w:tc>
          <w:tcPr>
            <w:tcW w:w="551" w:type="pct"/>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20"/>
              </w:rPr>
            </w:pPr>
            <w:r w:rsidRPr="00267836">
              <w:rPr>
                <w:rFonts w:eastAsia="SimSun"/>
                <w:iCs/>
                <w:szCs w:val="20"/>
              </w:rPr>
              <w:t>NR</w:t>
            </w:r>
          </w:p>
          <w:p w:rsidR="00EF509B" w:rsidRPr="00267836" w:rsidRDefault="00EF509B" w:rsidP="00476EE6">
            <w:pPr>
              <w:pStyle w:val="Tabletext"/>
              <w:adjustRightInd w:val="0"/>
              <w:snapToGrid w:val="0"/>
              <w:jc w:val="center"/>
              <w:rPr>
                <w:rFonts w:eastAsia="SimSun"/>
                <w:iCs/>
                <w:szCs w:val="20"/>
                <w:bdr w:val="none" w:sz="0" w:space="0" w:color="auto" w:frame="1"/>
                <w:lang w:eastAsia="en-AU"/>
              </w:rPr>
            </w:pPr>
            <w:r w:rsidRPr="00267836">
              <w:rPr>
                <w:rFonts w:eastAsia="SimSun"/>
                <w:iCs/>
                <w:szCs w:val="20"/>
              </w:rPr>
              <w:t>(12.5%)</w:t>
            </w:r>
          </w:p>
        </w:tc>
        <w:tc>
          <w:tcPr>
            <w:tcW w:w="866" w:type="pct"/>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20"/>
                <w:bdr w:val="none" w:sz="0" w:space="0" w:color="auto" w:frame="1"/>
                <w:lang w:eastAsia="en-AU"/>
              </w:rPr>
            </w:pPr>
            <w:r w:rsidRPr="00267836">
              <w:rPr>
                <w:rFonts w:eastAsia="SimSun"/>
                <w:iCs/>
                <w:szCs w:val="20"/>
              </w:rPr>
              <w:t>87.5%</w:t>
            </w:r>
          </w:p>
        </w:tc>
        <w:tc>
          <w:tcPr>
            <w:tcW w:w="551" w:type="pct"/>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20"/>
              </w:rPr>
            </w:pPr>
            <w:r w:rsidRPr="00267836">
              <w:rPr>
                <w:rFonts w:eastAsia="SimSun"/>
                <w:iCs/>
                <w:szCs w:val="20"/>
              </w:rPr>
              <w:t>NR</w:t>
            </w:r>
          </w:p>
          <w:p w:rsidR="00EF509B" w:rsidRPr="00267836" w:rsidRDefault="00EF509B" w:rsidP="00476EE6">
            <w:pPr>
              <w:pStyle w:val="Tabletext"/>
              <w:adjustRightInd w:val="0"/>
              <w:snapToGrid w:val="0"/>
              <w:jc w:val="center"/>
              <w:rPr>
                <w:rFonts w:eastAsia="SimSun"/>
                <w:iCs/>
                <w:szCs w:val="20"/>
                <w:bdr w:val="none" w:sz="0" w:space="0" w:color="auto" w:frame="1"/>
                <w:lang w:eastAsia="en-AU"/>
              </w:rPr>
            </w:pPr>
            <w:r w:rsidRPr="00267836">
              <w:rPr>
                <w:rFonts w:eastAsia="SimSun"/>
                <w:iCs/>
                <w:szCs w:val="20"/>
              </w:rPr>
              <w:t>(19.8%)</w:t>
            </w:r>
          </w:p>
        </w:tc>
        <w:tc>
          <w:tcPr>
            <w:tcW w:w="869" w:type="pct"/>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20"/>
                <w:bdr w:val="none" w:sz="0" w:space="0" w:color="auto" w:frame="1"/>
                <w:lang w:eastAsia="en-AU"/>
              </w:rPr>
            </w:pPr>
            <w:r w:rsidRPr="00267836">
              <w:rPr>
                <w:rFonts w:eastAsia="SimSun"/>
                <w:iCs/>
                <w:szCs w:val="20"/>
              </w:rPr>
              <w:t>80.2%</w:t>
            </w:r>
          </w:p>
        </w:tc>
        <w:tc>
          <w:tcPr>
            <w:tcW w:w="752" w:type="pct"/>
            <w:gridSpan w:val="2"/>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20"/>
                <w:bdr w:val="none" w:sz="0" w:space="0" w:color="auto" w:frame="1"/>
                <w:lang w:eastAsia="en-AU"/>
              </w:rPr>
            </w:pPr>
            <w:r w:rsidRPr="00267836">
              <w:rPr>
                <w:rFonts w:eastAsia="SimSun"/>
                <w:szCs w:val="20"/>
                <w:bdr w:val="none" w:sz="0" w:space="0" w:color="auto" w:frame="1"/>
              </w:rPr>
              <w:t xml:space="preserve">0.69 </w:t>
            </w:r>
            <w:r>
              <w:rPr>
                <w:rFonts w:eastAsia="SimSun"/>
                <w:szCs w:val="20"/>
                <w:bdr w:val="none" w:sz="0" w:space="0" w:color="auto" w:frame="1"/>
              </w:rPr>
              <w:br/>
            </w:r>
            <w:r w:rsidRPr="00267836">
              <w:rPr>
                <w:rFonts w:eastAsia="SimSun"/>
                <w:szCs w:val="20"/>
                <w:bdr w:val="none" w:sz="0" w:space="0" w:color="auto" w:frame="1"/>
              </w:rPr>
              <w:t>(0.52, 0.93)</w:t>
            </w:r>
          </w:p>
        </w:tc>
      </w:tr>
      <w:tr w:rsidR="00EF509B" w:rsidRPr="003A3555" w:rsidTr="00EF509B">
        <w:trPr>
          <w:trHeight w:val="20"/>
        </w:trPr>
        <w:tc>
          <w:tcPr>
            <w:tcW w:w="1411" w:type="pct"/>
            <w:tcBorders>
              <w:bottom w:val="single" w:sz="4" w:space="0" w:color="auto"/>
            </w:tcBorders>
            <w:shd w:val="clear" w:color="auto" w:fill="auto"/>
            <w:tcMar>
              <w:left w:w="28" w:type="dxa"/>
              <w:right w:w="28" w:type="dxa"/>
            </w:tcMar>
            <w:vAlign w:val="center"/>
          </w:tcPr>
          <w:p w:rsidR="00EF509B" w:rsidRPr="00267836" w:rsidRDefault="00EF509B" w:rsidP="00476EE6">
            <w:pPr>
              <w:pStyle w:val="Tabletext"/>
              <w:adjustRightInd w:val="0"/>
              <w:snapToGrid w:val="0"/>
              <w:rPr>
                <w:rFonts w:eastAsia="SimSun"/>
                <w:iCs/>
                <w:szCs w:val="18"/>
                <w:bdr w:val="none" w:sz="0" w:space="0" w:color="auto" w:frame="1"/>
                <w:lang w:eastAsia="en-AU"/>
              </w:rPr>
            </w:pPr>
            <w:r w:rsidRPr="00267836">
              <w:t>Complement (Sept-2017)</w:t>
            </w:r>
          </w:p>
        </w:tc>
        <w:tc>
          <w:tcPr>
            <w:tcW w:w="551" w:type="pct"/>
            <w:tcBorders>
              <w:bottom w:val="single" w:sz="4" w:space="0" w:color="auto"/>
            </w:tcBorders>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NR</w:t>
            </w:r>
          </w:p>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(49.2%)</w:t>
            </w:r>
          </w:p>
        </w:tc>
        <w:tc>
          <w:tcPr>
            <w:tcW w:w="866" w:type="pct"/>
            <w:tcBorders>
              <w:bottom w:val="single" w:sz="4" w:space="0" w:color="auto"/>
            </w:tcBorders>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50.8%</w:t>
            </w:r>
          </w:p>
        </w:tc>
        <w:tc>
          <w:tcPr>
            <w:tcW w:w="551" w:type="pct"/>
            <w:tcBorders>
              <w:bottom w:val="single" w:sz="4" w:space="0" w:color="auto"/>
            </w:tcBorders>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NR</w:t>
            </w:r>
          </w:p>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(42.8%)</w:t>
            </w:r>
          </w:p>
        </w:tc>
        <w:tc>
          <w:tcPr>
            <w:tcW w:w="869" w:type="pct"/>
            <w:tcBorders>
              <w:bottom w:val="single" w:sz="4" w:space="0" w:color="auto"/>
            </w:tcBorders>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iCs/>
                <w:szCs w:val="18"/>
                <w:bdr w:val="none" w:sz="0" w:space="0" w:color="auto" w:frame="1"/>
                <w:lang w:eastAsia="en-AU"/>
              </w:rPr>
              <w:t>57.2%</w:t>
            </w:r>
          </w:p>
        </w:tc>
        <w:tc>
          <w:tcPr>
            <w:tcW w:w="752" w:type="pct"/>
            <w:gridSpan w:val="2"/>
            <w:tcBorders>
              <w:bottom w:val="single" w:sz="4" w:space="0" w:color="auto"/>
            </w:tcBorders>
            <w:shd w:val="clear" w:color="auto" w:fill="auto"/>
            <w:tcMar>
              <w:left w:w="28" w:type="dxa"/>
              <w:right w:w="28" w:type="dxa"/>
            </w:tcMar>
            <w:vAlign w:val="center"/>
          </w:tcPr>
          <w:p w:rsidR="00EF509B" w:rsidRPr="00267836" w:rsidRDefault="00EF509B" w:rsidP="00476EE6">
            <w:pPr>
              <w:pStyle w:val="Tabletext"/>
              <w:adjustRightInd w:val="0"/>
              <w:snapToGrid w:val="0"/>
              <w:jc w:val="center"/>
              <w:rPr>
                <w:rFonts w:eastAsia="SimSun"/>
                <w:iCs/>
                <w:szCs w:val="18"/>
                <w:bdr w:val="none" w:sz="0" w:space="0" w:color="auto" w:frame="1"/>
                <w:lang w:eastAsia="en-AU"/>
              </w:rPr>
            </w:pPr>
            <w:r w:rsidRPr="00267836">
              <w:rPr>
                <w:rFonts w:eastAsia="SimSun"/>
                <w:bdr w:val="none" w:sz="0" w:space="0" w:color="auto" w:frame="1"/>
              </w:rPr>
              <w:t xml:space="preserve">1.02 </w:t>
            </w:r>
            <w:r>
              <w:rPr>
                <w:rFonts w:eastAsia="SimSun"/>
                <w:bdr w:val="none" w:sz="0" w:space="0" w:color="auto" w:frame="1"/>
              </w:rPr>
              <w:br/>
            </w:r>
            <w:r w:rsidRPr="00267836">
              <w:rPr>
                <w:rFonts w:eastAsia="SimSun"/>
                <w:bdr w:val="none" w:sz="0" w:space="0" w:color="auto" w:frame="1"/>
              </w:rPr>
              <w:t>(0.80, 1.29)</w:t>
            </w:r>
          </w:p>
        </w:tc>
      </w:tr>
    </w:tbl>
    <w:p w:rsidR="005E7102" w:rsidRPr="003A3555" w:rsidRDefault="005E7102" w:rsidP="00476EE6">
      <w:pPr>
        <w:pStyle w:val="TableFooter"/>
        <w:widowControl/>
      </w:pPr>
      <w:r w:rsidRPr="003A3555">
        <w:t>ASCT</w:t>
      </w:r>
      <w:r w:rsidR="00AE2CD7">
        <w:t xml:space="preserve"> </w:t>
      </w:r>
      <w:r w:rsidRPr="003A3555">
        <w:t>= autologous stem cell transplant; BSC</w:t>
      </w:r>
      <w:r w:rsidR="00AE2CD7">
        <w:t xml:space="preserve"> </w:t>
      </w:r>
      <w:r w:rsidRPr="003A3555">
        <w:t>=</w:t>
      </w:r>
      <w:r w:rsidR="00AE2CD7">
        <w:t xml:space="preserve"> </w:t>
      </w:r>
      <w:r w:rsidRPr="003A3555">
        <w:t>best supportive care; NE</w:t>
      </w:r>
      <w:r w:rsidR="00AE2CD7">
        <w:t xml:space="preserve"> </w:t>
      </w:r>
      <w:r w:rsidRPr="003A3555">
        <w:t>=</w:t>
      </w:r>
      <w:r w:rsidR="00AE2CD7">
        <w:t xml:space="preserve"> </w:t>
      </w:r>
      <w:r w:rsidRPr="003A3555">
        <w:t>not evaluable; NR = not reported; OS</w:t>
      </w:r>
      <w:r w:rsidR="00AE2CD7">
        <w:t xml:space="preserve"> </w:t>
      </w:r>
      <w:r w:rsidRPr="003A3555">
        <w:t xml:space="preserve">= overall survival </w:t>
      </w:r>
    </w:p>
    <w:p w:rsidR="005E7102" w:rsidRPr="00AF1C83" w:rsidRDefault="005E7102" w:rsidP="00476EE6">
      <w:pPr>
        <w:widowControl/>
        <w:rPr>
          <w:rFonts w:ascii="Arial Narrow" w:hAnsi="Arial Narrow"/>
          <w:color w:val="000000" w:themeColor="text1"/>
          <w:sz w:val="18"/>
          <w:szCs w:val="18"/>
        </w:rPr>
      </w:pPr>
      <w:r w:rsidRPr="003A3555">
        <w:rPr>
          <w:rFonts w:ascii="Arial Narrow" w:hAnsi="Arial Narrow"/>
          <w:color w:val="000000" w:themeColor="text1"/>
          <w:sz w:val="18"/>
          <w:szCs w:val="18"/>
        </w:rPr>
        <w:t xml:space="preserve">Source: Table 2.5.2 p.85 and Table 2.6.2, p.110 of the March 2018 submission, Table 2-3, p.28 of the resubmission, Slide 4 of Attachment 5 of the resubmission (Jones and Jackson (ASH 2017)), </w:t>
      </w:r>
      <w:r w:rsidRPr="00AF1C83">
        <w:rPr>
          <w:rFonts w:ascii="Arial Narrow" w:hAnsi="Arial Narrow"/>
          <w:color w:val="000000" w:themeColor="text1"/>
          <w:sz w:val="18"/>
          <w:szCs w:val="18"/>
        </w:rPr>
        <w:t>Morgan 2012</w:t>
      </w:r>
      <w:r w:rsidR="006B5EE5">
        <w:rPr>
          <w:rFonts w:ascii="Arial Narrow" w:hAnsi="Arial Narrow"/>
          <w:color w:val="000000" w:themeColor="text1"/>
          <w:sz w:val="18"/>
          <w:szCs w:val="18"/>
        </w:rPr>
        <w:t>; and calculated from source data</w:t>
      </w:r>
    </w:p>
    <w:p w:rsidR="005E7102" w:rsidRPr="003A3555" w:rsidRDefault="005E7102" w:rsidP="00476EE6">
      <w:pPr>
        <w:widowControl/>
        <w:rPr>
          <w:rFonts w:ascii="Arial Narrow" w:hAnsi="Arial Narrow"/>
          <w:i/>
          <w:color w:val="000000" w:themeColor="text1"/>
          <w:sz w:val="18"/>
          <w:szCs w:val="18"/>
        </w:rPr>
      </w:pPr>
    </w:p>
    <w:p w:rsidR="005E7102" w:rsidRPr="003A3555" w:rsidRDefault="005E7102" w:rsidP="00476EE6">
      <w:pPr>
        <w:keepNext/>
        <w:widowControl/>
        <w:rPr>
          <w:rFonts w:ascii="Arial Narrow" w:hAnsi="Arial Narrow"/>
          <w:b/>
          <w:color w:val="000000" w:themeColor="text1"/>
          <w:sz w:val="20"/>
          <w:szCs w:val="20"/>
        </w:rPr>
      </w:pPr>
      <w:r w:rsidRPr="003A3555">
        <w:rPr>
          <w:rStyle w:val="CommentReference"/>
          <w:color w:val="000000" w:themeColor="text1"/>
        </w:rPr>
        <w:lastRenderedPageBreak/>
        <w:t xml:space="preserve">Figure 4: </w:t>
      </w:r>
      <w:r w:rsidRPr="003A3555">
        <w:rPr>
          <w:rFonts w:ascii="Arial Narrow" w:hAnsi="Arial Narrow"/>
          <w:b/>
          <w:color w:val="000000" w:themeColor="text1"/>
          <w:sz w:val="20"/>
          <w:szCs w:val="20"/>
        </w:rPr>
        <w:t xml:space="preserve">Kaplan-Meier curve of OS with </w:t>
      </w:r>
      <w:proofErr w:type="spellStart"/>
      <w:r w:rsidRPr="003A3555">
        <w:rPr>
          <w:rFonts w:ascii="Arial Narrow" w:hAnsi="Arial Narrow"/>
          <w:b/>
          <w:color w:val="000000" w:themeColor="text1"/>
          <w:sz w:val="20"/>
          <w:szCs w:val="20"/>
        </w:rPr>
        <w:t>lenalidomide</w:t>
      </w:r>
      <w:proofErr w:type="spellEnd"/>
      <w:r w:rsidRPr="003A3555">
        <w:rPr>
          <w:rFonts w:ascii="Arial Narrow" w:hAnsi="Arial Narrow"/>
          <w:b/>
          <w:color w:val="000000" w:themeColor="text1"/>
          <w:sz w:val="20"/>
          <w:szCs w:val="20"/>
        </w:rPr>
        <w:t xml:space="preserve"> post ASCT for Myeloma XI (data cut-off Sept-17)</w:t>
      </w:r>
    </w:p>
    <w:p w:rsidR="005E7102" w:rsidRPr="003A3555" w:rsidRDefault="005E7102" w:rsidP="00476EE6">
      <w:pPr>
        <w:widowControl/>
        <w:rPr>
          <w:rFonts w:ascii="Arial Narrow" w:hAnsi="Arial Narrow"/>
          <w:color w:val="000000" w:themeColor="text1"/>
          <w:sz w:val="18"/>
          <w:szCs w:val="18"/>
        </w:rPr>
      </w:pPr>
      <w:r w:rsidRPr="003A3555">
        <w:rPr>
          <w:noProof/>
          <w:snapToGrid/>
          <w:color w:val="000000" w:themeColor="text1"/>
          <w:lang w:eastAsia="en-AU"/>
        </w:rPr>
        <w:drawing>
          <wp:inline distT="0" distB="0" distL="0" distR="0" wp14:anchorId="4CA65A25" wp14:editId="24DD0EE4">
            <wp:extent cx="4914900" cy="3381139"/>
            <wp:effectExtent l="19050" t="19050" r="19050" b="10160"/>
            <wp:docPr id="5" name="Picture 5" title="Figure 4: Kaplan-Meier curve of OS with lenalidomide post ASCT for Myeloma XI (data cut-off Sept-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8139"/>
                    <a:stretch/>
                  </pic:blipFill>
                  <pic:spPr bwMode="auto">
                    <a:xfrm>
                      <a:off x="0" y="0"/>
                      <a:ext cx="4992198" cy="343431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5E7102" w:rsidRPr="003A3555" w:rsidRDefault="005E7102" w:rsidP="00476EE6">
      <w:pPr>
        <w:widowControl/>
        <w:rPr>
          <w:rFonts w:ascii="Arial Narrow" w:hAnsi="Arial Narrow"/>
          <w:color w:val="000000" w:themeColor="text1"/>
          <w:sz w:val="18"/>
          <w:szCs w:val="18"/>
        </w:rPr>
      </w:pPr>
      <w:r w:rsidRPr="003A3555">
        <w:rPr>
          <w:rFonts w:ascii="Arial Narrow" w:hAnsi="Arial Narrow"/>
          <w:color w:val="000000" w:themeColor="text1"/>
          <w:sz w:val="18"/>
          <w:szCs w:val="18"/>
        </w:rPr>
        <w:t>ASCT</w:t>
      </w:r>
      <w:r w:rsidR="00070C87">
        <w:rPr>
          <w:rFonts w:ascii="Arial Narrow" w:hAnsi="Arial Narrow"/>
          <w:color w:val="000000" w:themeColor="text1"/>
          <w:sz w:val="18"/>
          <w:szCs w:val="18"/>
        </w:rPr>
        <w:t xml:space="preserve"> </w:t>
      </w:r>
      <w:r w:rsidRPr="003A3555">
        <w:rPr>
          <w:rFonts w:ascii="Arial Narrow" w:hAnsi="Arial Narrow"/>
          <w:color w:val="000000" w:themeColor="text1"/>
          <w:sz w:val="18"/>
          <w:szCs w:val="18"/>
        </w:rPr>
        <w:t>=</w:t>
      </w:r>
      <w:r w:rsidR="00070C87">
        <w:rPr>
          <w:rFonts w:ascii="Arial Narrow" w:hAnsi="Arial Narrow"/>
          <w:color w:val="000000" w:themeColor="text1"/>
          <w:sz w:val="18"/>
          <w:szCs w:val="18"/>
        </w:rPr>
        <w:t xml:space="preserve"> </w:t>
      </w:r>
      <w:r w:rsidRPr="003A3555">
        <w:rPr>
          <w:rFonts w:ascii="Arial Narrow" w:hAnsi="Arial Narrow"/>
          <w:color w:val="000000" w:themeColor="text1"/>
          <w:sz w:val="18"/>
          <w:szCs w:val="18"/>
        </w:rPr>
        <w:t>autologous stem cell transplant; CI</w:t>
      </w:r>
      <w:r w:rsidR="00070C87">
        <w:rPr>
          <w:rFonts w:ascii="Arial Narrow" w:hAnsi="Arial Narrow"/>
          <w:color w:val="000000" w:themeColor="text1"/>
          <w:sz w:val="18"/>
          <w:szCs w:val="18"/>
        </w:rPr>
        <w:t xml:space="preserve"> </w:t>
      </w:r>
      <w:r w:rsidRPr="003A3555">
        <w:rPr>
          <w:rFonts w:ascii="Arial Narrow" w:hAnsi="Arial Narrow"/>
          <w:color w:val="000000" w:themeColor="text1"/>
          <w:sz w:val="18"/>
          <w:szCs w:val="18"/>
        </w:rPr>
        <w:t>=</w:t>
      </w:r>
      <w:r w:rsidR="00070C87">
        <w:rPr>
          <w:rFonts w:ascii="Arial Narrow" w:hAnsi="Arial Narrow"/>
          <w:color w:val="000000" w:themeColor="text1"/>
          <w:sz w:val="18"/>
          <w:szCs w:val="18"/>
        </w:rPr>
        <w:t xml:space="preserve"> </w:t>
      </w:r>
      <w:r w:rsidRPr="003A3555">
        <w:rPr>
          <w:rFonts w:ascii="Arial Narrow" w:hAnsi="Arial Narrow"/>
          <w:color w:val="000000" w:themeColor="text1"/>
          <w:sz w:val="18"/>
          <w:szCs w:val="18"/>
        </w:rPr>
        <w:t xml:space="preserve">confidence interval; </w:t>
      </w:r>
      <w:r w:rsidR="00267836">
        <w:rPr>
          <w:rFonts w:ascii="Arial Narrow" w:hAnsi="Arial Narrow"/>
          <w:color w:val="000000" w:themeColor="text1"/>
          <w:sz w:val="18"/>
          <w:szCs w:val="18"/>
        </w:rPr>
        <w:t xml:space="preserve">ITT = intention-to-treat; LEN = </w:t>
      </w:r>
      <w:proofErr w:type="spellStart"/>
      <w:r w:rsidR="00267836">
        <w:rPr>
          <w:rFonts w:ascii="Arial Narrow" w:hAnsi="Arial Narrow"/>
          <w:color w:val="000000" w:themeColor="text1"/>
          <w:sz w:val="18"/>
          <w:szCs w:val="18"/>
        </w:rPr>
        <w:t>lenalidomide</w:t>
      </w:r>
      <w:proofErr w:type="spellEnd"/>
      <w:r w:rsidR="00267836">
        <w:rPr>
          <w:rFonts w:ascii="Arial Narrow" w:hAnsi="Arial Narrow"/>
          <w:color w:val="000000" w:themeColor="text1"/>
          <w:sz w:val="18"/>
          <w:szCs w:val="18"/>
        </w:rPr>
        <w:t xml:space="preserve">; </w:t>
      </w:r>
      <w:proofErr w:type="spellStart"/>
      <w:r w:rsidR="00267836">
        <w:rPr>
          <w:rFonts w:ascii="Arial Narrow" w:hAnsi="Arial Narrow"/>
          <w:color w:val="000000" w:themeColor="text1"/>
          <w:sz w:val="18"/>
          <w:szCs w:val="18"/>
        </w:rPr>
        <w:t>Obs</w:t>
      </w:r>
      <w:proofErr w:type="spellEnd"/>
      <w:r w:rsidR="00267836">
        <w:rPr>
          <w:rFonts w:ascii="Arial Narrow" w:hAnsi="Arial Narrow"/>
          <w:color w:val="000000" w:themeColor="text1"/>
          <w:sz w:val="18"/>
          <w:szCs w:val="18"/>
        </w:rPr>
        <w:t xml:space="preserve"> = observation; OS = overall survival; </w:t>
      </w:r>
      <w:r w:rsidRPr="003A3555">
        <w:rPr>
          <w:rFonts w:ascii="Arial Narrow" w:hAnsi="Arial Narrow"/>
          <w:color w:val="000000" w:themeColor="text1"/>
          <w:sz w:val="18"/>
          <w:szCs w:val="18"/>
        </w:rPr>
        <w:t>PFS</w:t>
      </w:r>
      <w:r w:rsidR="00070C87">
        <w:rPr>
          <w:rFonts w:ascii="Arial Narrow" w:hAnsi="Arial Narrow"/>
          <w:color w:val="000000" w:themeColor="text1"/>
          <w:sz w:val="18"/>
          <w:szCs w:val="18"/>
        </w:rPr>
        <w:t xml:space="preserve"> </w:t>
      </w:r>
      <w:r w:rsidRPr="003A3555">
        <w:rPr>
          <w:rFonts w:ascii="Arial Narrow" w:hAnsi="Arial Narrow"/>
          <w:color w:val="000000" w:themeColor="text1"/>
          <w:sz w:val="18"/>
          <w:szCs w:val="18"/>
        </w:rPr>
        <w:t>=</w:t>
      </w:r>
      <w:r w:rsidR="00070C87">
        <w:rPr>
          <w:rFonts w:ascii="Arial Narrow" w:hAnsi="Arial Narrow"/>
          <w:color w:val="000000" w:themeColor="text1"/>
          <w:sz w:val="18"/>
          <w:szCs w:val="18"/>
        </w:rPr>
        <w:t xml:space="preserve"> </w:t>
      </w:r>
      <w:r w:rsidRPr="003A3555">
        <w:rPr>
          <w:rFonts w:ascii="Arial Narrow" w:hAnsi="Arial Narrow"/>
          <w:color w:val="000000" w:themeColor="text1"/>
          <w:sz w:val="18"/>
          <w:szCs w:val="18"/>
        </w:rPr>
        <w:t>progression-free survival.</w:t>
      </w:r>
    </w:p>
    <w:p w:rsidR="005E7102" w:rsidRPr="003A3555" w:rsidRDefault="005E7102" w:rsidP="00476EE6">
      <w:pPr>
        <w:widowControl/>
        <w:rPr>
          <w:rFonts w:ascii="Arial Narrow" w:hAnsi="Arial Narrow"/>
          <w:color w:val="000000" w:themeColor="text1"/>
          <w:sz w:val="18"/>
          <w:szCs w:val="18"/>
        </w:rPr>
      </w:pPr>
      <w:r w:rsidRPr="003A3555">
        <w:rPr>
          <w:rFonts w:ascii="Arial Narrow" w:hAnsi="Arial Narrow"/>
          <w:color w:val="000000" w:themeColor="text1"/>
          <w:sz w:val="18"/>
          <w:szCs w:val="18"/>
        </w:rPr>
        <w:t xml:space="preserve">Note: PFS </w:t>
      </w:r>
      <w:proofErr w:type="gramStart"/>
      <w:r w:rsidRPr="003A3555">
        <w:rPr>
          <w:rFonts w:ascii="Arial Narrow" w:hAnsi="Arial Narrow"/>
          <w:color w:val="000000" w:themeColor="text1"/>
          <w:sz w:val="18"/>
          <w:szCs w:val="18"/>
        </w:rPr>
        <w:t>is measured</w:t>
      </w:r>
      <w:proofErr w:type="gramEnd"/>
      <w:r w:rsidRPr="003A3555">
        <w:rPr>
          <w:rFonts w:ascii="Arial Narrow" w:hAnsi="Arial Narrow"/>
          <w:color w:val="000000" w:themeColor="text1"/>
          <w:sz w:val="18"/>
          <w:szCs w:val="18"/>
        </w:rPr>
        <w:t xml:space="preserve"> as time since maintenance randomisation (months); censoring rules not reported.</w:t>
      </w:r>
    </w:p>
    <w:p w:rsidR="005E7102" w:rsidRPr="003A3555" w:rsidRDefault="005E7102" w:rsidP="00476EE6">
      <w:pPr>
        <w:widowControl/>
        <w:rPr>
          <w:rFonts w:ascii="Arial Narrow" w:hAnsi="Arial Narrow"/>
          <w:color w:val="000000" w:themeColor="text1"/>
          <w:sz w:val="18"/>
          <w:szCs w:val="18"/>
        </w:rPr>
      </w:pPr>
      <w:r w:rsidRPr="003A3555">
        <w:rPr>
          <w:rFonts w:ascii="Arial Narrow" w:hAnsi="Arial Narrow"/>
          <w:color w:val="000000" w:themeColor="text1"/>
          <w:sz w:val="18"/>
          <w:szCs w:val="18"/>
        </w:rPr>
        <w:t>Source: Slide 7 of Attachment 5 of the resubmission (Jones and Jackson (ASH 2017)).</w:t>
      </w:r>
    </w:p>
    <w:p w:rsidR="005E7102" w:rsidRPr="003A3555" w:rsidRDefault="005E7102" w:rsidP="00BE016A">
      <w:pPr>
        <w:pStyle w:val="ListParagraph"/>
        <w:widowControl/>
        <w:spacing w:before="120"/>
        <w:ind w:left="0"/>
        <w:rPr>
          <w:rFonts w:cs="Calibri"/>
          <w:i/>
          <w:snapToGrid/>
          <w:szCs w:val="24"/>
          <w:u w:val="single"/>
          <w:lang w:eastAsia="en-AU"/>
        </w:rPr>
      </w:pPr>
      <w:r w:rsidRPr="003A3555">
        <w:rPr>
          <w:rFonts w:cs="Calibri"/>
          <w:i/>
          <w:snapToGrid/>
          <w:szCs w:val="24"/>
          <w:u w:val="single"/>
          <w:lang w:eastAsia="en-AU"/>
        </w:rPr>
        <w:t>Thalidomide vs. BSC</w:t>
      </w:r>
    </w:p>
    <w:p w:rsidR="005E7102" w:rsidRPr="00600AD1" w:rsidRDefault="005E7102" w:rsidP="00BE016A">
      <w:pPr>
        <w:pStyle w:val="ListParagraph"/>
        <w:widowControl/>
        <w:numPr>
          <w:ilvl w:val="1"/>
          <w:numId w:val="2"/>
        </w:numPr>
        <w:spacing w:before="120"/>
        <w:rPr>
          <w:rFonts w:cs="Calibri"/>
          <w:snapToGrid/>
          <w:szCs w:val="24"/>
          <w:lang w:eastAsia="en-AU"/>
        </w:rPr>
      </w:pPr>
      <w:r w:rsidRPr="003A3555">
        <w:rPr>
          <w:rFonts w:cs="Calibri"/>
          <w:snapToGrid/>
          <w:szCs w:val="24"/>
          <w:lang w:eastAsia="en-AU"/>
        </w:rPr>
        <w:t xml:space="preserve">The results </w:t>
      </w:r>
      <w:proofErr w:type="gramStart"/>
      <w:r w:rsidR="00A8030B" w:rsidRPr="003A3555">
        <w:rPr>
          <w:rFonts w:cs="Calibri"/>
          <w:snapToGrid/>
          <w:szCs w:val="24"/>
          <w:lang w:eastAsia="en-AU"/>
        </w:rPr>
        <w:t xml:space="preserve">for </w:t>
      </w:r>
      <w:r w:rsidRPr="003A3555">
        <w:rPr>
          <w:rFonts w:cs="Calibri"/>
          <w:snapToGrid/>
          <w:szCs w:val="24"/>
          <w:lang w:eastAsia="en-AU"/>
        </w:rPr>
        <w:t>the post-ASCT subgroup for thalidomide in Myeloma IX for PFS and OS</w:t>
      </w:r>
      <w:proofErr w:type="gramEnd"/>
      <w:r w:rsidRPr="003A3555">
        <w:rPr>
          <w:rFonts w:cs="Calibri"/>
          <w:snapToGrid/>
          <w:szCs w:val="24"/>
          <w:lang w:eastAsia="en-AU"/>
        </w:rPr>
        <w:t xml:space="preserve"> are presented in Tables </w:t>
      </w:r>
      <w:r w:rsidR="00A8030B" w:rsidRPr="003A3555">
        <w:rPr>
          <w:rFonts w:cs="Calibri"/>
          <w:snapToGrid/>
          <w:szCs w:val="24"/>
          <w:lang w:eastAsia="en-AU"/>
        </w:rPr>
        <w:t>12</w:t>
      </w:r>
      <w:r w:rsidR="004A28FF" w:rsidRPr="003A3555">
        <w:rPr>
          <w:rFonts w:cs="Calibri"/>
          <w:snapToGrid/>
          <w:szCs w:val="24"/>
          <w:lang w:eastAsia="en-AU"/>
        </w:rPr>
        <w:t xml:space="preserve"> </w:t>
      </w:r>
      <w:r w:rsidRPr="003A3555">
        <w:rPr>
          <w:rFonts w:cs="Calibri"/>
          <w:snapToGrid/>
          <w:szCs w:val="24"/>
          <w:lang w:eastAsia="en-AU"/>
        </w:rPr>
        <w:t xml:space="preserve">and </w:t>
      </w:r>
      <w:r w:rsidR="00A8030B" w:rsidRPr="003A3555">
        <w:rPr>
          <w:rFonts w:cs="Calibri"/>
          <w:snapToGrid/>
          <w:szCs w:val="24"/>
          <w:lang w:eastAsia="en-AU"/>
        </w:rPr>
        <w:t>13</w:t>
      </w:r>
      <w:r w:rsidRPr="003A3555">
        <w:rPr>
          <w:rFonts w:cs="Calibri"/>
          <w:snapToGrid/>
          <w:szCs w:val="24"/>
          <w:lang w:eastAsia="en-AU"/>
        </w:rPr>
        <w:t xml:space="preserve">. No Kaplan-Meier curves </w:t>
      </w:r>
      <w:proofErr w:type="gramStart"/>
      <w:r w:rsidRPr="003A3555">
        <w:rPr>
          <w:rFonts w:cs="Calibri"/>
          <w:snapToGrid/>
          <w:szCs w:val="24"/>
          <w:lang w:eastAsia="en-AU"/>
        </w:rPr>
        <w:t>were presented</w:t>
      </w:r>
      <w:proofErr w:type="gramEnd"/>
      <w:r w:rsidRPr="003A3555">
        <w:rPr>
          <w:rFonts w:cs="Calibri"/>
          <w:snapToGrid/>
          <w:szCs w:val="24"/>
          <w:lang w:eastAsia="en-AU"/>
        </w:rPr>
        <w:t xml:space="preserve"> for the post</w:t>
      </w:r>
      <w:r w:rsidRPr="003A3555">
        <w:rPr>
          <w:rFonts w:cs="Calibri"/>
          <w:snapToGrid/>
          <w:szCs w:val="24"/>
          <w:lang w:eastAsia="en-AU"/>
        </w:rPr>
        <w:noBreakHyphen/>
        <w:t xml:space="preserve">ASCT subgroup in Myeloma IX. </w:t>
      </w:r>
      <w:r w:rsidRPr="00600AD1">
        <w:rPr>
          <w:rFonts w:cs="Calibri"/>
          <w:snapToGrid/>
          <w:szCs w:val="24"/>
          <w:lang w:eastAsia="en-AU"/>
        </w:rPr>
        <w:t xml:space="preserve">There was a statistically significant improvement </w:t>
      </w:r>
      <w:r w:rsidR="00A8030B" w:rsidRPr="00600AD1">
        <w:rPr>
          <w:rFonts w:cs="Calibri"/>
          <w:snapToGrid/>
          <w:szCs w:val="24"/>
          <w:lang w:eastAsia="en-AU"/>
        </w:rPr>
        <w:t xml:space="preserve">in favour of thalidomide in </w:t>
      </w:r>
      <w:r w:rsidRPr="00600AD1">
        <w:rPr>
          <w:rFonts w:cs="Calibri"/>
          <w:snapToGrid/>
          <w:szCs w:val="24"/>
          <w:lang w:eastAsia="en-AU"/>
        </w:rPr>
        <w:t>the post</w:t>
      </w:r>
      <w:r w:rsidRPr="00600AD1">
        <w:rPr>
          <w:rFonts w:cs="Calibri"/>
          <w:snapToGrid/>
          <w:szCs w:val="24"/>
          <w:lang w:eastAsia="en-AU"/>
        </w:rPr>
        <w:noBreakHyphen/>
        <w:t>ASCT subgroup for PFS but not for OS in Myeloma IX.</w:t>
      </w:r>
    </w:p>
    <w:p w:rsidR="005E7102" w:rsidRPr="003A3555" w:rsidRDefault="005E7102" w:rsidP="00D04B59">
      <w:pPr>
        <w:keepNext/>
        <w:widowControl/>
      </w:pPr>
      <w:r w:rsidRPr="003A3555">
        <w:rPr>
          <w:rStyle w:val="CommentReference"/>
        </w:rPr>
        <w:lastRenderedPageBreak/>
        <w:t xml:space="preserve">Table </w:t>
      </w:r>
      <w:r w:rsidR="00A8030B" w:rsidRPr="003A3555">
        <w:rPr>
          <w:rStyle w:val="CommentReference"/>
        </w:rPr>
        <w:t>12</w:t>
      </w:r>
      <w:r w:rsidRPr="003A3555">
        <w:rPr>
          <w:rStyle w:val="CommentReference"/>
        </w:rPr>
        <w:t xml:space="preserve">: </w:t>
      </w:r>
      <w:r w:rsidR="009A6A3D" w:rsidRPr="003A3555">
        <w:rPr>
          <w:rStyle w:val="CommentReference"/>
        </w:rPr>
        <w:t xml:space="preserve">Myeloma IX – </w:t>
      </w:r>
      <w:r w:rsidRPr="003A3555">
        <w:rPr>
          <w:rStyle w:val="CommentReference"/>
        </w:rPr>
        <w:t>Results of post-ASCT subgroup analysis</w:t>
      </w:r>
      <w:r w:rsidR="009A6A3D" w:rsidRPr="003A3555">
        <w:rPr>
          <w:rStyle w:val="CommentReference"/>
        </w:rPr>
        <w:t xml:space="preserve"> </w:t>
      </w:r>
      <w:r w:rsidRPr="003A3555">
        <w:rPr>
          <w:rStyle w:val="CommentReference"/>
        </w:rPr>
        <w:t xml:space="preserve">– PFS </w:t>
      </w:r>
      <w:r w:rsidR="009A6A3D" w:rsidRPr="003A3555">
        <w:rPr>
          <w:rStyle w:val="CommentReference"/>
        </w:rPr>
        <w:t xml:space="preserve">– </w:t>
      </w:r>
      <w:r w:rsidRPr="003A3555">
        <w:rPr>
          <w:rStyle w:val="CommentReference"/>
        </w:rPr>
        <w:t>thalidomide versus BSC</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Myeloma IX – Results of post-ASCT subgroup analysis – PFS – thalidomide versus BSC"/>
      </w:tblPr>
      <w:tblGrid>
        <w:gridCol w:w="1134"/>
        <w:gridCol w:w="993"/>
        <w:gridCol w:w="1559"/>
        <w:gridCol w:w="992"/>
        <w:gridCol w:w="1559"/>
        <w:gridCol w:w="284"/>
        <w:gridCol w:w="1134"/>
        <w:gridCol w:w="376"/>
        <w:gridCol w:w="986"/>
      </w:tblGrid>
      <w:tr w:rsidR="00EF509B" w:rsidRPr="003A3555" w:rsidTr="00EF509B">
        <w:trPr>
          <w:tblHeader/>
        </w:trPr>
        <w:tc>
          <w:tcPr>
            <w:tcW w:w="1134" w:type="dxa"/>
            <w:vMerge w:val="restart"/>
            <w:vAlign w:val="center"/>
          </w:tcPr>
          <w:p w:rsidR="00EF509B" w:rsidRPr="003A3555" w:rsidRDefault="00EF509B" w:rsidP="00D04B59">
            <w:pPr>
              <w:pStyle w:val="Tabletext"/>
              <w:keepNext/>
              <w:rPr>
                <w:b/>
              </w:rPr>
            </w:pPr>
            <w:r w:rsidRPr="003A3555">
              <w:rPr>
                <w:b/>
              </w:rPr>
              <w:t>Trial ID</w:t>
            </w:r>
          </w:p>
        </w:tc>
        <w:tc>
          <w:tcPr>
            <w:tcW w:w="2552" w:type="dxa"/>
            <w:gridSpan w:val="2"/>
            <w:vAlign w:val="center"/>
          </w:tcPr>
          <w:p w:rsidR="00EF509B" w:rsidRPr="003A3555" w:rsidRDefault="00EF509B" w:rsidP="00D04B59">
            <w:pPr>
              <w:pStyle w:val="Tabletext"/>
              <w:keepNext/>
              <w:jc w:val="center"/>
              <w:rPr>
                <w:b/>
              </w:rPr>
            </w:pPr>
            <w:r w:rsidRPr="003A3555">
              <w:rPr>
                <w:b/>
              </w:rPr>
              <w:t>Thalidomide</w:t>
            </w:r>
          </w:p>
        </w:tc>
        <w:tc>
          <w:tcPr>
            <w:tcW w:w="2551" w:type="dxa"/>
            <w:gridSpan w:val="2"/>
            <w:vAlign w:val="center"/>
          </w:tcPr>
          <w:p w:rsidR="00EF509B" w:rsidRPr="003A3555" w:rsidRDefault="00EF509B" w:rsidP="00D04B59">
            <w:pPr>
              <w:pStyle w:val="Tabletext"/>
              <w:keepNext/>
              <w:jc w:val="center"/>
              <w:rPr>
                <w:b/>
              </w:rPr>
            </w:pPr>
            <w:r w:rsidRPr="003A3555">
              <w:rPr>
                <w:b/>
              </w:rPr>
              <w:t>BSC</w:t>
            </w:r>
          </w:p>
        </w:tc>
        <w:tc>
          <w:tcPr>
            <w:tcW w:w="1418" w:type="dxa"/>
            <w:gridSpan w:val="2"/>
            <w:vMerge w:val="restart"/>
            <w:vAlign w:val="center"/>
          </w:tcPr>
          <w:p w:rsidR="00EF509B" w:rsidRPr="003A3555" w:rsidRDefault="00EF509B" w:rsidP="00D04B59">
            <w:pPr>
              <w:pStyle w:val="Tabletext"/>
              <w:keepNext/>
              <w:jc w:val="center"/>
              <w:rPr>
                <w:b/>
              </w:rPr>
            </w:pPr>
            <w:r w:rsidRPr="003A3555">
              <w:rPr>
                <w:b/>
              </w:rPr>
              <w:t>Difference in median, months</w:t>
            </w:r>
          </w:p>
        </w:tc>
        <w:tc>
          <w:tcPr>
            <w:tcW w:w="1362" w:type="dxa"/>
            <w:gridSpan w:val="2"/>
            <w:vMerge w:val="restart"/>
            <w:vAlign w:val="center"/>
          </w:tcPr>
          <w:p w:rsidR="00EF509B" w:rsidRPr="003A3555" w:rsidRDefault="00EF509B" w:rsidP="00D04B59">
            <w:pPr>
              <w:pStyle w:val="Tabletext"/>
              <w:keepNext/>
              <w:jc w:val="center"/>
              <w:rPr>
                <w:b/>
              </w:rPr>
            </w:pPr>
            <w:r w:rsidRPr="003A3555">
              <w:rPr>
                <w:b/>
              </w:rPr>
              <w:t>Hazard ratio (95% CI)</w:t>
            </w:r>
          </w:p>
        </w:tc>
      </w:tr>
      <w:tr w:rsidR="00EF509B" w:rsidRPr="003A3555" w:rsidTr="00EF509B">
        <w:tc>
          <w:tcPr>
            <w:tcW w:w="1134" w:type="dxa"/>
            <w:vMerge/>
            <w:tcBorders>
              <w:bottom w:val="single" w:sz="4" w:space="0" w:color="auto"/>
            </w:tcBorders>
            <w:vAlign w:val="center"/>
          </w:tcPr>
          <w:p w:rsidR="00EF509B" w:rsidRPr="003A3555" w:rsidRDefault="00EF509B" w:rsidP="00D04B59">
            <w:pPr>
              <w:pStyle w:val="Tabletext"/>
              <w:keepNext/>
            </w:pPr>
          </w:p>
        </w:tc>
        <w:tc>
          <w:tcPr>
            <w:tcW w:w="993" w:type="dxa"/>
            <w:tcBorders>
              <w:bottom w:val="single" w:sz="4" w:space="0" w:color="auto"/>
            </w:tcBorders>
            <w:vAlign w:val="center"/>
          </w:tcPr>
          <w:p w:rsidR="00EF509B" w:rsidRPr="003A3555" w:rsidRDefault="00EF509B" w:rsidP="00D04B59">
            <w:pPr>
              <w:pStyle w:val="Tabletext"/>
              <w:keepNext/>
              <w:jc w:val="center"/>
              <w:rPr>
                <w:b/>
              </w:rPr>
            </w:pPr>
            <w:proofErr w:type="gramStart"/>
            <w:r w:rsidRPr="003A3555">
              <w:rPr>
                <w:b/>
              </w:rPr>
              <w:t>n/N</w:t>
            </w:r>
            <w:proofErr w:type="gramEnd"/>
            <w:r w:rsidRPr="003A3555">
              <w:rPr>
                <w:b/>
              </w:rPr>
              <w:t xml:space="preserve"> (%)</w:t>
            </w:r>
          </w:p>
        </w:tc>
        <w:tc>
          <w:tcPr>
            <w:tcW w:w="1559" w:type="dxa"/>
            <w:tcBorders>
              <w:bottom w:val="single" w:sz="4" w:space="0" w:color="auto"/>
            </w:tcBorders>
            <w:vAlign w:val="center"/>
          </w:tcPr>
          <w:p w:rsidR="00EF509B" w:rsidRPr="003A3555" w:rsidRDefault="00EF509B" w:rsidP="00D04B59">
            <w:pPr>
              <w:pStyle w:val="Tabletext"/>
              <w:keepNext/>
              <w:jc w:val="center"/>
              <w:rPr>
                <w:b/>
              </w:rPr>
            </w:pPr>
            <w:r w:rsidRPr="003A3555">
              <w:rPr>
                <w:b/>
              </w:rPr>
              <w:t>Median PFS, m</w:t>
            </w:r>
            <w:r>
              <w:rPr>
                <w:b/>
              </w:rPr>
              <w:t>on</w:t>
            </w:r>
            <w:r w:rsidRPr="003A3555">
              <w:rPr>
                <w:b/>
              </w:rPr>
              <w:t>ths</w:t>
            </w:r>
            <w:r>
              <w:rPr>
                <w:b/>
              </w:rPr>
              <w:t xml:space="preserve"> </w:t>
            </w:r>
            <w:r w:rsidRPr="003A3555">
              <w:rPr>
                <w:b/>
              </w:rPr>
              <w:t>(95% CI)</w:t>
            </w:r>
          </w:p>
        </w:tc>
        <w:tc>
          <w:tcPr>
            <w:tcW w:w="992" w:type="dxa"/>
            <w:tcBorders>
              <w:bottom w:val="single" w:sz="4" w:space="0" w:color="auto"/>
            </w:tcBorders>
            <w:vAlign w:val="center"/>
          </w:tcPr>
          <w:p w:rsidR="00EF509B" w:rsidRPr="003A3555" w:rsidRDefault="00EF509B" w:rsidP="00D04B59">
            <w:pPr>
              <w:pStyle w:val="Tabletext"/>
              <w:keepNext/>
              <w:jc w:val="center"/>
              <w:rPr>
                <w:b/>
              </w:rPr>
            </w:pPr>
            <w:proofErr w:type="gramStart"/>
            <w:r w:rsidRPr="003A3555">
              <w:rPr>
                <w:b/>
              </w:rPr>
              <w:t>n/N</w:t>
            </w:r>
            <w:proofErr w:type="gramEnd"/>
            <w:r w:rsidRPr="003A3555">
              <w:rPr>
                <w:b/>
              </w:rPr>
              <w:t xml:space="preserve"> (%)</w:t>
            </w:r>
          </w:p>
        </w:tc>
        <w:tc>
          <w:tcPr>
            <w:tcW w:w="1559" w:type="dxa"/>
            <w:tcBorders>
              <w:bottom w:val="single" w:sz="4" w:space="0" w:color="auto"/>
            </w:tcBorders>
            <w:vAlign w:val="center"/>
          </w:tcPr>
          <w:p w:rsidR="00EF509B" w:rsidRPr="003A3555" w:rsidRDefault="00EF509B" w:rsidP="00D04B59">
            <w:pPr>
              <w:pStyle w:val="Tabletext"/>
              <w:keepNext/>
              <w:jc w:val="center"/>
              <w:rPr>
                <w:b/>
              </w:rPr>
            </w:pPr>
            <w:r w:rsidRPr="003A3555">
              <w:rPr>
                <w:b/>
              </w:rPr>
              <w:t>Median PFS, m</w:t>
            </w:r>
            <w:r>
              <w:rPr>
                <w:b/>
              </w:rPr>
              <w:t>on</w:t>
            </w:r>
            <w:r w:rsidRPr="003A3555">
              <w:rPr>
                <w:b/>
              </w:rPr>
              <w:t>ths</w:t>
            </w:r>
            <w:r>
              <w:rPr>
                <w:b/>
              </w:rPr>
              <w:t xml:space="preserve"> </w:t>
            </w:r>
            <w:r w:rsidRPr="003A3555">
              <w:rPr>
                <w:b/>
              </w:rPr>
              <w:t>(95% CI)</w:t>
            </w:r>
          </w:p>
        </w:tc>
        <w:tc>
          <w:tcPr>
            <w:tcW w:w="1418" w:type="dxa"/>
            <w:gridSpan w:val="2"/>
            <w:vMerge/>
            <w:tcBorders>
              <w:bottom w:val="single" w:sz="4" w:space="0" w:color="auto"/>
            </w:tcBorders>
            <w:vAlign w:val="center"/>
          </w:tcPr>
          <w:p w:rsidR="00EF509B" w:rsidRPr="003A3555" w:rsidRDefault="00EF509B" w:rsidP="00D04B59">
            <w:pPr>
              <w:pStyle w:val="Tabletext"/>
              <w:keepNext/>
            </w:pPr>
          </w:p>
        </w:tc>
        <w:tc>
          <w:tcPr>
            <w:tcW w:w="1362" w:type="dxa"/>
            <w:gridSpan w:val="2"/>
            <w:vMerge/>
            <w:tcBorders>
              <w:bottom w:val="single" w:sz="4" w:space="0" w:color="auto"/>
            </w:tcBorders>
            <w:vAlign w:val="center"/>
          </w:tcPr>
          <w:p w:rsidR="00EF509B" w:rsidRPr="003A3555" w:rsidRDefault="00EF509B" w:rsidP="00D04B59">
            <w:pPr>
              <w:pStyle w:val="Tabletext"/>
              <w:keepNext/>
            </w:pPr>
          </w:p>
        </w:tc>
      </w:tr>
      <w:tr w:rsidR="005E7102" w:rsidRPr="00C53C25" w:rsidTr="00EF509B">
        <w:tc>
          <w:tcPr>
            <w:tcW w:w="3686" w:type="dxa"/>
            <w:gridSpan w:val="3"/>
            <w:tcBorders>
              <w:right w:val="nil"/>
            </w:tcBorders>
            <w:vAlign w:val="center"/>
          </w:tcPr>
          <w:p w:rsidR="005E7102" w:rsidRPr="00C53C25" w:rsidRDefault="005E7102" w:rsidP="00D04B59">
            <w:pPr>
              <w:pStyle w:val="Tabletext"/>
              <w:keepNext/>
              <w:rPr>
                <w:b/>
              </w:rPr>
            </w:pPr>
            <w:r w:rsidRPr="00C53C25">
              <w:rPr>
                <w:b/>
              </w:rPr>
              <w:t>Myeloma IX (October 2009)</w:t>
            </w:r>
          </w:p>
        </w:tc>
        <w:tc>
          <w:tcPr>
            <w:tcW w:w="992" w:type="dxa"/>
            <w:tcBorders>
              <w:left w:val="nil"/>
              <w:right w:val="nil"/>
            </w:tcBorders>
          </w:tcPr>
          <w:p w:rsidR="005E7102" w:rsidRPr="00C53C25" w:rsidRDefault="005E7102" w:rsidP="00D04B59">
            <w:pPr>
              <w:pStyle w:val="Tabletext"/>
              <w:keepNext/>
              <w:rPr>
                <w:b/>
              </w:rPr>
            </w:pPr>
          </w:p>
        </w:tc>
        <w:tc>
          <w:tcPr>
            <w:tcW w:w="1559" w:type="dxa"/>
            <w:tcBorders>
              <w:left w:val="nil"/>
              <w:right w:val="nil"/>
            </w:tcBorders>
          </w:tcPr>
          <w:p w:rsidR="005E7102" w:rsidRPr="00C53C25" w:rsidRDefault="005E7102" w:rsidP="00D04B59">
            <w:pPr>
              <w:pStyle w:val="Tabletext"/>
              <w:keepNext/>
              <w:rPr>
                <w:b/>
              </w:rPr>
            </w:pPr>
          </w:p>
        </w:tc>
        <w:tc>
          <w:tcPr>
            <w:tcW w:w="284" w:type="dxa"/>
            <w:tcBorders>
              <w:left w:val="nil"/>
              <w:right w:val="nil"/>
            </w:tcBorders>
          </w:tcPr>
          <w:p w:rsidR="005E7102" w:rsidRPr="00C53C25" w:rsidRDefault="005E7102" w:rsidP="00D04B59">
            <w:pPr>
              <w:pStyle w:val="Tabletext"/>
              <w:keepNext/>
              <w:rPr>
                <w:b/>
              </w:rPr>
            </w:pPr>
          </w:p>
        </w:tc>
        <w:tc>
          <w:tcPr>
            <w:tcW w:w="1134" w:type="dxa"/>
            <w:tcBorders>
              <w:left w:val="nil"/>
              <w:right w:val="nil"/>
            </w:tcBorders>
          </w:tcPr>
          <w:p w:rsidR="005E7102" w:rsidRPr="00C53C25" w:rsidRDefault="005E7102" w:rsidP="00D04B59">
            <w:pPr>
              <w:pStyle w:val="Tabletext"/>
              <w:keepNext/>
              <w:rPr>
                <w:b/>
              </w:rPr>
            </w:pPr>
          </w:p>
        </w:tc>
        <w:tc>
          <w:tcPr>
            <w:tcW w:w="376" w:type="dxa"/>
            <w:tcBorders>
              <w:left w:val="nil"/>
              <w:right w:val="nil"/>
            </w:tcBorders>
          </w:tcPr>
          <w:p w:rsidR="005E7102" w:rsidRPr="00C53C25" w:rsidRDefault="005E7102" w:rsidP="00D04B59">
            <w:pPr>
              <w:pStyle w:val="Tabletext"/>
              <w:keepNext/>
              <w:rPr>
                <w:b/>
              </w:rPr>
            </w:pPr>
          </w:p>
        </w:tc>
        <w:tc>
          <w:tcPr>
            <w:tcW w:w="986" w:type="dxa"/>
            <w:tcBorders>
              <w:left w:val="nil"/>
            </w:tcBorders>
          </w:tcPr>
          <w:p w:rsidR="005E7102" w:rsidRPr="00C53C25" w:rsidRDefault="005E7102" w:rsidP="00D04B59">
            <w:pPr>
              <w:pStyle w:val="Tabletext"/>
              <w:keepNext/>
              <w:rPr>
                <w:b/>
              </w:rPr>
            </w:pPr>
          </w:p>
        </w:tc>
      </w:tr>
      <w:tr w:rsidR="00EF509B" w:rsidRPr="003A3555" w:rsidTr="00EF509B">
        <w:tc>
          <w:tcPr>
            <w:tcW w:w="1134" w:type="dxa"/>
            <w:vAlign w:val="center"/>
          </w:tcPr>
          <w:p w:rsidR="00EF509B" w:rsidRPr="003A3555" w:rsidRDefault="00EF509B" w:rsidP="00D04B59">
            <w:pPr>
              <w:pStyle w:val="Tabletext"/>
              <w:keepNext/>
            </w:pPr>
            <w:r w:rsidRPr="003A3555">
              <w:t>Whole</w:t>
            </w:r>
          </w:p>
        </w:tc>
        <w:tc>
          <w:tcPr>
            <w:tcW w:w="993" w:type="dxa"/>
            <w:vAlign w:val="center"/>
          </w:tcPr>
          <w:p w:rsidR="00EF509B" w:rsidRPr="003A3555" w:rsidRDefault="00EF509B" w:rsidP="00D04B59">
            <w:pPr>
              <w:pStyle w:val="Tabletext"/>
              <w:keepNext/>
              <w:jc w:val="center"/>
            </w:pPr>
            <w:r w:rsidRPr="003A3555">
              <w:t>NR</w:t>
            </w:r>
          </w:p>
        </w:tc>
        <w:tc>
          <w:tcPr>
            <w:tcW w:w="1559" w:type="dxa"/>
            <w:vAlign w:val="center"/>
          </w:tcPr>
          <w:p w:rsidR="00EF509B" w:rsidRPr="00600AD1" w:rsidRDefault="00EF509B" w:rsidP="00D04B59">
            <w:pPr>
              <w:pStyle w:val="Tabletext"/>
              <w:keepNext/>
              <w:jc w:val="center"/>
            </w:pPr>
            <w:r w:rsidRPr="00600AD1">
              <w:t>23 (NR)</w:t>
            </w:r>
          </w:p>
        </w:tc>
        <w:tc>
          <w:tcPr>
            <w:tcW w:w="992" w:type="dxa"/>
            <w:vAlign w:val="center"/>
          </w:tcPr>
          <w:p w:rsidR="00EF509B" w:rsidRPr="00600AD1" w:rsidRDefault="00EF509B" w:rsidP="00D04B59">
            <w:pPr>
              <w:pStyle w:val="Tabletext"/>
              <w:keepNext/>
              <w:jc w:val="center"/>
            </w:pPr>
            <w:r w:rsidRPr="00600AD1">
              <w:t>NR</w:t>
            </w:r>
          </w:p>
        </w:tc>
        <w:tc>
          <w:tcPr>
            <w:tcW w:w="1559" w:type="dxa"/>
            <w:vAlign w:val="center"/>
          </w:tcPr>
          <w:p w:rsidR="00EF509B" w:rsidRPr="00600AD1" w:rsidRDefault="00EF509B" w:rsidP="00D04B59">
            <w:pPr>
              <w:pStyle w:val="Tabletext"/>
              <w:keepNext/>
              <w:jc w:val="center"/>
            </w:pPr>
            <w:r w:rsidRPr="00600AD1">
              <w:t>15 (NR)</w:t>
            </w:r>
          </w:p>
        </w:tc>
        <w:tc>
          <w:tcPr>
            <w:tcW w:w="1418" w:type="dxa"/>
            <w:gridSpan w:val="2"/>
            <w:vAlign w:val="center"/>
          </w:tcPr>
          <w:p w:rsidR="00EF509B" w:rsidRPr="00600AD1" w:rsidRDefault="00EF509B" w:rsidP="00D04B59">
            <w:pPr>
              <w:pStyle w:val="Tabletext"/>
              <w:keepNext/>
              <w:jc w:val="center"/>
            </w:pPr>
            <w:r w:rsidRPr="00600AD1">
              <w:t>8</w:t>
            </w:r>
          </w:p>
        </w:tc>
        <w:tc>
          <w:tcPr>
            <w:tcW w:w="1362" w:type="dxa"/>
            <w:gridSpan w:val="2"/>
            <w:vAlign w:val="center"/>
          </w:tcPr>
          <w:p w:rsidR="00EF509B" w:rsidRPr="00600AD1" w:rsidRDefault="00EF509B" w:rsidP="00D04B59">
            <w:pPr>
              <w:pStyle w:val="Tabletext"/>
              <w:keepNext/>
              <w:jc w:val="center"/>
            </w:pPr>
            <w:r w:rsidRPr="00600AD1">
              <w:rPr>
                <w:b/>
              </w:rPr>
              <w:t xml:space="preserve">0.69 </w:t>
            </w:r>
            <w:r>
              <w:rPr>
                <w:b/>
              </w:rPr>
              <w:br/>
            </w:r>
            <w:r w:rsidRPr="00600AD1">
              <w:rPr>
                <w:b/>
              </w:rPr>
              <w:t>(0.58, 0.82)</w:t>
            </w:r>
          </w:p>
        </w:tc>
      </w:tr>
      <w:tr w:rsidR="00EF509B" w:rsidRPr="003A3555" w:rsidTr="00EF509B">
        <w:tc>
          <w:tcPr>
            <w:tcW w:w="1134" w:type="dxa"/>
            <w:vAlign w:val="center"/>
          </w:tcPr>
          <w:p w:rsidR="00EF509B" w:rsidRPr="003A3555" w:rsidRDefault="00EF509B" w:rsidP="00D04B59">
            <w:pPr>
              <w:pStyle w:val="Tabletext"/>
              <w:keepNext/>
            </w:pPr>
            <w:r w:rsidRPr="003A3555">
              <w:t xml:space="preserve">ASCT </w:t>
            </w:r>
          </w:p>
        </w:tc>
        <w:tc>
          <w:tcPr>
            <w:tcW w:w="993" w:type="dxa"/>
            <w:vAlign w:val="center"/>
          </w:tcPr>
          <w:p w:rsidR="00EF509B" w:rsidRPr="003A3555" w:rsidRDefault="00EF509B" w:rsidP="00D04B59">
            <w:pPr>
              <w:pStyle w:val="Tabletext"/>
              <w:keepNext/>
              <w:jc w:val="center"/>
            </w:pPr>
            <w:r w:rsidRPr="003A3555">
              <w:t>NR</w:t>
            </w:r>
          </w:p>
        </w:tc>
        <w:tc>
          <w:tcPr>
            <w:tcW w:w="1559" w:type="dxa"/>
            <w:vAlign w:val="center"/>
          </w:tcPr>
          <w:p w:rsidR="00EF509B" w:rsidRPr="00600AD1" w:rsidRDefault="00EF509B" w:rsidP="00D04B59">
            <w:pPr>
              <w:pStyle w:val="Tabletext"/>
              <w:keepNext/>
              <w:jc w:val="center"/>
            </w:pPr>
            <w:r w:rsidRPr="00600AD1">
              <w:t>30 (NR)</w:t>
            </w:r>
          </w:p>
        </w:tc>
        <w:tc>
          <w:tcPr>
            <w:tcW w:w="992" w:type="dxa"/>
            <w:vAlign w:val="center"/>
          </w:tcPr>
          <w:p w:rsidR="00EF509B" w:rsidRPr="00600AD1" w:rsidRDefault="00EF509B" w:rsidP="00D04B59">
            <w:pPr>
              <w:pStyle w:val="Tabletext"/>
              <w:keepNext/>
              <w:jc w:val="center"/>
            </w:pPr>
            <w:r w:rsidRPr="00600AD1">
              <w:t>NR</w:t>
            </w:r>
          </w:p>
        </w:tc>
        <w:tc>
          <w:tcPr>
            <w:tcW w:w="1559" w:type="dxa"/>
            <w:vAlign w:val="center"/>
          </w:tcPr>
          <w:p w:rsidR="00EF509B" w:rsidRPr="00600AD1" w:rsidRDefault="00EF509B" w:rsidP="00D04B59">
            <w:pPr>
              <w:pStyle w:val="Tabletext"/>
              <w:keepNext/>
              <w:jc w:val="center"/>
            </w:pPr>
            <w:r w:rsidRPr="00600AD1">
              <w:t>23 (NR)</w:t>
            </w:r>
          </w:p>
        </w:tc>
        <w:tc>
          <w:tcPr>
            <w:tcW w:w="1418" w:type="dxa"/>
            <w:gridSpan w:val="2"/>
            <w:vAlign w:val="center"/>
          </w:tcPr>
          <w:p w:rsidR="00EF509B" w:rsidRPr="00600AD1" w:rsidRDefault="00EF509B" w:rsidP="00D04B59">
            <w:pPr>
              <w:pStyle w:val="Tabletext"/>
              <w:keepNext/>
              <w:jc w:val="center"/>
            </w:pPr>
            <w:r w:rsidRPr="00600AD1">
              <w:t>7</w:t>
            </w:r>
          </w:p>
        </w:tc>
        <w:tc>
          <w:tcPr>
            <w:tcW w:w="1362" w:type="dxa"/>
            <w:gridSpan w:val="2"/>
            <w:vAlign w:val="center"/>
          </w:tcPr>
          <w:p w:rsidR="00EF509B" w:rsidRPr="00600AD1" w:rsidRDefault="00EF509B" w:rsidP="00D04B59">
            <w:pPr>
              <w:pStyle w:val="Tabletext"/>
              <w:keepNext/>
              <w:jc w:val="center"/>
            </w:pPr>
            <w:r w:rsidRPr="00600AD1">
              <w:rPr>
                <w:b/>
              </w:rPr>
              <w:t xml:space="preserve">0.70 </w:t>
            </w:r>
            <w:r>
              <w:rPr>
                <w:b/>
              </w:rPr>
              <w:br/>
            </w:r>
            <w:r w:rsidRPr="00600AD1">
              <w:rPr>
                <w:b/>
              </w:rPr>
              <w:t>(0.56, 0.88)</w:t>
            </w:r>
          </w:p>
        </w:tc>
      </w:tr>
      <w:tr w:rsidR="00EF509B" w:rsidRPr="003A3555" w:rsidTr="00EF509B">
        <w:tc>
          <w:tcPr>
            <w:tcW w:w="1134" w:type="dxa"/>
            <w:vAlign w:val="center"/>
          </w:tcPr>
          <w:p w:rsidR="00EF509B" w:rsidRPr="003A3555" w:rsidRDefault="00EF509B" w:rsidP="00D04B59">
            <w:pPr>
              <w:pStyle w:val="Tabletext"/>
              <w:keepNext/>
            </w:pPr>
            <w:r w:rsidRPr="003A3555">
              <w:t>Complement</w:t>
            </w:r>
          </w:p>
        </w:tc>
        <w:tc>
          <w:tcPr>
            <w:tcW w:w="993" w:type="dxa"/>
            <w:vAlign w:val="center"/>
          </w:tcPr>
          <w:p w:rsidR="00EF509B" w:rsidRPr="003A3555" w:rsidRDefault="00EF509B" w:rsidP="00D04B59">
            <w:pPr>
              <w:pStyle w:val="Tabletext"/>
              <w:keepNext/>
              <w:jc w:val="center"/>
            </w:pPr>
            <w:r w:rsidRPr="003A3555">
              <w:t>NR</w:t>
            </w:r>
          </w:p>
        </w:tc>
        <w:tc>
          <w:tcPr>
            <w:tcW w:w="1559" w:type="dxa"/>
            <w:vAlign w:val="center"/>
          </w:tcPr>
          <w:p w:rsidR="00EF509B" w:rsidRPr="00600AD1" w:rsidRDefault="00EF509B" w:rsidP="00D04B59">
            <w:pPr>
              <w:pStyle w:val="Tabletext"/>
              <w:keepNext/>
              <w:jc w:val="center"/>
            </w:pPr>
            <w:r w:rsidRPr="00600AD1">
              <w:t>11 (NR)</w:t>
            </w:r>
          </w:p>
        </w:tc>
        <w:tc>
          <w:tcPr>
            <w:tcW w:w="992" w:type="dxa"/>
            <w:vAlign w:val="center"/>
          </w:tcPr>
          <w:p w:rsidR="00EF509B" w:rsidRPr="00600AD1" w:rsidRDefault="00EF509B" w:rsidP="00D04B59">
            <w:pPr>
              <w:pStyle w:val="Tabletext"/>
              <w:keepNext/>
              <w:jc w:val="center"/>
            </w:pPr>
            <w:r w:rsidRPr="00600AD1">
              <w:t>NR</w:t>
            </w:r>
          </w:p>
        </w:tc>
        <w:tc>
          <w:tcPr>
            <w:tcW w:w="1559" w:type="dxa"/>
            <w:vAlign w:val="center"/>
          </w:tcPr>
          <w:p w:rsidR="00EF509B" w:rsidRPr="00600AD1" w:rsidRDefault="00EF509B" w:rsidP="00D04B59">
            <w:pPr>
              <w:pStyle w:val="Tabletext"/>
              <w:keepNext/>
              <w:jc w:val="center"/>
            </w:pPr>
            <w:r w:rsidRPr="00600AD1">
              <w:t>9 (NR)</w:t>
            </w:r>
          </w:p>
        </w:tc>
        <w:tc>
          <w:tcPr>
            <w:tcW w:w="1418" w:type="dxa"/>
            <w:gridSpan w:val="2"/>
            <w:vAlign w:val="center"/>
          </w:tcPr>
          <w:p w:rsidR="00EF509B" w:rsidRPr="00600AD1" w:rsidRDefault="00EF509B" w:rsidP="00D04B59">
            <w:pPr>
              <w:pStyle w:val="Tabletext"/>
              <w:keepNext/>
              <w:jc w:val="center"/>
            </w:pPr>
            <w:r w:rsidRPr="00600AD1">
              <w:t>2</w:t>
            </w:r>
          </w:p>
        </w:tc>
        <w:tc>
          <w:tcPr>
            <w:tcW w:w="1362" w:type="dxa"/>
            <w:gridSpan w:val="2"/>
            <w:vAlign w:val="center"/>
          </w:tcPr>
          <w:p w:rsidR="00EF509B" w:rsidRPr="00600AD1" w:rsidRDefault="00EF509B" w:rsidP="00D04B59">
            <w:pPr>
              <w:pStyle w:val="Tabletext"/>
              <w:keepNext/>
              <w:jc w:val="center"/>
            </w:pPr>
            <w:r w:rsidRPr="00600AD1">
              <w:rPr>
                <w:b/>
              </w:rPr>
              <w:t xml:space="preserve">0.74 </w:t>
            </w:r>
            <w:r>
              <w:rPr>
                <w:b/>
              </w:rPr>
              <w:br/>
            </w:r>
            <w:r w:rsidRPr="00600AD1">
              <w:rPr>
                <w:b/>
              </w:rPr>
              <w:t>(0.58, 0.94)</w:t>
            </w:r>
          </w:p>
        </w:tc>
      </w:tr>
      <w:tr w:rsidR="005E7102" w:rsidRPr="00C53C25" w:rsidTr="00E44C6D">
        <w:tc>
          <w:tcPr>
            <w:tcW w:w="9017" w:type="dxa"/>
            <w:gridSpan w:val="9"/>
            <w:vAlign w:val="center"/>
          </w:tcPr>
          <w:p w:rsidR="005E7102" w:rsidRPr="00C53C25" w:rsidRDefault="005E7102" w:rsidP="00D04B59">
            <w:pPr>
              <w:pStyle w:val="Tabletext"/>
              <w:keepNext/>
              <w:rPr>
                <w:b/>
              </w:rPr>
            </w:pPr>
            <w:r w:rsidRPr="00C53C25">
              <w:rPr>
                <w:b/>
              </w:rPr>
              <w:t>Myeloma IX (Jan 2012) – median follow-up: 70.8 months</w:t>
            </w:r>
          </w:p>
        </w:tc>
      </w:tr>
      <w:tr w:rsidR="00EF509B" w:rsidRPr="003A3555" w:rsidTr="00EF509B">
        <w:tc>
          <w:tcPr>
            <w:tcW w:w="1134" w:type="dxa"/>
            <w:vAlign w:val="center"/>
          </w:tcPr>
          <w:p w:rsidR="00EF509B" w:rsidRPr="00600AD1" w:rsidRDefault="00EF509B" w:rsidP="00D04B59">
            <w:pPr>
              <w:pStyle w:val="Tabletext"/>
              <w:keepNext/>
            </w:pPr>
            <w:r w:rsidRPr="00600AD1">
              <w:t>Whole</w:t>
            </w:r>
          </w:p>
        </w:tc>
        <w:tc>
          <w:tcPr>
            <w:tcW w:w="993" w:type="dxa"/>
            <w:vAlign w:val="center"/>
          </w:tcPr>
          <w:p w:rsidR="00EF509B" w:rsidRPr="00600AD1" w:rsidRDefault="00EF509B" w:rsidP="00D04B59">
            <w:pPr>
              <w:pStyle w:val="Tabletext"/>
              <w:keepNext/>
              <w:jc w:val="center"/>
            </w:pPr>
            <w:r w:rsidRPr="00600AD1">
              <w:rPr>
                <w:rFonts w:eastAsia="SimSun"/>
                <w:iCs/>
                <w:szCs w:val="18"/>
                <w:bdr w:val="none" w:sz="0" w:space="0" w:color="auto" w:frame="1"/>
                <w:lang w:eastAsia="en-AU"/>
              </w:rPr>
              <w:t>NR</w:t>
            </w:r>
          </w:p>
        </w:tc>
        <w:tc>
          <w:tcPr>
            <w:tcW w:w="1559" w:type="dxa"/>
            <w:vAlign w:val="center"/>
          </w:tcPr>
          <w:p w:rsidR="00EF509B" w:rsidRPr="00600AD1" w:rsidRDefault="00EF509B" w:rsidP="00D04B59">
            <w:pPr>
              <w:pStyle w:val="Tabletext"/>
              <w:keepNext/>
              <w:jc w:val="center"/>
            </w:pPr>
            <w:r w:rsidRPr="00600AD1">
              <w:t>22 (NR)</w:t>
            </w:r>
          </w:p>
        </w:tc>
        <w:tc>
          <w:tcPr>
            <w:tcW w:w="992" w:type="dxa"/>
            <w:vAlign w:val="center"/>
          </w:tcPr>
          <w:p w:rsidR="00EF509B" w:rsidRPr="00600AD1" w:rsidRDefault="00EF509B" w:rsidP="00D04B59">
            <w:pPr>
              <w:pStyle w:val="Tabletext"/>
              <w:keepNext/>
              <w:jc w:val="center"/>
            </w:pPr>
            <w:r w:rsidRPr="00600AD1">
              <w:rPr>
                <w:rFonts w:eastAsia="SimSun"/>
                <w:iCs/>
                <w:szCs w:val="18"/>
                <w:bdr w:val="none" w:sz="0" w:space="0" w:color="auto" w:frame="1"/>
                <w:lang w:eastAsia="en-AU"/>
              </w:rPr>
              <w:t>NR</w:t>
            </w:r>
          </w:p>
        </w:tc>
        <w:tc>
          <w:tcPr>
            <w:tcW w:w="1559" w:type="dxa"/>
            <w:vAlign w:val="center"/>
          </w:tcPr>
          <w:p w:rsidR="00EF509B" w:rsidRPr="00600AD1" w:rsidRDefault="00EF509B" w:rsidP="00D04B59">
            <w:pPr>
              <w:pStyle w:val="Tabletext"/>
              <w:keepNext/>
              <w:jc w:val="center"/>
            </w:pPr>
            <w:r w:rsidRPr="00600AD1">
              <w:t>15</w:t>
            </w:r>
          </w:p>
        </w:tc>
        <w:tc>
          <w:tcPr>
            <w:tcW w:w="1418" w:type="dxa"/>
            <w:gridSpan w:val="2"/>
            <w:vAlign w:val="center"/>
          </w:tcPr>
          <w:p w:rsidR="00EF509B" w:rsidRPr="00600AD1" w:rsidRDefault="00EF509B" w:rsidP="00D04B59">
            <w:pPr>
              <w:pStyle w:val="Tabletext"/>
              <w:keepNext/>
              <w:jc w:val="center"/>
            </w:pPr>
            <w:r w:rsidRPr="00600AD1">
              <w:t>7</w:t>
            </w:r>
          </w:p>
        </w:tc>
        <w:tc>
          <w:tcPr>
            <w:tcW w:w="1362" w:type="dxa"/>
            <w:gridSpan w:val="2"/>
            <w:vAlign w:val="center"/>
          </w:tcPr>
          <w:p w:rsidR="00EF509B" w:rsidRDefault="00EF509B" w:rsidP="00D04B59">
            <w:pPr>
              <w:pStyle w:val="Tabletext"/>
              <w:keepNext/>
              <w:jc w:val="center"/>
              <w:rPr>
                <w:b/>
              </w:rPr>
            </w:pPr>
            <w:r w:rsidRPr="00600AD1">
              <w:rPr>
                <w:b/>
              </w:rPr>
              <w:t xml:space="preserve">0.69 </w:t>
            </w:r>
          </w:p>
          <w:p w:rsidR="00EF509B" w:rsidRPr="00600AD1" w:rsidRDefault="00EF509B" w:rsidP="00D04B59">
            <w:pPr>
              <w:pStyle w:val="Tabletext"/>
              <w:keepNext/>
              <w:jc w:val="center"/>
            </w:pPr>
            <w:r w:rsidRPr="00600AD1">
              <w:rPr>
                <w:b/>
              </w:rPr>
              <w:t>(0.58, 0.82)</w:t>
            </w:r>
          </w:p>
        </w:tc>
      </w:tr>
    </w:tbl>
    <w:p w:rsidR="005E7102" w:rsidRPr="00600AD1" w:rsidRDefault="005E7102" w:rsidP="00D04B59">
      <w:pPr>
        <w:pStyle w:val="TableFooter"/>
        <w:keepNext/>
        <w:widowControl/>
        <w:rPr>
          <w:rFonts w:eastAsia="Calibri"/>
        </w:rPr>
      </w:pPr>
      <w:r w:rsidRPr="003A3555">
        <w:t>ASCT</w:t>
      </w:r>
      <w:r w:rsidR="00267836">
        <w:t xml:space="preserve"> </w:t>
      </w:r>
      <w:r w:rsidRPr="003A3555">
        <w:t>= autologous stem cell transplant; BSC</w:t>
      </w:r>
      <w:r w:rsidR="00267836">
        <w:t xml:space="preserve"> </w:t>
      </w:r>
      <w:r w:rsidRPr="003A3555">
        <w:t>=</w:t>
      </w:r>
      <w:r w:rsidR="00267836">
        <w:t xml:space="preserve"> </w:t>
      </w:r>
      <w:r w:rsidRPr="003A3555">
        <w:t xml:space="preserve">best supportive care; </w:t>
      </w:r>
      <w:r w:rsidRPr="003A3555">
        <w:rPr>
          <w:rFonts w:eastAsia="Calibri"/>
        </w:rPr>
        <w:t>C</w:t>
      </w:r>
      <w:r w:rsidR="00267836">
        <w:rPr>
          <w:rFonts w:eastAsia="Calibri"/>
        </w:rPr>
        <w:t xml:space="preserve"> </w:t>
      </w:r>
      <w:r w:rsidRPr="003A3555">
        <w:rPr>
          <w:rFonts w:eastAsia="Calibri"/>
        </w:rPr>
        <w:t>I</w:t>
      </w:r>
      <w:r w:rsidR="00267836">
        <w:rPr>
          <w:rFonts w:eastAsia="Calibri"/>
        </w:rPr>
        <w:t xml:space="preserve"> </w:t>
      </w:r>
      <w:r w:rsidRPr="003A3555">
        <w:rPr>
          <w:rFonts w:eastAsia="Calibri"/>
        </w:rPr>
        <w:t xml:space="preserve">=confidence interval; </w:t>
      </w:r>
      <w:r w:rsidR="00267836">
        <w:rPr>
          <w:rFonts w:eastAsia="Calibri"/>
        </w:rPr>
        <w:t xml:space="preserve">HR = hazard ratio; </w:t>
      </w:r>
      <w:r w:rsidRPr="00600AD1">
        <w:rPr>
          <w:rFonts w:eastAsia="Calibri"/>
        </w:rPr>
        <w:t>NA</w:t>
      </w:r>
      <w:r w:rsidR="00267836">
        <w:rPr>
          <w:rFonts w:eastAsia="Calibri"/>
        </w:rPr>
        <w:t xml:space="preserve"> </w:t>
      </w:r>
      <w:r w:rsidRPr="00600AD1">
        <w:rPr>
          <w:rFonts w:eastAsia="Calibri"/>
        </w:rPr>
        <w:t>=</w:t>
      </w:r>
      <w:r w:rsidR="00267836">
        <w:rPr>
          <w:rFonts w:eastAsia="Calibri"/>
        </w:rPr>
        <w:t xml:space="preserve"> </w:t>
      </w:r>
      <w:r w:rsidRPr="00600AD1">
        <w:rPr>
          <w:rFonts w:eastAsia="Calibri"/>
        </w:rPr>
        <w:t>not applicable; NR = not reported</w:t>
      </w:r>
      <w:r w:rsidR="00267836">
        <w:rPr>
          <w:rFonts w:eastAsia="Calibri"/>
        </w:rPr>
        <w:t>; PFS = progression free survival</w:t>
      </w:r>
    </w:p>
    <w:p w:rsidR="005E7102" w:rsidRPr="00600AD1" w:rsidRDefault="005E7102" w:rsidP="00D04B59">
      <w:pPr>
        <w:pStyle w:val="TableFooter"/>
        <w:keepNext/>
        <w:widowControl/>
        <w:rPr>
          <w:rFonts w:eastAsia="Calibri"/>
        </w:rPr>
      </w:pPr>
      <w:r w:rsidRPr="00600AD1">
        <w:rPr>
          <w:rFonts w:eastAsia="Calibri"/>
        </w:rPr>
        <w:t xml:space="preserve">Notes: </w:t>
      </w:r>
      <w:r w:rsidR="005B41A3" w:rsidRPr="00600AD1">
        <w:rPr>
          <w:rFonts w:eastAsia="Calibri"/>
        </w:rPr>
        <w:t xml:space="preserve">There were no results reported for the ASCT and Complement sub-groups in the Jan-2012 data </w:t>
      </w:r>
      <w:proofErr w:type="spellStart"/>
      <w:r w:rsidR="005B41A3" w:rsidRPr="00600AD1">
        <w:rPr>
          <w:rFonts w:eastAsia="Calibri"/>
        </w:rPr>
        <w:t>cutoff</w:t>
      </w:r>
      <w:proofErr w:type="spellEnd"/>
      <w:r w:rsidR="005B41A3" w:rsidRPr="00600AD1">
        <w:rPr>
          <w:rFonts w:eastAsia="Calibri"/>
        </w:rPr>
        <w:t xml:space="preserve">. </w:t>
      </w:r>
      <w:r w:rsidRPr="00600AD1">
        <w:rPr>
          <w:rFonts w:eastAsia="Calibri"/>
        </w:rPr>
        <w:t xml:space="preserve">Inverse HR reported in submission. </w:t>
      </w:r>
      <w:r w:rsidRPr="00600AD1">
        <w:t>Statistically significant differences bolded.</w:t>
      </w:r>
    </w:p>
    <w:p w:rsidR="005E7102" w:rsidRPr="00600AD1" w:rsidRDefault="005E7102" w:rsidP="00D04B59">
      <w:pPr>
        <w:pStyle w:val="TableFooter"/>
        <w:keepNext/>
        <w:widowControl/>
        <w:rPr>
          <w:sz w:val="20"/>
        </w:rPr>
      </w:pPr>
      <w:r w:rsidRPr="00600AD1">
        <w:t xml:space="preserve">Source: Table 2.5.1, p.80, Table 2.6.1, p.108 &amp; Figure 2.6.1, p.109 of the March 2018 submission. </w:t>
      </w:r>
      <w:proofErr w:type="gramStart"/>
      <w:r w:rsidRPr="00600AD1">
        <w:t>p.10</w:t>
      </w:r>
      <w:proofErr w:type="gramEnd"/>
      <w:r w:rsidRPr="00600AD1">
        <w:t xml:space="preserve"> Morgan 2012. </w:t>
      </w:r>
      <w:r w:rsidRPr="00600AD1">
        <w:rPr>
          <w:szCs w:val="18"/>
        </w:rPr>
        <w:t>Myeloma IX data (Jan-2012) extracted from Morgan 2013.</w:t>
      </w:r>
    </w:p>
    <w:p w:rsidR="005E7102" w:rsidRPr="003A3555" w:rsidRDefault="005E7102" w:rsidP="00476EE6">
      <w:pPr>
        <w:pStyle w:val="TableFooter"/>
        <w:widowControl/>
        <w:rPr>
          <w:i/>
          <w:sz w:val="20"/>
        </w:rPr>
      </w:pPr>
    </w:p>
    <w:p w:rsidR="005E7102" w:rsidRPr="003A3555" w:rsidRDefault="005E7102" w:rsidP="00476EE6">
      <w:pPr>
        <w:keepNext/>
        <w:widowControl/>
      </w:pPr>
      <w:r w:rsidRPr="003A3555">
        <w:rPr>
          <w:rStyle w:val="CommentReference"/>
        </w:rPr>
        <w:t xml:space="preserve">Table </w:t>
      </w:r>
      <w:r w:rsidR="009F0EFA" w:rsidRPr="003A3555">
        <w:rPr>
          <w:rStyle w:val="CommentReference"/>
        </w:rPr>
        <w:t>1</w:t>
      </w:r>
      <w:r w:rsidR="00A8030B" w:rsidRPr="003A3555">
        <w:rPr>
          <w:rStyle w:val="CommentReference"/>
        </w:rPr>
        <w:t>3</w:t>
      </w:r>
      <w:r w:rsidRPr="003A3555">
        <w:rPr>
          <w:rStyle w:val="CommentReference"/>
        </w:rPr>
        <w:t xml:space="preserve">: </w:t>
      </w:r>
      <w:r w:rsidR="009A6A3D" w:rsidRPr="003A3555">
        <w:rPr>
          <w:rStyle w:val="CommentReference"/>
        </w:rPr>
        <w:t xml:space="preserve">Myeloma IX – </w:t>
      </w:r>
      <w:r w:rsidRPr="003A3555">
        <w:rPr>
          <w:rStyle w:val="CommentReference"/>
        </w:rPr>
        <w:t>Results of subgroup analysis – OS – thalidomide versus BSC</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13: Myeloma IX – Results of subgroup analysis – OS – thalidomide versus BSC"/>
      </w:tblPr>
      <w:tblGrid>
        <w:gridCol w:w="1129"/>
        <w:gridCol w:w="993"/>
        <w:gridCol w:w="1559"/>
        <w:gridCol w:w="992"/>
        <w:gridCol w:w="1559"/>
        <w:gridCol w:w="1418"/>
        <w:gridCol w:w="1338"/>
      </w:tblGrid>
      <w:tr w:rsidR="00EF509B" w:rsidRPr="003A3555" w:rsidTr="00DC0994">
        <w:trPr>
          <w:trHeight w:val="20"/>
          <w:tblHeader/>
        </w:trPr>
        <w:tc>
          <w:tcPr>
            <w:tcW w:w="1129" w:type="dxa"/>
            <w:tcBorders>
              <w:bottom w:val="nil"/>
            </w:tcBorders>
            <w:shd w:val="clear" w:color="auto" w:fill="auto"/>
            <w:tcMar>
              <w:left w:w="28" w:type="dxa"/>
              <w:right w:w="28" w:type="dxa"/>
            </w:tcMar>
            <w:vAlign w:val="center"/>
          </w:tcPr>
          <w:p w:rsidR="00EF509B" w:rsidRPr="003A3555" w:rsidRDefault="00EF509B" w:rsidP="00476EE6">
            <w:pPr>
              <w:pStyle w:val="Tabletext"/>
              <w:keepNext/>
              <w:adjustRightInd w:val="0"/>
              <w:snapToGrid w:val="0"/>
              <w:rPr>
                <w:rFonts w:eastAsia="SimSun"/>
                <w:b/>
                <w:iCs/>
                <w:szCs w:val="18"/>
                <w:bdr w:val="none" w:sz="0" w:space="0" w:color="auto" w:frame="1"/>
                <w:lang w:eastAsia="en-AU"/>
              </w:rPr>
            </w:pPr>
          </w:p>
        </w:tc>
        <w:tc>
          <w:tcPr>
            <w:tcW w:w="2552" w:type="dxa"/>
            <w:gridSpan w:val="2"/>
            <w:shd w:val="clear" w:color="auto" w:fill="auto"/>
            <w:tcMar>
              <w:left w:w="28" w:type="dxa"/>
              <w:right w:w="28" w:type="dxa"/>
            </w:tcMar>
            <w:vAlign w:val="center"/>
          </w:tcPr>
          <w:p w:rsidR="00EF509B" w:rsidRPr="003A3555" w:rsidRDefault="00EF509B" w:rsidP="00476EE6">
            <w:pPr>
              <w:pStyle w:val="Tabletext"/>
              <w:keepNext/>
              <w:jc w:val="center"/>
              <w:rPr>
                <w:rFonts w:eastAsia="SimSun"/>
                <w:b/>
                <w:iCs/>
                <w:szCs w:val="18"/>
                <w:bdr w:val="none" w:sz="0" w:space="0" w:color="auto" w:frame="1"/>
                <w:lang w:eastAsia="en-AU"/>
              </w:rPr>
            </w:pPr>
            <w:r w:rsidRPr="003A3555">
              <w:rPr>
                <w:rFonts w:eastAsia="SimSun"/>
                <w:b/>
                <w:iCs/>
                <w:szCs w:val="18"/>
                <w:bdr w:val="none" w:sz="0" w:space="0" w:color="auto" w:frame="1"/>
                <w:lang w:eastAsia="en-AU"/>
              </w:rPr>
              <w:t>Thalidomide</w:t>
            </w:r>
          </w:p>
        </w:tc>
        <w:tc>
          <w:tcPr>
            <w:tcW w:w="2551" w:type="dxa"/>
            <w:gridSpan w:val="2"/>
            <w:shd w:val="clear" w:color="auto" w:fill="auto"/>
            <w:tcMar>
              <w:left w:w="28" w:type="dxa"/>
              <w:right w:w="28" w:type="dxa"/>
            </w:tcMar>
            <w:vAlign w:val="center"/>
          </w:tcPr>
          <w:p w:rsidR="00EF509B" w:rsidRPr="003A3555" w:rsidRDefault="00EF509B" w:rsidP="00476EE6">
            <w:pPr>
              <w:pStyle w:val="Tabletext"/>
              <w:keepNext/>
              <w:jc w:val="center"/>
              <w:rPr>
                <w:rFonts w:eastAsia="SimSun"/>
                <w:b/>
                <w:iCs/>
                <w:szCs w:val="18"/>
                <w:bdr w:val="none" w:sz="0" w:space="0" w:color="auto" w:frame="1"/>
                <w:lang w:eastAsia="en-AU"/>
              </w:rPr>
            </w:pPr>
            <w:r w:rsidRPr="003A3555">
              <w:rPr>
                <w:rFonts w:eastAsia="SimSun"/>
                <w:b/>
                <w:iCs/>
                <w:szCs w:val="18"/>
                <w:bdr w:val="none" w:sz="0" w:space="0" w:color="auto" w:frame="1"/>
                <w:lang w:eastAsia="en-AU"/>
              </w:rPr>
              <w:t>BSC</w:t>
            </w:r>
          </w:p>
        </w:tc>
        <w:tc>
          <w:tcPr>
            <w:tcW w:w="1418" w:type="dxa"/>
            <w:vMerge w:val="restart"/>
            <w:tcMar>
              <w:left w:w="28" w:type="dxa"/>
              <w:right w:w="28" w:type="dxa"/>
            </w:tcMar>
            <w:vAlign w:val="center"/>
          </w:tcPr>
          <w:p w:rsidR="00EF509B" w:rsidRPr="003A3555" w:rsidRDefault="00EF509B" w:rsidP="00476EE6">
            <w:pPr>
              <w:pStyle w:val="Tabletext"/>
              <w:jc w:val="center"/>
              <w:rPr>
                <w:rFonts w:eastAsia="SimSun"/>
                <w:b/>
                <w:iCs/>
                <w:szCs w:val="18"/>
                <w:bdr w:val="none" w:sz="0" w:space="0" w:color="auto" w:frame="1"/>
                <w:lang w:eastAsia="en-AU"/>
              </w:rPr>
            </w:pPr>
            <w:r w:rsidRPr="003A3555">
              <w:rPr>
                <w:rFonts w:eastAsia="SimSun"/>
                <w:b/>
                <w:iCs/>
                <w:szCs w:val="18"/>
                <w:bdr w:val="none" w:sz="0" w:space="0" w:color="auto" w:frame="1"/>
                <w:lang w:eastAsia="en-AU"/>
              </w:rPr>
              <w:t>Difference in median, months</w:t>
            </w:r>
          </w:p>
        </w:tc>
        <w:tc>
          <w:tcPr>
            <w:tcW w:w="1338" w:type="dxa"/>
            <w:vMerge w:val="restart"/>
            <w:shd w:val="clear" w:color="auto" w:fill="auto"/>
            <w:tcMar>
              <w:left w:w="28" w:type="dxa"/>
              <w:right w:w="28" w:type="dxa"/>
            </w:tcMar>
            <w:vAlign w:val="center"/>
          </w:tcPr>
          <w:p w:rsidR="00EF509B" w:rsidRPr="003A3555" w:rsidRDefault="00EF509B" w:rsidP="00476EE6">
            <w:pPr>
              <w:pStyle w:val="Tabletext"/>
              <w:keepNext/>
              <w:adjustRightInd w:val="0"/>
              <w:snapToGrid w:val="0"/>
              <w:jc w:val="center"/>
              <w:rPr>
                <w:rFonts w:eastAsia="SimSun"/>
                <w:b/>
                <w:iCs/>
                <w:szCs w:val="18"/>
                <w:bdr w:val="none" w:sz="0" w:space="0" w:color="auto" w:frame="1"/>
                <w:lang w:eastAsia="en-AU"/>
              </w:rPr>
            </w:pPr>
            <w:r w:rsidRPr="003A3555">
              <w:rPr>
                <w:rFonts w:eastAsia="SimSun"/>
                <w:b/>
                <w:iCs/>
                <w:szCs w:val="18"/>
                <w:bdr w:val="none" w:sz="0" w:space="0" w:color="auto" w:frame="1"/>
                <w:lang w:eastAsia="en-AU"/>
              </w:rPr>
              <w:t xml:space="preserve">Hazard ratio </w:t>
            </w:r>
          </w:p>
          <w:p w:rsidR="00EF509B" w:rsidRPr="003A3555" w:rsidRDefault="00EF509B" w:rsidP="00476EE6">
            <w:pPr>
              <w:pStyle w:val="Tabletext"/>
              <w:keepNext/>
              <w:adjustRightInd w:val="0"/>
              <w:snapToGrid w:val="0"/>
              <w:jc w:val="center"/>
              <w:rPr>
                <w:rFonts w:eastAsia="SimSun"/>
                <w:b/>
                <w:iCs/>
                <w:szCs w:val="18"/>
                <w:bdr w:val="none" w:sz="0" w:space="0" w:color="auto" w:frame="1"/>
                <w:lang w:eastAsia="en-AU"/>
              </w:rPr>
            </w:pPr>
            <w:r w:rsidRPr="003A3555">
              <w:rPr>
                <w:rFonts w:eastAsia="SimSun"/>
                <w:b/>
                <w:iCs/>
                <w:szCs w:val="18"/>
                <w:bdr w:val="none" w:sz="0" w:space="0" w:color="auto" w:frame="1"/>
                <w:lang w:eastAsia="en-AU"/>
              </w:rPr>
              <w:t>(95% CI)</w:t>
            </w:r>
          </w:p>
        </w:tc>
      </w:tr>
      <w:tr w:rsidR="00EF509B" w:rsidRPr="003A3555" w:rsidTr="00DC0994">
        <w:trPr>
          <w:trHeight w:val="20"/>
          <w:tblHeader/>
        </w:trPr>
        <w:tc>
          <w:tcPr>
            <w:tcW w:w="1129" w:type="dxa"/>
            <w:tcBorders>
              <w:top w:val="nil"/>
              <w:bottom w:val="single" w:sz="4" w:space="0" w:color="auto"/>
            </w:tcBorders>
            <w:shd w:val="clear" w:color="auto" w:fill="auto"/>
            <w:tcMar>
              <w:left w:w="28" w:type="dxa"/>
              <w:right w:w="28" w:type="dxa"/>
            </w:tcMar>
            <w:vAlign w:val="center"/>
            <w:hideMark/>
          </w:tcPr>
          <w:p w:rsidR="00EF509B" w:rsidRPr="003A3555" w:rsidRDefault="00EF509B" w:rsidP="00476EE6">
            <w:pPr>
              <w:pStyle w:val="Tabletext"/>
              <w:adjustRightInd w:val="0"/>
              <w:snapToGrid w:val="0"/>
              <w:rPr>
                <w:rFonts w:eastAsia="SimSun"/>
                <w:b/>
                <w:iCs/>
                <w:szCs w:val="18"/>
                <w:bdr w:val="none" w:sz="0" w:space="0" w:color="auto" w:frame="1"/>
                <w:lang w:eastAsia="en-AU"/>
              </w:rPr>
            </w:pPr>
          </w:p>
        </w:tc>
        <w:tc>
          <w:tcPr>
            <w:tcW w:w="993" w:type="dxa"/>
            <w:tcBorders>
              <w:bottom w:val="single" w:sz="4" w:space="0" w:color="auto"/>
            </w:tcBorders>
            <w:shd w:val="clear" w:color="auto" w:fill="auto"/>
            <w:tcMar>
              <w:left w:w="28" w:type="dxa"/>
              <w:right w:w="28" w:type="dxa"/>
            </w:tcMar>
            <w:vAlign w:val="center"/>
            <w:hideMark/>
          </w:tcPr>
          <w:p w:rsidR="00EF509B" w:rsidRPr="003A3555" w:rsidRDefault="00EF509B" w:rsidP="00476EE6">
            <w:pPr>
              <w:pStyle w:val="Tabletext"/>
              <w:jc w:val="center"/>
              <w:rPr>
                <w:rFonts w:eastAsia="SimSun"/>
                <w:b/>
                <w:iCs/>
                <w:szCs w:val="18"/>
                <w:bdr w:val="none" w:sz="0" w:space="0" w:color="auto" w:frame="1"/>
                <w:lang w:eastAsia="en-AU"/>
              </w:rPr>
            </w:pPr>
            <w:proofErr w:type="gramStart"/>
            <w:r w:rsidRPr="003A3555">
              <w:rPr>
                <w:rFonts w:eastAsia="SimSun"/>
                <w:b/>
                <w:iCs/>
                <w:szCs w:val="18"/>
                <w:bdr w:val="none" w:sz="0" w:space="0" w:color="auto" w:frame="1"/>
                <w:lang w:eastAsia="en-AU"/>
              </w:rPr>
              <w:t>n/N</w:t>
            </w:r>
            <w:proofErr w:type="gramEnd"/>
            <w:r w:rsidRPr="003A3555">
              <w:rPr>
                <w:rFonts w:eastAsia="SimSun"/>
                <w:b/>
                <w:iCs/>
                <w:szCs w:val="18"/>
                <w:bdr w:val="none" w:sz="0" w:space="0" w:color="auto" w:frame="1"/>
                <w:lang w:eastAsia="en-AU"/>
              </w:rPr>
              <w:t xml:space="preserve"> (%)</w:t>
            </w:r>
          </w:p>
        </w:tc>
        <w:tc>
          <w:tcPr>
            <w:tcW w:w="1559" w:type="dxa"/>
            <w:tcBorders>
              <w:bottom w:val="single" w:sz="4" w:space="0" w:color="auto"/>
            </w:tcBorders>
            <w:shd w:val="clear" w:color="auto" w:fill="auto"/>
            <w:tcMar>
              <w:left w:w="28" w:type="dxa"/>
              <w:right w:w="28" w:type="dxa"/>
            </w:tcMar>
            <w:vAlign w:val="center"/>
            <w:hideMark/>
          </w:tcPr>
          <w:p w:rsidR="00EF509B" w:rsidRPr="003A3555" w:rsidRDefault="00EF509B" w:rsidP="00476EE6">
            <w:pPr>
              <w:pStyle w:val="Tabletext"/>
              <w:jc w:val="center"/>
              <w:rPr>
                <w:rFonts w:eastAsia="SimSun"/>
                <w:b/>
                <w:iCs/>
                <w:szCs w:val="18"/>
                <w:bdr w:val="none" w:sz="0" w:space="0" w:color="auto" w:frame="1"/>
                <w:lang w:eastAsia="en-AU"/>
              </w:rPr>
            </w:pPr>
            <w:r w:rsidRPr="003A3555">
              <w:rPr>
                <w:rFonts w:eastAsia="SimSun"/>
                <w:b/>
                <w:iCs/>
                <w:szCs w:val="18"/>
                <w:bdr w:val="none" w:sz="0" w:space="0" w:color="auto" w:frame="1"/>
                <w:lang w:eastAsia="en-AU"/>
              </w:rPr>
              <w:t>Median OS, m</w:t>
            </w:r>
            <w:r>
              <w:rPr>
                <w:rFonts w:eastAsia="SimSun"/>
                <w:b/>
                <w:iCs/>
                <w:szCs w:val="18"/>
                <w:bdr w:val="none" w:sz="0" w:space="0" w:color="auto" w:frame="1"/>
                <w:lang w:eastAsia="en-AU"/>
              </w:rPr>
              <w:t>on</w:t>
            </w:r>
            <w:r w:rsidRPr="003A3555">
              <w:rPr>
                <w:rFonts w:eastAsia="SimSun"/>
                <w:b/>
                <w:iCs/>
                <w:szCs w:val="18"/>
                <w:bdr w:val="none" w:sz="0" w:space="0" w:color="auto" w:frame="1"/>
                <w:lang w:eastAsia="en-AU"/>
              </w:rPr>
              <w:t>ths (95% CI)</w:t>
            </w:r>
          </w:p>
        </w:tc>
        <w:tc>
          <w:tcPr>
            <w:tcW w:w="992" w:type="dxa"/>
            <w:tcBorders>
              <w:bottom w:val="single" w:sz="4" w:space="0" w:color="auto"/>
            </w:tcBorders>
            <w:shd w:val="clear" w:color="auto" w:fill="auto"/>
            <w:tcMar>
              <w:left w:w="28" w:type="dxa"/>
              <w:right w:w="28" w:type="dxa"/>
            </w:tcMar>
            <w:vAlign w:val="center"/>
            <w:hideMark/>
          </w:tcPr>
          <w:p w:rsidR="00EF509B" w:rsidRPr="003A3555" w:rsidRDefault="00EF509B" w:rsidP="00476EE6">
            <w:pPr>
              <w:pStyle w:val="Tabletext"/>
              <w:jc w:val="center"/>
              <w:rPr>
                <w:rFonts w:eastAsia="SimSun"/>
                <w:b/>
                <w:iCs/>
                <w:szCs w:val="18"/>
                <w:bdr w:val="none" w:sz="0" w:space="0" w:color="auto" w:frame="1"/>
                <w:lang w:eastAsia="en-AU"/>
              </w:rPr>
            </w:pPr>
            <w:proofErr w:type="gramStart"/>
            <w:r w:rsidRPr="003A3555">
              <w:rPr>
                <w:rFonts w:eastAsia="SimSun"/>
                <w:b/>
                <w:iCs/>
                <w:szCs w:val="18"/>
                <w:bdr w:val="none" w:sz="0" w:space="0" w:color="auto" w:frame="1"/>
                <w:lang w:eastAsia="en-AU"/>
              </w:rPr>
              <w:t>n/N</w:t>
            </w:r>
            <w:proofErr w:type="gramEnd"/>
            <w:r w:rsidRPr="003A3555">
              <w:rPr>
                <w:rFonts w:eastAsia="SimSun"/>
                <w:b/>
                <w:iCs/>
                <w:szCs w:val="18"/>
                <w:bdr w:val="none" w:sz="0" w:space="0" w:color="auto" w:frame="1"/>
                <w:lang w:eastAsia="en-AU"/>
              </w:rPr>
              <w:t xml:space="preserve"> (%)</w:t>
            </w:r>
          </w:p>
        </w:tc>
        <w:tc>
          <w:tcPr>
            <w:tcW w:w="1559" w:type="dxa"/>
            <w:tcBorders>
              <w:bottom w:val="single" w:sz="4" w:space="0" w:color="auto"/>
            </w:tcBorders>
            <w:shd w:val="clear" w:color="auto" w:fill="auto"/>
            <w:tcMar>
              <w:left w:w="28" w:type="dxa"/>
              <w:right w:w="28" w:type="dxa"/>
            </w:tcMar>
            <w:vAlign w:val="center"/>
            <w:hideMark/>
          </w:tcPr>
          <w:p w:rsidR="00EF509B" w:rsidRPr="003A3555" w:rsidRDefault="00EF509B" w:rsidP="00476EE6">
            <w:pPr>
              <w:pStyle w:val="Tabletext"/>
              <w:jc w:val="center"/>
              <w:rPr>
                <w:rFonts w:eastAsia="SimSun"/>
                <w:b/>
                <w:iCs/>
                <w:szCs w:val="18"/>
                <w:bdr w:val="none" w:sz="0" w:space="0" w:color="auto" w:frame="1"/>
                <w:lang w:eastAsia="en-AU"/>
              </w:rPr>
            </w:pPr>
            <w:r w:rsidRPr="003A3555">
              <w:rPr>
                <w:rFonts w:eastAsia="SimSun"/>
                <w:b/>
                <w:iCs/>
                <w:szCs w:val="18"/>
                <w:bdr w:val="none" w:sz="0" w:space="0" w:color="auto" w:frame="1"/>
                <w:lang w:eastAsia="en-AU"/>
              </w:rPr>
              <w:t>Median OS, m</w:t>
            </w:r>
            <w:r>
              <w:rPr>
                <w:rFonts w:eastAsia="SimSun"/>
                <w:b/>
                <w:iCs/>
                <w:szCs w:val="18"/>
                <w:bdr w:val="none" w:sz="0" w:space="0" w:color="auto" w:frame="1"/>
                <w:lang w:eastAsia="en-AU"/>
              </w:rPr>
              <w:t>on</w:t>
            </w:r>
            <w:r w:rsidRPr="003A3555">
              <w:rPr>
                <w:rFonts w:eastAsia="SimSun"/>
                <w:b/>
                <w:iCs/>
                <w:szCs w:val="18"/>
                <w:bdr w:val="none" w:sz="0" w:space="0" w:color="auto" w:frame="1"/>
                <w:lang w:eastAsia="en-AU"/>
              </w:rPr>
              <w:t>ths (95% CI)</w:t>
            </w:r>
          </w:p>
        </w:tc>
        <w:tc>
          <w:tcPr>
            <w:tcW w:w="1418" w:type="dxa"/>
            <w:vMerge/>
            <w:tcBorders>
              <w:bottom w:val="single" w:sz="4" w:space="0" w:color="auto"/>
            </w:tcBorders>
            <w:tcMar>
              <w:left w:w="28" w:type="dxa"/>
              <w:right w:w="28" w:type="dxa"/>
            </w:tcMar>
          </w:tcPr>
          <w:p w:rsidR="00EF509B" w:rsidRPr="003A3555" w:rsidRDefault="00EF509B" w:rsidP="00476EE6">
            <w:pPr>
              <w:pStyle w:val="Tabletext"/>
              <w:jc w:val="center"/>
              <w:rPr>
                <w:rFonts w:eastAsia="SimSun"/>
                <w:b/>
                <w:iCs/>
                <w:szCs w:val="18"/>
                <w:bdr w:val="none" w:sz="0" w:space="0" w:color="auto" w:frame="1"/>
                <w:lang w:eastAsia="en-AU"/>
              </w:rPr>
            </w:pPr>
          </w:p>
        </w:tc>
        <w:tc>
          <w:tcPr>
            <w:tcW w:w="1338" w:type="dxa"/>
            <w:vMerge/>
            <w:tcBorders>
              <w:bottom w:val="single" w:sz="4" w:space="0" w:color="auto"/>
            </w:tcBorders>
            <w:shd w:val="clear" w:color="auto" w:fill="auto"/>
            <w:tcMar>
              <w:left w:w="28" w:type="dxa"/>
              <w:right w:w="28" w:type="dxa"/>
            </w:tcMar>
            <w:vAlign w:val="center"/>
            <w:hideMark/>
          </w:tcPr>
          <w:p w:rsidR="00EF509B" w:rsidRPr="003A3555" w:rsidRDefault="00EF509B" w:rsidP="00476EE6">
            <w:pPr>
              <w:pStyle w:val="Tabletext"/>
              <w:jc w:val="center"/>
              <w:rPr>
                <w:rFonts w:eastAsia="SimSun"/>
                <w:b/>
                <w:iCs/>
                <w:szCs w:val="18"/>
                <w:bdr w:val="none" w:sz="0" w:space="0" w:color="auto" w:frame="1"/>
                <w:lang w:eastAsia="en-AU"/>
              </w:rPr>
            </w:pPr>
          </w:p>
        </w:tc>
      </w:tr>
      <w:tr w:rsidR="005E7102" w:rsidRPr="00963642" w:rsidTr="00963642">
        <w:trPr>
          <w:trHeight w:val="20"/>
        </w:trPr>
        <w:tc>
          <w:tcPr>
            <w:tcW w:w="8988" w:type="dxa"/>
            <w:gridSpan w:val="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E7102" w:rsidRPr="00963642" w:rsidRDefault="005E7102" w:rsidP="00476EE6">
            <w:pPr>
              <w:pStyle w:val="Tabletext"/>
              <w:adjustRightInd w:val="0"/>
              <w:snapToGrid w:val="0"/>
              <w:rPr>
                <w:rFonts w:eastAsia="SimSun"/>
                <w:b/>
                <w:iCs/>
                <w:szCs w:val="18"/>
                <w:bdr w:val="none" w:sz="0" w:space="0" w:color="auto" w:frame="1"/>
                <w:lang w:eastAsia="en-AU"/>
              </w:rPr>
            </w:pPr>
            <w:r w:rsidRPr="00963642">
              <w:rPr>
                <w:b/>
              </w:rPr>
              <w:t>Myeloma IX (October 2009) – median follow-up: 38 months</w:t>
            </w:r>
          </w:p>
        </w:tc>
      </w:tr>
      <w:tr w:rsidR="00EF509B" w:rsidRPr="003A3555" w:rsidTr="00DC0994">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F509B" w:rsidRPr="00600AD1" w:rsidRDefault="00EF509B" w:rsidP="00476EE6">
            <w:pPr>
              <w:pStyle w:val="Tabletext"/>
              <w:adjustRightInd w:val="0"/>
              <w:snapToGrid w:val="0"/>
              <w:rPr>
                <w:rFonts w:eastAsia="SimSun"/>
                <w:iCs/>
                <w:szCs w:val="18"/>
                <w:bdr w:val="none" w:sz="0" w:space="0" w:color="auto" w:frame="1"/>
                <w:lang w:eastAsia="en-AU"/>
              </w:rPr>
            </w:pPr>
            <w:r w:rsidRPr="00600AD1">
              <w:rPr>
                <w:rFonts w:eastAsia="SimSun"/>
                <w:iCs/>
                <w:szCs w:val="18"/>
                <w:bdr w:val="none" w:sz="0" w:space="0" w:color="auto" w:frame="1"/>
                <w:lang w:eastAsia="en-AU"/>
              </w:rPr>
              <w:t xml:space="preserve">Whole </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F509B" w:rsidRPr="00600AD1" w:rsidRDefault="00EF509B" w:rsidP="00476EE6">
            <w:pPr>
              <w:pStyle w:val="Tabletext"/>
              <w:adjustRightInd w:val="0"/>
              <w:snapToGrid w:val="0"/>
              <w:jc w:val="center"/>
              <w:rPr>
                <w:rFonts w:eastAsia="SimSun"/>
                <w:iCs/>
                <w:szCs w:val="18"/>
                <w:bdr w:val="none" w:sz="0" w:space="0" w:color="auto" w:frame="1"/>
                <w:lang w:eastAsia="en-AU"/>
              </w:rPr>
            </w:pPr>
            <w:r w:rsidRPr="00600AD1">
              <w:rPr>
                <w:rFonts w:eastAsia="SimSun"/>
                <w:iCs/>
                <w:szCs w:val="18"/>
                <w:bdr w:val="none" w:sz="0" w:space="0" w:color="auto" w:frame="1"/>
                <w:lang w:eastAsia="en-AU"/>
              </w:rPr>
              <w:t>NR</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F509B" w:rsidRPr="00600AD1" w:rsidDel="009957D8" w:rsidRDefault="00EF509B" w:rsidP="00476EE6">
            <w:pPr>
              <w:pStyle w:val="Tabletext"/>
              <w:adjustRightInd w:val="0"/>
              <w:snapToGrid w:val="0"/>
              <w:jc w:val="center"/>
              <w:rPr>
                <w:rFonts w:eastAsia="SimSun"/>
                <w:iCs/>
                <w:szCs w:val="18"/>
                <w:bdr w:val="none" w:sz="0" w:space="0" w:color="auto" w:frame="1"/>
                <w:lang w:eastAsia="en-AU"/>
              </w:rPr>
            </w:pPr>
            <w:r w:rsidRPr="00600AD1">
              <w:rPr>
                <w:rFonts w:eastAsia="SimSun"/>
                <w:iCs/>
                <w:szCs w:val="18"/>
                <w:bdr w:val="none" w:sz="0" w:space="0" w:color="auto" w:frame="1"/>
                <w:lang w:eastAsia="en-AU"/>
              </w:rPr>
              <w:t>NR</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F509B" w:rsidRPr="00600AD1" w:rsidRDefault="00EF509B" w:rsidP="00476EE6">
            <w:pPr>
              <w:pStyle w:val="Tabletext"/>
              <w:adjustRightInd w:val="0"/>
              <w:snapToGrid w:val="0"/>
              <w:jc w:val="center"/>
              <w:rPr>
                <w:rFonts w:eastAsia="SimSun"/>
                <w:iCs/>
                <w:szCs w:val="18"/>
                <w:bdr w:val="none" w:sz="0" w:space="0" w:color="auto" w:frame="1"/>
                <w:lang w:eastAsia="en-AU"/>
              </w:rPr>
            </w:pPr>
            <w:r w:rsidRPr="00600AD1">
              <w:rPr>
                <w:rFonts w:eastAsia="SimSun"/>
                <w:iCs/>
                <w:szCs w:val="18"/>
                <w:bdr w:val="none" w:sz="0" w:space="0" w:color="auto" w:frame="1"/>
                <w:lang w:eastAsia="en-AU"/>
              </w:rPr>
              <w:t>NR</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F509B" w:rsidRPr="00600AD1" w:rsidDel="009957D8" w:rsidRDefault="00EF509B" w:rsidP="00476EE6">
            <w:pPr>
              <w:pStyle w:val="Tabletext"/>
              <w:adjustRightInd w:val="0"/>
              <w:snapToGrid w:val="0"/>
              <w:jc w:val="center"/>
              <w:rPr>
                <w:rFonts w:eastAsia="SimSun"/>
                <w:iCs/>
                <w:szCs w:val="18"/>
                <w:bdr w:val="none" w:sz="0" w:space="0" w:color="auto" w:frame="1"/>
                <w:lang w:eastAsia="en-AU"/>
              </w:rPr>
            </w:pPr>
            <w:r w:rsidRPr="00600AD1">
              <w:rPr>
                <w:rFonts w:eastAsia="SimSun"/>
                <w:iCs/>
                <w:szCs w:val="18"/>
                <w:bdr w:val="none" w:sz="0" w:space="0" w:color="auto" w:frame="1"/>
                <w:lang w:eastAsia="en-AU"/>
              </w:rPr>
              <w:t>NR</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F509B" w:rsidRPr="00600AD1" w:rsidRDefault="00EF509B" w:rsidP="00476EE6">
            <w:pPr>
              <w:pStyle w:val="Tabletext"/>
              <w:jc w:val="center"/>
              <w:rPr>
                <w:lang w:eastAsia="en-AU"/>
              </w:rPr>
            </w:pPr>
            <w:r w:rsidRPr="00600AD1">
              <w:rPr>
                <w:rFonts w:eastAsia="SimSun"/>
                <w:iCs/>
                <w:szCs w:val="18"/>
                <w:bdr w:val="none" w:sz="0" w:space="0" w:color="auto" w:frame="1"/>
                <w:lang w:eastAsia="en-AU"/>
              </w:rPr>
              <w:t>NR</w:t>
            </w:r>
          </w:p>
        </w:tc>
        <w:tc>
          <w:tcPr>
            <w:tcW w:w="13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F509B" w:rsidRPr="00600AD1" w:rsidRDefault="00EF509B" w:rsidP="00476EE6">
            <w:pPr>
              <w:pStyle w:val="Tabletext"/>
              <w:adjustRightInd w:val="0"/>
              <w:snapToGrid w:val="0"/>
              <w:jc w:val="center"/>
              <w:rPr>
                <w:rFonts w:eastAsia="SimSun"/>
                <w:iCs/>
                <w:szCs w:val="18"/>
                <w:bdr w:val="none" w:sz="0" w:space="0" w:color="auto" w:frame="1"/>
                <w:lang w:eastAsia="en-AU"/>
              </w:rPr>
            </w:pPr>
            <w:r w:rsidRPr="00600AD1">
              <w:rPr>
                <w:lang w:eastAsia="en-AU"/>
              </w:rPr>
              <w:t xml:space="preserve">1.10 </w:t>
            </w:r>
            <w:r>
              <w:rPr>
                <w:lang w:eastAsia="en-AU"/>
              </w:rPr>
              <w:br/>
            </w:r>
            <w:r w:rsidRPr="00600AD1">
              <w:rPr>
                <w:lang w:eastAsia="en-AU"/>
              </w:rPr>
              <w:t>(0.85, 1.35)</w:t>
            </w:r>
          </w:p>
        </w:tc>
      </w:tr>
      <w:tr w:rsidR="00EF509B" w:rsidRPr="003A3555" w:rsidTr="00DC0994">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F509B" w:rsidRPr="00600AD1" w:rsidRDefault="00EF509B" w:rsidP="00476EE6">
            <w:pPr>
              <w:pStyle w:val="Tabletext"/>
              <w:adjustRightInd w:val="0"/>
              <w:snapToGrid w:val="0"/>
              <w:rPr>
                <w:rFonts w:eastAsia="SimSun"/>
                <w:iCs/>
                <w:szCs w:val="18"/>
                <w:bdr w:val="none" w:sz="0" w:space="0" w:color="auto" w:frame="1"/>
                <w:lang w:eastAsia="en-AU"/>
              </w:rPr>
            </w:pPr>
            <w:r w:rsidRPr="00600AD1">
              <w:rPr>
                <w:rFonts w:eastAsia="SimSun"/>
                <w:iCs/>
                <w:szCs w:val="18"/>
                <w:bdr w:val="none" w:sz="0" w:space="0" w:color="auto" w:frame="1"/>
                <w:lang w:eastAsia="en-AU"/>
              </w:rPr>
              <w:t>ASCT</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F509B" w:rsidRPr="00600AD1" w:rsidRDefault="00EF509B" w:rsidP="00476EE6">
            <w:pPr>
              <w:pStyle w:val="Tabletext"/>
              <w:adjustRightInd w:val="0"/>
              <w:snapToGrid w:val="0"/>
              <w:jc w:val="center"/>
              <w:rPr>
                <w:rFonts w:eastAsia="SimSun"/>
                <w:iCs/>
                <w:szCs w:val="18"/>
                <w:bdr w:val="none" w:sz="0" w:space="0" w:color="auto" w:frame="1"/>
                <w:lang w:eastAsia="en-AU"/>
              </w:rPr>
            </w:pPr>
            <w:r w:rsidRPr="00600AD1">
              <w:rPr>
                <w:rFonts w:eastAsia="SimSun"/>
                <w:iCs/>
                <w:szCs w:val="18"/>
                <w:bdr w:val="none" w:sz="0" w:space="0" w:color="auto" w:frame="1"/>
                <w:lang w:eastAsia="en-AU"/>
              </w:rPr>
              <w:t>NR</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F509B" w:rsidRPr="00600AD1" w:rsidRDefault="00EF509B" w:rsidP="00476EE6">
            <w:pPr>
              <w:pStyle w:val="Tabletext"/>
              <w:adjustRightInd w:val="0"/>
              <w:snapToGrid w:val="0"/>
              <w:jc w:val="center"/>
              <w:rPr>
                <w:rFonts w:eastAsia="SimSun"/>
                <w:iCs/>
                <w:szCs w:val="18"/>
                <w:bdr w:val="none" w:sz="0" w:space="0" w:color="auto" w:frame="1"/>
                <w:lang w:eastAsia="en-AU"/>
              </w:rPr>
            </w:pPr>
            <w:r w:rsidRPr="00600AD1">
              <w:rPr>
                <w:rFonts w:eastAsia="SimSun"/>
                <w:iCs/>
                <w:szCs w:val="18"/>
                <w:bdr w:val="none" w:sz="0" w:space="0" w:color="auto" w:frame="1"/>
                <w:lang w:eastAsia="en-AU"/>
              </w:rPr>
              <w:t xml:space="preserve">NR </w:t>
            </w:r>
            <w:r>
              <w:rPr>
                <w:rFonts w:eastAsia="SimSun"/>
                <w:iCs/>
                <w:szCs w:val="18"/>
                <w:bdr w:val="none" w:sz="0" w:space="0" w:color="auto" w:frame="1"/>
                <w:lang w:eastAsia="en-AU"/>
              </w:rPr>
              <w:br/>
            </w:r>
            <w:r w:rsidRPr="00600AD1">
              <w:rPr>
                <w:rFonts w:eastAsia="SimSun"/>
                <w:iCs/>
                <w:szCs w:val="18"/>
                <w:bdr w:val="none" w:sz="0" w:space="0" w:color="auto" w:frame="1"/>
                <w:lang w:eastAsia="en-AU"/>
              </w:rPr>
              <w:t>(3-yr OS 75%)</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F509B" w:rsidRPr="00600AD1" w:rsidRDefault="00EF509B" w:rsidP="00476EE6">
            <w:pPr>
              <w:pStyle w:val="Tabletext"/>
              <w:adjustRightInd w:val="0"/>
              <w:snapToGrid w:val="0"/>
              <w:jc w:val="center"/>
              <w:rPr>
                <w:rFonts w:eastAsia="SimSun"/>
                <w:iCs/>
                <w:szCs w:val="18"/>
                <w:bdr w:val="none" w:sz="0" w:space="0" w:color="auto" w:frame="1"/>
                <w:lang w:eastAsia="en-AU"/>
              </w:rPr>
            </w:pPr>
            <w:r w:rsidRPr="00600AD1">
              <w:rPr>
                <w:rFonts w:eastAsia="SimSun"/>
                <w:iCs/>
                <w:szCs w:val="18"/>
                <w:bdr w:val="none" w:sz="0" w:space="0" w:color="auto" w:frame="1"/>
                <w:lang w:eastAsia="en-AU"/>
              </w:rPr>
              <w:t>NR</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F509B" w:rsidRPr="00600AD1" w:rsidRDefault="00EF509B" w:rsidP="00476EE6">
            <w:pPr>
              <w:pStyle w:val="Tabletext"/>
              <w:adjustRightInd w:val="0"/>
              <w:snapToGrid w:val="0"/>
              <w:jc w:val="center"/>
              <w:rPr>
                <w:rFonts w:eastAsia="SimSun"/>
                <w:iCs/>
                <w:szCs w:val="18"/>
                <w:bdr w:val="none" w:sz="0" w:space="0" w:color="auto" w:frame="1"/>
                <w:lang w:eastAsia="en-AU"/>
              </w:rPr>
            </w:pPr>
            <w:r w:rsidRPr="00600AD1">
              <w:rPr>
                <w:rFonts w:eastAsia="SimSun"/>
                <w:iCs/>
                <w:szCs w:val="18"/>
                <w:bdr w:val="none" w:sz="0" w:space="0" w:color="auto" w:frame="1"/>
                <w:lang w:eastAsia="en-AU"/>
              </w:rPr>
              <w:t xml:space="preserve">NR </w:t>
            </w:r>
            <w:r>
              <w:rPr>
                <w:rFonts w:eastAsia="SimSun"/>
                <w:iCs/>
                <w:szCs w:val="18"/>
                <w:bdr w:val="none" w:sz="0" w:space="0" w:color="auto" w:frame="1"/>
                <w:lang w:eastAsia="en-AU"/>
              </w:rPr>
              <w:br/>
            </w:r>
            <w:r w:rsidRPr="00600AD1">
              <w:rPr>
                <w:rFonts w:eastAsia="SimSun"/>
                <w:iCs/>
                <w:szCs w:val="18"/>
                <w:bdr w:val="none" w:sz="0" w:space="0" w:color="auto" w:frame="1"/>
                <w:lang w:eastAsia="en-AU"/>
              </w:rPr>
              <w:t>(3-yr OS 80%)</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F509B" w:rsidRPr="00600AD1" w:rsidRDefault="00EF509B" w:rsidP="00476EE6">
            <w:pPr>
              <w:pStyle w:val="Tabletext"/>
              <w:jc w:val="center"/>
              <w:rPr>
                <w:lang w:eastAsia="en-AU"/>
              </w:rPr>
            </w:pPr>
            <w:r w:rsidRPr="00600AD1">
              <w:rPr>
                <w:rFonts w:eastAsia="SimSun"/>
                <w:iCs/>
                <w:szCs w:val="18"/>
                <w:bdr w:val="none" w:sz="0" w:space="0" w:color="auto" w:frame="1"/>
                <w:lang w:eastAsia="en-AU"/>
              </w:rPr>
              <w:t>NR</w:t>
            </w:r>
          </w:p>
        </w:tc>
        <w:tc>
          <w:tcPr>
            <w:tcW w:w="13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F509B" w:rsidRPr="00600AD1" w:rsidRDefault="00EF509B" w:rsidP="00476EE6">
            <w:pPr>
              <w:pStyle w:val="Tabletext"/>
              <w:adjustRightInd w:val="0"/>
              <w:snapToGrid w:val="0"/>
              <w:jc w:val="center"/>
              <w:rPr>
                <w:rFonts w:eastAsia="SimSun"/>
                <w:iCs/>
                <w:szCs w:val="18"/>
                <w:bdr w:val="none" w:sz="0" w:space="0" w:color="auto" w:frame="1"/>
                <w:lang w:eastAsia="en-AU"/>
              </w:rPr>
            </w:pPr>
            <w:r w:rsidRPr="00600AD1">
              <w:rPr>
                <w:rFonts w:eastAsia="SimSun"/>
                <w:iCs/>
                <w:szCs w:val="18"/>
                <w:bdr w:val="none" w:sz="0" w:space="0" w:color="auto" w:frame="1"/>
                <w:lang w:eastAsia="en-AU"/>
              </w:rPr>
              <w:t>NR</w:t>
            </w:r>
          </w:p>
        </w:tc>
      </w:tr>
      <w:tr w:rsidR="00EF509B" w:rsidRPr="003A3555" w:rsidTr="00DC0994">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F509B" w:rsidRPr="00600AD1" w:rsidRDefault="00EF509B" w:rsidP="00476EE6">
            <w:pPr>
              <w:pStyle w:val="Tabletext"/>
              <w:adjustRightInd w:val="0"/>
              <w:snapToGrid w:val="0"/>
              <w:rPr>
                <w:rFonts w:eastAsia="SimSun"/>
                <w:iCs/>
                <w:szCs w:val="18"/>
                <w:bdr w:val="none" w:sz="0" w:space="0" w:color="auto" w:frame="1"/>
                <w:lang w:eastAsia="en-AU"/>
              </w:rPr>
            </w:pPr>
            <w:r w:rsidRPr="00600AD1">
              <w:rPr>
                <w:rFonts w:eastAsia="SimSun"/>
                <w:iCs/>
                <w:szCs w:val="18"/>
                <w:bdr w:val="none" w:sz="0" w:space="0" w:color="auto" w:frame="1"/>
                <w:lang w:eastAsia="en-AU"/>
              </w:rPr>
              <w:t>Complement</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F509B" w:rsidRPr="00600AD1" w:rsidRDefault="00EF509B" w:rsidP="00476EE6">
            <w:pPr>
              <w:pStyle w:val="Tabletext"/>
              <w:adjustRightInd w:val="0"/>
              <w:snapToGrid w:val="0"/>
              <w:jc w:val="center"/>
              <w:rPr>
                <w:rFonts w:eastAsia="SimSun"/>
                <w:iCs/>
                <w:szCs w:val="18"/>
                <w:bdr w:val="none" w:sz="0" w:space="0" w:color="auto" w:frame="1"/>
                <w:lang w:eastAsia="en-AU"/>
              </w:rPr>
            </w:pPr>
            <w:r w:rsidRPr="00600AD1">
              <w:rPr>
                <w:rFonts w:eastAsia="SimSun"/>
                <w:iCs/>
                <w:szCs w:val="18"/>
                <w:bdr w:val="none" w:sz="0" w:space="0" w:color="auto" w:frame="1"/>
                <w:lang w:eastAsia="en-AU"/>
              </w:rPr>
              <w:t>NR</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F509B" w:rsidRPr="00600AD1" w:rsidDel="009957D8" w:rsidRDefault="00EF509B" w:rsidP="00476EE6">
            <w:pPr>
              <w:pStyle w:val="Tabletext"/>
              <w:adjustRightInd w:val="0"/>
              <w:snapToGrid w:val="0"/>
              <w:jc w:val="center"/>
              <w:rPr>
                <w:rFonts w:eastAsia="SimSun"/>
                <w:iCs/>
                <w:szCs w:val="18"/>
                <w:bdr w:val="none" w:sz="0" w:space="0" w:color="auto" w:frame="1"/>
                <w:lang w:eastAsia="en-AU"/>
              </w:rPr>
            </w:pPr>
            <w:r w:rsidRPr="00600AD1">
              <w:rPr>
                <w:rFonts w:eastAsia="SimSun"/>
                <w:iCs/>
                <w:szCs w:val="18"/>
                <w:bdr w:val="none" w:sz="0" w:space="0" w:color="auto" w:frame="1"/>
                <w:lang w:eastAsia="en-AU"/>
              </w:rPr>
              <w:t>38</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F509B" w:rsidRPr="00600AD1" w:rsidRDefault="00EF509B" w:rsidP="00476EE6">
            <w:pPr>
              <w:pStyle w:val="Tabletext"/>
              <w:adjustRightInd w:val="0"/>
              <w:snapToGrid w:val="0"/>
              <w:jc w:val="center"/>
              <w:rPr>
                <w:rFonts w:eastAsia="SimSun"/>
                <w:iCs/>
                <w:szCs w:val="18"/>
                <w:bdr w:val="none" w:sz="0" w:space="0" w:color="auto" w:frame="1"/>
                <w:lang w:eastAsia="en-AU"/>
              </w:rPr>
            </w:pPr>
            <w:r w:rsidRPr="00600AD1">
              <w:rPr>
                <w:rFonts w:eastAsia="SimSun"/>
                <w:iCs/>
                <w:szCs w:val="18"/>
                <w:bdr w:val="none" w:sz="0" w:space="0" w:color="auto" w:frame="1"/>
                <w:lang w:eastAsia="en-AU"/>
              </w:rPr>
              <w:t>NR</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F509B" w:rsidRPr="00600AD1" w:rsidDel="009957D8" w:rsidRDefault="00EF509B" w:rsidP="00476EE6">
            <w:pPr>
              <w:pStyle w:val="Tabletext"/>
              <w:adjustRightInd w:val="0"/>
              <w:snapToGrid w:val="0"/>
              <w:jc w:val="center"/>
              <w:rPr>
                <w:rFonts w:eastAsia="SimSun"/>
                <w:iCs/>
                <w:szCs w:val="18"/>
                <w:bdr w:val="none" w:sz="0" w:space="0" w:color="auto" w:frame="1"/>
                <w:lang w:eastAsia="en-AU"/>
              </w:rPr>
            </w:pPr>
            <w:r w:rsidRPr="00600AD1">
              <w:rPr>
                <w:rFonts w:eastAsia="SimSun"/>
                <w:iCs/>
                <w:szCs w:val="18"/>
                <w:bdr w:val="none" w:sz="0" w:space="0" w:color="auto" w:frame="1"/>
                <w:lang w:eastAsia="en-AU"/>
              </w:rPr>
              <w:t>39</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F509B" w:rsidRPr="00600AD1" w:rsidRDefault="00EF509B" w:rsidP="00476EE6">
            <w:pPr>
              <w:pStyle w:val="Tabletext"/>
              <w:jc w:val="center"/>
              <w:rPr>
                <w:lang w:eastAsia="en-AU"/>
              </w:rPr>
            </w:pPr>
            <w:r w:rsidRPr="00600AD1">
              <w:rPr>
                <w:lang w:eastAsia="en-AU"/>
              </w:rPr>
              <w:t>-1</w:t>
            </w:r>
          </w:p>
        </w:tc>
        <w:tc>
          <w:tcPr>
            <w:tcW w:w="13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F509B" w:rsidRPr="00600AD1" w:rsidRDefault="00EF509B" w:rsidP="00476EE6">
            <w:pPr>
              <w:pStyle w:val="Tabletext"/>
              <w:adjustRightInd w:val="0"/>
              <w:snapToGrid w:val="0"/>
              <w:jc w:val="center"/>
              <w:rPr>
                <w:rFonts w:eastAsia="SimSun"/>
                <w:iCs/>
                <w:szCs w:val="18"/>
                <w:bdr w:val="none" w:sz="0" w:space="0" w:color="auto" w:frame="1"/>
                <w:lang w:eastAsia="en-AU"/>
              </w:rPr>
            </w:pPr>
            <w:r w:rsidRPr="00600AD1">
              <w:rPr>
                <w:lang w:eastAsia="en-AU"/>
              </w:rPr>
              <w:t xml:space="preserve">1.00 </w:t>
            </w:r>
            <w:r>
              <w:rPr>
                <w:lang w:eastAsia="en-AU"/>
              </w:rPr>
              <w:br/>
            </w:r>
            <w:r w:rsidRPr="00600AD1">
              <w:rPr>
                <w:lang w:eastAsia="en-AU"/>
              </w:rPr>
              <w:t>(0.72, 1.37)</w:t>
            </w:r>
          </w:p>
        </w:tc>
      </w:tr>
      <w:tr w:rsidR="005E7102" w:rsidRPr="00963642" w:rsidTr="00963642">
        <w:trPr>
          <w:trHeight w:val="20"/>
        </w:trPr>
        <w:tc>
          <w:tcPr>
            <w:tcW w:w="8988" w:type="dxa"/>
            <w:gridSpan w:val="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E7102" w:rsidRPr="00963642" w:rsidRDefault="005E7102" w:rsidP="00476EE6">
            <w:pPr>
              <w:pStyle w:val="Tabletext"/>
              <w:adjustRightInd w:val="0"/>
              <w:snapToGrid w:val="0"/>
              <w:rPr>
                <w:rFonts w:eastAsia="SimSun"/>
                <w:b/>
                <w:iCs/>
                <w:szCs w:val="18"/>
                <w:bdr w:val="none" w:sz="0" w:space="0" w:color="auto" w:frame="1"/>
                <w:lang w:eastAsia="en-AU"/>
              </w:rPr>
            </w:pPr>
            <w:r w:rsidRPr="00963642">
              <w:rPr>
                <w:b/>
              </w:rPr>
              <w:t>Myeloma IX (Jan 2012) – median follow-up: 70.8 months</w:t>
            </w:r>
          </w:p>
        </w:tc>
      </w:tr>
      <w:tr w:rsidR="00EF509B" w:rsidRPr="003A3555" w:rsidTr="00DC0994">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F509B" w:rsidRPr="00600AD1" w:rsidRDefault="00EF509B" w:rsidP="00476EE6">
            <w:pPr>
              <w:pStyle w:val="Tabletext"/>
              <w:adjustRightInd w:val="0"/>
              <w:snapToGrid w:val="0"/>
              <w:rPr>
                <w:rFonts w:eastAsia="SimSun"/>
                <w:iCs/>
                <w:szCs w:val="18"/>
                <w:bdr w:val="none" w:sz="0" w:space="0" w:color="auto" w:frame="1"/>
                <w:lang w:eastAsia="en-AU"/>
              </w:rPr>
            </w:pPr>
            <w:r w:rsidRPr="00600AD1">
              <w:t>Whole</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F509B" w:rsidRPr="00600AD1" w:rsidRDefault="00EF509B" w:rsidP="00476EE6">
            <w:pPr>
              <w:pStyle w:val="Tabletext"/>
              <w:adjustRightInd w:val="0"/>
              <w:snapToGrid w:val="0"/>
              <w:jc w:val="center"/>
              <w:rPr>
                <w:rFonts w:eastAsia="SimSun"/>
                <w:iCs/>
                <w:szCs w:val="18"/>
                <w:bdr w:val="none" w:sz="0" w:space="0" w:color="auto" w:frame="1"/>
                <w:lang w:eastAsia="en-AU"/>
              </w:rPr>
            </w:pPr>
            <w:r w:rsidRPr="00600AD1">
              <w:rPr>
                <w:rFonts w:eastAsia="SimSun"/>
                <w:iCs/>
                <w:szCs w:val="18"/>
                <w:bdr w:val="none" w:sz="0" w:space="0" w:color="auto" w:frame="1"/>
                <w:lang w:eastAsia="en-AU"/>
              </w:rPr>
              <w:t>NR</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F509B" w:rsidRPr="00600AD1" w:rsidRDefault="00EF509B" w:rsidP="00476EE6">
            <w:pPr>
              <w:pStyle w:val="Tabletext"/>
              <w:adjustRightInd w:val="0"/>
              <w:snapToGrid w:val="0"/>
              <w:jc w:val="center"/>
              <w:rPr>
                <w:rFonts w:eastAsia="SimSun"/>
                <w:iCs/>
                <w:szCs w:val="18"/>
                <w:bdr w:val="none" w:sz="0" w:space="0" w:color="auto" w:frame="1"/>
                <w:lang w:eastAsia="en-AU"/>
              </w:rPr>
            </w:pPr>
            <w:r w:rsidRPr="00600AD1">
              <w:rPr>
                <w:rFonts w:eastAsia="SimSun"/>
                <w:iCs/>
                <w:szCs w:val="18"/>
                <w:bdr w:val="none" w:sz="0" w:space="0" w:color="auto" w:frame="1"/>
                <w:lang w:eastAsia="en-AU"/>
              </w:rPr>
              <w:t>60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F509B" w:rsidRPr="00600AD1" w:rsidRDefault="00EF509B" w:rsidP="00476EE6">
            <w:pPr>
              <w:pStyle w:val="Tabletext"/>
              <w:adjustRightInd w:val="0"/>
              <w:snapToGrid w:val="0"/>
              <w:jc w:val="center"/>
              <w:rPr>
                <w:rFonts w:eastAsia="SimSun"/>
                <w:iCs/>
                <w:szCs w:val="18"/>
                <w:bdr w:val="none" w:sz="0" w:space="0" w:color="auto" w:frame="1"/>
                <w:lang w:eastAsia="en-AU"/>
              </w:rPr>
            </w:pPr>
            <w:r w:rsidRPr="00600AD1">
              <w:rPr>
                <w:rFonts w:eastAsia="SimSun"/>
                <w:iCs/>
                <w:szCs w:val="18"/>
                <w:bdr w:val="none" w:sz="0" w:space="0" w:color="auto" w:frame="1"/>
                <w:lang w:eastAsia="en-AU"/>
              </w:rPr>
              <w:t>NR</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F509B" w:rsidRPr="00600AD1" w:rsidRDefault="00EF509B" w:rsidP="00476EE6">
            <w:pPr>
              <w:pStyle w:val="Tabletext"/>
              <w:adjustRightInd w:val="0"/>
              <w:snapToGrid w:val="0"/>
              <w:jc w:val="center"/>
              <w:rPr>
                <w:rFonts w:eastAsia="SimSun"/>
                <w:iCs/>
                <w:szCs w:val="18"/>
                <w:bdr w:val="none" w:sz="0" w:space="0" w:color="auto" w:frame="1"/>
                <w:lang w:eastAsia="en-AU"/>
              </w:rPr>
            </w:pPr>
            <w:r w:rsidRPr="00600AD1">
              <w:rPr>
                <w:rFonts w:eastAsia="SimSun"/>
                <w:iCs/>
                <w:szCs w:val="18"/>
                <w:bdr w:val="none" w:sz="0" w:space="0" w:color="auto" w:frame="1"/>
                <w:lang w:eastAsia="en-AU"/>
              </w:rPr>
              <w:t>60</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F509B" w:rsidRPr="00600AD1" w:rsidRDefault="00EF509B" w:rsidP="00476EE6">
            <w:pPr>
              <w:pStyle w:val="Tabletext"/>
              <w:jc w:val="center"/>
              <w:rPr>
                <w:lang w:eastAsia="en-AU"/>
              </w:rPr>
            </w:pPr>
            <w:r w:rsidRPr="00600AD1">
              <w:rPr>
                <w:lang w:eastAsia="en-AU"/>
              </w:rPr>
              <w:t>0</w:t>
            </w:r>
          </w:p>
        </w:tc>
        <w:tc>
          <w:tcPr>
            <w:tcW w:w="13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F509B" w:rsidRPr="00600AD1" w:rsidRDefault="00EF509B" w:rsidP="00476EE6">
            <w:pPr>
              <w:pStyle w:val="Tabletext"/>
              <w:adjustRightInd w:val="0"/>
              <w:snapToGrid w:val="0"/>
              <w:jc w:val="center"/>
              <w:rPr>
                <w:rFonts w:eastAsia="SimSun"/>
                <w:iCs/>
                <w:szCs w:val="18"/>
                <w:bdr w:val="none" w:sz="0" w:space="0" w:color="auto" w:frame="1"/>
                <w:lang w:eastAsia="en-AU"/>
              </w:rPr>
            </w:pPr>
            <w:r w:rsidRPr="00600AD1">
              <w:rPr>
                <w:lang w:eastAsia="en-AU"/>
              </w:rPr>
              <w:t xml:space="preserve">1.04 </w:t>
            </w:r>
            <w:r>
              <w:rPr>
                <w:lang w:eastAsia="en-AU"/>
              </w:rPr>
              <w:br/>
            </w:r>
            <w:r w:rsidRPr="00600AD1">
              <w:rPr>
                <w:lang w:eastAsia="en-AU"/>
              </w:rPr>
              <w:t>(0.85, 1.27)</w:t>
            </w:r>
          </w:p>
        </w:tc>
      </w:tr>
    </w:tbl>
    <w:p w:rsidR="005E7102" w:rsidRPr="00600AD1" w:rsidRDefault="005E7102" w:rsidP="00476EE6">
      <w:pPr>
        <w:widowControl/>
        <w:rPr>
          <w:rFonts w:ascii="Arial Narrow" w:hAnsi="Arial Narrow"/>
          <w:sz w:val="18"/>
          <w:szCs w:val="18"/>
        </w:rPr>
      </w:pPr>
      <w:r w:rsidRPr="00600AD1">
        <w:rPr>
          <w:rFonts w:ascii="Arial Narrow" w:hAnsi="Arial Narrow"/>
          <w:sz w:val="18"/>
          <w:szCs w:val="18"/>
        </w:rPr>
        <w:t>ASCT</w:t>
      </w:r>
      <w:r w:rsidR="00963642">
        <w:rPr>
          <w:rFonts w:ascii="Arial Narrow" w:hAnsi="Arial Narrow"/>
          <w:sz w:val="18"/>
          <w:szCs w:val="18"/>
        </w:rPr>
        <w:t xml:space="preserve"> </w:t>
      </w:r>
      <w:r w:rsidRPr="00600AD1">
        <w:rPr>
          <w:rFonts w:ascii="Arial Narrow" w:hAnsi="Arial Narrow"/>
          <w:sz w:val="18"/>
          <w:szCs w:val="18"/>
        </w:rPr>
        <w:t>=</w:t>
      </w:r>
      <w:r w:rsidR="00963642">
        <w:rPr>
          <w:rFonts w:ascii="Arial Narrow" w:hAnsi="Arial Narrow"/>
          <w:sz w:val="18"/>
          <w:szCs w:val="18"/>
        </w:rPr>
        <w:t xml:space="preserve"> </w:t>
      </w:r>
      <w:r w:rsidRPr="00600AD1">
        <w:rPr>
          <w:rFonts w:ascii="Arial Narrow" w:hAnsi="Arial Narrow"/>
          <w:sz w:val="18"/>
          <w:szCs w:val="18"/>
        </w:rPr>
        <w:t>autologous stem cell transplant; BSC</w:t>
      </w:r>
      <w:r w:rsidR="00963642">
        <w:rPr>
          <w:rFonts w:ascii="Arial Narrow" w:hAnsi="Arial Narrow"/>
          <w:sz w:val="18"/>
          <w:szCs w:val="18"/>
        </w:rPr>
        <w:t xml:space="preserve"> </w:t>
      </w:r>
      <w:r w:rsidRPr="00600AD1">
        <w:rPr>
          <w:rFonts w:ascii="Arial Narrow" w:hAnsi="Arial Narrow"/>
          <w:sz w:val="18"/>
          <w:szCs w:val="18"/>
        </w:rPr>
        <w:t>=</w:t>
      </w:r>
      <w:r w:rsidR="00963642">
        <w:rPr>
          <w:rFonts w:ascii="Arial Narrow" w:hAnsi="Arial Narrow"/>
          <w:sz w:val="18"/>
          <w:szCs w:val="18"/>
        </w:rPr>
        <w:t xml:space="preserve"> </w:t>
      </w:r>
      <w:r w:rsidRPr="00600AD1">
        <w:rPr>
          <w:rFonts w:ascii="Arial Narrow" w:hAnsi="Arial Narrow"/>
          <w:sz w:val="18"/>
          <w:szCs w:val="18"/>
        </w:rPr>
        <w:t xml:space="preserve">best supportive care; </w:t>
      </w:r>
      <w:r w:rsidR="00267836">
        <w:rPr>
          <w:rFonts w:ascii="Arial Narrow" w:hAnsi="Arial Narrow"/>
          <w:sz w:val="18"/>
          <w:szCs w:val="18"/>
        </w:rPr>
        <w:t xml:space="preserve">Ci = confidence interval; </w:t>
      </w:r>
      <w:r w:rsidR="00C53C25">
        <w:rPr>
          <w:rFonts w:ascii="Arial Narrow" w:hAnsi="Arial Narrow"/>
          <w:sz w:val="18"/>
          <w:szCs w:val="18"/>
        </w:rPr>
        <w:t xml:space="preserve">HR = hazard ratio; </w:t>
      </w:r>
      <w:r w:rsidRPr="00600AD1">
        <w:rPr>
          <w:rFonts w:ascii="Arial Narrow" w:hAnsi="Arial Narrow"/>
          <w:sz w:val="18"/>
          <w:szCs w:val="18"/>
        </w:rPr>
        <w:t>NA</w:t>
      </w:r>
      <w:r w:rsidR="00963642">
        <w:rPr>
          <w:rFonts w:ascii="Arial Narrow" w:hAnsi="Arial Narrow"/>
          <w:sz w:val="18"/>
          <w:szCs w:val="18"/>
        </w:rPr>
        <w:t xml:space="preserve"> </w:t>
      </w:r>
      <w:r w:rsidRPr="00600AD1">
        <w:rPr>
          <w:rFonts w:ascii="Arial Narrow" w:hAnsi="Arial Narrow"/>
          <w:sz w:val="18"/>
          <w:szCs w:val="18"/>
        </w:rPr>
        <w:t>=</w:t>
      </w:r>
      <w:r w:rsidR="00963642">
        <w:rPr>
          <w:rFonts w:ascii="Arial Narrow" w:hAnsi="Arial Narrow"/>
          <w:sz w:val="18"/>
          <w:szCs w:val="18"/>
        </w:rPr>
        <w:t xml:space="preserve"> </w:t>
      </w:r>
      <w:r w:rsidRPr="00600AD1">
        <w:rPr>
          <w:rFonts w:ascii="Arial Narrow" w:hAnsi="Arial Narrow"/>
          <w:sz w:val="18"/>
          <w:szCs w:val="18"/>
        </w:rPr>
        <w:t>not applicable; NR</w:t>
      </w:r>
      <w:r w:rsidR="00963642">
        <w:rPr>
          <w:rFonts w:ascii="Arial Narrow" w:hAnsi="Arial Narrow"/>
          <w:sz w:val="18"/>
          <w:szCs w:val="18"/>
        </w:rPr>
        <w:t xml:space="preserve"> </w:t>
      </w:r>
      <w:r w:rsidRPr="00600AD1">
        <w:rPr>
          <w:rFonts w:ascii="Arial Narrow" w:hAnsi="Arial Narrow"/>
          <w:sz w:val="18"/>
          <w:szCs w:val="18"/>
        </w:rPr>
        <w:t>=</w:t>
      </w:r>
      <w:r w:rsidR="00963642">
        <w:rPr>
          <w:rFonts w:ascii="Arial Narrow" w:hAnsi="Arial Narrow"/>
          <w:sz w:val="18"/>
          <w:szCs w:val="18"/>
        </w:rPr>
        <w:t xml:space="preserve"> </w:t>
      </w:r>
      <w:r w:rsidRPr="00600AD1">
        <w:rPr>
          <w:rFonts w:ascii="Arial Narrow" w:hAnsi="Arial Narrow"/>
          <w:sz w:val="18"/>
          <w:szCs w:val="18"/>
        </w:rPr>
        <w:t>not reported; OS</w:t>
      </w:r>
      <w:r w:rsidR="00963642">
        <w:rPr>
          <w:rFonts w:ascii="Arial Narrow" w:hAnsi="Arial Narrow"/>
          <w:sz w:val="18"/>
          <w:szCs w:val="18"/>
        </w:rPr>
        <w:t xml:space="preserve"> </w:t>
      </w:r>
      <w:r w:rsidRPr="00600AD1">
        <w:rPr>
          <w:rFonts w:ascii="Arial Narrow" w:hAnsi="Arial Narrow"/>
          <w:sz w:val="18"/>
          <w:szCs w:val="18"/>
        </w:rPr>
        <w:t>=</w:t>
      </w:r>
      <w:r w:rsidR="00963642">
        <w:rPr>
          <w:rFonts w:ascii="Arial Narrow" w:hAnsi="Arial Narrow"/>
          <w:sz w:val="18"/>
          <w:szCs w:val="18"/>
        </w:rPr>
        <w:t xml:space="preserve"> </w:t>
      </w:r>
      <w:r w:rsidRPr="00600AD1">
        <w:rPr>
          <w:rFonts w:ascii="Arial Narrow" w:hAnsi="Arial Narrow"/>
          <w:sz w:val="18"/>
          <w:szCs w:val="18"/>
        </w:rPr>
        <w:t xml:space="preserve">overall survival. </w:t>
      </w:r>
    </w:p>
    <w:p w:rsidR="005E7102" w:rsidRPr="00600AD1" w:rsidRDefault="005E7102" w:rsidP="00476EE6">
      <w:pPr>
        <w:pStyle w:val="TableFooter"/>
        <w:widowControl/>
        <w:rPr>
          <w:rFonts w:eastAsia="Calibri"/>
        </w:rPr>
      </w:pPr>
      <w:r w:rsidRPr="00600AD1">
        <w:rPr>
          <w:szCs w:val="18"/>
        </w:rPr>
        <w:t xml:space="preserve">Note: </w:t>
      </w:r>
      <w:r w:rsidR="005B41A3" w:rsidRPr="00600AD1">
        <w:rPr>
          <w:rFonts w:eastAsia="Calibri"/>
        </w:rPr>
        <w:t xml:space="preserve">There were no results reported for the ASCT and Complement sub-groups in the Jan-2012 data </w:t>
      </w:r>
      <w:proofErr w:type="spellStart"/>
      <w:r w:rsidR="005B41A3" w:rsidRPr="00600AD1">
        <w:rPr>
          <w:rFonts w:eastAsia="Calibri"/>
        </w:rPr>
        <w:t>cutoff</w:t>
      </w:r>
      <w:proofErr w:type="spellEnd"/>
      <w:r w:rsidR="005B41A3" w:rsidRPr="00600AD1">
        <w:rPr>
          <w:rFonts w:eastAsia="Calibri"/>
        </w:rPr>
        <w:t xml:space="preserve">. Inverse </w:t>
      </w:r>
      <w:r w:rsidRPr="00600AD1">
        <w:rPr>
          <w:rFonts w:eastAsia="Calibri"/>
        </w:rPr>
        <w:t>HR reported in submission.</w:t>
      </w:r>
      <w:r w:rsidRPr="00600AD1">
        <w:t xml:space="preserve"> Statistically significant differences bolded.</w:t>
      </w:r>
    </w:p>
    <w:p w:rsidR="005E7102" w:rsidRPr="00600AD1" w:rsidRDefault="005E7102" w:rsidP="00476EE6">
      <w:pPr>
        <w:pStyle w:val="TableFooter"/>
        <w:widowControl/>
        <w:rPr>
          <w:sz w:val="20"/>
        </w:rPr>
      </w:pPr>
      <w:bookmarkStart w:id="32" w:name="_Hlk532213534"/>
      <w:r w:rsidRPr="00600AD1">
        <w:t xml:space="preserve">Source: Table 2.5.1, p.80, Table 2.6.1, p.108 &amp; Figure 2.6.1, p.109 of the March 2018 submission. </w:t>
      </w:r>
      <w:proofErr w:type="gramStart"/>
      <w:r w:rsidRPr="00600AD1">
        <w:t>p.10</w:t>
      </w:r>
      <w:proofErr w:type="gramEnd"/>
      <w:r w:rsidRPr="00600AD1">
        <w:t xml:space="preserve"> Morgan 2012. </w:t>
      </w:r>
      <w:r w:rsidRPr="00600AD1">
        <w:rPr>
          <w:szCs w:val="18"/>
        </w:rPr>
        <w:t>Myeloma IX data (Jan-2012) extracted from Morgan 2013.</w:t>
      </w:r>
    </w:p>
    <w:bookmarkEnd w:id="32"/>
    <w:p w:rsidR="005E7102" w:rsidRPr="003A3555" w:rsidRDefault="005E7102" w:rsidP="00BE016A">
      <w:pPr>
        <w:pStyle w:val="ListParagraph"/>
        <w:widowControl/>
        <w:numPr>
          <w:ilvl w:val="1"/>
          <w:numId w:val="2"/>
        </w:numPr>
        <w:spacing w:before="120"/>
        <w:rPr>
          <w:rStyle w:val="CommentReference"/>
          <w:rFonts w:ascii="Calibri" w:hAnsi="Calibri" w:cs="Calibri"/>
          <w:b w:val="0"/>
          <w:snapToGrid/>
          <w:sz w:val="24"/>
          <w:szCs w:val="24"/>
          <w:lang w:eastAsia="en-AU"/>
        </w:rPr>
      </w:pPr>
      <w:r w:rsidRPr="003A3555">
        <w:rPr>
          <w:rFonts w:cs="Calibri"/>
          <w:snapToGrid/>
          <w:szCs w:val="24"/>
          <w:lang w:eastAsia="en-AU"/>
        </w:rPr>
        <w:t xml:space="preserve">The PFS and OS results for MM6 </w:t>
      </w:r>
      <w:proofErr w:type="gramStart"/>
      <w:r w:rsidRPr="003A3555">
        <w:rPr>
          <w:rFonts w:cs="Calibri"/>
          <w:snapToGrid/>
          <w:szCs w:val="24"/>
          <w:lang w:eastAsia="en-AU"/>
        </w:rPr>
        <w:t>are presented</w:t>
      </w:r>
      <w:proofErr w:type="gramEnd"/>
      <w:r w:rsidRPr="003A3555">
        <w:rPr>
          <w:rFonts w:cs="Calibri"/>
          <w:snapToGrid/>
          <w:szCs w:val="24"/>
          <w:lang w:eastAsia="en-AU"/>
        </w:rPr>
        <w:t xml:space="preserve"> in Table 1</w:t>
      </w:r>
      <w:r w:rsidR="00A8030B" w:rsidRPr="003A3555">
        <w:rPr>
          <w:rFonts w:cs="Calibri"/>
          <w:snapToGrid/>
          <w:szCs w:val="24"/>
          <w:lang w:eastAsia="en-AU"/>
        </w:rPr>
        <w:t>4</w:t>
      </w:r>
      <w:r w:rsidRPr="003A3555">
        <w:rPr>
          <w:rFonts w:cs="Calibri"/>
          <w:snapToGrid/>
          <w:szCs w:val="24"/>
          <w:lang w:eastAsia="en-AU"/>
        </w:rPr>
        <w:t xml:space="preserve">. A statistically significant improvement in PFS and OS </w:t>
      </w:r>
      <w:r w:rsidR="00A8030B" w:rsidRPr="003A3555">
        <w:rPr>
          <w:rFonts w:cs="Calibri"/>
          <w:snapToGrid/>
          <w:szCs w:val="24"/>
          <w:lang w:eastAsia="en-AU"/>
        </w:rPr>
        <w:t xml:space="preserve">in favour of thalidomide </w:t>
      </w:r>
      <w:proofErr w:type="gramStart"/>
      <w:r w:rsidRPr="003A3555">
        <w:rPr>
          <w:rFonts w:cs="Calibri"/>
          <w:snapToGrid/>
          <w:szCs w:val="24"/>
          <w:lang w:eastAsia="en-AU"/>
        </w:rPr>
        <w:t>was noted</w:t>
      </w:r>
      <w:proofErr w:type="gramEnd"/>
      <w:r w:rsidRPr="003A3555">
        <w:rPr>
          <w:rFonts w:cs="Calibri"/>
          <w:snapToGrid/>
          <w:szCs w:val="24"/>
          <w:lang w:eastAsia="en-AU"/>
        </w:rPr>
        <w:t xml:space="preserve"> at both analysis time</w:t>
      </w:r>
      <w:r w:rsidR="002D3AF3">
        <w:rPr>
          <w:rFonts w:cs="Calibri"/>
          <w:snapToGrid/>
          <w:szCs w:val="24"/>
          <w:lang w:eastAsia="en-AU"/>
        </w:rPr>
        <w:t xml:space="preserve"> </w:t>
      </w:r>
      <w:r w:rsidRPr="003A3555">
        <w:rPr>
          <w:rFonts w:cs="Calibri"/>
          <w:snapToGrid/>
          <w:szCs w:val="24"/>
          <w:lang w:eastAsia="en-AU"/>
        </w:rPr>
        <w:t xml:space="preserve">points (3-years and 5-years). </w:t>
      </w:r>
    </w:p>
    <w:p w:rsidR="005E7102" w:rsidRPr="003A3555" w:rsidRDefault="005E7102" w:rsidP="00D04B59">
      <w:pPr>
        <w:keepNext/>
        <w:widowControl/>
        <w:rPr>
          <w:rStyle w:val="CommentReference"/>
        </w:rPr>
      </w:pPr>
      <w:r w:rsidRPr="003A3555">
        <w:rPr>
          <w:rStyle w:val="CommentReference"/>
        </w:rPr>
        <w:lastRenderedPageBreak/>
        <w:t xml:space="preserve">Table </w:t>
      </w:r>
      <w:r w:rsidR="009F0EFA" w:rsidRPr="003A3555">
        <w:rPr>
          <w:rStyle w:val="CommentReference"/>
        </w:rPr>
        <w:t>1</w:t>
      </w:r>
      <w:r w:rsidR="00A8030B" w:rsidRPr="003A3555">
        <w:rPr>
          <w:rStyle w:val="CommentReference"/>
        </w:rPr>
        <w:t>4</w:t>
      </w:r>
      <w:r w:rsidRPr="003A3555">
        <w:rPr>
          <w:rStyle w:val="CommentReference"/>
        </w:rPr>
        <w:t xml:space="preserve">: </w:t>
      </w:r>
      <w:r w:rsidR="009A6A3D" w:rsidRPr="003A3555">
        <w:rPr>
          <w:rStyle w:val="CommentReference"/>
        </w:rPr>
        <w:t xml:space="preserve">MM6 – </w:t>
      </w:r>
      <w:r w:rsidRPr="003A3555">
        <w:rPr>
          <w:rStyle w:val="CommentReference"/>
        </w:rPr>
        <w:t xml:space="preserve">Summary of survival outcomes </w:t>
      </w:r>
      <w:r w:rsidR="00AF1C83">
        <w:rPr>
          <w:rStyle w:val="CommentReference"/>
        </w:rPr>
        <w:t>– thalidomide versus BSC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28" w:type="dxa"/>
          <w:right w:w="28" w:type="dxa"/>
        </w:tblCellMar>
        <w:tblLook w:val="04A0" w:firstRow="1" w:lastRow="0" w:firstColumn="1" w:lastColumn="0" w:noHBand="0" w:noVBand="1"/>
        <w:tblCaption w:val="Table 14: MM6 – Summary of survival outcomes – thalidomide versus BSC"/>
      </w:tblPr>
      <w:tblGrid>
        <w:gridCol w:w="2830"/>
        <w:gridCol w:w="1560"/>
        <w:gridCol w:w="1559"/>
        <w:gridCol w:w="1417"/>
        <w:gridCol w:w="1651"/>
      </w:tblGrid>
      <w:tr w:rsidR="005E7102" w:rsidRPr="003A3555" w:rsidTr="00631B13">
        <w:trPr>
          <w:tblHeader/>
        </w:trPr>
        <w:tc>
          <w:tcPr>
            <w:tcW w:w="2830" w:type="dxa"/>
            <w:shd w:val="clear" w:color="auto" w:fill="auto"/>
            <w:vAlign w:val="center"/>
          </w:tcPr>
          <w:p w:rsidR="005E7102" w:rsidRPr="003A3555" w:rsidRDefault="005E7102" w:rsidP="00D04B59">
            <w:pPr>
              <w:pStyle w:val="Tabletext"/>
              <w:keepNext/>
              <w:rPr>
                <w:b/>
              </w:rPr>
            </w:pPr>
          </w:p>
        </w:tc>
        <w:tc>
          <w:tcPr>
            <w:tcW w:w="1560" w:type="dxa"/>
            <w:shd w:val="clear" w:color="auto" w:fill="auto"/>
            <w:vAlign w:val="center"/>
          </w:tcPr>
          <w:p w:rsidR="005E7102" w:rsidRDefault="00963642" w:rsidP="00D04B59">
            <w:pPr>
              <w:pStyle w:val="Tabletext"/>
              <w:keepNext/>
              <w:jc w:val="center"/>
              <w:rPr>
                <w:b/>
              </w:rPr>
            </w:pPr>
            <w:r>
              <w:rPr>
                <w:b/>
              </w:rPr>
              <w:t>Thalidomide</w:t>
            </w:r>
          </w:p>
          <w:p w:rsidR="008776E4" w:rsidRPr="003A3555" w:rsidRDefault="008776E4" w:rsidP="00D04B59">
            <w:pPr>
              <w:pStyle w:val="Tabletext"/>
              <w:keepNext/>
              <w:jc w:val="center"/>
              <w:rPr>
                <w:b/>
              </w:rPr>
            </w:pPr>
            <w:r>
              <w:rPr>
                <w:b/>
              </w:rPr>
              <w:t>N = 114</w:t>
            </w:r>
          </w:p>
        </w:tc>
        <w:tc>
          <w:tcPr>
            <w:tcW w:w="1559" w:type="dxa"/>
            <w:shd w:val="clear" w:color="auto" w:fill="auto"/>
            <w:vAlign w:val="center"/>
          </w:tcPr>
          <w:p w:rsidR="005E7102" w:rsidRDefault="005E7102" w:rsidP="00D04B59">
            <w:pPr>
              <w:pStyle w:val="Tabletext"/>
              <w:keepNext/>
              <w:jc w:val="center"/>
              <w:rPr>
                <w:b/>
              </w:rPr>
            </w:pPr>
            <w:r w:rsidRPr="003A3555">
              <w:rPr>
                <w:b/>
              </w:rPr>
              <w:t xml:space="preserve">BSC </w:t>
            </w:r>
          </w:p>
          <w:p w:rsidR="008776E4" w:rsidRPr="003A3555" w:rsidRDefault="008776E4" w:rsidP="00D04B59">
            <w:pPr>
              <w:pStyle w:val="Tabletext"/>
              <w:keepNext/>
              <w:jc w:val="center"/>
              <w:rPr>
                <w:b/>
              </w:rPr>
            </w:pPr>
            <w:r>
              <w:rPr>
                <w:b/>
              </w:rPr>
              <w:t>N = 129</w:t>
            </w:r>
          </w:p>
        </w:tc>
        <w:tc>
          <w:tcPr>
            <w:tcW w:w="1417" w:type="dxa"/>
            <w:shd w:val="clear" w:color="auto" w:fill="auto"/>
            <w:vAlign w:val="center"/>
          </w:tcPr>
          <w:p w:rsidR="005E7102" w:rsidRPr="003A3555" w:rsidRDefault="005E7102" w:rsidP="00D04B59">
            <w:pPr>
              <w:pStyle w:val="Tabletext"/>
              <w:keepNext/>
              <w:jc w:val="center"/>
              <w:rPr>
                <w:b/>
              </w:rPr>
            </w:pPr>
            <w:r w:rsidRPr="003A3555">
              <w:rPr>
                <w:b/>
              </w:rPr>
              <w:t>Absolute difference</w:t>
            </w:r>
          </w:p>
        </w:tc>
        <w:tc>
          <w:tcPr>
            <w:tcW w:w="1651" w:type="dxa"/>
            <w:shd w:val="clear" w:color="auto" w:fill="auto"/>
            <w:vAlign w:val="center"/>
          </w:tcPr>
          <w:p w:rsidR="005E7102" w:rsidRPr="003A3555" w:rsidRDefault="005E7102" w:rsidP="00D04B59">
            <w:pPr>
              <w:pStyle w:val="Tabletext"/>
              <w:keepNext/>
              <w:jc w:val="center"/>
              <w:rPr>
                <w:b/>
              </w:rPr>
            </w:pPr>
            <w:r w:rsidRPr="003A3555">
              <w:rPr>
                <w:b/>
              </w:rPr>
              <w:t>HR (95% CI)</w:t>
            </w:r>
          </w:p>
        </w:tc>
      </w:tr>
      <w:tr w:rsidR="005E7102" w:rsidRPr="003A3555" w:rsidTr="003A3555">
        <w:tc>
          <w:tcPr>
            <w:tcW w:w="9017" w:type="dxa"/>
            <w:gridSpan w:val="5"/>
            <w:tcBorders>
              <w:bottom w:val="single" w:sz="4" w:space="0" w:color="auto"/>
            </w:tcBorders>
            <w:shd w:val="clear" w:color="auto" w:fill="auto"/>
            <w:vAlign w:val="center"/>
          </w:tcPr>
          <w:p w:rsidR="005E7102" w:rsidRPr="003A3555" w:rsidRDefault="005E7102" w:rsidP="00D04B59">
            <w:pPr>
              <w:pStyle w:val="Tabletext"/>
              <w:keepNext/>
              <w:rPr>
                <w:b/>
              </w:rPr>
            </w:pPr>
            <w:r w:rsidRPr="003A3555">
              <w:rPr>
                <w:b/>
              </w:rPr>
              <w:t>Progression-free survival</w:t>
            </w:r>
          </w:p>
        </w:tc>
      </w:tr>
      <w:tr w:rsidR="005E7102" w:rsidRPr="003A3555" w:rsidTr="00631B13">
        <w:tc>
          <w:tcPr>
            <w:tcW w:w="2830" w:type="dxa"/>
            <w:tcBorders>
              <w:right w:val="nil"/>
            </w:tcBorders>
            <w:shd w:val="clear" w:color="auto" w:fill="auto"/>
            <w:vAlign w:val="center"/>
          </w:tcPr>
          <w:p w:rsidR="005E7102" w:rsidRPr="00600AD1" w:rsidRDefault="005E7102" w:rsidP="00D04B59">
            <w:pPr>
              <w:pStyle w:val="Tabletext"/>
              <w:keepNext/>
            </w:pPr>
            <w:r w:rsidRPr="00600AD1">
              <w:t>3-year follow-up</w:t>
            </w:r>
          </w:p>
        </w:tc>
        <w:tc>
          <w:tcPr>
            <w:tcW w:w="1560" w:type="dxa"/>
            <w:tcBorders>
              <w:left w:val="nil"/>
              <w:right w:val="nil"/>
            </w:tcBorders>
            <w:shd w:val="clear" w:color="auto" w:fill="auto"/>
            <w:vAlign w:val="center"/>
          </w:tcPr>
          <w:p w:rsidR="005E7102" w:rsidRPr="00600AD1" w:rsidRDefault="005E7102" w:rsidP="00D04B59">
            <w:pPr>
              <w:pStyle w:val="Tabletext"/>
              <w:keepNext/>
              <w:jc w:val="center"/>
            </w:pPr>
          </w:p>
        </w:tc>
        <w:tc>
          <w:tcPr>
            <w:tcW w:w="1559" w:type="dxa"/>
            <w:tcBorders>
              <w:left w:val="nil"/>
              <w:right w:val="nil"/>
            </w:tcBorders>
            <w:shd w:val="clear" w:color="auto" w:fill="auto"/>
            <w:vAlign w:val="center"/>
          </w:tcPr>
          <w:p w:rsidR="005E7102" w:rsidRPr="00600AD1" w:rsidRDefault="005E7102" w:rsidP="00D04B59">
            <w:pPr>
              <w:pStyle w:val="Tabletext"/>
              <w:keepNext/>
              <w:jc w:val="center"/>
            </w:pPr>
          </w:p>
        </w:tc>
        <w:tc>
          <w:tcPr>
            <w:tcW w:w="1417" w:type="dxa"/>
            <w:tcBorders>
              <w:left w:val="nil"/>
              <w:right w:val="nil"/>
            </w:tcBorders>
            <w:shd w:val="clear" w:color="auto" w:fill="auto"/>
            <w:vAlign w:val="center"/>
          </w:tcPr>
          <w:p w:rsidR="005E7102" w:rsidRPr="00600AD1" w:rsidRDefault="005E7102" w:rsidP="00D04B59">
            <w:pPr>
              <w:pStyle w:val="Tabletext"/>
              <w:keepNext/>
              <w:jc w:val="center"/>
            </w:pPr>
          </w:p>
        </w:tc>
        <w:tc>
          <w:tcPr>
            <w:tcW w:w="1651" w:type="dxa"/>
            <w:tcBorders>
              <w:left w:val="nil"/>
            </w:tcBorders>
            <w:shd w:val="clear" w:color="auto" w:fill="auto"/>
            <w:vAlign w:val="center"/>
          </w:tcPr>
          <w:p w:rsidR="005E7102" w:rsidRPr="00600AD1" w:rsidRDefault="005E7102" w:rsidP="00D04B59">
            <w:pPr>
              <w:pStyle w:val="Tabletext"/>
              <w:keepNext/>
              <w:jc w:val="center"/>
            </w:pPr>
          </w:p>
        </w:tc>
      </w:tr>
      <w:tr w:rsidR="005E7102" w:rsidRPr="003A3555" w:rsidTr="00631B13">
        <w:tc>
          <w:tcPr>
            <w:tcW w:w="2830" w:type="dxa"/>
            <w:shd w:val="clear" w:color="auto" w:fill="auto"/>
            <w:vAlign w:val="center"/>
          </w:tcPr>
          <w:p w:rsidR="005E7102" w:rsidRPr="00600AD1" w:rsidRDefault="00963642" w:rsidP="00D04B59">
            <w:pPr>
              <w:pStyle w:val="Tabletext"/>
              <w:keepNext/>
            </w:pPr>
            <w:r>
              <w:t xml:space="preserve">  </w:t>
            </w:r>
            <w:r w:rsidR="005E7102" w:rsidRPr="00600AD1">
              <w:t>Patients with event</w:t>
            </w:r>
            <w:r>
              <w:t>,</w:t>
            </w:r>
            <w:r w:rsidR="005E7102" w:rsidRPr="00600AD1">
              <w:t xml:space="preserve"> n/N (%)</w:t>
            </w:r>
          </w:p>
        </w:tc>
        <w:tc>
          <w:tcPr>
            <w:tcW w:w="1560" w:type="dxa"/>
            <w:shd w:val="clear" w:color="auto" w:fill="auto"/>
            <w:vAlign w:val="center"/>
          </w:tcPr>
          <w:p w:rsidR="005E7102" w:rsidRPr="00600AD1" w:rsidRDefault="005E7102" w:rsidP="00D04B59">
            <w:pPr>
              <w:pStyle w:val="Tabletext"/>
              <w:keepNext/>
              <w:jc w:val="center"/>
            </w:pPr>
            <w:r w:rsidRPr="00600AD1">
              <w:t>42%</w:t>
            </w:r>
          </w:p>
        </w:tc>
        <w:tc>
          <w:tcPr>
            <w:tcW w:w="1559" w:type="dxa"/>
            <w:shd w:val="clear" w:color="auto" w:fill="auto"/>
            <w:vAlign w:val="center"/>
          </w:tcPr>
          <w:p w:rsidR="005E7102" w:rsidRPr="00600AD1" w:rsidRDefault="005E7102" w:rsidP="00D04B59">
            <w:pPr>
              <w:pStyle w:val="Tabletext"/>
              <w:keepNext/>
              <w:jc w:val="center"/>
            </w:pPr>
            <w:r w:rsidRPr="00600AD1">
              <w:t>23%</w:t>
            </w:r>
          </w:p>
        </w:tc>
        <w:tc>
          <w:tcPr>
            <w:tcW w:w="1417" w:type="dxa"/>
            <w:shd w:val="clear" w:color="auto" w:fill="auto"/>
            <w:vAlign w:val="center"/>
          </w:tcPr>
          <w:p w:rsidR="005E7102" w:rsidRPr="00600AD1" w:rsidRDefault="005E7102" w:rsidP="00D04B59">
            <w:pPr>
              <w:pStyle w:val="Tabletext"/>
              <w:keepNext/>
              <w:jc w:val="center"/>
            </w:pPr>
            <w:r w:rsidRPr="00600AD1">
              <w:t>19%</w:t>
            </w:r>
          </w:p>
        </w:tc>
        <w:tc>
          <w:tcPr>
            <w:tcW w:w="1651" w:type="dxa"/>
            <w:shd w:val="clear" w:color="auto" w:fill="auto"/>
            <w:vAlign w:val="center"/>
          </w:tcPr>
          <w:p w:rsidR="005E7102" w:rsidRPr="00600AD1" w:rsidRDefault="005E7102" w:rsidP="00D04B59">
            <w:pPr>
              <w:pStyle w:val="Tabletext"/>
              <w:keepNext/>
              <w:jc w:val="center"/>
            </w:pPr>
            <w:r w:rsidRPr="00600AD1">
              <w:t>-</w:t>
            </w:r>
          </w:p>
        </w:tc>
      </w:tr>
      <w:tr w:rsidR="005E7102" w:rsidRPr="003A3555" w:rsidTr="00631B13">
        <w:tc>
          <w:tcPr>
            <w:tcW w:w="2830" w:type="dxa"/>
            <w:tcBorders>
              <w:bottom w:val="single" w:sz="4" w:space="0" w:color="auto"/>
            </w:tcBorders>
            <w:shd w:val="clear" w:color="auto" w:fill="auto"/>
            <w:vAlign w:val="center"/>
          </w:tcPr>
          <w:p w:rsidR="005E7102" w:rsidRPr="00600AD1" w:rsidRDefault="00963642" w:rsidP="00D04B59">
            <w:pPr>
              <w:pStyle w:val="Tabletext"/>
              <w:keepNext/>
            </w:pPr>
            <w:r>
              <w:t xml:space="preserve">  </w:t>
            </w:r>
            <w:r w:rsidR="005E7102" w:rsidRPr="00600AD1">
              <w:t>Median PFS</w:t>
            </w:r>
            <w:r>
              <w:t>,</w:t>
            </w:r>
            <w:r w:rsidR="005E7102" w:rsidRPr="00600AD1">
              <w:t xml:space="preserve"> months (95% CI)</w:t>
            </w:r>
          </w:p>
        </w:tc>
        <w:tc>
          <w:tcPr>
            <w:tcW w:w="1560" w:type="dxa"/>
            <w:tcBorders>
              <w:bottom w:val="single" w:sz="4" w:space="0" w:color="auto"/>
            </w:tcBorders>
            <w:shd w:val="clear" w:color="auto" w:fill="auto"/>
            <w:vAlign w:val="center"/>
          </w:tcPr>
          <w:p w:rsidR="005E7102" w:rsidRPr="00600AD1" w:rsidRDefault="005E7102" w:rsidP="00D04B59">
            <w:pPr>
              <w:pStyle w:val="Tabletext"/>
              <w:keepNext/>
              <w:jc w:val="center"/>
            </w:pPr>
            <w:r w:rsidRPr="00600AD1">
              <w:t>30.6 (26.9, 40.1)</w:t>
            </w:r>
          </w:p>
        </w:tc>
        <w:tc>
          <w:tcPr>
            <w:tcW w:w="1559" w:type="dxa"/>
            <w:tcBorders>
              <w:bottom w:val="single" w:sz="4" w:space="0" w:color="auto"/>
            </w:tcBorders>
            <w:shd w:val="clear" w:color="auto" w:fill="auto"/>
            <w:vAlign w:val="center"/>
          </w:tcPr>
          <w:p w:rsidR="005E7102" w:rsidRPr="00600AD1" w:rsidRDefault="005E7102" w:rsidP="00D04B59">
            <w:pPr>
              <w:pStyle w:val="Tabletext"/>
              <w:keepNext/>
              <w:jc w:val="center"/>
            </w:pPr>
            <w:r w:rsidRPr="00600AD1">
              <w:t>18.4 (15.8, 24.1)</w:t>
            </w:r>
          </w:p>
        </w:tc>
        <w:tc>
          <w:tcPr>
            <w:tcW w:w="1417" w:type="dxa"/>
            <w:tcBorders>
              <w:bottom w:val="single" w:sz="4" w:space="0" w:color="auto"/>
            </w:tcBorders>
            <w:shd w:val="clear" w:color="auto" w:fill="auto"/>
            <w:vAlign w:val="center"/>
          </w:tcPr>
          <w:p w:rsidR="005E7102" w:rsidRPr="00600AD1" w:rsidRDefault="005E7102" w:rsidP="00D04B59">
            <w:pPr>
              <w:pStyle w:val="Tabletext"/>
              <w:keepNext/>
              <w:jc w:val="center"/>
            </w:pPr>
            <w:r w:rsidRPr="00600AD1">
              <w:t>12.2</w:t>
            </w:r>
          </w:p>
        </w:tc>
        <w:tc>
          <w:tcPr>
            <w:tcW w:w="1651" w:type="dxa"/>
            <w:tcBorders>
              <w:bottom w:val="single" w:sz="4" w:space="0" w:color="auto"/>
            </w:tcBorders>
            <w:shd w:val="clear" w:color="auto" w:fill="auto"/>
            <w:vAlign w:val="center"/>
          </w:tcPr>
          <w:p w:rsidR="005E7102" w:rsidRPr="00600AD1" w:rsidRDefault="00963642" w:rsidP="00D04B59">
            <w:pPr>
              <w:pStyle w:val="Tabletext"/>
              <w:keepNext/>
              <w:jc w:val="center"/>
              <w:rPr>
                <w:b/>
              </w:rPr>
            </w:pPr>
            <w:r>
              <w:rPr>
                <w:b/>
              </w:rPr>
              <w:t>0.50 (0.35, 0.71)</w:t>
            </w:r>
          </w:p>
        </w:tc>
      </w:tr>
      <w:tr w:rsidR="005E7102" w:rsidRPr="003A3555" w:rsidTr="00631B13">
        <w:tc>
          <w:tcPr>
            <w:tcW w:w="2830" w:type="dxa"/>
            <w:tcBorders>
              <w:right w:val="nil"/>
            </w:tcBorders>
            <w:shd w:val="clear" w:color="auto" w:fill="auto"/>
            <w:vAlign w:val="center"/>
          </w:tcPr>
          <w:p w:rsidR="005E7102" w:rsidRPr="00600AD1" w:rsidRDefault="005E7102" w:rsidP="00D04B59">
            <w:pPr>
              <w:pStyle w:val="Tabletext"/>
              <w:keepNext/>
            </w:pPr>
            <w:r w:rsidRPr="00600AD1">
              <w:t>5.4-year follow-up</w:t>
            </w:r>
          </w:p>
        </w:tc>
        <w:tc>
          <w:tcPr>
            <w:tcW w:w="1560" w:type="dxa"/>
            <w:tcBorders>
              <w:left w:val="nil"/>
              <w:right w:val="nil"/>
            </w:tcBorders>
            <w:shd w:val="clear" w:color="auto" w:fill="auto"/>
            <w:vAlign w:val="center"/>
          </w:tcPr>
          <w:p w:rsidR="005E7102" w:rsidRPr="00600AD1" w:rsidRDefault="005E7102" w:rsidP="00D04B59">
            <w:pPr>
              <w:pStyle w:val="Tabletext"/>
              <w:keepNext/>
              <w:jc w:val="center"/>
            </w:pPr>
          </w:p>
        </w:tc>
        <w:tc>
          <w:tcPr>
            <w:tcW w:w="1559" w:type="dxa"/>
            <w:tcBorders>
              <w:left w:val="nil"/>
              <w:right w:val="nil"/>
            </w:tcBorders>
            <w:shd w:val="clear" w:color="auto" w:fill="auto"/>
            <w:vAlign w:val="center"/>
          </w:tcPr>
          <w:p w:rsidR="005E7102" w:rsidRPr="00600AD1" w:rsidRDefault="005E7102" w:rsidP="00D04B59">
            <w:pPr>
              <w:pStyle w:val="Tabletext"/>
              <w:keepNext/>
              <w:jc w:val="center"/>
            </w:pPr>
          </w:p>
        </w:tc>
        <w:tc>
          <w:tcPr>
            <w:tcW w:w="1417" w:type="dxa"/>
            <w:tcBorders>
              <w:left w:val="nil"/>
              <w:right w:val="nil"/>
            </w:tcBorders>
            <w:shd w:val="clear" w:color="auto" w:fill="auto"/>
            <w:vAlign w:val="center"/>
          </w:tcPr>
          <w:p w:rsidR="005E7102" w:rsidRPr="00600AD1" w:rsidRDefault="005E7102" w:rsidP="00D04B59">
            <w:pPr>
              <w:pStyle w:val="Tabletext"/>
              <w:keepNext/>
              <w:jc w:val="center"/>
            </w:pPr>
          </w:p>
        </w:tc>
        <w:tc>
          <w:tcPr>
            <w:tcW w:w="1651" w:type="dxa"/>
            <w:tcBorders>
              <w:left w:val="nil"/>
            </w:tcBorders>
            <w:shd w:val="clear" w:color="auto" w:fill="auto"/>
            <w:vAlign w:val="center"/>
          </w:tcPr>
          <w:p w:rsidR="005E7102" w:rsidRPr="00600AD1" w:rsidRDefault="005E7102" w:rsidP="00D04B59">
            <w:pPr>
              <w:pStyle w:val="Tabletext"/>
              <w:keepNext/>
              <w:jc w:val="center"/>
            </w:pPr>
          </w:p>
        </w:tc>
      </w:tr>
      <w:tr w:rsidR="005E7102" w:rsidRPr="003A3555" w:rsidTr="00631B13">
        <w:tc>
          <w:tcPr>
            <w:tcW w:w="2830" w:type="dxa"/>
            <w:shd w:val="clear" w:color="auto" w:fill="auto"/>
            <w:vAlign w:val="center"/>
          </w:tcPr>
          <w:p w:rsidR="005E7102" w:rsidRPr="00600AD1" w:rsidRDefault="00963642" w:rsidP="00D04B59">
            <w:pPr>
              <w:pStyle w:val="Tabletext"/>
              <w:keepNext/>
            </w:pPr>
            <w:r>
              <w:t xml:space="preserve">  </w:t>
            </w:r>
            <w:r w:rsidR="005E7102" w:rsidRPr="00600AD1">
              <w:t>Patient with event</w:t>
            </w:r>
            <w:r>
              <w:t>,</w:t>
            </w:r>
            <w:r w:rsidR="005E7102" w:rsidRPr="00600AD1">
              <w:t xml:space="preserve"> n/N (%)</w:t>
            </w:r>
          </w:p>
        </w:tc>
        <w:tc>
          <w:tcPr>
            <w:tcW w:w="1560" w:type="dxa"/>
            <w:shd w:val="clear" w:color="auto" w:fill="auto"/>
            <w:vAlign w:val="center"/>
          </w:tcPr>
          <w:p w:rsidR="005E7102" w:rsidRPr="00600AD1" w:rsidRDefault="005E7102" w:rsidP="00D04B59">
            <w:pPr>
              <w:pStyle w:val="Tabletext"/>
              <w:keepNext/>
              <w:jc w:val="center"/>
            </w:pPr>
            <w:r w:rsidRPr="00600AD1">
              <w:t>-</w:t>
            </w:r>
          </w:p>
        </w:tc>
        <w:tc>
          <w:tcPr>
            <w:tcW w:w="1559" w:type="dxa"/>
            <w:shd w:val="clear" w:color="auto" w:fill="auto"/>
            <w:vAlign w:val="center"/>
          </w:tcPr>
          <w:p w:rsidR="005E7102" w:rsidRPr="00600AD1" w:rsidRDefault="005E7102" w:rsidP="00D04B59">
            <w:pPr>
              <w:pStyle w:val="Tabletext"/>
              <w:keepNext/>
              <w:jc w:val="center"/>
            </w:pPr>
            <w:r w:rsidRPr="00600AD1">
              <w:t>-</w:t>
            </w:r>
          </w:p>
        </w:tc>
        <w:tc>
          <w:tcPr>
            <w:tcW w:w="1417" w:type="dxa"/>
            <w:shd w:val="clear" w:color="auto" w:fill="auto"/>
            <w:vAlign w:val="center"/>
          </w:tcPr>
          <w:p w:rsidR="005E7102" w:rsidRPr="00600AD1" w:rsidRDefault="005E7102" w:rsidP="00D04B59">
            <w:pPr>
              <w:pStyle w:val="Tabletext"/>
              <w:keepNext/>
              <w:jc w:val="center"/>
            </w:pPr>
            <w:r w:rsidRPr="00600AD1">
              <w:t>-</w:t>
            </w:r>
          </w:p>
        </w:tc>
        <w:tc>
          <w:tcPr>
            <w:tcW w:w="1651" w:type="dxa"/>
            <w:shd w:val="clear" w:color="auto" w:fill="auto"/>
            <w:vAlign w:val="center"/>
          </w:tcPr>
          <w:p w:rsidR="005E7102" w:rsidRPr="00600AD1" w:rsidRDefault="005E7102" w:rsidP="00D04B59">
            <w:pPr>
              <w:pStyle w:val="Tabletext"/>
              <w:keepNext/>
              <w:jc w:val="center"/>
            </w:pPr>
            <w:r w:rsidRPr="00600AD1">
              <w:t>-</w:t>
            </w:r>
          </w:p>
        </w:tc>
      </w:tr>
      <w:tr w:rsidR="005E7102" w:rsidRPr="003A3555" w:rsidTr="00631B13">
        <w:tc>
          <w:tcPr>
            <w:tcW w:w="2830" w:type="dxa"/>
            <w:shd w:val="clear" w:color="auto" w:fill="auto"/>
            <w:vAlign w:val="center"/>
          </w:tcPr>
          <w:p w:rsidR="005E7102" w:rsidRPr="00600AD1" w:rsidRDefault="00963642" w:rsidP="00D04B59">
            <w:pPr>
              <w:pStyle w:val="Tabletext"/>
              <w:keepNext/>
            </w:pPr>
            <w:r>
              <w:t xml:space="preserve">  </w:t>
            </w:r>
            <w:r w:rsidR="005E7102" w:rsidRPr="00600AD1">
              <w:t>Median PFS</w:t>
            </w:r>
            <w:r>
              <w:t>,</w:t>
            </w:r>
            <w:r w:rsidR="005E7102" w:rsidRPr="00600AD1">
              <w:t xml:space="preserve"> months (95% CI)</w:t>
            </w:r>
          </w:p>
        </w:tc>
        <w:tc>
          <w:tcPr>
            <w:tcW w:w="1560" w:type="dxa"/>
            <w:shd w:val="clear" w:color="auto" w:fill="auto"/>
            <w:vAlign w:val="center"/>
          </w:tcPr>
          <w:p w:rsidR="005E7102" w:rsidRPr="00600AD1" w:rsidRDefault="005E7102" w:rsidP="00D04B59">
            <w:pPr>
              <w:pStyle w:val="Tabletext"/>
              <w:keepNext/>
              <w:jc w:val="center"/>
            </w:pPr>
            <w:r w:rsidRPr="00600AD1">
              <w:t>32.4 (25.2, 38.4)</w:t>
            </w:r>
          </w:p>
        </w:tc>
        <w:tc>
          <w:tcPr>
            <w:tcW w:w="1559" w:type="dxa"/>
            <w:shd w:val="clear" w:color="auto" w:fill="auto"/>
            <w:vAlign w:val="center"/>
          </w:tcPr>
          <w:p w:rsidR="005E7102" w:rsidRPr="00600AD1" w:rsidRDefault="005E7102" w:rsidP="00D04B59">
            <w:pPr>
              <w:pStyle w:val="Tabletext"/>
              <w:keepNext/>
              <w:jc w:val="center"/>
            </w:pPr>
            <w:r w:rsidRPr="00600AD1">
              <w:t>18.0 (13.2, 21.6)</w:t>
            </w:r>
          </w:p>
        </w:tc>
        <w:tc>
          <w:tcPr>
            <w:tcW w:w="1417" w:type="dxa"/>
            <w:shd w:val="clear" w:color="auto" w:fill="auto"/>
            <w:vAlign w:val="center"/>
          </w:tcPr>
          <w:p w:rsidR="005E7102" w:rsidRPr="00600AD1" w:rsidRDefault="005E7102" w:rsidP="00D04B59">
            <w:pPr>
              <w:pStyle w:val="Tabletext"/>
              <w:keepNext/>
              <w:jc w:val="center"/>
            </w:pPr>
            <w:r w:rsidRPr="00600AD1">
              <w:t>14.4</w:t>
            </w:r>
          </w:p>
        </w:tc>
        <w:tc>
          <w:tcPr>
            <w:tcW w:w="1651" w:type="dxa"/>
            <w:shd w:val="clear" w:color="auto" w:fill="auto"/>
            <w:vAlign w:val="center"/>
          </w:tcPr>
          <w:p w:rsidR="005E7102" w:rsidRPr="00600AD1" w:rsidRDefault="00963642" w:rsidP="00D04B59">
            <w:pPr>
              <w:pStyle w:val="Tabletext"/>
              <w:keepNext/>
              <w:jc w:val="center"/>
              <w:rPr>
                <w:b/>
              </w:rPr>
            </w:pPr>
            <w:r>
              <w:rPr>
                <w:b/>
              </w:rPr>
              <w:t>0.16 (0.04, 0.58)</w:t>
            </w:r>
          </w:p>
        </w:tc>
      </w:tr>
      <w:tr w:rsidR="005E7102" w:rsidRPr="003A3555" w:rsidTr="003A3555">
        <w:tc>
          <w:tcPr>
            <w:tcW w:w="9017" w:type="dxa"/>
            <w:gridSpan w:val="5"/>
            <w:tcBorders>
              <w:bottom w:val="single" w:sz="4" w:space="0" w:color="auto"/>
            </w:tcBorders>
            <w:shd w:val="clear" w:color="auto" w:fill="auto"/>
            <w:vAlign w:val="center"/>
          </w:tcPr>
          <w:p w:rsidR="005E7102" w:rsidRPr="00600AD1" w:rsidRDefault="005E7102" w:rsidP="00D04B59">
            <w:pPr>
              <w:pStyle w:val="Tabletext"/>
              <w:keepNext/>
              <w:rPr>
                <w:b/>
              </w:rPr>
            </w:pPr>
            <w:r w:rsidRPr="00600AD1">
              <w:rPr>
                <w:b/>
              </w:rPr>
              <w:t>Overall survival</w:t>
            </w:r>
          </w:p>
        </w:tc>
      </w:tr>
      <w:tr w:rsidR="005E7102" w:rsidRPr="003A3555" w:rsidTr="00631B13">
        <w:tc>
          <w:tcPr>
            <w:tcW w:w="2830" w:type="dxa"/>
            <w:tcBorders>
              <w:right w:val="nil"/>
            </w:tcBorders>
            <w:shd w:val="clear" w:color="auto" w:fill="auto"/>
          </w:tcPr>
          <w:p w:rsidR="005E7102" w:rsidRPr="00600AD1" w:rsidRDefault="005E7102" w:rsidP="00D04B59">
            <w:pPr>
              <w:pStyle w:val="Tabletext"/>
              <w:keepNext/>
            </w:pPr>
            <w:r w:rsidRPr="00600AD1">
              <w:t>3-year follow-up</w:t>
            </w:r>
          </w:p>
        </w:tc>
        <w:tc>
          <w:tcPr>
            <w:tcW w:w="1560" w:type="dxa"/>
            <w:tcBorders>
              <w:left w:val="nil"/>
              <w:right w:val="nil"/>
            </w:tcBorders>
            <w:shd w:val="clear" w:color="auto" w:fill="auto"/>
            <w:vAlign w:val="center"/>
          </w:tcPr>
          <w:p w:rsidR="005E7102" w:rsidRPr="00600AD1" w:rsidRDefault="005E7102" w:rsidP="00D04B59">
            <w:pPr>
              <w:pStyle w:val="Tabletext"/>
              <w:keepNext/>
              <w:jc w:val="center"/>
            </w:pPr>
          </w:p>
        </w:tc>
        <w:tc>
          <w:tcPr>
            <w:tcW w:w="1559" w:type="dxa"/>
            <w:tcBorders>
              <w:left w:val="nil"/>
              <w:right w:val="nil"/>
            </w:tcBorders>
            <w:shd w:val="clear" w:color="auto" w:fill="auto"/>
            <w:vAlign w:val="center"/>
          </w:tcPr>
          <w:p w:rsidR="005E7102" w:rsidRPr="00600AD1" w:rsidRDefault="005E7102" w:rsidP="00D04B59">
            <w:pPr>
              <w:pStyle w:val="Tabletext"/>
              <w:keepNext/>
              <w:jc w:val="center"/>
            </w:pPr>
          </w:p>
        </w:tc>
        <w:tc>
          <w:tcPr>
            <w:tcW w:w="1417" w:type="dxa"/>
            <w:tcBorders>
              <w:left w:val="nil"/>
              <w:right w:val="nil"/>
            </w:tcBorders>
            <w:shd w:val="clear" w:color="auto" w:fill="auto"/>
            <w:vAlign w:val="center"/>
          </w:tcPr>
          <w:p w:rsidR="005E7102" w:rsidRPr="00600AD1" w:rsidRDefault="005E7102" w:rsidP="00D04B59">
            <w:pPr>
              <w:pStyle w:val="Tabletext"/>
              <w:keepNext/>
              <w:jc w:val="center"/>
            </w:pPr>
          </w:p>
        </w:tc>
        <w:tc>
          <w:tcPr>
            <w:tcW w:w="1651" w:type="dxa"/>
            <w:tcBorders>
              <w:left w:val="nil"/>
            </w:tcBorders>
            <w:shd w:val="clear" w:color="auto" w:fill="auto"/>
            <w:vAlign w:val="center"/>
          </w:tcPr>
          <w:p w:rsidR="005E7102" w:rsidRPr="00600AD1" w:rsidRDefault="005E7102" w:rsidP="00D04B59">
            <w:pPr>
              <w:pStyle w:val="Tabletext"/>
              <w:keepNext/>
              <w:jc w:val="center"/>
            </w:pPr>
          </w:p>
        </w:tc>
      </w:tr>
      <w:tr w:rsidR="005E7102" w:rsidRPr="003A3555" w:rsidTr="00631B13">
        <w:tc>
          <w:tcPr>
            <w:tcW w:w="2830" w:type="dxa"/>
            <w:shd w:val="clear" w:color="auto" w:fill="auto"/>
          </w:tcPr>
          <w:p w:rsidR="005E7102" w:rsidRPr="00600AD1" w:rsidRDefault="00963642" w:rsidP="00D04B59">
            <w:pPr>
              <w:pStyle w:val="Tabletext"/>
              <w:keepNext/>
            </w:pPr>
            <w:r>
              <w:t xml:space="preserve">  </w:t>
            </w:r>
            <w:r w:rsidR="005E7102" w:rsidRPr="00600AD1">
              <w:t>Patients with event</w:t>
            </w:r>
            <w:r>
              <w:t>,</w:t>
            </w:r>
            <w:r w:rsidR="005E7102" w:rsidRPr="00600AD1">
              <w:t xml:space="preserve"> n/N (%)</w:t>
            </w:r>
          </w:p>
        </w:tc>
        <w:tc>
          <w:tcPr>
            <w:tcW w:w="1560" w:type="dxa"/>
            <w:shd w:val="clear" w:color="auto" w:fill="auto"/>
            <w:vAlign w:val="center"/>
          </w:tcPr>
          <w:p w:rsidR="005E7102" w:rsidRPr="00600AD1" w:rsidRDefault="005E7102" w:rsidP="00D04B59">
            <w:pPr>
              <w:pStyle w:val="Tabletext"/>
              <w:keepNext/>
              <w:jc w:val="center"/>
            </w:pPr>
            <w:r w:rsidRPr="00600AD1">
              <w:t>86%</w:t>
            </w:r>
          </w:p>
        </w:tc>
        <w:tc>
          <w:tcPr>
            <w:tcW w:w="1559" w:type="dxa"/>
            <w:shd w:val="clear" w:color="auto" w:fill="auto"/>
            <w:vAlign w:val="center"/>
          </w:tcPr>
          <w:p w:rsidR="005E7102" w:rsidRPr="00600AD1" w:rsidRDefault="005E7102" w:rsidP="00D04B59">
            <w:pPr>
              <w:pStyle w:val="Tabletext"/>
              <w:keepNext/>
              <w:jc w:val="center"/>
            </w:pPr>
            <w:r w:rsidRPr="00600AD1">
              <w:t>75%</w:t>
            </w:r>
          </w:p>
        </w:tc>
        <w:tc>
          <w:tcPr>
            <w:tcW w:w="1417" w:type="dxa"/>
            <w:shd w:val="clear" w:color="auto" w:fill="auto"/>
            <w:vAlign w:val="center"/>
          </w:tcPr>
          <w:p w:rsidR="005E7102" w:rsidRPr="00600AD1" w:rsidRDefault="005E7102" w:rsidP="00D04B59">
            <w:pPr>
              <w:pStyle w:val="Tabletext"/>
              <w:keepNext/>
              <w:jc w:val="center"/>
            </w:pPr>
            <w:r w:rsidRPr="00600AD1">
              <w:t>11%</w:t>
            </w:r>
          </w:p>
        </w:tc>
        <w:tc>
          <w:tcPr>
            <w:tcW w:w="1651" w:type="dxa"/>
            <w:shd w:val="clear" w:color="auto" w:fill="auto"/>
            <w:vAlign w:val="center"/>
          </w:tcPr>
          <w:p w:rsidR="005E7102" w:rsidRPr="00600AD1" w:rsidRDefault="005E7102" w:rsidP="00D04B59">
            <w:pPr>
              <w:pStyle w:val="Tabletext"/>
              <w:keepNext/>
              <w:jc w:val="center"/>
            </w:pPr>
          </w:p>
        </w:tc>
      </w:tr>
      <w:tr w:rsidR="005E7102" w:rsidRPr="003A3555" w:rsidTr="00631B13">
        <w:tc>
          <w:tcPr>
            <w:tcW w:w="2830" w:type="dxa"/>
            <w:tcBorders>
              <w:bottom w:val="single" w:sz="4" w:space="0" w:color="auto"/>
            </w:tcBorders>
            <w:shd w:val="clear" w:color="auto" w:fill="auto"/>
          </w:tcPr>
          <w:p w:rsidR="005E7102" w:rsidRPr="00600AD1" w:rsidRDefault="00963642" w:rsidP="00D04B59">
            <w:pPr>
              <w:pStyle w:val="Tabletext"/>
              <w:keepNext/>
            </w:pPr>
            <w:r>
              <w:t xml:space="preserve">  </w:t>
            </w:r>
            <w:r w:rsidR="005E7102" w:rsidRPr="00600AD1">
              <w:t>Median OS</w:t>
            </w:r>
            <w:r>
              <w:t>,</w:t>
            </w:r>
            <w:r w:rsidR="005E7102" w:rsidRPr="00600AD1">
              <w:t xml:space="preserve"> months (95% CI)</w:t>
            </w:r>
          </w:p>
        </w:tc>
        <w:tc>
          <w:tcPr>
            <w:tcW w:w="1560" w:type="dxa"/>
            <w:tcBorders>
              <w:bottom w:val="single" w:sz="4" w:space="0" w:color="auto"/>
            </w:tcBorders>
            <w:shd w:val="clear" w:color="auto" w:fill="auto"/>
            <w:vAlign w:val="center"/>
          </w:tcPr>
          <w:p w:rsidR="005E7102" w:rsidRPr="00600AD1" w:rsidRDefault="005E7102" w:rsidP="00D04B59">
            <w:pPr>
              <w:pStyle w:val="Tabletext"/>
              <w:keepNext/>
              <w:jc w:val="center"/>
            </w:pPr>
            <w:r w:rsidRPr="00600AD1">
              <w:t>-</w:t>
            </w:r>
          </w:p>
        </w:tc>
        <w:tc>
          <w:tcPr>
            <w:tcW w:w="1559" w:type="dxa"/>
            <w:tcBorders>
              <w:bottom w:val="single" w:sz="4" w:space="0" w:color="auto"/>
            </w:tcBorders>
            <w:shd w:val="clear" w:color="auto" w:fill="auto"/>
            <w:vAlign w:val="center"/>
          </w:tcPr>
          <w:p w:rsidR="005E7102" w:rsidRPr="00600AD1" w:rsidRDefault="005E7102" w:rsidP="00D04B59">
            <w:pPr>
              <w:pStyle w:val="Tabletext"/>
              <w:keepNext/>
              <w:jc w:val="center"/>
            </w:pPr>
            <w:r w:rsidRPr="00600AD1">
              <w:t>-</w:t>
            </w:r>
          </w:p>
        </w:tc>
        <w:tc>
          <w:tcPr>
            <w:tcW w:w="1417" w:type="dxa"/>
            <w:tcBorders>
              <w:bottom w:val="single" w:sz="4" w:space="0" w:color="auto"/>
            </w:tcBorders>
            <w:shd w:val="clear" w:color="auto" w:fill="auto"/>
            <w:vAlign w:val="center"/>
          </w:tcPr>
          <w:p w:rsidR="005E7102" w:rsidRPr="00600AD1" w:rsidRDefault="005E7102" w:rsidP="00D04B59">
            <w:pPr>
              <w:pStyle w:val="Tabletext"/>
              <w:keepNext/>
              <w:jc w:val="center"/>
            </w:pPr>
            <w:r w:rsidRPr="00600AD1">
              <w:t>-</w:t>
            </w:r>
          </w:p>
        </w:tc>
        <w:tc>
          <w:tcPr>
            <w:tcW w:w="1651" w:type="dxa"/>
            <w:tcBorders>
              <w:bottom w:val="single" w:sz="4" w:space="0" w:color="auto"/>
            </w:tcBorders>
            <w:shd w:val="clear" w:color="auto" w:fill="auto"/>
            <w:vAlign w:val="center"/>
          </w:tcPr>
          <w:p w:rsidR="005E7102" w:rsidRPr="00600AD1" w:rsidRDefault="005E7102" w:rsidP="00D04B59">
            <w:pPr>
              <w:pStyle w:val="Tabletext"/>
              <w:keepNext/>
              <w:jc w:val="center"/>
              <w:rPr>
                <w:b/>
              </w:rPr>
            </w:pPr>
            <w:r w:rsidRPr="00600AD1">
              <w:rPr>
                <w:b/>
              </w:rPr>
              <w:t>0.41 (0.22,</w:t>
            </w:r>
            <w:r w:rsidR="00C53C25">
              <w:rPr>
                <w:b/>
              </w:rPr>
              <w:t xml:space="preserve"> </w:t>
            </w:r>
            <w:r w:rsidRPr="00600AD1">
              <w:rPr>
                <w:b/>
              </w:rPr>
              <w:t>0.76)</w:t>
            </w:r>
          </w:p>
        </w:tc>
      </w:tr>
      <w:tr w:rsidR="005E7102" w:rsidRPr="003A3555" w:rsidTr="00631B13">
        <w:tc>
          <w:tcPr>
            <w:tcW w:w="2830" w:type="dxa"/>
            <w:tcBorders>
              <w:right w:val="nil"/>
            </w:tcBorders>
            <w:shd w:val="clear" w:color="auto" w:fill="auto"/>
            <w:vAlign w:val="center"/>
          </w:tcPr>
          <w:p w:rsidR="005E7102" w:rsidRPr="00600AD1" w:rsidRDefault="005E7102" w:rsidP="00D04B59">
            <w:pPr>
              <w:pStyle w:val="Tabletext"/>
              <w:keepNext/>
            </w:pPr>
            <w:r w:rsidRPr="00600AD1">
              <w:t>5.4-year follow-up</w:t>
            </w:r>
          </w:p>
        </w:tc>
        <w:tc>
          <w:tcPr>
            <w:tcW w:w="1560" w:type="dxa"/>
            <w:tcBorders>
              <w:left w:val="nil"/>
              <w:right w:val="nil"/>
            </w:tcBorders>
            <w:shd w:val="clear" w:color="auto" w:fill="auto"/>
            <w:vAlign w:val="center"/>
          </w:tcPr>
          <w:p w:rsidR="005E7102" w:rsidRPr="00600AD1" w:rsidRDefault="005E7102" w:rsidP="00D04B59">
            <w:pPr>
              <w:pStyle w:val="Tabletext"/>
              <w:keepNext/>
              <w:jc w:val="center"/>
            </w:pPr>
          </w:p>
        </w:tc>
        <w:tc>
          <w:tcPr>
            <w:tcW w:w="1559" w:type="dxa"/>
            <w:tcBorders>
              <w:left w:val="nil"/>
              <w:right w:val="nil"/>
            </w:tcBorders>
            <w:shd w:val="clear" w:color="auto" w:fill="auto"/>
            <w:vAlign w:val="center"/>
          </w:tcPr>
          <w:p w:rsidR="005E7102" w:rsidRPr="00600AD1" w:rsidRDefault="005E7102" w:rsidP="00D04B59">
            <w:pPr>
              <w:pStyle w:val="Tabletext"/>
              <w:keepNext/>
              <w:jc w:val="center"/>
            </w:pPr>
          </w:p>
        </w:tc>
        <w:tc>
          <w:tcPr>
            <w:tcW w:w="1417" w:type="dxa"/>
            <w:tcBorders>
              <w:left w:val="nil"/>
              <w:right w:val="nil"/>
            </w:tcBorders>
            <w:shd w:val="clear" w:color="auto" w:fill="auto"/>
            <w:vAlign w:val="center"/>
          </w:tcPr>
          <w:p w:rsidR="005E7102" w:rsidRPr="00600AD1" w:rsidRDefault="005E7102" w:rsidP="00D04B59">
            <w:pPr>
              <w:pStyle w:val="Tabletext"/>
              <w:keepNext/>
              <w:jc w:val="center"/>
            </w:pPr>
          </w:p>
        </w:tc>
        <w:tc>
          <w:tcPr>
            <w:tcW w:w="1651" w:type="dxa"/>
            <w:tcBorders>
              <w:left w:val="nil"/>
            </w:tcBorders>
            <w:shd w:val="clear" w:color="auto" w:fill="auto"/>
            <w:vAlign w:val="center"/>
          </w:tcPr>
          <w:p w:rsidR="005E7102" w:rsidRPr="00600AD1" w:rsidRDefault="005E7102" w:rsidP="00D04B59">
            <w:pPr>
              <w:pStyle w:val="Tabletext"/>
              <w:keepNext/>
              <w:jc w:val="center"/>
            </w:pPr>
          </w:p>
        </w:tc>
      </w:tr>
      <w:tr w:rsidR="005E7102" w:rsidRPr="003A3555" w:rsidTr="00631B13">
        <w:tc>
          <w:tcPr>
            <w:tcW w:w="2830" w:type="dxa"/>
            <w:shd w:val="clear" w:color="auto" w:fill="auto"/>
            <w:vAlign w:val="center"/>
          </w:tcPr>
          <w:p w:rsidR="005E7102" w:rsidRPr="00600AD1" w:rsidRDefault="00963642" w:rsidP="00D04B59">
            <w:pPr>
              <w:pStyle w:val="Tabletext"/>
              <w:keepNext/>
            </w:pPr>
            <w:r>
              <w:t xml:space="preserve">  </w:t>
            </w:r>
            <w:r w:rsidR="005E7102" w:rsidRPr="00600AD1">
              <w:t>Patients with event</w:t>
            </w:r>
            <w:r>
              <w:t>, n/N (%)</w:t>
            </w:r>
            <w:r w:rsidR="005E7102" w:rsidRPr="00600AD1">
              <w:t xml:space="preserve"> </w:t>
            </w:r>
          </w:p>
        </w:tc>
        <w:tc>
          <w:tcPr>
            <w:tcW w:w="1560" w:type="dxa"/>
            <w:shd w:val="clear" w:color="auto" w:fill="auto"/>
            <w:vAlign w:val="center"/>
          </w:tcPr>
          <w:p w:rsidR="005E7102" w:rsidRPr="00600AD1" w:rsidRDefault="005E7102" w:rsidP="00D04B59">
            <w:pPr>
              <w:pStyle w:val="Tabletext"/>
              <w:keepNext/>
              <w:jc w:val="center"/>
            </w:pPr>
            <w:r w:rsidRPr="00600AD1">
              <w:t>-</w:t>
            </w:r>
          </w:p>
        </w:tc>
        <w:tc>
          <w:tcPr>
            <w:tcW w:w="1559" w:type="dxa"/>
            <w:shd w:val="clear" w:color="auto" w:fill="auto"/>
            <w:vAlign w:val="center"/>
          </w:tcPr>
          <w:p w:rsidR="005E7102" w:rsidRPr="00600AD1" w:rsidRDefault="005E7102" w:rsidP="00D04B59">
            <w:pPr>
              <w:pStyle w:val="Tabletext"/>
              <w:keepNext/>
              <w:jc w:val="center"/>
            </w:pPr>
            <w:r w:rsidRPr="00600AD1">
              <w:t>-</w:t>
            </w:r>
          </w:p>
        </w:tc>
        <w:tc>
          <w:tcPr>
            <w:tcW w:w="1417" w:type="dxa"/>
            <w:shd w:val="clear" w:color="auto" w:fill="auto"/>
            <w:vAlign w:val="center"/>
          </w:tcPr>
          <w:p w:rsidR="005E7102" w:rsidRPr="00600AD1" w:rsidRDefault="005E7102" w:rsidP="00D04B59">
            <w:pPr>
              <w:pStyle w:val="Tabletext"/>
              <w:keepNext/>
              <w:jc w:val="center"/>
            </w:pPr>
            <w:r w:rsidRPr="00600AD1">
              <w:t>-</w:t>
            </w:r>
          </w:p>
        </w:tc>
        <w:tc>
          <w:tcPr>
            <w:tcW w:w="1651" w:type="dxa"/>
            <w:shd w:val="clear" w:color="auto" w:fill="auto"/>
            <w:vAlign w:val="center"/>
          </w:tcPr>
          <w:p w:rsidR="005E7102" w:rsidRPr="00600AD1" w:rsidRDefault="005E7102" w:rsidP="00D04B59">
            <w:pPr>
              <w:pStyle w:val="Tabletext"/>
              <w:keepNext/>
              <w:jc w:val="center"/>
            </w:pPr>
            <w:r w:rsidRPr="00600AD1">
              <w:t>-</w:t>
            </w:r>
          </w:p>
        </w:tc>
      </w:tr>
      <w:tr w:rsidR="005E7102" w:rsidRPr="003A3555" w:rsidTr="00631B13">
        <w:tc>
          <w:tcPr>
            <w:tcW w:w="2830" w:type="dxa"/>
            <w:shd w:val="clear" w:color="auto" w:fill="auto"/>
            <w:vAlign w:val="center"/>
          </w:tcPr>
          <w:p w:rsidR="005E7102" w:rsidRPr="003A3555" w:rsidRDefault="00963642" w:rsidP="00D04B59">
            <w:pPr>
              <w:pStyle w:val="Tabletext"/>
              <w:keepNext/>
            </w:pPr>
            <w:r>
              <w:t xml:space="preserve">  </w:t>
            </w:r>
            <w:r w:rsidR="005E7102" w:rsidRPr="003A3555">
              <w:t xml:space="preserve">Median </w:t>
            </w:r>
            <w:r>
              <w:t xml:space="preserve">OS, </w:t>
            </w:r>
            <w:r w:rsidR="005E7102" w:rsidRPr="003A3555">
              <w:t>months (95% CI)</w:t>
            </w:r>
          </w:p>
        </w:tc>
        <w:tc>
          <w:tcPr>
            <w:tcW w:w="1560" w:type="dxa"/>
            <w:shd w:val="clear" w:color="auto" w:fill="auto"/>
            <w:vAlign w:val="center"/>
          </w:tcPr>
          <w:p w:rsidR="005E7102" w:rsidRPr="00963642" w:rsidRDefault="005E7102" w:rsidP="00D04B59">
            <w:pPr>
              <w:pStyle w:val="Tabletext"/>
              <w:keepNext/>
              <w:jc w:val="center"/>
            </w:pPr>
            <w:r w:rsidRPr="00963642">
              <w:t>102.0 (88.8, 116.4)</w:t>
            </w:r>
          </w:p>
        </w:tc>
        <w:tc>
          <w:tcPr>
            <w:tcW w:w="1559" w:type="dxa"/>
            <w:shd w:val="clear" w:color="auto" w:fill="auto"/>
            <w:vAlign w:val="center"/>
          </w:tcPr>
          <w:p w:rsidR="005E7102" w:rsidRPr="00963642" w:rsidRDefault="005E7102" w:rsidP="00D04B59">
            <w:pPr>
              <w:pStyle w:val="Tabletext"/>
              <w:keepNext/>
              <w:jc w:val="center"/>
            </w:pPr>
            <w:r w:rsidRPr="00963642">
              <w:t>54.0 (46.8, 61.2)</w:t>
            </w:r>
          </w:p>
        </w:tc>
        <w:tc>
          <w:tcPr>
            <w:tcW w:w="1417" w:type="dxa"/>
            <w:shd w:val="clear" w:color="auto" w:fill="auto"/>
            <w:vAlign w:val="center"/>
          </w:tcPr>
          <w:p w:rsidR="005E7102" w:rsidRPr="00963642" w:rsidRDefault="005E7102" w:rsidP="00D04B59">
            <w:pPr>
              <w:pStyle w:val="Tabletext"/>
              <w:keepNext/>
              <w:jc w:val="center"/>
            </w:pPr>
            <w:r w:rsidRPr="00963642">
              <w:t>48.0</w:t>
            </w:r>
          </w:p>
        </w:tc>
        <w:tc>
          <w:tcPr>
            <w:tcW w:w="1651" w:type="dxa"/>
            <w:shd w:val="clear" w:color="auto" w:fill="auto"/>
            <w:vAlign w:val="center"/>
          </w:tcPr>
          <w:p w:rsidR="005E7102" w:rsidRPr="003A3555" w:rsidRDefault="005E7102" w:rsidP="00D04B59">
            <w:pPr>
              <w:pStyle w:val="Tabletext"/>
              <w:keepNext/>
              <w:jc w:val="center"/>
              <w:rPr>
                <w:b/>
              </w:rPr>
            </w:pPr>
            <w:r w:rsidRPr="003A3555">
              <w:rPr>
                <w:b/>
              </w:rPr>
              <w:t>0.12 (0.0</w:t>
            </w:r>
            <w:r w:rsidR="00C53C25">
              <w:rPr>
                <w:b/>
              </w:rPr>
              <w:t>3</w:t>
            </w:r>
            <w:r w:rsidRPr="003A3555">
              <w:rPr>
                <w:b/>
              </w:rPr>
              <w:t>, 0.56)</w:t>
            </w:r>
          </w:p>
        </w:tc>
      </w:tr>
    </w:tbl>
    <w:p w:rsidR="005E7102" w:rsidRPr="003A3555" w:rsidRDefault="00963642" w:rsidP="00D04B59">
      <w:pPr>
        <w:pStyle w:val="TableFooter"/>
        <w:keepNext/>
        <w:keepLines/>
        <w:widowControl/>
        <w:rPr>
          <w:color w:val="000000" w:themeColor="text1"/>
        </w:rPr>
      </w:pPr>
      <w:r>
        <w:rPr>
          <w:color w:val="000000" w:themeColor="text1"/>
        </w:rPr>
        <w:t>B</w:t>
      </w:r>
      <w:r w:rsidR="005E7102" w:rsidRPr="003A3555">
        <w:rPr>
          <w:color w:val="000000" w:themeColor="text1"/>
        </w:rPr>
        <w:t>SC</w:t>
      </w:r>
      <w:r>
        <w:rPr>
          <w:color w:val="000000" w:themeColor="text1"/>
        </w:rPr>
        <w:t xml:space="preserve"> </w:t>
      </w:r>
      <w:r w:rsidR="005E7102" w:rsidRPr="003A3555">
        <w:rPr>
          <w:color w:val="000000" w:themeColor="text1"/>
        </w:rPr>
        <w:t>=</w:t>
      </w:r>
      <w:r>
        <w:rPr>
          <w:color w:val="000000" w:themeColor="text1"/>
        </w:rPr>
        <w:t xml:space="preserve"> </w:t>
      </w:r>
      <w:r w:rsidR="005E7102" w:rsidRPr="003A3555">
        <w:rPr>
          <w:color w:val="000000" w:themeColor="text1"/>
        </w:rPr>
        <w:t>best supportive care; CI</w:t>
      </w:r>
      <w:r>
        <w:rPr>
          <w:color w:val="000000" w:themeColor="text1"/>
        </w:rPr>
        <w:t xml:space="preserve"> </w:t>
      </w:r>
      <w:r w:rsidR="005E7102" w:rsidRPr="003A3555">
        <w:rPr>
          <w:color w:val="000000" w:themeColor="text1"/>
        </w:rPr>
        <w:t>=</w:t>
      </w:r>
      <w:r>
        <w:rPr>
          <w:color w:val="000000" w:themeColor="text1"/>
        </w:rPr>
        <w:t xml:space="preserve"> </w:t>
      </w:r>
      <w:r w:rsidR="005E7102" w:rsidRPr="003A3555">
        <w:rPr>
          <w:color w:val="000000" w:themeColor="text1"/>
        </w:rPr>
        <w:t>confidence interval; HR</w:t>
      </w:r>
      <w:r>
        <w:rPr>
          <w:color w:val="000000" w:themeColor="text1"/>
        </w:rPr>
        <w:t xml:space="preserve"> </w:t>
      </w:r>
      <w:r w:rsidR="005E7102" w:rsidRPr="003A3555">
        <w:rPr>
          <w:color w:val="000000" w:themeColor="text1"/>
        </w:rPr>
        <w:t>=</w:t>
      </w:r>
      <w:r>
        <w:rPr>
          <w:color w:val="000000" w:themeColor="text1"/>
        </w:rPr>
        <w:t xml:space="preserve"> </w:t>
      </w:r>
      <w:r w:rsidR="005E7102" w:rsidRPr="003A3555">
        <w:rPr>
          <w:color w:val="000000" w:themeColor="text1"/>
        </w:rPr>
        <w:t xml:space="preserve">hazard ratio; </w:t>
      </w:r>
      <w:r w:rsidR="00C53C25">
        <w:rPr>
          <w:color w:val="000000" w:themeColor="text1"/>
        </w:rPr>
        <w:t xml:space="preserve">IQR = inter-quartile range; OS = overall survival; </w:t>
      </w:r>
      <w:r w:rsidR="00D03C86">
        <w:rPr>
          <w:color w:val="000000" w:themeColor="text1"/>
        </w:rPr>
        <w:t>PFS = progression free sur</w:t>
      </w:r>
      <w:r w:rsidR="00C53C25">
        <w:rPr>
          <w:color w:val="000000" w:themeColor="text1"/>
        </w:rPr>
        <w:t>vival</w:t>
      </w:r>
    </w:p>
    <w:p w:rsidR="005E7102" w:rsidRPr="003A3555" w:rsidRDefault="005E7102" w:rsidP="00D04B59">
      <w:pPr>
        <w:pStyle w:val="TableFooter"/>
        <w:keepNext/>
        <w:keepLines/>
        <w:widowControl/>
        <w:rPr>
          <w:color w:val="000000" w:themeColor="text1"/>
          <w:szCs w:val="18"/>
        </w:rPr>
      </w:pPr>
      <w:r w:rsidRPr="003A3555">
        <w:rPr>
          <w:color w:val="000000" w:themeColor="text1"/>
        </w:rPr>
        <w:t xml:space="preserve">Note: </w:t>
      </w:r>
      <w:proofErr w:type="gramStart"/>
      <w:r w:rsidRPr="003A3555">
        <w:rPr>
          <w:color w:val="000000" w:themeColor="text1"/>
        </w:rPr>
        <w:t>Spencer 2009 reported median PFS in days</w:t>
      </w:r>
      <w:proofErr w:type="gramEnd"/>
      <w:r w:rsidRPr="003A3555">
        <w:rPr>
          <w:color w:val="000000" w:themeColor="text1"/>
        </w:rPr>
        <w:t xml:space="preserve">, </w:t>
      </w:r>
      <w:proofErr w:type="gramStart"/>
      <w:r w:rsidRPr="003A3555">
        <w:rPr>
          <w:color w:val="000000" w:themeColor="text1"/>
        </w:rPr>
        <w:t>this was converted into months</w:t>
      </w:r>
      <w:proofErr w:type="gramEnd"/>
      <w:r w:rsidRPr="003A3555">
        <w:rPr>
          <w:color w:val="000000" w:themeColor="text1"/>
        </w:rPr>
        <w:t xml:space="preserve">. </w:t>
      </w:r>
      <w:proofErr w:type="spellStart"/>
      <w:proofErr w:type="gramStart"/>
      <w:r w:rsidRPr="003A3555">
        <w:rPr>
          <w:color w:val="000000" w:themeColor="text1"/>
        </w:rPr>
        <w:t>Kalff</w:t>
      </w:r>
      <w:proofErr w:type="spellEnd"/>
      <w:r w:rsidRPr="003A3555">
        <w:rPr>
          <w:color w:val="000000" w:themeColor="text1"/>
        </w:rPr>
        <w:t xml:space="preserve"> 2014 reported median PFS and OS in years</w:t>
      </w:r>
      <w:proofErr w:type="gramEnd"/>
      <w:r w:rsidRPr="003A3555">
        <w:rPr>
          <w:color w:val="000000" w:themeColor="text1"/>
        </w:rPr>
        <w:t xml:space="preserve">, </w:t>
      </w:r>
      <w:proofErr w:type="gramStart"/>
      <w:r w:rsidRPr="003A3555">
        <w:rPr>
          <w:color w:val="000000" w:themeColor="text1"/>
        </w:rPr>
        <w:t>this was converted into months</w:t>
      </w:r>
      <w:proofErr w:type="gramEnd"/>
      <w:r w:rsidRPr="003A3555">
        <w:rPr>
          <w:color w:val="000000" w:themeColor="text1"/>
        </w:rPr>
        <w:t xml:space="preserve">. Median follow-up in </w:t>
      </w:r>
      <w:proofErr w:type="spellStart"/>
      <w:r w:rsidRPr="003A3555">
        <w:rPr>
          <w:color w:val="000000" w:themeColor="text1"/>
        </w:rPr>
        <w:t>Kalff</w:t>
      </w:r>
      <w:proofErr w:type="spellEnd"/>
      <w:r w:rsidRPr="003A3555">
        <w:rPr>
          <w:color w:val="000000" w:themeColor="text1"/>
        </w:rPr>
        <w:t xml:space="preserve"> et al. 2014 was 5.4 years (IQR</w:t>
      </w:r>
      <w:r w:rsidR="00C53C25">
        <w:rPr>
          <w:color w:val="000000" w:themeColor="text1"/>
        </w:rPr>
        <w:t>:</w:t>
      </w:r>
      <w:r w:rsidRPr="003A3555">
        <w:rPr>
          <w:color w:val="000000" w:themeColor="text1"/>
        </w:rPr>
        <w:t xml:space="preserve"> 3.1-7.2). Median follow-up in Spencer 2009 was approx. 3 years. </w:t>
      </w:r>
      <w:r w:rsidRPr="003A3555">
        <w:rPr>
          <w:color w:val="000000" w:themeColor="text1"/>
          <w:szCs w:val="18"/>
        </w:rPr>
        <w:t>Statistically significant differences bolded.</w:t>
      </w:r>
    </w:p>
    <w:p w:rsidR="005E7102" w:rsidRPr="003A3555" w:rsidRDefault="005E7102" w:rsidP="00D04B59">
      <w:pPr>
        <w:pStyle w:val="TableFooter"/>
        <w:keepNext/>
        <w:keepLines/>
        <w:widowControl/>
        <w:rPr>
          <w:i/>
          <w:color w:val="000000" w:themeColor="text1"/>
        </w:rPr>
      </w:pPr>
      <w:r w:rsidRPr="003A3555">
        <w:rPr>
          <w:color w:val="000000" w:themeColor="text1"/>
        </w:rPr>
        <w:t xml:space="preserve">Source: Table 2-6 and Table 2.7, p.33 of the resubmission, Spencer 2009 and </w:t>
      </w:r>
      <w:proofErr w:type="spellStart"/>
      <w:r w:rsidRPr="003A3555">
        <w:rPr>
          <w:color w:val="000000" w:themeColor="text1"/>
        </w:rPr>
        <w:t>Kalff</w:t>
      </w:r>
      <w:proofErr w:type="spellEnd"/>
      <w:r w:rsidRPr="003A3555">
        <w:rPr>
          <w:color w:val="000000" w:themeColor="text1"/>
        </w:rPr>
        <w:t xml:space="preserve"> 2014.</w:t>
      </w:r>
    </w:p>
    <w:p w:rsidR="005E7102" w:rsidRPr="003A3555" w:rsidRDefault="005E7102" w:rsidP="00BE016A">
      <w:pPr>
        <w:widowControl/>
        <w:spacing w:before="120" w:after="120"/>
        <w:rPr>
          <w:rFonts w:cs="Calibri"/>
          <w:snapToGrid/>
          <w:color w:val="FF0000"/>
          <w:szCs w:val="24"/>
          <w:lang w:eastAsia="en-AU"/>
        </w:rPr>
      </w:pPr>
    </w:p>
    <w:p w:rsidR="005073B3" w:rsidRPr="00D539BE" w:rsidRDefault="008776E4" w:rsidP="00BE016A">
      <w:pPr>
        <w:pStyle w:val="ListParagraph"/>
        <w:widowControl/>
        <w:numPr>
          <w:ilvl w:val="1"/>
          <w:numId w:val="2"/>
        </w:numPr>
        <w:spacing w:before="120"/>
        <w:rPr>
          <w:rFonts w:cs="Calibri"/>
          <w:snapToGrid/>
          <w:szCs w:val="24"/>
          <w:lang w:eastAsia="en-AU"/>
        </w:rPr>
      </w:pPr>
      <w:r w:rsidRPr="00D539BE">
        <w:rPr>
          <w:rFonts w:cs="Calibri"/>
          <w:snapToGrid/>
          <w:szCs w:val="24"/>
          <w:lang w:eastAsia="en-AU"/>
        </w:rPr>
        <w:t xml:space="preserve">The resubmission noted that the PFS and OS results for thalidomide versus BSC </w:t>
      </w:r>
      <w:r w:rsidR="00027B01" w:rsidRPr="00D539BE">
        <w:rPr>
          <w:rFonts w:cs="Calibri"/>
          <w:snapToGrid/>
          <w:szCs w:val="24"/>
          <w:lang w:eastAsia="en-AU"/>
        </w:rPr>
        <w:t xml:space="preserve">differed </w:t>
      </w:r>
      <w:r w:rsidRPr="00D539BE">
        <w:rPr>
          <w:rFonts w:cs="Calibri"/>
          <w:snapToGrid/>
          <w:szCs w:val="24"/>
          <w:lang w:eastAsia="en-AU"/>
        </w:rPr>
        <w:t xml:space="preserve">markedly </w:t>
      </w:r>
      <w:r w:rsidR="00027B01" w:rsidRPr="00D539BE">
        <w:rPr>
          <w:rFonts w:cs="Calibri"/>
          <w:snapToGrid/>
          <w:szCs w:val="24"/>
          <w:lang w:eastAsia="en-AU"/>
        </w:rPr>
        <w:t>between</w:t>
      </w:r>
      <w:r w:rsidRPr="00D539BE">
        <w:rPr>
          <w:rFonts w:cs="Calibri"/>
          <w:snapToGrid/>
          <w:szCs w:val="24"/>
          <w:lang w:eastAsia="en-AU"/>
        </w:rPr>
        <w:t xml:space="preserve"> M</w:t>
      </w:r>
      <w:r w:rsidR="00F94978">
        <w:rPr>
          <w:rFonts w:cs="Calibri"/>
          <w:snapToGrid/>
          <w:szCs w:val="24"/>
          <w:lang w:eastAsia="en-AU"/>
        </w:rPr>
        <w:t>yel</w:t>
      </w:r>
      <w:r w:rsidR="00027B01" w:rsidRPr="00D539BE">
        <w:rPr>
          <w:rFonts w:cs="Calibri"/>
          <w:snapToGrid/>
          <w:szCs w:val="24"/>
          <w:lang w:eastAsia="en-AU"/>
        </w:rPr>
        <w:t>oma IX and M</w:t>
      </w:r>
      <w:r w:rsidRPr="00D539BE">
        <w:rPr>
          <w:rFonts w:cs="Calibri"/>
          <w:snapToGrid/>
          <w:szCs w:val="24"/>
          <w:lang w:eastAsia="en-AU"/>
        </w:rPr>
        <w:t xml:space="preserve">M6. </w:t>
      </w:r>
    </w:p>
    <w:p w:rsidR="008776E4" w:rsidRPr="008776E4" w:rsidRDefault="008776E4" w:rsidP="00BE016A">
      <w:pPr>
        <w:pStyle w:val="PBACHeading1"/>
        <w:numPr>
          <w:ilvl w:val="0"/>
          <w:numId w:val="0"/>
        </w:numPr>
        <w:spacing w:before="120"/>
        <w:rPr>
          <w:b w:val="0"/>
          <w:i/>
          <w:snapToGrid/>
          <w:sz w:val="24"/>
          <w:szCs w:val="24"/>
          <w:u w:val="single"/>
          <w:lang w:eastAsia="en-AU"/>
        </w:rPr>
      </w:pPr>
      <w:proofErr w:type="spellStart"/>
      <w:r w:rsidRPr="008776E4">
        <w:rPr>
          <w:b w:val="0"/>
          <w:i/>
          <w:snapToGrid/>
          <w:sz w:val="24"/>
          <w:szCs w:val="24"/>
          <w:u w:val="single"/>
          <w:lang w:eastAsia="en-AU"/>
        </w:rPr>
        <w:t>Lenalidomide</w:t>
      </w:r>
      <w:proofErr w:type="spellEnd"/>
      <w:r w:rsidRPr="008776E4">
        <w:rPr>
          <w:b w:val="0"/>
          <w:i/>
          <w:snapToGrid/>
          <w:sz w:val="24"/>
          <w:szCs w:val="24"/>
          <w:u w:val="single"/>
          <w:lang w:eastAsia="en-AU"/>
        </w:rPr>
        <w:t xml:space="preserve"> vs. BSC </w:t>
      </w:r>
      <w:r w:rsidR="005D6951">
        <w:rPr>
          <w:b w:val="0"/>
          <w:i/>
          <w:snapToGrid/>
          <w:sz w:val="24"/>
          <w:szCs w:val="24"/>
          <w:u w:val="single"/>
          <w:lang w:eastAsia="en-AU"/>
        </w:rPr>
        <w:t xml:space="preserve">and thalidomide vs. BSC </w:t>
      </w:r>
      <w:r w:rsidRPr="008776E4">
        <w:rPr>
          <w:b w:val="0"/>
          <w:i/>
          <w:snapToGrid/>
          <w:sz w:val="24"/>
          <w:szCs w:val="24"/>
          <w:u w:val="single"/>
          <w:lang w:eastAsia="en-AU"/>
        </w:rPr>
        <w:t>meta-analys</w:t>
      </w:r>
      <w:r w:rsidR="005D6951">
        <w:rPr>
          <w:b w:val="0"/>
          <w:i/>
          <w:snapToGrid/>
          <w:sz w:val="24"/>
          <w:szCs w:val="24"/>
          <w:u w:val="single"/>
          <w:lang w:eastAsia="en-AU"/>
        </w:rPr>
        <w:t>e</w:t>
      </w:r>
      <w:r w:rsidRPr="008776E4">
        <w:rPr>
          <w:b w:val="0"/>
          <w:i/>
          <w:snapToGrid/>
          <w:sz w:val="24"/>
          <w:szCs w:val="24"/>
          <w:u w:val="single"/>
          <w:lang w:eastAsia="en-AU"/>
        </w:rPr>
        <w:t>s</w:t>
      </w:r>
    </w:p>
    <w:p w:rsidR="005E7102" w:rsidRPr="00600AD1" w:rsidRDefault="005E7102" w:rsidP="00BE016A">
      <w:pPr>
        <w:pStyle w:val="ListParagraph"/>
        <w:widowControl/>
        <w:numPr>
          <w:ilvl w:val="1"/>
          <w:numId w:val="2"/>
        </w:numPr>
        <w:spacing w:before="120"/>
        <w:rPr>
          <w:rFonts w:cs="Calibri"/>
          <w:snapToGrid/>
          <w:szCs w:val="24"/>
          <w:lang w:eastAsia="en-AU"/>
        </w:rPr>
      </w:pPr>
      <w:r w:rsidRPr="003A3555">
        <w:rPr>
          <w:rFonts w:cs="Calibri"/>
          <w:snapToGrid/>
          <w:szCs w:val="24"/>
          <w:lang w:eastAsia="en-AU"/>
        </w:rPr>
        <w:t xml:space="preserve">An updated </w:t>
      </w:r>
      <w:r w:rsidR="00A15121" w:rsidRPr="003A3555">
        <w:rPr>
          <w:rFonts w:cs="Calibri"/>
          <w:snapToGrid/>
          <w:szCs w:val="24"/>
          <w:lang w:eastAsia="en-AU"/>
        </w:rPr>
        <w:t xml:space="preserve">random effects </w:t>
      </w:r>
      <w:r w:rsidRPr="003A3555">
        <w:rPr>
          <w:rFonts w:cs="Calibri"/>
          <w:snapToGrid/>
          <w:szCs w:val="24"/>
          <w:lang w:eastAsia="en-AU"/>
        </w:rPr>
        <w:t xml:space="preserve">meta-analysis </w:t>
      </w:r>
      <w:r w:rsidR="00A15121" w:rsidRPr="003A3555">
        <w:rPr>
          <w:rFonts w:cs="Calibri"/>
          <w:snapToGrid/>
          <w:szCs w:val="24"/>
          <w:lang w:eastAsia="en-AU"/>
        </w:rPr>
        <w:t xml:space="preserve">of the </w:t>
      </w:r>
      <w:proofErr w:type="spellStart"/>
      <w:r w:rsidR="00A15121" w:rsidRPr="003A3555">
        <w:rPr>
          <w:rFonts w:cs="Calibri"/>
          <w:snapToGrid/>
          <w:szCs w:val="24"/>
          <w:lang w:eastAsia="en-AU"/>
        </w:rPr>
        <w:t>lenalidomide</w:t>
      </w:r>
      <w:proofErr w:type="spellEnd"/>
      <w:r w:rsidR="00A15121" w:rsidRPr="003A3555">
        <w:rPr>
          <w:rFonts w:cs="Calibri"/>
          <w:snapToGrid/>
          <w:szCs w:val="24"/>
          <w:lang w:eastAsia="en-AU"/>
        </w:rPr>
        <w:t xml:space="preserve"> (CALGB, IFM2005-02, GIMEMA and Myeloma XI) and thalidomide (Myeloma IX and MM6) trial data </w:t>
      </w:r>
      <w:proofErr w:type="gramStart"/>
      <w:r w:rsidRPr="003A3555">
        <w:rPr>
          <w:rFonts w:cs="Calibri"/>
          <w:snapToGrid/>
          <w:szCs w:val="24"/>
          <w:lang w:eastAsia="en-AU"/>
        </w:rPr>
        <w:t>was presented</w:t>
      </w:r>
      <w:proofErr w:type="gramEnd"/>
      <w:r w:rsidRPr="003A3555">
        <w:rPr>
          <w:rFonts w:cs="Calibri"/>
          <w:snapToGrid/>
          <w:szCs w:val="24"/>
          <w:lang w:eastAsia="en-AU"/>
        </w:rPr>
        <w:t xml:space="preserve"> in the resubmission. </w:t>
      </w:r>
      <w:r w:rsidRPr="00600AD1">
        <w:rPr>
          <w:rFonts w:cs="Calibri"/>
          <w:snapToGrid/>
          <w:szCs w:val="24"/>
          <w:lang w:eastAsia="en-AU"/>
        </w:rPr>
        <w:t xml:space="preserve">The PBAC </w:t>
      </w:r>
      <w:r w:rsidR="008F7017">
        <w:rPr>
          <w:rFonts w:cs="Calibri"/>
          <w:snapToGrid/>
          <w:szCs w:val="24"/>
          <w:lang w:eastAsia="en-AU"/>
        </w:rPr>
        <w:t xml:space="preserve">previously </w:t>
      </w:r>
      <w:r w:rsidRPr="00600AD1">
        <w:rPr>
          <w:rFonts w:cs="Calibri"/>
          <w:snapToGrid/>
          <w:szCs w:val="24"/>
          <w:lang w:eastAsia="en-AU"/>
        </w:rPr>
        <w:t xml:space="preserve">considered it preferable and appropriate to consider the totality of the evidence rather than rely on evidence from one trial </w:t>
      </w:r>
      <w:r w:rsidR="00A8030B" w:rsidRPr="00600AD1">
        <w:rPr>
          <w:rFonts w:cs="Calibri"/>
          <w:snapToGrid/>
          <w:szCs w:val="24"/>
          <w:lang w:eastAsia="en-AU"/>
        </w:rPr>
        <w:t xml:space="preserve">– CALGB </w:t>
      </w:r>
      <w:r w:rsidRPr="00600AD1">
        <w:rPr>
          <w:rFonts w:cs="Calibri"/>
          <w:snapToGrid/>
          <w:szCs w:val="24"/>
          <w:lang w:eastAsia="en-AU"/>
        </w:rPr>
        <w:t>(</w:t>
      </w:r>
      <w:r w:rsidR="00631B13">
        <w:rPr>
          <w:rFonts w:cs="Calibri"/>
          <w:snapToGrid/>
          <w:szCs w:val="24"/>
          <w:lang w:eastAsia="en-AU"/>
        </w:rPr>
        <w:t xml:space="preserve">paragraph 6.18, </w:t>
      </w:r>
      <w:proofErr w:type="spellStart"/>
      <w:r w:rsidR="00631B13">
        <w:rPr>
          <w:rFonts w:cs="Calibri"/>
          <w:snapToGrid/>
          <w:szCs w:val="24"/>
          <w:lang w:eastAsia="en-AU"/>
        </w:rPr>
        <w:t>L</w:t>
      </w:r>
      <w:r w:rsidRPr="00600AD1">
        <w:rPr>
          <w:rFonts w:cs="Calibri"/>
          <w:snapToGrid/>
          <w:szCs w:val="24"/>
          <w:lang w:eastAsia="en-AU"/>
        </w:rPr>
        <w:t>enalidomide</w:t>
      </w:r>
      <w:proofErr w:type="spellEnd"/>
      <w:r w:rsidRPr="00600AD1">
        <w:rPr>
          <w:rFonts w:cs="Calibri"/>
          <w:snapToGrid/>
          <w:szCs w:val="24"/>
          <w:lang w:eastAsia="en-AU"/>
        </w:rPr>
        <w:t>, PSD March 2018).</w:t>
      </w:r>
    </w:p>
    <w:p w:rsidR="005E7102" w:rsidRPr="00600AD1" w:rsidRDefault="005E7102" w:rsidP="00BE016A">
      <w:pPr>
        <w:pStyle w:val="ListParagraph"/>
        <w:widowControl/>
        <w:numPr>
          <w:ilvl w:val="1"/>
          <w:numId w:val="2"/>
        </w:numPr>
        <w:spacing w:before="120"/>
        <w:rPr>
          <w:rFonts w:cs="Calibri"/>
          <w:snapToGrid/>
          <w:szCs w:val="24"/>
          <w:lang w:eastAsia="en-AU"/>
        </w:rPr>
      </w:pPr>
      <w:r w:rsidRPr="00600AD1">
        <w:rPr>
          <w:rFonts w:cs="Calibri"/>
          <w:snapToGrid/>
          <w:szCs w:val="24"/>
          <w:lang w:eastAsia="en-AU"/>
        </w:rPr>
        <w:t xml:space="preserve">The meta-analyses used data from various cut-off dates and therefore </w:t>
      </w:r>
      <w:r w:rsidR="00A8030B" w:rsidRPr="00600AD1">
        <w:rPr>
          <w:rFonts w:cs="Calibri"/>
          <w:snapToGrid/>
          <w:szCs w:val="24"/>
          <w:lang w:eastAsia="en-AU"/>
        </w:rPr>
        <w:t xml:space="preserve">the studies reflect </w:t>
      </w:r>
      <w:r w:rsidRPr="00600AD1">
        <w:rPr>
          <w:rFonts w:cs="Calibri"/>
          <w:snapToGrid/>
          <w:szCs w:val="24"/>
          <w:lang w:eastAsia="en-AU"/>
        </w:rPr>
        <w:t>different durations of exposure and duration</w:t>
      </w:r>
      <w:r w:rsidR="000C6848" w:rsidRPr="00600AD1">
        <w:rPr>
          <w:rFonts w:cs="Calibri"/>
          <w:snapToGrid/>
          <w:szCs w:val="24"/>
          <w:lang w:eastAsia="en-AU"/>
        </w:rPr>
        <w:t>s</w:t>
      </w:r>
      <w:r w:rsidRPr="00600AD1">
        <w:rPr>
          <w:rFonts w:cs="Calibri"/>
          <w:snapToGrid/>
          <w:szCs w:val="24"/>
          <w:lang w:eastAsia="en-AU"/>
        </w:rPr>
        <w:t xml:space="preserve"> of follow-up</w:t>
      </w:r>
      <w:r w:rsidR="00A8030B" w:rsidRPr="00600AD1">
        <w:rPr>
          <w:rFonts w:cs="Calibri"/>
          <w:snapToGrid/>
          <w:szCs w:val="24"/>
          <w:lang w:eastAsia="en-AU"/>
        </w:rPr>
        <w:t xml:space="preserve"> that</w:t>
      </w:r>
      <w:r w:rsidRPr="00600AD1">
        <w:rPr>
          <w:rFonts w:cs="Calibri"/>
          <w:snapToGrid/>
          <w:szCs w:val="24"/>
          <w:lang w:eastAsia="en-AU"/>
        </w:rPr>
        <w:t xml:space="preserve"> may confound the ability to combine outcomes across trials. The pooled analyses also included a crossover adjustment in CALGB adopting a random effects approach. The PBAC has previously </w:t>
      </w:r>
      <w:r w:rsidR="000C6848" w:rsidRPr="00600AD1">
        <w:rPr>
          <w:rFonts w:cs="Calibri"/>
          <w:snapToGrid/>
          <w:szCs w:val="24"/>
          <w:lang w:eastAsia="en-AU"/>
        </w:rPr>
        <w:t xml:space="preserve">noted </w:t>
      </w:r>
      <w:r w:rsidRPr="00600AD1">
        <w:rPr>
          <w:rFonts w:cs="Calibri"/>
          <w:snapToGrid/>
          <w:szCs w:val="24"/>
          <w:lang w:eastAsia="en-AU"/>
        </w:rPr>
        <w:t>that using this approach resulted in a non-significant improvement in OS (</w:t>
      </w:r>
      <w:r w:rsidR="00631B13">
        <w:rPr>
          <w:rFonts w:cs="Calibri"/>
          <w:snapToGrid/>
          <w:szCs w:val="24"/>
          <w:lang w:eastAsia="en-AU"/>
        </w:rPr>
        <w:t xml:space="preserve">paragraph 6.20, </w:t>
      </w:r>
      <w:proofErr w:type="spellStart"/>
      <w:r w:rsidR="00631B13">
        <w:rPr>
          <w:rFonts w:cs="Calibri"/>
          <w:snapToGrid/>
          <w:szCs w:val="24"/>
          <w:lang w:eastAsia="en-AU"/>
        </w:rPr>
        <w:t>L</w:t>
      </w:r>
      <w:r w:rsidRPr="00600AD1">
        <w:rPr>
          <w:rFonts w:cs="Calibri"/>
          <w:snapToGrid/>
          <w:szCs w:val="24"/>
          <w:lang w:eastAsia="en-AU"/>
        </w:rPr>
        <w:t>enalidomide</w:t>
      </w:r>
      <w:proofErr w:type="spellEnd"/>
      <w:r w:rsidRPr="00600AD1">
        <w:rPr>
          <w:rFonts w:cs="Calibri"/>
          <w:snapToGrid/>
          <w:szCs w:val="24"/>
          <w:lang w:eastAsia="en-AU"/>
        </w:rPr>
        <w:t>, PSD M</w:t>
      </w:r>
      <w:r w:rsidR="00BA2732">
        <w:rPr>
          <w:rFonts w:cs="Calibri"/>
          <w:snapToGrid/>
          <w:szCs w:val="24"/>
          <w:lang w:eastAsia="en-AU"/>
        </w:rPr>
        <w:t>arch 2018).</w:t>
      </w:r>
    </w:p>
    <w:p w:rsidR="005E7102" w:rsidRPr="00600AD1" w:rsidRDefault="005E7102" w:rsidP="00BE016A">
      <w:pPr>
        <w:pStyle w:val="ListParagraph"/>
        <w:widowControl/>
        <w:numPr>
          <w:ilvl w:val="1"/>
          <w:numId w:val="2"/>
        </w:numPr>
        <w:spacing w:before="120"/>
        <w:rPr>
          <w:rFonts w:cs="Calibri"/>
          <w:snapToGrid/>
          <w:szCs w:val="24"/>
          <w:lang w:eastAsia="en-AU"/>
        </w:rPr>
      </w:pPr>
      <w:r w:rsidRPr="003A3555">
        <w:rPr>
          <w:rFonts w:cs="Calibri"/>
          <w:snapToGrid/>
          <w:szCs w:val="24"/>
          <w:lang w:eastAsia="en-AU"/>
        </w:rPr>
        <w:t xml:space="preserve">The resubmission presented two sets of analyses for each therapy: one </w:t>
      </w:r>
      <w:r w:rsidR="008F7017" w:rsidRPr="003A3555">
        <w:rPr>
          <w:rFonts w:cs="Calibri"/>
          <w:snapToGrid/>
          <w:szCs w:val="24"/>
          <w:lang w:eastAsia="en-AU"/>
        </w:rPr>
        <w:t xml:space="preserve">only </w:t>
      </w:r>
      <w:r w:rsidRPr="003A3555">
        <w:rPr>
          <w:rFonts w:cs="Calibri"/>
          <w:snapToGrid/>
          <w:szCs w:val="24"/>
          <w:lang w:eastAsia="en-AU"/>
        </w:rPr>
        <w:t xml:space="preserve">included results for the post-ASCT subgroup in trials with mixed populations (as per the requested restriction); and one including results for all patients from these trials. </w:t>
      </w:r>
      <w:r w:rsidRPr="00600AD1">
        <w:rPr>
          <w:rFonts w:cs="Calibri"/>
          <w:snapToGrid/>
          <w:szCs w:val="24"/>
          <w:lang w:eastAsia="en-AU"/>
        </w:rPr>
        <w:t xml:space="preserve">This was in line with </w:t>
      </w:r>
      <w:r w:rsidR="00A8030B" w:rsidRPr="00600AD1">
        <w:rPr>
          <w:rFonts w:cs="Calibri"/>
          <w:snapToGrid/>
          <w:szCs w:val="24"/>
          <w:lang w:eastAsia="en-AU"/>
        </w:rPr>
        <w:t xml:space="preserve">the </w:t>
      </w:r>
      <w:r w:rsidRPr="00600AD1">
        <w:rPr>
          <w:rFonts w:cs="Calibri"/>
          <w:snapToGrid/>
          <w:szCs w:val="24"/>
          <w:lang w:eastAsia="en-AU"/>
        </w:rPr>
        <w:t>PBAC request (</w:t>
      </w:r>
      <w:r w:rsidR="00631B13">
        <w:rPr>
          <w:rFonts w:cs="Calibri"/>
          <w:snapToGrid/>
          <w:szCs w:val="24"/>
          <w:lang w:eastAsia="en-AU"/>
        </w:rPr>
        <w:t xml:space="preserve">paragraph 7.4, </w:t>
      </w:r>
      <w:proofErr w:type="spellStart"/>
      <w:r w:rsidRPr="00600AD1">
        <w:rPr>
          <w:rFonts w:cs="Calibri"/>
          <w:snapToGrid/>
          <w:szCs w:val="24"/>
          <w:lang w:eastAsia="en-AU"/>
        </w:rPr>
        <w:t>Lenalidomide</w:t>
      </w:r>
      <w:proofErr w:type="spellEnd"/>
      <w:r w:rsidRPr="00600AD1">
        <w:rPr>
          <w:rFonts w:cs="Calibri"/>
          <w:snapToGrid/>
          <w:szCs w:val="24"/>
          <w:lang w:eastAsia="en-AU"/>
        </w:rPr>
        <w:t xml:space="preserve">, PSD, March 2018). The resubmission stated that the results of these analyses were generally similar at least with respect to the combined estimates of </w:t>
      </w:r>
      <w:r w:rsidR="00631B13">
        <w:rPr>
          <w:rFonts w:cs="Calibri"/>
          <w:snapToGrid/>
          <w:szCs w:val="24"/>
          <w:lang w:eastAsia="en-AU"/>
        </w:rPr>
        <w:t>the hazard ratios</w:t>
      </w:r>
      <w:r w:rsidRPr="00600AD1">
        <w:rPr>
          <w:rFonts w:cs="Calibri"/>
          <w:snapToGrid/>
          <w:szCs w:val="24"/>
          <w:lang w:eastAsia="en-AU"/>
        </w:rPr>
        <w:t xml:space="preserve"> (HR). The </w:t>
      </w:r>
      <w:proofErr w:type="spellStart"/>
      <w:r w:rsidRPr="00600AD1">
        <w:rPr>
          <w:rFonts w:cs="Calibri"/>
          <w:snapToGrid/>
          <w:szCs w:val="24"/>
          <w:lang w:eastAsia="en-AU"/>
        </w:rPr>
        <w:t>lenalidomide</w:t>
      </w:r>
      <w:proofErr w:type="spellEnd"/>
      <w:r w:rsidRPr="00600AD1">
        <w:rPr>
          <w:rFonts w:cs="Calibri"/>
          <w:snapToGrid/>
          <w:szCs w:val="24"/>
          <w:lang w:eastAsia="en-AU"/>
        </w:rPr>
        <w:t xml:space="preserve"> analysis also presented </w:t>
      </w:r>
      <w:r w:rsidR="00FB28D9" w:rsidRPr="00600AD1">
        <w:rPr>
          <w:rFonts w:cs="Calibri"/>
          <w:snapToGrid/>
          <w:szCs w:val="24"/>
          <w:lang w:eastAsia="en-AU"/>
        </w:rPr>
        <w:t xml:space="preserve">the results </w:t>
      </w:r>
      <w:r w:rsidRPr="00600AD1">
        <w:rPr>
          <w:rFonts w:cs="Calibri"/>
          <w:snapToGrid/>
          <w:szCs w:val="24"/>
          <w:lang w:eastAsia="en-AU"/>
        </w:rPr>
        <w:t xml:space="preserve">for ITT, PP and crossover adjusted </w:t>
      </w:r>
      <w:r w:rsidR="00FB28D9" w:rsidRPr="00600AD1">
        <w:rPr>
          <w:rFonts w:cs="Calibri"/>
          <w:snapToGrid/>
          <w:szCs w:val="24"/>
          <w:lang w:eastAsia="en-AU"/>
        </w:rPr>
        <w:t>analyses</w:t>
      </w:r>
      <w:r w:rsidRPr="00600AD1">
        <w:rPr>
          <w:rFonts w:cs="Calibri"/>
          <w:snapToGrid/>
          <w:szCs w:val="24"/>
          <w:lang w:eastAsia="en-AU"/>
        </w:rPr>
        <w:t xml:space="preserve"> from CALGB. </w:t>
      </w:r>
      <w:r w:rsidR="00EB0C7E" w:rsidRPr="00600AD1">
        <w:rPr>
          <w:rFonts w:cs="Calibri"/>
          <w:snapToGrid/>
          <w:szCs w:val="24"/>
          <w:lang w:eastAsia="en-AU"/>
        </w:rPr>
        <w:t xml:space="preserve">While the confidence intervals for these HR overlapped, there were differences in their point estimates. </w:t>
      </w:r>
    </w:p>
    <w:p w:rsidR="005E7102" w:rsidRPr="00600AD1" w:rsidRDefault="005E7102" w:rsidP="00BE016A">
      <w:pPr>
        <w:pStyle w:val="ListParagraph"/>
        <w:widowControl/>
        <w:numPr>
          <w:ilvl w:val="1"/>
          <w:numId w:val="2"/>
        </w:numPr>
        <w:spacing w:before="120"/>
        <w:rPr>
          <w:rFonts w:ascii="Arial Narrow" w:hAnsi="Arial Narrow"/>
          <w:sz w:val="20"/>
          <w:szCs w:val="16"/>
        </w:rPr>
      </w:pPr>
      <w:r w:rsidRPr="00600AD1">
        <w:rPr>
          <w:rFonts w:cs="Calibri"/>
          <w:snapToGrid/>
          <w:szCs w:val="24"/>
          <w:lang w:eastAsia="en-AU"/>
        </w:rPr>
        <w:lastRenderedPageBreak/>
        <w:t xml:space="preserve">The results of the meta-analyses </w:t>
      </w:r>
      <w:r w:rsidR="00BA2732">
        <w:rPr>
          <w:rFonts w:cs="Calibri"/>
          <w:snapToGrid/>
          <w:szCs w:val="24"/>
          <w:lang w:eastAsia="en-AU"/>
        </w:rPr>
        <w:t xml:space="preserve">(Table 15) </w:t>
      </w:r>
      <w:r w:rsidRPr="00600AD1">
        <w:rPr>
          <w:rFonts w:cs="Calibri"/>
          <w:snapToGrid/>
          <w:szCs w:val="24"/>
          <w:lang w:eastAsia="en-AU"/>
        </w:rPr>
        <w:t xml:space="preserve">showed a statistically significant improvement in PFS </w:t>
      </w:r>
      <w:r w:rsidR="00A8030B" w:rsidRPr="00600AD1">
        <w:rPr>
          <w:rFonts w:cs="Calibri"/>
          <w:snapToGrid/>
          <w:szCs w:val="24"/>
          <w:lang w:eastAsia="en-AU"/>
        </w:rPr>
        <w:t>for</w:t>
      </w:r>
      <w:r w:rsidRPr="00600AD1">
        <w:rPr>
          <w:rFonts w:cs="Calibri"/>
          <w:snapToGrid/>
          <w:szCs w:val="24"/>
          <w:lang w:eastAsia="en-AU"/>
        </w:rPr>
        <w:t xml:space="preserve"> </w:t>
      </w:r>
      <w:proofErr w:type="spellStart"/>
      <w:r w:rsidRPr="00600AD1">
        <w:rPr>
          <w:rFonts w:cs="Calibri"/>
          <w:snapToGrid/>
          <w:szCs w:val="24"/>
          <w:lang w:eastAsia="en-AU"/>
        </w:rPr>
        <w:t>lenalidomide</w:t>
      </w:r>
      <w:proofErr w:type="spellEnd"/>
      <w:r w:rsidRPr="00600AD1">
        <w:rPr>
          <w:rFonts w:cs="Calibri"/>
          <w:snapToGrid/>
          <w:szCs w:val="24"/>
          <w:lang w:eastAsia="en-AU"/>
        </w:rPr>
        <w:t xml:space="preserve">. </w:t>
      </w:r>
      <w:r w:rsidR="00BA2732">
        <w:rPr>
          <w:rFonts w:cs="Calibri"/>
          <w:snapToGrid/>
          <w:szCs w:val="24"/>
          <w:lang w:eastAsia="en-AU"/>
        </w:rPr>
        <w:t xml:space="preserve">The OS HR in Myeloma XI </w:t>
      </w:r>
      <w:proofErr w:type="gramStart"/>
      <w:r w:rsidR="00BA2732">
        <w:rPr>
          <w:rFonts w:cs="Calibri"/>
          <w:snapToGrid/>
          <w:szCs w:val="24"/>
          <w:lang w:eastAsia="en-AU"/>
        </w:rPr>
        <w:t>was derived</w:t>
      </w:r>
      <w:proofErr w:type="gramEnd"/>
      <w:r w:rsidR="00BA2732">
        <w:rPr>
          <w:rFonts w:cs="Calibri"/>
          <w:snapToGrid/>
          <w:szCs w:val="24"/>
          <w:lang w:eastAsia="en-AU"/>
        </w:rPr>
        <w:t xml:space="preserve"> from the proportion alive at 3 years and assuming exponential distribution. The PBAC has previously considered this approach to be unreliable (paragraph 7.10, </w:t>
      </w:r>
      <w:proofErr w:type="spellStart"/>
      <w:r w:rsidR="00BA2732">
        <w:rPr>
          <w:rFonts w:cs="Calibri"/>
          <w:snapToGrid/>
          <w:szCs w:val="24"/>
          <w:lang w:eastAsia="en-AU"/>
        </w:rPr>
        <w:t>Lenalidomide</w:t>
      </w:r>
      <w:proofErr w:type="spellEnd"/>
      <w:r w:rsidR="00BA2732">
        <w:rPr>
          <w:rFonts w:cs="Calibri"/>
          <w:snapToGrid/>
          <w:szCs w:val="24"/>
          <w:lang w:eastAsia="en-AU"/>
        </w:rPr>
        <w:t xml:space="preserve"> PSD, March 2018). </w:t>
      </w:r>
      <w:r w:rsidR="000543D1" w:rsidRPr="00600AD1">
        <w:rPr>
          <w:rFonts w:cs="Calibri"/>
          <w:snapToGrid/>
          <w:szCs w:val="24"/>
          <w:lang w:eastAsia="en-AU"/>
        </w:rPr>
        <w:t xml:space="preserve">Nonetheless, the combined OS results were statistically significant in favour of </w:t>
      </w:r>
      <w:proofErr w:type="spellStart"/>
      <w:r w:rsidR="000543D1" w:rsidRPr="00600AD1">
        <w:rPr>
          <w:rFonts w:cs="Calibri"/>
          <w:snapToGrid/>
          <w:szCs w:val="24"/>
          <w:lang w:eastAsia="en-AU"/>
        </w:rPr>
        <w:t>lenalidomide</w:t>
      </w:r>
      <w:proofErr w:type="spellEnd"/>
      <w:r w:rsidR="000543D1" w:rsidRPr="00600AD1">
        <w:rPr>
          <w:rFonts w:cs="Calibri"/>
          <w:snapToGrid/>
          <w:szCs w:val="24"/>
          <w:lang w:eastAsia="en-AU"/>
        </w:rPr>
        <w:t xml:space="preserve"> compared with BSC.</w:t>
      </w:r>
    </w:p>
    <w:p w:rsidR="005E7102" w:rsidRPr="003A3555" w:rsidRDefault="005E7102" w:rsidP="00476EE6">
      <w:pPr>
        <w:keepNext/>
        <w:widowControl/>
        <w:jc w:val="left"/>
        <w:rPr>
          <w:rFonts w:ascii="Arial Narrow" w:hAnsi="Arial Narrow"/>
          <w:b/>
          <w:sz w:val="20"/>
          <w:szCs w:val="20"/>
        </w:rPr>
      </w:pPr>
      <w:r w:rsidRPr="003A3555">
        <w:rPr>
          <w:rFonts w:ascii="Arial Narrow" w:hAnsi="Arial Narrow"/>
          <w:b/>
          <w:sz w:val="20"/>
          <w:szCs w:val="20"/>
        </w:rPr>
        <w:t xml:space="preserve">Table </w:t>
      </w:r>
      <w:r w:rsidR="000543D1" w:rsidRPr="003A3555">
        <w:rPr>
          <w:rFonts w:ascii="Arial Narrow" w:hAnsi="Arial Narrow"/>
          <w:b/>
          <w:sz w:val="20"/>
          <w:szCs w:val="20"/>
        </w:rPr>
        <w:t>15</w:t>
      </w:r>
      <w:r w:rsidRPr="003A3555">
        <w:rPr>
          <w:rFonts w:ascii="Arial Narrow" w:hAnsi="Arial Narrow"/>
          <w:b/>
          <w:sz w:val="20"/>
          <w:szCs w:val="20"/>
        </w:rPr>
        <w:t xml:space="preserve">: Results of the meta-analyses of </w:t>
      </w:r>
      <w:proofErr w:type="spellStart"/>
      <w:r w:rsidRPr="003A3555">
        <w:rPr>
          <w:rFonts w:ascii="Arial Narrow" w:hAnsi="Arial Narrow"/>
          <w:b/>
          <w:sz w:val="20"/>
          <w:szCs w:val="20"/>
        </w:rPr>
        <w:t>lenalidomide</w:t>
      </w:r>
      <w:proofErr w:type="spellEnd"/>
      <w:r w:rsidRPr="003A3555">
        <w:rPr>
          <w:rFonts w:ascii="Arial Narrow" w:hAnsi="Arial Narrow"/>
          <w:b/>
          <w:sz w:val="20"/>
          <w:szCs w:val="20"/>
        </w:rPr>
        <w:t xml:space="preserve"> trials (all subjects)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5: Results of the meta-analyses of lenalidomide trials (all subjects)"/>
      </w:tblPr>
      <w:tblGrid>
        <w:gridCol w:w="2351"/>
        <w:gridCol w:w="2501"/>
        <w:gridCol w:w="2501"/>
        <w:gridCol w:w="1664"/>
      </w:tblGrid>
      <w:tr w:rsidR="005E7102" w:rsidRPr="003A3555" w:rsidTr="004656BD">
        <w:trPr>
          <w:trHeight w:val="255"/>
        </w:trPr>
        <w:tc>
          <w:tcPr>
            <w:tcW w:w="1312" w:type="pct"/>
            <w:shd w:val="clear" w:color="auto" w:fill="auto"/>
            <w:noWrap/>
            <w:vAlign w:val="center"/>
          </w:tcPr>
          <w:p w:rsidR="005E7102" w:rsidRPr="003A3555" w:rsidRDefault="005E7102" w:rsidP="00476EE6">
            <w:pPr>
              <w:pStyle w:val="Table"/>
              <w:keepNext/>
              <w:rPr>
                <w:rFonts w:ascii="Arial Narrow" w:hAnsi="Arial Narrow"/>
                <w:b/>
                <w:color w:val="000000" w:themeColor="text1"/>
                <w:sz w:val="20"/>
                <w:szCs w:val="20"/>
                <w:lang w:val="en-US"/>
              </w:rPr>
            </w:pPr>
          </w:p>
        </w:tc>
        <w:tc>
          <w:tcPr>
            <w:tcW w:w="1395" w:type="pct"/>
            <w:shd w:val="clear" w:color="auto" w:fill="auto"/>
            <w:noWrap/>
            <w:vAlign w:val="center"/>
          </w:tcPr>
          <w:p w:rsidR="005E7102" w:rsidRPr="003A3555" w:rsidRDefault="005E7102" w:rsidP="00476EE6">
            <w:pPr>
              <w:pStyle w:val="Table"/>
              <w:keepNext/>
              <w:jc w:val="center"/>
              <w:rPr>
                <w:rFonts w:ascii="Arial Narrow" w:hAnsi="Arial Narrow"/>
                <w:b/>
                <w:color w:val="000000" w:themeColor="text1"/>
                <w:sz w:val="20"/>
                <w:szCs w:val="20"/>
                <w:lang w:val="en-US"/>
              </w:rPr>
            </w:pPr>
            <w:proofErr w:type="spellStart"/>
            <w:r w:rsidRPr="003A3555">
              <w:rPr>
                <w:rFonts w:ascii="Arial Narrow" w:hAnsi="Arial Narrow"/>
                <w:b/>
                <w:color w:val="000000" w:themeColor="text1"/>
                <w:sz w:val="20"/>
                <w:szCs w:val="20"/>
                <w:lang w:val="en-US"/>
              </w:rPr>
              <w:t>Lenalidomide</w:t>
            </w:r>
            <w:proofErr w:type="spellEnd"/>
          </w:p>
        </w:tc>
        <w:tc>
          <w:tcPr>
            <w:tcW w:w="1395" w:type="pct"/>
            <w:shd w:val="clear" w:color="auto" w:fill="auto"/>
            <w:noWrap/>
            <w:vAlign w:val="center"/>
          </w:tcPr>
          <w:p w:rsidR="005E7102" w:rsidRPr="003A3555" w:rsidRDefault="005E7102" w:rsidP="00476EE6">
            <w:pPr>
              <w:pStyle w:val="Table"/>
              <w:keepNext/>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Placebo/Observation</w:t>
            </w:r>
          </w:p>
        </w:tc>
        <w:tc>
          <w:tcPr>
            <w:tcW w:w="898" w:type="pct"/>
            <w:shd w:val="clear" w:color="auto" w:fill="auto"/>
            <w:noWrap/>
            <w:vAlign w:val="center"/>
          </w:tcPr>
          <w:p w:rsidR="005E7102" w:rsidRPr="003A3555" w:rsidRDefault="005E7102" w:rsidP="00476EE6">
            <w:pPr>
              <w:pStyle w:val="Table"/>
              <w:keepNext/>
              <w:jc w:val="center"/>
              <w:rPr>
                <w:rFonts w:ascii="Arial Narrow" w:hAnsi="Arial Narrow"/>
                <w:b/>
                <w:color w:val="000000" w:themeColor="text1"/>
                <w:sz w:val="20"/>
                <w:szCs w:val="20"/>
                <w:lang w:val="en-US"/>
              </w:rPr>
            </w:pPr>
            <w:proofErr w:type="spellStart"/>
            <w:r w:rsidRPr="003A3555">
              <w:rPr>
                <w:rFonts w:ascii="Arial Narrow" w:hAnsi="Arial Narrow"/>
                <w:b/>
                <w:color w:val="000000" w:themeColor="text1"/>
                <w:sz w:val="20"/>
                <w:szCs w:val="20"/>
                <w:lang w:val="en-US"/>
              </w:rPr>
              <w:t>Comparison</w:t>
            </w:r>
            <w:r w:rsidRPr="003A3555">
              <w:rPr>
                <w:rFonts w:ascii="Arial Narrow" w:hAnsi="Arial Narrow"/>
                <w:b/>
                <w:color w:val="000000" w:themeColor="text1"/>
                <w:sz w:val="20"/>
                <w:szCs w:val="20"/>
                <w:vertAlign w:val="superscript"/>
                <w:lang w:val="en-US"/>
              </w:rPr>
              <w:t>a</w:t>
            </w:r>
            <w:proofErr w:type="spellEnd"/>
          </w:p>
        </w:tc>
      </w:tr>
      <w:tr w:rsidR="00AF1C83" w:rsidRPr="003A3555" w:rsidTr="00AF1C83">
        <w:trPr>
          <w:trHeight w:val="285"/>
        </w:trPr>
        <w:tc>
          <w:tcPr>
            <w:tcW w:w="5000" w:type="pct"/>
            <w:gridSpan w:val="4"/>
            <w:shd w:val="clear" w:color="auto" w:fill="auto"/>
            <w:noWrap/>
            <w:vAlign w:val="center"/>
            <w:hideMark/>
          </w:tcPr>
          <w:p w:rsidR="00AF1C83" w:rsidRPr="003A3555" w:rsidRDefault="00AF1C83" w:rsidP="00AF1C83">
            <w:pPr>
              <w:pStyle w:val="Table"/>
              <w:keepNext/>
              <w:rPr>
                <w:rFonts w:ascii="Arial Narrow" w:hAnsi="Arial Narrow"/>
                <w:color w:val="000000" w:themeColor="text1"/>
                <w:sz w:val="20"/>
                <w:szCs w:val="20"/>
                <w:lang w:val="en-US"/>
              </w:rPr>
            </w:pPr>
            <w:r w:rsidRPr="003A3555">
              <w:rPr>
                <w:rFonts w:ascii="Arial Narrow" w:hAnsi="Arial Narrow"/>
                <w:b/>
                <w:color w:val="000000" w:themeColor="text1"/>
                <w:sz w:val="20"/>
                <w:szCs w:val="20"/>
                <w:lang w:val="en-US"/>
              </w:rPr>
              <w:t>Progression free survival</w:t>
            </w:r>
          </w:p>
        </w:tc>
      </w:tr>
      <w:tr w:rsidR="005E7102" w:rsidRPr="003A3555" w:rsidTr="004656BD">
        <w:trPr>
          <w:trHeight w:val="285"/>
        </w:trPr>
        <w:tc>
          <w:tcPr>
            <w:tcW w:w="1312" w:type="pct"/>
            <w:shd w:val="clear" w:color="auto" w:fill="auto"/>
            <w:noWrap/>
            <w:vAlign w:val="center"/>
          </w:tcPr>
          <w:p w:rsidR="005E7102" w:rsidRPr="003A3555" w:rsidRDefault="005E7102" w:rsidP="00476EE6">
            <w:pPr>
              <w:pStyle w:val="Table"/>
              <w:keepNext/>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Individual trial results</w:t>
            </w:r>
          </w:p>
        </w:tc>
        <w:tc>
          <w:tcPr>
            <w:tcW w:w="1395" w:type="pct"/>
            <w:shd w:val="clear" w:color="auto" w:fill="auto"/>
            <w:noWrap/>
            <w:vAlign w:val="center"/>
          </w:tcPr>
          <w:p w:rsidR="005E7102" w:rsidRPr="003A3555" w:rsidRDefault="005E7102" w:rsidP="00476EE6">
            <w:pPr>
              <w:pStyle w:val="Table"/>
              <w:keepNext/>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Median</w:t>
            </w:r>
            <w:r w:rsidR="00963642">
              <w:rPr>
                <w:rFonts w:ascii="Arial Narrow" w:hAnsi="Arial Narrow"/>
                <w:b/>
                <w:color w:val="000000" w:themeColor="text1"/>
                <w:sz w:val="20"/>
                <w:szCs w:val="20"/>
                <w:lang w:val="en-US"/>
              </w:rPr>
              <w:t>, months</w:t>
            </w:r>
            <w:r w:rsidRPr="003A3555">
              <w:rPr>
                <w:rFonts w:ascii="Arial Narrow" w:hAnsi="Arial Narrow"/>
                <w:b/>
                <w:color w:val="000000" w:themeColor="text1"/>
                <w:sz w:val="20"/>
                <w:szCs w:val="20"/>
                <w:lang w:val="en-US"/>
              </w:rPr>
              <w:t xml:space="preserve"> (95% CI)</w:t>
            </w:r>
          </w:p>
        </w:tc>
        <w:tc>
          <w:tcPr>
            <w:tcW w:w="1395" w:type="pct"/>
            <w:shd w:val="clear" w:color="auto" w:fill="auto"/>
            <w:noWrap/>
            <w:vAlign w:val="center"/>
          </w:tcPr>
          <w:p w:rsidR="005E7102" w:rsidRPr="003A3555" w:rsidRDefault="005E7102" w:rsidP="00476EE6">
            <w:pPr>
              <w:pStyle w:val="Table"/>
              <w:keepNext/>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Median</w:t>
            </w:r>
            <w:r w:rsidR="00963642">
              <w:rPr>
                <w:rFonts w:ascii="Arial Narrow" w:hAnsi="Arial Narrow"/>
                <w:b/>
                <w:color w:val="000000" w:themeColor="text1"/>
                <w:sz w:val="20"/>
                <w:szCs w:val="20"/>
                <w:lang w:val="en-US"/>
              </w:rPr>
              <w:t>, months</w:t>
            </w:r>
            <w:r w:rsidRPr="003A3555">
              <w:rPr>
                <w:rFonts w:ascii="Arial Narrow" w:hAnsi="Arial Narrow"/>
                <w:b/>
                <w:color w:val="000000" w:themeColor="text1"/>
                <w:sz w:val="20"/>
                <w:szCs w:val="20"/>
                <w:lang w:val="en-US"/>
              </w:rPr>
              <w:t xml:space="preserve"> (95% CI)</w:t>
            </w:r>
          </w:p>
        </w:tc>
        <w:tc>
          <w:tcPr>
            <w:tcW w:w="898" w:type="pct"/>
            <w:shd w:val="clear" w:color="auto" w:fill="auto"/>
            <w:noWrap/>
            <w:vAlign w:val="center"/>
          </w:tcPr>
          <w:p w:rsidR="005E7102" w:rsidRPr="003A3555" w:rsidRDefault="005E7102" w:rsidP="00476EE6">
            <w:pPr>
              <w:pStyle w:val="Table"/>
              <w:keepNext/>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HR (95% CI)</w:t>
            </w:r>
          </w:p>
        </w:tc>
      </w:tr>
      <w:tr w:rsidR="005E7102" w:rsidRPr="003A3555" w:rsidTr="004656BD">
        <w:trPr>
          <w:trHeight w:val="285"/>
        </w:trPr>
        <w:tc>
          <w:tcPr>
            <w:tcW w:w="1312" w:type="pct"/>
            <w:shd w:val="clear" w:color="auto" w:fill="auto"/>
            <w:noWrap/>
            <w:vAlign w:val="center"/>
            <w:hideMark/>
          </w:tcPr>
          <w:p w:rsidR="005E7102" w:rsidRPr="003A3555" w:rsidRDefault="005E7102" w:rsidP="00476EE6">
            <w:pPr>
              <w:pStyle w:val="Table"/>
              <w:keepNext/>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CALGB (ITT)</w:t>
            </w:r>
          </w:p>
        </w:tc>
        <w:tc>
          <w:tcPr>
            <w:tcW w:w="1395" w:type="pct"/>
            <w:shd w:val="clear" w:color="auto" w:fill="auto"/>
            <w:noWrap/>
            <w:vAlign w:val="center"/>
            <w:hideMark/>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56.9 (41.9, 71.7)</w:t>
            </w:r>
          </w:p>
        </w:tc>
        <w:tc>
          <w:tcPr>
            <w:tcW w:w="1395" w:type="pct"/>
            <w:shd w:val="clear" w:color="auto" w:fill="auto"/>
            <w:noWrap/>
            <w:vAlign w:val="center"/>
            <w:hideMark/>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29.4 (20.7, 35.5)</w:t>
            </w:r>
          </w:p>
        </w:tc>
        <w:tc>
          <w:tcPr>
            <w:tcW w:w="898" w:type="pct"/>
            <w:shd w:val="clear" w:color="auto" w:fill="auto"/>
            <w:noWrap/>
            <w:vAlign w:val="center"/>
            <w:hideMark/>
          </w:tcPr>
          <w:p w:rsidR="005E7102" w:rsidRPr="003A3555" w:rsidRDefault="005E7102" w:rsidP="00476EE6">
            <w:pPr>
              <w:pStyle w:val="Table"/>
              <w:keepNext/>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0.61 (0.48, 0.76)</w:t>
            </w:r>
          </w:p>
        </w:tc>
      </w:tr>
      <w:tr w:rsidR="005E7102" w:rsidRPr="003A3555" w:rsidTr="004656BD">
        <w:trPr>
          <w:trHeight w:val="285"/>
        </w:trPr>
        <w:tc>
          <w:tcPr>
            <w:tcW w:w="1312" w:type="pct"/>
            <w:shd w:val="clear" w:color="auto" w:fill="auto"/>
            <w:noWrap/>
            <w:vAlign w:val="center"/>
            <w:hideMark/>
          </w:tcPr>
          <w:p w:rsidR="005E7102" w:rsidRPr="003A3555" w:rsidRDefault="005E7102" w:rsidP="00476EE6">
            <w:pPr>
              <w:pStyle w:val="Table"/>
              <w:keepNext/>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CALGB (</w:t>
            </w:r>
            <w:proofErr w:type="spellStart"/>
            <w:r w:rsidR="00732F19">
              <w:rPr>
                <w:rFonts w:ascii="Arial Narrow" w:hAnsi="Arial Narrow"/>
                <w:color w:val="000000" w:themeColor="text1"/>
                <w:sz w:val="20"/>
                <w:szCs w:val="20"/>
                <w:lang w:val="en-US"/>
              </w:rPr>
              <w:t>A</w:t>
            </w:r>
            <w:r w:rsidRPr="003A3555">
              <w:rPr>
                <w:rFonts w:ascii="Arial Narrow" w:hAnsi="Arial Narrow"/>
                <w:color w:val="000000" w:themeColor="text1"/>
                <w:sz w:val="20"/>
                <w:szCs w:val="20"/>
                <w:lang w:val="en-US"/>
              </w:rPr>
              <w:t>dj</w:t>
            </w:r>
            <w:proofErr w:type="spellEnd"/>
            <w:r w:rsidRPr="003A3555">
              <w:rPr>
                <w:rFonts w:ascii="Arial Narrow" w:hAnsi="Arial Narrow"/>
                <w:color w:val="000000" w:themeColor="text1"/>
                <w:sz w:val="20"/>
                <w:szCs w:val="20"/>
                <w:lang w:val="en-US"/>
              </w:rPr>
              <w:t>)</w:t>
            </w:r>
          </w:p>
        </w:tc>
        <w:tc>
          <w:tcPr>
            <w:tcW w:w="1395" w:type="pct"/>
            <w:shd w:val="clear" w:color="auto" w:fill="auto"/>
            <w:noWrap/>
            <w:vAlign w:val="center"/>
            <w:hideMark/>
          </w:tcPr>
          <w:p w:rsidR="005E7102" w:rsidRPr="003A3555" w:rsidRDefault="001D6F6D" w:rsidP="00476EE6">
            <w:pPr>
              <w:pStyle w:val="Table"/>
              <w:keepNext/>
              <w:jc w:val="center"/>
              <w:rPr>
                <w:rFonts w:ascii="Arial Narrow" w:hAnsi="Arial Narrow"/>
                <w:color w:val="000000" w:themeColor="text1"/>
                <w:sz w:val="20"/>
                <w:szCs w:val="20"/>
                <w:lang w:val="en-US"/>
              </w:rPr>
            </w:pPr>
            <w:r>
              <w:rPr>
                <w:rFonts w:ascii="Arial Narrow" w:hAnsi="Arial Narrow"/>
                <w:noProof/>
                <w:color w:val="000000"/>
                <w:sz w:val="20"/>
                <w:szCs w:val="20"/>
                <w:highlight w:val="black"/>
                <w:lang w:val="en-US"/>
              </w:rPr>
              <w:t>''''''''''</w:t>
            </w:r>
            <w:r w:rsidR="005E7102" w:rsidRPr="003A3555">
              <w:rPr>
                <w:rFonts w:ascii="Arial Narrow" w:hAnsi="Arial Narrow"/>
                <w:color w:val="000000" w:themeColor="text1"/>
                <w:sz w:val="20"/>
                <w:szCs w:val="20"/>
                <w:lang w:val="en-US"/>
              </w:rPr>
              <w:t xml:space="preserve"> (</w:t>
            </w:r>
            <w:r>
              <w:rPr>
                <w:rFonts w:ascii="Arial Narrow" w:hAnsi="Arial Narrow"/>
                <w:noProof/>
                <w:color w:val="000000"/>
                <w:sz w:val="20"/>
                <w:szCs w:val="20"/>
                <w:highlight w:val="black"/>
                <w:lang w:val="en-US"/>
              </w:rPr>
              <w:t>''''''''</w:t>
            </w:r>
            <w:r w:rsidR="005E7102" w:rsidRPr="003A3555">
              <w:rPr>
                <w:rFonts w:ascii="Arial Narrow" w:hAnsi="Arial Narrow"/>
                <w:color w:val="000000" w:themeColor="text1"/>
                <w:sz w:val="20"/>
                <w:szCs w:val="20"/>
                <w:lang w:val="en-US"/>
              </w:rPr>
              <w:t>)</w:t>
            </w:r>
          </w:p>
        </w:tc>
        <w:tc>
          <w:tcPr>
            <w:tcW w:w="1395" w:type="pct"/>
            <w:shd w:val="clear" w:color="auto" w:fill="auto"/>
            <w:noWrap/>
            <w:vAlign w:val="center"/>
            <w:hideMark/>
          </w:tcPr>
          <w:p w:rsidR="005E7102" w:rsidRPr="003A3555" w:rsidRDefault="001D6F6D" w:rsidP="00476EE6">
            <w:pPr>
              <w:pStyle w:val="Table"/>
              <w:keepNext/>
              <w:jc w:val="center"/>
              <w:rPr>
                <w:rFonts w:ascii="Arial Narrow" w:hAnsi="Arial Narrow"/>
                <w:color w:val="000000" w:themeColor="text1"/>
                <w:sz w:val="20"/>
                <w:szCs w:val="20"/>
                <w:lang w:val="en-US"/>
              </w:rPr>
            </w:pPr>
            <w:r>
              <w:rPr>
                <w:rFonts w:ascii="Arial Narrow" w:hAnsi="Arial Narrow"/>
                <w:noProof/>
                <w:color w:val="000000"/>
                <w:sz w:val="20"/>
                <w:szCs w:val="20"/>
                <w:highlight w:val="black"/>
                <w:lang w:val="en-US"/>
              </w:rPr>
              <w:t>''''''''''</w:t>
            </w:r>
            <w:r w:rsidR="005E7102" w:rsidRPr="003A3555">
              <w:rPr>
                <w:rFonts w:ascii="Arial Narrow" w:hAnsi="Arial Narrow"/>
                <w:color w:val="000000" w:themeColor="text1"/>
                <w:sz w:val="20"/>
                <w:szCs w:val="20"/>
                <w:lang w:val="en-US"/>
              </w:rPr>
              <w:t xml:space="preserve"> (</w:t>
            </w:r>
            <w:r>
              <w:rPr>
                <w:rFonts w:ascii="Arial Narrow" w:hAnsi="Arial Narrow"/>
                <w:noProof/>
                <w:color w:val="000000"/>
                <w:sz w:val="20"/>
                <w:szCs w:val="20"/>
                <w:highlight w:val="black"/>
                <w:lang w:val="en-US"/>
              </w:rPr>
              <w:t>'''''''</w:t>
            </w:r>
            <w:r w:rsidR="005E7102" w:rsidRPr="003A3555">
              <w:rPr>
                <w:rFonts w:ascii="Arial Narrow" w:hAnsi="Arial Narrow"/>
                <w:color w:val="000000" w:themeColor="text1"/>
                <w:sz w:val="20"/>
                <w:szCs w:val="20"/>
                <w:lang w:val="en-US"/>
              </w:rPr>
              <w:t>)</w:t>
            </w:r>
          </w:p>
        </w:tc>
        <w:tc>
          <w:tcPr>
            <w:tcW w:w="898" w:type="pct"/>
            <w:shd w:val="clear" w:color="auto" w:fill="auto"/>
            <w:noWrap/>
            <w:vAlign w:val="center"/>
            <w:hideMark/>
          </w:tcPr>
          <w:p w:rsidR="005E7102" w:rsidRPr="003A3555" w:rsidRDefault="001D6F6D" w:rsidP="00476EE6">
            <w:pPr>
              <w:pStyle w:val="Table"/>
              <w:keepNext/>
              <w:jc w:val="center"/>
              <w:rPr>
                <w:rFonts w:ascii="Arial Narrow" w:hAnsi="Arial Narrow"/>
                <w:b/>
                <w:color w:val="000000" w:themeColor="text1"/>
                <w:sz w:val="20"/>
                <w:szCs w:val="20"/>
                <w:lang w:val="en-US"/>
              </w:rPr>
            </w:pPr>
            <w:r>
              <w:rPr>
                <w:rFonts w:ascii="Arial Narrow" w:hAnsi="Arial Narrow"/>
                <w:b/>
                <w:noProof/>
                <w:color w:val="000000"/>
                <w:sz w:val="20"/>
                <w:szCs w:val="20"/>
                <w:highlight w:val="black"/>
                <w:lang w:val="en-US"/>
              </w:rPr>
              <w:t>''''''''</w:t>
            </w:r>
            <w:r w:rsidR="005E7102" w:rsidRPr="003A3555">
              <w:rPr>
                <w:rFonts w:ascii="Arial Narrow" w:hAnsi="Arial Narrow"/>
                <w:b/>
                <w:color w:val="000000" w:themeColor="text1"/>
                <w:sz w:val="20"/>
                <w:szCs w:val="20"/>
                <w:lang w:val="en-US"/>
              </w:rPr>
              <w:t xml:space="preserve"> (</w:t>
            </w:r>
            <w:r>
              <w:rPr>
                <w:rFonts w:ascii="Arial Narrow" w:hAnsi="Arial Narrow"/>
                <w:b/>
                <w:noProof/>
                <w:color w:val="000000"/>
                <w:sz w:val="20"/>
                <w:szCs w:val="20"/>
                <w:highlight w:val="black"/>
                <w:lang w:val="en-US"/>
              </w:rPr>
              <w:t>'''''''''</w:t>
            </w:r>
            <w:r w:rsidR="005E7102" w:rsidRPr="003A3555">
              <w:rPr>
                <w:rFonts w:ascii="Arial Narrow" w:hAnsi="Arial Narrow"/>
                <w:b/>
                <w:color w:val="000000" w:themeColor="text1"/>
                <w:sz w:val="20"/>
                <w:szCs w:val="20"/>
                <w:lang w:val="en-US"/>
              </w:rPr>
              <w:t xml:space="preserve">, </w:t>
            </w:r>
            <w:r>
              <w:rPr>
                <w:rFonts w:ascii="Arial Narrow" w:hAnsi="Arial Narrow"/>
                <w:b/>
                <w:noProof/>
                <w:color w:val="000000"/>
                <w:sz w:val="20"/>
                <w:szCs w:val="20"/>
                <w:highlight w:val="black"/>
                <w:lang w:val="en-US"/>
              </w:rPr>
              <w:t>''''''''</w:t>
            </w:r>
            <w:r w:rsidR="005E7102" w:rsidRPr="003A3555">
              <w:rPr>
                <w:rFonts w:ascii="Arial Narrow" w:hAnsi="Arial Narrow"/>
                <w:b/>
                <w:color w:val="000000" w:themeColor="text1"/>
                <w:sz w:val="20"/>
                <w:szCs w:val="20"/>
                <w:lang w:val="en-US"/>
              </w:rPr>
              <w:t>)</w:t>
            </w:r>
          </w:p>
        </w:tc>
      </w:tr>
      <w:tr w:rsidR="005E7102" w:rsidRPr="003A3555" w:rsidTr="004656BD">
        <w:trPr>
          <w:trHeight w:val="285"/>
        </w:trPr>
        <w:tc>
          <w:tcPr>
            <w:tcW w:w="1312" w:type="pct"/>
            <w:shd w:val="clear" w:color="auto" w:fill="auto"/>
            <w:noWrap/>
            <w:vAlign w:val="center"/>
            <w:hideMark/>
          </w:tcPr>
          <w:p w:rsidR="005E7102" w:rsidRPr="003A3555" w:rsidRDefault="005E7102" w:rsidP="00476EE6">
            <w:pPr>
              <w:pStyle w:val="Table"/>
              <w:keepNext/>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CALGB (PP)</w:t>
            </w:r>
          </w:p>
        </w:tc>
        <w:tc>
          <w:tcPr>
            <w:tcW w:w="1395" w:type="pct"/>
            <w:shd w:val="clear" w:color="auto" w:fill="auto"/>
            <w:noWrap/>
            <w:vAlign w:val="center"/>
            <w:hideMark/>
          </w:tcPr>
          <w:p w:rsidR="005E7102" w:rsidRPr="003A3555" w:rsidRDefault="001D6F6D" w:rsidP="00476EE6">
            <w:pPr>
              <w:pStyle w:val="Table"/>
              <w:keepNext/>
              <w:jc w:val="center"/>
              <w:rPr>
                <w:rFonts w:ascii="Arial Narrow" w:hAnsi="Arial Narrow"/>
                <w:color w:val="000000" w:themeColor="text1"/>
                <w:sz w:val="20"/>
                <w:szCs w:val="20"/>
                <w:lang w:val="en-US"/>
              </w:rPr>
            </w:pPr>
            <w:r>
              <w:rPr>
                <w:rFonts w:ascii="Arial Narrow" w:hAnsi="Arial Narrow"/>
                <w:noProof/>
                <w:color w:val="000000"/>
                <w:sz w:val="20"/>
                <w:szCs w:val="20"/>
                <w:highlight w:val="black"/>
                <w:lang w:val="en-US"/>
              </w:rPr>
              <w:t>''''''''''</w:t>
            </w:r>
            <w:r w:rsidR="005E7102" w:rsidRPr="003A3555">
              <w:rPr>
                <w:rFonts w:ascii="Arial Narrow" w:hAnsi="Arial Narrow"/>
                <w:color w:val="000000" w:themeColor="text1"/>
                <w:sz w:val="20"/>
                <w:szCs w:val="20"/>
                <w:lang w:val="en-US"/>
              </w:rPr>
              <w:t xml:space="preserve"> (</w:t>
            </w:r>
            <w:r>
              <w:rPr>
                <w:rFonts w:ascii="Arial Narrow" w:hAnsi="Arial Narrow"/>
                <w:noProof/>
                <w:color w:val="000000"/>
                <w:sz w:val="20"/>
                <w:szCs w:val="20"/>
                <w:highlight w:val="black"/>
                <w:lang w:val="en-US"/>
              </w:rPr>
              <w:t>'''''''</w:t>
            </w:r>
            <w:r w:rsidR="005E7102" w:rsidRPr="003A3555">
              <w:rPr>
                <w:rFonts w:ascii="Arial Narrow" w:hAnsi="Arial Narrow"/>
                <w:color w:val="000000" w:themeColor="text1"/>
                <w:sz w:val="20"/>
                <w:szCs w:val="20"/>
                <w:lang w:val="en-US"/>
              </w:rPr>
              <w:t>)</w:t>
            </w:r>
          </w:p>
        </w:tc>
        <w:tc>
          <w:tcPr>
            <w:tcW w:w="1395" w:type="pct"/>
            <w:shd w:val="clear" w:color="auto" w:fill="auto"/>
            <w:noWrap/>
            <w:vAlign w:val="center"/>
            <w:hideMark/>
          </w:tcPr>
          <w:p w:rsidR="005E7102" w:rsidRPr="003A3555" w:rsidRDefault="001D6F6D" w:rsidP="00476EE6">
            <w:pPr>
              <w:pStyle w:val="Table"/>
              <w:keepNext/>
              <w:jc w:val="center"/>
              <w:rPr>
                <w:rFonts w:ascii="Arial Narrow" w:hAnsi="Arial Narrow"/>
                <w:color w:val="000000" w:themeColor="text1"/>
                <w:sz w:val="20"/>
                <w:szCs w:val="20"/>
                <w:lang w:val="en-US"/>
              </w:rPr>
            </w:pPr>
            <w:r>
              <w:rPr>
                <w:rFonts w:ascii="Arial Narrow" w:hAnsi="Arial Narrow"/>
                <w:noProof/>
                <w:color w:val="000000"/>
                <w:sz w:val="20"/>
                <w:szCs w:val="20"/>
                <w:highlight w:val="black"/>
                <w:lang w:val="en-US"/>
              </w:rPr>
              <w:t>''''''''''</w:t>
            </w:r>
            <w:r w:rsidR="005E7102" w:rsidRPr="003A3555">
              <w:rPr>
                <w:rFonts w:ascii="Arial Narrow" w:hAnsi="Arial Narrow"/>
                <w:color w:val="000000" w:themeColor="text1"/>
                <w:sz w:val="20"/>
                <w:szCs w:val="20"/>
                <w:lang w:val="en-US"/>
              </w:rPr>
              <w:t xml:space="preserve"> (</w:t>
            </w:r>
            <w:r>
              <w:rPr>
                <w:rFonts w:ascii="Arial Narrow" w:hAnsi="Arial Narrow"/>
                <w:noProof/>
                <w:color w:val="000000"/>
                <w:sz w:val="20"/>
                <w:szCs w:val="20"/>
                <w:highlight w:val="black"/>
                <w:lang w:val="en-US"/>
              </w:rPr>
              <w:t>'''''''''</w:t>
            </w:r>
            <w:r w:rsidR="005E7102" w:rsidRPr="003A3555">
              <w:rPr>
                <w:rFonts w:ascii="Arial Narrow" w:hAnsi="Arial Narrow"/>
                <w:color w:val="000000" w:themeColor="text1"/>
                <w:sz w:val="20"/>
                <w:szCs w:val="20"/>
                <w:lang w:val="en-US"/>
              </w:rPr>
              <w:t>)</w:t>
            </w:r>
          </w:p>
        </w:tc>
        <w:tc>
          <w:tcPr>
            <w:tcW w:w="898" w:type="pct"/>
            <w:shd w:val="clear" w:color="auto" w:fill="auto"/>
            <w:noWrap/>
            <w:vAlign w:val="center"/>
            <w:hideMark/>
          </w:tcPr>
          <w:p w:rsidR="005E7102" w:rsidRPr="003A3555" w:rsidRDefault="001D6F6D" w:rsidP="00476EE6">
            <w:pPr>
              <w:pStyle w:val="Table"/>
              <w:keepNext/>
              <w:jc w:val="center"/>
              <w:rPr>
                <w:rFonts w:ascii="Arial Narrow" w:hAnsi="Arial Narrow"/>
                <w:b/>
                <w:color w:val="000000" w:themeColor="text1"/>
                <w:sz w:val="20"/>
                <w:szCs w:val="20"/>
                <w:lang w:val="en-US"/>
              </w:rPr>
            </w:pPr>
            <w:r>
              <w:rPr>
                <w:rFonts w:ascii="Arial Narrow" w:hAnsi="Arial Narrow"/>
                <w:b/>
                <w:noProof/>
                <w:color w:val="000000"/>
                <w:sz w:val="20"/>
                <w:szCs w:val="20"/>
                <w:highlight w:val="black"/>
                <w:lang w:val="en-US"/>
              </w:rPr>
              <w:t>'''''''''</w:t>
            </w:r>
            <w:r w:rsidR="005E7102" w:rsidRPr="003A3555">
              <w:rPr>
                <w:rFonts w:ascii="Arial Narrow" w:hAnsi="Arial Narrow"/>
                <w:b/>
                <w:color w:val="000000" w:themeColor="text1"/>
                <w:sz w:val="20"/>
                <w:szCs w:val="20"/>
                <w:lang w:val="en-US"/>
              </w:rPr>
              <w:t xml:space="preserve"> (</w:t>
            </w:r>
            <w:r>
              <w:rPr>
                <w:rFonts w:ascii="Arial Narrow" w:hAnsi="Arial Narrow"/>
                <w:b/>
                <w:noProof/>
                <w:color w:val="000000"/>
                <w:sz w:val="20"/>
                <w:szCs w:val="20"/>
                <w:highlight w:val="black"/>
                <w:lang w:val="en-US"/>
              </w:rPr>
              <w:t>''''''''</w:t>
            </w:r>
            <w:r w:rsidR="005E7102" w:rsidRPr="003A3555">
              <w:rPr>
                <w:rFonts w:ascii="Arial Narrow" w:hAnsi="Arial Narrow"/>
                <w:b/>
                <w:color w:val="000000" w:themeColor="text1"/>
                <w:sz w:val="20"/>
                <w:szCs w:val="20"/>
                <w:lang w:val="en-US"/>
              </w:rPr>
              <w:t xml:space="preserve">, </w:t>
            </w:r>
            <w:r>
              <w:rPr>
                <w:rFonts w:ascii="Arial Narrow" w:hAnsi="Arial Narrow"/>
                <w:b/>
                <w:noProof/>
                <w:color w:val="000000"/>
                <w:sz w:val="20"/>
                <w:szCs w:val="20"/>
                <w:highlight w:val="black"/>
                <w:lang w:val="en-US"/>
              </w:rPr>
              <w:t>'''''''''</w:t>
            </w:r>
            <w:r w:rsidR="005E7102" w:rsidRPr="003A3555">
              <w:rPr>
                <w:rFonts w:ascii="Arial Narrow" w:hAnsi="Arial Narrow"/>
                <w:b/>
                <w:color w:val="000000" w:themeColor="text1"/>
                <w:sz w:val="20"/>
                <w:szCs w:val="20"/>
                <w:lang w:val="en-US"/>
              </w:rPr>
              <w:t>)</w:t>
            </w:r>
          </w:p>
        </w:tc>
      </w:tr>
      <w:tr w:rsidR="005E7102" w:rsidRPr="003A3555" w:rsidTr="004656BD">
        <w:trPr>
          <w:trHeight w:val="285"/>
        </w:trPr>
        <w:tc>
          <w:tcPr>
            <w:tcW w:w="1312" w:type="pct"/>
            <w:shd w:val="clear" w:color="auto" w:fill="auto"/>
            <w:noWrap/>
            <w:vAlign w:val="center"/>
            <w:hideMark/>
          </w:tcPr>
          <w:p w:rsidR="005E7102" w:rsidRPr="003A3555" w:rsidRDefault="005E7102" w:rsidP="00C60F2C">
            <w:pPr>
              <w:pStyle w:val="Table"/>
              <w:keepNext/>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IFM2005-02</w:t>
            </w:r>
          </w:p>
        </w:tc>
        <w:tc>
          <w:tcPr>
            <w:tcW w:w="1395" w:type="pct"/>
            <w:shd w:val="clear" w:color="auto" w:fill="auto"/>
            <w:noWrap/>
            <w:vAlign w:val="center"/>
            <w:hideMark/>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44.4 (39.6, 52)</w:t>
            </w:r>
          </w:p>
        </w:tc>
        <w:tc>
          <w:tcPr>
            <w:tcW w:w="1395" w:type="pct"/>
            <w:shd w:val="clear" w:color="auto" w:fill="auto"/>
            <w:noWrap/>
            <w:vAlign w:val="center"/>
            <w:hideMark/>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23.8 (21.2, 27.3)</w:t>
            </w:r>
          </w:p>
        </w:tc>
        <w:tc>
          <w:tcPr>
            <w:tcW w:w="898" w:type="pct"/>
            <w:shd w:val="clear" w:color="auto" w:fill="auto"/>
            <w:noWrap/>
            <w:vAlign w:val="center"/>
            <w:hideMark/>
          </w:tcPr>
          <w:p w:rsidR="005E7102" w:rsidRPr="003A3555" w:rsidRDefault="005E7102" w:rsidP="00476EE6">
            <w:pPr>
              <w:pStyle w:val="Table"/>
              <w:keepNext/>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0.57 (0.47, 0.68)</w:t>
            </w:r>
          </w:p>
        </w:tc>
      </w:tr>
      <w:tr w:rsidR="005E7102" w:rsidRPr="003A3555" w:rsidTr="004656BD">
        <w:trPr>
          <w:trHeight w:val="285"/>
        </w:trPr>
        <w:tc>
          <w:tcPr>
            <w:tcW w:w="1312" w:type="pct"/>
            <w:shd w:val="clear" w:color="auto" w:fill="auto"/>
            <w:noWrap/>
            <w:vAlign w:val="center"/>
            <w:hideMark/>
          </w:tcPr>
          <w:p w:rsidR="005E7102" w:rsidRPr="003A3555" w:rsidRDefault="005E7102" w:rsidP="00476EE6">
            <w:pPr>
              <w:pStyle w:val="Table"/>
              <w:keepNext/>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GIMEMA</w:t>
            </w:r>
          </w:p>
        </w:tc>
        <w:tc>
          <w:tcPr>
            <w:tcW w:w="1395" w:type="pct"/>
            <w:shd w:val="clear" w:color="auto" w:fill="auto"/>
            <w:noWrap/>
            <w:vAlign w:val="center"/>
            <w:hideMark/>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41.9 (NA)</w:t>
            </w:r>
          </w:p>
        </w:tc>
        <w:tc>
          <w:tcPr>
            <w:tcW w:w="1395" w:type="pct"/>
            <w:shd w:val="clear" w:color="auto" w:fill="auto"/>
            <w:noWrap/>
            <w:vAlign w:val="center"/>
            <w:hideMark/>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21.6 (NA)</w:t>
            </w:r>
          </w:p>
        </w:tc>
        <w:tc>
          <w:tcPr>
            <w:tcW w:w="898" w:type="pct"/>
            <w:shd w:val="clear" w:color="auto" w:fill="auto"/>
            <w:noWrap/>
            <w:vAlign w:val="center"/>
            <w:hideMark/>
          </w:tcPr>
          <w:p w:rsidR="005E7102" w:rsidRPr="003A3555" w:rsidRDefault="005E7102" w:rsidP="00476EE6">
            <w:pPr>
              <w:pStyle w:val="Table"/>
              <w:keepNext/>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0.48 (0.35, 0.68)</w:t>
            </w:r>
          </w:p>
        </w:tc>
      </w:tr>
      <w:tr w:rsidR="005E7102" w:rsidRPr="003A3555" w:rsidTr="004656BD">
        <w:trPr>
          <w:trHeight w:val="285"/>
        </w:trPr>
        <w:tc>
          <w:tcPr>
            <w:tcW w:w="1312" w:type="pct"/>
            <w:shd w:val="clear" w:color="auto" w:fill="auto"/>
            <w:noWrap/>
            <w:vAlign w:val="center"/>
            <w:hideMark/>
          </w:tcPr>
          <w:p w:rsidR="005E7102" w:rsidRPr="003A3555" w:rsidRDefault="005E7102" w:rsidP="00476EE6">
            <w:pPr>
              <w:pStyle w:val="Table"/>
              <w:keepNext/>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Myeloma XI</w:t>
            </w:r>
          </w:p>
        </w:tc>
        <w:tc>
          <w:tcPr>
            <w:tcW w:w="1395" w:type="pct"/>
            <w:shd w:val="clear" w:color="auto" w:fill="auto"/>
            <w:noWrap/>
            <w:vAlign w:val="center"/>
            <w:hideMark/>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38.9 (NA)</w:t>
            </w:r>
          </w:p>
        </w:tc>
        <w:tc>
          <w:tcPr>
            <w:tcW w:w="1395" w:type="pct"/>
            <w:shd w:val="clear" w:color="auto" w:fill="auto"/>
            <w:noWrap/>
            <w:vAlign w:val="center"/>
            <w:hideMark/>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20.0 (NA)</w:t>
            </w:r>
          </w:p>
        </w:tc>
        <w:tc>
          <w:tcPr>
            <w:tcW w:w="898" w:type="pct"/>
            <w:shd w:val="clear" w:color="auto" w:fill="auto"/>
            <w:noWrap/>
            <w:vAlign w:val="center"/>
            <w:hideMark/>
          </w:tcPr>
          <w:p w:rsidR="005E7102" w:rsidRPr="003A3555" w:rsidRDefault="005E7102" w:rsidP="00476EE6">
            <w:pPr>
              <w:pStyle w:val="Table"/>
              <w:keepNext/>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0.46 (0.41, 0.53)</w:t>
            </w:r>
          </w:p>
        </w:tc>
      </w:tr>
      <w:tr w:rsidR="005E7102" w:rsidRPr="003A3555" w:rsidTr="004656BD">
        <w:trPr>
          <w:trHeight w:val="285"/>
        </w:trPr>
        <w:tc>
          <w:tcPr>
            <w:tcW w:w="1312" w:type="pct"/>
            <w:shd w:val="clear" w:color="auto" w:fill="auto"/>
            <w:noWrap/>
            <w:vAlign w:val="center"/>
          </w:tcPr>
          <w:p w:rsidR="005E7102" w:rsidRPr="003A3555" w:rsidRDefault="005E7102" w:rsidP="00476EE6">
            <w:pPr>
              <w:pStyle w:val="Table"/>
              <w:keepNext/>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Meta-analysis results</w:t>
            </w:r>
          </w:p>
        </w:tc>
        <w:tc>
          <w:tcPr>
            <w:tcW w:w="1395" w:type="pct"/>
            <w:shd w:val="clear" w:color="auto" w:fill="auto"/>
            <w:noWrap/>
            <w:vAlign w:val="center"/>
          </w:tcPr>
          <w:p w:rsidR="005E7102" w:rsidRPr="003A3555" w:rsidRDefault="005E7102" w:rsidP="00476EE6">
            <w:pPr>
              <w:pStyle w:val="Table"/>
              <w:keepNext/>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Model</w:t>
            </w:r>
          </w:p>
        </w:tc>
        <w:tc>
          <w:tcPr>
            <w:tcW w:w="1395" w:type="pct"/>
            <w:shd w:val="clear" w:color="auto" w:fill="auto"/>
            <w:noWrap/>
            <w:vAlign w:val="center"/>
          </w:tcPr>
          <w:p w:rsidR="005E7102" w:rsidRPr="003A3555" w:rsidRDefault="005E7102" w:rsidP="00476EE6">
            <w:pPr>
              <w:pStyle w:val="Table"/>
              <w:keepNext/>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Heterogeneity</w:t>
            </w:r>
          </w:p>
        </w:tc>
        <w:tc>
          <w:tcPr>
            <w:tcW w:w="898" w:type="pct"/>
            <w:shd w:val="clear" w:color="auto" w:fill="auto"/>
            <w:noWrap/>
            <w:vAlign w:val="center"/>
          </w:tcPr>
          <w:p w:rsidR="005E7102" w:rsidRPr="003A3555" w:rsidRDefault="005E7102" w:rsidP="00476EE6">
            <w:pPr>
              <w:pStyle w:val="Table"/>
              <w:keepNext/>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HR (95% CI)</w:t>
            </w:r>
          </w:p>
        </w:tc>
      </w:tr>
      <w:tr w:rsidR="005E7102" w:rsidRPr="003A3555" w:rsidTr="004656BD">
        <w:trPr>
          <w:trHeight w:val="285"/>
        </w:trPr>
        <w:tc>
          <w:tcPr>
            <w:tcW w:w="1312" w:type="pct"/>
            <w:shd w:val="clear" w:color="auto" w:fill="auto"/>
            <w:noWrap/>
            <w:vAlign w:val="center"/>
            <w:hideMark/>
          </w:tcPr>
          <w:p w:rsidR="005E7102" w:rsidRPr="003A3555" w:rsidRDefault="005E7102" w:rsidP="00476EE6">
            <w:pPr>
              <w:pStyle w:val="Table"/>
              <w:keepNext/>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Combined HR (ITT)</w:t>
            </w:r>
          </w:p>
        </w:tc>
        <w:tc>
          <w:tcPr>
            <w:tcW w:w="1395" w:type="pct"/>
            <w:shd w:val="clear" w:color="auto" w:fill="auto"/>
            <w:noWrap/>
            <w:vAlign w:val="center"/>
            <w:hideMark/>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random effects</w:t>
            </w:r>
          </w:p>
        </w:tc>
        <w:tc>
          <w:tcPr>
            <w:tcW w:w="1395" w:type="pct"/>
            <w:shd w:val="clear" w:color="auto" w:fill="auto"/>
            <w:noWrap/>
            <w:vAlign w:val="center"/>
            <w:hideMark/>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I</w:t>
            </w:r>
            <w:r w:rsidRPr="003A3555">
              <w:rPr>
                <w:rFonts w:ascii="Arial Narrow" w:hAnsi="Arial Narrow"/>
                <w:color w:val="000000" w:themeColor="text1"/>
                <w:sz w:val="20"/>
                <w:szCs w:val="20"/>
                <w:vertAlign w:val="superscript"/>
                <w:lang w:val="en-US"/>
              </w:rPr>
              <w:t>2</w:t>
            </w:r>
            <w:r w:rsidRPr="003A3555">
              <w:rPr>
                <w:rFonts w:ascii="Arial Narrow" w:hAnsi="Arial Narrow"/>
                <w:color w:val="000000" w:themeColor="text1"/>
                <w:sz w:val="20"/>
                <w:szCs w:val="20"/>
                <w:lang w:val="en-US"/>
              </w:rPr>
              <w:t>=</w:t>
            </w:r>
            <w:r w:rsidR="001D6F6D">
              <w:rPr>
                <w:rFonts w:ascii="Arial Narrow" w:hAnsi="Arial Narrow"/>
                <w:noProof/>
                <w:color w:val="000000"/>
                <w:sz w:val="20"/>
                <w:szCs w:val="20"/>
                <w:highlight w:val="black"/>
                <w:lang w:val="en-US"/>
              </w:rPr>
              <w:t>'''''''</w:t>
            </w:r>
            <w:r w:rsidRPr="003A3555">
              <w:rPr>
                <w:rFonts w:ascii="Arial Narrow" w:hAnsi="Arial Narrow"/>
                <w:color w:val="000000" w:themeColor="text1"/>
                <w:sz w:val="20"/>
                <w:szCs w:val="20"/>
                <w:lang w:val="en-US"/>
              </w:rPr>
              <w:t>%; p=</w:t>
            </w:r>
            <w:r w:rsidR="001D6F6D">
              <w:rPr>
                <w:rFonts w:ascii="Arial Narrow" w:hAnsi="Arial Narrow"/>
                <w:noProof/>
                <w:color w:val="000000"/>
                <w:sz w:val="20"/>
                <w:szCs w:val="20"/>
                <w:highlight w:val="black"/>
                <w:lang w:val="en-US"/>
              </w:rPr>
              <w:t>''''''''''''</w:t>
            </w:r>
          </w:p>
        </w:tc>
        <w:tc>
          <w:tcPr>
            <w:tcW w:w="898" w:type="pct"/>
            <w:shd w:val="clear" w:color="auto" w:fill="auto"/>
            <w:noWrap/>
            <w:vAlign w:val="center"/>
            <w:hideMark/>
          </w:tcPr>
          <w:p w:rsidR="005E7102" w:rsidRPr="003A3555" w:rsidRDefault="001D6F6D" w:rsidP="00476EE6">
            <w:pPr>
              <w:pStyle w:val="Table"/>
              <w:keepNext/>
              <w:jc w:val="center"/>
              <w:rPr>
                <w:rFonts w:ascii="Arial Narrow" w:hAnsi="Arial Narrow"/>
                <w:b/>
                <w:color w:val="000000" w:themeColor="text1"/>
                <w:sz w:val="20"/>
                <w:szCs w:val="20"/>
                <w:lang w:val="en-US"/>
              </w:rPr>
            </w:pPr>
            <w:r>
              <w:rPr>
                <w:rFonts w:ascii="Arial Narrow" w:hAnsi="Arial Narrow"/>
                <w:b/>
                <w:noProof/>
                <w:color w:val="000000"/>
                <w:sz w:val="20"/>
                <w:szCs w:val="20"/>
                <w:highlight w:val="black"/>
                <w:lang w:val="en-US"/>
              </w:rPr>
              <w:t>'''''''''</w:t>
            </w:r>
            <w:r w:rsidR="005E7102" w:rsidRPr="003A3555">
              <w:rPr>
                <w:rFonts w:ascii="Arial Narrow" w:hAnsi="Arial Narrow"/>
                <w:b/>
                <w:color w:val="000000" w:themeColor="text1"/>
                <w:sz w:val="20"/>
                <w:szCs w:val="20"/>
                <w:lang w:val="en-US"/>
              </w:rPr>
              <w:t xml:space="preserve"> (</w:t>
            </w:r>
            <w:r>
              <w:rPr>
                <w:rFonts w:ascii="Arial Narrow" w:hAnsi="Arial Narrow"/>
                <w:b/>
                <w:noProof/>
                <w:color w:val="000000"/>
                <w:sz w:val="20"/>
                <w:szCs w:val="20"/>
                <w:highlight w:val="black"/>
                <w:lang w:val="en-US"/>
              </w:rPr>
              <w:t>'''''''''</w:t>
            </w:r>
            <w:r w:rsidR="005E7102" w:rsidRPr="003A3555">
              <w:rPr>
                <w:rFonts w:ascii="Arial Narrow" w:hAnsi="Arial Narrow"/>
                <w:b/>
                <w:color w:val="000000" w:themeColor="text1"/>
                <w:sz w:val="20"/>
                <w:szCs w:val="20"/>
                <w:lang w:val="en-US"/>
              </w:rPr>
              <w:t xml:space="preserve">, </w:t>
            </w:r>
            <w:r>
              <w:rPr>
                <w:rFonts w:ascii="Arial Narrow" w:hAnsi="Arial Narrow"/>
                <w:b/>
                <w:noProof/>
                <w:color w:val="000000"/>
                <w:sz w:val="20"/>
                <w:szCs w:val="20"/>
                <w:highlight w:val="black"/>
                <w:lang w:val="en-US"/>
              </w:rPr>
              <w:t>'''''''''</w:t>
            </w:r>
            <w:r w:rsidR="005E7102" w:rsidRPr="003A3555">
              <w:rPr>
                <w:rFonts w:ascii="Arial Narrow" w:hAnsi="Arial Narrow"/>
                <w:b/>
                <w:color w:val="000000" w:themeColor="text1"/>
                <w:sz w:val="20"/>
                <w:szCs w:val="20"/>
                <w:lang w:val="en-US"/>
              </w:rPr>
              <w:t>)</w:t>
            </w:r>
          </w:p>
        </w:tc>
      </w:tr>
      <w:tr w:rsidR="005E7102" w:rsidRPr="003A3555" w:rsidTr="004656BD">
        <w:trPr>
          <w:trHeight w:val="285"/>
        </w:trPr>
        <w:tc>
          <w:tcPr>
            <w:tcW w:w="1312" w:type="pct"/>
            <w:shd w:val="clear" w:color="auto" w:fill="auto"/>
            <w:noWrap/>
            <w:vAlign w:val="center"/>
            <w:hideMark/>
          </w:tcPr>
          <w:p w:rsidR="005E7102" w:rsidRPr="003A3555" w:rsidRDefault="005E7102" w:rsidP="00476EE6">
            <w:pPr>
              <w:pStyle w:val="Table"/>
              <w:keepNext/>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Combined HR (</w:t>
            </w:r>
            <w:proofErr w:type="spellStart"/>
            <w:r w:rsidRPr="003A3555">
              <w:rPr>
                <w:rFonts w:ascii="Arial Narrow" w:hAnsi="Arial Narrow"/>
                <w:color w:val="000000" w:themeColor="text1"/>
                <w:sz w:val="20"/>
                <w:szCs w:val="20"/>
                <w:lang w:val="en-US"/>
              </w:rPr>
              <w:t>Adj</w:t>
            </w:r>
            <w:proofErr w:type="spellEnd"/>
            <w:r w:rsidRPr="003A3555">
              <w:rPr>
                <w:rFonts w:ascii="Arial Narrow" w:hAnsi="Arial Narrow"/>
                <w:color w:val="000000" w:themeColor="text1"/>
                <w:sz w:val="20"/>
                <w:szCs w:val="20"/>
                <w:lang w:val="en-US"/>
              </w:rPr>
              <w:t>)</w:t>
            </w:r>
          </w:p>
        </w:tc>
        <w:tc>
          <w:tcPr>
            <w:tcW w:w="1395" w:type="pct"/>
            <w:shd w:val="clear" w:color="auto" w:fill="auto"/>
            <w:noWrap/>
            <w:vAlign w:val="center"/>
            <w:hideMark/>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random effects</w:t>
            </w:r>
          </w:p>
        </w:tc>
        <w:tc>
          <w:tcPr>
            <w:tcW w:w="1395" w:type="pct"/>
            <w:shd w:val="clear" w:color="auto" w:fill="auto"/>
            <w:noWrap/>
            <w:vAlign w:val="center"/>
            <w:hideMark/>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I</w:t>
            </w:r>
            <w:r w:rsidRPr="003A3555">
              <w:rPr>
                <w:rFonts w:ascii="Arial Narrow" w:hAnsi="Arial Narrow"/>
                <w:color w:val="000000" w:themeColor="text1"/>
                <w:sz w:val="20"/>
                <w:szCs w:val="20"/>
                <w:vertAlign w:val="superscript"/>
                <w:lang w:val="en-US"/>
              </w:rPr>
              <w:t>2</w:t>
            </w:r>
            <w:r w:rsidRPr="003A3555">
              <w:rPr>
                <w:rFonts w:ascii="Arial Narrow" w:hAnsi="Arial Narrow"/>
                <w:color w:val="000000" w:themeColor="text1"/>
                <w:sz w:val="20"/>
                <w:szCs w:val="20"/>
                <w:lang w:val="en-US"/>
              </w:rPr>
              <w:t>=</w:t>
            </w:r>
            <w:r w:rsidR="001D6F6D">
              <w:rPr>
                <w:rFonts w:ascii="Arial Narrow" w:hAnsi="Arial Narrow"/>
                <w:noProof/>
                <w:color w:val="000000"/>
                <w:sz w:val="20"/>
                <w:szCs w:val="20"/>
                <w:highlight w:val="black"/>
                <w:lang w:val="en-US"/>
              </w:rPr>
              <w:t>'''''</w:t>
            </w:r>
            <w:r w:rsidRPr="003A3555">
              <w:rPr>
                <w:rFonts w:ascii="Arial Narrow" w:hAnsi="Arial Narrow"/>
                <w:color w:val="000000" w:themeColor="text1"/>
                <w:sz w:val="20"/>
                <w:szCs w:val="20"/>
                <w:lang w:val="en-US"/>
              </w:rPr>
              <w:t>%; p=</w:t>
            </w:r>
            <w:r w:rsidR="001D6F6D">
              <w:rPr>
                <w:rFonts w:ascii="Arial Narrow" w:hAnsi="Arial Narrow"/>
                <w:noProof/>
                <w:color w:val="000000"/>
                <w:sz w:val="20"/>
                <w:szCs w:val="20"/>
                <w:highlight w:val="black"/>
                <w:lang w:val="en-US"/>
              </w:rPr>
              <w:t>''''''''''''</w:t>
            </w:r>
          </w:p>
        </w:tc>
        <w:tc>
          <w:tcPr>
            <w:tcW w:w="898" w:type="pct"/>
            <w:shd w:val="clear" w:color="auto" w:fill="auto"/>
            <w:noWrap/>
            <w:vAlign w:val="center"/>
            <w:hideMark/>
          </w:tcPr>
          <w:p w:rsidR="005E7102" w:rsidRPr="003A3555" w:rsidRDefault="001D6F6D" w:rsidP="00476EE6">
            <w:pPr>
              <w:pStyle w:val="Table"/>
              <w:keepNext/>
              <w:jc w:val="center"/>
              <w:rPr>
                <w:rFonts w:ascii="Arial Narrow" w:hAnsi="Arial Narrow"/>
                <w:b/>
                <w:color w:val="000000" w:themeColor="text1"/>
                <w:sz w:val="20"/>
                <w:szCs w:val="20"/>
                <w:lang w:val="en-US"/>
              </w:rPr>
            </w:pPr>
            <w:r>
              <w:rPr>
                <w:rFonts w:ascii="Arial Narrow" w:hAnsi="Arial Narrow"/>
                <w:b/>
                <w:noProof/>
                <w:color w:val="000000"/>
                <w:sz w:val="20"/>
                <w:szCs w:val="20"/>
                <w:highlight w:val="black"/>
                <w:lang w:val="en-US"/>
              </w:rPr>
              <w:t>'''''''''</w:t>
            </w:r>
            <w:r w:rsidR="005E7102" w:rsidRPr="003A3555">
              <w:rPr>
                <w:rFonts w:ascii="Arial Narrow" w:hAnsi="Arial Narrow"/>
                <w:b/>
                <w:color w:val="000000" w:themeColor="text1"/>
                <w:sz w:val="20"/>
                <w:szCs w:val="20"/>
                <w:lang w:val="en-US"/>
              </w:rPr>
              <w:t xml:space="preserve"> (</w:t>
            </w:r>
            <w:r>
              <w:rPr>
                <w:rFonts w:ascii="Arial Narrow" w:hAnsi="Arial Narrow"/>
                <w:b/>
                <w:noProof/>
                <w:color w:val="000000"/>
                <w:sz w:val="20"/>
                <w:szCs w:val="20"/>
                <w:highlight w:val="black"/>
                <w:lang w:val="en-US"/>
              </w:rPr>
              <w:t>'''''''''</w:t>
            </w:r>
            <w:r w:rsidR="005E7102" w:rsidRPr="003A3555">
              <w:rPr>
                <w:rFonts w:ascii="Arial Narrow" w:hAnsi="Arial Narrow"/>
                <w:b/>
                <w:color w:val="000000" w:themeColor="text1"/>
                <w:sz w:val="20"/>
                <w:szCs w:val="20"/>
                <w:lang w:val="en-US"/>
              </w:rPr>
              <w:t xml:space="preserve">, </w:t>
            </w:r>
            <w:r>
              <w:rPr>
                <w:rFonts w:ascii="Arial Narrow" w:hAnsi="Arial Narrow"/>
                <w:b/>
                <w:noProof/>
                <w:color w:val="000000"/>
                <w:sz w:val="20"/>
                <w:szCs w:val="20"/>
                <w:highlight w:val="black"/>
                <w:lang w:val="en-US"/>
              </w:rPr>
              <w:t>'''''''''</w:t>
            </w:r>
            <w:r w:rsidR="005E7102" w:rsidRPr="003A3555">
              <w:rPr>
                <w:rFonts w:ascii="Arial Narrow" w:hAnsi="Arial Narrow"/>
                <w:b/>
                <w:color w:val="000000" w:themeColor="text1"/>
                <w:sz w:val="20"/>
                <w:szCs w:val="20"/>
                <w:lang w:val="en-US"/>
              </w:rPr>
              <w:t>)</w:t>
            </w:r>
          </w:p>
        </w:tc>
      </w:tr>
      <w:tr w:rsidR="005E7102" w:rsidRPr="003A3555" w:rsidTr="004656BD">
        <w:trPr>
          <w:trHeight w:val="285"/>
        </w:trPr>
        <w:tc>
          <w:tcPr>
            <w:tcW w:w="1312" w:type="pct"/>
            <w:shd w:val="clear" w:color="auto" w:fill="auto"/>
            <w:noWrap/>
            <w:vAlign w:val="center"/>
            <w:hideMark/>
          </w:tcPr>
          <w:p w:rsidR="005E7102" w:rsidRPr="003A3555" w:rsidRDefault="005E7102" w:rsidP="00476EE6">
            <w:pPr>
              <w:pStyle w:val="Table"/>
              <w:keepNext/>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Combined HR (PP)</w:t>
            </w:r>
          </w:p>
        </w:tc>
        <w:tc>
          <w:tcPr>
            <w:tcW w:w="1395" w:type="pct"/>
            <w:shd w:val="clear" w:color="auto" w:fill="auto"/>
            <w:noWrap/>
            <w:vAlign w:val="center"/>
            <w:hideMark/>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random effects</w:t>
            </w:r>
          </w:p>
        </w:tc>
        <w:tc>
          <w:tcPr>
            <w:tcW w:w="1395" w:type="pct"/>
            <w:shd w:val="clear" w:color="auto" w:fill="auto"/>
            <w:noWrap/>
            <w:vAlign w:val="center"/>
            <w:hideMark/>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I</w:t>
            </w:r>
            <w:r w:rsidRPr="003A3555">
              <w:rPr>
                <w:rFonts w:ascii="Arial Narrow" w:hAnsi="Arial Narrow"/>
                <w:color w:val="000000" w:themeColor="text1"/>
                <w:sz w:val="20"/>
                <w:szCs w:val="20"/>
                <w:vertAlign w:val="superscript"/>
                <w:lang w:val="en-US"/>
              </w:rPr>
              <w:t>2</w:t>
            </w:r>
            <w:r w:rsidRPr="003A3555">
              <w:rPr>
                <w:rFonts w:ascii="Arial Narrow" w:hAnsi="Arial Narrow"/>
                <w:color w:val="000000" w:themeColor="text1"/>
                <w:sz w:val="20"/>
                <w:szCs w:val="20"/>
                <w:lang w:val="en-US"/>
              </w:rPr>
              <w:t>=</w:t>
            </w:r>
            <w:r w:rsidR="001D6F6D">
              <w:rPr>
                <w:rFonts w:ascii="Arial Narrow" w:hAnsi="Arial Narrow"/>
                <w:noProof/>
                <w:color w:val="000000"/>
                <w:sz w:val="20"/>
                <w:szCs w:val="20"/>
                <w:highlight w:val="black"/>
                <w:lang w:val="en-US"/>
              </w:rPr>
              <w:t>'''''''</w:t>
            </w:r>
            <w:r w:rsidRPr="003A3555">
              <w:rPr>
                <w:rFonts w:ascii="Arial Narrow" w:hAnsi="Arial Narrow"/>
                <w:color w:val="000000" w:themeColor="text1"/>
                <w:sz w:val="20"/>
                <w:szCs w:val="20"/>
                <w:lang w:val="en-US"/>
              </w:rPr>
              <w:t>%; p=</w:t>
            </w:r>
            <w:r w:rsidR="001D6F6D">
              <w:rPr>
                <w:rFonts w:ascii="Arial Narrow" w:hAnsi="Arial Narrow"/>
                <w:noProof/>
                <w:color w:val="000000"/>
                <w:sz w:val="20"/>
                <w:szCs w:val="20"/>
                <w:highlight w:val="black"/>
                <w:lang w:val="en-US"/>
              </w:rPr>
              <w:t>''''''''''</w:t>
            </w:r>
          </w:p>
        </w:tc>
        <w:tc>
          <w:tcPr>
            <w:tcW w:w="898" w:type="pct"/>
            <w:shd w:val="clear" w:color="auto" w:fill="auto"/>
            <w:noWrap/>
            <w:vAlign w:val="center"/>
            <w:hideMark/>
          </w:tcPr>
          <w:p w:rsidR="005E7102" w:rsidRPr="003A3555" w:rsidRDefault="001D6F6D" w:rsidP="00476EE6">
            <w:pPr>
              <w:pStyle w:val="Table"/>
              <w:keepNext/>
              <w:jc w:val="center"/>
              <w:rPr>
                <w:rFonts w:ascii="Arial Narrow" w:hAnsi="Arial Narrow"/>
                <w:b/>
                <w:color w:val="000000" w:themeColor="text1"/>
                <w:sz w:val="20"/>
                <w:szCs w:val="20"/>
                <w:lang w:val="en-US"/>
              </w:rPr>
            </w:pPr>
            <w:r>
              <w:rPr>
                <w:rFonts w:ascii="Arial Narrow" w:hAnsi="Arial Narrow"/>
                <w:b/>
                <w:noProof/>
                <w:color w:val="000000"/>
                <w:sz w:val="20"/>
                <w:szCs w:val="20"/>
                <w:highlight w:val="black"/>
                <w:lang w:val="en-US"/>
              </w:rPr>
              <w:t>''''''''''</w:t>
            </w:r>
            <w:r w:rsidR="005E7102" w:rsidRPr="003A3555">
              <w:rPr>
                <w:rFonts w:ascii="Arial Narrow" w:hAnsi="Arial Narrow"/>
                <w:b/>
                <w:color w:val="000000" w:themeColor="text1"/>
                <w:sz w:val="20"/>
                <w:szCs w:val="20"/>
                <w:lang w:val="en-US"/>
              </w:rPr>
              <w:t xml:space="preserve"> (</w:t>
            </w:r>
            <w:r>
              <w:rPr>
                <w:rFonts w:ascii="Arial Narrow" w:hAnsi="Arial Narrow"/>
                <w:b/>
                <w:noProof/>
                <w:color w:val="000000"/>
                <w:sz w:val="20"/>
                <w:szCs w:val="20"/>
                <w:highlight w:val="black"/>
                <w:lang w:val="en-US"/>
              </w:rPr>
              <w:t>''''''''</w:t>
            </w:r>
            <w:r w:rsidR="005E7102" w:rsidRPr="003A3555">
              <w:rPr>
                <w:rFonts w:ascii="Arial Narrow" w:hAnsi="Arial Narrow"/>
                <w:b/>
                <w:color w:val="000000" w:themeColor="text1"/>
                <w:sz w:val="20"/>
                <w:szCs w:val="20"/>
                <w:lang w:val="en-US"/>
              </w:rPr>
              <w:t xml:space="preserve">, </w:t>
            </w:r>
            <w:r>
              <w:rPr>
                <w:rFonts w:ascii="Arial Narrow" w:hAnsi="Arial Narrow"/>
                <w:b/>
                <w:noProof/>
                <w:color w:val="000000"/>
                <w:sz w:val="20"/>
                <w:szCs w:val="20"/>
                <w:highlight w:val="black"/>
                <w:lang w:val="en-US"/>
              </w:rPr>
              <w:t>''''''''</w:t>
            </w:r>
            <w:r w:rsidR="005E7102" w:rsidRPr="003A3555">
              <w:rPr>
                <w:rFonts w:ascii="Arial Narrow" w:hAnsi="Arial Narrow"/>
                <w:b/>
                <w:color w:val="000000" w:themeColor="text1"/>
                <w:sz w:val="20"/>
                <w:szCs w:val="20"/>
                <w:lang w:val="en-US"/>
              </w:rPr>
              <w:t>)</w:t>
            </w:r>
          </w:p>
        </w:tc>
      </w:tr>
      <w:tr w:rsidR="005E7102" w:rsidRPr="003A3555" w:rsidTr="004656BD">
        <w:trPr>
          <w:trHeight w:val="70"/>
        </w:trPr>
        <w:tc>
          <w:tcPr>
            <w:tcW w:w="5000" w:type="pct"/>
            <w:gridSpan w:val="4"/>
            <w:shd w:val="clear" w:color="auto" w:fill="auto"/>
            <w:noWrap/>
            <w:vAlign w:val="center"/>
          </w:tcPr>
          <w:p w:rsidR="005E7102" w:rsidRPr="003A3555" w:rsidRDefault="005E7102" w:rsidP="00476EE6">
            <w:pPr>
              <w:pStyle w:val="Table"/>
              <w:keepNext/>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Overall survival</w:t>
            </w:r>
          </w:p>
        </w:tc>
      </w:tr>
      <w:tr w:rsidR="005E7102" w:rsidRPr="003A3555" w:rsidTr="004656BD">
        <w:trPr>
          <w:trHeight w:val="285"/>
        </w:trPr>
        <w:tc>
          <w:tcPr>
            <w:tcW w:w="1312" w:type="pct"/>
            <w:shd w:val="clear" w:color="auto" w:fill="auto"/>
            <w:noWrap/>
            <w:vAlign w:val="center"/>
          </w:tcPr>
          <w:p w:rsidR="005E7102" w:rsidRPr="003A3555" w:rsidRDefault="005E7102" w:rsidP="00476EE6">
            <w:pPr>
              <w:pStyle w:val="Table"/>
              <w:keepNext/>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Individual trial results</w:t>
            </w:r>
          </w:p>
        </w:tc>
        <w:tc>
          <w:tcPr>
            <w:tcW w:w="1395" w:type="pct"/>
            <w:shd w:val="clear" w:color="auto" w:fill="auto"/>
            <w:noWrap/>
            <w:vAlign w:val="center"/>
          </w:tcPr>
          <w:p w:rsidR="005E7102" w:rsidRPr="003A3555" w:rsidRDefault="005E7102" w:rsidP="00476EE6">
            <w:pPr>
              <w:pStyle w:val="Table"/>
              <w:keepNext/>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Median</w:t>
            </w:r>
            <w:r w:rsidR="00963642">
              <w:rPr>
                <w:rFonts w:ascii="Arial Narrow" w:hAnsi="Arial Narrow"/>
                <w:b/>
                <w:color w:val="000000" w:themeColor="text1"/>
                <w:sz w:val="20"/>
                <w:szCs w:val="20"/>
                <w:lang w:val="en-US"/>
              </w:rPr>
              <w:t>, months</w:t>
            </w:r>
            <w:r w:rsidRPr="003A3555">
              <w:rPr>
                <w:rFonts w:ascii="Arial Narrow" w:hAnsi="Arial Narrow"/>
                <w:b/>
                <w:color w:val="000000" w:themeColor="text1"/>
                <w:sz w:val="20"/>
                <w:szCs w:val="20"/>
                <w:lang w:val="en-US"/>
              </w:rPr>
              <w:t xml:space="preserve"> (95% CI)</w:t>
            </w:r>
          </w:p>
        </w:tc>
        <w:tc>
          <w:tcPr>
            <w:tcW w:w="1395" w:type="pct"/>
            <w:shd w:val="clear" w:color="auto" w:fill="auto"/>
            <w:noWrap/>
            <w:vAlign w:val="center"/>
          </w:tcPr>
          <w:p w:rsidR="005E7102" w:rsidRPr="003A3555" w:rsidRDefault="005E7102" w:rsidP="00476EE6">
            <w:pPr>
              <w:pStyle w:val="Table"/>
              <w:keepNext/>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Median</w:t>
            </w:r>
            <w:r w:rsidR="00963642">
              <w:rPr>
                <w:rFonts w:ascii="Arial Narrow" w:hAnsi="Arial Narrow"/>
                <w:b/>
                <w:color w:val="000000" w:themeColor="text1"/>
                <w:sz w:val="20"/>
                <w:szCs w:val="20"/>
                <w:lang w:val="en-US"/>
              </w:rPr>
              <w:t>, months</w:t>
            </w:r>
            <w:r w:rsidRPr="003A3555">
              <w:rPr>
                <w:rFonts w:ascii="Arial Narrow" w:hAnsi="Arial Narrow"/>
                <w:b/>
                <w:color w:val="000000" w:themeColor="text1"/>
                <w:sz w:val="20"/>
                <w:szCs w:val="20"/>
                <w:lang w:val="en-US"/>
              </w:rPr>
              <w:t xml:space="preserve"> (95% CI)</w:t>
            </w:r>
          </w:p>
        </w:tc>
        <w:tc>
          <w:tcPr>
            <w:tcW w:w="898" w:type="pct"/>
            <w:shd w:val="clear" w:color="auto" w:fill="auto"/>
            <w:noWrap/>
            <w:vAlign w:val="center"/>
          </w:tcPr>
          <w:p w:rsidR="005E7102" w:rsidRPr="003A3555" w:rsidRDefault="005E7102" w:rsidP="00476EE6">
            <w:pPr>
              <w:pStyle w:val="Table"/>
              <w:keepNext/>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HR (95% CI)</w:t>
            </w:r>
          </w:p>
        </w:tc>
      </w:tr>
      <w:tr w:rsidR="005E7102" w:rsidRPr="003A3555" w:rsidTr="004656BD">
        <w:trPr>
          <w:trHeight w:val="285"/>
        </w:trPr>
        <w:tc>
          <w:tcPr>
            <w:tcW w:w="1312" w:type="pct"/>
            <w:shd w:val="clear" w:color="auto" w:fill="auto"/>
            <w:noWrap/>
            <w:vAlign w:val="center"/>
          </w:tcPr>
          <w:p w:rsidR="005E7102" w:rsidRPr="003A3555" w:rsidRDefault="005E7102" w:rsidP="00476EE6">
            <w:pPr>
              <w:pStyle w:val="Table"/>
              <w:keepNext/>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CALGB (ITT)</w:t>
            </w:r>
          </w:p>
        </w:tc>
        <w:tc>
          <w:tcPr>
            <w:tcW w:w="1395" w:type="pct"/>
            <w:shd w:val="clear" w:color="auto" w:fill="auto"/>
            <w:noWrap/>
            <w:vAlign w:val="center"/>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113.8 (100.4, NE)</w:t>
            </w:r>
          </w:p>
        </w:tc>
        <w:tc>
          <w:tcPr>
            <w:tcW w:w="1395" w:type="pct"/>
            <w:shd w:val="clear" w:color="auto" w:fill="auto"/>
            <w:noWrap/>
            <w:vAlign w:val="center"/>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84.1 (73.8, 106.0)</w:t>
            </w:r>
          </w:p>
        </w:tc>
        <w:tc>
          <w:tcPr>
            <w:tcW w:w="898" w:type="pct"/>
            <w:shd w:val="clear" w:color="auto" w:fill="auto"/>
            <w:noWrap/>
            <w:vAlign w:val="center"/>
          </w:tcPr>
          <w:p w:rsidR="005E7102" w:rsidRPr="00C53C25" w:rsidRDefault="005E7102" w:rsidP="00476EE6">
            <w:pPr>
              <w:pStyle w:val="Table"/>
              <w:keepNext/>
              <w:jc w:val="center"/>
              <w:rPr>
                <w:rFonts w:ascii="Arial Narrow" w:hAnsi="Arial Narrow"/>
                <w:b/>
                <w:color w:val="000000" w:themeColor="text1"/>
                <w:sz w:val="20"/>
                <w:szCs w:val="20"/>
                <w:lang w:val="en-US"/>
              </w:rPr>
            </w:pPr>
            <w:r w:rsidRPr="00C53C25">
              <w:rPr>
                <w:rFonts w:ascii="Arial Narrow" w:hAnsi="Arial Narrow"/>
                <w:b/>
                <w:color w:val="000000" w:themeColor="text1"/>
                <w:sz w:val="20"/>
                <w:szCs w:val="20"/>
                <w:lang w:val="en-US"/>
              </w:rPr>
              <w:t>0.61 (0.46, 0.80)</w:t>
            </w:r>
          </w:p>
        </w:tc>
      </w:tr>
      <w:tr w:rsidR="005E7102" w:rsidRPr="003A3555" w:rsidTr="004656BD">
        <w:trPr>
          <w:trHeight w:val="285"/>
        </w:trPr>
        <w:tc>
          <w:tcPr>
            <w:tcW w:w="1312" w:type="pct"/>
            <w:shd w:val="clear" w:color="auto" w:fill="auto"/>
            <w:noWrap/>
            <w:vAlign w:val="center"/>
          </w:tcPr>
          <w:p w:rsidR="005E7102" w:rsidRPr="003A3555" w:rsidRDefault="005E7102" w:rsidP="00476EE6">
            <w:pPr>
              <w:pStyle w:val="Table"/>
              <w:keepNext/>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CALGB (</w:t>
            </w:r>
            <w:proofErr w:type="spellStart"/>
            <w:r w:rsidR="00732F19">
              <w:rPr>
                <w:rFonts w:ascii="Arial Narrow" w:hAnsi="Arial Narrow"/>
                <w:color w:val="000000" w:themeColor="text1"/>
                <w:sz w:val="20"/>
                <w:szCs w:val="20"/>
                <w:lang w:val="en-US"/>
              </w:rPr>
              <w:t>A</w:t>
            </w:r>
            <w:r w:rsidRPr="003A3555">
              <w:rPr>
                <w:rFonts w:ascii="Arial Narrow" w:hAnsi="Arial Narrow"/>
                <w:color w:val="000000" w:themeColor="text1"/>
                <w:sz w:val="20"/>
                <w:szCs w:val="20"/>
                <w:lang w:val="en-US"/>
              </w:rPr>
              <w:t>dj</w:t>
            </w:r>
            <w:proofErr w:type="spellEnd"/>
            <w:r w:rsidRPr="003A3555">
              <w:rPr>
                <w:rFonts w:ascii="Arial Narrow" w:hAnsi="Arial Narrow"/>
                <w:color w:val="000000" w:themeColor="text1"/>
                <w:sz w:val="20"/>
                <w:szCs w:val="20"/>
                <w:lang w:val="en-US"/>
              </w:rPr>
              <w:t>)</w:t>
            </w:r>
          </w:p>
        </w:tc>
        <w:tc>
          <w:tcPr>
            <w:tcW w:w="1395" w:type="pct"/>
            <w:shd w:val="clear" w:color="auto" w:fill="auto"/>
            <w:noWrap/>
            <w:vAlign w:val="center"/>
          </w:tcPr>
          <w:p w:rsidR="005E7102" w:rsidRPr="003A3555" w:rsidRDefault="001D6F6D" w:rsidP="00476EE6">
            <w:pPr>
              <w:pStyle w:val="Table"/>
              <w:keepNext/>
              <w:jc w:val="center"/>
              <w:rPr>
                <w:rFonts w:ascii="Arial Narrow" w:hAnsi="Arial Narrow"/>
                <w:color w:val="000000" w:themeColor="text1"/>
                <w:sz w:val="20"/>
                <w:szCs w:val="20"/>
                <w:lang w:val="en-US"/>
              </w:rPr>
            </w:pPr>
            <w:r>
              <w:rPr>
                <w:rFonts w:ascii="Arial Narrow" w:hAnsi="Arial Narrow"/>
                <w:noProof/>
                <w:color w:val="000000"/>
                <w:sz w:val="20"/>
                <w:szCs w:val="20"/>
                <w:highlight w:val="black"/>
                <w:lang w:val="en-US"/>
              </w:rPr>
              <w:t>'''''''''''''''</w:t>
            </w:r>
            <w:r w:rsidR="005E7102" w:rsidRPr="003A3555">
              <w:rPr>
                <w:rFonts w:ascii="Arial Narrow" w:hAnsi="Arial Narrow"/>
                <w:color w:val="000000" w:themeColor="text1"/>
                <w:sz w:val="20"/>
                <w:szCs w:val="20"/>
                <w:lang w:val="en-US"/>
              </w:rPr>
              <w:t xml:space="preserve"> (</w:t>
            </w:r>
            <w:r>
              <w:rPr>
                <w:rFonts w:ascii="Arial Narrow" w:hAnsi="Arial Narrow"/>
                <w:noProof/>
                <w:color w:val="000000"/>
                <w:sz w:val="20"/>
                <w:szCs w:val="20"/>
                <w:highlight w:val="black"/>
                <w:lang w:val="en-US"/>
              </w:rPr>
              <w:t>'''''''''</w:t>
            </w:r>
            <w:r w:rsidR="005E7102" w:rsidRPr="003A3555">
              <w:rPr>
                <w:rFonts w:ascii="Arial Narrow" w:hAnsi="Arial Narrow"/>
                <w:color w:val="000000" w:themeColor="text1"/>
                <w:sz w:val="20"/>
                <w:szCs w:val="20"/>
                <w:lang w:val="en-US"/>
              </w:rPr>
              <w:t>)</w:t>
            </w:r>
          </w:p>
        </w:tc>
        <w:tc>
          <w:tcPr>
            <w:tcW w:w="1395" w:type="pct"/>
            <w:shd w:val="clear" w:color="auto" w:fill="auto"/>
            <w:noWrap/>
            <w:vAlign w:val="center"/>
          </w:tcPr>
          <w:p w:rsidR="005E7102" w:rsidRPr="003A3555" w:rsidRDefault="001D6F6D" w:rsidP="00476EE6">
            <w:pPr>
              <w:pStyle w:val="Table"/>
              <w:keepNext/>
              <w:jc w:val="center"/>
              <w:rPr>
                <w:rFonts w:ascii="Arial Narrow" w:hAnsi="Arial Narrow"/>
                <w:color w:val="000000" w:themeColor="text1"/>
                <w:sz w:val="20"/>
                <w:szCs w:val="20"/>
                <w:lang w:val="en-US"/>
              </w:rPr>
            </w:pPr>
            <w:r>
              <w:rPr>
                <w:rFonts w:ascii="Arial Narrow" w:hAnsi="Arial Narrow"/>
                <w:noProof/>
                <w:color w:val="000000"/>
                <w:sz w:val="20"/>
                <w:szCs w:val="20"/>
                <w:highlight w:val="black"/>
                <w:lang w:val="en-US"/>
              </w:rPr>
              <w:t>'''''''''''</w:t>
            </w:r>
            <w:r w:rsidR="005E7102" w:rsidRPr="003A3555">
              <w:rPr>
                <w:rFonts w:ascii="Arial Narrow" w:hAnsi="Arial Narrow"/>
                <w:color w:val="000000" w:themeColor="text1"/>
                <w:sz w:val="20"/>
                <w:szCs w:val="20"/>
                <w:lang w:val="en-US"/>
              </w:rPr>
              <w:t xml:space="preserve"> (</w:t>
            </w:r>
            <w:r>
              <w:rPr>
                <w:rFonts w:ascii="Arial Narrow" w:hAnsi="Arial Narrow"/>
                <w:noProof/>
                <w:color w:val="000000"/>
                <w:sz w:val="20"/>
                <w:szCs w:val="20"/>
                <w:highlight w:val="black"/>
                <w:lang w:val="en-US"/>
              </w:rPr>
              <w:t>''''''''</w:t>
            </w:r>
            <w:r w:rsidR="005E7102" w:rsidRPr="003A3555">
              <w:rPr>
                <w:rFonts w:ascii="Arial Narrow" w:hAnsi="Arial Narrow"/>
                <w:color w:val="000000" w:themeColor="text1"/>
                <w:sz w:val="20"/>
                <w:szCs w:val="20"/>
                <w:lang w:val="en-US"/>
              </w:rPr>
              <w:t>)</w:t>
            </w:r>
          </w:p>
        </w:tc>
        <w:tc>
          <w:tcPr>
            <w:tcW w:w="898" w:type="pct"/>
            <w:shd w:val="clear" w:color="auto" w:fill="auto"/>
            <w:noWrap/>
            <w:vAlign w:val="center"/>
          </w:tcPr>
          <w:p w:rsidR="005E7102" w:rsidRPr="00C53C25" w:rsidRDefault="001D6F6D" w:rsidP="00476EE6">
            <w:pPr>
              <w:pStyle w:val="Table"/>
              <w:keepNext/>
              <w:jc w:val="center"/>
              <w:rPr>
                <w:rFonts w:ascii="Arial Narrow" w:hAnsi="Arial Narrow"/>
                <w:b/>
                <w:color w:val="000000" w:themeColor="text1"/>
                <w:sz w:val="20"/>
                <w:szCs w:val="20"/>
                <w:lang w:val="en-US"/>
              </w:rPr>
            </w:pPr>
            <w:r>
              <w:rPr>
                <w:rFonts w:ascii="Arial Narrow" w:hAnsi="Arial Narrow"/>
                <w:b/>
                <w:noProof/>
                <w:color w:val="000000"/>
                <w:sz w:val="20"/>
                <w:szCs w:val="20"/>
                <w:highlight w:val="black"/>
                <w:lang w:val="en-US"/>
              </w:rPr>
              <w:t>'''''''''</w:t>
            </w:r>
            <w:r w:rsidR="005E7102" w:rsidRPr="00C53C25">
              <w:rPr>
                <w:rFonts w:ascii="Arial Narrow" w:hAnsi="Arial Narrow"/>
                <w:b/>
                <w:color w:val="000000" w:themeColor="text1"/>
                <w:sz w:val="20"/>
                <w:szCs w:val="20"/>
                <w:lang w:val="en-US"/>
              </w:rPr>
              <w:t xml:space="preserve"> (</w:t>
            </w:r>
            <w:r>
              <w:rPr>
                <w:rFonts w:ascii="Arial Narrow" w:hAnsi="Arial Narrow"/>
                <w:b/>
                <w:noProof/>
                <w:color w:val="000000"/>
                <w:sz w:val="20"/>
                <w:szCs w:val="20"/>
                <w:highlight w:val="black"/>
                <w:lang w:val="en-US"/>
              </w:rPr>
              <w:t>''''''''</w:t>
            </w:r>
            <w:r w:rsidR="005E7102" w:rsidRPr="00C53C25">
              <w:rPr>
                <w:rFonts w:ascii="Arial Narrow" w:hAnsi="Arial Narrow"/>
                <w:b/>
                <w:color w:val="000000" w:themeColor="text1"/>
                <w:sz w:val="20"/>
                <w:szCs w:val="20"/>
                <w:lang w:val="en-US"/>
              </w:rPr>
              <w:t xml:space="preserve">, </w:t>
            </w:r>
            <w:r>
              <w:rPr>
                <w:rFonts w:ascii="Arial Narrow" w:hAnsi="Arial Narrow"/>
                <w:b/>
                <w:noProof/>
                <w:color w:val="000000"/>
                <w:sz w:val="20"/>
                <w:szCs w:val="20"/>
                <w:highlight w:val="black"/>
                <w:lang w:val="en-US"/>
              </w:rPr>
              <w:t>'''''''''</w:t>
            </w:r>
            <w:r w:rsidR="005E7102" w:rsidRPr="00C53C25">
              <w:rPr>
                <w:rFonts w:ascii="Arial Narrow" w:hAnsi="Arial Narrow"/>
                <w:b/>
                <w:color w:val="000000" w:themeColor="text1"/>
                <w:sz w:val="20"/>
                <w:szCs w:val="20"/>
                <w:lang w:val="en-US"/>
              </w:rPr>
              <w:t>)</w:t>
            </w:r>
          </w:p>
        </w:tc>
      </w:tr>
      <w:tr w:rsidR="005E7102" w:rsidRPr="003A3555" w:rsidTr="004656BD">
        <w:trPr>
          <w:trHeight w:val="285"/>
        </w:trPr>
        <w:tc>
          <w:tcPr>
            <w:tcW w:w="1312" w:type="pct"/>
            <w:shd w:val="clear" w:color="auto" w:fill="auto"/>
            <w:noWrap/>
            <w:vAlign w:val="center"/>
          </w:tcPr>
          <w:p w:rsidR="005E7102" w:rsidRPr="003A3555" w:rsidRDefault="005E7102" w:rsidP="00476EE6">
            <w:pPr>
              <w:pStyle w:val="Table"/>
              <w:keepNext/>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CALGB (PP)</w:t>
            </w:r>
          </w:p>
        </w:tc>
        <w:tc>
          <w:tcPr>
            <w:tcW w:w="1395" w:type="pct"/>
            <w:shd w:val="clear" w:color="auto" w:fill="auto"/>
            <w:noWrap/>
            <w:vAlign w:val="center"/>
          </w:tcPr>
          <w:p w:rsidR="005E7102" w:rsidRPr="003A3555" w:rsidRDefault="001D6F6D" w:rsidP="00476EE6">
            <w:pPr>
              <w:pStyle w:val="Table"/>
              <w:keepNext/>
              <w:jc w:val="center"/>
              <w:rPr>
                <w:rFonts w:ascii="Arial Narrow" w:hAnsi="Arial Narrow"/>
                <w:color w:val="000000" w:themeColor="text1"/>
                <w:sz w:val="20"/>
                <w:szCs w:val="20"/>
                <w:lang w:val="en-US"/>
              </w:rPr>
            </w:pPr>
            <w:r>
              <w:rPr>
                <w:rFonts w:ascii="Arial Narrow" w:hAnsi="Arial Narrow"/>
                <w:noProof/>
                <w:color w:val="000000"/>
                <w:sz w:val="20"/>
                <w:szCs w:val="20"/>
                <w:highlight w:val="black"/>
                <w:lang w:val="en-US"/>
              </w:rPr>
              <w:t>'''''''''''''''</w:t>
            </w:r>
            <w:r w:rsidR="005E7102" w:rsidRPr="003A3555">
              <w:rPr>
                <w:rFonts w:ascii="Arial Narrow" w:hAnsi="Arial Narrow"/>
                <w:color w:val="000000" w:themeColor="text1"/>
                <w:sz w:val="20"/>
                <w:szCs w:val="20"/>
                <w:lang w:val="en-US"/>
              </w:rPr>
              <w:t xml:space="preserve"> (</w:t>
            </w:r>
            <w:r>
              <w:rPr>
                <w:rFonts w:ascii="Arial Narrow" w:hAnsi="Arial Narrow"/>
                <w:noProof/>
                <w:color w:val="000000"/>
                <w:sz w:val="20"/>
                <w:szCs w:val="20"/>
                <w:highlight w:val="black"/>
                <w:lang w:val="en-US"/>
              </w:rPr>
              <w:t>'''''''''</w:t>
            </w:r>
            <w:r w:rsidR="005E7102" w:rsidRPr="003A3555">
              <w:rPr>
                <w:rFonts w:ascii="Arial Narrow" w:hAnsi="Arial Narrow"/>
                <w:color w:val="000000" w:themeColor="text1"/>
                <w:sz w:val="20"/>
                <w:szCs w:val="20"/>
                <w:lang w:val="en-US"/>
              </w:rPr>
              <w:t>)</w:t>
            </w:r>
          </w:p>
        </w:tc>
        <w:tc>
          <w:tcPr>
            <w:tcW w:w="1395" w:type="pct"/>
            <w:shd w:val="clear" w:color="auto" w:fill="auto"/>
            <w:noWrap/>
            <w:vAlign w:val="center"/>
          </w:tcPr>
          <w:p w:rsidR="005E7102" w:rsidRPr="003A3555" w:rsidRDefault="001D6F6D" w:rsidP="00476EE6">
            <w:pPr>
              <w:pStyle w:val="Table"/>
              <w:keepNext/>
              <w:jc w:val="center"/>
              <w:rPr>
                <w:rFonts w:ascii="Arial Narrow" w:hAnsi="Arial Narrow"/>
                <w:color w:val="000000" w:themeColor="text1"/>
                <w:sz w:val="20"/>
                <w:szCs w:val="20"/>
                <w:lang w:val="en-US"/>
              </w:rPr>
            </w:pPr>
            <w:r>
              <w:rPr>
                <w:rFonts w:ascii="Arial Narrow" w:hAnsi="Arial Narrow"/>
                <w:noProof/>
                <w:color w:val="000000"/>
                <w:sz w:val="20"/>
                <w:szCs w:val="20"/>
                <w:highlight w:val="black"/>
                <w:lang w:val="en-US"/>
              </w:rPr>
              <w:t>''''''''''</w:t>
            </w:r>
            <w:r w:rsidR="005E7102" w:rsidRPr="003A3555">
              <w:rPr>
                <w:rFonts w:ascii="Arial Narrow" w:hAnsi="Arial Narrow"/>
                <w:color w:val="000000" w:themeColor="text1"/>
                <w:sz w:val="20"/>
                <w:szCs w:val="20"/>
                <w:lang w:val="en-US"/>
              </w:rPr>
              <w:t xml:space="preserve"> (</w:t>
            </w:r>
            <w:r>
              <w:rPr>
                <w:rFonts w:ascii="Arial Narrow" w:hAnsi="Arial Narrow"/>
                <w:noProof/>
                <w:color w:val="000000"/>
                <w:sz w:val="20"/>
                <w:szCs w:val="20"/>
                <w:highlight w:val="black"/>
                <w:lang w:val="en-US"/>
              </w:rPr>
              <w:t>'''''''''</w:t>
            </w:r>
            <w:r w:rsidR="005E7102" w:rsidRPr="003A3555">
              <w:rPr>
                <w:rFonts w:ascii="Arial Narrow" w:hAnsi="Arial Narrow"/>
                <w:color w:val="000000" w:themeColor="text1"/>
                <w:sz w:val="20"/>
                <w:szCs w:val="20"/>
                <w:lang w:val="en-US"/>
              </w:rPr>
              <w:t>)</w:t>
            </w:r>
          </w:p>
        </w:tc>
        <w:tc>
          <w:tcPr>
            <w:tcW w:w="898" w:type="pct"/>
            <w:shd w:val="clear" w:color="auto" w:fill="auto"/>
            <w:noWrap/>
            <w:vAlign w:val="center"/>
          </w:tcPr>
          <w:p w:rsidR="005E7102" w:rsidRPr="00C53C25" w:rsidRDefault="001D6F6D" w:rsidP="00476EE6">
            <w:pPr>
              <w:pStyle w:val="Table"/>
              <w:keepNext/>
              <w:jc w:val="center"/>
              <w:rPr>
                <w:rFonts w:ascii="Arial Narrow" w:hAnsi="Arial Narrow"/>
                <w:b/>
                <w:color w:val="000000" w:themeColor="text1"/>
                <w:sz w:val="20"/>
                <w:szCs w:val="20"/>
                <w:lang w:val="en-US"/>
              </w:rPr>
            </w:pPr>
            <w:r>
              <w:rPr>
                <w:rFonts w:ascii="Arial Narrow" w:hAnsi="Arial Narrow"/>
                <w:b/>
                <w:noProof/>
                <w:color w:val="000000"/>
                <w:sz w:val="20"/>
                <w:szCs w:val="20"/>
                <w:highlight w:val="black"/>
                <w:lang w:val="en-US"/>
              </w:rPr>
              <w:t>''''''''''</w:t>
            </w:r>
            <w:r w:rsidR="005B0F9E" w:rsidRPr="005B0F9E">
              <w:rPr>
                <w:rFonts w:ascii="Arial Narrow" w:hAnsi="Arial Narrow"/>
                <w:b/>
                <w:color w:val="000000" w:themeColor="text1"/>
                <w:sz w:val="20"/>
                <w:szCs w:val="20"/>
                <w:lang w:val="en-US"/>
              </w:rPr>
              <w:t xml:space="preserve"> (</w:t>
            </w:r>
            <w:r>
              <w:rPr>
                <w:rFonts w:ascii="Arial Narrow" w:hAnsi="Arial Narrow"/>
                <w:b/>
                <w:noProof/>
                <w:color w:val="000000"/>
                <w:sz w:val="20"/>
                <w:szCs w:val="20"/>
                <w:highlight w:val="black"/>
                <w:lang w:val="en-US"/>
              </w:rPr>
              <w:t>''''''''</w:t>
            </w:r>
            <w:r w:rsidR="005B0F9E" w:rsidRPr="005B0F9E">
              <w:rPr>
                <w:rFonts w:ascii="Arial Narrow" w:hAnsi="Arial Narrow"/>
                <w:b/>
                <w:color w:val="000000" w:themeColor="text1"/>
                <w:sz w:val="20"/>
                <w:szCs w:val="20"/>
                <w:lang w:val="en-US"/>
              </w:rPr>
              <w:t xml:space="preserve">, </w:t>
            </w:r>
            <w:r>
              <w:rPr>
                <w:rFonts w:ascii="Arial Narrow" w:hAnsi="Arial Narrow"/>
                <w:b/>
                <w:noProof/>
                <w:color w:val="000000"/>
                <w:sz w:val="20"/>
                <w:szCs w:val="20"/>
                <w:highlight w:val="black"/>
                <w:lang w:val="en-US"/>
              </w:rPr>
              <w:t>''''''''</w:t>
            </w:r>
            <w:r w:rsidR="005B0F9E" w:rsidRPr="005B0F9E">
              <w:rPr>
                <w:rFonts w:ascii="Arial Narrow" w:hAnsi="Arial Narrow"/>
                <w:b/>
                <w:color w:val="000000" w:themeColor="text1"/>
                <w:sz w:val="20"/>
                <w:szCs w:val="20"/>
                <w:lang w:val="en-US"/>
              </w:rPr>
              <w:t>)</w:t>
            </w:r>
          </w:p>
        </w:tc>
      </w:tr>
      <w:tr w:rsidR="005E7102" w:rsidRPr="003A3555" w:rsidTr="004656BD">
        <w:trPr>
          <w:trHeight w:val="285"/>
        </w:trPr>
        <w:tc>
          <w:tcPr>
            <w:tcW w:w="1312" w:type="pct"/>
            <w:shd w:val="clear" w:color="auto" w:fill="auto"/>
            <w:noWrap/>
            <w:vAlign w:val="center"/>
          </w:tcPr>
          <w:p w:rsidR="005E7102" w:rsidRPr="003A3555" w:rsidRDefault="00C60F2C" w:rsidP="00476EE6">
            <w:pPr>
              <w:pStyle w:val="Table"/>
              <w:keepNext/>
              <w:rPr>
                <w:rFonts w:ascii="Arial Narrow" w:hAnsi="Arial Narrow"/>
                <w:color w:val="000000" w:themeColor="text1"/>
                <w:sz w:val="20"/>
                <w:szCs w:val="20"/>
                <w:lang w:val="en-US"/>
              </w:rPr>
            </w:pPr>
            <w:r>
              <w:rPr>
                <w:rFonts w:ascii="Arial Narrow" w:hAnsi="Arial Narrow"/>
                <w:color w:val="000000" w:themeColor="text1"/>
                <w:sz w:val="20"/>
                <w:szCs w:val="20"/>
                <w:lang w:val="en-US"/>
              </w:rPr>
              <w:t>IFM</w:t>
            </w:r>
            <w:r w:rsidR="005E7102" w:rsidRPr="003A3555">
              <w:rPr>
                <w:rFonts w:ascii="Arial Narrow" w:hAnsi="Arial Narrow"/>
                <w:color w:val="000000" w:themeColor="text1"/>
                <w:sz w:val="20"/>
                <w:szCs w:val="20"/>
                <w:lang w:val="en-US"/>
              </w:rPr>
              <w:t>2005-02</w:t>
            </w:r>
          </w:p>
        </w:tc>
        <w:tc>
          <w:tcPr>
            <w:tcW w:w="1395" w:type="pct"/>
            <w:shd w:val="clear" w:color="auto" w:fill="auto"/>
            <w:noWrap/>
            <w:vAlign w:val="center"/>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105.9 (88.8, NE)</w:t>
            </w:r>
          </w:p>
        </w:tc>
        <w:tc>
          <w:tcPr>
            <w:tcW w:w="1395" w:type="pct"/>
            <w:shd w:val="clear" w:color="auto" w:fill="auto"/>
            <w:noWrap/>
            <w:vAlign w:val="center"/>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88.1 (80.7, 108.4)</w:t>
            </w:r>
          </w:p>
        </w:tc>
        <w:tc>
          <w:tcPr>
            <w:tcW w:w="898" w:type="pct"/>
            <w:shd w:val="clear" w:color="auto" w:fill="auto"/>
            <w:noWrap/>
            <w:vAlign w:val="center"/>
          </w:tcPr>
          <w:p w:rsidR="005E7102" w:rsidRPr="00C53C25" w:rsidRDefault="005E7102" w:rsidP="00476EE6">
            <w:pPr>
              <w:pStyle w:val="Table"/>
              <w:keepNext/>
              <w:jc w:val="center"/>
              <w:rPr>
                <w:rFonts w:ascii="Arial Narrow" w:hAnsi="Arial Narrow"/>
                <w:color w:val="000000" w:themeColor="text1"/>
                <w:sz w:val="20"/>
                <w:szCs w:val="20"/>
                <w:lang w:val="en-US"/>
              </w:rPr>
            </w:pPr>
            <w:r w:rsidRPr="00C53C25">
              <w:rPr>
                <w:rFonts w:ascii="Arial Narrow" w:hAnsi="Arial Narrow"/>
                <w:color w:val="000000" w:themeColor="text1"/>
                <w:sz w:val="20"/>
                <w:szCs w:val="20"/>
                <w:lang w:val="en-US"/>
              </w:rPr>
              <w:t>0.90 (0.72, 1.13)</w:t>
            </w:r>
          </w:p>
        </w:tc>
      </w:tr>
      <w:tr w:rsidR="005E7102" w:rsidRPr="003A3555" w:rsidTr="004656BD">
        <w:trPr>
          <w:trHeight w:val="285"/>
        </w:trPr>
        <w:tc>
          <w:tcPr>
            <w:tcW w:w="1312" w:type="pct"/>
            <w:shd w:val="clear" w:color="auto" w:fill="auto"/>
            <w:noWrap/>
            <w:vAlign w:val="center"/>
          </w:tcPr>
          <w:p w:rsidR="005E7102" w:rsidRPr="003A3555" w:rsidRDefault="005E7102" w:rsidP="00476EE6">
            <w:pPr>
              <w:pStyle w:val="Table"/>
              <w:keepNext/>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GIMEMA</w:t>
            </w:r>
          </w:p>
        </w:tc>
        <w:tc>
          <w:tcPr>
            <w:tcW w:w="1395" w:type="pct"/>
            <w:shd w:val="clear" w:color="auto" w:fill="auto"/>
            <w:noWrap/>
            <w:vAlign w:val="center"/>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68.5 (66.9, NE)</w:t>
            </w:r>
          </w:p>
        </w:tc>
        <w:tc>
          <w:tcPr>
            <w:tcW w:w="1395" w:type="pct"/>
            <w:shd w:val="clear" w:color="auto" w:fill="auto"/>
            <w:noWrap/>
            <w:vAlign w:val="center"/>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NR (61.9, NE)</w:t>
            </w:r>
          </w:p>
        </w:tc>
        <w:tc>
          <w:tcPr>
            <w:tcW w:w="898" w:type="pct"/>
            <w:shd w:val="clear" w:color="auto" w:fill="auto"/>
            <w:noWrap/>
            <w:vAlign w:val="center"/>
          </w:tcPr>
          <w:p w:rsidR="00C66D27" w:rsidRPr="00C53C25" w:rsidRDefault="00C66D27" w:rsidP="00476EE6">
            <w:pPr>
              <w:pStyle w:val="Table"/>
              <w:keepNext/>
              <w:jc w:val="center"/>
              <w:rPr>
                <w:rFonts w:ascii="Arial Narrow" w:hAnsi="Arial Narrow"/>
                <w:color w:val="000000" w:themeColor="text1"/>
                <w:sz w:val="20"/>
                <w:szCs w:val="20"/>
                <w:lang w:val="en-US"/>
              </w:rPr>
            </w:pPr>
            <w:r w:rsidRPr="00C53C25">
              <w:rPr>
                <w:rFonts w:ascii="Arial Narrow" w:hAnsi="Arial Narrow"/>
                <w:color w:val="000000" w:themeColor="text1"/>
                <w:sz w:val="20"/>
                <w:szCs w:val="20"/>
                <w:lang w:val="en-US"/>
              </w:rPr>
              <w:t>0.67 (0.38, 1.21)</w:t>
            </w:r>
          </w:p>
        </w:tc>
      </w:tr>
      <w:tr w:rsidR="005E7102" w:rsidRPr="003A3555" w:rsidTr="004656BD">
        <w:trPr>
          <w:trHeight w:val="285"/>
        </w:trPr>
        <w:tc>
          <w:tcPr>
            <w:tcW w:w="1312" w:type="pct"/>
            <w:shd w:val="clear" w:color="auto" w:fill="auto"/>
            <w:noWrap/>
            <w:vAlign w:val="center"/>
          </w:tcPr>
          <w:p w:rsidR="005E7102" w:rsidRPr="003A3555" w:rsidRDefault="005E7102" w:rsidP="00476EE6">
            <w:pPr>
              <w:pStyle w:val="Table"/>
              <w:keepNext/>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Myeloma XI</w:t>
            </w:r>
          </w:p>
        </w:tc>
        <w:tc>
          <w:tcPr>
            <w:tcW w:w="1395" w:type="pct"/>
            <w:shd w:val="clear" w:color="auto" w:fill="auto"/>
            <w:noWrap/>
            <w:vAlign w:val="center"/>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3y OS: 87.5%</w:t>
            </w:r>
          </w:p>
        </w:tc>
        <w:tc>
          <w:tcPr>
            <w:tcW w:w="1395" w:type="pct"/>
            <w:shd w:val="clear" w:color="auto" w:fill="auto"/>
            <w:noWrap/>
            <w:vAlign w:val="center"/>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3yr OS: 80.2%</w:t>
            </w:r>
          </w:p>
        </w:tc>
        <w:tc>
          <w:tcPr>
            <w:tcW w:w="898" w:type="pct"/>
            <w:shd w:val="clear" w:color="auto" w:fill="auto"/>
            <w:noWrap/>
            <w:vAlign w:val="center"/>
          </w:tcPr>
          <w:p w:rsidR="00C66D27" w:rsidRPr="00C53C25" w:rsidRDefault="00C66D27" w:rsidP="00476EE6">
            <w:pPr>
              <w:pStyle w:val="Table"/>
              <w:keepNext/>
              <w:jc w:val="center"/>
              <w:rPr>
                <w:rFonts w:ascii="Arial Narrow" w:hAnsi="Arial Narrow"/>
                <w:color w:val="000000" w:themeColor="text1"/>
                <w:sz w:val="20"/>
                <w:szCs w:val="20"/>
                <w:lang w:val="en-US"/>
              </w:rPr>
            </w:pPr>
            <w:r w:rsidRPr="00C53C25">
              <w:rPr>
                <w:rFonts w:ascii="Arial Narrow" w:hAnsi="Arial Narrow"/>
                <w:color w:val="000000" w:themeColor="text1"/>
                <w:sz w:val="20"/>
                <w:szCs w:val="20"/>
                <w:lang w:val="en-US"/>
              </w:rPr>
              <w:t>0.87 (0.73, 1.05)</w:t>
            </w:r>
          </w:p>
        </w:tc>
      </w:tr>
      <w:tr w:rsidR="005E7102" w:rsidRPr="003A3555" w:rsidTr="004656BD">
        <w:trPr>
          <w:trHeight w:val="285"/>
        </w:trPr>
        <w:tc>
          <w:tcPr>
            <w:tcW w:w="1312" w:type="pct"/>
            <w:shd w:val="clear" w:color="auto" w:fill="auto"/>
            <w:noWrap/>
            <w:vAlign w:val="center"/>
          </w:tcPr>
          <w:p w:rsidR="005E7102" w:rsidRPr="003A3555" w:rsidRDefault="005E7102" w:rsidP="00476EE6">
            <w:pPr>
              <w:pStyle w:val="Table"/>
              <w:keepNext/>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Meta-analysis results</w:t>
            </w:r>
          </w:p>
        </w:tc>
        <w:tc>
          <w:tcPr>
            <w:tcW w:w="1395" w:type="pct"/>
            <w:shd w:val="clear" w:color="auto" w:fill="auto"/>
            <w:noWrap/>
            <w:vAlign w:val="center"/>
          </w:tcPr>
          <w:p w:rsidR="005E7102" w:rsidRPr="003A3555" w:rsidRDefault="005E7102" w:rsidP="00476EE6">
            <w:pPr>
              <w:pStyle w:val="Table"/>
              <w:keepNext/>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Model</w:t>
            </w:r>
          </w:p>
        </w:tc>
        <w:tc>
          <w:tcPr>
            <w:tcW w:w="1395" w:type="pct"/>
            <w:shd w:val="clear" w:color="auto" w:fill="auto"/>
            <w:noWrap/>
            <w:vAlign w:val="center"/>
          </w:tcPr>
          <w:p w:rsidR="005E7102" w:rsidRPr="003A3555" w:rsidRDefault="005E7102" w:rsidP="00476EE6">
            <w:pPr>
              <w:pStyle w:val="Table"/>
              <w:keepNext/>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Heterogeneity</w:t>
            </w:r>
          </w:p>
        </w:tc>
        <w:tc>
          <w:tcPr>
            <w:tcW w:w="898" w:type="pct"/>
            <w:shd w:val="clear" w:color="auto" w:fill="auto"/>
            <w:noWrap/>
            <w:vAlign w:val="center"/>
          </w:tcPr>
          <w:p w:rsidR="005E7102" w:rsidRPr="00C53C25" w:rsidRDefault="005E7102" w:rsidP="00476EE6">
            <w:pPr>
              <w:pStyle w:val="Table"/>
              <w:keepNext/>
              <w:jc w:val="center"/>
              <w:rPr>
                <w:rFonts w:ascii="Arial Narrow" w:hAnsi="Arial Narrow"/>
                <w:b/>
                <w:color w:val="000000" w:themeColor="text1"/>
                <w:sz w:val="20"/>
                <w:szCs w:val="20"/>
                <w:lang w:val="en-US"/>
              </w:rPr>
            </w:pPr>
            <w:r w:rsidRPr="00C53C25">
              <w:rPr>
                <w:rFonts w:ascii="Arial Narrow" w:hAnsi="Arial Narrow"/>
                <w:b/>
                <w:color w:val="000000" w:themeColor="text1"/>
                <w:sz w:val="20"/>
                <w:szCs w:val="20"/>
                <w:lang w:val="en-US"/>
              </w:rPr>
              <w:t>HR (95% CI)</w:t>
            </w:r>
          </w:p>
        </w:tc>
      </w:tr>
      <w:tr w:rsidR="005E7102" w:rsidRPr="003A3555" w:rsidTr="004656BD">
        <w:trPr>
          <w:trHeight w:val="285"/>
        </w:trPr>
        <w:tc>
          <w:tcPr>
            <w:tcW w:w="1312" w:type="pct"/>
            <w:shd w:val="clear" w:color="auto" w:fill="auto"/>
            <w:noWrap/>
            <w:vAlign w:val="center"/>
          </w:tcPr>
          <w:p w:rsidR="005E7102" w:rsidRPr="003A3555" w:rsidRDefault="005E7102" w:rsidP="00476EE6">
            <w:pPr>
              <w:pStyle w:val="Table"/>
              <w:keepNext/>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Combined HR (ITT)</w:t>
            </w:r>
          </w:p>
        </w:tc>
        <w:tc>
          <w:tcPr>
            <w:tcW w:w="1395" w:type="pct"/>
            <w:shd w:val="clear" w:color="auto" w:fill="auto"/>
            <w:noWrap/>
            <w:vAlign w:val="center"/>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random effects</w:t>
            </w:r>
          </w:p>
        </w:tc>
        <w:tc>
          <w:tcPr>
            <w:tcW w:w="1395" w:type="pct"/>
            <w:shd w:val="clear" w:color="auto" w:fill="auto"/>
            <w:noWrap/>
            <w:vAlign w:val="center"/>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I</w:t>
            </w:r>
            <w:r w:rsidRPr="003A3555">
              <w:rPr>
                <w:rFonts w:ascii="Arial Narrow" w:hAnsi="Arial Narrow"/>
                <w:color w:val="000000" w:themeColor="text1"/>
                <w:sz w:val="20"/>
                <w:szCs w:val="20"/>
                <w:vertAlign w:val="superscript"/>
                <w:lang w:val="en-US"/>
              </w:rPr>
              <w:t>2</w:t>
            </w:r>
            <w:r w:rsidRPr="003A3555">
              <w:rPr>
                <w:rFonts w:ascii="Arial Narrow" w:hAnsi="Arial Narrow"/>
                <w:color w:val="000000" w:themeColor="text1"/>
                <w:sz w:val="20"/>
                <w:szCs w:val="20"/>
                <w:lang w:val="en-US"/>
              </w:rPr>
              <w:t>=</w:t>
            </w:r>
            <w:r w:rsidR="001D6F6D">
              <w:rPr>
                <w:rFonts w:ascii="Arial Narrow" w:hAnsi="Arial Narrow"/>
                <w:noProof/>
                <w:color w:val="000000"/>
                <w:sz w:val="20"/>
                <w:szCs w:val="20"/>
                <w:highlight w:val="black"/>
                <w:lang w:val="en-US"/>
              </w:rPr>
              <w:t>''''''</w:t>
            </w:r>
            <w:r w:rsidRPr="003A3555">
              <w:rPr>
                <w:rFonts w:ascii="Arial Narrow" w:hAnsi="Arial Narrow"/>
                <w:color w:val="000000" w:themeColor="text1"/>
                <w:sz w:val="20"/>
                <w:szCs w:val="20"/>
                <w:lang w:val="en-US"/>
              </w:rPr>
              <w:t>%, p=</w:t>
            </w:r>
            <w:r w:rsidR="001D6F6D">
              <w:rPr>
                <w:rFonts w:ascii="Arial Narrow" w:hAnsi="Arial Narrow"/>
                <w:noProof/>
                <w:color w:val="000000"/>
                <w:sz w:val="20"/>
                <w:szCs w:val="20"/>
                <w:highlight w:val="black"/>
                <w:lang w:val="en-US"/>
              </w:rPr>
              <w:t>'''''''''''</w:t>
            </w:r>
          </w:p>
        </w:tc>
        <w:tc>
          <w:tcPr>
            <w:tcW w:w="898" w:type="pct"/>
            <w:shd w:val="clear" w:color="auto" w:fill="auto"/>
            <w:noWrap/>
            <w:vAlign w:val="center"/>
          </w:tcPr>
          <w:p w:rsidR="00385F9C" w:rsidRPr="00C53C25" w:rsidRDefault="001D6F6D" w:rsidP="00476EE6">
            <w:pPr>
              <w:pStyle w:val="Table"/>
              <w:keepNext/>
              <w:jc w:val="center"/>
              <w:rPr>
                <w:rFonts w:ascii="Arial Narrow" w:hAnsi="Arial Narrow"/>
                <w:b/>
                <w:color w:val="000000" w:themeColor="text1"/>
                <w:sz w:val="20"/>
                <w:szCs w:val="20"/>
                <w:lang w:val="en-US"/>
              </w:rPr>
            </w:pPr>
            <w:r>
              <w:rPr>
                <w:rFonts w:ascii="Arial Narrow" w:hAnsi="Arial Narrow"/>
                <w:b/>
                <w:noProof/>
                <w:color w:val="000000"/>
                <w:sz w:val="20"/>
                <w:szCs w:val="20"/>
                <w:highlight w:val="black"/>
                <w:lang w:val="en-US"/>
              </w:rPr>
              <w:t>''''''''</w:t>
            </w:r>
            <w:r w:rsidR="00385F9C" w:rsidRPr="00C53C25">
              <w:rPr>
                <w:rFonts w:ascii="Arial Narrow" w:hAnsi="Arial Narrow"/>
                <w:b/>
                <w:color w:val="000000" w:themeColor="text1"/>
                <w:sz w:val="20"/>
                <w:szCs w:val="20"/>
                <w:lang w:val="en-US"/>
              </w:rPr>
              <w:t xml:space="preserve"> (</w:t>
            </w:r>
            <w:r>
              <w:rPr>
                <w:rFonts w:ascii="Arial Narrow" w:hAnsi="Arial Narrow"/>
                <w:b/>
                <w:noProof/>
                <w:color w:val="000000"/>
                <w:sz w:val="20"/>
                <w:szCs w:val="20"/>
                <w:highlight w:val="black"/>
                <w:lang w:val="en-US"/>
              </w:rPr>
              <w:t>'''''''''</w:t>
            </w:r>
            <w:r w:rsidR="00385F9C" w:rsidRPr="00C53C25">
              <w:rPr>
                <w:rFonts w:ascii="Arial Narrow" w:hAnsi="Arial Narrow"/>
                <w:b/>
                <w:color w:val="000000" w:themeColor="text1"/>
                <w:sz w:val="20"/>
                <w:szCs w:val="20"/>
                <w:lang w:val="en-US"/>
              </w:rPr>
              <w:t xml:space="preserve">, </w:t>
            </w:r>
            <w:r>
              <w:rPr>
                <w:rFonts w:ascii="Arial Narrow" w:hAnsi="Arial Narrow"/>
                <w:b/>
                <w:noProof/>
                <w:color w:val="000000"/>
                <w:sz w:val="20"/>
                <w:szCs w:val="20"/>
                <w:highlight w:val="black"/>
                <w:lang w:val="en-US"/>
              </w:rPr>
              <w:t>'''''''''</w:t>
            </w:r>
            <w:r w:rsidR="00385F9C" w:rsidRPr="00C53C25">
              <w:rPr>
                <w:rFonts w:ascii="Arial Narrow" w:hAnsi="Arial Narrow"/>
                <w:b/>
                <w:color w:val="000000" w:themeColor="text1"/>
                <w:sz w:val="20"/>
                <w:szCs w:val="20"/>
                <w:lang w:val="en-US"/>
              </w:rPr>
              <w:t>)</w:t>
            </w:r>
          </w:p>
        </w:tc>
      </w:tr>
      <w:tr w:rsidR="005E7102" w:rsidRPr="003A3555" w:rsidTr="004656BD">
        <w:trPr>
          <w:trHeight w:val="285"/>
        </w:trPr>
        <w:tc>
          <w:tcPr>
            <w:tcW w:w="1312" w:type="pct"/>
            <w:shd w:val="clear" w:color="auto" w:fill="auto"/>
            <w:noWrap/>
            <w:vAlign w:val="center"/>
          </w:tcPr>
          <w:p w:rsidR="005E7102" w:rsidRPr="003A3555" w:rsidRDefault="005E7102" w:rsidP="00476EE6">
            <w:pPr>
              <w:pStyle w:val="Table"/>
              <w:keepNext/>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Combined HR (</w:t>
            </w:r>
            <w:proofErr w:type="spellStart"/>
            <w:r w:rsidRPr="003A3555">
              <w:rPr>
                <w:rFonts w:ascii="Arial Narrow" w:hAnsi="Arial Narrow"/>
                <w:color w:val="000000" w:themeColor="text1"/>
                <w:sz w:val="20"/>
                <w:szCs w:val="20"/>
                <w:lang w:val="en-US"/>
              </w:rPr>
              <w:t>Adj</w:t>
            </w:r>
            <w:proofErr w:type="spellEnd"/>
            <w:r w:rsidRPr="003A3555">
              <w:rPr>
                <w:rFonts w:ascii="Arial Narrow" w:hAnsi="Arial Narrow"/>
                <w:color w:val="000000" w:themeColor="text1"/>
                <w:sz w:val="20"/>
                <w:szCs w:val="20"/>
                <w:lang w:val="en-US"/>
              </w:rPr>
              <w:t>)</w:t>
            </w:r>
          </w:p>
        </w:tc>
        <w:tc>
          <w:tcPr>
            <w:tcW w:w="1395" w:type="pct"/>
            <w:shd w:val="clear" w:color="auto" w:fill="auto"/>
            <w:noWrap/>
            <w:vAlign w:val="center"/>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random effects</w:t>
            </w:r>
          </w:p>
        </w:tc>
        <w:tc>
          <w:tcPr>
            <w:tcW w:w="1395" w:type="pct"/>
            <w:shd w:val="clear" w:color="auto" w:fill="auto"/>
            <w:noWrap/>
            <w:vAlign w:val="center"/>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I</w:t>
            </w:r>
            <w:r w:rsidRPr="003A3555">
              <w:rPr>
                <w:rFonts w:ascii="Arial Narrow" w:hAnsi="Arial Narrow"/>
                <w:color w:val="000000" w:themeColor="text1"/>
                <w:sz w:val="20"/>
                <w:szCs w:val="20"/>
                <w:vertAlign w:val="superscript"/>
                <w:lang w:val="en-US"/>
              </w:rPr>
              <w:t>2</w:t>
            </w:r>
            <w:r w:rsidRPr="003A3555">
              <w:rPr>
                <w:rFonts w:ascii="Arial Narrow" w:hAnsi="Arial Narrow"/>
                <w:color w:val="000000" w:themeColor="text1"/>
                <w:sz w:val="20"/>
                <w:szCs w:val="20"/>
                <w:lang w:val="en-US"/>
              </w:rPr>
              <w:t>=</w:t>
            </w:r>
            <w:r w:rsidR="001D6F6D">
              <w:rPr>
                <w:rFonts w:ascii="Arial Narrow" w:hAnsi="Arial Narrow"/>
                <w:noProof/>
                <w:color w:val="000000"/>
                <w:sz w:val="20"/>
                <w:szCs w:val="20"/>
                <w:highlight w:val="black"/>
                <w:lang w:val="en-US"/>
              </w:rPr>
              <w:t>''''''</w:t>
            </w:r>
            <w:r w:rsidRPr="003A3555">
              <w:rPr>
                <w:rFonts w:ascii="Arial Narrow" w:hAnsi="Arial Narrow"/>
                <w:color w:val="000000" w:themeColor="text1"/>
                <w:sz w:val="20"/>
                <w:szCs w:val="20"/>
                <w:lang w:val="en-US"/>
              </w:rPr>
              <w:t>%, p=</w:t>
            </w:r>
            <w:r w:rsidR="001D6F6D">
              <w:rPr>
                <w:rFonts w:ascii="Arial Narrow" w:hAnsi="Arial Narrow"/>
                <w:noProof/>
                <w:color w:val="000000"/>
                <w:sz w:val="20"/>
                <w:szCs w:val="20"/>
                <w:highlight w:val="black"/>
                <w:lang w:val="en-US"/>
              </w:rPr>
              <w:t>''''''''''</w:t>
            </w:r>
          </w:p>
        </w:tc>
        <w:tc>
          <w:tcPr>
            <w:tcW w:w="898" w:type="pct"/>
            <w:shd w:val="clear" w:color="auto" w:fill="auto"/>
            <w:noWrap/>
            <w:vAlign w:val="center"/>
          </w:tcPr>
          <w:p w:rsidR="00385F9C" w:rsidRPr="00C53C25" w:rsidRDefault="001D6F6D" w:rsidP="00476EE6">
            <w:pPr>
              <w:pStyle w:val="Table"/>
              <w:keepNext/>
              <w:jc w:val="center"/>
              <w:rPr>
                <w:rFonts w:ascii="Arial Narrow" w:hAnsi="Arial Narrow"/>
                <w:b/>
                <w:color w:val="000000" w:themeColor="text1"/>
                <w:sz w:val="20"/>
                <w:szCs w:val="20"/>
                <w:lang w:val="en-US"/>
              </w:rPr>
            </w:pPr>
            <w:r>
              <w:rPr>
                <w:rFonts w:ascii="Arial Narrow" w:hAnsi="Arial Narrow"/>
                <w:b/>
                <w:noProof/>
                <w:color w:val="000000"/>
                <w:sz w:val="20"/>
                <w:szCs w:val="20"/>
                <w:highlight w:val="black"/>
                <w:lang w:val="en-US"/>
              </w:rPr>
              <w:t>''''''''</w:t>
            </w:r>
            <w:r w:rsidR="00385F9C" w:rsidRPr="00C53C25">
              <w:rPr>
                <w:rFonts w:ascii="Arial Narrow" w:hAnsi="Arial Narrow"/>
                <w:b/>
                <w:color w:val="000000" w:themeColor="text1"/>
                <w:sz w:val="20"/>
                <w:szCs w:val="20"/>
                <w:lang w:val="en-US"/>
              </w:rPr>
              <w:t xml:space="preserve"> (</w:t>
            </w:r>
            <w:r>
              <w:rPr>
                <w:rFonts w:ascii="Arial Narrow" w:hAnsi="Arial Narrow"/>
                <w:b/>
                <w:noProof/>
                <w:color w:val="000000"/>
                <w:sz w:val="20"/>
                <w:szCs w:val="20"/>
                <w:highlight w:val="black"/>
                <w:lang w:val="en-US"/>
              </w:rPr>
              <w:t>''''''''</w:t>
            </w:r>
            <w:r w:rsidR="00385F9C" w:rsidRPr="00C53C25">
              <w:rPr>
                <w:rFonts w:ascii="Arial Narrow" w:hAnsi="Arial Narrow"/>
                <w:b/>
                <w:color w:val="000000" w:themeColor="text1"/>
                <w:sz w:val="20"/>
                <w:szCs w:val="20"/>
                <w:lang w:val="en-US"/>
              </w:rPr>
              <w:t xml:space="preserve">, </w:t>
            </w:r>
            <w:r>
              <w:rPr>
                <w:rFonts w:ascii="Arial Narrow" w:hAnsi="Arial Narrow"/>
                <w:b/>
                <w:noProof/>
                <w:color w:val="000000"/>
                <w:sz w:val="20"/>
                <w:szCs w:val="20"/>
                <w:highlight w:val="black"/>
                <w:lang w:val="en-US"/>
              </w:rPr>
              <w:t>''''''''''</w:t>
            </w:r>
            <w:r w:rsidR="00385F9C" w:rsidRPr="00C53C25">
              <w:rPr>
                <w:rFonts w:ascii="Arial Narrow" w:hAnsi="Arial Narrow"/>
                <w:b/>
                <w:color w:val="000000" w:themeColor="text1"/>
                <w:sz w:val="20"/>
                <w:szCs w:val="20"/>
                <w:lang w:val="en-US"/>
              </w:rPr>
              <w:t>)</w:t>
            </w:r>
          </w:p>
        </w:tc>
      </w:tr>
      <w:tr w:rsidR="005E7102" w:rsidRPr="003A3555" w:rsidTr="004656BD">
        <w:trPr>
          <w:trHeight w:val="285"/>
        </w:trPr>
        <w:tc>
          <w:tcPr>
            <w:tcW w:w="1312" w:type="pct"/>
            <w:shd w:val="clear" w:color="auto" w:fill="auto"/>
            <w:noWrap/>
            <w:vAlign w:val="center"/>
          </w:tcPr>
          <w:p w:rsidR="005E7102" w:rsidRPr="003A3555" w:rsidRDefault="005E7102" w:rsidP="00476EE6">
            <w:pPr>
              <w:pStyle w:val="Table"/>
              <w:keepNext/>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Combined HR (PP)</w:t>
            </w:r>
          </w:p>
        </w:tc>
        <w:tc>
          <w:tcPr>
            <w:tcW w:w="1395" w:type="pct"/>
            <w:shd w:val="clear" w:color="auto" w:fill="auto"/>
            <w:noWrap/>
            <w:vAlign w:val="center"/>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random effects</w:t>
            </w:r>
          </w:p>
        </w:tc>
        <w:tc>
          <w:tcPr>
            <w:tcW w:w="1395" w:type="pct"/>
            <w:shd w:val="clear" w:color="auto" w:fill="auto"/>
            <w:noWrap/>
            <w:vAlign w:val="center"/>
          </w:tcPr>
          <w:p w:rsidR="005E7102" w:rsidRPr="003A3555" w:rsidRDefault="005E7102" w:rsidP="00476EE6">
            <w:pPr>
              <w:pStyle w:val="Table"/>
              <w:keepNext/>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I</w:t>
            </w:r>
            <w:r w:rsidRPr="003A3555">
              <w:rPr>
                <w:rFonts w:ascii="Arial Narrow" w:hAnsi="Arial Narrow"/>
                <w:color w:val="000000" w:themeColor="text1"/>
                <w:sz w:val="20"/>
                <w:szCs w:val="20"/>
                <w:vertAlign w:val="superscript"/>
                <w:lang w:val="en-US"/>
              </w:rPr>
              <w:t>2</w:t>
            </w:r>
            <w:r w:rsidRPr="003A3555">
              <w:rPr>
                <w:rFonts w:ascii="Arial Narrow" w:hAnsi="Arial Narrow"/>
                <w:color w:val="000000" w:themeColor="text1"/>
                <w:sz w:val="20"/>
                <w:szCs w:val="20"/>
                <w:lang w:val="en-US"/>
              </w:rPr>
              <w:t>=</w:t>
            </w:r>
            <w:r w:rsidR="001D6F6D">
              <w:rPr>
                <w:rFonts w:ascii="Arial Narrow" w:hAnsi="Arial Narrow"/>
                <w:noProof/>
                <w:color w:val="000000"/>
                <w:sz w:val="20"/>
                <w:szCs w:val="20"/>
                <w:highlight w:val="black"/>
                <w:lang w:val="en-US"/>
              </w:rPr>
              <w:t>''''''</w:t>
            </w:r>
            <w:r w:rsidRPr="003A3555">
              <w:rPr>
                <w:rFonts w:ascii="Arial Narrow" w:hAnsi="Arial Narrow"/>
                <w:color w:val="000000" w:themeColor="text1"/>
                <w:sz w:val="20"/>
                <w:szCs w:val="20"/>
                <w:lang w:val="en-US"/>
              </w:rPr>
              <w:t>%, p=</w:t>
            </w:r>
            <w:r w:rsidR="001D6F6D">
              <w:rPr>
                <w:rFonts w:ascii="Arial Narrow" w:hAnsi="Arial Narrow"/>
                <w:noProof/>
                <w:color w:val="000000"/>
                <w:sz w:val="20"/>
                <w:szCs w:val="20"/>
                <w:highlight w:val="black"/>
                <w:lang w:val="en-US"/>
              </w:rPr>
              <w:t>'''''''''''''''</w:t>
            </w:r>
          </w:p>
        </w:tc>
        <w:tc>
          <w:tcPr>
            <w:tcW w:w="898" w:type="pct"/>
            <w:shd w:val="clear" w:color="auto" w:fill="auto"/>
            <w:noWrap/>
            <w:vAlign w:val="center"/>
          </w:tcPr>
          <w:p w:rsidR="00385F9C" w:rsidRPr="00C53C25" w:rsidRDefault="001D6F6D" w:rsidP="00476EE6">
            <w:pPr>
              <w:pStyle w:val="Table"/>
              <w:keepNext/>
              <w:jc w:val="center"/>
              <w:rPr>
                <w:rFonts w:ascii="Arial Narrow" w:hAnsi="Arial Narrow"/>
                <w:b/>
                <w:color w:val="000000" w:themeColor="text1"/>
                <w:sz w:val="20"/>
                <w:szCs w:val="20"/>
                <w:lang w:val="en-US"/>
              </w:rPr>
            </w:pPr>
            <w:r>
              <w:rPr>
                <w:rFonts w:ascii="Arial Narrow" w:hAnsi="Arial Narrow"/>
                <w:b/>
                <w:noProof/>
                <w:color w:val="000000"/>
                <w:sz w:val="20"/>
                <w:szCs w:val="20"/>
                <w:highlight w:val="black"/>
                <w:lang w:val="en-US"/>
              </w:rPr>
              <w:t>''''''''''</w:t>
            </w:r>
            <w:r w:rsidR="003E76F3" w:rsidRPr="003E76F3">
              <w:rPr>
                <w:rFonts w:ascii="Arial Narrow" w:hAnsi="Arial Narrow"/>
                <w:b/>
                <w:color w:val="000000" w:themeColor="text1"/>
                <w:sz w:val="20"/>
                <w:szCs w:val="20"/>
                <w:lang w:val="en-US"/>
              </w:rPr>
              <w:t xml:space="preserve"> (</w:t>
            </w:r>
            <w:r>
              <w:rPr>
                <w:rFonts w:ascii="Arial Narrow" w:hAnsi="Arial Narrow"/>
                <w:b/>
                <w:noProof/>
                <w:color w:val="000000"/>
                <w:sz w:val="20"/>
                <w:szCs w:val="20"/>
                <w:highlight w:val="black"/>
                <w:lang w:val="en-US"/>
              </w:rPr>
              <w:t>'''''''''</w:t>
            </w:r>
            <w:r w:rsidR="003E76F3" w:rsidRPr="003E76F3">
              <w:rPr>
                <w:rFonts w:ascii="Arial Narrow" w:hAnsi="Arial Narrow"/>
                <w:b/>
                <w:color w:val="000000" w:themeColor="text1"/>
                <w:sz w:val="20"/>
                <w:szCs w:val="20"/>
                <w:lang w:val="en-US"/>
              </w:rPr>
              <w:t xml:space="preserve">, </w:t>
            </w:r>
            <w:r>
              <w:rPr>
                <w:rFonts w:ascii="Arial Narrow" w:hAnsi="Arial Narrow"/>
                <w:b/>
                <w:noProof/>
                <w:color w:val="000000"/>
                <w:sz w:val="20"/>
                <w:szCs w:val="20"/>
                <w:highlight w:val="black"/>
                <w:lang w:val="en-US"/>
              </w:rPr>
              <w:t>''''''''</w:t>
            </w:r>
            <w:r w:rsidR="003E76F3" w:rsidRPr="003E76F3">
              <w:rPr>
                <w:rFonts w:ascii="Arial Narrow" w:hAnsi="Arial Narrow"/>
                <w:b/>
                <w:color w:val="000000" w:themeColor="text1"/>
                <w:sz w:val="20"/>
                <w:szCs w:val="20"/>
                <w:lang w:val="en-US"/>
              </w:rPr>
              <w:t>)</w:t>
            </w:r>
          </w:p>
        </w:tc>
      </w:tr>
    </w:tbl>
    <w:p w:rsidR="005E7102" w:rsidRPr="003A3555" w:rsidRDefault="005E7102" w:rsidP="00476EE6">
      <w:pPr>
        <w:keepNext/>
        <w:widowControl/>
        <w:rPr>
          <w:rFonts w:ascii="Arial Narrow" w:hAnsi="Arial Narrow"/>
          <w:color w:val="000000" w:themeColor="text1"/>
          <w:sz w:val="18"/>
          <w:szCs w:val="18"/>
        </w:rPr>
      </w:pPr>
      <w:proofErr w:type="spellStart"/>
      <w:r w:rsidRPr="003A3555">
        <w:rPr>
          <w:rFonts w:ascii="Arial Narrow" w:hAnsi="Arial Narrow"/>
          <w:color w:val="000000" w:themeColor="text1"/>
          <w:sz w:val="18"/>
          <w:szCs w:val="18"/>
        </w:rPr>
        <w:t>Adj</w:t>
      </w:r>
      <w:proofErr w:type="spellEnd"/>
      <w:r w:rsidRPr="003A3555">
        <w:rPr>
          <w:rFonts w:ascii="Arial Narrow" w:hAnsi="Arial Narrow"/>
          <w:color w:val="000000" w:themeColor="text1"/>
          <w:sz w:val="18"/>
          <w:szCs w:val="18"/>
        </w:rPr>
        <w:t xml:space="preserve"> = adjusted for crossover; CI</w:t>
      </w:r>
      <w:r w:rsidR="00963642">
        <w:rPr>
          <w:rFonts w:ascii="Arial Narrow" w:hAnsi="Arial Narrow"/>
          <w:color w:val="000000" w:themeColor="text1"/>
          <w:sz w:val="18"/>
          <w:szCs w:val="18"/>
        </w:rPr>
        <w:t xml:space="preserve"> </w:t>
      </w:r>
      <w:r w:rsidRPr="003A3555">
        <w:rPr>
          <w:rFonts w:ascii="Arial Narrow" w:hAnsi="Arial Narrow"/>
          <w:color w:val="000000" w:themeColor="text1"/>
          <w:sz w:val="18"/>
          <w:szCs w:val="18"/>
        </w:rPr>
        <w:t>=</w:t>
      </w:r>
      <w:r w:rsidR="00963642">
        <w:rPr>
          <w:rFonts w:ascii="Arial Narrow" w:hAnsi="Arial Narrow"/>
          <w:color w:val="000000" w:themeColor="text1"/>
          <w:sz w:val="18"/>
          <w:szCs w:val="18"/>
        </w:rPr>
        <w:t xml:space="preserve"> </w:t>
      </w:r>
      <w:r w:rsidRPr="003A3555">
        <w:rPr>
          <w:rFonts w:ascii="Arial Narrow" w:hAnsi="Arial Narrow"/>
          <w:color w:val="000000" w:themeColor="text1"/>
          <w:sz w:val="18"/>
          <w:szCs w:val="18"/>
        </w:rPr>
        <w:t>confidence interval; HR</w:t>
      </w:r>
      <w:r w:rsidR="00963642">
        <w:rPr>
          <w:rFonts w:ascii="Arial Narrow" w:hAnsi="Arial Narrow"/>
          <w:color w:val="000000" w:themeColor="text1"/>
          <w:sz w:val="18"/>
          <w:szCs w:val="18"/>
        </w:rPr>
        <w:t xml:space="preserve"> </w:t>
      </w:r>
      <w:r w:rsidRPr="003A3555">
        <w:rPr>
          <w:rFonts w:ascii="Arial Narrow" w:hAnsi="Arial Narrow"/>
          <w:color w:val="000000" w:themeColor="text1"/>
          <w:sz w:val="18"/>
          <w:szCs w:val="18"/>
        </w:rPr>
        <w:t>=</w:t>
      </w:r>
      <w:r w:rsidR="00963642">
        <w:rPr>
          <w:rFonts w:ascii="Arial Narrow" w:hAnsi="Arial Narrow"/>
          <w:color w:val="000000" w:themeColor="text1"/>
          <w:sz w:val="18"/>
          <w:szCs w:val="18"/>
        </w:rPr>
        <w:t xml:space="preserve"> </w:t>
      </w:r>
      <w:r w:rsidRPr="003A3555">
        <w:rPr>
          <w:rFonts w:ascii="Arial Narrow" w:hAnsi="Arial Narrow"/>
          <w:color w:val="000000" w:themeColor="text1"/>
          <w:sz w:val="18"/>
          <w:szCs w:val="18"/>
        </w:rPr>
        <w:t>hazard ratio; ITT</w:t>
      </w:r>
      <w:r w:rsidR="00963642">
        <w:rPr>
          <w:rFonts w:ascii="Arial Narrow" w:hAnsi="Arial Narrow"/>
          <w:color w:val="000000" w:themeColor="text1"/>
          <w:sz w:val="18"/>
          <w:szCs w:val="18"/>
        </w:rPr>
        <w:t xml:space="preserve"> </w:t>
      </w:r>
      <w:r w:rsidRPr="003A3555">
        <w:rPr>
          <w:rFonts w:ascii="Arial Narrow" w:hAnsi="Arial Narrow"/>
          <w:color w:val="000000" w:themeColor="text1"/>
          <w:sz w:val="18"/>
          <w:szCs w:val="18"/>
        </w:rPr>
        <w:t>=</w:t>
      </w:r>
      <w:r w:rsidR="00963642">
        <w:rPr>
          <w:rFonts w:ascii="Arial Narrow" w:hAnsi="Arial Narrow"/>
          <w:color w:val="000000" w:themeColor="text1"/>
          <w:sz w:val="18"/>
          <w:szCs w:val="18"/>
        </w:rPr>
        <w:t xml:space="preserve"> </w:t>
      </w:r>
      <w:r w:rsidRPr="003A3555">
        <w:rPr>
          <w:rFonts w:ascii="Arial Narrow" w:hAnsi="Arial Narrow"/>
          <w:color w:val="000000" w:themeColor="text1"/>
          <w:sz w:val="18"/>
          <w:szCs w:val="18"/>
        </w:rPr>
        <w:t xml:space="preserve">intention to treat; NA = not available; NE = not estimable; </w:t>
      </w:r>
      <w:r w:rsidR="00C53C25">
        <w:rPr>
          <w:rFonts w:ascii="Arial Narrow" w:hAnsi="Arial Narrow"/>
          <w:color w:val="000000" w:themeColor="text1"/>
          <w:sz w:val="18"/>
          <w:szCs w:val="18"/>
        </w:rPr>
        <w:t xml:space="preserve">OS = overall survival; </w:t>
      </w:r>
      <w:r w:rsidRPr="003A3555">
        <w:rPr>
          <w:rFonts w:ascii="Arial Narrow" w:hAnsi="Arial Narrow"/>
          <w:color w:val="000000" w:themeColor="text1"/>
          <w:sz w:val="18"/>
          <w:szCs w:val="18"/>
        </w:rPr>
        <w:t>PP = per protocol.</w:t>
      </w:r>
    </w:p>
    <w:p w:rsidR="005E7102" w:rsidRPr="003A3555" w:rsidRDefault="005E7102" w:rsidP="00476EE6">
      <w:pPr>
        <w:widowControl/>
        <w:rPr>
          <w:rFonts w:ascii="Arial Narrow" w:hAnsi="Arial Narrow"/>
          <w:color w:val="000000" w:themeColor="text1"/>
          <w:sz w:val="18"/>
          <w:szCs w:val="18"/>
        </w:rPr>
      </w:pPr>
      <w:r w:rsidRPr="003A3555">
        <w:rPr>
          <w:rFonts w:ascii="Arial Narrow" w:hAnsi="Arial Narrow"/>
          <w:color w:val="000000" w:themeColor="text1"/>
          <w:sz w:val="18"/>
          <w:szCs w:val="18"/>
        </w:rPr>
        <w:t xml:space="preserve">Notes: Statistically significant differences bolded. </w:t>
      </w:r>
    </w:p>
    <w:p w:rsidR="005E7102" w:rsidRPr="003A3555" w:rsidRDefault="005E7102" w:rsidP="00476EE6">
      <w:pPr>
        <w:widowControl/>
        <w:rPr>
          <w:rFonts w:ascii="Arial Narrow" w:hAnsi="Arial Narrow"/>
          <w:color w:val="000000" w:themeColor="text1"/>
          <w:sz w:val="18"/>
          <w:szCs w:val="18"/>
        </w:rPr>
      </w:pPr>
      <w:r w:rsidRPr="003A3555">
        <w:rPr>
          <w:rFonts w:ascii="Arial Narrow" w:hAnsi="Arial Narrow"/>
          <w:color w:val="000000" w:themeColor="text1"/>
          <w:sz w:val="18"/>
          <w:szCs w:val="18"/>
        </w:rPr>
        <w:t xml:space="preserve">Source: Table 2-10, p.37 </w:t>
      </w:r>
      <w:r w:rsidR="00C53C25">
        <w:rPr>
          <w:rFonts w:ascii="Arial Narrow" w:hAnsi="Arial Narrow"/>
          <w:color w:val="000000" w:themeColor="text1"/>
          <w:sz w:val="18"/>
          <w:szCs w:val="18"/>
        </w:rPr>
        <w:t xml:space="preserve">and Excel workbook, Attachment 6 </w:t>
      </w:r>
      <w:r w:rsidRPr="003A3555">
        <w:rPr>
          <w:rFonts w:ascii="Arial Narrow" w:hAnsi="Arial Narrow"/>
          <w:color w:val="000000" w:themeColor="text1"/>
          <w:sz w:val="18"/>
          <w:szCs w:val="18"/>
        </w:rPr>
        <w:t xml:space="preserve">of </w:t>
      </w:r>
      <w:r w:rsidR="00C60F2C">
        <w:rPr>
          <w:rFonts w:ascii="Arial Narrow" w:hAnsi="Arial Narrow"/>
          <w:color w:val="000000" w:themeColor="text1"/>
          <w:sz w:val="18"/>
          <w:szCs w:val="18"/>
        </w:rPr>
        <w:t>the resubmission. CALGB and IFM</w:t>
      </w:r>
      <w:r w:rsidRPr="003A3555">
        <w:rPr>
          <w:rFonts w:ascii="Arial Narrow" w:hAnsi="Arial Narrow"/>
          <w:color w:val="000000" w:themeColor="text1"/>
          <w:sz w:val="18"/>
          <w:szCs w:val="18"/>
        </w:rPr>
        <w:t>2005-02 used Feb 2016 cut-off date; GIMEMA: April 2013 cut-off; Myeloma XI: Sep 2017 cut-off.</w:t>
      </w:r>
    </w:p>
    <w:p w:rsidR="00323331" w:rsidRPr="00600AD1" w:rsidRDefault="005E7102" w:rsidP="00BE016A">
      <w:pPr>
        <w:pStyle w:val="ListParagraph"/>
        <w:widowControl/>
        <w:numPr>
          <w:ilvl w:val="1"/>
          <w:numId w:val="2"/>
        </w:numPr>
        <w:spacing w:before="120"/>
        <w:rPr>
          <w:rFonts w:cs="Calibri"/>
          <w:snapToGrid/>
          <w:szCs w:val="24"/>
          <w:lang w:eastAsia="en-AU"/>
        </w:rPr>
      </w:pPr>
      <w:r w:rsidRPr="00600AD1">
        <w:rPr>
          <w:rFonts w:cs="Calibri"/>
          <w:snapToGrid/>
          <w:szCs w:val="24"/>
          <w:lang w:eastAsia="en-AU"/>
        </w:rPr>
        <w:t xml:space="preserve">The PFS results </w:t>
      </w:r>
      <w:r w:rsidR="00323331" w:rsidRPr="00600AD1">
        <w:rPr>
          <w:rFonts w:cs="Calibri"/>
          <w:snapToGrid/>
          <w:szCs w:val="24"/>
          <w:lang w:eastAsia="en-AU"/>
        </w:rPr>
        <w:t xml:space="preserve">were </w:t>
      </w:r>
      <w:r w:rsidRPr="00600AD1">
        <w:rPr>
          <w:rFonts w:cs="Calibri"/>
          <w:snapToGrid/>
          <w:szCs w:val="24"/>
          <w:lang w:eastAsia="en-AU"/>
        </w:rPr>
        <w:t xml:space="preserve">statistically significant </w:t>
      </w:r>
      <w:r w:rsidR="00323331" w:rsidRPr="00600AD1">
        <w:rPr>
          <w:rFonts w:cs="Calibri"/>
          <w:snapToGrid/>
          <w:szCs w:val="24"/>
          <w:lang w:eastAsia="en-AU"/>
        </w:rPr>
        <w:t xml:space="preserve">for thalidomide (ITT) </w:t>
      </w:r>
      <w:r w:rsidRPr="00600AD1">
        <w:rPr>
          <w:rFonts w:cs="Calibri"/>
          <w:snapToGrid/>
          <w:szCs w:val="24"/>
          <w:lang w:eastAsia="en-AU"/>
        </w:rPr>
        <w:t xml:space="preserve">in </w:t>
      </w:r>
      <w:r w:rsidR="00323331" w:rsidRPr="00600AD1">
        <w:rPr>
          <w:rFonts w:cs="Calibri"/>
          <w:snapToGrid/>
          <w:szCs w:val="24"/>
          <w:lang w:eastAsia="en-AU"/>
        </w:rPr>
        <w:t xml:space="preserve">both </w:t>
      </w:r>
      <w:r w:rsidRPr="00600AD1">
        <w:rPr>
          <w:rFonts w:cs="Calibri"/>
          <w:snapToGrid/>
          <w:szCs w:val="24"/>
          <w:lang w:eastAsia="en-AU"/>
        </w:rPr>
        <w:t xml:space="preserve">the Myeloma IX and MM6. </w:t>
      </w:r>
      <w:r w:rsidR="00586D60" w:rsidRPr="00600AD1">
        <w:rPr>
          <w:rFonts w:cs="Calibri"/>
          <w:snapToGrid/>
          <w:szCs w:val="24"/>
          <w:lang w:eastAsia="en-AU"/>
        </w:rPr>
        <w:t xml:space="preserve">Only the MM6 showed </w:t>
      </w:r>
      <w:r w:rsidRPr="00600AD1">
        <w:rPr>
          <w:rFonts w:cs="Calibri"/>
          <w:snapToGrid/>
          <w:szCs w:val="24"/>
          <w:lang w:eastAsia="en-AU"/>
        </w:rPr>
        <w:t>statistically significant improvements in OS, the reported HR at 5 years follow-up was 0.12 (95% CI:</w:t>
      </w:r>
      <w:r w:rsidR="00586D60" w:rsidRPr="00600AD1">
        <w:rPr>
          <w:rFonts w:cs="Calibri"/>
          <w:snapToGrid/>
          <w:szCs w:val="24"/>
          <w:lang w:eastAsia="en-AU"/>
        </w:rPr>
        <w:t xml:space="preserve"> </w:t>
      </w:r>
      <w:r w:rsidRPr="00600AD1">
        <w:rPr>
          <w:rFonts w:cs="Calibri"/>
          <w:snapToGrid/>
          <w:szCs w:val="24"/>
          <w:lang w:eastAsia="en-AU"/>
        </w:rPr>
        <w:t>0.03, 0.56). The combined effects of pooling of the trial show</w:t>
      </w:r>
      <w:r w:rsidR="000543D1" w:rsidRPr="00600AD1">
        <w:rPr>
          <w:rFonts w:cs="Calibri"/>
          <w:snapToGrid/>
          <w:szCs w:val="24"/>
          <w:lang w:eastAsia="en-AU"/>
        </w:rPr>
        <w:t>ed</w:t>
      </w:r>
      <w:r w:rsidRPr="00600AD1">
        <w:rPr>
          <w:rFonts w:cs="Calibri"/>
          <w:snapToGrid/>
          <w:szCs w:val="24"/>
          <w:lang w:eastAsia="en-AU"/>
        </w:rPr>
        <w:t xml:space="preserve"> no statistically significant improvement in </w:t>
      </w:r>
      <w:r w:rsidR="000543D1" w:rsidRPr="00600AD1">
        <w:rPr>
          <w:rFonts w:cs="Calibri"/>
          <w:snapToGrid/>
          <w:szCs w:val="24"/>
          <w:lang w:eastAsia="en-AU"/>
        </w:rPr>
        <w:t xml:space="preserve">either PFS or </w:t>
      </w:r>
      <w:r w:rsidRPr="00600AD1">
        <w:rPr>
          <w:rFonts w:cs="Calibri"/>
          <w:snapToGrid/>
          <w:szCs w:val="24"/>
          <w:lang w:eastAsia="en-AU"/>
        </w:rPr>
        <w:t xml:space="preserve">OS </w:t>
      </w:r>
      <w:r w:rsidR="000543D1" w:rsidRPr="00600AD1">
        <w:rPr>
          <w:rFonts w:cs="Calibri"/>
          <w:snapToGrid/>
          <w:szCs w:val="24"/>
          <w:lang w:eastAsia="en-AU"/>
        </w:rPr>
        <w:t xml:space="preserve">for </w:t>
      </w:r>
      <w:r w:rsidRPr="00600AD1">
        <w:rPr>
          <w:rFonts w:cs="Calibri"/>
          <w:snapToGrid/>
          <w:szCs w:val="24"/>
          <w:lang w:eastAsia="en-AU"/>
        </w:rPr>
        <w:t>thalidomide</w:t>
      </w:r>
      <w:r w:rsidR="00EB79D1" w:rsidRPr="00600AD1">
        <w:rPr>
          <w:rFonts w:cs="Calibri"/>
          <w:snapToGrid/>
          <w:szCs w:val="24"/>
          <w:lang w:eastAsia="en-AU"/>
        </w:rPr>
        <w:t xml:space="preserve"> (Table </w:t>
      </w:r>
      <w:r w:rsidR="000543D1" w:rsidRPr="00600AD1">
        <w:rPr>
          <w:rFonts w:cs="Calibri"/>
          <w:snapToGrid/>
          <w:szCs w:val="24"/>
          <w:lang w:eastAsia="en-AU"/>
        </w:rPr>
        <w:t>16</w:t>
      </w:r>
      <w:r w:rsidR="00EB79D1" w:rsidRPr="00600AD1">
        <w:rPr>
          <w:rFonts w:cs="Calibri"/>
          <w:snapToGrid/>
          <w:szCs w:val="24"/>
          <w:lang w:eastAsia="en-AU"/>
        </w:rPr>
        <w:t>)</w:t>
      </w:r>
      <w:r w:rsidRPr="00600AD1">
        <w:rPr>
          <w:rFonts w:cs="Calibri"/>
          <w:snapToGrid/>
          <w:szCs w:val="24"/>
          <w:lang w:eastAsia="en-AU"/>
        </w:rPr>
        <w:t>.</w:t>
      </w:r>
      <w:r w:rsidR="000543D1" w:rsidRPr="00600AD1">
        <w:rPr>
          <w:rFonts w:cs="Calibri"/>
          <w:snapToGrid/>
          <w:szCs w:val="24"/>
          <w:lang w:eastAsia="en-AU"/>
        </w:rPr>
        <w:t xml:space="preserve"> </w:t>
      </w:r>
      <w:r w:rsidR="00AF1C83">
        <w:rPr>
          <w:rFonts w:cs="Calibri"/>
          <w:snapToGrid/>
          <w:szCs w:val="24"/>
          <w:lang w:eastAsia="en-AU"/>
        </w:rPr>
        <w:t xml:space="preserve">The PBAC noted that </w:t>
      </w:r>
      <w:r w:rsidR="008322DD">
        <w:rPr>
          <w:rFonts w:cs="Calibri"/>
          <w:snapToGrid/>
          <w:szCs w:val="24"/>
          <w:lang w:eastAsia="en-AU"/>
        </w:rPr>
        <w:t xml:space="preserve">due to the </w:t>
      </w:r>
      <w:r w:rsidR="000543D1" w:rsidRPr="00600AD1">
        <w:rPr>
          <w:rFonts w:cs="Calibri"/>
          <w:snapToGrid/>
          <w:szCs w:val="24"/>
          <w:lang w:eastAsia="en-AU"/>
        </w:rPr>
        <w:t xml:space="preserve">substantial differences in outcomes </w:t>
      </w:r>
      <w:r w:rsidR="008322DD">
        <w:rPr>
          <w:rFonts w:cs="Calibri"/>
          <w:snapToGrid/>
          <w:szCs w:val="24"/>
          <w:lang w:eastAsia="en-AU"/>
        </w:rPr>
        <w:t>between the two thalidomide</w:t>
      </w:r>
      <w:r w:rsidR="000543D1" w:rsidRPr="00600AD1">
        <w:rPr>
          <w:rFonts w:cs="Calibri"/>
          <w:snapToGrid/>
          <w:szCs w:val="24"/>
          <w:lang w:eastAsia="en-AU"/>
        </w:rPr>
        <w:t xml:space="preserve"> trials, </w:t>
      </w:r>
      <w:r w:rsidR="008322DD">
        <w:rPr>
          <w:rFonts w:cs="Calibri"/>
          <w:snapToGrid/>
          <w:szCs w:val="24"/>
          <w:lang w:eastAsia="en-AU"/>
        </w:rPr>
        <w:t xml:space="preserve">the </w:t>
      </w:r>
      <w:r w:rsidR="00732F19">
        <w:rPr>
          <w:rFonts w:cs="Calibri"/>
          <w:snapToGrid/>
          <w:szCs w:val="24"/>
          <w:lang w:eastAsia="en-AU"/>
        </w:rPr>
        <w:t>reliability of the</w:t>
      </w:r>
      <w:r w:rsidR="000543D1" w:rsidRPr="00600AD1">
        <w:rPr>
          <w:rFonts w:cs="Calibri"/>
          <w:snapToGrid/>
          <w:szCs w:val="24"/>
          <w:lang w:eastAsia="en-AU"/>
        </w:rPr>
        <w:t xml:space="preserve"> pooled results</w:t>
      </w:r>
      <w:r w:rsidR="008322DD">
        <w:rPr>
          <w:rFonts w:cs="Calibri"/>
          <w:snapToGrid/>
          <w:szCs w:val="24"/>
          <w:lang w:eastAsia="en-AU"/>
        </w:rPr>
        <w:t xml:space="preserve"> was uncertain</w:t>
      </w:r>
      <w:r w:rsidR="000543D1" w:rsidRPr="00600AD1">
        <w:rPr>
          <w:rFonts w:cs="Calibri"/>
          <w:snapToGrid/>
          <w:szCs w:val="24"/>
          <w:lang w:eastAsia="en-AU"/>
        </w:rPr>
        <w:t>.</w:t>
      </w:r>
    </w:p>
    <w:p w:rsidR="00323331" w:rsidRPr="003A3555" w:rsidRDefault="00323331" w:rsidP="00476EE6">
      <w:pPr>
        <w:widowControl/>
        <w:rPr>
          <w:rFonts w:cs="Calibri"/>
          <w:i/>
          <w:snapToGrid/>
          <w:szCs w:val="24"/>
          <w:lang w:eastAsia="en-AU"/>
        </w:rPr>
      </w:pPr>
    </w:p>
    <w:p w:rsidR="005E7102" w:rsidRPr="003A3555" w:rsidRDefault="005E7102" w:rsidP="00476EE6">
      <w:pPr>
        <w:keepNext/>
        <w:widowControl/>
        <w:rPr>
          <w:rFonts w:ascii="Arial Narrow" w:hAnsi="Arial Narrow"/>
          <w:color w:val="000000" w:themeColor="text1"/>
          <w:sz w:val="18"/>
          <w:szCs w:val="18"/>
        </w:rPr>
      </w:pPr>
      <w:r w:rsidRPr="003A3555">
        <w:rPr>
          <w:rFonts w:ascii="Arial Narrow" w:hAnsi="Arial Narrow"/>
          <w:b/>
          <w:color w:val="000000" w:themeColor="text1"/>
          <w:sz w:val="20"/>
          <w:szCs w:val="20"/>
        </w:rPr>
        <w:lastRenderedPageBreak/>
        <w:t xml:space="preserve">Table </w:t>
      </w:r>
      <w:r w:rsidR="000543D1" w:rsidRPr="003A3555">
        <w:rPr>
          <w:rFonts w:ascii="Arial Narrow" w:hAnsi="Arial Narrow"/>
          <w:b/>
          <w:color w:val="000000" w:themeColor="text1"/>
          <w:sz w:val="20"/>
          <w:szCs w:val="20"/>
        </w:rPr>
        <w:t>16</w:t>
      </w:r>
      <w:r w:rsidRPr="003A3555">
        <w:rPr>
          <w:rFonts w:ascii="Arial Narrow" w:hAnsi="Arial Narrow"/>
          <w:b/>
          <w:color w:val="000000" w:themeColor="text1"/>
          <w:sz w:val="20"/>
          <w:szCs w:val="20"/>
        </w:rPr>
        <w:t>: Results of the meta-analyses of thalidomide trials (all subjects)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6: Results of the meta-analyses of thalidomide trials (all subjects)"/>
      </w:tblPr>
      <w:tblGrid>
        <w:gridCol w:w="3256"/>
        <w:gridCol w:w="2126"/>
        <w:gridCol w:w="2126"/>
        <w:gridCol w:w="1509"/>
      </w:tblGrid>
      <w:tr w:rsidR="005E7102" w:rsidRPr="003A3555" w:rsidTr="006B5EE5">
        <w:trPr>
          <w:trHeight w:val="255"/>
          <w:tblHeader/>
        </w:trPr>
        <w:tc>
          <w:tcPr>
            <w:tcW w:w="1805" w:type="pct"/>
            <w:shd w:val="clear" w:color="auto" w:fill="auto"/>
            <w:noWrap/>
            <w:tcMar>
              <w:left w:w="0" w:type="dxa"/>
              <w:right w:w="0" w:type="dxa"/>
            </w:tcMar>
            <w:vAlign w:val="center"/>
          </w:tcPr>
          <w:p w:rsidR="005E7102" w:rsidRPr="003A3555" w:rsidRDefault="005E7102" w:rsidP="00476EE6">
            <w:pPr>
              <w:pStyle w:val="Table"/>
              <w:spacing w:line="240" w:lineRule="auto"/>
              <w:rPr>
                <w:rFonts w:ascii="Arial Narrow" w:hAnsi="Arial Narrow"/>
                <w:b/>
                <w:color w:val="000000" w:themeColor="text1"/>
                <w:sz w:val="20"/>
                <w:szCs w:val="20"/>
                <w:lang w:val="en-US"/>
              </w:rPr>
            </w:pPr>
          </w:p>
        </w:tc>
        <w:tc>
          <w:tcPr>
            <w:tcW w:w="1179" w:type="pct"/>
            <w:shd w:val="clear" w:color="auto" w:fill="auto"/>
            <w:noWrap/>
            <w:tcMar>
              <w:left w:w="0" w:type="dxa"/>
              <w:right w:w="0" w:type="dxa"/>
            </w:tcMar>
            <w:vAlign w:val="center"/>
          </w:tcPr>
          <w:p w:rsidR="005E7102" w:rsidRPr="003A3555" w:rsidRDefault="005E7102" w:rsidP="00476EE6">
            <w:pPr>
              <w:pStyle w:val="Table"/>
              <w:spacing w:line="240" w:lineRule="auto"/>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Thalidomide</w:t>
            </w:r>
          </w:p>
        </w:tc>
        <w:tc>
          <w:tcPr>
            <w:tcW w:w="1179" w:type="pct"/>
            <w:shd w:val="clear" w:color="auto" w:fill="auto"/>
            <w:noWrap/>
            <w:tcMar>
              <w:left w:w="0" w:type="dxa"/>
              <w:right w:w="0" w:type="dxa"/>
            </w:tcMar>
            <w:vAlign w:val="center"/>
          </w:tcPr>
          <w:p w:rsidR="005E7102" w:rsidRPr="003A3555" w:rsidRDefault="005E7102" w:rsidP="00476EE6">
            <w:pPr>
              <w:pStyle w:val="Table"/>
              <w:spacing w:line="240" w:lineRule="auto"/>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Placebo/Observation</w:t>
            </w:r>
          </w:p>
        </w:tc>
        <w:tc>
          <w:tcPr>
            <w:tcW w:w="836" w:type="pct"/>
            <w:shd w:val="clear" w:color="auto" w:fill="auto"/>
            <w:noWrap/>
            <w:tcMar>
              <w:left w:w="0" w:type="dxa"/>
              <w:right w:w="0" w:type="dxa"/>
            </w:tcMar>
            <w:vAlign w:val="center"/>
          </w:tcPr>
          <w:p w:rsidR="005E7102" w:rsidRPr="003A3555" w:rsidRDefault="005E7102" w:rsidP="00476EE6">
            <w:pPr>
              <w:pStyle w:val="Table"/>
              <w:spacing w:line="240" w:lineRule="auto"/>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Comparison</w:t>
            </w:r>
          </w:p>
        </w:tc>
      </w:tr>
      <w:tr w:rsidR="00C53C25" w:rsidRPr="003A3555" w:rsidTr="006B5EE5">
        <w:trPr>
          <w:trHeight w:val="285"/>
        </w:trPr>
        <w:tc>
          <w:tcPr>
            <w:tcW w:w="5000" w:type="pct"/>
            <w:gridSpan w:val="4"/>
            <w:shd w:val="clear" w:color="auto" w:fill="auto"/>
            <w:noWrap/>
            <w:tcMar>
              <w:left w:w="0" w:type="dxa"/>
              <w:right w:w="0" w:type="dxa"/>
            </w:tcMar>
            <w:vAlign w:val="center"/>
            <w:hideMark/>
          </w:tcPr>
          <w:p w:rsidR="00C53C25" w:rsidRPr="003A3555" w:rsidRDefault="00C53C25" w:rsidP="00476EE6">
            <w:pPr>
              <w:pStyle w:val="Table"/>
              <w:spacing w:line="240" w:lineRule="auto"/>
              <w:rPr>
                <w:rFonts w:ascii="Arial Narrow" w:hAnsi="Arial Narrow"/>
                <w:color w:val="000000" w:themeColor="text1"/>
                <w:sz w:val="20"/>
                <w:szCs w:val="20"/>
                <w:lang w:val="en-US"/>
              </w:rPr>
            </w:pPr>
            <w:r w:rsidRPr="003A3555">
              <w:rPr>
                <w:rFonts w:ascii="Arial Narrow" w:hAnsi="Arial Narrow"/>
                <w:b/>
                <w:color w:val="000000" w:themeColor="text1"/>
                <w:sz w:val="20"/>
                <w:szCs w:val="20"/>
                <w:lang w:val="en-US"/>
              </w:rPr>
              <w:t>Progression free survival</w:t>
            </w:r>
          </w:p>
        </w:tc>
      </w:tr>
      <w:tr w:rsidR="005E7102" w:rsidRPr="003A3555" w:rsidTr="006B5EE5">
        <w:trPr>
          <w:trHeight w:val="285"/>
        </w:trPr>
        <w:tc>
          <w:tcPr>
            <w:tcW w:w="1805" w:type="pct"/>
            <w:shd w:val="clear" w:color="auto" w:fill="auto"/>
            <w:noWrap/>
            <w:tcMar>
              <w:left w:w="0" w:type="dxa"/>
              <w:right w:w="0" w:type="dxa"/>
            </w:tcMar>
            <w:vAlign w:val="center"/>
          </w:tcPr>
          <w:p w:rsidR="005E7102" w:rsidRPr="003A3555" w:rsidRDefault="005E7102" w:rsidP="00476EE6">
            <w:pPr>
              <w:pStyle w:val="Table"/>
              <w:spacing w:line="240" w:lineRule="auto"/>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Individual trial results</w:t>
            </w:r>
          </w:p>
        </w:tc>
        <w:tc>
          <w:tcPr>
            <w:tcW w:w="1179" w:type="pct"/>
            <w:shd w:val="clear" w:color="auto" w:fill="auto"/>
            <w:noWrap/>
            <w:tcMar>
              <w:left w:w="0" w:type="dxa"/>
              <w:right w:w="0" w:type="dxa"/>
            </w:tcMar>
            <w:vAlign w:val="center"/>
          </w:tcPr>
          <w:p w:rsidR="005E7102" w:rsidRPr="003A3555" w:rsidRDefault="005E7102" w:rsidP="00476EE6">
            <w:pPr>
              <w:pStyle w:val="Table"/>
              <w:spacing w:line="240" w:lineRule="auto"/>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Median</w:t>
            </w:r>
            <w:r w:rsidR="00963642">
              <w:rPr>
                <w:rFonts w:ascii="Arial Narrow" w:hAnsi="Arial Narrow"/>
                <w:b/>
                <w:color w:val="000000" w:themeColor="text1"/>
                <w:sz w:val="20"/>
                <w:szCs w:val="20"/>
                <w:lang w:val="en-US"/>
              </w:rPr>
              <w:t>, months</w:t>
            </w:r>
            <w:r w:rsidRPr="003A3555">
              <w:rPr>
                <w:rFonts w:ascii="Arial Narrow" w:hAnsi="Arial Narrow"/>
                <w:b/>
                <w:color w:val="000000" w:themeColor="text1"/>
                <w:sz w:val="20"/>
                <w:szCs w:val="20"/>
                <w:lang w:val="en-US"/>
              </w:rPr>
              <w:t xml:space="preserve"> (95% CI)</w:t>
            </w:r>
          </w:p>
        </w:tc>
        <w:tc>
          <w:tcPr>
            <w:tcW w:w="1179" w:type="pct"/>
            <w:shd w:val="clear" w:color="auto" w:fill="auto"/>
            <w:noWrap/>
            <w:tcMar>
              <w:left w:w="0" w:type="dxa"/>
              <w:right w:w="0" w:type="dxa"/>
            </w:tcMar>
            <w:vAlign w:val="center"/>
          </w:tcPr>
          <w:p w:rsidR="005E7102" w:rsidRPr="003A3555" w:rsidRDefault="005E7102" w:rsidP="00476EE6">
            <w:pPr>
              <w:pStyle w:val="Table"/>
              <w:spacing w:line="240" w:lineRule="auto"/>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Median</w:t>
            </w:r>
            <w:r w:rsidR="00963642">
              <w:rPr>
                <w:rFonts w:ascii="Arial Narrow" w:hAnsi="Arial Narrow"/>
                <w:b/>
                <w:color w:val="000000" w:themeColor="text1"/>
                <w:sz w:val="20"/>
                <w:szCs w:val="20"/>
                <w:lang w:val="en-US"/>
              </w:rPr>
              <w:t>, months</w:t>
            </w:r>
            <w:r w:rsidRPr="003A3555">
              <w:rPr>
                <w:rFonts w:ascii="Arial Narrow" w:hAnsi="Arial Narrow"/>
                <w:b/>
                <w:color w:val="000000" w:themeColor="text1"/>
                <w:sz w:val="20"/>
                <w:szCs w:val="20"/>
                <w:lang w:val="en-US"/>
              </w:rPr>
              <w:t xml:space="preserve"> (95% CI)</w:t>
            </w:r>
          </w:p>
        </w:tc>
        <w:tc>
          <w:tcPr>
            <w:tcW w:w="836" w:type="pct"/>
            <w:shd w:val="clear" w:color="auto" w:fill="auto"/>
            <w:noWrap/>
            <w:tcMar>
              <w:left w:w="0" w:type="dxa"/>
              <w:right w:w="0" w:type="dxa"/>
            </w:tcMar>
            <w:vAlign w:val="center"/>
          </w:tcPr>
          <w:p w:rsidR="005E7102" w:rsidRPr="003A3555" w:rsidRDefault="005E7102" w:rsidP="00476EE6">
            <w:pPr>
              <w:pStyle w:val="Table"/>
              <w:spacing w:line="240" w:lineRule="auto"/>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HR (95% CI)</w:t>
            </w:r>
          </w:p>
        </w:tc>
      </w:tr>
      <w:tr w:rsidR="005E7102" w:rsidRPr="003A3555" w:rsidTr="006B5EE5">
        <w:trPr>
          <w:trHeight w:val="285"/>
        </w:trPr>
        <w:tc>
          <w:tcPr>
            <w:tcW w:w="1805" w:type="pct"/>
            <w:shd w:val="clear" w:color="auto" w:fill="auto"/>
            <w:noWrap/>
            <w:tcMar>
              <w:left w:w="0" w:type="dxa"/>
              <w:right w:w="0" w:type="dxa"/>
            </w:tcMar>
            <w:vAlign w:val="center"/>
            <w:hideMark/>
          </w:tcPr>
          <w:p w:rsidR="005E7102" w:rsidRPr="003A3555" w:rsidRDefault="005E7102" w:rsidP="00476EE6">
            <w:pPr>
              <w:pStyle w:val="Table"/>
              <w:spacing w:line="240" w:lineRule="auto"/>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Myeloma IX</w:t>
            </w:r>
          </w:p>
        </w:tc>
        <w:tc>
          <w:tcPr>
            <w:tcW w:w="1179" w:type="pct"/>
            <w:shd w:val="clear" w:color="auto" w:fill="auto"/>
            <w:noWrap/>
            <w:tcMar>
              <w:left w:w="0" w:type="dxa"/>
              <w:right w:w="0" w:type="dxa"/>
            </w:tcMar>
            <w:vAlign w:val="center"/>
            <w:hideMark/>
          </w:tcPr>
          <w:p w:rsidR="005E7102" w:rsidRPr="003A3555" w:rsidRDefault="005E7102" w:rsidP="006B5EE5">
            <w:pPr>
              <w:pStyle w:val="Table"/>
              <w:spacing w:line="240" w:lineRule="auto"/>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 xml:space="preserve">22 </w:t>
            </w:r>
          </w:p>
        </w:tc>
        <w:tc>
          <w:tcPr>
            <w:tcW w:w="1179" w:type="pct"/>
            <w:shd w:val="clear" w:color="auto" w:fill="auto"/>
            <w:noWrap/>
            <w:tcMar>
              <w:left w:w="0" w:type="dxa"/>
              <w:right w:w="0" w:type="dxa"/>
            </w:tcMar>
            <w:vAlign w:val="center"/>
            <w:hideMark/>
          </w:tcPr>
          <w:p w:rsidR="005E7102" w:rsidRPr="003A3555" w:rsidRDefault="005E7102" w:rsidP="006B5EE5">
            <w:pPr>
              <w:pStyle w:val="Table"/>
              <w:spacing w:line="240" w:lineRule="auto"/>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 xml:space="preserve">15 </w:t>
            </w:r>
          </w:p>
        </w:tc>
        <w:tc>
          <w:tcPr>
            <w:tcW w:w="836" w:type="pct"/>
            <w:shd w:val="clear" w:color="auto" w:fill="auto"/>
            <w:noWrap/>
            <w:tcMar>
              <w:left w:w="0" w:type="dxa"/>
              <w:right w:w="0" w:type="dxa"/>
            </w:tcMar>
            <w:vAlign w:val="center"/>
            <w:hideMark/>
          </w:tcPr>
          <w:p w:rsidR="005E7102" w:rsidRPr="003A3555" w:rsidRDefault="005E7102" w:rsidP="00476EE6">
            <w:pPr>
              <w:pStyle w:val="Table"/>
              <w:spacing w:line="240" w:lineRule="auto"/>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0.69 (0.59, 0.82)</w:t>
            </w:r>
          </w:p>
        </w:tc>
      </w:tr>
      <w:tr w:rsidR="005E7102" w:rsidRPr="003A3555" w:rsidTr="006B5EE5">
        <w:trPr>
          <w:trHeight w:val="285"/>
        </w:trPr>
        <w:tc>
          <w:tcPr>
            <w:tcW w:w="1805" w:type="pct"/>
            <w:shd w:val="clear" w:color="auto" w:fill="auto"/>
            <w:noWrap/>
            <w:tcMar>
              <w:left w:w="0" w:type="dxa"/>
              <w:right w:w="0" w:type="dxa"/>
            </w:tcMar>
            <w:vAlign w:val="center"/>
            <w:hideMark/>
          </w:tcPr>
          <w:p w:rsidR="005E7102" w:rsidRPr="003A3555" w:rsidRDefault="005E7102" w:rsidP="00476EE6">
            <w:pPr>
              <w:pStyle w:val="Table"/>
              <w:spacing w:line="240" w:lineRule="auto"/>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MM6</w:t>
            </w:r>
          </w:p>
        </w:tc>
        <w:tc>
          <w:tcPr>
            <w:tcW w:w="1179" w:type="pct"/>
            <w:shd w:val="clear" w:color="auto" w:fill="auto"/>
            <w:noWrap/>
            <w:tcMar>
              <w:left w:w="0" w:type="dxa"/>
              <w:right w:w="0" w:type="dxa"/>
            </w:tcMar>
            <w:vAlign w:val="center"/>
            <w:hideMark/>
          </w:tcPr>
          <w:p w:rsidR="005E7102" w:rsidRPr="003A3555" w:rsidRDefault="005E7102" w:rsidP="00476EE6">
            <w:pPr>
              <w:pStyle w:val="Table"/>
              <w:spacing w:line="240" w:lineRule="auto"/>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32.4 (25.2, 38.4)</w:t>
            </w:r>
          </w:p>
        </w:tc>
        <w:tc>
          <w:tcPr>
            <w:tcW w:w="1179" w:type="pct"/>
            <w:shd w:val="clear" w:color="auto" w:fill="auto"/>
            <w:noWrap/>
            <w:tcMar>
              <w:left w:w="0" w:type="dxa"/>
              <w:right w:w="0" w:type="dxa"/>
            </w:tcMar>
            <w:vAlign w:val="center"/>
            <w:hideMark/>
          </w:tcPr>
          <w:p w:rsidR="005E7102" w:rsidRPr="003A3555" w:rsidRDefault="005E7102" w:rsidP="00476EE6">
            <w:pPr>
              <w:pStyle w:val="Table"/>
              <w:spacing w:line="240" w:lineRule="auto"/>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18.0 (13.2, 21.6)</w:t>
            </w:r>
          </w:p>
        </w:tc>
        <w:tc>
          <w:tcPr>
            <w:tcW w:w="836" w:type="pct"/>
            <w:shd w:val="clear" w:color="auto" w:fill="auto"/>
            <w:noWrap/>
            <w:tcMar>
              <w:left w:w="0" w:type="dxa"/>
              <w:right w:w="0" w:type="dxa"/>
            </w:tcMar>
            <w:vAlign w:val="center"/>
            <w:hideMark/>
          </w:tcPr>
          <w:p w:rsidR="005E7102" w:rsidRPr="003A3555" w:rsidRDefault="005E7102" w:rsidP="00476EE6">
            <w:pPr>
              <w:pStyle w:val="Table"/>
              <w:spacing w:line="240" w:lineRule="auto"/>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0.16 (0.04, 0.58)</w:t>
            </w:r>
          </w:p>
        </w:tc>
      </w:tr>
      <w:tr w:rsidR="005E7102" w:rsidRPr="00963642" w:rsidTr="006B5EE5">
        <w:trPr>
          <w:trHeight w:val="285"/>
        </w:trPr>
        <w:tc>
          <w:tcPr>
            <w:tcW w:w="1805" w:type="pct"/>
            <w:shd w:val="clear" w:color="auto" w:fill="auto"/>
            <w:noWrap/>
            <w:tcMar>
              <w:left w:w="0" w:type="dxa"/>
              <w:right w:w="0" w:type="dxa"/>
            </w:tcMar>
            <w:vAlign w:val="center"/>
          </w:tcPr>
          <w:p w:rsidR="005E7102" w:rsidRPr="00963642" w:rsidRDefault="005E7102" w:rsidP="00476EE6">
            <w:pPr>
              <w:pStyle w:val="Table"/>
              <w:spacing w:line="240" w:lineRule="auto"/>
              <w:rPr>
                <w:rFonts w:ascii="Arial Narrow" w:hAnsi="Arial Narrow"/>
                <w:b/>
                <w:color w:val="000000" w:themeColor="text1"/>
                <w:sz w:val="20"/>
                <w:szCs w:val="20"/>
                <w:lang w:val="en-US"/>
              </w:rPr>
            </w:pPr>
            <w:r w:rsidRPr="00963642">
              <w:rPr>
                <w:rFonts w:ascii="Arial Narrow" w:hAnsi="Arial Narrow"/>
                <w:b/>
                <w:color w:val="000000" w:themeColor="text1"/>
                <w:sz w:val="20"/>
                <w:szCs w:val="20"/>
                <w:lang w:val="en-US"/>
              </w:rPr>
              <w:t>Meta-analysis results</w:t>
            </w:r>
          </w:p>
        </w:tc>
        <w:tc>
          <w:tcPr>
            <w:tcW w:w="1179" w:type="pct"/>
            <w:shd w:val="clear" w:color="auto" w:fill="auto"/>
            <w:noWrap/>
            <w:tcMar>
              <w:left w:w="0" w:type="dxa"/>
              <w:right w:w="0" w:type="dxa"/>
            </w:tcMar>
            <w:vAlign w:val="center"/>
          </w:tcPr>
          <w:p w:rsidR="005E7102" w:rsidRPr="00963642" w:rsidRDefault="005E7102" w:rsidP="00476EE6">
            <w:pPr>
              <w:pStyle w:val="Table"/>
              <w:spacing w:line="240" w:lineRule="auto"/>
              <w:jc w:val="center"/>
              <w:rPr>
                <w:rFonts w:ascii="Arial Narrow" w:hAnsi="Arial Narrow"/>
                <w:b/>
                <w:color w:val="000000" w:themeColor="text1"/>
                <w:sz w:val="20"/>
                <w:szCs w:val="20"/>
                <w:lang w:val="en-US"/>
              </w:rPr>
            </w:pPr>
            <w:r w:rsidRPr="00963642">
              <w:rPr>
                <w:rFonts w:ascii="Arial Narrow" w:hAnsi="Arial Narrow"/>
                <w:b/>
                <w:color w:val="000000" w:themeColor="text1"/>
                <w:sz w:val="20"/>
                <w:szCs w:val="20"/>
                <w:lang w:val="en-US"/>
              </w:rPr>
              <w:t>Model</w:t>
            </w:r>
          </w:p>
        </w:tc>
        <w:tc>
          <w:tcPr>
            <w:tcW w:w="1179" w:type="pct"/>
            <w:shd w:val="clear" w:color="auto" w:fill="auto"/>
            <w:noWrap/>
            <w:tcMar>
              <w:left w:w="0" w:type="dxa"/>
              <w:right w:w="0" w:type="dxa"/>
            </w:tcMar>
            <w:vAlign w:val="center"/>
          </w:tcPr>
          <w:p w:rsidR="005E7102" w:rsidRPr="00963642" w:rsidRDefault="005E7102" w:rsidP="00476EE6">
            <w:pPr>
              <w:pStyle w:val="Table"/>
              <w:spacing w:line="240" w:lineRule="auto"/>
              <w:jc w:val="center"/>
              <w:rPr>
                <w:rFonts w:ascii="Arial Narrow" w:hAnsi="Arial Narrow"/>
                <w:b/>
                <w:color w:val="000000" w:themeColor="text1"/>
                <w:sz w:val="20"/>
                <w:szCs w:val="20"/>
                <w:lang w:val="en-US"/>
              </w:rPr>
            </w:pPr>
            <w:r w:rsidRPr="00963642">
              <w:rPr>
                <w:rFonts w:ascii="Arial Narrow" w:hAnsi="Arial Narrow"/>
                <w:b/>
                <w:color w:val="000000" w:themeColor="text1"/>
                <w:sz w:val="20"/>
                <w:szCs w:val="20"/>
                <w:lang w:val="en-US"/>
              </w:rPr>
              <w:t>Heterogeneity</w:t>
            </w:r>
          </w:p>
        </w:tc>
        <w:tc>
          <w:tcPr>
            <w:tcW w:w="836" w:type="pct"/>
            <w:shd w:val="clear" w:color="auto" w:fill="auto"/>
            <w:noWrap/>
            <w:tcMar>
              <w:left w:w="0" w:type="dxa"/>
              <w:right w:w="0" w:type="dxa"/>
            </w:tcMar>
            <w:vAlign w:val="center"/>
          </w:tcPr>
          <w:p w:rsidR="005E7102" w:rsidRPr="00963642" w:rsidRDefault="005E7102" w:rsidP="00476EE6">
            <w:pPr>
              <w:pStyle w:val="Table"/>
              <w:spacing w:line="240" w:lineRule="auto"/>
              <w:jc w:val="center"/>
              <w:rPr>
                <w:rFonts w:ascii="Arial Narrow" w:hAnsi="Arial Narrow"/>
                <w:b/>
                <w:color w:val="000000" w:themeColor="text1"/>
                <w:sz w:val="20"/>
                <w:szCs w:val="20"/>
                <w:lang w:val="en-US"/>
              </w:rPr>
            </w:pPr>
            <w:r w:rsidRPr="00963642">
              <w:rPr>
                <w:rFonts w:ascii="Arial Narrow" w:hAnsi="Arial Narrow"/>
                <w:b/>
                <w:color w:val="000000" w:themeColor="text1"/>
                <w:sz w:val="20"/>
                <w:szCs w:val="20"/>
                <w:lang w:val="en-US"/>
              </w:rPr>
              <w:t>HR (95% CI)</w:t>
            </w:r>
          </w:p>
        </w:tc>
      </w:tr>
      <w:tr w:rsidR="005E7102" w:rsidRPr="003A3555" w:rsidTr="006B5EE5">
        <w:trPr>
          <w:trHeight w:val="285"/>
        </w:trPr>
        <w:tc>
          <w:tcPr>
            <w:tcW w:w="1805" w:type="pct"/>
            <w:shd w:val="clear" w:color="auto" w:fill="auto"/>
            <w:noWrap/>
            <w:tcMar>
              <w:left w:w="0" w:type="dxa"/>
              <w:right w:w="0" w:type="dxa"/>
            </w:tcMar>
            <w:vAlign w:val="center"/>
            <w:hideMark/>
          </w:tcPr>
          <w:p w:rsidR="005E7102" w:rsidRPr="003A3555" w:rsidRDefault="005E7102" w:rsidP="00476EE6">
            <w:pPr>
              <w:pStyle w:val="Table"/>
              <w:spacing w:line="240" w:lineRule="auto"/>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Combined</w:t>
            </w:r>
          </w:p>
        </w:tc>
        <w:tc>
          <w:tcPr>
            <w:tcW w:w="1179" w:type="pct"/>
            <w:shd w:val="clear" w:color="auto" w:fill="auto"/>
            <w:noWrap/>
            <w:tcMar>
              <w:left w:w="0" w:type="dxa"/>
              <w:right w:w="0" w:type="dxa"/>
            </w:tcMar>
            <w:vAlign w:val="center"/>
            <w:hideMark/>
          </w:tcPr>
          <w:p w:rsidR="005E7102" w:rsidRPr="003A3555" w:rsidRDefault="005E7102" w:rsidP="00476EE6">
            <w:pPr>
              <w:pStyle w:val="Table"/>
              <w:spacing w:line="240" w:lineRule="auto"/>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random effects</w:t>
            </w:r>
          </w:p>
        </w:tc>
        <w:tc>
          <w:tcPr>
            <w:tcW w:w="1179" w:type="pct"/>
            <w:shd w:val="clear" w:color="auto" w:fill="auto"/>
            <w:noWrap/>
            <w:tcMar>
              <w:left w:w="0" w:type="dxa"/>
              <w:right w:w="0" w:type="dxa"/>
            </w:tcMar>
            <w:vAlign w:val="center"/>
            <w:hideMark/>
          </w:tcPr>
          <w:p w:rsidR="005E7102" w:rsidRPr="003A3555" w:rsidRDefault="005E7102" w:rsidP="00476EE6">
            <w:pPr>
              <w:pStyle w:val="Table"/>
              <w:spacing w:line="240" w:lineRule="auto"/>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I</w:t>
            </w:r>
            <w:r w:rsidRPr="003A3555">
              <w:rPr>
                <w:rFonts w:ascii="Arial Narrow" w:hAnsi="Arial Narrow"/>
                <w:color w:val="000000" w:themeColor="text1"/>
                <w:sz w:val="20"/>
                <w:szCs w:val="20"/>
                <w:vertAlign w:val="superscript"/>
                <w:lang w:val="en-US"/>
              </w:rPr>
              <w:t>2</w:t>
            </w:r>
            <w:r w:rsidR="006B5EE5">
              <w:rPr>
                <w:rFonts w:ascii="Arial Narrow" w:hAnsi="Arial Narrow"/>
                <w:color w:val="000000" w:themeColor="text1"/>
                <w:sz w:val="20"/>
                <w:szCs w:val="20"/>
                <w:lang w:val="en-US"/>
              </w:rPr>
              <w:t xml:space="preserve"> </w:t>
            </w:r>
            <w:r w:rsidRPr="003A3555">
              <w:rPr>
                <w:rFonts w:ascii="Arial Narrow" w:hAnsi="Arial Narrow"/>
                <w:color w:val="000000" w:themeColor="text1"/>
                <w:sz w:val="20"/>
                <w:szCs w:val="20"/>
                <w:lang w:val="en-US"/>
              </w:rPr>
              <w:t>=</w:t>
            </w:r>
            <w:r w:rsidR="006B5EE5">
              <w:rPr>
                <w:rFonts w:ascii="Arial Narrow" w:hAnsi="Arial Narrow"/>
                <w:color w:val="000000" w:themeColor="text1"/>
                <w:sz w:val="20"/>
                <w:szCs w:val="20"/>
                <w:lang w:val="en-US"/>
              </w:rPr>
              <w:t xml:space="preserve"> </w:t>
            </w:r>
            <w:r w:rsidRPr="003A3555">
              <w:rPr>
                <w:rFonts w:ascii="Arial Narrow" w:hAnsi="Arial Narrow"/>
                <w:color w:val="000000" w:themeColor="text1"/>
                <w:sz w:val="20"/>
                <w:szCs w:val="20"/>
                <w:lang w:val="en-US"/>
              </w:rPr>
              <w:t>79%; p</w:t>
            </w:r>
            <w:r w:rsidR="006B5EE5">
              <w:rPr>
                <w:rFonts w:ascii="Arial Narrow" w:hAnsi="Arial Narrow"/>
                <w:color w:val="000000" w:themeColor="text1"/>
                <w:sz w:val="20"/>
                <w:szCs w:val="20"/>
                <w:lang w:val="en-US"/>
              </w:rPr>
              <w:t xml:space="preserve"> </w:t>
            </w:r>
            <w:r w:rsidRPr="003A3555">
              <w:rPr>
                <w:rFonts w:ascii="Arial Narrow" w:hAnsi="Arial Narrow"/>
                <w:color w:val="000000" w:themeColor="text1"/>
                <w:sz w:val="20"/>
                <w:szCs w:val="20"/>
                <w:lang w:val="en-US"/>
              </w:rPr>
              <w:t>=</w:t>
            </w:r>
            <w:r w:rsidR="006B5EE5">
              <w:rPr>
                <w:rFonts w:ascii="Arial Narrow" w:hAnsi="Arial Narrow"/>
                <w:color w:val="000000" w:themeColor="text1"/>
                <w:sz w:val="20"/>
                <w:szCs w:val="20"/>
                <w:lang w:val="en-US"/>
              </w:rPr>
              <w:t xml:space="preserve"> </w:t>
            </w:r>
            <w:r w:rsidRPr="003A3555">
              <w:rPr>
                <w:rFonts w:ascii="Arial Narrow" w:hAnsi="Arial Narrow"/>
                <w:color w:val="000000" w:themeColor="text1"/>
                <w:sz w:val="20"/>
                <w:szCs w:val="20"/>
                <w:lang w:val="en-US"/>
              </w:rPr>
              <w:t>0.03</w:t>
            </w:r>
          </w:p>
        </w:tc>
        <w:tc>
          <w:tcPr>
            <w:tcW w:w="836" w:type="pct"/>
            <w:shd w:val="clear" w:color="auto" w:fill="auto"/>
            <w:noWrap/>
            <w:tcMar>
              <w:left w:w="0" w:type="dxa"/>
              <w:right w:w="0" w:type="dxa"/>
            </w:tcMar>
            <w:vAlign w:val="center"/>
            <w:hideMark/>
          </w:tcPr>
          <w:p w:rsidR="005E7102" w:rsidRPr="003A3555" w:rsidRDefault="005E7102" w:rsidP="00476EE6">
            <w:pPr>
              <w:pStyle w:val="Table"/>
              <w:spacing w:line="240" w:lineRule="auto"/>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0.38 (0.09, 1.56)</w:t>
            </w:r>
          </w:p>
        </w:tc>
      </w:tr>
      <w:tr w:rsidR="005E7102" w:rsidRPr="003A3555" w:rsidTr="006B5EE5">
        <w:trPr>
          <w:trHeight w:val="257"/>
        </w:trPr>
        <w:tc>
          <w:tcPr>
            <w:tcW w:w="5000" w:type="pct"/>
            <w:gridSpan w:val="4"/>
            <w:shd w:val="clear" w:color="auto" w:fill="auto"/>
            <w:noWrap/>
            <w:tcMar>
              <w:left w:w="0" w:type="dxa"/>
              <w:right w:w="0" w:type="dxa"/>
            </w:tcMar>
            <w:vAlign w:val="center"/>
          </w:tcPr>
          <w:p w:rsidR="005E7102" w:rsidRPr="003A3555" w:rsidRDefault="005E7102" w:rsidP="00476EE6">
            <w:pPr>
              <w:pStyle w:val="Table"/>
              <w:spacing w:line="240" w:lineRule="auto"/>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Overall survival</w:t>
            </w:r>
          </w:p>
        </w:tc>
      </w:tr>
      <w:tr w:rsidR="005E7102" w:rsidRPr="003A3555" w:rsidTr="006B5EE5">
        <w:trPr>
          <w:trHeight w:val="285"/>
        </w:trPr>
        <w:tc>
          <w:tcPr>
            <w:tcW w:w="1805" w:type="pct"/>
            <w:shd w:val="clear" w:color="auto" w:fill="auto"/>
            <w:noWrap/>
            <w:tcMar>
              <w:left w:w="0" w:type="dxa"/>
              <w:right w:w="0" w:type="dxa"/>
            </w:tcMar>
            <w:vAlign w:val="center"/>
          </w:tcPr>
          <w:p w:rsidR="005E7102" w:rsidRPr="003A3555" w:rsidRDefault="005E7102" w:rsidP="00476EE6">
            <w:pPr>
              <w:pStyle w:val="Table"/>
              <w:spacing w:line="240" w:lineRule="auto"/>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Individual trial results</w:t>
            </w:r>
          </w:p>
        </w:tc>
        <w:tc>
          <w:tcPr>
            <w:tcW w:w="1179" w:type="pct"/>
            <w:shd w:val="clear" w:color="auto" w:fill="auto"/>
            <w:noWrap/>
            <w:tcMar>
              <w:left w:w="0" w:type="dxa"/>
              <w:right w:w="0" w:type="dxa"/>
            </w:tcMar>
            <w:vAlign w:val="center"/>
          </w:tcPr>
          <w:p w:rsidR="005E7102" w:rsidRPr="003A3555" w:rsidRDefault="005E7102" w:rsidP="00476EE6">
            <w:pPr>
              <w:pStyle w:val="Table"/>
              <w:spacing w:line="240" w:lineRule="auto"/>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Median</w:t>
            </w:r>
            <w:r w:rsidR="00963642">
              <w:rPr>
                <w:rFonts w:ascii="Arial Narrow" w:hAnsi="Arial Narrow"/>
                <w:b/>
                <w:color w:val="000000" w:themeColor="text1"/>
                <w:sz w:val="20"/>
                <w:szCs w:val="20"/>
                <w:lang w:val="en-US"/>
              </w:rPr>
              <w:t>, months</w:t>
            </w:r>
            <w:r w:rsidRPr="003A3555">
              <w:rPr>
                <w:rFonts w:ascii="Arial Narrow" w:hAnsi="Arial Narrow"/>
                <w:b/>
                <w:color w:val="000000" w:themeColor="text1"/>
                <w:sz w:val="20"/>
                <w:szCs w:val="20"/>
                <w:lang w:val="en-US"/>
              </w:rPr>
              <w:t xml:space="preserve"> (95% CI)</w:t>
            </w:r>
          </w:p>
        </w:tc>
        <w:tc>
          <w:tcPr>
            <w:tcW w:w="1179" w:type="pct"/>
            <w:shd w:val="clear" w:color="auto" w:fill="auto"/>
            <w:noWrap/>
            <w:tcMar>
              <w:left w:w="0" w:type="dxa"/>
              <w:right w:w="0" w:type="dxa"/>
            </w:tcMar>
            <w:vAlign w:val="center"/>
          </w:tcPr>
          <w:p w:rsidR="005E7102" w:rsidRPr="003A3555" w:rsidRDefault="005E7102" w:rsidP="00476EE6">
            <w:pPr>
              <w:pStyle w:val="Table"/>
              <w:spacing w:line="240" w:lineRule="auto"/>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Median</w:t>
            </w:r>
            <w:r w:rsidR="00963642">
              <w:rPr>
                <w:rFonts w:ascii="Arial Narrow" w:hAnsi="Arial Narrow"/>
                <w:b/>
                <w:color w:val="000000" w:themeColor="text1"/>
                <w:sz w:val="20"/>
                <w:szCs w:val="20"/>
                <w:lang w:val="en-US"/>
              </w:rPr>
              <w:t>, months</w:t>
            </w:r>
            <w:r w:rsidRPr="003A3555">
              <w:rPr>
                <w:rFonts w:ascii="Arial Narrow" w:hAnsi="Arial Narrow"/>
                <w:b/>
                <w:color w:val="000000" w:themeColor="text1"/>
                <w:sz w:val="20"/>
                <w:szCs w:val="20"/>
                <w:lang w:val="en-US"/>
              </w:rPr>
              <w:t xml:space="preserve"> (95% CI)</w:t>
            </w:r>
          </w:p>
        </w:tc>
        <w:tc>
          <w:tcPr>
            <w:tcW w:w="836" w:type="pct"/>
            <w:shd w:val="clear" w:color="auto" w:fill="auto"/>
            <w:noWrap/>
            <w:tcMar>
              <w:left w:w="0" w:type="dxa"/>
              <w:right w:w="0" w:type="dxa"/>
            </w:tcMar>
            <w:vAlign w:val="center"/>
          </w:tcPr>
          <w:p w:rsidR="005E7102" w:rsidRPr="003A3555" w:rsidRDefault="005E7102" w:rsidP="00476EE6">
            <w:pPr>
              <w:pStyle w:val="Table"/>
              <w:spacing w:line="240" w:lineRule="auto"/>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HR (95% CI)</w:t>
            </w:r>
          </w:p>
        </w:tc>
      </w:tr>
      <w:tr w:rsidR="005E7102" w:rsidRPr="003A3555" w:rsidTr="006B5EE5">
        <w:trPr>
          <w:trHeight w:val="285"/>
        </w:trPr>
        <w:tc>
          <w:tcPr>
            <w:tcW w:w="1805" w:type="pct"/>
            <w:shd w:val="clear" w:color="auto" w:fill="auto"/>
            <w:noWrap/>
            <w:tcMar>
              <w:left w:w="0" w:type="dxa"/>
              <w:right w:w="0" w:type="dxa"/>
            </w:tcMar>
            <w:vAlign w:val="center"/>
          </w:tcPr>
          <w:p w:rsidR="005E7102" w:rsidRPr="003A3555" w:rsidRDefault="005E7102" w:rsidP="006B5EE5">
            <w:pPr>
              <w:pStyle w:val="Table"/>
              <w:spacing w:line="240" w:lineRule="auto"/>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Myeloma IX (Jan 2012 cutoff: 71 months)</w:t>
            </w:r>
          </w:p>
        </w:tc>
        <w:tc>
          <w:tcPr>
            <w:tcW w:w="1179" w:type="pct"/>
            <w:shd w:val="clear" w:color="auto" w:fill="auto"/>
            <w:noWrap/>
            <w:tcMar>
              <w:left w:w="0" w:type="dxa"/>
              <w:right w:w="0" w:type="dxa"/>
            </w:tcMar>
            <w:vAlign w:val="center"/>
          </w:tcPr>
          <w:p w:rsidR="005E7102" w:rsidRPr="003A3555" w:rsidRDefault="005E7102" w:rsidP="006B5EE5">
            <w:pPr>
              <w:pStyle w:val="Table"/>
              <w:spacing w:line="240" w:lineRule="auto"/>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 xml:space="preserve">60 </w:t>
            </w:r>
          </w:p>
        </w:tc>
        <w:tc>
          <w:tcPr>
            <w:tcW w:w="1179" w:type="pct"/>
            <w:shd w:val="clear" w:color="auto" w:fill="auto"/>
            <w:noWrap/>
            <w:tcMar>
              <w:left w:w="0" w:type="dxa"/>
              <w:right w:w="0" w:type="dxa"/>
            </w:tcMar>
            <w:vAlign w:val="center"/>
          </w:tcPr>
          <w:p w:rsidR="005E7102" w:rsidRPr="003A3555" w:rsidRDefault="005E7102" w:rsidP="006B5EE5">
            <w:pPr>
              <w:pStyle w:val="Table"/>
              <w:spacing w:line="240" w:lineRule="auto"/>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 xml:space="preserve">60 </w:t>
            </w:r>
          </w:p>
        </w:tc>
        <w:tc>
          <w:tcPr>
            <w:tcW w:w="836" w:type="pct"/>
            <w:shd w:val="clear" w:color="auto" w:fill="auto"/>
            <w:noWrap/>
            <w:tcMar>
              <w:left w:w="0" w:type="dxa"/>
              <w:right w:w="0" w:type="dxa"/>
            </w:tcMar>
            <w:vAlign w:val="center"/>
          </w:tcPr>
          <w:p w:rsidR="005E7102" w:rsidRPr="003A3555" w:rsidRDefault="005E7102" w:rsidP="00476EE6">
            <w:pPr>
              <w:pStyle w:val="Table"/>
              <w:spacing w:line="240" w:lineRule="auto"/>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1.04 (0.85, 1.27)</w:t>
            </w:r>
          </w:p>
        </w:tc>
      </w:tr>
      <w:tr w:rsidR="005E7102" w:rsidRPr="003A3555" w:rsidTr="006B5EE5">
        <w:trPr>
          <w:trHeight w:val="285"/>
        </w:trPr>
        <w:tc>
          <w:tcPr>
            <w:tcW w:w="1805" w:type="pct"/>
            <w:shd w:val="clear" w:color="auto" w:fill="auto"/>
            <w:noWrap/>
            <w:tcMar>
              <w:left w:w="0" w:type="dxa"/>
              <w:right w:w="0" w:type="dxa"/>
            </w:tcMar>
            <w:vAlign w:val="center"/>
          </w:tcPr>
          <w:p w:rsidR="005E7102" w:rsidRPr="003A3555" w:rsidRDefault="005E7102" w:rsidP="00476EE6">
            <w:pPr>
              <w:pStyle w:val="Table"/>
              <w:spacing w:line="240" w:lineRule="auto"/>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 xml:space="preserve">MM6 (60 months </w:t>
            </w:r>
            <w:proofErr w:type="spellStart"/>
            <w:r w:rsidRPr="003A3555">
              <w:rPr>
                <w:rFonts w:ascii="Arial Narrow" w:hAnsi="Arial Narrow"/>
                <w:color w:val="000000" w:themeColor="text1"/>
                <w:sz w:val="20"/>
                <w:szCs w:val="20"/>
                <w:lang w:val="en-US"/>
              </w:rPr>
              <w:t>Kalff</w:t>
            </w:r>
            <w:proofErr w:type="spellEnd"/>
            <w:r w:rsidRPr="003A3555">
              <w:rPr>
                <w:rFonts w:ascii="Arial Narrow" w:hAnsi="Arial Narrow"/>
                <w:color w:val="000000" w:themeColor="text1"/>
                <w:sz w:val="20"/>
                <w:szCs w:val="20"/>
                <w:lang w:val="en-US"/>
              </w:rPr>
              <w:t xml:space="preserve"> 2014)</w:t>
            </w:r>
          </w:p>
        </w:tc>
        <w:tc>
          <w:tcPr>
            <w:tcW w:w="1179" w:type="pct"/>
            <w:shd w:val="clear" w:color="auto" w:fill="auto"/>
            <w:noWrap/>
            <w:tcMar>
              <w:left w:w="0" w:type="dxa"/>
              <w:right w:w="0" w:type="dxa"/>
            </w:tcMar>
            <w:vAlign w:val="center"/>
          </w:tcPr>
          <w:p w:rsidR="005E7102" w:rsidRPr="003A3555" w:rsidRDefault="005E7102" w:rsidP="00476EE6">
            <w:pPr>
              <w:pStyle w:val="Table"/>
              <w:spacing w:line="240" w:lineRule="auto"/>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102.0 (88.8, 116.4)</w:t>
            </w:r>
          </w:p>
        </w:tc>
        <w:tc>
          <w:tcPr>
            <w:tcW w:w="1179" w:type="pct"/>
            <w:shd w:val="clear" w:color="auto" w:fill="auto"/>
            <w:noWrap/>
            <w:tcMar>
              <w:left w:w="0" w:type="dxa"/>
              <w:right w:w="0" w:type="dxa"/>
            </w:tcMar>
            <w:vAlign w:val="center"/>
          </w:tcPr>
          <w:p w:rsidR="005E7102" w:rsidRPr="003A3555" w:rsidRDefault="005E7102" w:rsidP="00476EE6">
            <w:pPr>
              <w:pStyle w:val="Table"/>
              <w:spacing w:line="240" w:lineRule="auto"/>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54.0 (46.8, 61.2)</w:t>
            </w:r>
          </w:p>
        </w:tc>
        <w:tc>
          <w:tcPr>
            <w:tcW w:w="836" w:type="pct"/>
            <w:shd w:val="clear" w:color="auto" w:fill="auto"/>
            <w:noWrap/>
            <w:tcMar>
              <w:left w:w="0" w:type="dxa"/>
              <w:right w:w="0" w:type="dxa"/>
            </w:tcMar>
            <w:vAlign w:val="center"/>
          </w:tcPr>
          <w:p w:rsidR="005E7102" w:rsidRPr="003A3555" w:rsidRDefault="005E7102" w:rsidP="00476EE6">
            <w:pPr>
              <w:pStyle w:val="Table"/>
              <w:spacing w:line="240" w:lineRule="auto"/>
              <w:jc w:val="center"/>
              <w:rPr>
                <w:rFonts w:ascii="Arial Narrow" w:hAnsi="Arial Narrow"/>
                <w:b/>
                <w:color w:val="000000" w:themeColor="text1"/>
                <w:sz w:val="20"/>
                <w:szCs w:val="20"/>
                <w:lang w:val="en-US"/>
              </w:rPr>
            </w:pPr>
            <w:r w:rsidRPr="003A3555">
              <w:rPr>
                <w:rFonts w:ascii="Arial Narrow" w:hAnsi="Arial Narrow"/>
                <w:b/>
                <w:color w:val="000000" w:themeColor="text1"/>
                <w:sz w:val="20"/>
                <w:szCs w:val="20"/>
                <w:lang w:val="en-US"/>
              </w:rPr>
              <w:t>0.12 (0.03, 0.56)</w:t>
            </w:r>
          </w:p>
        </w:tc>
      </w:tr>
      <w:tr w:rsidR="005E7102" w:rsidRPr="00963642" w:rsidTr="006B5EE5">
        <w:trPr>
          <w:trHeight w:val="285"/>
        </w:trPr>
        <w:tc>
          <w:tcPr>
            <w:tcW w:w="1805" w:type="pct"/>
            <w:shd w:val="clear" w:color="auto" w:fill="auto"/>
            <w:noWrap/>
            <w:tcMar>
              <w:left w:w="0" w:type="dxa"/>
              <w:right w:w="0" w:type="dxa"/>
            </w:tcMar>
            <w:vAlign w:val="center"/>
          </w:tcPr>
          <w:p w:rsidR="005E7102" w:rsidRPr="00963642" w:rsidRDefault="005E7102" w:rsidP="00476EE6">
            <w:pPr>
              <w:pStyle w:val="Table"/>
              <w:spacing w:line="240" w:lineRule="auto"/>
              <w:rPr>
                <w:rFonts w:ascii="Arial Narrow" w:hAnsi="Arial Narrow"/>
                <w:b/>
                <w:color w:val="000000" w:themeColor="text1"/>
                <w:sz w:val="20"/>
                <w:szCs w:val="20"/>
                <w:lang w:val="en-US"/>
              </w:rPr>
            </w:pPr>
            <w:r w:rsidRPr="00963642">
              <w:rPr>
                <w:rFonts w:ascii="Arial Narrow" w:hAnsi="Arial Narrow"/>
                <w:b/>
                <w:color w:val="000000" w:themeColor="text1"/>
                <w:sz w:val="20"/>
                <w:szCs w:val="20"/>
                <w:lang w:val="en-US"/>
              </w:rPr>
              <w:t>Meta-analysis results</w:t>
            </w:r>
          </w:p>
        </w:tc>
        <w:tc>
          <w:tcPr>
            <w:tcW w:w="1179" w:type="pct"/>
            <w:shd w:val="clear" w:color="auto" w:fill="auto"/>
            <w:noWrap/>
            <w:tcMar>
              <w:left w:w="0" w:type="dxa"/>
              <w:right w:w="0" w:type="dxa"/>
            </w:tcMar>
            <w:vAlign w:val="center"/>
          </w:tcPr>
          <w:p w:rsidR="005E7102" w:rsidRPr="00963642" w:rsidRDefault="005E7102" w:rsidP="00476EE6">
            <w:pPr>
              <w:pStyle w:val="Table"/>
              <w:spacing w:line="240" w:lineRule="auto"/>
              <w:jc w:val="center"/>
              <w:rPr>
                <w:rFonts w:ascii="Arial Narrow" w:hAnsi="Arial Narrow"/>
                <w:b/>
                <w:color w:val="000000" w:themeColor="text1"/>
                <w:sz w:val="20"/>
                <w:szCs w:val="20"/>
                <w:lang w:val="en-US"/>
              </w:rPr>
            </w:pPr>
            <w:r w:rsidRPr="00963642">
              <w:rPr>
                <w:rFonts w:ascii="Arial Narrow" w:hAnsi="Arial Narrow"/>
                <w:b/>
                <w:color w:val="000000" w:themeColor="text1"/>
                <w:sz w:val="20"/>
                <w:szCs w:val="20"/>
                <w:lang w:val="en-US"/>
              </w:rPr>
              <w:t>Model</w:t>
            </w:r>
          </w:p>
        </w:tc>
        <w:tc>
          <w:tcPr>
            <w:tcW w:w="1179" w:type="pct"/>
            <w:shd w:val="clear" w:color="auto" w:fill="auto"/>
            <w:noWrap/>
            <w:tcMar>
              <w:left w:w="0" w:type="dxa"/>
              <w:right w:w="0" w:type="dxa"/>
            </w:tcMar>
            <w:vAlign w:val="center"/>
          </w:tcPr>
          <w:p w:rsidR="005E7102" w:rsidRPr="00963642" w:rsidRDefault="005E7102" w:rsidP="00476EE6">
            <w:pPr>
              <w:pStyle w:val="Table"/>
              <w:spacing w:line="240" w:lineRule="auto"/>
              <w:jc w:val="center"/>
              <w:rPr>
                <w:rFonts w:ascii="Arial Narrow" w:hAnsi="Arial Narrow"/>
                <w:b/>
                <w:color w:val="000000" w:themeColor="text1"/>
                <w:sz w:val="20"/>
                <w:szCs w:val="20"/>
                <w:lang w:val="en-US"/>
              </w:rPr>
            </w:pPr>
            <w:r w:rsidRPr="00963642">
              <w:rPr>
                <w:rFonts w:ascii="Arial Narrow" w:hAnsi="Arial Narrow"/>
                <w:b/>
                <w:color w:val="000000" w:themeColor="text1"/>
                <w:sz w:val="20"/>
                <w:szCs w:val="20"/>
                <w:lang w:val="en-US"/>
              </w:rPr>
              <w:t>Heterogeneity</w:t>
            </w:r>
          </w:p>
        </w:tc>
        <w:tc>
          <w:tcPr>
            <w:tcW w:w="836" w:type="pct"/>
            <w:shd w:val="clear" w:color="auto" w:fill="auto"/>
            <w:noWrap/>
            <w:tcMar>
              <w:left w:w="0" w:type="dxa"/>
              <w:right w:w="0" w:type="dxa"/>
            </w:tcMar>
            <w:vAlign w:val="center"/>
          </w:tcPr>
          <w:p w:rsidR="005E7102" w:rsidRPr="00963642" w:rsidRDefault="005E7102" w:rsidP="00476EE6">
            <w:pPr>
              <w:pStyle w:val="Table"/>
              <w:spacing w:line="240" w:lineRule="auto"/>
              <w:jc w:val="center"/>
              <w:rPr>
                <w:rFonts w:ascii="Arial Narrow" w:hAnsi="Arial Narrow"/>
                <w:b/>
                <w:color w:val="000000" w:themeColor="text1"/>
                <w:sz w:val="20"/>
                <w:szCs w:val="20"/>
                <w:lang w:val="en-US"/>
              </w:rPr>
            </w:pPr>
            <w:r w:rsidRPr="00963642">
              <w:rPr>
                <w:rFonts w:ascii="Arial Narrow" w:hAnsi="Arial Narrow"/>
                <w:b/>
                <w:color w:val="000000" w:themeColor="text1"/>
                <w:sz w:val="20"/>
                <w:szCs w:val="20"/>
                <w:lang w:val="en-US"/>
              </w:rPr>
              <w:t>HR (95% CI)</w:t>
            </w:r>
          </w:p>
        </w:tc>
      </w:tr>
      <w:tr w:rsidR="005E7102" w:rsidRPr="003A3555" w:rsidTr="006B5EE5">
        <w:trPr>
          <w:trHeight w:val="285"/>
        </w:trPr>
        <w:tc>
          <w:tcPr>
            <w:tcW w:w="1805" w:type="pct"/>
            <w:shd w:val="clear" w:color="auto" w:fill="auto"/>
            <w:noWrap/>
            <w:tcMar>
              <w:left w:w="0" w:type="dxa"/>
              <w:right w:w="0" w:type="dxa"/>
            </w:tcMar>
            <w:vAlign w:val="center"/>
          </w:tcPr>
          <w:p w:rsidR="005E7102" w:rsidRPr="003A3555" w:rsidRDefault="005E7102" w:rsidP="00476EE6">
            <w:pPr>
              <w:pStyle w:val="Table"/>
              <w:spacing w:line="240" w:lineRule="auto"/>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Combined</w:t>
            </w:r>
          </w:p>
        </w:tc>
        <w:tc>
          <w:tcPr>
            <w:tcW w:w="1179" w:type="pct"/>
            <w:shd w:val="clear" w:color="auto" w:fill="auto"/>
            <w:noWrap/>
            <w:tcMar>
              <w:left w:w="0" w:type="dxa"/>
              <w:right w:w="0" w:type="dxa"/>
            </w:tcMar>
            <w:vAlign w:val="center"/>
          </w:tcPr>
          <w:p w:rsidR="005E7102" w:rsidRPr="003A3555" w:rsidRDefault="005E7102" w:rsidP="00476EE6">
            <w:pPr>
              <w:pStyle w:val="Table"/>
              <w:spacing w:line="240" w:lineRule="auto"/>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random effects</w:t>
            </w:r>
          </w:p>
        </w:tc>
        <w:tc>
          <w:tcPr>
            <w:tcW w:w="1179" w:type="pct"/>
            <w:shd w:val="clear" w:color="auto" w:fill="auto"/>
            <w:noWrap/>
            <w:tcMar>
              <w:left w:w="0" w:type="dxa"/>
              <w:right w:w="0" w:type="dxa"/>
            </w:tcMar>
            <w:vAlign w:val="center"/>
          </w:tcPr>
          <w:p w:rsidR="005E7102" w:rsidRPr="003A3555" w:rsidRDefault="005E7102" w:rsidP="00476EE6">
            <w:pPr>
              <w:pStyle w:val="Table"/>
              <w:spacing w:line="240" w:lineRule="auto"/>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I</w:t>
            </w:r>
            <w:r w:rsidRPr="003A3555">
              <w:rPr>
                <w:rFonts w:ascii="Arial Narrow" w:hAnsi="Arial Narrow"/>
                <w:color w:val="000000" w:themeColor="text1"/>
                <w:sz w:val="20"/>
                <w:szCs w:val="20"/>
                <w:vertAlign w:val="superscript"/>
                <w:lang w:val="en-US"/>
              </w:rPr>
              <w:t>2</w:t>
            </w:r>
            <w:r w:rsidR="006B5EE5">
              <w:rPr>
                <w:rFonts w:ascii="Arial Narrow" w:hAnsi="Arial Narrow"/>
                <w:color w:val="000000" w:themeColor="text1"/>
                <w:sz w:val="20"/>
                <w:szCs w:val="20"/>
                <w:lang w:val="en-US"/>
              </w:rPr>
              <w:t xml:space="preserve"> </w:t>
            </w:r>
            <w:r w:rsidRPr="003A3555">
              <w:rPr>
                <w:rFonts w:ascii="Arial Narrow" w:hAnsi="Arial Narrow"/>
                <w:color w:val="000000" w:themeColor="text1"/>
                <w:sz w:val="20"/>
                <w:szCs w:val="20"/>
                <w:lang w:val="en-US"/>
              </w:rPr>
              <w:t>=</w:t>
            </w:r>
            <w:r w:rsidR="006B5EE5">
              <w:rPr>
                <w:rFonts w:ascii="Arial Narrow" w:hAnsi="Arial Narrow"/>
                <w:color w:val="000000" w:themeColor="text1"/>
                <w:sz w:val="20"/>
                <w:szCs w:val="20"/>
                <w:lang w:val="en-US"/>
              </w:rPr>
              <w:t xml:space="preserve"> </w:t>
            </w:r>
            <w:r w:rsidRPr="003A3555">
              <w:rPr>
                <w:rFonts w:ascii="Arial Narrow" w:hAnsi="Arial Narrow"/>
                <w:color w:val="000000" w:themeColor="text1"/>
                <w:sz w:val="20"/>
                <w:szCs w:val="20"/>
                <w:lang w:val="en-US"/>
              </w:rPr>
              <w:t>87%; p</w:t>
            </w:r>
            <w:r w:rsidR="006B5EE5">
              <w:rPr>
                <w:rFonts w:ascii="Arial Narrow" w:hAnsi="Arial Narrow"/>
                <w:color w:val="000000" w:themeColor="text1"/>
                <w:sz w:val="20"/>
                <w:szCs w:val="20"/>
                <w:lang w:val="en-US"/>
              </w:rPr>
              <w:t xml:space="preserve"> </w:t>
            </w:r>
            <w:r w:rsidRPr="003A3555">
              <w:rPr>
                <w:rFonts w:ascii="Arial Narrow" w:hAnsi="Arial Narrow"/>
                <w:color w:val="000000" w:themeColor="text1"/>
                <w:sz w:val="20"/>
                <w:szCs w:val="20"/>
                <w:lang w:val="en-US"/>
              </w:rPr>
              <w:t>=</w:t>
            </w:r>
            <w:r w:rsidR="006B5EE5">
              <w:rPr>
                <w:rFonts w:ascii="Arial Narrow" w:hAnsi="Arial Narrow"/>
                <w:color w:val="000000" w:themeColor="text1"/>
                <w:sz w:val="20"/>
                <w:szCs w:val="20"/>
                <w:lang w:val="en-US"/>
              </w:rPr>
              <w:t xml:space="preserve"> </w:t>
            </w:r>
            <w:r w:rsidRPr="003A3555">
              <w:rPr>
                <w:rFonts w:ascii="Arial Narrow" w:hAnsi="Arial Narrow"/>
                <w:color w:val="000000" w:themeColor="text1"/>
                <w:sz w:val="20"/>
                <w:szCs w:val="20"/>
                <w:lang w:val="en-US"/>
              </w:rPr>
              <w:t>0.006</w:t>
            </w:r>
          </w:p>
        </w:tc>
        <w:tc>
          <w:tcPr>
            <w:tcW w:w="836" w:type="pct"/>
            <w:shd w:val="clear" w:color="auto" w:fill="auto"/>
            <w:noWrap/>
            <w:tcMar>
              <w:left w:w="0" w:type="dxa"/>
              <w:right w:w="0" w:type="dxa"/>
            </w:tcMar>
            <w:vAlign w:val="center"/>
          </w:tcPr>
          <w:p w:rsidR="005E7102" w:rsidRPr="003A3555" w:rsidRDefault="005E7102" w:rsidP="00476EE6">
            <w:pPr>
              <w:pStyle w:val="Table"/>
              <w:spacing w:line="240" w:lineRule="auto"/>
              <w:jc w:val="center"/>
              <w:rPr>
                <w:rFonts w:ascii="Arial Narrow" w:hAnsi="Arial Narrow"/>
                <w:color w:val="000000" w:themeColor="text1"/>
                <w:sz w:val="20"/>
                <w:szCs w:val="20"/>
                <w:lang w:val="en-US"/>
              </w:rPr>
            </w:pPr>
            <w:r w:rsidRPr="003A3555">
              <w:rPr>
                <w:rFonts w:ascii="Arial Narrow" w:hAnsi="Arial Narrow"/>
                <w:color w:val="000000" w:themeColor="text1"/>
                <w:sz w:val="20"/>
                <w:szCs w:val="20"/>
                <w:lang w:val="en-US"/>
              </w:rPr>
              <w:t>0.41 (0.05, 3.31)</w:t>
            </w:r>
          </w:p>
        </w:tc>
      </w:tr>
    </w:tbl>
    <w:p w:rsidR="005E7102" w:rsidRPr="003A3555" w:rsidRDefault="005E7102" w:rsidP="00476EE6">
      <w:pPr>
        <w:widowControl/>
        <w:rPr>
          <w:rFonts w:ascii="Arial Narrow" w:hAnsi="Arial Narrow"/>
          <w:color w:val="000000" w:themeColor="text1"/>
          <w:sz w:val="18"/>
          <w:szCs w:val="18"/>
        </w:rPr>
      </w:pPr>
      <w:r w:rsidRPr="003A3555">
        <w:rPr>
          <w:rFonts w:ascii="Arial Narrow" w:hAnsi="Arial Narrow"/>
          <w:color w:val="000000" w:themeColor="text1"/>
          <w:sz w:val="18"/>
          <w:szCs w:val="18"/>
        </w:rPr>
        <w:t>CI</w:t>
      </w:r>
      <w:r w:rsidR="00955CAB">
        <w:rPr>
          <w:rFonts w:ascii="Arial Narrow" w:hAnsi="Arial Narrow"/>
          <w:color w:val="000000" w:themeColor="text1"/>
          <w:sz w:val="18"/>
          <w:szCs w:val="18"/>
        </w:rPr>
        <w:t xml:space="preserve"> </w:t>
      </w:r>
      <w:r w:rsidRPr="003A3555">
        <w:rPr>
          <w:rFonts w:ascii="Arial Narrow" w:hAnsi="Arial Narrow"/>
          <w:color w:val="000000" w:themeColor="text1"/>
          <w:sz w:val="18"/>
          <w:szCs w:val="18"/>
        </w:rPr>
        <w:t>=</w:t>
      </w:r>
      <w:r w:rsidR="00955CAB">
        <w:rPr>
          <w:rFonts w:ascii="Arial Narrow" w:hAnsi="Arial Narrow"/>
          <w:color w:val="000000" w:themeColor="text1"/>
          <w:sz w:val="18"/>
          <w:szCs w:val="18"/>
        </w:rPr>
        <w:t xml:space="preserve"> </w:t>
      </w:r>
      <w:r w:rsidRPr="003A3555">
        <w:rPr>
          <w:rFonts w:ascii="Arial Narrow" w:hAnsi="Arial Narrow"/>
          <w:color w:val="000000" w:themeColor="text1"/>
          <w:sz w:val="18"/>
          <w:szCs w:val="18"/>
        </w:rPr>
        <w:t>confidence interval; HR</w:t>
      </w:r>
      <w:r w:rsidR="00955CAB">
        <w:rPr>
          <w:rFonts w:ascii="Arial Narrow" w:hAnsi="Arial Narrow"/>
          <w:color w:val="000000" w:themeColor="text1"/>
          <w:sz w:val="18"/>
          <w:szCs w:val="18"/>
        </w:rPr>
        <w:t xml:space="preserve"> </w:t>
      </w:r>
      <w:r w:rsidRPr="003A3555">
        <w:rPr>
          <w:rFonts w:ascii="Arial Narrow" w:hAnsi="Arial Narrow"/>
          <w:color w:val="000000" w:themeColor="text1"/>
          <w:sz w:val="18"/>
          <w:szCs w:val="18"/>
        </w:rPr>
        <w:t>=</w:t>
      </w:r>
      <w:r w:rsidR="00955CAB">
        <w:rPr>
          <w:rFonts w:ascii="Arial Narrow" w:hAnsi="Arial Narrow"/>
          <w:color w:val="000000" w:themeColor="text1"/>
          <w:sz w:val="18"/>
          <w:szCs w:val="18"/>
        </w:rPr>
        <w:t xml:space="preserve"> </w:t>
      </w:r>
      <w:r w:rsidRPr="003A3555">
        <w:rPr>
          <w:rFonts w:ascii="Arial Narrow" w:hAnsi="Arial Narrow"/>
          <w:color w:val="000000" w:themeColor="text1"/>
          <w:sz w:val="18"/>
          <w:szCs w:val="18"/>
        </w:rPr>
        <w:t xml:space="preserve">hazard ratio </w:t>
      </w:r>
    </w:p>
    <w:p w:rsidR="005E7102" w:rsidRPr="003A3555" w:rsidRDefault="005E7102" w:rsidP="00476EE6">
      <w:pPr>
        <w:widowControl/>
        <w:rPr>
          <w:rFonts w:ascii="Arial Narrow" w:hAnsi="Arial Narrow"/>
          <w:color w:val="000000" w:themeColor="text1"/>
          <w:sz w:val="18"/>
          <w:szCs w:val="18"/>
        </w:rPr>
      </w:pPr>
      <w:r w:rsidRPr="003A3555">
        <w:rPr>
          <w:rFonts w:ascii="Arial Narrow" w:hAnsi="Arial Narrow"/>
          <w:color w:val="000000" w:themeColor="text1"/>
          <w:sz w:val="18"/>
          <w:szCs w:val="18"/>
        </w:rPr>
        <w:t>Source: Table 2-12, p39, of the resubmission.</w:t>
      </w:r>
    </w:p>
    <w:p w:rsidR="005E7102" w:rsidRPr="00600AD1" w:rsidRDefault="00D00F6E" w:rsidP="00BE016A">
      <w:pPr>
        <w:pStyle w:val="ListParagraph"/>
        <w:widowControl/>
        <w:numPr>
          <w:ilvl w:val="1"/>
          <w:numId w:val="2"/>
        </w:numPr>
        <w:spacing w:before="120"/>
        <w:rPr>
          <w:rFonts w:cs="Calibri"/>
          <w:snapToGrid/>
          <w:szCs w:val="24"/>
          <w:lang w:eastAsia="en-AU"/>
        </w:rPr>
      </w:pPr>
      <w:r>
        <w:rPr>
          <w:rFonts w:cs="Calibri"/>
          <w:snapToGrid/>
          <w:szCs w:val="24"/>
          <w:lang w:eastAsia="en-AU"/>
        </w:rPr>
        <w:t>T</w:t>
      </w:r>
      <w:r w:rsidR="000543D1" w:rsidRPr="00600AD1">
        <w:rPr>
          <w:rFonts w:cs="Calibri"/>
          <w:snapToGrid/>
          <w:szCs w:val="24"/>
          <w:lang w:eastAsia="en-AU"/>
        </w:rPr>
        <w:t xml:space="preserve">he results of the ITT meta-analyses for </w:t>
      </w:r>
      <w:proofErr w:type="spellStart"/>
      <w:r w:rsidR="000543D1" w:rsidRPr="00600AD1">
        <w:rPr>
          <w:rFonts w:cs="Calibri"/>
          <w:snapToGrid/>
          <w:szCs w:val="24"/>
          <w:lang w:eastAsia="en-AU"/>
        </w:rPr>
        <w:t>lenalidomide</w:t>
      </w:r>
      <w:proofErr w:type="spellEnd"/>
      <w:r w:rsidR="000543D1" w:rsidRPr="00600AD1">
        <w:rPr>
          <w:rFonts w:cs="Calibri"/>
          <w:snapToGrid/>
          <w:szCs w:val="24"/>
          <w:lang w:eastAsia="en-AU"/>
        </w:rPr>
        <w:t xml:space="preserve"> and thalidomide were replicated for the post-ASCT subgroups; </w:t>
      </w:r>
      <w:proofErr w:type="gramStart"/>
      <w:r>
        <w:rPr>
          <w:rFonts w:cs="Calibri"/>
          <w:snapToGrid/>
          <w:szCs w:val="24"/>
          <w:lang w:eastAsia="en-AU"/>
        </w:rPr>
        <w:t>o</w:t>
      </w:r>
      <w:r w:rsidRPr="00600AD1">
        <w:rPr>
          <w:rFonts w:cs="Calibri"/>
          <w:snapToGrid/>
          <w:szCs w:val="24"/>
          <w:lang w:eastAsia="en-AU"/>
        </w:rPr>
        <w:t>verall</w:t>
      </w:r>
      <w:proofErr w:type="gramEnd"/>
      <w:r w:rsidRPr="00600AD1">
        <w:rPr>
          <w:rFonts w:cs="Calibri"/>
          <w:snapToGrid/>
          <w:szCs w:val="24"/>
          <w:lang w:eastAsia="en-AU"/>
        </w:rPr>
        <w:t xml:space="preserve"> </w:t>
      </w:r>
      <w:r w:rsidR="000543D1" w:rsidRPr="00600AD1">
        <w:rPr>
          <w:rFonts w:cs="Calibri"/>
          <w:snapToGrid/>
          <w:szCs w:val="24"/>
          <w:lang w:eastAsia="en-AU"/>
        </w:rPr>
        <w:t xml:space="preserve">there was a statistically significant difference in PFS and OS in favour of </w:t>
      </w:r>
      <w:proofErr w:type="spellStart"/>
      <w:r w:rsidR="000543D1" w:rsidRPr="00600AD1">
        <w:rPr>
          <w:rFonts w:cs="Calibri"/>
          <w:snapToGrid/>
          <w:szCs w:val="24"/>
          <w:lang w:eastAsia="en-AU"/>
        </w:rPr>
        <w:t>lenalidomide</w:t>
      </w:r>
      <w:proofErr w:type="spellEnd"/>
      <w:r w:rsidR="000543D1" w:rsidRPr="00600AD1">
        <w:rPr>
          <w:rFonts w:cs="Calibri"/>
          <w:snapToGrid/>
          <w:szCs w:val="24"/>
          <w:lang w:eastAsia="en-AU"/>
        </w:rPr>
        <w:t xml:space="preserve"> compared with BSC, but there was no statistically significant difference in PFS or OS for thalidomide compared with BSC.</w:t>
      </w:r>
    </w:p>
    <w:p w:rsidR="005E7102" w:rsidRPr="003A3555" w:rsidRDefault="005E7102" w:rsidP="00BE016A">
      <w:pPr>
        <w:pStyle w:val="ListParagraph"/>
        <w:widowControl/>
        <w:spacing w:before="120"/>
        <w:ind w:left="0"/>
        <w:rPr>
          <w:rFonts w:cs="Calibri"/>
          <w:i/>
          <w:snapToGrid/>
          <w:szCs w:val="24"/>
          <w:u w:val="single"/>
          <w:lang w:eastAsia="en-AU"/>
        </w:rPr>
      </w:pPr>
      <w:proofErr w:type="spellStart"/>
      <w:r w:rsidRPr="003A3555">
        <w:rPr>
          <w:rFonts w:cs="Calibri"/>
          <w:i/>
          <w:snapToGrid/>
          <w:szCs w:val="24"/>
          <w:u w:val="single"/>
          <w:lang w:eastAsia="en-AU"/>
        </w:rPr>
        <w:t>Lenalidom</w:t>
      </w:r>
      <w:r w:rsidR="001E3487" w:rsidRPr="003A3555">
        <w:rPr>
          <w:rFonts w:cs="Calibri"/>
          <w:i/>
          <w:snapToGrid/>
          <w:szCs w:val="24"/>
          <w:u w:val="single"/>
          <w:lang w:eastAsia="en-AU"/>
        </w:rPr>
        <w:t>i</w:t>
      </w:r>
      <w:r w:rsidRPr="003A3555">
        <w:rPr>
          <w:rFonts w:cs="Calibri"/>
          <w:i/>
          <w:snapToGrid/>
          <w:szCs w:val="24"/>
          <w:u w:val="single"/>
          <w:lang w:eastAsia="en-AU"/>
        </w:rPr>
        <w:t>de</w:t>
      </w:r>
      <w:proofErr w:type="spellEnd"/>
      <w:r w:rsidRPr="003A3555">
        <w:rPr>
          <w:rFonts w:cs="Calibri"/>
          <w:i/>
          <w:snapToGrid/>
          <w:szCs w:val="24"/>
          <w:u w:val="single"/>
          <w:lang w:eastAsia="en-AU"/>
        </w:rPr>
        <w:t xml:space="preserve"> vs. thalidomide indirect comparison</w:t>
      </w:r>
    </w:p>
    <w:p w:rsidR="005E7102" w:rsidRPr="008322DD" w:rsidRDefault="005E7102" w:rsidP="00BE016A">
      <w:pPr>
        <w:pStyle w:val="ListParagraph"/>
        <w:widowControl/>
        <w:numPr>
          <w:ilvl w:val="1"/>
          <w:numId w:val="2"/>
        </w:numPr>
        <w:spacing w:before="120"/>
        <w:rPr>
          <w:rFonts w:ascii="Arial Narrow" w:hAnsi="Arial Narrow"/>
          <w:sz w:val="20"/>
          <w:szCs w:val="16"/>
        </w:rPr>
      </w:pPr>
      <w:r w:rsidRPr="003A3555">
        <w:rPr>
          <w:rFonts w:cs="Calibri"/>
          <w:snapToGrid/>
          <w:szCs w:val="24"/>
          <w:lang w:eastAsia="en-AU"/>
        </w:rPr>
        <w:t xml:space="preserve">The resubmission presented an indirect comparison between </w:t>
      </w:r>
      <w:proofErr w:type="spellStart"/>
      <w:r w:rsidRPr="003A3555">
        <w:rPr>
          <w:rFonts w:cs="Calibri"/>
          <w:snapToGrid/>
          <w:szCs w:val="24"/>
          <w:lang w:eastAsia="en-AU"/>
        </w:rPr>
        <w:t>lenalidomide</w:t>
      </w:r>
      <w:proofErr w:type="spellEnd"/>
      <w:r w:rsidRPr="003A3555">
        <w:rPr>
          <w:rFonts w:cs="Calibri"/>
          <w:snapToGrid/>
          <w:szCs w:val="24"/>
          <w:lang w:eastAsia="en-AU"/>
        </w:rPr>
        <w:t xml:space="preserve"> and thalidomide using placebo/observation as the common reference arm. The resubmission used a standard frequentist indirect comparison (Bucher) method. The results of the indirect comp</w:t>
      </w:r>
      <w:r w:rsidR="009151E2">
        <w:rPr>
          <w:rFonts w:cs="Calibri"/>
          <w:snapToGrid/>
          <w:szCs w:val="24"/>
          <w:lang w:eastAsia="en-AU"/>
        </w:rPr>
        <w:t>arison of CALGB and Myeloma IX in the post-ASCT population for PFS an</w:t>
      </w:r>
      <w:r w:rsidRPr="003A3555">
        <w:rPr>
          <w:rFonts w:cs="Calibri"/>
          <w:snapToGrid/>
          <w:szCs w:val="24"/>
          <w:lang w:eastAsia="en-AU"/>
        </w:rPr>
        <w:t xml:space="preserve">d OS </w:t>
      </w:r>
      <w:proofErr w:type="gramStart"/>
      <w:r w:rsidRPr="003A3555">
        <w:rPr>
          <w:rFonts w:cs="Calibri"/>
          <w:snapToGrid/>
          <w:szCs w:val="24"/>
          <w:lang w:eastAsia="en-AU"/>
        </w:rPr>
        <w:t>are presented</w:t>
      </w:r>
      <w:proofErr w:type="gramEnd"/>
      <w:r w:rsidRPr="003A3555">
        <w:rPr>
          <w:rFonts w:cs="Calibri"/>
          <w:snapToGrid/>
          <w:szCs w:val="24"/>
          <w:lang w:eastAsia="en-AU"/>
        </w:rPr>
        <w:t xml:space="preserve"> in </w:t>
      </w:r>
      <w:r w:rsidR="00F8641D" w:rsidRPr="003A3555">
        <w:rPr>
          <w:rFonts w:cs="Calibri"/>
          <w:snapToGrid/>
          <w:szCs w:val="24"/>
          <w:lang w:eastAsia="en-AU"/>
        </w:rPr>
        <w:t xml:space="preserve">Table </w:t>
      </w:r>
      <w:r w:rsidR="000543D1" w:rsidRPr="003A3555">
        <w:rPr>
          <w:rFonts w:cs="Calibri"/>
          <w:snapToGrid/>
          <w:szCs w:val="24"/>
          <w:lang w:eastAsia="en-AU"/>
        </w:rPr>
        <w:t>1</w:t>
      </w:r>
      <w:r w:rsidR="00097671">
        <w:rPr>
          <w:rFonts w:cs="Calibri"/>
          <w:snapToGrid/>
          <w:szCs w:val="24"/>
          <w:lang w:eastAsia="en-AU"/>
        </w:rPr>
        <w:t>7</w:t>
      </w:r>
      <w:r w:rsidRPr="00C56C56">
        <w:rPr>
          <w:rFonts w:cs="Calibri"/>
          <w:snapToGrid/>
          <w:szCs w:val="24"/>
          <w:lang w:eastAsia="en-AU"/>
        </w:rPr>
        <w:t>.</w:t>
      </w:r>
      <w:r w:rsidRPr="00C56C56">
        <w:rPr>
          <w:rFonts w:cs="Calibri"/>
          <w:i/>
          <w:snapToGrid/>
          <w:szCs w:val="24"/>
          <w:lang w:eastAsia="en-AU"/>
        </w:rPr>
        <w:t xml:space="preserve"> </w:t>
      </w:r>
      <w:r w:rsidR="008322DD" w:rsidRPr="00C56C56">
        <w:rPr>
          <w:rFonts w:cs="Calibri"/>
          <w:snapToGrid/>
          <w:szCs w:val="24"/>
          <w:lang w:eastAsia="en-AU"/>
        </w:rPr>
        <w:t>The resubmission also presented data for the indirect comparison of the ITT populations.</w:t>
      </w:r>
    </w:p>
    <w:p w:rsidR="005E7102" w:rsidRPr="00401CF2" w:rsidRDefault="005E7102" w:rsidP="00BE016A">
      <w:pPr>
        <w:pStyle w:val="ListParagraph"/>
        <w:widowControl/>
        <w:numPr>
          <w:ilvl w:val="1"/>
          <w:numId w:val="2"/>
        </w:numPr>
        <w:spacing w:before="120"/>
        <w:rPr>
          <w:rFonts w:ascii="Arial Narrow" w:hAnsi="Arial Narrow"/>
          <w:sz w:val="20"/>
          <w:szCs w:val="16"/>
        </w:rPr>
      </w:pPr>
      <w:r w:rsidRPr="00401CF2">
        <w:rPr>
          <w:rFonts w:cs="Calibri"/>
          <w:snapToGrid/>
          <w:szCs w:val="24"/>
          <w:lang w:eastAsia="en-AU"/>
        </w:rPr>
        <w:t xml:space="preserve">For PFS, there was no statistically significant difference </w:t>
      </w:r>
      <w:r w:rsidR="000543D1" w:rsidRPr="00401CF2">
        <w:rPr>
          <w:rFonts w:cs="Calibri"/>
          <w:snapToGrid/>
          <w:szCs w:val="24"/>
          <w:lang w:eastAsia="en-AU"/>
        </w:rPr>
        <w:t xml:space="preserve">between </w:t>
      </w:r>
      <w:r w:rsidRPr="00401CF2">
        <w:rPr>
          <w:rFonts w:cs="Calibri"/>
          <w:snapToGrid/>
          <w:szCs w:val="24"/>
          <w:lang w:eastAsia="en-AU"/>
        </w:rPr>
        <w:t xml:space="preserve">the two treatments even when the CALGB results </w:t>
      </w:r>
      <w:proofErr w:type="gramStart"/>
      <w:r w:rsidRPr="00401CF2">
        <w:rPr>
          <w:rFonts w:cs="Calibri"/>
          <w:snapToGrid/>
          <w:szCs w:val="24"/>
          <w:lang w:eastAsia="en-AU"/>
        </w:rPr>
        <w:t>were adjusted</w:t>
      </w:r>
      <w:proofErr w:type="gramEnd"/>
      <w:r w:rsidRPr="00401CF2">
        <w:rPr>
          <w:rFonts w:cs="Calibri"/>
          <w:snapToGrid/>
          <w:szCs w:val="24"/>
          <w:lang w:eastAsia="en-AU"/>
        </w:rPr>
        <w:t xml:space="preserve"> for crossover, with </w:t>
      </w:r>
      <w:r w:rsidR="00323331" w:rsidRPr="00401CF2">
        <w:rPr>
          <w:rFonts w:cs="Calibri"/>
          <w:snapToGrid/>
          <w:szCs w:val="24"/>
          <w:lang w:eastAsia="en-AU"/>
        </w:rPr>
        <w:t xml:space="preserve">an </w:t>
      </w:r>
      <w:r w:rsidRPr="00401CF2">
        <w:rPr>
          <w:rFonts w:cs="Calibri"/>
          <w:snapToGrid/>
          <w:szCs w:val="24"/>
          <w:lang w:eastAsia="en-AU"/>
        </w:rPr>
        <w:t>estimated HR</w:t>
      </w:r>
      <w:r w:rsidR="00631B13">
        <w:rPr>
          <w:rFonts w:cs="Calibri"/>
          <w:snapToGrid/>
          <w:szCs w:val="24"/>
          <w:lang w:eastAsia="en-AU"/>
        </w:rPr>
        <w:t xml:space="preserve"> of</w:t>
      </w:r>
      <w:r w:rsidRPr="00401CF2">
        <w:rPr>
          <w:rFonts w:cs="Calibri"/>
          <w:snapToGrid/>
          <w:szCs w:val="24"/>
          <w:lang w:eastAsia="en-AU"/>
        </w:rPr>
        <w:t xml:space="preserve"> </w:t>
      </w:r>
      <w:r w:rsidR="001D6F6D">
        <w:rPr>
          <w:rFonts w:cs="Calibri"/>
          <w:noProof/>
          <w:snapToGrid/>
          <w:color w:val="000000"/>
          <w:szCs w:val="24"/>
          <w:highlight w:val="black"/>
          <w:lang w:eastAsia="en-AU"/>
        </w:rPr>
        <w:t>''''''''</w:t>
      </w:r>
      <w:r w:rsidR="008322DD">
        <w:rPr>
          <w:rFonts w:cs="Calibri"/>
          <w:snapToGrid/>
          <w:szCs w:val="24"/>
          <w:lang w:eastAsia="en-AU"/>
        </w:rPr>
        <w:t xml:space="preserve"> (95% CI: </w:t>
      </w:r>
      <w:r w:rsidR="001D6F6D">
        <w:rPr>
          <w:rFonts w:cs="Calibri"/>
          <w:noProof/>
          <w:snapToGrid/>
          <w:color w:val="000000"/>
          <w:szCs w:val="24"/>
          <w:highlight w:val="black"/>
          <w:lang w:eastAsia="en-AU"/>
        </w:rPr>
        <w:t>'''''''''</w:t>
      </w:r>
      <w:r w:rsidR="008322DD">
        <w:rPr>
          <w:rFonts w:cs="Calibri"/>
          <w:snapToGrid/>
          <w:szCs w:val="24"/>
          <w:lang w:eastAsia="en-AU"/>
        </w:rPr>
        <w:t xml:space="preserve">, </w:t>
      </w:r>
      <w:r w:rsidR="001D6F6D">
        <w:rPr>
          <w:rFonts w:cs="Calibri"/>
          <w:noProof/>
          <w:snapToGrid/>
          <w:color w:val="000000"/>
          <w:szCs w:val="24"/>
          <w:highlight w:val="black"/>
          <w:lang w:eastAsia="en-AU"/>
        </w:rPr>
        <w:t>'''''''''</w:t>
      </w:r>
      <w:r w:rsidR="008322DD">
        <w:rPr>
          <w:rFonts w:cs="Calibri"/>
          <w:snapToGrid/>
          <w:szCs w:val="24"/>
          <w:lang w:eastAsia="en-AU"/>
        </w:rPr>
        <w:t>)</w:t>
      </w:r>
      <w:r w:rsidRPr="00401CF2">
        <w:rPr>
          <w:rFonts w:cs="Calibri"/>
          <w:snapToGrid/>
          <w:szCs w:val="24"/>
          <w:lang w:eastAsia="en-AU"/>
        </w:rPr>
        <w:t xml:space="preserve">. The OS results showed a statistically significant improvement </w:t>
      </w:r>
      <w:r w:rsidR="000543D1" w:rsidRPr="00401CF2">
        <w:rPr>
          <w:rFonts w:cs="Calibri"/>
          <w:snapToGrid/>
          <w:szCs w:val="24"/>
          <w:lang w:eastAsia="en-AU"/>
        </w:rPr>
        <w:t xml:space="preserve">for </w:t>
      </w:r>
      <w:proofErr w:type="spellStart"/>
      <w:r w:rsidRPr="00401CF2">
        <w:rPr>
          <w:rFonts w:cs="Calibri"/>
          <w:snapToGrid/>
          <w:szCs w:val="24"/>
          <w:lang w:eastAsia="en-AU"/>
        </w:rPr>
        <w:t>lenalidomide</w:t>
      </w:r>
      <w:proofErr w:type="spellEnd"/>
      <w:r w:rsidRPr="00401CF2">
        <w:rPr>
          <w:rFonts w:cs="Calibri"/>
          <w:snapToGrid/>
          <w:szCs w:val="24"/>
          <w:lang w:eastAsia="en-AU"/>
        </w:rPr>
        <w:t xml:space="preserve"> compared to thalidomide with </w:t>
      </w:r>
      <w:r w:rsidR="00631B13">
        <w:rPr>
          <w:rFonts w:cs="Calibri"/>
          <w:snapToGrid/>
          <w:szCs w:val="24"/>
          <w:lang w:eastAsia="en-AU"/>
        </w:rPr>
        <w:t xml:space="preserve">a </w:t>
      </w:r>
      <w:r w:rsidRPr="00401CF2">
        <w:rPr>
          <w:rFonts w:cs="Calibri"/>
          <w:snapToGrid/>
          <w:szCs w:val="24"/>
          <w:lang w:eastAsia="en-AU"/>
        </w:rPr>
        <w:t>HR</w:t>
      </w:r>
      <w:r w:rsidR="00631B13">
        <w:rPr>
          <w:rFonts w:cs="Calibri"/>
          <w:snapToGrid/>
          <w:szCs w:val="24"/>
          <w:lang w:eastAsia="en-AU"/>
        </w:rPr>
        <w:t xml:space="preserve"> of</w:t>
      </w:r>
      <w:r w:rsidR="009151E2">
        <w:rPr>
          <w:rFonts w:cs="Calibri"/>
          <w:snapToGrid/>
          <w:szCs w:val="24"/>
          <w:lang w:eastAsia="en-AU"/>
        </w:rPr>
        <w:t xml:space="preserve"> </w:t>
      </w:r>
      <w:r w:rsidR="001D6F6D">
        <w:rPr>
          <w:rFonts w:cs="Calibri"/>
          <w:noProof/>
          <w:snapToGrid/>
          <w:color w:val="000000"/>
          <w:szCs w:val="24"/>
          <w:highlight w:val="black"/>
          <w:lang w:eastAsia="en-AU"/>
        </w:rPr>
        <w:t>'''''''''</w:t>
      </w:r>
      <w:r w:rsidR="008322DD">
        <w:rPr>
          <w:rFonts w:cs="Calibri"/>
          <w:snapToGrid/>
          <w:szCs w:val="24"/>
          <w:lang w:eastAsia="en-AU"/>
        </w:rPr>
        <w:t xml:space="preserve"> (95% CI: </w:t>
      </w:r>
      <w:r w:rsidR="001D6F6D">
        <w:rPr>
          <w:rFonts w:cs="Calibri"/>
          <w:noProof/>
          <w:snapToGrid/>
          <w:color w:val="000000"/>
          <w:szCs w:val="24"/>
          <w:highlight w:val="black"/>
          <w:lang w:eastAsia="en-AU"/>
        </w:rPr>
        <w:t>''''''''</w:t>
      </w:r>
      <w:r w:rsidR="008322DD">
        <w:rPr>
          <w:rFonts w:cs="Calibri"/>
          <w:snapToGrid/>
          <w:szCs w:val="24"/>
          <w:lang w:eastAsia="en-AU"/>
        </w:rPr>
        <w:t xml:space="preserve">, </w:t>
      </w:r>
      <w:r w:rsidR="001D6F6D">
        <w:rPr>
          <w:rFonts w:cs="Calibri"/>
          <w:noProof/>
          <w:snapToGrid/>
          <w:color w:val="000000"/>
          <w:szCs w:val="24"/>
          <w:highlight w:val="black"/>
          <w:lang w:eastAsia="en-AU"/>
        </w:rPr>
        <w:t>''''''''</w:t>
      </w:r>
      <w:r w:rsidR="008322DD">
        <w:rPr>
          <w:rFonts w:cs="Calibri"/>
          <w:snapToGrid/>
          <w:szCs w:val="24"/>
          <w:lang w:eastAsia="en-AU"/>
        </w:rPr>
        <w:t>)</w:t>
      </w:r>
      <w:r w:rsidRPr="00401CF2">
        <w:rPr>
          <w:rFonts w:cs="Calibri"/>
          <w:snapToGrid/>
          <w:szCs w:val="24"/>
          <w:lang w:eastAsia="en-AU"/>
        </w:rPr>
        <w:t>.</w:t>
      </w:r>
      <w:r w:rsidR="00B00178">
        <w:rPr>
          <w:rFonts w:cs="Calibri"/>
          <w:snapToGrid/>
          <w:szCs w:val="24"/>
          <w:lang w:eastAsia="en-AU"/>
        </w:rPr>
        <w:t xml:space="preserve"> </w:t>
      </w:r>
    </w:p>
    <w:p w:rsidR="00D82D11" w:rsidRPr="008A66D0" w:rsidRDefault="005E7102" w:rsidP="00BE016A">
      <w:pPr>
        <w:pStyle w:val="ListParagraph"/>
        <w:widowControl/>
        <w:numPr>
          <w:ilvl w:val="1"/>
          <w:numId w:val="2"/>
        </w:numPr>
        <w:spacing w:before="120"/>
        <w:rPr>
          <w:rFonts w:ascii="Arial Narrow" w:hAnsi="Arial Narrow"/>
          <w:sz w:val="20"/>
          <w:szCs w:val="16"/>
        </w:rPr>
      </w:pPr>
      <w:r w:rsidRPr="00600AD1">
        <w:rPr>
          <w:rFonts w:cs="Calibri"/>
          <w:snapToGrid/>
          <w:szCs w:val="24"/>
          <w:lang w:eastAsia="en-AU"/>
        </w:rPr>
        <w:t>The resubmission presented sensitivity analyses using a pooled analysis of a</w:t>
      </w:r>
      <w:r w:rsidR="00C60F2C">
        <w:rPr>
          <w:rFonts w:cs="Calibri"/>
          <w:snapToGrid/>
          <w:szCs w:val="24"/>
          <w:lang w:eastAsia="en-AU"/>
        </w:rPr>
        <w:t xml:space="preserve">ll the </w:t>
      </w:r>
      <w:proofErr w:type="spellStart"/>
      <w:r w:rsidR="00C60F2C">
        <w:rPr>
          <w:rFonts w:cs="Calibri"/>
          <w:snapToGrid/>
          <w:szCs w:val="24"/>
          <w:lang w:eastAsia="en-AU"/>
        </w:rPr>
        <w:t>lenalidomide</w:t>
      </w:r>
      <w:proofErr w:type="spellEnd"/>
      <w:r w:rsidR="00C60F2C">
        <w:rPr>
          <w:rFonts w:cs="Calibri"/>
          <w:snapToGrid/>
          <w:szCs w:val="24"/>
          <w:lang w:eastAsia="en-AU"/>
        </w:rPr>
        <w:t xml:space="preserve"> trials (IFM</w:t>
      </w:r>
      <w:r w:rsidRPr="00600AD1">
        <w:rPr>
          <w:rFonts w:cs="Calibri"/>
          <w:snapToGrid/>
          <w:szCs w:val="24"/>
          <w:lang w:eastAsia="en-AU"/>
        </w:rPr>
        <w:t>2005-02, GIMEMA and Myeloma XI) and thalidomide trials (Myeloma IX and MM6). For the sensitivity analysis including all trials with CALGB adjusted for crossover (Sensitivity analysis 3), the difference in PFS was not statistically significant (</w:t>
      </w:r>
      <w:r w:rsidR="008322DD">
        <w:rPr>
          <w:rFonts w:cs="Calibri"/>
          <w:snapToGrid/>
          <w:szCs w:val="24"/>
          <w:lang w:eastAsia="en-AU"/>
        </w:rPr>
        <w:t xml:space="preserve">HR = </w:t>
      </w:r>
      <w:r w:rsidR="001D6F6D">
        <w:rPr>
          <w:rFonts w:cs="Calibri"/>
          <w:noProof/>
          <w:snapToGrid/>
          <w:color w:val="000000"/>
          <w:szCs w:val="24"/>
          <w:highlight w:val="black"/>
          <w:lang w:eastAsia="en-AU"/>
        </w:rPr>
        <w:t>''''''''</w:t>
      </w:r>
      <w:r w:rsidR="008322DD">
        <w:rPr>
          <w:rFonts w:cs="Calibri"/>
          <w:snapToGrid/>
          <w:szCs w:val="24"/>
          <w:lang w:eastAsia="en-AU"/>
        </w:rPr>
        <w:t xml:space="preserve">; 95% CI: </w:t>
      </w:r>
      <w:r w:rsidR="001D6F6D">
        <w:rPr>
          <w:rFonts w:cs="Calibri"/>
          <w:noProof/>
          <w:snapToGrid/>
          <w:color w:val="000000"/>
          <w:szCs w:val="24"/>
          <w:highlight w:val="black"/>
          <w:lang w:eastAsia="en-AU"/>
        </w:rPr>
        <w:t>'''''''''</w:t>
      </w:r>
      <w:r w:rsidR="008322DD">
        <w:rPr>
          <w:rFonts w:cs="Calibri"/>
          <w:snapToGrid/>
          <w:szCs w:val="24"/>
          <w:lang w:eastAsia="en-AU"/>
        </w:rPr>
        <w:t xml:space="preserve">, </w:t>
      </w:r>
      <w:r w:rsidR="001D6F6D">
        <w:rPr>
          <w:rFonts w:cs="Calibri"/>
          <w:noProof/>
          <w:snapToGrid/>
          <w:color w:val="000000"/>
          <w:szCs w:val="24"/>
          <w:highlight w:val="black"/>
          <w:lang w:eastAsia="en-AU"/>
        </w:rPr>
        <w:t>''''''''</w:t>
      </w:r>
      <w:r w:rsidR="008322DD">
        <w:rPr>
          <w:rFonts w:cs="Calibri"/>
          <w:snapToGrid/>
          <w:szCs w:val="24"/>
          <w:lang w:eastAsia="en-AU"/>
        </w:rPr>
        <w:t>)</w:t>
      </w:r>
      <w:r w:rsidRPr="00600AD1">
        <w:rPr>
          <w:rFonts w:cs="Calibri"/>
          <w:snapToGrid/>
          <w:szCs w:val="24"/>
          <w:lang w:eastAsia="en-AU"/>
        </w:rPr>
        <w:t xml:space="preserve">. Similarly, for OS the result was not statistically </w:t>
      </w:r>
      <w:r w:rsidRPr="00F523B5">
        <w:rPr>
          <w:rFonts w:cs="Calibri"/>
          <w:snapToGrid/>
          <w:szCs w:val="24"/>
          <w:lang w:eastAsia="en-AU"/>
        </w:rPr>
        <w:t>significant</w:t>
      </w:r>
      <w:r w:rsidR="009151E2" w:rsidRPr="00F523B5">
        <w:rPr>
          <w:rFonts w:cs="Calibri"/>
          <w:snapToGrid/>
          <w:szCs w:val="24"/>
          <w:lang w:eastAsia="en-AU"/>
        </w:rPr>
        <w:t xml:space="preserve"> </w:t>
      </w:r>
      <w:r w:rsidR="00F523B5" w:rsidRPr="00F523B5">
        <w:rPr>
          <w:rFonts w:cs="Calibri"/>
          <w:snapToGrid/>
          <w:szCs w:val="24"/>
          <w:lang w:eastAsia="en-AU"/>
        </w:rPr>
        <w:t xml:space="preserve">HR = </w:t>
      </w:r>
      <w:r w:rsidR="001D6F6D">
        <w:rPr>
          <w:rFonts w:cs="Calibri"/>
          <w:noProof/>
          <w:snapToGrid/>
          <w:color w:val="000000"/>
          <w:szCs w:val="24"/>
          <w:highlight w:val="black"/>
          <w:lang w:eastAsia="en-AU"/>
        </w:rPr>
        <w:t>'''''''''</w:t>
      </w:r>
      <w:r w:rsidR="00F523B5" w:rsidRPr="00F523B5">
        <w:rPr>
          <w:rFonts w:cs="Calibri"/>
          <w:snapToGrid/>
          <w:szCs w:val="24"/>
          <w:lang w:eastAsia="en-AU"/>
        </w:rPr>
        <w:t xml:space="preserve">; 95% CI: </w:t>
      </w:r>
      <w:r w:rsidR="001D6F6D">
        <w:rPr>
          <w:rFonts w:cs="Calibri"/>
          <w:noProof/>
          <w:snapToGrid/>
          <w:color w:val="000000"/>
          <w:szCs w:val="24"/>
          <w:highlight w:val="black"/>
          <w:lang w:eastAsia="en-AU"/>
        </w:rPr>
        <w:t>''''''''</w:t>
      </w:r>
      <w:r w:rsidR="00F523B5" w:rsidRPr="00F523B5">
        <w:rPr>
          <w:rFonts w:cs="Calibri"/>
          <w:snapToGrid/>
          <w:szCs w:val="24"/>
          <w:lang w:eastAsia="en-AU"/>
        </w:rPr>
        <w:t xml:space="preserve">, </w:t>
      </w:r>
      <w:r w:rsidR="001D6F6D">
        <w:rPr>
          <w:rFonts w:cs="Calibri"/>
          <w:noProof/>
          <w:snapToGrid/>
          <w:color w:val="000000"/>
          <w:szCs w:val="24"/>
          <w:highlight w:val="black"/>
          <w:lang w:eastAsia="en-AU"/>
        </w:rPr>
        <w:t>'''''''''''</w:t>
      </w:r>
      <w:r w:rsidR="00F523B5" w:rsidRPr="00F523B5">
        <w:rPr>
          <w:rFonts w:cs="Calibri"/>
          <w:snapToGrid/>
          <w:szCs w:val="24"/>
          <w:lang w:eastAsia="en-AU"/>
        </w:rPr>
        <w:t xml:space="preserve">). </w:t>
      </w:r>
      <w:r w:rsidRPr="00600AD1">
        <w:rPr>
          <w:rFonts w:cs="Calibri"/>
          <w:snapToGrid/>
          <w:szCs w:val="24"/>
          <w:lang w:eastAsia="en-AU"/>
        </w:rPr>
        <w:t xml:space="preserve">The upper bound </w:t>
      </w:r>
      <w:r w:rsidR="00F8641D" w:rsidRPr="00600AD1">
        <w:rPr>
          <w:rFonts w:cs="Calibri"/>
          <w:snapToGrid/>
          <w:szCs w:val="24"/>
          <w:lang w:eastAsia="en-AU"/>
        </w:rPr>
        <w:t xml:space="preserve">on the </w:t>
      </w:r>
      <w:r w:rsidRPr="00600AD1">
        <w:rPr>
          <w:rFonts w:cs="Calibri"/>
          <w:snapToGrid/>
          <w:szCs w:val="24"/>
          <w:lang w:eastAsia="en-AU"/>
        </w:rPr>
        <w:t xml:space="preserve">confidence interval in the pooled sensitivity analyses has increased compared to the base case indirect comparison, reflecting the differences in results across the included </w:t>
      </w:r>
      <w:r w:rsidRPr="00D82D11">
        <w:rPr>
          <w:rFonts w:cs="Calibri"/>
          <w:snapToGrid/>
          <w:szCs w:val="24"/>
          <w:lang w:eastAsia="en-AU"/>
        </w:rPr>
        <w:t>trials.</w:t>
      </w:r>
    </w:p>
    <w:p w:rsidR="00980EAF" w:rsidRPr="003A3555" w:rsidRDefault="00980EAF" w:rsidP="00BE016A">
      <w:pPr>
        <w:widowControl/>
        <w:spacing w:before="120" w:after="120"/>
        <w:jc w:val="left"/>
        <w:rPr>
          <w:rFonts w:ascii="Arial Narrow" w:hAnsi="Arial Narrow"/>
          <w:b/>
          <w:color w:val="000000" w:themeColor="text1"/>
          <w:sz w:val="20"/>
          <w:szCs w:val="20"/>
        </w:rPr>
      </w:pPr>
    </w:p>
    <w:p w:rsidR="005E7102" w:rsidRPr="003A3555" w:rsidRDefault="005E7102" w:rsidP="00476EE6">
      <w:pPr>
        <w:keepNext/>
        <w:widowControl/>
        <w:rPr>
          <w:color w:val="000000" w:themeColor="text1"/>
        </w:rPr>
      </w:pPr>
      <w:r w:rsidRPr="003A3555">
        <w:rPr>
          <w:rFonts w:ascii="Arial Narrow" w:hAnsi="Arial Narrow"/>
          <w:b/>
          <w:color w:val="000000" w:themeColor="text1"/>
          <w:sz w:val="20"/>
          <w:szCs w:val="20"/>
        </w:rPr>
        <w:lastRenderedPageBreak/>
        <w:t xml:space="preserve">Table </w:t>
      </w:r>
      <w:r w:rsidR="009F0EFA" w:rsidRPr="003A3555">
        <w:rPr>
          <w:rFonts w:ascii="Arial Narrow" w:hAnsi="Arial Narrow"/>
          <w:b/>
          <w:color w:val="000000" w:themeColor="text1"/>
          <w:sz w:val="20"/>
          <w:szCs w:val="20"/>
        </w:rPr>
        <w:t>1</w:t>
      </w:r>
      <w:r w:rsidR="00097671">
        <w:rPr>
          <w:rFonts w:ascii="Arial Narrow" w:hAnsi="Arial Narrow"/>
          <w:b/>
          <w:color w:val="000000" w:themeColor="text1"/>
          <w:sz w:val="20"/>
          <w:szCs w:val="20"/>
        </w:rPr>
        <w:t>7</w:t>
      </w:r>
      <w:r w:rsidR="009F0EFA" w:rsidRPr="003A3555">
        <w:rPr>
          <w:rFonts w:ascii="Arial Narrow" w:hAnsi="Arial Narrow"/>
          <w:b/>
          <w:color w:val="000000" w:themeColor="text1"/>
          <w:sz w:val="20"/>
          <w:szCs w:val="20"/>
        </w:rPr>
        <w:t>:</w:t>
      </w:r>
      <w:r w:rsidR="00890414" w:rsidRPr="003A3555">
        <w:rPr>
          <w:rFonts w:ascii="Arial Narrow" w:hAnsi="Arial Narrow"/>
          <w:b/>
          <w:color w:val="000000" w:themeColor="text1"/>
          <w:sz w:val="20"/>
          <w:szCs w:val="20"/>
        </w:rPr>
        <w:t xml:space="preserve"> </w:t>
      </w:r>
      <w:r w:rsidR="009465AF" w:rsidRPr="003A3555">
        <w:rPr>
          <w:rFonts w:ascii="Arial Narrow" w:hAnsi="Arial Narrow"/>
          <w:b/>
          <w:color w:val="000000" w:themeColor="text1"/>
          <w:sz w:val="20"/>
          <w:szCs w:val="20"/>
        </w:rPr>
        <w:t>R</w:t>
      </w:r>
      <w:r w:rsidRPr="003A3555">
        <w:rPr>
          <w:rFonts w:ascii="Arial Narrow" w:hAnsi="Arial Narrow"/>
          <w:b/>
          <w:color w:val="000000" w:themeColor="text1"/>
          <w:sz w:val="20"/>
          <w:szCs w:val="20"/>
        </w:rPr>
        <w:t xml:space="preserve">esults of the indirect comparisons </w:t>
      </w:r>
      <w:r w:rsidR="009465AF" w:rsidRPr="003A3555">
        <w:rPr>
          <w:rFonts w:ascii="Arial Narrow" w:hAnsi="Arial Narrow"/>
          <w:b/>
          <w:sz w:val="20"/>
          <w:szCs w:val="20"/>
        </w:rPr>
        <w:t xml:space="preserve">between </w:t>
      </w:r>
      <w:proofErr w:type="spellStart"/>
      <w:r w:rsidR="009465AF" w:rsidRPr="003A3555">
        <w:rPr>
          <w:rFonts w:ascii="Arial Narrow" w:hAnsi="Arial Narrow"/>
          <w:b/>
          <w:sz w:val="20"/>
          <w:szCs w:val="20"/>
        </w:rPr>
        <w:t>lenalidomide</w:t>
      </w:r>
      <w:proofErr w:type="spellEnd"/>
      <w:r w:rsidR="009465AF" w:rsidRPr="003A3555">
        <w:rPr>
          <w:rFonts w:ascii="Arial Narrow" w:hAnsi="Arial Narrow"/>
          <w:b/>
          <w:sz w:val="20"/>
          <w:szCs w:val="20"/>
        </w:rPr>
        <w:t xml:space="preserve"> and thalidomide </w:t>
      </w:r>
      <w:r w:rsidRPr="003A3555">
        <w:rPr>
          <w:rFonts w:ascii="Arial Narrow" w:hAnsi="Arial Narrow"/>
          <w:b/>
          <w:color w:val="000000" w:themeColor="text1"/>
          <w:sz w:val="20"/>
          <w:szCs w:val="20"/>
        </w:rPr>
        <w:t>(post-ASCT subgroup)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7: Results of the indirect comparisons between lenalidomide and thalidomide (post-ASCT subgroup"/>
      </w:tblPr>
      <w:tblGrid>
        <w:gridCol w:w="1971"/>
        <w:gridCol w:w="4940"/>
        <w:gridCol w:w="2106"/>
      </w:tblGrid>
      <w:tr w:rsidR="005E7102" w:rsidRPr="003A3555" w:rsidTr="00955CAB">
        <w:trPr>
          <w:trHeight w:val="252"/>
          <w:tblHeader/>
        </w:trPr>
        <w:tc>
          <w:tcPr>
            <w:tcW w:w="1093" w:type="pct"/>
            <w:shd w:val="clear" w:color="auto" w:fill="auto"/>
            <w:tcMar>
              <w:left w:w="28" w:type="dxa"/>
              <w:right w:w="28" w:type="dxa"/>
            </w:tcMar>
            <w:vAlign w:val="center"/>
            <w:hideMark/>
          </w:tcPr>
          <w:p w:rsidR="005E7102" w:rsidRPr="00C53C25" w:rsidRDefault="005E7102" w:rsidP="00476EE6">
            <w:pPr>
              <w:pStyle w:val="Table"/>
              <w:spacing w:line="240" w:lineRule="auto"/>
              <w:rPr>
                <w:rFonts w:ascii="Arial Narrow" w:eastAsia="SimSun" w:hAnsi="Arial Narrow"/>
                <w:b/>
                <w:color w:val="000000" w:themeColor="text1"/>
                <w:sz w:val="20"/>
                <w:szCs w:val="20"/>
                <w:lang w:eastAsia="en-AU"/>
              </w:rPr>
            </w:pPr>
            <w:r w:rsidRPr="00C53C25">
              <w:rPr>
                <w:rFonts w:ascii="Arial Narrow" w:eastAsia="SimSun" w:hAnsi="Arial Narrow"/>
                <w:b/>
                <w:color w:val="000000" w:themeColor="text1"/>
                <w:sz w:val="20"/>
                <w:szCs w:val="20"/>
                <w:lang w:eastAsia="en-AU"/>
              </w:rPr>
              <w:t>Comparison</w:t>
            </w:r>
          </w:p>
        </w:tc>
        <w:tc>
          <w:tcPr>
            <w:tcW w:w="2739" w:type="pct"/>
            <w:shd w:val="clear" w:color="auto" w:fill="auto"/>
            <w:tcMar>
              <w:left w:w="28" w:type="dxa"/>
              <w:right w:w="28" w:type="dxa"/>
            </w:tcMar>
            <w:vAlign w:val="center"/>
            <w:hideMark/>
          </w:tcPr>
          <w:p w:rsidR="005E7102" w:rsidRPr="00C53C25" w:rsidRDefault="005E7102" w:rsidP="00476EE6">
            <w:pPr>
              <w:pStyle w:val="Table"/>
              <w:spacing w:line="240" w:lineRule="auto"/>
              <w:rPr>
                <w:rFonts w:ascii="Arial Narrow" w:eastAsia="SimSun" w:hAnsi="Arial Narrow"/>
                <w:b/>
                <w:color w:val="000000" w:themeColor="text1"/>
                <w:sz w:val="20"/>
                <w:szCs w:val="20"/>
                <w:lang w:eastAsia="en-AU"/>
              </w:rPr>
            </w:pPr>
            <w:r w:rsidRPr="00C53C25">
              <w:rPr>
                <w:rFonts w:ascii="Arial Narrow" w:eastAsia="SimSun" w:hAnsi="Arial Narrow"/>
                <w:b/>
                <w:color w:val="000000" w:themeColor="text1"/>
                <w:sz w:val="20"/>
                <w:szCs w:val="20"/>
                <w:lang w:eastAsia="en-AU"/>
              </w:rPr>
              <w:t>Trial /Analysis</w:t>
            </w:r>
          </w:p>
        </w:tc>
        <w:tc>
          <w:tcPr>
            <w:tcW w:w="1168" w:type="pct"/>
            <w:shd w:val="clear" w:color="auto" w:fill="auto"/>
            <w:tcMar>
              <w:left w:w="28" w:type="dxa"/>
              <w:right w:w="28" w:type="dxa"/>
            </w:tcMar>
            <w:vAlign w:val="center"/>
          </w:tcPr>
          <w:p w:rsidR="005E7102" w:rsidRPr="00C53C25" w:rsidRDefault="005E7102" w:rsidP="00476EE6">
            <w:pPr>
              <w:pStyle w:val="Table"/>
              <w:spacing w:line="240" w:lineRule="auto"/>
              <w:jc w:val="center"/>
              <w:rPr>
                <w:rFonts w:ascii="Arial Narrow" w:eastAsia="SimSun" w:hAnsi="Arial Narrow"/>
                <w:b/>
                <w:color w:val="000000" w:themeColor="text1"/>
                <w:sz w:val="20"/>
                <w:szCs w:val="20"/>
                <w:lang w:eastAsia="en-AU"/>
              </w:rPr>
            </w:pPr>
            <w:r w:rsidRPr="00C53C25">
              <w:rPr>
                <w:rFonts w:ascii="Arial Narrow" w:eastAsia="SimSun" w:hAnsi="Arial Narrow"/>
                <w:b/>
                <w:color w:val="000000" w:themeColor="text1"/>
                <w:sz w:val="20"/>
                <w:szCs w:val="20"/>
                <w:lang w:eastAsia="en-AU"/>
              </w:rPr>
              <w:t>HR (95% CI)</w:t>
            </w:r>
          </w:p>
        </w:tc>
      </w:tr>
      <w:tr w:rsidR="005E7102" w:rsidRPr="003A3555" w:rsidTr="00955CAB">
        <w:trPr>
          <w:trHeight w:val="70"/>
        </w:trPr>
        <w:tc>
          <w:tcPr>
            <w:tcW w:w="5000" w:type="pct"/>
            <w:gridSpan w:val="3"/>
            <w:shd w:val="clear" w:color="auto" w:fill="auto"/>
            <w:tcMar>
              <w:left w:w="28" w:type="dxa"/>
              <w:right w:w="28" w:type="dxa"/>
            </w:tcMar>
            <w:vAlign w:val="center"/>
          </w:tcPr>
          <w:p w:rsidR="005E7102" w:rsidRPr="00C53C25" w:rsidRDefault="005E7102" w:rsidP="00476EE6">
            <w:pPr>
              <w:pStyle w:val="Table"/>
              <w:spacing w:line="240" w:lineRule="auto"/>
              <w:rPr>
                <w:rFonts w:ascii="Arial Narrow" w:eastAsia="SimSun" w:hAnsi="Arial Narrow"/>
                <w:b/>
                <w:color w:val="000000" w:themeColor="text1"/>
                <w:sz w:val="20"/>
                <w:szCs w:val="20"/>
                <w:lang w:eastAsia="en-AU"/>
              </w:rPr>
            </w:pPr>
            <w:r w:rsidRPr="00C53C25">
              <w:rPr>
                <w:rFonts w:ascii="Arial Narrow" w:eastAsia="SimSun" w:hAnsi="Arial Narrow"/>
                <w:b/>
                <w:color w:val="000000" w:themeColor="text1"/>
                <w:sz w:val="20"/>
                <w:szCs w:val="20"/>
                <w:lang w:eastAsia="en-AU"/>
              </w:rPr>
              <w:t>Progression free survival</w:t>
            </w:r>
          </w:p>
        </w:tc>
      </w:tr>
      <w:tr w:rsidR="00B303B0" w:rsidRPr="003A3555" w:rsidTr="00955CAB">
        <w:trPr>
          <w:trHeight w:val="70"/>
        </w:trPr>
        <w:tc>
          <w:tcPr>
            <w:tcW w:w="1093" w:type="pct"/>
            <w:vMerge w:val="restart"/>
            <w:tcBorders>
              <w:right w:val="single" w:sz="4" w:space="0" w:color="auto"/>
            </w:tcBorders>
            <w:shd w:val="clear" w:color="auto" w:fill="auto"/>
            <w:tcMar>
              <w:left w:w="28" w:type="dxa"/>
              <w:right w:w="28" w:type="dxa"/>
            </w:tcMar>
            <w:vAlign w:val="center"/>
            <w:hideMark/>
          </w:tcPr>
          <w:p w:rsidR="00B303B0" w:rsidRPr="00C53C25" w:rsidRDefault="00B303B0" w:rsidP="00476EE6">
            <w:pPr>
              <w:pStyle w:val="Table"/>
              <w:spacing w:line="240" w:lineRule="auto"/>
              <w:rPr>
                <w:rFonts w:ascii="Arial Narrow" w:eastAsia="SimSun" w:hAnsi="Arial Narrow"/>
                <w:color w:val="000000" w:themeColor="text1"/>
                <w:sz w:val="20"/>
                <w:szCs w:val="20"/>
                <w:lang w:eastAsia="en-AU"/>
              </w:rPr>
            </w:pPr>
            <w:proofErr w:type="spellStart"/>
            <w:r w:rsidRPr="00C53C25">
              <w:rPr>
                <w:rFonts w:ascii="Arial Narrow" w:eastAsia="SimSun" w:hAnsi="Arial Narrow"/>
                <w:color w:val="000000" w:themeColor="text1"/>
                <w:sz w:val="20"/>
                <w:szCs w:val="20"/>
                <w:lang w:eastAsia="en-AU"/>
              </w:rPr>
              <w:t>Lenalidomide</w:t>
            </w:r>
            <w:proofErr w:type="spellEnd"/>
            <w:r w:rsidRPr="00C53C25">
              <w:rPr>
                <w:rFonts w:ascii="Arial Narrow" w:eastAsia="SimSun" w:hAnsi="Arial Narrow"/>
                <w:color w:val="000000" w:themeColor="text1"/>
                <w:sz w:val="20"/>
                <w:szCs w:val="20"/>
                <w:lang w:eastAsia="en-AU"/>
              </w:rPr>
              <w:t xml:space="preserve"> v. Placebo/BSC </w:t>
            </w:r>
          </w:p>
        </w:tc>
        <w:tc>
          <w:tcPr>
            <w:tcW w:w="2739" w:type="pct"/>
            <w:tcBorders>
              <w:left w:val="single" w:sz="4" w:space="0" w:color="auto"/>
              <w:right w:val="single" w:sz="4" w:space="0" w:color="auto"/>
            </w:tcBorders>
            <w:shd w:val="clear" w:color="auto" w:fill="auto"/>
            <w:tcMar>
              <w:left w:w="28" w:type="dxa"/>
              <w:right w:w="28" w:type="dxa"/>
            </w:tcMar>
            <w:vAlign w:val="center"/>
            <w:hideMark/>
          </w:tcPr>
          <w:p w:rsidR="00B303B0" w:rsidRPr="00C53C25" w:rsidRDefault="00B303B0" w:rsidP="00476EE6">
            <w:pPr>
              <w:pStyle w:val="Table"/>
              <w:spacing w:line="240" w:lineRule="auto"/>
              <w:rPr>
                <w:rFonts w:ascii="Arial Narrow" w:eastAsia="SimSun" w:hAnsi="Arial Narrow"/>
                <w:color w:val="000000" w:themeColor="text1"/>
                <w:sz w:val="20"/>
                <w:szCs w:val="20"/>
                <w:lang w:eastAsia="en-AU"/>
              </w:rPr>
            </w:pPr>
            <w:r w:rsidRPr="00C53C25">
              <w:rPr>
                <w:rFonts w:ascii="Arial Narrow" w:eastAsia="SimSun" w:hAnsi="Arial Narrow"/>
                <w:color w:val="000000" w:themeColor="text1"/>
                <w:sz w:val="20"/>
                <w:szCs w:val="20"/>
                <w:lang w:eastAsia="en-AU"/>
              </w:rPr>
              <w:t>Pooled (C</w:t>
            </w:r>
            <w:r w:rsidR="00C60F2C">
              <w:rPr>
                <w:rFonts w:ascii="Arial Narrow" w:eastAsia="SimSun" w:hAnsi="Arial Narrow"/>
                <w:color w:val="000000" w:themeColor="text1"/>
                <w:sz w:val="20"/>
                <w:szCs w:val="20"/>
                <w:lang w:eastAsia="en-AU"/>
              </w:rPr>
              <w:t>ALGB ITT; IFM</w:t>
            </w:r>
            <w:r w:rsidRPr="00C53C25">
              <w:rPr>
                <w:rFonts w:ascii="Arial Narrow" w:eastAsia="SimSun" w:hAnsi="Arial Narrow"/>
                <w:color w:val="000000" w:themeColor="text1"/>
                <w:sz w:val="20"/>
                <w:szCs w:val="20"/>
                <w:lang w:eastAsia="en-AU"/>
              </w:rPr>
              <w:t>2005-02; GIMEMA; Myeloma XI)</w:t>
            </w:r>
          </w:p>
        </w:tc>
        <w:tc>
          <w:tcPr>
            <w:tcW w:w="1168" w:type="pct"/>
            <w:tcBorders>
              <w:left w:val="single" w:sz="4" w:space="0" w:color="auto"/>
            </w:tcBorders>
            <w:shd w:val="clear" w:color="auto" w:fill="auto"/>
            <w:tcMar>
              <w:left w:w="28" w:type="dxa"/>
              <w:right w:w="28" w:type="dxa"/>
            </w:tcMar>
            <w:vAlign w:val="center"/>
          </w:tcPr>
          <w:p w:rsidR="00B303B0" w:rsidRPr="00C53C25" w:rsidRDefault="00B303B0" w:rsidP="00476EE6">
            <w:pPr>
              <w:pStyle w:val="Table"/>
              <w:spacing w:line="240" w:lineRule="auto"/>
              <w:jc w:val="center"/>
              <w:rPr>
                <w:rFonts w:ascii="Arial Narrow" w:eastAsia="SimSun" w:hAnsi="Arial Narrow"/>
                <w:b/>
                <w:color w:val="000000" w:themeColor="text1"/>
                <w:sz w:val="20"/>
                <w:szCs w:val="20"/>
                <w:lang w:eastAsia="en-AU"/>
              </w:rPr>
            </w:pPr>
            <w:r w:rsidRPr="00C53C25">
              <w:rPr>
                <w:rFonts w:ascii="Arial Narrow" w:eastAsia="SimSun" w:hAnsi="Arial Narrow"/>
                <w:b/>
                <w:color w:val="000000" w:themeColor="text1"/>
                <w:sz w:val="20"/>
                <w:szCs w:val="20"/>
                <w:lang w:eastAsia="en-AU"/>
              </w:rPr>
              <w:t>0.55 (0.49, 0.61)</w:t>
            </w:r>
          </w:p>
        </w:tc>
      </w:tr>
      <w:tr w:rsidR="00B303B0" w:rsidRPr="003A3555" w:rsidTr="00955CAB">
        <w:trPr>
          <w:trHeight w:val="131"/>
        </w:trPr>
        <w:tc>
          <w:tcPr>
            <w:tcW w:w="1093" w:type="pct"/>
            <w:vMerge/>
            <w:tcBorders>
              <w:right w:val="single" w:sz="4" w:space="0" w:color="auto"/>
            </w:tcBorders>
            <w:shd w:val="clear" w:color="auto" w:fill="auto"/>
            <w:tcMar>
              <w:left w:w="28" w:type="dxa"/>
              <w:right w:w="28" w:type="dxa"/>
            </w:tcMar>
            <w:vAlign w:val="center"/>
          </w:tcPr>
          <w:p w:rsidR="00B303B0" w:rsidRPr="00C53C25" w:rsidRDefault="00B303B0" w:rsidP="00476EE6">
            <w:pPr>
              <w:pStyle w:val="Table"/>
              <w:spacing w:line="240" w:lineRule="auto"/>
              <w:rPr>
                <w:rFonts w:ascii="Arial Narrow" w:eastAsia="SimSun" w:hAnsi="Arial Narrow"/>
                <w:color w:val="000000" w:themeColor="text1"/>
                <w:sz w:val="20"/>
                <w:szCs w:val="20"/>
                <w:lang w:eastAsia="en-AU"/>
              </w:rPr>
            </w:pPr>
          </w:p>
        </w:tc>
        <w:tc>
          <w:tcPr>
            <w:tcW w:w="2739" w:type="pct"/>
            <w:tcBorders>
              <w:left w:val="single" w:sz="4" w:space="0" w:color="auto"/>
              <w:right w:val="single" w:sz="4" w:space="0" w:color="auto"/>
            </w:tcBorders>
            <w:shd w:val="clear" w:color="auto" w:fill="auto"/>
            <w:tcMar>
              <w:left w:w="28" w:type="dxa"/>
              <w:right w:w="28" w:type="dxa"/>
            </w:tcMar>
            <w:vAlign w:val="center"/>
          </w:tcPr>
          <w:p w:rsidR="00B303B0" w:rsidRPr="00C53C25" w:rsidRDefault="00B303B0" w:rsidP="00C60F2C">
            <w:pPr>
              <w:pStyle w:val="Table"/>
              <w:spacing w:line="240" w:lineRule="auto"/>
              <w:rPr>
                <w:rFonts w:ascii="Arial Narrow" w:eastAsia="SimSun" w:hAnsi="Arial Narrow"/>
                <w:color w:val="000000" w:themeColor="text1"/>
                <w:sz w:val="20"/>
                <w:szCs w:val="20"/>
                <w:lang w:eastAsia="en-AU"/>
              </w:rPr>
            </w:pPr>
            <w:r w:rsidRPr="00C53C25">
              <w:rPr>
                <w:rFonts w:ascii="Arial Narrow" w:eastAsia="SimSun" w:hAnsi="Arial Narrow"/>
                <w:color w:val="000000" w:themeColor="text1"/>
                <w:sz w:val="20"/>
                <w:szCs w:val="20"/>
                <w:lang w:eastAsia="en-AU"/>
              </w:rPr>
              <w:t xml:space="preserve">Pooled (CALGB </w:t>
            </w:r>
            <w:proofErr w:type="spellStart"/>
            <w:r w:rsidRPr="00C53C25">
              <w:rPr>
                <w:rFonts w:ascii="Arial Narrow" w:eastAsia="SimSun" w:hAnsi="Arial Narrow"/>
                <w:color w:val="000000" w:themeColor="text1"/>
                <w:sz w:val="20"/>
                <w:szCs w:val="20"/>
                <w:lang w:eastAsia="en-AU"/>
              </w:rPr>
              <w:t>Adj</w:t>
            </w:r>
            <w:proofErr w:type="spellEnd"/>
            <w:r w:rsidRPr="00C53C25">
              <w:rPr>
                <w:rFonts w:ascii="Arial Narrow" w:eastAsia="SimSun" w:hAnsi="Arial Narrow"/>
                <w:color w:val="000000" w:themeColor="text1"/>
                <w:sz w:val="20"/>
                <w:szCs w:val="20"/>
                <w:lang w:eastAsia="en-AU"/>
              </w:rPr>
              <w:t>; IFM2005-02; GIMEMA; Myeloma XI)</w:t>
            </w:r>
          </w:p>
        </w:tc>
        <w:tc>
          <w:tcPr>
            <w:tcW w:w="1168" w:type="pct"/>
            <w:tcBorders>
              <w:left w:val="single" w:sz="4" w:space="0" w:color="auto"/>
            </w:tcBorders>
            <w:shd w:val="clear" w:color="auto" w:fill="auto"/>
            <w:tcMar>
              <w:left w:w="28" w:type="dxa"/>
              <w:right w:w="28" w:type="dxa"/>
            </w:tcMar>
            <w:vAlign w:val="center"/>
          </w:tcPr>
          <w:p w:rsidR="00B303B0" w:rsidRPr="00C53C25" w:rsidRDefault="001D6F6D" w:rsidP="00476EE6">
            <w:pPr>
              <w:pStyle w:val="Table"/>
              <w:spacing w:line="240" w:lineRule="auto"/>
              <w:jc w:val="center"/>
              <w:rPr>
                <w:rFonts w:ascii="Arial Narrow" w:eastAsia="SimSun" w:hAnsi="Arial Narrow"/>
                <w:b/>
                <w:color w:val="000000" w:themeColor="text1"/>
                <w:sz w:val="20"/>
                <w:szCs w:val="20"/>
                <w:lang w:eastAsia="en-AU"/>
              </w:rPr>
            </w:pPr>
            <w:r>
              <w:rPr>
                <w:rFonts w:ascii="Arial Narrow" w:eastAsia="SimSun" w:hAnsi="Arial Narrow"/>
                <w:b/>
                <w:noProof/>
                <w:color w:val="000000"/>
                <w:sz w:val="20"/>
                <w:szCs w:val="20"/>
                <w:highlight w:val="black"/>
                <w:lang w:eastAsia="en-AU"/>
              </w:rPr>
              <w:t>'''''''''</w:t>
            </w:r>
            <w:r w:rsidR="00B303B0" w:rsidRPr="00C53C25">
              <w:rPr>
                <w:rFonts w:ascii="Arial Narrow" w:eastAsia="SimSun" w:hAnsi="Arial Narrow"/>
                <w:b/>
                <w:color w:val="000000" w:themeColor="text1"/>
                <w:sz w:val="20"/>
                <w:szCs w:val="20"/>
                <w:lang w:eastAsia="en-AU"/>
              </w:rPr>
              <w:t xml:space="preserve"> (</w:t>
            </w:r>
            <w:r>
              <w:rPr>
                <w:rFonts w:ascii="Arial Narrow" w:eastAsia="SimSun" w:hAnsi="Arial Narrow"/>
                <w:b/>
                <w:noProof/>
                <w:color w:val="000000"/>
                <w:sz w:val="20"/>
                <w:szCs w:val="20"/>
                <w:highlight w:val="black"/>
                <w:lang w:eastAsia="en-AU"/>
              </w:rPr>
              <w:t>'''''''''</w:t>
            </w:r>
            <w:r w:rsidR="00B303B0" w:rsidRPr="00C53C25">
              <w:rPr>
                <w:rFonts w:ascii="Arial Narrow" w:eastAsia="SimSun" w:hAnsi="Arial Narrow"/>
                <w:b/>
                <w:color w:val="000000" w:themeColor="text1"/>
                <w:sz w:val="20"/>
                <w:szCs w:val="20"/>
                <w:lang w:eastAsia="en-AU"/>
              </w:rPr>
              <w:t xml:space="preserve">, </w:t>
            </w:r>
            <w:r>
              <w:rPr>
                <w:rFonts w:ascii="Arial Narrow" w:eastAsia="SimSun" w:hAnsi="Arial Narrow"/>
                <w:b/>
                <w:noProof/>
                <w:color w:val="000000"/>
                <w:sz w:val="20"/>
                <w:szCs w:val="20"/>
                <w:highlight w:val="black"/>
                <w:lang w:eastAsia="en-AU"/>
              </w:rPr>
              <w:t>'''''''''</w:t>
            </w:r>
            <w:r w:rsidR="00B303B0" w:rsidRPr="00C53C25">
              <w:rPr>
                <w:rFonts w:ascii="Arial Narrow" w:eastAsia="SimSun" w:hAnsi="Arial Narrow"/>
                <w:b/>
                <w:color w:val="000000" w:themeColor="text1"/>
                <w:sz w:val="20"/>
                <w:szCs w:val="20"/>
                <w:lang w:eastAsia="en-AU"/>
              </w:rPr>
              <w:t>)</w:t>
            </w:r>
          </w:p>
        </w:tc>
      </w:tr>
      <w:tr w:rsidR="00B303B0" w:rsidRPr="003A3555" w:rsidTr="00955CAB">
        <w:trPr>
          <w:trHeight w:val="131"/>
        </w:trPr>
        <w:tc>
          <w:tcPr>
            <w:tcW w:w="1093" w:type="pct"/>
            <w:vMerge/>
            <w:tcBorders>
              <w:bottom w:val="single" w:sz="4" w:space="0" w:color="auto"/>
              <w:right w:val="single" w:sz="4" w:space="0" w:color="auto"/>
            </w:tcBorders>
            <w:shd w:val="clear" w:color="auto" w:fill="auto"/>
            <w:tcMar>
              <w:left w:w="28" w:type="dxa"/>
              <w:right w:w="28" w:type="dxa"/>
            </w:tcMar>
            <w:vAlign w:val="center"/>
          </w:tcPr>
          <w:p w:rsidR="00B303B0" w:rsidRPr="00C53C25" w:rsidRDefault="00B303B0" w:rsidP="00476EE6">
            <w:pPr>
              <w:pStyle w:val="Table"/>
              <w:spacing w:line="240" w:lineRule="auto"/>
              <w:rPr>
                <w:rFonts w:ascii="Arial Narrow" w:eastAsia="SimSun" w:hAnsi="Arial Narrow"/>
                <w:color w:val="000000" w:themeColor="text1"/>
                <w:sz w:val="20"/>
                <w:szCs w:val="20"/>
                <w:lang w:eastAsia="en-AU"/>
              </w:rPr>
            </w:pPr>
          </w:p>
        </w:tc>
        <w:tc>
          <w:tcPr>
            <w:tcW w:w="2739" w:type="pct"/>
            <w:tcBorders>
              <w:left w:val="single" w:sz="4" w:space="0" w:color="auto"/>
              <w:right w:val="single" w:sz="4" w:space="0" w:color="auto"/>
            </w:tcBorders>
            <w:shd w:val="clear" w:color="auto" w:fill="auto"/>
            <w:tcMar>
              <w:left w:w="28" w:type="dxa"/>
              <w:right w:w="28" w:type="dxa"/>
            </w:tcMar>
            <w:vAlign w:val="center"/>
          </w:tcPr>
          <w:p w:rsidR="00B303B0" w:rsidRPr="00C53C25" w:rsidRDefault="00B303B0" w:rsidP="00C60F2C">
            <w:pPr>
              <w:pStyle w:val="Table"/>
              <w:spacing w:line="240" w:lineRule="auto"/>
              <w:rPr>
                <w:rFonts w:ascii="Arial Narrow" w:eastAsia="SimSun" w:hAnsi="Arial Narrow"/>
                <w:color w:val="000000" w:themeColor="text1"/>
                <w:sz w:val="20"/>
                <w:szCs w:val="20"/>
                <w:lang w:eastAsia="en-AU"/>
              </w:rPr>
            </w:pPr>
            <w:r w:rsidRPr="00C53C25">
              <w:rPr>
                <w:rFonts w:ascii="Arial Narrow" w:eastAsia="SimSun" w:hAnsi="Arial Narrow"/>
                <w:color w:val="000000" w:themeColor="text1"/>
                <w:sz w:val="20"/>
                <w:szCs w:val="20"/>
                <w:lang w:eastAsia="en-AU"/>
              </w:rPr>
              <w:t>Pooled (CALGB PP; IFM2005-02; GIMEMA; Myeloma XI)</w:t>
            </w:r>
          </w:p>
        </w:tc>
        <w:tc>
          <w:tcPr>
            <w:tcW w:w="1168" w:type="pct"/>
            <w:tcBorders>
              <w:left w:val="single" w:sz="4" w:space="0" w:color="auto"/>
            </w:tcBorders>
            <w:shd w:val="clear" w:color="auto" w:fill="auto"/>
            <w:tcMar>
              <w:left w:w="28" w:type="dxa"/>
              <w:right w:w="28" w:type="dxa"/>
            </w:tcMar>
            <w:vAlign w:val="center"/>
          </w:tcPr>
          <w:p w:rsidR="00B303B0" w:rsidRPr="00C53C25" w:rsidRDefault="001D6F6D" w:rsidP="00476EE6">
            <w:pPr>
              <w:pStyle w:val="Table"/>
              <w:spacing w:line="240" w:lineRule="auto"/>
              <w:jc w:val="center"/>
              <w:rPr>
                <w:rFonts w:ascii="Arial Narrow" w:eastAsia="SimSun" w:hAnsi="Arial Narrow"/>
                <w:b/>
                <w:color w:val="000000" w:themeColor="text1"/>
                <w:sz w:val="20"/>
                <w:szCs w:val="20"/>
                <w:lang w:eastAsia="en-AU"/>
              </w:rPr>
            </w:pPr>
            <w:r>
              <w:rPr>
                <w:rFonts w:ascii="Arial Narrow" w:eastAsia="SimSun" w:hAnsi="Arial Narrow"/>
                <w:b/>
                <w:noProof/>
                <w:color w:val="000000"/>
                <w:sz w:val="20"/>
                <w:szCs w:val="20"/>
                <w:highlight w:val="black"/>
                <w:lang w:eastAsia="en-AU"/>
              </w:rPr>
              <w:t>''''''''</w:t>
            </w:r>
            <w:r w:rsidR="00B303B0" w:rsidRPr="00C53C25">
              <w:rPr>
                <w:rFonts w:ascii="Arial Narrow" w:eastAsia="SimSun" w:hAnsi="Arial Narrow"/>
                <w:b/>
                <w:color w:val="000000" w:themeColor="text1"/>
                <w:sz w:val="20"/>
                <w:szCs w:val="20"/>
                <w:lang w:eastAsia="en-AU"/>
              </w:rPr>
              <w:t xml:space="preserve"> (</w:t>
            </w:r>
            <w:r>
              <w:rPr>
                <w:rFonts w:ascii="Arial Narrow" w:eastAsia="SimSun" w:hAnsi="Arial Narrow"/>
                <w:b/>
                <w:noProof/>
                <w:color w:val="000000"/>
                <w:sz w:val="20"/>
                <w:szCs w:val="20"/>
                <w:highlight w:val="black"/>
                <w:lang w:eastAsia="en-AU"/>
              </w:rPr>
              <w:t>'''''''''</w:t>
            </w:r>
            <w:r w:rsidR="00B303B0" w:rsidRPr="00C53C25">
              <w:rPr>
                <w:rFonts w:ascii="Arial Narrow" w:eastAsia="SimSun" w:hAnsi="Arial Narrow"/>
                <w:b/>
                <w:color w:val="000000" w:themeColor="text1"/>
                <w:sz w:val="20"/>
                <w:szCs w:val="20"/>
                <w:lang w:eastAsia="en-AU"/>
              </w:rPr>
              <w:t xml:space="preserve">, </w:t>
            </w:r>
            <w:r>
              <w:rPr>
                <w:rFonts w:ascii="Arial Narrow" w:eastAsia="SimSun" w:hAnsi="Arial Narrow"/>
                <w:b/>
                <w:noProof/>
                <w:color w:val="000000"/>
                <w:sz w:val="20"/>
                <w:szCs w:val="20"/>
                <w:highlight w:val="black"/>
                <w:lang w:eastAsia="en-AU"/>
              </w:rPr>
              <w:t>'''''''''</w:t>
            </w:r>
            <w:r w:rsidR="00B303B0" w:rsidRPr="00C53C25">
              <w:rPr>
                <w:rFonts w:ascii="Arial Narrow" w:eastAsia="SimSun" w:hAnsi="Arial Narrow"/>
                <w:b/>
                <w:color w:val="000000" w:themeColor="text1"/>
                <w:sz w:val="20"/>
                <w:szCs w:val="20"/>
                <w:lang w:eastAsia="en-AU"/>
              </w:rPr>
              <w:t>)</w:t>
            </w:r>
          </w:p>
        </w:tc>
      </w:tr>
      <w:tr w:rsidR="004872B6" w:rsidRPr="003A3555" w:rsidTr="00955CAB">
        <w:trPr>
          <w:trHeight w:val="208"/>
        </w:trPr>
        <w:tc>
          <w:tcPr>
            <w:tcW w:w="1093" w:type="pct"/>
            <w:vMerge w:val="restart"/>
            <w:tcBorders>
              <w:right w:val="single" w:sz="4" w:space="0" w:color="auto"/>
            </w:tcBorders>
            <w:shd w:val="clear" w:color="auto" w:fill="auto"/>
            <w:tcMar>
              <w:left w:w="28" w:type="dxa"/>
              <w:right w:w="28" w:type="dxa"/>
            </w:tcMar>
            <w:vAlign w:val="center"/>
          </w:tcPr>
          <w:p w:rsidR="004872B6" w:rsidRPr="00C53C25" w:rsidRDefault="004872B6" w:rsidP="00476EE6">
            <w:pPr>
              <w:pStyle w:val="Table"/>
              <w:spacing w:line="240" w:lineRule="auto"/>
              <w:rPr>
                <w:rFonts w:ascii="Arial Narrow" w:eastAsia="SimSun" w:hAnsi="Arial Narrow"/>
                <w:color w:val="000000" w:themeColor="text1"/>
                <w:sz w:val="20"/>
                <w:szCs w:val="20"/>
                <w:lang w:eastAsia="en-AU"/>
              </w:rPr>
            </w:pPr>
            <w:r w:rsidRPr="00C53C25">
              <w:rPr>
                <w:rFonts w:ascii="Arial Narrow" w:eastAsia="SimSun" w:hAnsi="Arial Narrow"/>
                <w:color w:val="000000" w:themeColor="text1"/>
                <w:sz w:val="20"/>
                <w:szCs w:val="20"/>
                <w:lang w:eastAsia="en-AU"/>
              </w:rPr>
              <w:t xml:space="preserve">Thalidomide </w:t>
            </w:r>
          </w:p>
          <w:p w:rsidR="004872B6" w:rsidRPr="00C53C25" w:rsidRDefault="004872B6" w:rsidP="00476EE6">
            <w:pPr>
              <w:pStyle w:val="Table"/>
              <w:spacing w:line="240" w:lineRule="auto"/>
              <w:rPr>
                <w:rFonts w:ascii="Arial Narrow" w:eastAsia="SimSun" w:hAnsi="Arial Narrow"/>
                <w:color w:val="000000" w:themeColor="text1"/>
                <w:sz w:val="20"/>
                <w:szCs w:val="20"/>
                <w:lang w:eastAsia="en-AU"/>
              </w:rPr>
            </w:pPr>
            <w:r w:rsidRPr="00C53C25">
              <w:rPr>
                <w:rFonts w:ascii="Arial Narrow" w:eastAsia="SimSun" w:hAnsi="Arial Narrow"/>
                <w:color w:val="000000" w:themeColor="text1"/>
                <w:sz w:val="20"/>
                <w:szCs w:val="20"/>
                <w:lang w:eastAsia="en-AU"/>
              </w:rPr>
              <w:t>v. Placebo/BSC</w:t>
            </w:r>
          </w:p>
        </w:tc>
        <w:tc>
          <w:tcPr>
            <w:tcW w:w="2739" w:type="pct"/>
            <w:tcBorders>
              <w:left w:val="single" w:sz="4" w:space="0" w:color="auto"/>
              <w:right w:val="single" w:sz="4" w:space="0" w:color="auto"/>
            </w:tcBorders>
            <w:shd w:val="clear" w:color="auto" w:fill="auto"/>
            <w:tcMar>
              <w:left w:w="28" w:type="dxa"/>
              <w:right w:w="28" w:type="dxa"/>
            </w:tcMar>
            <w:vAlign w:val="center"/>
          </w:tcPr>
          <w:p w:rsidR="004872B6" w:rsidRPr="00D539BE" w:rsidRDefault="004872B6" w:rsidP="00476EE6">
            <w:pPr>
              <w:pStyle w:val="Table"/>
              <w:spacing w:line="240" w:lineRule="auto"/>
              <w:rPr>
                <w:rFonts w:ascii="Arial Narrow" w:eastAsia="SimSun" w:hAnsi="Arial Narrow"/>
                <w:color w:val="000000" w:themeColor="text1"/>
                <w:sz w:val="20"/>
                <w:szCs w:val="20"/>
                <w:lang w:eastAsia="en-AU"/>
              </w:rPr>
            </w:pPr>
            <w:r w:rsidRPr="00D539BE">
              <w:rPr>
                <w:rFonts w:ascii="Arial Narrow" w:hAnsi="Arial Narrow"/>
                <w:color w:val="000000" w:themeColor="text1"/>
                <w:sz w:val="20"/>
                <w:szCs w:val="20"/>
                <w:lang w:val="en-US"/>
              </w:rPr>
              <w:t>Myeloma IX</w:t>
            </w:r>
          </w:p>
        </w:tc>
        <w:tc>
          <w:tcPr>
            <w:tcW w:w="1168" w:type="pct"/>
            <w:tcBorders>
              <w:left w:val="single" w:sz="4" w:space="0" w:color="auto"/>
            </w:tcBorders>
            <w:shd w:val="clear" w:color="auto" w:fill="auto"/>
            <w:tcMar>
              <w:left w:w="28" w:type="dxa"/>
              <w:right w:w="28" w:type="dxa"/>
            </w:tcMar>
            <w:vAlign w:val="center"/>
          </w:tcPr>
          <w:p w:rsidR="004872B6" w:rsidRPr="00D539BE" w:rsidRDefault="004872B6" w:rsidP="00476EE6">
            <w:pPr>
              <w:pStyle w:val="Table"/>
              <w:spacing w:line="240" w:lineRule="auto"/>
              <w:jc w:val="center"/>
              <w:rPr>
                <w:rFonts w:ascii="Arial Narrow" w:eastAsia="SimSun" w:hAnsi="Arial Narrow"/>
                <w:color w:val="000000" w:themeColor="text1"/>
                <w:sz w:val="20"/>
                <w:szCs w:val="20"/>
                <w:lang w:eastAsia="en-AU"/>
              </w:rPr>
            </w:pPr>
            <w:r w:rsidRPr="00D539BE">
              <w:rPr>
                <w:rFonts w:ascii="Arial Narrow" w:hAnsi="Arial Narrow"/>
                <w:b/>
                <w:color w:val="000000" w:themeColor="text1"/>
                <w:sz w:val="20"/>
                <w:szCs w:val="20"/>
                <w:lang w:val="en-US"/>
              </w:rPr>
              <w:t>0.70 (0.56, 0.88)</w:t>
            </w:r>
          </w:p>
        </w:tc>
      </w:tr>
      <w:tr w:rsidR="004872B6" w:rsidRPr="003A3555" w:rsidTr="00955CAB">
        <w:trPr>
          <w:trHeight w:val="208"/>
        </w:trPr>
        <w:tc>
          <w:tcPr>
            <w:tcW w:w="1093" w:type="pct"/>
            <w:vMerge/>
            <w:tcBorders>
              <w:right w:val="single" w:sz="4" w:space="0" w:color="auto"/>
            </w:tcBorders>
            <w:shd w:val="clear" w:color="auto" w:fill="auto"/>
            <w:tcMar>
              <w:left w:w="28" w:type="dxa"/>
              <w:right w:w="28" w:type="dxa"/>
            </w:tcMar>
            <w:vAlign w:val="center"/>
            <w:hideMark/>
          </w:tcPr>
          <w:p w:rsidR="004872B6" w:rsidRPr="00C53C25" w:rsidRDefault="004872B6" w:rsidP="00476EE6">
            <w:pPr>
              <w:pStyle w:val="Table"/>
              <w:spacing w:line="240" w:lineRule="auto"/>
              <w:rPr>
                <w:rFonts w:ascii="Arial Narrow" w:eastAsia="SimSun" w:hAnsi="Arial Narrow"/>
                <w:color w:val="000000" w:themeColor="text1"/>
                <w:sz w:val="20"/>
                <w:szCs w:val="20"/>
                <w:lang w:eastAsia="en-AU"/>
              </w:rPr>
            </w:pPr>
          </w:p>
        </w:tc>
        <w:tc>
          <w:tcPr>
            <w:tcW w:w="2739" w:type="pct"/>
            <w:tcBorders>
              <w:left w:val="single" w:sz="4" w:space="0" w:color="auto"/>
              <w:right w:val="single" w:sz="4" w:space="0" w:color="auto"/>
            </w:tcBorders>
            <w:shd w:val="clear" w:color="auto" w:fill="auto"/>
            <w:tcMar>
              <w:left w:w="28" w:type="dxa"/>
              <w:right w:w="28" w:type="dxa"/>
            </w:tcMar>
            <w:vAlign w:val="center"/>
            <w:hideMark/>
          </w:tcPr>
          <w:p w:rsidR="004872B6" w:rsidRPr="00C53C25" w:rsidRDefault="004872B6" w:rsidP="00476EE6">
            <w:pPr>
              <w:pStyle w:val="Table"/>
              <w:spacing w:line="240" w:lineRule="auto"/>
              <w:rPr>
                <w:rFonts w:ascii="Arial Narrow" w:eastAsia="SimSun" w:hAnsi="Arial Narrow"/>
                <w:color w:val="000000" w:themeColor="text1"/>
                <w:sz w:val="20"/>
                <w:szCs w:val="20"/>
                <w:lang w:eastAsia="en-AU"/>
              </w:rPr>
            </w:pPr>
            <w:r w:rsidRPr="00C53C25">
              <w:rPr>
                <w:rFonts w:ascii="Arial Narrow" w:eastAsia="SimSun" w:hAnsi="Arial Narrow"/>
                <w:color w:val="000000" w:themeColor="text1"/>
                <w:sz w:val="20"/>
                <w:szCs w:val="20"/>
                <w:lang w:eastAsia="en-AU"/>
              </w:rPr>
              <w:t>Pooled (Myeloma IX; MM6)</w:t>
            </w:r>
          </w:p>
        </w:tc>
        <w:tc>
          <w:tcPr>
            <w:tcW w:w="1168" w:type="pct"/>
            <w:tcBorders>
              <w:left w:val="single" w:sz="4" w:space="0" w:color="auto"/>
            </w:tcBorders>
            <w:shd w:val="clear" w:color="auto" w:fill="auto"/>
            <w:tcMar>
              <w:left w:w="28" w:type="dxa"/>
              <w:right w:w="28" w:type="dxa"/>
            </w:tcMar>
            <w:vAlign w:val="center"/>
          </w:tcPr>
          <w:p w:rsidR="004872B6" w:rsidRPr="00C53C25" w:rsidRDefault="004872B6" w:rsidP="00476EE6">
            <w:pPr>
              <w:pStyle w:val="Table"/>
              <w:spacing w:line="240" w:lineRule="auto"/>
              <w:jc w:val="center"/>
              <w:rPr>
                <w:rFonts w:ascii="Arial Narrow" w:eastAsia="SimSun" w:hAnsi="Arial Narrow"/>
                <w:b/>
                <w:color w:val="000000" w:themeColor="text1"/>
                <w:sz w:val="20"/>
                <w:szCs w:val="20"/>
                <w:lang w:eastAsia="en-AU"/>
              </w:rPr>
            </w:pPr>
            <w:r w:rsidRPr="00C53C25">
              <w:rPr>
                <w:rFonts w:ascii="Arial Narrow" w:eastAsia="SimSun" w:hAnsi="Arial Narrow"/>
                <w:color w:val="000000" w:themeColor="text1"/>
                <w:sz w:val="20"/>
                <w:szCs w:val="20"/>
                <w:lang w:eastAsia="en-AU"/>
              </w:rPr>
              <w:t>0.39 (0.09, 1.59)</w:t>
            </w:r>
          </w:p>
        </w:tc>
      </w:tr>
      <w:tr w:rsidR="005E7102" w:rsidRPr="003A3555" w:rsidTr="00955CAB">
        <w:tc>
          <w:tcPr>
            <w:tcW w:w="1093" w:type="pct"/>
            <w:vMerge w:val="restart"/>
            <w:tcBorders>
              <w:right w:val="single" w:sz="4" w:space="0" w:color="auto"/>
            </w:tcBorders>
            <w:shd w:val="clear" w:color="auto" w:fill="auto"/>
            <w:tcMar>
              <w:left w:w="28" w:type="dxa"/>
              <w:right w:w="28" w:type="dxa"/>
            </w:tcMar>
            <w:vAlign w:val="center"/>
            <w:hideMark/>
          </w:tcPr>
          <w:p w:rsidR="005E7102" w:rsidRPr="00C53C25" w:rsidRDefault="005E7102" w:rsidP="00476EE6">
            <w:pPr>
              <w:pStyle w:val="Table"/>
              <w:spacing w:line="240" w:lineRule="auto"/>
              <w:rPr>
                <w:rFonts w:ascii="Arial Narrow" w:eastAsia="SimSun" w:hAnsi="Arial Narrow"/>
                <w:color w:val="000000" w:themeColor="text1"/>
                <w:sz w:val="20"/>
                <w:szCs w:val="20"/>
                <w:lang w:eastAsia="en-AU"/>
              </w:rPr>
            </w:pPr>
            <w:proofErr w:type="spellStart"/>
            <w:r w:rsidRPr="00C53C25">
              <w:rPr>
                <w:rFonts w:ascii="Arial Narrow" w:eastAsia="SimSun" w:hAnsi="Arial Narrow"/>
                <w:color w:val="000000" w:themeColor="text1"/>
                <w:sz w:val="20"/>
                <w:szCs w:val="20"/>
                <w:lang w:eastAsia="en-AU"/>
              </w:rPr>
              <w:t>Lenalidomide</w:t>
            </w:r>
            <w:proofErr w:type="spellEnd"/>
            <w:r w:rsidRPr="00C53C25">
              <w:rPr>
                <w:rFonts w:ascii="Arial Narrow" w:eastAsia="SimSun" w:hAnsi="Arial Narrow"/>
                <w:color w:val="000000" w:themeColor="text1"/>
                <w:sz w:val="20"/>
                <w:szCs w:val="20"/>
                <w:lang w:eastAsia="en-AU"/>
              </w:rPr>
              <w:t xml:space="preserve"> v. thalidomide</w:t>
            </w:r>
          </w:p>
        </w:tc>
        <w:tc>
          <w:tcPr>
            <w:tcW w:w="2739" w:type="pct"/>
            <w:tcBorders>
              <w:left w:val="single" w:sz="4" w:space="0" w:color="auto"/>
              <w:right w:val="single" w:sz="4" w:space="0" w:color="auto"/>
            </w:tcBorders>
            <w:shd w:val="clear" w:color="auto" w:fill="auto"/>
            <w:tcMar>
              <w:left w:w="28" w:type="dxa"/>
              <w:right w:w="28" w:type="dxa"/>
            </w:tcMar>
            <w:vAlign w:val="center"/>
          </w:tcPr>
          <w:p w:rsidR="005E7102" w:rsidRPr="00C53C25" w:rsidRDefault="005E7102" w:rsidP="00476EE6">
            <w:pPr>
              <w:pStyle w:val="Table"/>
              <w:spacing w:line="240" w:lineRule="auto"/>
              <w:rPr>
                <w:rFonts w:ascii="Arial Narrow" w:eastAsia="SimSun" w:hAnsi="Arial Narrow"/>
                <w:color w:val="000000" w:themeColor="text1"/>
                <w:sz w:val="20"/>
                <w:szCs w:val="20"/>
                <w:lang w:eastAsia="en-AU"/>
              </w:rPr>
            </w:pPr>
            <w:r w:rsidRPr="00C53C25">
              <w:rPr>
                <w:rFonts w:ascii="Arial Narrow" w:eastAsia="SimSun" w:hAnsi="Arial Narrow"/>
                <w:color w:val="000000" w:themeColor="text1"/>
                <w:sz w:val="20"/>
                <w:szCs w:val="20"/>
                <w:lang w:eastAsia="en-AU"/>
              </w:rPr>
              <w:t>Base case: CALGB (</w:t>
            </w:r>
            <w:proofErr w:type="spellStart"/>
            <w:r w:rsidRPr="00C53C25">
              <w:rPr>
                <w:rFonts w:ascii="Arial Narrow" w:eastAsia="SimSun" w:hAnsi="Arial Narrow"/>
                <w:color w:val="000000" w:themeColor="text1"/>
                <w:sz w:val="20"/>
                <w:szCs w:val="20"/>
                <w:lang w:eastAsia="en-AU"/>
              </w:rPr>
              <w:t>Adj</w:t>
            </w:r>
            <w:proofErr w:type="spellEnd"/>
            <w:r w:rsidRPr="00C53C25">
              <w:rPr>
                <w:rFonts w:ascii="Arial Narrow" w:eastAsia="SimSun" w:hAnsi="Arial Narrow"/>
                <w:color w:val="000000" w:themeColor="text1"/>
                <w:sz w:val="20"/>
                <w:szCs w:val="20"/>
                <w:lang w:eastAsia="en-AU"/>
              </w:rPr>
              <w:t xml:space="preserve">) vs Myeloma IX </w:t>
            </w:r>
          </w:p>
        </w:tc>
        <w:tc>
          <w:tcPr>
            <w:tcW w:w="1168" w:type="pct"/>
            <w:shd w:val="clear" w:color="auto" w:fill="auto"/>
            <w:tcMar>
              <w:left w:w="28" w:type="dxa"/>
              <w:right w:w="28" w:type="dxa"/>
            </w:tcMar>
            <w:vAlign w:val="center"/>
          </w:tcPr>
          <w:p w:rsidR="005E7102" w:rsidRPr="00C53C25" w:rsidRDefault="001D6F6D" w:rsidP="00476EE6">
            <w:pPr>
              <w:pStyle w:val="Table"/>
              <w:spacing w:line="240" w:lineRule="auto"/>
              <w:jc w:val="center"/>
              <w:rPr>
                <w:rFonts w:ascii="Arial Narrow" w:eastAsia="SimSun" w:hAnsi="Arial Narrow"/>
                <w:color w:val="000000" w:themeColor="text1"/>
                <w:sz w:val="20"/>
                <w:szCs w:val="20"/>
                <w:lang w:eastAsia="en-AU"/>
              </w:rPr>
            </w:pPr>
            <w:r>
              <w:rPr>
                <w:rFonts w:ascii="Arial Narrow" w:eastAsia="SimSun" w:hAnsi="Arial Narrow"/>
                <w:noProof/>
                <w:color w:val="000000"/>
                <w:sz w:val="20"/>
                <w:szCs w:val="20"/>
                <w:highlight w:val="black"/>
                <w:lang w:eastAsia="en-AU"/>
              </w:rPr>
              <w:t>'''''''''''</w:t>
            </w:r>
            <w:r w:rsidR="005E7102" w:rsidRPr="00C53C25">
              <w:rPr>
                <w:rFonts w:ascii="Arial Narrow" w:eastAsia="SimSun" w:hAnsi="Arial Narrow"/>
                <w:color w:val="000000" w:themeColor="text1"/>
                <w:sz w:val="20"/>
                <w:szCs w:val="20"/>
                <w:lang w:eastAsia="en-AU"/>
              </w:rPr>
              <w:t xml:space="preserve"> (</w:t>
            </w:r>
            <w:r>
              <w:rPr>
                <w:rFonts w:ascii="Arial Narrow" w:eastAsia="SimSun" w:hAnsi="Arial Narrow"/>
                <w:noProof/>
                <w:color w:val="000000"/>
                <w:sz w:val="20"/>
                <w:szCs w:val="20"/>
                <w:highlight w:val="black"/>
                <w:lang w:eastAsia="en-AU"/>
              </w:rPr>
              <w:t>'''''''''''</w:t>
            </w:r>
            <w:r w:rsidR="005E7102" w:rsidRPr="00C53C25">
              <w:rPr>
                <w:rFonts w:ascii="Arial Narrow" w:eastAsia="SimSun" w:hAnsi="Arial Narrow"/>
                <w:color w:val="000000" w:themeColor="text1"/>
                <w:sz w:val="20"/>
                <w:szCs w:val="20"/>
                <w:lang w:eastAsia="en-AU"/>
              </w:rPr>
              <w:t xml:space="preserve">, </w:t>
            </w:r>
            <w:r>
              <w:rPr>
                <w:rFonts w:ascii="Arial Narrow" w:eastAsia="SimSun" w:hAnsi="Arial Narrow"/>
                <w:noProof/>
                <w:color w:val="000000"/>
                <w:sz w:val="20"/>
                <w:szCs w:val="20"/>
                <w:highlight w:val="black"/>
                <w:lang w:eastAsia="en-AU"/>
              </w:rPr>
              <w:t>'''''''''''</w:t>
            </w:r>
            <w:r w:rsidR="005E7102" w:rsidRPr="00C53C25">
              <w:rPr>
                <w:rFonts w:ascii="Arial Narrow" w:eastAsia="SimSun" w:hAnsi="Arial Narrow"/>
                <w:color w:val="000000" w:themeColor="text1"/>
                <w:sz w:val="20"/>
                <w:szCs w:val="20"/>
                <w:lang w:eastAsia="en-AU"/>
              </w:rPr>
              <w:t>)</w:t>
            </w:r>
          </w:p>
        </w:tc>
      </w:tr>
      <w:tr w:rsidR="005E7102" w:rsidRPr="003A3555" w:rsidTr="00955CAB">
        <w:tc>
          <w:tcPr>
            <w:tcW w:w="1093" w:type="pct"/>
            <w:vMerge/>
            <w:tcBorders>
              <w:right w:val="single" w:sz="4" w:space="0" w:color="auto"/>
            </w:tcBorders>
            <w:shd w:val="clear" w:color="auto" w:fill="auto"/>
            <w:tcMar>
              <w:left w:w="28" w:type="dxa"/>
              <w:right w:w="28" w:type="dxa"/>
            </w:tcMar>
            <w:vAlign w:val="center"/>
          </w:tcPr>
          <w:p w:rsidR="005E7102" w:rsidRPr="00C53C25" w:rsidRDefault="005E7102" w:rsidP="00476EE6">
            <w:pPr>
              <w:pStyle w:val="Table"/>
              <w:spacing w:line="240" w:lineRule="auto"/>
              <w:rPr>
                <w:rFonts w:ascii="Arial Narrow" w:eastAsia="SimSun" w:hAnsi="Arial Narrow"/>
                <w:color w:val="000000" w:themeColor="text1"/>
                <w:sz w:val="20"/>
                <w:szCs w:val="20"/>
                <w:lang w:eastAsia="en-AU"/>
              </w:rPr>
            </w:pPr>
          </w:p>
        </w:tc>
        <w:tc>
          <w:tcPr>
            <w:tcW w:w="2739" w:type="pct"/>
            <w:tcBorders>
              <w:left w:val="single" w:sz="4" w:space="0" w:color="auto"/>
              <w:right w:val="single" w:sz="4" w:space="0" w:color="auto"/>
            </w:tcBorders>
            <w:shd w:val="clear" w:color="auto" w:fill="auto"/>
            <w:tcMar>
              <w:left w:w="28" w:type="dxa"/>
              <w:right w:w="28" w:type="dxa"/>
            </w:tcMar>
            <w:vAlign w:val="center"/>
          </w:tcPr>
          <w:p w:rsidR="005E7102" w:rsidRPr="00C53C25" w:rsidRDefault="005E7102" w:rsidP="00476EE6">
            <w:pPr>
              <w:pStyle w:val="Table"/>
              <w:spacing w:line="240" w:lineRule="auto"/>
              <w:rPr>
                <w:rFonts w:ascii="Arial Narrow" w:eastAsia="SimSun" w:hAnsi="Arial Narrow"/>
                <w:color w:val="000000" w:themeColor="text1"/>
                <w:sz w:val="20"/>
                <w:szCs w:val="20"/>
                <w:lang w:eastAsia="en-AU"/>
              </w:rPr>
            </w:pPr>
            <w:r w:rsidRPr="00C53C25">
              <w:rPr>
                <w:rFonts w:ascii="Arial Narrow" w:eastAsia="SimSun" w:hAnsi="Arial Narrow"/>
                <w:color w:val="000000" w:themeColor="text1"/>
                <w:sz w:val="20"/>
                <w:szCs w:val="20"/>
                <w:lang w:eastAsia="en-AU"/>
              </w:rPr>
              <w:t>Sensitivity 1: CALGB (ITT) vs Myeloma IX</w:t>
            </w:r>
          </w:p>
        </w:tc>
        <w:tc>
          <w:tcPr>
            <w:tcW w:w="1168" w:type="pct"/>
            <w:shd w:val="clear" w:color="auto" w:fill="auto"/>
            <w:tcMar>
              <w:left w:w="28" w:type="dxa"/>
              <w:right w:w="28" w:type="dxa"/>
            </w:tcMar>
            <w:vAlign w:val="center"/>
          </w:tcPr>
          <w:p w:rsidR="005E7102" w:rsidRPr="00C53C25" w:rsidRDefault="005E7102" w:rsidP="00476EE6">
            <w:pPr>
              <w:pStyle w:val="Table"/>
              <w:spacing w:line="240" w:lineRule="auto"/>
              <w:jc w:val="center"/>
              <w:rPr>
                <w:rFonts w:ascii="Arial Narrow" w:eastAsia="SimSun" w:hAnsi="Arial Narrow"/>
                <w:color w:val="000000" w:themeColor="text1"/>
                <w:sz w:val="20"/>
                <w:szCs w:val="20"/>
                <w:lang w:eastAsia="en-AU"/>
              </w:rPr>
            </w:pPr>
            <w:r w:rsidRPr="00C53C25">
              <w:rPr>
                <w:rFonts w:ascii="Arial Narrow" w:eastAsia="SimSun" w:hAnsi="Arial Narrow"/>
                <w:color w:val="000000" w:themeColor="text1"/>
                <w:sz w:val="20"/>
                <w:szCs w:val="20"/>
                <w:lang w:eastAsia="en-AU"/>
              </w:rPr>
              <w:t>0.87 (0.63, 1.20)</w:t>
            </w:r>
          </w:p>
        </w:tc>
      </w:tr>
      <w:tr w:rsidR="005E7102" w:rsidRPr="003A3555" w:rsidTr="00955CAB">
        <w:tc>
          <w:tcPr>
            <w:tcW w:w="1093" w:type="pct"/>
            <w:vMerge/>
            <w:tcBorders>
              <w:right w:val="single" w:sz="4" w:space="0" w:color="auto"/>
            </w:tcBorders>
            <w:shd w:val="clear" w:color="auto" w:fill="auto"/>
            <w:tcMar>
              <w:left w:w="28" w:type="dxa"/>
              <w:right w:w="28" w:type="dxa"/>
            </w:tcMar>
            <w:vAlign w:val="center"/>
          </w:tcPr>
          <w:p w:rsidR="005E7102" w:rsidRPr="00C53C25" w:rsidRDefault="005E7102" w:rsidP="00476EE6">
            <w:pPr>
              <w:pStyle w:val="Table"/>
              <w:spacing w:line="240" w:lineRule="auto"/>
              <w:rPr>
                <w:rFonts w:ascii="Arial Narrow" w:eastAsia="SimSun" w:hAnsi="Arial Narrow"/>
                <w:color w:val="000000" w:themeColor="text1"/>
                <w:sz w:val="20"/>
                <w:szCs w:val="20"/>
                <w:lang w:eastAsia="en-AU"/>
              </w:rPr>
            </w:pPr>
          </w:p>
        </w:tc>
        <w:tc>
          <w:tcPr>
            <w:tcW w:w="2739" w:type="pct"/>
            <w:tcBorders>
              <w:left w:val="single" w:sz="4" w:space="0" w:color="auto"/>
              <w:right w:val="single" w:sz="4" w:space="0" w:color="auto"/>
            </w:tcBorders>
            <w:shd w:val="clear" w:color="auto" w:fill="auto"/>
            <w:tcMar>
              <w:left w:w="28" w:type="dxa"/>
              <w:right w:w="28" w:type="dxa"/>
            </w:tcMar>
            <w:vAlign w:val="center"/>
          </w:tcPr>
          <w:p w:rsidR="005E7102" w:rsidRPr="00C53C25" w:rsidRDefault="005E7102" w:rsidP="00476EE6">
            <w:pPr>
              <w:pStyle w:val="Table"/>
              <w:spacing w:line="240" w:lineRule="auto"/>
              <w:rPr>
                <w:rFonts w:ascii="Arial Narrow" w:eastAsia="SimSun" w:hAnsi="Arial Narrow"/>
                <w:color w:val="000000" w:themeColor="text1"/>
                <w:sz w:val="20"/>
                <w:szCs w:val="20"/>
                <w:lang w:eastAsia="en-AU"/>
              </w:rPr>
            </w:pPr>
            <w:r w:rsidRPr="00C53C25">
              <w:rPr>
                <w:rFonts w:ascii="Arial Narrow" w:eastAsia="SimSun" w:hAnsi="Arial Narrow"/>
                <w:color w:val="000000" w:themeColor="text1"/>
                <w:sz w:val="20"/>
                <w:szCs w:val="20"/>
                <w:lang w:eastAsia="en-AU"/>
              </w:rPr>
              <w:t xml:space="preserve">Sensitivity 2: CALGB (PP) vs Myeloma IX </w:t>
            </w:r>
          </w:p>
        </w:tc>
        <w:tc>
          <w:tcPr>
            <w:tcW w:w="1168" w:type="pct"/>
            <w:shd w:val="clear" w:color="auto" w:fill="auto"/>
            <w:tcMar>
              <w:left w:w="28" w:type="dxa"/>
              <w:right w:w="28" w:type="dxa"/>
            </w:tcMar>
            <w:vAlign w:val="center"/>
          </w:tcPr>
          <w:p w:rsidR="005E7102" w:rsidRPr="00C53C25" w:rsidRDefault="001D6F6D" w:rsidP="00476EE6">
            <w:pPr>
              <w:pStyle w:val="Table"/>
              <w:spacing w:line="240" w:lineRule="auto"/>
              <w:jc w:val="center"/>
              <w:rPr>
                <w:rFonts w:ascii="Arial Narrow" w:eastAsia="SimSun" w:hAnsi="Arial Narrow"/>
                <w:b/>
                <w:color w:val="000000" w:themeColor="text1"/>
                <w:sz w:val="20"/>
                <w:szCs w:val="20"/>
                <w:lang w:eastAsia="en-AU"/>
              </w:rPr>
            </w:pPr>
            <w:r>
              <w:rPr>
                <w:rFonts w:ascii="Arial Narrow" w:eastAsia="SimSun" w:hAnsi="Arial Narrow"/>
                <w:b/>
                <w:noProof/>
                <w:color w:val="000000"/>
                <w:sz w:val="20"/>
                <w:szCs w:val="20"/>
                <w:highlight w:val="black"/>
                <w:lang w:eastAsia="en-AU"/>
              </w:rPr>
              <w:t>'''''''''</w:t>
            </w:r>
            <w:r w:rsidR="005E7102" w:rsidRPr="00C53C25">
              <w:rPr>
                <w:rFonts w:ascii="Arial Narrow" w:eastAsia="SimSun" w:hAnsi="Arial Narrow"/>
                <w:b/>
                <w:color w:val="000000" w:themeColor="text1"/>
                <w:sz w:val="20"/>
                <w:szCs w:val="20"/>
                <w:lang w:eastAsia="en-AU"/>
              </w:rPr>
              <w:t xml:space="preserve"> (</w:t>
            </w:r>
            <w:r>
              <w:rPr>
                <w:rFonts w:ascii="Arial Narrow" w:eastAsia="SimSun" w:hAnsi="Arial Narrow"/>
                <w:b/>
                <w:noProof/>
                <w:color w:val="000000"/>
                <w:sz w:val="20"/>
                <w:szCs w:val="20"/>
                <w:highlight w:val="black"/>
                <w:lang w:eastAsia="en-AU"/>
              </w:rPr>
              <w:t>'''''''''</w:t>
            </w:r>
            <w:r w:rsidR="005E7102" w:rsidRPr="00C53C25">
              <w:rPr>
                <w:rFonts w:ascii="Arial Narrow" w:eastAsia="SimSun" w:hAnsi="Arial Narrow"/>
                <w:b/>
                <w:color w:val="000000" w:themeColor="text1"/>
                <w:sz w:val="20"/>
                <w:szCs w:val="20"/>
                <w:lang w:eastAsia="en-AU"/>
              </w:rPr>
              <w:t xml:space="preserve">, </w:t>
            </w:r>
            <w:r>
              <w:rPr>
                <w:rFonts w:ascii="Arial Narrow" w:eastAsia="SimSun" w:hAnsi="Arial Narrow"/>
                <w:b/>
                <w:noProof/>
                <w:color w:val="000000"/>
                <w:sz w:val="20"/>
                <w:szCs w:val="20"/>
                <w:highlight w:val="black"/>
                <w:lang w:eastAsia="en-AU"/>
              </w:rPr>
              <w:t>''''''''''</w:t>
            </w:r>
            <w:r w:rsidR="005E7102" w:rsidRPr="00C53C25">
              <w:rPr>
                <w:rFonts w:ascii="Arial Narrow" w:eastAsia="SimSun" w:hAnsi="Arial Narrow"/>
                <w:b/>
                <w:color w:val="000000" w:themeColor="text1"/>
                <w:sz w:val="20"/>
                <w:szCs w:val="20"/>
                <w:lang w:eastAsia="en-AU"/>
              </w:rPr>
              <w:t>)</w:t>
            </w:r>
          </w:p>
        </w:tc>
      </w:tr>
      <w:tr w:rsidR="005E7102" w:rsidRPr="003A3555" w:rsidTr="00955CAB">
        <w:tc>
          <w:tcPr>
            <w:tcW w:w="1093" w:type="pct"/>
            <w:vMerge/>
            <w:tcBorders>
              <w:right w:val="single" w:sz="4" w:space="0" w:color="auto"/>
            </w:tcBorders>
            <w:shd w:val="clear" w:color="auto" w:fill="auto"/>
            <w:tcMar>
              <w:left w:w="28" w:type="dxa"/>
              <w:right w:w="28" w:type="dxa"/>
            </w:tcMar>
            <w:vAlign w:val="center"/>
          </w:tcPr>
          <w:p w:rsidR="005E7102" w:rsidRPr="00C53C25" w:rsidRDefault="005E7102" w:rsidP="00476EE6">
            <w:pPr>
              <w:pStyle w:val="Table"/>
              <w:spacing w:line="240" w:lineRule="auto"/>
              <w:rPr>
                <w:rFonts w:ascii="Arial Narrow" w:eastAsia="SimSun" w:hAnsi="Arial Narrow"/>
                <w:color w:val="000000" w:themeColor="text1"/>
                <w:sz w:val="20"/>
                <w:szCs w:val="20"/>
                <w:lang w:eastAsia="en-AU"/>
              </w:rPr>
            </w:pPr>
          </w:p>
        </w:tc>
        <w:tc>
          <w:tcPr>
            <w:tcW w:w="2739" w:type="pct"/>
            <w:tcBorders>
              <w:left w:val="single" w:sz="4" w:space="0" w:color="auto"/>
              <w:right w:val="single" w:sz="4" w:space="0" w:color="auto"/>
            </w:tcBorders>
            <w:shd w:val="clear" w:color="auto" w:fill="auto"/>
            <w:tcMar>
              <w:left w:w="28" w:type="dxa"/>
              <w:right w:w="28" w:type="dxa"/>
            </w:tcMar>
            <w:vAlign w:val="center"/>
          </w:tcPr>
          <w:p w:rsidR="005E7102" w:rsidRPr="00C53C25" w:rsidRDefault="005E7102" w:rsidP="00476EE6">
            <w:pPr>
              <w:pStyle w:val="Table"/>
              <w:spacing w:line="240" w:lineRule="auto"/>
              <w:rPr>
                <w:rFonts w:ascii="Arial Narrow" w:eastAsia="SimSun" w:hAnsi="Arial Narrow"/>
                <w:color w:val="000000" w:themeColor="text1"/>
                <w:sz w:val="20"/>
                <w:szCs w:val="20"/>
                <w:lang w:eastAsia="en-AU"/>
              </w:rPr>
            </w:pPr>
            <w:r w:rsidRPr="00C53C25">
              <w:rPr>
                <w:rFonts w:ascii="Arial Narrow" w:eastAsia="SimSun" w:hAnsi="Arial Narrow"/>
                <w:color w:val="000000" w:themeColor="text1"/>
                <w:sz w:val="20"/>
                <w:szCs w:val="20"/>
                <w:lang w:eastAsia="en-AU"/>
              </w:rPr>
              <w:t>Sensitivity 3: All trials (</w:t>
            </w:r>
            <w:proofErr w:type="spellStart"/>
            <w:r w:rsidRPr="00C53C25">
              <w:rPr>
                <w:rFonts w:ascii="Arial Narrow" w:eastAsia="SimSun" w:hAnsi="Arial Narrow"/>
                <w:color w:val="000000" w:themeColor="text1"/>
                <w:sz w:val="20"/>
                <w:szCs w:val="20"/>
                <w:lang w:eastAsia="en-AU"/>
              </w:rPr>
              <w:t>Adj</w:t>
            </w:r>
            <w:proofErr w:type="spellEnd"/>
            <w:r w:rsidRPr="00C53C25">
              <w:rPr>
                <w:rFonts w:ascii="Arial Narrow" w:eastAsia="SimSun" w:hAnsi="Arial Narrow"/>
                <w:color w:val="000000" w:themeColor="text1"/>
                <w:sz w:val="20"/>
                <w:szCs w:val="20"/>
                <w:lang w:eastAsia="en-AU"/>
              </w:rPr>
              <w:t xml:space="preserve">) </w:t>
            </w:r>
          </w:p>
        </w:tc>
        <w:tc>
          <w:tcPr>
            <w:tcW w:w="1168" w:type="pct"/>
            <w:shd w:val="clear" w:color="auto" w:fill="auto"/>
            <w:tcMar>
              <w:left w:w="28" w:type="dxa"/>
              <w:right w:w="28" w:type="dxa"/>
            </w:tcMar>
            <w:vAlign w:val="bottom"/>
          </w:tcPr>
          <w:p w:rsidR="005E7102" w:rsidRPr="00C53C25" w:rsidRDefault="001D6F6D" w:rsidP="00476EE6">
            <w:pPr>
              <w:pStyle w:val="Table"/>
              <w:spacing w:line="240" w:lineRule="auto"/>
              <w:jc w:val="center"/>
              <w:rPr>
                <w:rFonts w:ascii="Arial Narrow" w:hAnsi="Arial Narrow"/>
                <w:color w:val="000000" w:themeColor="text1"/>
                <w:sz w:val="20"/>
                <w:szCs w:val="20"/>
              </w:rPr>
            </w:pPr>
            <w:r>
              <w:rPr>
                <w:rFonts w:ascii="Arial Narrow" w:hAnsi="Arial Narrow"/>
                <w:noProof/>
                <w:color w:val="000000"/>
                <w:sz w:val="20"/>
                <w:szCs w:val="20"/>
                <w:highlight w:val="black"/>
              </w:rPr>
              <w:t>''''''''''</w:t>
            </w:r>
            <w:r w:rsidR="005E7102" w:rsidRPr="00C53C25">
              <w:rPr>
                <w:rFonts w:ascii="Arial Narrow" w:hAnsi="Arial Narrow"/>
                <w:color w:val="000000" w:themeColor="text1"/>
                <w:sz w:val="20"/>
                <w:szCs w:val="20"/>
              </w:rPr>
              <w:t xml:space="preserve"> (</w:t>
            </w:r>
            <w:r>
              <w:rPr>
                <w:rFonts w:ascii="Arial Narrow" w:hAnsi="Arial Narrow"/>
                <w:noProof/>
                <w:color w:val="000000"/>
                <w:sz w:val="20"/>
                <w:szCs w:val="20"/>
                <w:highlight w:val="black"/>
              </w:rPr>
              <w:t>''''''''''</w:t>
            </w:r>
            <w:r w:rsidR="005E7102" w:rsidRPr="00C53C25">
              <w:rPr>
                <w:rFonts w:ascii="Arial Narrow" w:hAnsi="Arial Narrow"/>
                <w:color w:val="000000" w:themeColor="text1"/>
                <w:sz w:val="20"/>
                <w:szCs w:val="20"/>
              </w:rPr>
              <w:t xml:space="preserve">, </w:t>
            </w:r>
            <w:r>
              <w:rPr>
                <w:rFonts w:ascii="Arial Narrow" w:hAnsi="Arial Narrow"/>
                <w:noProof/>
                <w:color w:val="000000"/>
                <w:sz w:val="20"/>
                <w:szCs w:val="20"/>
                <w:highlight w:val="black"/>
              </w:rPr>
              <w:t>''''''''''''</w:t>
            </w:r>
            <w:r w:rsidR="005E7102" w:rsidRPr="00C53C25">
              <w:rPr>
                <w:rFonts w:ascii="Arial Narrow" w:hAnsi="Arial Narrow"/>
                <w:color w:val="000000" w:themeColor="text1"/>
                <w:sz w:val="20"/>
                <w:szCs w:val="20"/>
              </w:rPr>
              <w:t>)</w:t>
            </w:r>
          </w:p>
        </w:tc>
      </w:tr>
      <w:tr w:rsidR="005E7102" w:rsidRPr="003A3555" w:rsidTr="00955CAB">
        <w:tc>
          <w:tcPr>
            <w:tcW w:w="1093" w:type="pct"/>
            <w:vMerge/>
            <w:tcBorders>
              <w:right w:val="single" w:sz="4" w:space="0" w:color="auto"/>
            </w:tcBorders>
            <w:shd w:val="clear" w:color="auto" w:fill="auto"/>
            <w:tcMar>
              <w:left w:w="28" w:type="dxa"/>
              <w:right w:w="28" w:type="dxa"/>
            </w:tcMar>
            <w:vAlign w:val="center"/>
          </w:tcPr>
          <w:p w:rsidR="005E7102" w:rsidRPr="00C53C25" w:rsidRDefault="005E7102" w:rsidP="00476EE6">
            <w:pPr>
              <w:pStyle w:val="Table"/>
              <w:spacing w:line="240" w:lineRule="auto"/>
              <w:rPr>
                <w:rFonts w:ascii="Arial Narrow" w:eastAsia="SimSun" w:hAnsi="Arial Narrow"/>
                <w:color w:val="000000" w:themeColor="text1"/>
                <w:sz w:val="20"/>
                <w:szCs w:val="20"/>
                <w:lang w:eastAsia="en-AU"/>
              </w:rPr>
            </w:pPr>
          </w:p>
        </w:tc>
        <w:tc>
          <w:tcPr>
            <w:tcW w:w="2739" w:type="pct"/>
            <w:tcBorders>
              <w:left w:val="single" w:sz="4" w:space="0" w:color="auto"/>
              <w:right w:val="single" w:sz="4" w:space="0" w:color="auto"/>
            </w:tcBorders>
            <w:shd w:val="clear" w:color="auto" w:fill="auto"/>
            <w:tcMar>
              <w:left w:w="28" w:type="dxa"/>
              <w:right w:w="28" w:type="dxa"/>
            </w:tcMar>
            <w:vAlign w:val="center"/>
          </w:tcPr>
          <w:p w:rsidR="005E7102" w:rsidRPr="00C53C25" w:rsidRDefault="005E7102" w:rsidP="00476EE6">
            <w:pPr>
              <w:pStyle w:val="Table"/>
              <w:spacing w:line="240" w:lineRule="auto"/>
              <w:rPr>
                <w:rFonts w:ascii="Arial Narrow" w:eastAsia="SimSun" w:hAnsi="Arial Narrow"/>
                <w:color w:val="000000" w:themeColor="text1"/>
                <w:sz w:val="20"/>
                <w:szCs w:val="20"/>
                <w:lang w:eastAsia="en-AU"/>
              </w:rPr>
            </w:pPr>
            <w:r w:rsidRPr="00C53C25">
              <w:rPr>
                <w:rFonts w:ascii="Arial Narrow" w:eastAsia="SimSun" w:hAnsi="Arial Narrow"/>
                <w:color w:val="000000" w:themeColor="text1"/>
                <w:sz w:val="20"/>
                <w:szCs w:val="20"/>
                <w:lang w:eastAsia="en-AU"/>
              </w:rPr>
              <w:t xml:space="preserve">Sensitivity 4: All trials (ITT) </w:t>
            </w:r>
          </w:p>
        </w:tc>
        <w:tc>
          <w:tcPr>
            <w:tcW w:w="1168" w:type="pct"/>
            <w:shd w:val="clear" w:color="auto" w:fill="auto"/>
            <w:tcMar>
              <w:left w:w="28" w:type="dxa"/>
              <w:right w:w="28" w:type="dxa"/>
            </w:tcMar>
            <w:vAlign w:val="bottom"/>
          </w:tcPr>
          <w:p w:rsidR="005E7102" w:rsidRPr="00C53C25" w:rsidRDefault="005E7102" w:rsidP="00476EE6">
            <w:pPr>
              <w:pStyle w:val="Table"/>
              <w:spacing w:line="240" w:lineRule="auto"/>
              <w:jc w:val="center"/>
              <w:rPr>
                <w:rFonts w:ascii="Arial Narrow" w:hAnsi="Arial Narrow"/>
                <w:color w:val="000000" w:themeColor="text1"/>
                <w:sz w:val="20"/>
                <w:szCs w:val="20"/>
              </w:rPr>
            </w:pPr>
            <w:r w:rsidRPr="00C53C25">
              <w:rPr>
                <w:rFonts w:ascii="Arial Narrow" w:hAnsi="Arial Narrow"/>
                <w:color w:val="000000" w:themeColor="text1"/>
                <w:sz w:val="20"/>
                <w:szCs w:val="20"/>
              </w:rPr>
              <w:t>1.41 (0.34, 5.77)</w:t>
            </w:r>
          </w:p>
        </w:tc>
      </w:tr>
      <w:tr w:rsidR="005E7102" w:rsidRPr="003A3555" w:rsidTr="00955CAB">
        <w:tc>
          <w:tcPr>
            <w:tcW w:w="1093" w:type="pct"/>
            <w:vMerge/>
            <w:tcBorders>
              <w:right w:val="single" w:sz="4" w:space="0" w:color="auto"/>
            </w:tcBorders>
            <w:shd w:val="clear" w:color="auto" w:fill="auto"/>
            <w:tcMar>
              <w:left w:w="28" w:type="dxa"/>
              <w:right w:w="28" w:type="dxa"/>
            </w:tcMar>
            <w:vAlign w:val="center"/>
          </w:tcPr>
          <w:p w:rsidR="005E7102" w:rsidRPr="00C53C25" w:rsidRDefault="005E7102" w:rsidP="00476EE6">
            <w:pPr>
              <w:pStyle w:val="Table"/>
              <w:spacing w:line="240" w:lineRule="auto"/>
              <w:rPr>
                <w:rFonts w:ascii="Arial Narrow" w:eastAsia="SimSun" w:hAnsi="Arial Narrow"/>
                <w:color w:val="000000" w:themeColor="text1"/>
                <w:sz w:val="20"/>
                <w:szCs w:val="20"/>
                <w:lang w:eastAsia="en-AU"/>
              </w:rPr>
            </w:pPr>
          </w:p>
        </w:tc>
        <w:tc>
          <w:tcPr>
            <w:tcW w:w="2739" w:type="pct"/>
            <w:tcBorders>
              <w:left w:val="single" w:sz="4" w:space="0" w:color="auto"/>
              <w:right w:val="single" w:sz="4" w:space="0" w:color="auto"/>
            </w:tcBorders>
            <w:shd w:val="clear" w:color="auto" w:fill="auto"/>
            <w:tcMar>
              <w:left w:w="28" w:type="dxa"/>
              <w:right w:w="28" w:type="dxa"/>
            </w:tcMar>
            <w:vAlign w:val="center"/>
          </w:tcPr>
          <w:p w:rsidR="005E7102" w:rsidRPr="00C53C25" w:rsidRDefault="005E7102" w:rsidP="00476EE6">
            <w:pPr>
              <w:pStyle w:val="Table"/>
              <w:spacing w:line="240" w:lineRule="auto"/>
              <w:rPr>
                <w:rFonts w:ascii="Arial Narrow" w:eastAsia="SimSun" w:hAnsi="Arial Narrow"/>
                <w:color w:val="000000" w:themeColor="text1"/>
                <w:sz w:val="20"/>
                <w:szCs w:val="20"/>
                <w:lang w:eastAsia="en-AU"/>
              </w:rPr>
            </w:pPr>
            <w:r w:rsidRPr="00C53C25">
              <w:rPr>
                <w:rFonts w:ascii="Arial Narrow" w:eastAsia="SimSun" w:hAnsi="Arial Narrow"/>
                <w:color w:val="000000" w:themeColor="text1"/>
                <w:sz w:val="20"/>
                <w:szCs w:val="20"/>
                <w:lang w:eastAsia="en-AU"/>
              </w:rPr>
              <w:t xml:space="preserve">Sensitivity 5: All trials (PP) </w:t>
            </w:r>
          </w:p>
        </w:tc>
        <w:tc>
          <w:tcPr>
            <w:tcW w:w="1168" w:type="pct"/>
            <w:shd w:val="clear" w:color="auto" w:fill="auto"/>
            <w:tcMar>
              <w:left w:w="28" w:type="dxa"/>
              <w:right w:w="28" w:type="dxa"/>
            </w:tcMar>
            <w:vAlign w:val="bottom"/>
          </w:tcPr>
          <w:p w:rsidR="005E7102" w:rsidRPr="00C53C25" w:rsidRDefault="001D6F6D" w:rsidP="00476EE6">
            <w:pPr>
              <w:pStyle w:val="Table"/>
              <w:spacing w:line="240" w:lineRule="auto"/>
              <w:jc w:val="center"/>
              <w:rPr>
                <w:rFonts w:ascii="Arial Narrow" w:hAnsi="Arial Narrow"/>
                <w:color w:val="000000" w:themeColor="text1"/>
                <w:sz w:val="20"/>
                <w:szCs w:val="20"/>
              </w:rPr>
            </w:pPr>
            <w:r>
              <w:rPr>
                <w:rFonts w:ascii="Arial Narrow" w:hAnsi="Arial Narrow"/>
                <w:noProof/>
                <w:color w:val="000000"/>
                <w:sz w:val="20"/>
                <w:szCs w:val="20"/>
                <w:highlight w:val="black"/>
              </w:rPr>
              <w:t>''''''''''</w:t>
            </w:r>
            <w:r w:rsidR="005E7102" w:rsidRPr="00C53C25">
              <w:rPr>
                <w:rFonts w:ascii="Arial Narrow" w:hAnsi="Arial Narrow"/>
                <w:color w:val="000000" w:themeColor="text1"/>
                <w:sz w:val="20"/>
                <w:szCs w:val="20"/>
              </w:rPr>
              <w:t xml:space="preserve"> (</w:t>
            </w:r>
            <w:r>
              <w:rPr>
                <w:rFonts w:ascii="Arial Narrow" w:hAnsi="Arial Narrow"/>
                <w:noProof/>
                <w:color w:val="000000"/>
                <w:sz w:val="20"/>
                <w:szCs w:val="20"/>
                <w:highlight w:val="black"/>
              </w:rPr>
              <w:t>''''''''''</w:t>
            </w:r>
            <w:r w:rsidR="005E7102" w:rsidRPr="00C53C25">
              <w:rPr>
                <w:rFonts w:ascii="Arial Narrow" w:hAnsi="Arial Narrow"/>
                <w:color w:val="000000" w:themeColor="text1"/>
                <w:sz w:val="20"/>
                <w:szCs w:val="20"/>
              </w:rPr>
              <w:t xml:space="preserve">, </w:t>
            </w:r>
            <w:r>
              <w:rPr>
                <w:rFonts w:ascii="Arial Narrow" w:hAnsi="Arial Narrow"/>
                <w:noProof/>
                <w:color w:val="000000"/>
                <w:sz w:val="20"/>
                <w:szCs w:val="20"/>
                <w:highlight w:val="black"/>
              </w:rPr>
              <w:t>'''''''''''</w:t>
            </w:r>
            <w:r w:rsidR="005E7102" w:rsidRPr="00C53C25">
              <w:rPr>
                <w:rFonts w:ascii="Arial Narrow" w:hAnsi="Arial Narrow"/>
                <w:color w:val="000000" w:themeColor="text1"/>
                <w:sz w:val="20"/>
                <w:szCs w:val="20"/>
              </w:rPr>
              <w:t>)</w:t>
            </w:r>
          </w:p>
        </w:tc>
      </w:tr>
      <w:tr w:rsidR="005E7102" w:rsidRPr="003A3555" w:rsidTr="00955CAB">
        <w:trPr>
          <w:trHeight w:val="70"/>
        </w:trPr>
        <w:tc>
          <w:tcPr>
            <w:tcW w:w="5000" w:type="pct"/>
            <w:gridSpan w:val="3"/>
            <w:shd w:val="clear" w:color="auto" w:fill="auto"/>
            <w:tcMar>
              <w:left w:w="28" w:type="dxa"/>
              <w:right w:w="28" w:type="dxa"/>
            </w:tcMar>
            <w:vAlign w:val="center"/>
          </w:tcPr>
          <w:p w:rsidR="005E7102" w:rsidRPr="00C53C25" w:rsidRDefault="005E7102" w:rsidP="00476EE6">
            <w:pPr>
              <w:pStyle w:val="Table"/>
              <w:spacing w:line="240" w:lineRule="auto"/>
              <w:rPr>
                <w:rFonts w:ascii="Arial Narrow" w:eastAsia="SimSun" w:hAnsi="Arial Narrow"/>
                <w:b/>
                <w:color w:val="000000" w:themeColor="text1"/>
                <w:sz w:val="20"/>
                <w:szCs w:val="20"/>
                <w:lang w:eastAsia="en-AU"/>
              </w:rPr>
            </w:pPr>
            <w:r w:rsidRPr="00C53C25">
              <w:rPr>
                <w:rFonts w:ascii="Arial Narrow" w:eastAsia="SimSun" w:hAnsi="Arial Narrow"/>
                <w:b/>
                <w:color w:val="000000" w:themeColor="text1"/>
                <w:sz w:val="20"/>
                <w:szCs w:val="20"/>
                <w:lang w:eastAsia="en-AU"/>
              </w:rPr>
              <w:t>Overall survival</w:t>
            </w:r>
          </w:p>
        </w:tc>
      </w:tr>
      <w:tr w:rsidR="00B303B0" w:rsidRPr="003A3555" w:rsidTr="00955CAB">
        <w:trPr>
          <w:trHeight w:val="70"/>
        </w:trPr>
        <w:tc>
          <w:tcPr>
            <w:tcW w:w="1093" w:type="pct"/>
            <w:vMerge w:val="restart"/>
            <w:tcBorders>
              <w:right w:val="single" w:sz="4" w:space="0" w:color="auto"/>
            </w:tcBorders>
            <w:shd w:val="clear" w:color="auto" w:fill="auto"/>
            <w:tcMar>
              <w:left w:w="28" w:type="dxa"/>
              <w:right w:w="28" w:type="dxa"/>
            </w:tcMar>
            <w:vAlign w:val="center"/>
            <w:hideMark/>
          </w:tcPr>
          <w:p w:rsidR="00B303B0" w:rsidRPr="00C53C25" w:rsidRDefault="00B303B0" w:rsidP="00476EE6">
            <w:pPr>
              <w:pStyle w:val="Table"/>
              <w:spacing w:line="240" w:lineRule="auto"/>
              <w:rPr>
                <w:rFonts w:ascii="Arial Narrow" w:eastAsia="SimSun" w:hAnsi="Arial Narrow"/>
                <w:color w:val="000000" w:themeColor="text1"/>
                <w:sz w:val="20"/>
                <w:szCs w:val="20"/>
                <w:lang w:eastAsia="en-AU"/>
              </w:rPr>
            </w:pPr>
            <w:proofErr w:type="spellStart"/>
            <w:r w:rsidRPr="00C53C25">
              <w:rPr>
                <w:rFonts w:ascii="Arial Narrow" w:eastAsia="SimSun" w:hAnsi="Arial Narrow"/>
                <w:color w:val="000000" w:themeColor="text1"/>
                <w:sz w:val="20"/>
                <w:szCs w:val="20"/>
                <w:lang w:eastAsia="en-AU"/>
              </w:rPr>
              <w:t>Lenalidomide</w:t>
            </w:r>
            <w:proofErr w:type="spellEnd"/>
            <w:r w:rsidRPr="00C53C25">
              <w:rPr>
                <w:rFonts w:ascii="Arial Narrow" w:eastAsia="SimSun" w:hAnsi="Arial Narrow"/>
                <w:color w:val="000000" w:themeColor="text1"/>
                <w:sz w:val="20"/>
                <w:szCs w:val="20"/>
                <w:lang w:eastAsia="en-AU"/>
              </w:rPr>
              <w:t xml:space="preserve"> v. Placebo/BSC </w:t>
            </w:r>
          </w:p>
        </w:tc>
        <w:tc>
          <w:tcPr>
            <w:tcW w:w="2739" w:type="pct"/>
            <w:tcBorders>
              <w:left w:val="single" w:sz="4" w:space="0" w:color="auto"/>
              <w:right w:val="single" w:sz="4" w:space="0" w:color="auto"/>
            </w:tcBorders>
            <w:shd w:val="clear" w:color="auto" w:fill="auto"/>
            <w:tcMar>
              <w:left w:w="28" w:type="dxa"/>
              <w:right w:w="28" w:type="dxa"/>
            </w:tcMar>
            <w:vAlign w:val="center"/>
            <w:hideMark/>
          </w:tcPr>
          <w:p w:rsidR="00B303B0" w:rsidRPr="00C53C25" w:rsidRDefault="00B303B0" w:rsidP="00C60F2C">
            <w:pPr>
              <w:pStyle w:val="Table"/>
              <w:spacing w:line="240" w:lineRule="auto"/>
              <w:rPr>
                <w:rFonts w:ascii="Arial Narrow" w:eastAsia="SimSun" w:hAnsi="Arial Narrow"/>
                <w:color w:val="000000" w:themeColor="text1"/>
                <w:sz w:val="20"/>
                <w:szCs w:val="20"/>
                <w:lang w:eastAsia="en-AU"/>
              </w:rPr>
            </w:pPr>
            <w:r w:rsidRPr="00C53C25">
              <w:rPr>
                <w:rFonts w:ascii="Arial Narrow" w:eastAsia="SimSun" w:hAnsi="Arial Narrow"/>
                <w:color w:val="000000" w:themeColor="text1"/>
                <w:sz w:val="20"/>
                <w:szCs w:val="20"/>
                <w:lang w:eastAsia="en-AU"/>
              </w:rPr>
              <w:t>Pooled (CALGB ITT; IFM2005-02; GIMEMA; Myeloma XI)</w:t>
            </w:r>
          </w:p>
        </w:tc>
        <w:tc>
          <w:tcPr>
            <w:tcW w:w="1168" w:type="pct"/>
            <w:tcBorders>
              <w:left w:val="single" w:sz="4" w:space="0" w:color="auto"/>
            </w:tcBorders>
            <w:shd w:val="clear" w:color="auto" w:fill="auto"/>
            <w:tcMar>
              <w:left w:w="28" w:type="dxa"/>
              <w:right w:w="28" w:type="dxa"/>
            </w:tcMar>
            <w:vAlign w:val="center"/>
          </w:tcPr>
          <w:p w:rsidR="00B303B0" w:rsidRPr="00C53C25" w:rsidRDefault="00B303B0" w:rsidP="00476EE6">
            <w:pPr>
              <w:pStyle w:val="Table"/>
              <w:spacing w:line="240" w:lineRule="auto"/>
              <w:jc w:val="center"/>
              <w:rPr>
                <w:rFonts w:ascii="Arial Narrow" w:eastAsia="SimSun" w:hAnsi="Arial Narrow"/>
                <w:b/>
                <w:color w:val="000000" w:themeColor="text1"/>
                <w:sz w:val="20"/>
                <w:szCs w:val="20"/>
                <w:lang w:eastAsia="en-AU"/>
              </w:rPr>
            </w:pPr>
            <w:r w:rsidRPr="00C53C25">
              <w:rPr>
                <w:rFonts w:ascii="Arial Narrow" w:eastAsia="SimSun" w:hAnsi="Arial Narrow"/>
                <w:b/>
                <w:color w:val="000000" w:themeColor="text1"/>
                <w:sz w:val="20"/>
                <w:szCs w:val="20"/>
                <w:lang w:eastAsia="en-AU"/>
              </w:rPr>
              <w:t>0.73 (0.59, 0.89)</w:t>
            </w:r>
          </w:p>
        </w:tc>
      </w:tr>
      <w:tr w:rsidR="00B303B0" w:rsidRPr="003A3555" w:rsidTr="00955CAB">
        <w:trPr>
          <w:trHeight w:val="131"/>
        </w:trPr>
        <w:tc>
          <w:tcPr>
            <w:tcW w:w="1093" w:type="pct"/>
            <w:vMerge/>
            <w:tcBorders>
              <w:right w:val="single" w:sz="4" w:space="0" w:color="auto"/>
            </w:tcBorders>
            <w:shd w:val="clear" w:color="auto" w:fill="auto"/>
            <w:tcMar>
              <w:left w:w="28" w:type="dxa"/>
              <w:right w:w="28" w:type="dxa"/>
            </w:tcMar>
            <w:vAlign w:val="center"/>
          </w:tcPr>
          <w:p w:rsidR="00B303B0" w:rsidRPr="00C53C25" w:rsidRDefault="00B303B0" w:rsidP="00476EE6">
            <w:pPr>
              <w:pStyle w:val="Table"/>
              <w:spacing w:line="240" w:lineRule="auto"/>
              <w:rPr>
                <w:rFonts w:ascii="Arial Narrow" w:eastAsia="SimSun" w:hAnsi="Arial Narrow"/>
                <w:color w:val="000000" w:themeColor="text1"/>
                <w:sz w:val="20"/>
                <w:szCs w:val="20"/>
                <w:lang w:eastAsia="en-AU"/>
              </w:rPr>
            </w:pPr>
          </w:p>
        </w:tc>
        <w:tc>
          <w:tcPr>
            <w:tcW w:w="2739" w:type="pct"/>
            <w:tcBorders>
              <w:left w:val="single" w:sz="4" w:space="0" w:color="auto"/>
              <w:right w:val="single" w:sz="4" w:space="0" w:color="auto"/>
            </w:tcBorders>
            <w:shd w:val="clear" w:color="auto" w:fill="auto"/>
            <w:tcMar>
              <w:left w:w="28" w:type="dxa"/>
              <w:right w:w="28" w:type="dxa"/>
            </w:tcMar>
            <w:vAlign w:val="center"/>
          </w:tcPr>
          <w:p w:rsidR="00B303B0" w:rsidRPr="00C53C25" w:rsidRDefault="00B303B0" w:rsidP="00C60F2C">
            <w:pPr>
              <w:pStyle w:val="Table"/>
              <w:spacing w:line="240" w:lineRule="auto"/>
              <w:rPr>
                <w:rFonts w:ascii="Arial Narrow" w:eastAsia="SimSun" w:hAnsi="Arial Narrow"/>
                <w:color w:val="000000" w:themeColor="text1"/>
                <w:sz w:val="20"/>
                <w:szCs w:val="20"/>
                <w:lang w:eastAsia="en-AU"/>
              </w:rPr>
            </w:pPr>
            <w:r w:rsidRPr="00C53C25">
              <w:rPr>
                <w:rFonts w:ascii="Arial Narrow" w:eastAsia="SimSun" w:hAnsi="Arial Narrow"/>
                <w:color w:val="000000" w:themeColor="text1"/>
                <w:sz w:val="20"/>
                <w:szCs w:val="20"/>
                <w:lang w:eastAsia="en-AU"/>
              </w:rPr>
              <w:t xml:space="preserve">Pooled (CALGB </w:t>
            </w:r>
            <w:proofErr w:type="spellStart"/>
            <w:r w:rsidRPr="00C53C25">
              <w:rPr>
                <w:rFonts w:ascii="Arial Narrow" w:eastAsia="SimSun" w:hAnsi="Arial Narrow"/>
                <w:color w:val="000000" w:themeColor="text1"/>
                <w:sz w:val="20"/>
                <w:szCs w:val="20"/>
                <w:lang w:eastAsia="en-AU"/>
              </w:rPr>
              <w:t>Adj</w:t>
            </w:r>
            <w:proofErr w:type="spellEnd"/>
            <w:r w:rsidRPr="00C53C25">
              <w:rPr>
                <w:rFonts w:ascii="Arial Narrow" w:eastAsia="SimSun" w:hAnsi="Arial Narrow"/>
                <w:color w:val="000000" w:themeColor="text1"/>
                <w:sz w:val="20"/>
                <w:szCs w:val="20"/>
                <w:lang w:eastAsia="en-AU"/>
              </w:rPr>
              <w:t>; IFM2005-02; GIMEMA; Myeloma XI)</w:t>
            </w:r>
          </w:p>
        </w:tc>
        <w:tc>
          <w:tcPr>
            <w:tcW w:w="1168" w:type="pct"/>
            <w:tcBorders>
              <w:left w:val="single" w:sz="4" w:space="0" w:color="auto"/>
            </w:tcBorders>
            <w:shd w:val="clear" w:color="auto" w:fill="auto"/>
            <w:tcMar>
              <w:left w:w="28" w:type="dxa"/>
              <w:right w:w="28" w:type="dxa"/>
            </w:tcMar>
            <w:vAlign w:val="center"/>
          </w:tcPr>
          <w:p w:rsidR="00B303B0" w:rsidRPr="00C53C25" w:rsidRDefault="001D6F6D" w:rsidP="00476EE6">
            <w:pPr>
              <w:pStyle w:val="Table"/>
              <w:spacing w:line="240" w:lineRule="auto"/>
              <w:jc w:val="center"/>
              <w:rPr>
                <w:rFonts w:ascii="Arial Narrow" w:eastAsia="SimSun" w:hAnsi="Arial Narrow"/>
                <w:b/>
                <w:color w:val="000000" w:themeColor="text1"/>
                <w:sz w:val="20"/>
                <w:szCs w:val="20"/>
                <w:lang w:eastAsia="en-AU"/>
              </w:rPr>
            </w:pPr>
            <w:r>
              <w:rPr>
                <w:rFonts w:ascii="Arial Narrow" w:eastAsia="SimSun" w:hAnsi="Arial Narrow"/>
                <w:b/>
                <w:noProof/>
                <w:color w:val="000000"/>
                <w:sz w:val="20"/>
                <w:szCs w:val="20"/>
                <w:highlight w:val="black"/>
                <w:lang w:eastAsia="en-AU"/>
              </w:rPr>
              <w:t>'''''''''</w:t>
            </w:r>
            <w:r w:rsidR="00B303B0" w:rsidRPr="00C53C25">
              <w:rPr>
                <w:rFonts w:ascii="Arial Narrow" w:eastAsia="SimSun" w:hAnsi="Arial Narrow"/>
                <w:b/>
                <w:color w:val="000000" w:themeColor="text1"/>
                <w:sz w:val="20"/>
                <w:szCs w:val="20"/>
                <w:lang w:eastAsia="en-AU"/>
              </w:rPr>
              <w:t xml:space="preserve"> (</w:t>
            </w:r>
            <w:r>
              <w:rPr>
                <w:rFonts w:ascii="Arial Narrow" w:eastAsia="SimSun" w:hAnsi="Arial Narrow"/>
                <w:b/>
                <w:noProof/>
                <w:color w:val="000000"/>
                <w:sz w:val="20"/>
                <w:szCs w:val="20"/>
                <w:highlight w:val="black"/>
                <w:lang w:eastAsia="en-AU"/>
              </w:rPr>
              <w:t>''''''''</w:t>
            </w:r>
            <w:r w:rsidR="00B303B0" w:rsidRPr="00C53C25">
              <w:rPr>
                <w:rFonts w:ascii="Arial Narrow" w:eastAsia="SimSun" w:hAnsi="Arial Narrow"/>
                <w:b/>
                <w:color w:val="000000" w:themeColor="text1"/>
                <w:sz w:val="20"/>
                <w:szCs w:val="20"/>
                <w:lang w:eastAsia="en-AU"/>
              </w:rPr>
              <w:t xml:space="preserve">, </w:t>
            </w:r>
            <w:r>
              <w:rPr>
                <w:rFonts w:ascii="Arial Narrow" w:eastAsia="SimSun" w:hAnsi="Arial Narrow"/>
                <w:b/>
                <w:noProof/>
                <w:color w:val="000000"/>
                <w:sz w:val="20"/>
                <w:szCs w:val="20"/>
                <w:highlight w:val="black"/>
                <w:lang w:eastAsia="en-AU"/>
              </w:rPr>
              <w:t>'''''''''</w:t>
            </w:r>
            <w:r w:rsidR="00B303B0" w:rsidRPr="00C53C25">
              <w:rPr>
                <w:rFonts w:ascii="Arial Narrow" w:eastAsia="SimSun" w:hAnsi="Arial Narrow"/>
                <w:b/>
                <w:color w:val="000000" w:themeColor="text1"/>
                <w:sz w:val="20"/>
                <w:szCs w:val="20"/>
                <w:lang w:eastAsia="en-AU"/>
              </w:rPr>
              <w:t>)</w:t>
            </w:r>
          </w:p>
        </w:tc>
      </w:tr>
      <w:tr w:rsidR="00B303B0" w:rsidRPr="003A3555" w:rsidTr="00955CAB">
        <w:trPr>
          <w:trHeight w:val="131"/>
        </w:trPr>
        <w:tc>
          <w:tcPr>
            <w:tcW w:w="1093" w:type="pct"/>
            <w:vMerge/>
            <w:tcBorders>
              <w:bottom w:val="single" w:sz="4" w:space="0" w:color="auto"/>
              <w:right w:val="single" w:sz="4" w:space="0" w:color="auto"/>
            </w:tcBorders>
            <w:shd w:val="clear" w:color="auto" w:fill="auto"/>
            <w:tcMar>
              <w:left w:w="28" w:type="dxa"/>
              <w:right w:w="28" w:type="dxa"/>
            </w:tcMar>
            <w:vAlign w:val="center"/>
          </w:tcPr>
          <w:p w:rsidR="00B303B0" w:rsidRPr="00C53C25" w:rsidRDefault="00B303B0" w:rsidP="00476EE6">
            <w:pPr>
              <w:pStyle w:val="Table"/>
              <w:spacing w:line="240" w:lineRule="auto"/>
              <w:rPr>
                <w:rFonts w:ascii="Arial Narrow" w:eastAsia="SimSun" w:hAnsi="Arial Narrow"/>
                <w:color w:val="000000" w:themeColor="text1"/>
                <w:sz w:val="20"/>
                <w:szCs w:val="20"/>
                <w:lang w:eastAsia="en-AU"/>
              </w:rPr>
            </w:pPr>
          </w:p>
        </w:tc>
        <w:tc>
          <w:tcPr>
            <w:tcW w:w="2739" w:type="pct"/>
            <w:tcBorders>
              <w:left w:val="single" w:sz="4" w:space="0" w:color="auto"/>
              <w:right w:val="single" w:sz="4" w:space="0" w:color="auto"/>
            </w:tcBorders>
            <w:shd w:val="clear" w:color="auto" w:fill="auto"/>
            <w:tcMar>
              <w:left w:w="28" w:type="dxa"/>
              <w:right w:w="28" w:type="dxa"/>
            </w:tcMar>
            <w:vAlign w:val="center"/>
          </w:tcPr>
          <w:p w:rsidR="00B303B0" w:rsidRPr="00C53C25" w:rsidRDefault="00B303B0" w:rsidP="00C60F2C">
            <w:pPr>
              <w:pStyle w:val="Table"/>
              <w:spacing w:line="240" w:lineRule="auto"/>
              <w:rPr>
                <w:rFonts w:ascii="Arial Narrow" w:eastAsia="SimSun" w:hAnsi="Arial Narrow"/>
                <w:color w:val="000000" w:themeColor="text1"/>
                <w:sz w:val="20"/>
                <w:szCs w:val="20"/>
                <w:lang w:eastAsia="en-AU"/>
              </w:rPr>
            </w:pPr>
            <w:r w:rsidRPr="00C53C25">
              <w:rPr>
                <w:rFonts w:ascii="Arial Narrow" w:eastAsia="SimSun" w:hAnsi="Arial Narrow"/>
                <w:color w:val="000000" w:themeColor="text1"/>
                <w:sz w:val="20"/>
                <w:szCs w:val="20"/>
                <w:lang w:eastAsia="en-AU"/>
              </w:rPr>
              <w:t>Pooled (CALGB PP; IFM2005-02; GIMEMA; Myeloma XI)</w:t>
            </w:r>
          </w:p>
        </w:tc>
        <w:tc>
          <w:tcPr>
            <w:tcW w:w="1168" w:type="pct"/>
            <w:tcBorders>
              <w:left w:val="single" w:sz="4" w:space="0" w:color="auto"/>
            </w:tcBorders>
            <w:shd w:val="clear" w:color="auto" w:fill="auto"/>
            <w:tcMar>
              <w:left w:w="28" w:type="dxa"/>
              <w:right w:w="28" w:type="dxa"/>
            </w:tcMar>
            <w:vAlign w:val="center"/>
          </w:tcPr>
          <w:p w:rsidR="00B303B0" w:rsidRPr="00C53C25" w:rsidRDefault="001D6F6D" w:rsidP="00476EE6">
            <w:pPr>
              <w:pStyle w:val="Table"/>
              <w:spacing w:line="240" w:lineRule="auto"/>
              <w:jc w:val="center"/>
              <w:rPr>
                <w:rFonts w:ascii="Arial Narrow" w:eastAsia="SimSun" w:hAnsi="Arial Narrow"/>
                <w:b/>
                <w:color w:val="000000" w:themeColor="text1"/>
                <w:sz w:val="20"/>
                <w:szCs w:val="20"/>
                <w:lang w:eastAsia="en-AU"/>
              </w:rPr>
            </w:pPr>
            <w:r>
              <w:rPr>
                <w:rFonts w:ascii="Arial Narrow" w:eastAsia="SimSun" w:hAnsi="Arial Narrow"/>
                <w:b/>
                <w:noProof/>
                <w:color w:val="000000"/>
                <w:sz w:val="20"/>
                <w:szCs w:val="20"/>
                <w:highlight w:val="black"/>
                <w:lang w:eastAsia="en-AU"/>
              </w:rPr>
              <w:t>'''''''''</w:t>
            </w:r>
            <w:r w:rsidR="00B303B0" w:rsidRPr="00C53C25">
              <w:rPr>
                <w:rFonts w:ascii="Arial Narrow" w:eastAsia="SimSun" w:hAnsi="Arial Narrow"/>
                <w:b/>
                <w:color w:val="000000" w:themeColor="text1"/>
                <w:sz w:val="20"/>
                <w:szCs w:val="20"/>
                <w:lang w:eastAsia="en-AU"/>
              </w:rPr>
              <w:t xml:space="preserve"> (</w:t>
            </w:r>
            <w:r>
              <w:rPr>
                <w:rFonts w:ascii="Arial Narrow" w:eastAsia="SimSun" w:hAnsi="Arial Narrow"/>
                <w:b/>
                <w:noProof/>
                <w:color w:val="000000"/>
                <w:sz w:val="20"/>
                <w:szCs w:val="20"/>
                <w:highlight w:val="black"/>
                <w:lang w:eastAsia="en-AU"/>
              </w:rPr>
              <w:t>''''''''''</w:t>
            </w:r>
            <w:r w:rsidR="00B303B0" w:rsidRPr="00C53C25">
              <w:rPr>
                <w:rFonts w:ascii="Arial Narrow" w:eastAsia="SimSun" w:hAnsi="Arial Narrow"/>
                <w:b/>
                <w:color w:val="000000" w:themeColor="text1"/>
                <w:sz w:val="20"/>
                <w:szCs w:val="20"/>
                <w:lang w:eastAsia="en-AU"/>
              </w:rPr>
              <w:t xml:space="preserve">, </w:t>
            </w:r>
            <w:r>
              <w:rPr>
                <w:rFonts w:ascii="Arial Narrow" w:eastAsia="SimSun" w:hAnsi="Arial Narrow"/>
                <w:b/>
                <w:noProof/>
                <w:color w:val="000000"/>
                <w:sz w:val="20"/>
                <w:szCs w:val="20"/>
                <w:highlight w:val="black"/>
                <w:lang w:eastAsia="en-AU"/>
              </w:rPr>
              <w:t>''''''''</w:t>
            </w:r>
            <w:r w:rsidR="00B303B0" w:rsidRPr="00C53C25">
              <w:rPr>
                <w:rFonts w:ascii="Arial Narrow" w:eastAsia="SimSun" w:hAnsi="Arial Narrow"/>
                <w:b/>
                <w:color w:val="000000" w:themeColor="text1"/>
                <w:sz w:val="20"/>
                <w:szCs w:val="20"/>
                <w:lang w:eastAsia="en-AU"/>
              </w:rPr>
              <w:t>)</w:t>
            </w:r>
          </w:p>
        </w:tc>
      </w:tr>
      <w:tr w:rsidR="004872B6" w:rsidRPr="003A3555" w:rsidTr="00955CAB">
        <w:trPr>
          <w:trHeight w:val="208"/>
        </w:trPr>
        <w:tc>
          <w:tcPr>
            <w:tcW w:w="1093" w:type="pct"/>
            <w:vMerge w:val="restart"/>
            <w:tcBorders>
              <w:right w:val="single" w:sz="4" w:space="0" w:color="auto"/>
            </w:tcBorders>
            <w:shd w:val="clear" w:color="auto" w:fill="auto"/>
            <w:tcMar>
              <w:left w:w="28" w:type="dxa"/>
              <w:right w:w="28" w:type="dxa"/>
            </w:tcMar>
            <w:vAlign w:val="center"/>
          </w:tcPr>
          <w:p w:rsidR="004872B6" w:rsidRPr="00C53C25" w:rsidRDefault="004872B6" w:rsidP="00476EE6">
            <w:pPr>
              <w:pStyle w:val="Table"/>
              <w:spacing w:line="240" w:lineRule="auto"/>
              <w:rPr>
                <w:rFonts w:ascii="Arial Narrow" w:eastAsia="SimSun" w:hAnsi="Arial Narrow"/>
                <w:color w:val="000000" w:themeColor="text1"/>
                <w:sz w:val="20"/>
                <w:szCs w:val="20"/>
                <w:lang w:eastAsia="en-AU"/>
              </w:rPr>
            </w:pPr>
            <w:r w:rsidRPr="00C53C25">
              <w:rPr>
                <w:rFonts w:ascii="Arial Narrow" w:eastAsia="SimSun" w:hAnsi="Arial Narrow"/>
                <w:color w:val="000000" w:themeColor="text1"/>
                <w:sz w:val="20"/>
                <w:szCs w:val="20"/>
                <w:lang w:eastAsia="en-AU"/>
              </w:rPr>
              <w:t xml:space="preserve">Thalidomide </w:t>
            </w:r>
          </w:p>
          <w:p w:rsidR="004872B6" w:rsidRPr="00C53C25" w:rsidRDefault="004872B6" w:rsidP="00476EE6">
            <w:pPr>
              <w:pStyle w:val="Table"/>
              <w:spacing w:line="240" w:lineRule="auto"/>
              <w:rPr>
                <w:rFonts w:ascii="Arial Narrow" w:eastAsia="SimSun" w:hAnsi="Arial Narrow"/>
                <w:color w:val="000000" w:themeColor="text1"/>
                <w:sz w:val="20"/>
                <w:szCs w:val="20"/>
                <w:lang w:eastAsia="en-AU"/>
              </w:rPr>
            </w:pPr>
            <w:r w:rsidRPr="00C53C25">
              <w:rPr>
                <w:rFonts w:ascii="Arial Narrow" w:eastAsia="SimSun" w:hAnsi="Arial Narrow"/>
                <w:color w:val="000000" w:themeColor="text1"/>
                <w:sz w:val="20"/>
                <w:szCs w:val="20"/>
                <w:lang w:eastAsia="en-AU"/>
              </w:rPr>
              <w:t>v. Placebo/BSC</w:t>
            </w:r>
          </w:p>
        </w:tc>
        <w:tc>
          <w:tcPr>
            <w:tcW w:w="2739" w:type="pct"/>
            <w:tcBorders>
              <w:left w:val="single" w:sz="4" w:space="0" w:color="auto"/>
              <w:right w:val="single" w:sz="4" w:space="0" w:color="auto"/>
            </w:tcBorders>
            <w:shd w:val="clear" w:color="auto" w:fill="auto"/>
            <w:tcMar>
              <w:left w:w="28" w:type="dxa"/>
              <w:right w:w="28" w:type="dxa"/>
            </w:tcMar>
            <w:vAlign w:val="center"/>
          </w:tcPr>
          <w:p w:rsidR="004872B6" w:rsidRPr="00D539BE" w:rsidRDefault="004872B6" w:rsidP="00476EE6">
            <w:pPr>
              <w:pStyle w:val="Table"/>
              <w:spacing w:line="240" w:lineRule="auto"/>
              <w:rPr>
                <w:rFonts w:ascii="Arial Narrow" w:eastAsia="SimSun" w:hAnsi="Arial Narrow"/>
                <w:color w:val="000000" w:themeColor="text1"/>
                <w:sz w:val="20"/>
                <w:szCs w:val="20"/>
                <w:lang w:eastAsia="en-AU"/>
              </w:rPr>
            </w:pPr>
            <w:r w:rsidRPr="00D539BE">
              <w:rPr>
                <w:rFonts w:ascii="Arial Narrow" w:hAnsi="Arial Narrow"/>
                <w:color w:val="000000" w:themeColor="text1"/>
                <w:sz w:val="20"/>
                <w:szCs w:val="20"/>
                <w:lang w:val="en-US"/>
              </w:rPr>
              <w:t>Myeloma IX</w:t>
            </w:r>
          </w:p>
        </w:tc>
        <w:tc>
          <w:tcPr>
            <w:tcW w:w="1168" w:type="pct"/>
            <w:tcBorders>
              <w:left w:val="single" w:sz="4" w:space="0" w:color="auto"/>
            </w:tcBorders>
            <w:shd w:val="clear" w:color="auto" w:fill="auto"/>
            <w:tcMar>
              <w:left w:w="28" w:type="dxa"/>
              <w:right w:w="28" w:type="dxa"/>
            </w:tcMar>
            <w:vAlign w:val="center"/>
          </w:tcPr>
          <w:p w:rsidR="004872B6" w:rsidRPr="00D539BE" w:rsidRDefault="004872B6" w:rsidP="00476EE6">
            <w:pPr>
              <w:pStyle w:val="Table"/>
              <w:spacing w:line="240" w:lineRule="auto"/>
              <w:jc w:val="center"/>
              <w:rPr>
                <w:rFonts w:ascii="Arial Narrow" w:eastAsia="SimSun" w:hAnsi="Arial Narrow"/>
                <w:color w:val="000000" w:themeColor="text1"/>
                <w:sz w:val="20"/>
                <w:szCs w:val="20"/>
                <w:lang w:eastAsia="en-AU"/>
              </w:rPr>
            </w:pPr>
            <w:r w:rsidRPr="00D539BE">
              <w:rPr>
                <w:rFonts w:ascii="Arial Narrow" w:hAnsi="Arial Narrow"/>
                <w:color w:val="000000" w:themeColor="text1"/>
                <w:sz w:val="20"/>
                <w:szCs w:val="20"/>
                <w:lang w:val="en-US"/>
              </w:rPr>
              <w:t>1.29 (0.91, 1.83)</w:t>
            </w:r>
          </w:p>
        </w:tc>
      </w:tr>
      <w:tr w:rsidR="004872B6" w:rsidRPr="003A3555" w:rsidTr="00955CAB">
        <w:trPr>
          <w:trHeight w:val="208"/>
        </w:trPr>
        <w:tc>
          <w:tcPr>
            <w:tcW w:w="1093" w:type="pct"/>
            <w:vMerge/>
            <w:tcBorders>
              <w:right w:val="single" w:sz="4" w:space="0" w:color="auto"/>
            </w:tcBorders>
            <w:shd w:val="clear" w:color="auto" w:fill="auto"/>
            <w:tcMar>
              <w:left w:w="28" w:type="dxa"/>
              <w:right w:w="28" w:type="dxa"/>
            </w:tcMar>
            <w:vAlign w:val="center"/>
            <w:hideMark/>
          </w:tcPr>
          <w:p w:rsidR="004872B6" w:rsidRPr="00C53C25" w:rsidRDefault="004872B6" w:rsidP="00476EE6">
            <w:pPr>
              <w:pStyle w:val="Table"/>
              <w:spacing w:line="240" w:lineRule="auto"/>
              <w:rPr>
                <w:rFonts w:ascii="Arial Narrow" w:eastAsia="SimSun" w:hAnsi="Arial Narrow"/>
                <w:color w:val="000000" w:themeColor="text1"/>
                <w:sz w:val="20"/>
                <w:szCs w:val="20"/>
                <w:lang w:eastAsia="en-AU"/>
              </w:rPr>
            </w:pPr>
          </w:p>
        </w:tc>
        <w:tc>
          <w:tcPr>
            <w:tcW w:w="2739" w:type="pct"/>
            <w:tcBorders>
              <w:left w:val="single" w:sz="4" w:space="0" w:color="auto"/>
              <w:right w:val="single" w:sz="4" w:space="0" w:color="auto"/>
            </w:tcBorders>
            <w:shd w:val="clear" w:color="auto" w:fill="auto"/>
            <w:tcMar>
              <w:left w:w="28" w:type="dxa"/>
              <w:right w:w="28" w:type="dxa"/>
            </w:tcMar>
            <w:vAlign w:val="center"/>
            <w:hideMark/>
          </w:tcPr>
          <w:p w:rsidR="004872B6" w:rsidRPr="00C53C25" w:rsidRDefault="004872B6" w:rsidP="00476EE6">
            <w:pPr>
              <w:pStyle w:val="Table"/>
              <w:spacing w:line="240" w:lineRule="auto"/>
              <w:rPr>
                <w:rFonts w:ascii="Arial Narrow" w:eastAsia="SimSun" w:hAnsi="Arial Narrow"/>
                <w:color w:val="000000" w:themeColor="text1"/>
                <w:sz w:val="20"/>
                <w:szCs w:val="20"/>
                <w:lang w:eastAsia="en-AU"/>
              </w:rPr>
            </w:pPr>
            <w:r w:rsidRPr="00C53C25">
              <w:rPr>
                <w:rFonts w:ascii="Arial Narrow" w:eastAsia="SimSun" w:hAnsi="Arial Narrow"/>
                <w:color w:val="000000" w:themeColor="text1"/>
                <w:sz w:val="20"/>
                <w:szCs w:val="20"/>
                <w:lang w:eastAsia="en-AU"/>
              </w:rPr>
              <w:t>Pooled (Myeloma IX; MM6)</w:t>
            </w:r>
          </w:p>
        </w:tc>
        <w:tc>
          <w:tcPr>
            <w:tcW w:w="1168" w:type="pct"/>
            <w:tcBorders>
              <w:left w:val="single" w:sz="4" w:space="0" w:color="auto"/>
            </w:tcBorders>
            <w:shd w:val="clear" w:color="auto" w:fill="auto"/>
            <w:tcMar>
              <w:left w:w="28" w:type="dxa"/>
              <w:right w:w="28" w:type="dxa"/>
            </w:tcMar>
            <w:vAlign w:val="center"/>
          </w:tcPr>
          <w:p w:rsidR="004872B6" w:rsidRPr="00C53C25" w:rsidRDefault="004872B6" w:rsidP="00476EE6">
            <w:pPr>
              <w:pStyle w:val="Table"/>
              <w:spacing w:line="240" w:lineRule="auto"/>
              <w:jc w:val="center"/>
              <w:rPr>
                <w:rFonts w:ascii="Arial Narrow" w:eastAsia="SimSun" w:hAnsi="Arial Narrow"/>
                <w:color w:val="000000" w:themeColor="text1"/>
                <w:sz w:val="20"/>
                <w:szCs w:val="20"/>
                <w:lang w:eastAsia="en-AU"/>
              </w:rPr>
            </w:pPr>
            <w:r w:rsidRPr="00C53C25">
              <w:rPr>
                <w:rFonts w:ascii="Arial Narrow" w:eastAsia="SimSun" w:hAnsi="Arial Narrow"/>
                <w:color w:val="000000" w:themeColor="text1"/>
                <w:sz w:val="20"/>
                <w:szCs w:val="20"/>
                <w:lang w:eastAsia="en-AU"/>
              </w:rPr>
              <w:t>0.44 (0.04, 4.50)</w:t>
            </w:r>
          </w:p>
        </w:tc>
      </w:tr>
      <w:tr w:rsidR="005E7102" w:rsidRPr="003A3555" w:rsidTr="00955CAB">
        <w:tc>
          <w:tcPr>
            <w:tcW w:w="1093" w:type="pct"/>
            <w:vMerge w:val="restart"/>
            <w:tcBorders>
              <w:right w:val="single" w:sz="4" w:space="0" w:color="auto"/>
            </w:tcBorders>
            <w:shd w:val="clear" w:color="auto" w:fill="auto"/>
            <w:tcMar>
              <w:left w:w="28" w:type="dxa"/>
              <w:right w:w="28" w:type="dxa"/>
            </w:tcMar>
            <w:vAlign w:val="center"/>
            <w:hideMark/>
          </w:tcPr>
          <w:p w:rsidR="005E7102" w:rsidRPr="00C53C25" w:rsidRDefault="005E7102" w:rsidP="00476EE6">
            <w:pPr>
              <w:pStyle w:val="Table"/>
              <w:spacing w:line="240" w:lineRule="auto"/>
              <w:rPr>
                <w:rFonts w:ascii="Arial Narrow" w:eastAsia="SimSun" w:hAnsi="Arial Narrow"/>
                <w:color w:val="000000" w:themeColor="text1"/>
                <w:sz w:val="20"/>
                <w:szCs w:val="20"/>
                <w:lang w:eastAsia="en-AU"/>
              </w:rPr>
            </w:pPr>
            <w:proofErr w:type="spellStart"/>
            <w:r w:rsidRPr="00C53C25">
              <w:rPr>
                <w:rFonts w:ascii="Arial Narrow" w:eastAsia="SimSun" w:hAnsi="Arial Narrow"/>
                <w:color w:val="000000" w:themeColor="text1"/>
                <w:sz w:val="20"/>
                <w:szCs w:val="20"/>
                <w:lang w:eastAsia="en-AU"/>
              </w:rPr>
              <w:t>Lenalidomide</w:t>
            </w:r>
            <w:proofErr w:type="spellEnd"/>
            <w:r w:rsidRPr="00C53C25">
              <w:rPr>
                <w:rFonts w:ascii="Arial Narrow" w:eastAsia="SimSun" w:hAnsi="Arial Narrow"/>
                <w:color w:val="000000" w:themeColor="text1"/>
                <w:sz w:val="20"/>
                <w:szCs w:val="20"/>
                <w:lang w:eastAsia="en-AU"/>
              </w:rPr>
              <w:t xml:space="preserve"> v. thalidomide</w:t>
            </w:r>
          </w:p>
        </w:tc>
        <w:tc>
          <w:tcPr>
            <w:tcW w:w="2739" w:type="pct"/>
            <w:tcBorders>
              <w:left w:val="single" w:sz="4" w:space="0" w:color="auto"/>
              <w:right w:val="single" w:sz="4" w:space="0" w:color="auto"/>
            </w:tcBorders>
            <w:shd w:val="clear" w:color="auto" w:fill="auto"/>
            <w:tcMar>
              <w:left w:w="28" w:type="dxa"/>
              <w:right w:w="28" w:type="dxa"/>
            </w:tcMar>
            <w:vAlign w:val="center"/>
          </w:tcPr>
          <w:p w:rsidR="005E7102" w:rsidRPr="00C53C25" w:rsidRDefault="005E7102" w:rsidP="00476EE6">
            <w:pPr>
              <w:pStyle w:val="Table"/>
              <w:spacing w:line="240" w:lineRule="auto"/>
              <w:rPr>
                <w:rFonts w:ascii="Arial Narrow" w:eastAsia="SimSun" w:hAnsi="Arial Narrow"/>
                <w:color w:val="000000" w:themeColor="text1"/>
                <w:sz w:val="20"/>
                <w:szCs w:val="20"/>
                <w:lang w:eastAsia="en-AU"/>
              </w:rPr>
            </w:pPr>
            <w:r w:rsidRPr="00C53C25">
              <w:rPr>
                <w:rFonts w:ascii="Arial Narrow" w:eastAsia="SimSun" w:hAnsi="Arial Narrow"/>
                <w:color w:val="000000" w:themeColor="text1"/>
                <w:sz w:val="20"/>
                <w:szCs w:val="20"/>
                <w:lang w:eastAsia="en-AU"/>
              </w:rPr>
              <w:t>Base case: CALGB (</w:t>
            </w:r>
            <w:proofErr w:type="spellStart"/>
            <w:r w:rsidRPr="00C53C25">
              <w:rPr>
                <w:rFonts w:ascii="Arial Narrow" w:eastAsia="SimSun" w:hAnsi="Arial Narrow"/>
                <w:color w:val="000000" w:themeColor="text1"/>
                <w:sz w:val="20"/>
                <w:szCs w:val="20"/>
                <w:lang w:eastAsia="en-AU"/>
              </w:rPr>
              <w:t>Adj</w:t>
            </w:r>
            <w:proofErr w:type="spellEnd"/>
            <w:r w:rsidRPr="00C53C25">
              <w:rPr>
                <w:rFonts w:ascii="Arial Narrow" w:eastAsia="SimSun" w:hAnsi="Arial Narrow"/>
                <w:color w:val="000000" w:themeColor="text1"/>
                <w:sz w:val="20"/>
                <w:szCs w:val="20"/>
                <w:lang w:eastAsia="en-AU"/>
              </w:rPr>
              <w:t xml:space="preserve">) vs Myeloma IX </w:t>
            </w:r>
          </w:p>
        </w:tc>
        <w:tc>
          <w:tcPr>
            <w:tcW w:w="1168" w:type="pct"/>
            <w:shd w:val="clear" w:color="auto" w:fill="auto"/>
            <w:tcMar>
              <w:left w:w="28" w:type="dxa"/>
              <w:right w:w="28" w:type="dxa"/>
            </w:tcMar>
            <w:vAlign w:val="center"/>
          </w:tcPr>
          <w:p w:rsidR="005E7102" w:rsidRPr="00C53C25" w:rsidRDefault="001D6F6D" w:rsidP="00476EE6">
            <w:pPr>
              <w:pStyle w:val="Table"/>
              <w:spacing w:line="240" w:lineRule="auto"/>
              <w:jc w:val="center"/>
              <w:rPr>
                <w:rFonts w:ascii="Arial Narrow" w:eastAsia="SimSun" w:hAnsi="Arial Narrow"/>
                <w:b/>
                <w:color w:val="000000" w:themeColor="text1"/>
                <w:sz w:val="20"/>
                <w:szCs w:val="20"/>
                <w:lang w:eastAsia="en-AU"/>
              </w:rPr>
            </w:pPr>
            <w:r>
              <w:rPr>
                <w:rFonts w:ascii="Arial Narrow" w:eastAsia="SimSun" w:hAnsi="Arial Narrow"/>
                <w:b/>
                <w:noProof/>
                <w:color w:val="000000"/>
                <w:sz w:val="20"/>
                <w:szCs w:val="20"/>
                <w:highlight w:val="black"/>
                <w:lang w:eastAsia="en-AU"/>
              </w:rPr>
              <w:t>''''''''</w:t>
            </w:r>
            <w:r w:rsidR="005E7102" w:rsidRPr="00C53C25">
              <w:rPr>
                <w:rFonts w:ascii="Arial Narrow" w:eastAsia="SimSun" w:hAnsi="Arial Narrow"/>
                <w:b/>
                <w:color w:val="000000" w:themeColor="text1"/>
                <w:sz w:val="20"/>
                <w:szCs w:val="20"/>
                <w:lang w:eastAsia="en-AU"/>
              </w:rPr>
              <w:t xml:space="preserve"> (</w:t>
            </w:r>
            <w:r>
              <w:rPr>
                <w:rFonts w:ascii="Arial Narrow" w:eastAsia="SimSun" w:hAnsi="Arial Narrow"/>
                <w:b/>
                <w:noProof/>
                <w:color w:val="000000"/>
                <w:sz w:val="20"/>
                <w:szCs w:val="20"/>
                <w:highlight w:val="black"/>
                <w:lang w:eastAsia="en-AU"/>
              </w:rPr>
              <w:t>'''''''''</w:t>
            </w:r>
            <w:r w:rsidR="005E7102" w:rsidRPr="00C53C25">
              <w:rPr>
                <w:rFonts w:ascii="Arial Narrow" w:eastAsia="SimSun" w:hAnsi="Arial Narrow"/>
                <w:b/>
                <w:color w:val="000000" w:themeColor="text1"/>
                <w:sz w:val="20"/>
                <w:szCs w:val="20"/>
                <w:lang w:eastAsia="en-AU"/>
              </w:rPr>
              <w:t xml:space="preserve">, </w:t>
            </w:r>
            <w:r>
              <w:rPr>
                <w:rFonts w:ascii="Arial Narrow" w:eastAsia="SimSun" w:hAnsi="Arial Narrow"/>
                <w:b/>
                <w:noProof/>
                <w:color w:val="000000"/>
                <w:sz w:val="20"/>
                <w:szCs w:val="20"/>
                <w:highlight w:val="black"/>
                <w:lang w:eastAsia="en-AU"/>
              </w:rPr>
              <w:t>''''''''</w:t>
            </w:r>
            <w:r w:rsidR="005E7102" w:rsidRPr="00C53C25">
              <w:rPr>
                <w:rFonts w:ascii="Arial Narrow" w:eastAsia="SimSun" w:hAnsi="Arial Narrow"/>
                <w:b/>
                <w:color w:val="000000" w:themeColor="text1"/>
                <w:sz w:val="20"/>
                <w:szCs w:val="20"/>
                <w:lang w:eastAsia="en-AU"/>
              </w:rPr>
              <w:t>)</w:t>
            </w:r>
          </w:p>
        </w:tc>
      </w:tr>
      <w:tr w:rsidR="005E7102" w:rsidRPr="003A3555" w:rsidTr="00955CAB">
        <w:tc>
          <w:tcPr>
            <w:tcW w:w="1093" w:type="pct"/>
            <w:vMerge/>
            <w:tcBorders>
              <w:right w:val="single" w:sz="4" w:space="0" w:color="auto"/>
            </w:tcBorders>
            <w:shd w:val="clear" w:color="auto" w:fill="auto"/>
            <w:tcMar>
              <w:left w:w="28" w:type="dxa"/>
              <w:right w:w="28" w:type="dxa"/>
            </w:tcMar>
            <w:vAlign w:val="center"/>
          </w:tcPr>
          <w:p w:rsidR="005E7102" w:rsidRPr="00C53C25" w:rsidRDefault="005E7102" w:rsidP="00476EE6">
            <w:pPr>
              <w:pStyle w:val="Table"/>
              <w:spacing w:line="240" w:lineRule="auto"/>
              <w:rPr>
                <w:rFonts w:ascii="Arial Narrow" w:eastAsia="SimSun" w:hAnsi="Arial Narrow"/>
                <w:color w:val="000000" w:themeColor="text1"/>
                <w:sz w:val="20"/>
                <w:szCs w:val="20"/>
                <w:lang w:eastAsia="en-AU"/>
              </w:rPr>
            </w:pPr>
          </w:p>
        </w:tc>
        <w:tc>
          <w:tcPr>
            <w:tcW w:w="2739" w:type="pct"/>
            <w:tcBorders>
              <w:left w:val="single" w:sz="4" w:space="0" w:color="auto"/>
              <w:right w:val="single" w:sz="4" w:space="0" w:color="auto"/>
            </w:tcBorders>
            <w:shd w:val="clear" w:color="auto" w:fill="auto"/>
            <w:tcMar>
              <w:left w:w="28" w:type="dxa"/>
              <w:right w:w="28" w:type="dxa"/>
            </w:tcMar>
            <w:vAlign w:val="center"/>
          </w:tcPr>
          <w:p w:rsidR="005E7102" w:rsidRPr="00C53C25" w:rsidRDefault="005E7102" w:rsidP="00476EE6">
            <w:pPr>
              <w:pStyle w:val="Table"/>
              <w:spacing w:line="240" w:lineRule="auto"/>
              <w:rPr>
                <w:rFonts w:ascii="Arial Narrow" w:eastAsia="SimSun" w:hAnsi="Arial Narrow"/>
                <w:color w:val="000000" w:themeColor="text1"/>
                <w:sz w:val="20"/>
                <w:szCs w:val="20"/>
                <w:lang w:eastAsia="en-AU"/>
              </w:rPr>
            </w:pPr>
            <w:r w:rsidRPr="00C53C25">
              <w:rPr>
                <w:rFonts w:ascii="Arial Narrow" w:eastAsia="SimSun" w:hAnsi="Arial Narrow"/>
                <w:color w:val="000000" w:themeColor="text1"/>
                <w:sz w:val="20"/>
                <w:szCs w:val="20"/>
                <w:lang w:eastAsia="en-AU"/>
              </w:rPr>
              <w:t>Sensitivity 1: CALGB (ITT) vs Myeloma IX</w:t>
            </w:r>
          </w:p>
        </w:tc>
        <w:tc>
          <w:tcPr>
            <w:tcW w:w="1168" w:type="pct"/>
            <w:shd w:val="clear" w:color="auto" w:fill="auto"/>
            <w:tcMar>
              <w:left w:w="28" w:type="dxa"/>
              <w:right w:w="28" w:type="dxa"/>
            </w:tcMar>
            <w:vAlign w:val="center"/>
          </w:tcPr>
          <w:p w:rsidR="005E7102" w:rsidRPr="00C53C25" w:rsidRDefault="005E7102" w:rsidP="00476EE6">
            <w:pPr>
              <w:pStyle w:val="Table"/>
              <w:spacing w:line="240" w:lineRule="auto"/>
              <w:jc w:val="center"/>
              <w:rPr>
                <w:rFonts w:ascii="Arial Narrow" w:eastAsia="SimSun" w:hAnsi="Arial Narrow"/>
                <w:b/>
                <w:color w:val="000000" w:themeColor="text1"/>
                <w:sz w:val="20"/>
                <w:szCs w:val="20"/>
                <w:lang w:eastAsia="en-AU"/>
              </w:rPr>
            </w:pPr>
            <w:r w:rsidRPr="00C53C25">
              <w:rPr>
                <w:rFonts w:ascii="Arial Narrow" w:eastAsia="SimSun" w:hAnsi="Arial Narrow"/>
                <w:b/>
                <w:color w:val="000000" w:themeColor="text1"/>
                <w:sz w:val="20"/>
                <w:szCs w:val="20"/>
                <w:lang w:eastAsia="en-AU"/>
              </w:rPr>
              <w:t>0.47 (0.30, 0.74)</w:t>
            </w:r>
          </w:p>
        </w:tc>
      </w:tr>
      <w:tr w:rsidR="005E7102" w:rsidRPr="003A3555" w:rsidTr="00955CAB">
        <w:tc>
          <w:tcPr>
            <w:tcW w:w="1093" w:type="pct"/>
            <w:vMerge/>
            <w:tcBorders>
              <w:right w:val="single" w:sz="4" w:space="0" w:color="auto"/>
            </w:tcBorders>
            <w:shd w:val="clear" w:color="auto" w:fill="auto"/>
            <w:tcMar>
              <w:left w:w="28" w:type="dxa"/>
              <w:right w:w="28" w:type="dxa"/>
            </w:tcMar>
            <w:vAlign w:val="center"/>
          </w:tcPr>
          <w:p w:rsidR="005E7102" w:rsidRPr="00C53C25" w:rsidRDefault="005E7102" w:rsidP="00476EE6">
            <w:pPr>
              <w:pStyle w:val="Table"/>
              <w:spacing w:line="240" w:lineRule="auto"/>
              <w:rPr>
                <w:rFonts w:ascii="Arial Narrow" w:eastAsia="SimSun" w:hAnsi="Arial Narrow"/>
                <w:color w:val="000000" w:themeColor="text1"/>
                <w:sz w:val="20"/>
                <w:szCs w:val="20"/>
                <w:lang w:eastAsia="en-AU"/>
              </w:rPr>
            </w:pPr>
          </w:p>
        </w:tc>
        <w:tc>
          <w:tcPr>
            <w:tcW w:w="2739" w:type="pct"/>
            <w:tcBorders>
              <w:left w:val="single" w:sz="4" w:space="0" w:color="auto"/>
              <w:right w:val="single" w:sz="4" w:space="0" w:color="auto"/>
            </w:tcBorders>
            <w:shd w:val="clear" w:color="auto" w:fill="auto"/>
            <w:tcMar>
              <w:left w:w="28" w:type="dxa"/>
              <w:right w:w="28" w:type="dxa"/>
            </w:tcMar>
            <w:vAlign w:val="center"/>
          </w:tcPr>
          <w:p w:rsidR="005E7102" w:rsidRPr="00C53C25" w:rsidRDefault="005E7102" w:rsidP="00476EE6">
            <w:pPr>
              <w:pStyle w:val="Table"/>
              <w:spacing w:line="240" w:lineRule="auto"/>
              <w:rPr>
                <w:rFonts w:ascii="Arial Narrow" w:eastAsia="SimSun" w:hAnsi="Arial Narrow"/>
                <w:color w:val="000000" w:themeColor="text1"/>
                <w:sz w:val="20"/>
                <w:szCs w:val="20"/>
                <w:lang w:eastAsia="en-AU"/>
              </w:rPr>
            </w:pPr>
            <w:r w:rsidRPr="00C53C25">
              <w:rPr>
                <w:rFonts w:ascii="Arial Narrow" w:eastAsia="SimSun" w:hAnsi="Arial Narrow"/>
                <w:color w:val="000000" w:themeColor="text1"/>
                <w:sz w:val="20"/>
                <w:szCs w:val="20"/>
                <w:lang w:eastAsia="en-AU"/>
              </w:rPr>
              <w:t xml:space="preserve">Sensitivity 2: CALGB (PP) vs Myeloma IX </w:t>
            </w:r>
          </w:p>
        </w:tc>
        <w:tc>
          <w:tcPr>
            <w:tcW w:w="1168" w:type="pct"/>
            <w:shd w:val="clear" w:color="auto" w:fill="auto"/>
            <w:tcMar>
              <w:left w:w="28" w:type="dxa"/>
              <w:right w:w="28" w:type="dxa"/>
            </w:tcMar>
            <w:vAlign w:val="center"/>
          </w:tcPr>
          <w:p w:rsidR="005E7102" w:rsidRPr="00C53C25" w:rsidRDefault="001D6F6D" w:rsidP="00476EE6">
            <w:pPr>
              <w:pStyle w:val="Table"/>
              <w:spacing w:line="240" w:lineRule="auto"/>
              <w:jc w:val="center"/>
              <w:rPr>
                <w:rFonts w:ascii="Arial Narrow" w:eastAsia="SimSun" w:hAnsi="Arial Narrow"/>
                <w:b/>
                <w:color w:val="000000" w:themeColor="text1"/>
                <w:sz w:val="20"/>
                <w:szCs w:val="20"/>
                <w:lang w:eastAsia="en-AU"/>
              </w:rPr>
            </w:pPr>
            <w:r>
              <w:rPr>
                <w:rFonts w:ascii="Arial Narrow" w:eastAsia="SimSun" w:hAnsi="Arial Narrow"/>
                <w:b/>
                <w:noProof/>
                <w:color w:val="000000"/>
                <w:sz w:val="20"/>
                <w:szCs w:val="20"/>
                <w:highlight w:val="black"/>
                <w:lang w:eastAsia="en-AU"/>
              </w:rPr>
              <w:t>''''''''''</w:t>
            </w:r>
            <w:r w:rsidR="005E7102" w:rsidRPr="00C53C25">
              <w:rPr>
                <w:rFonts w:ascii="Arial Narrow" w:eastAsia="SimSun" w:hAnsi="Arial Narrow"/>
                <w:b/>
                <w:color w:val="000000" w:themeColor="text1"/>
                <w:sz w:val="20"/>
                <w:szCs w:val="20"/>
                <w:lang w:eastAsia="en-AU"/>
              </w:rPr>
              <w:t xml:space="preserve"> (</w:t>
            </w:r>
            <w:r>
              <w:rPr>
                <w:rFonts w:ascii="Arial Narrow" w:eastAsia="SimSun" w:hAnsi="Arial Narrow"/>
                <w:b/>
                <w:noProof/>
                <w:color w:val="000000"/>
                <w:sz w:val="20"/>
                <w:szCs w:val="20"/>
                <w:highlight w:val="black"/>
                <w:lang w:eastAsia="en-AU"/>
              </w:rPr>
              <w:t>''''''''</w:t>
            </w:r>
            <w:r w:rsidR="005E7102" w:rsidRPr="00C53C25">
              <w:rPr>
                <w:rFonts w:ascii="Arial Narrow" w:eastAsia="SimSun" w:hAnsi="Arial Narrow"/>
                <w:b/>
                <w:color w:val="000000" w:themeColor="text1"/>
                <w:sz w:val="20"/>
                <w:szCs w:val="20"/>
                <w:lang w:eastAsia="en-AU"/>
              </w:rPr>
              <w:t xml:space="preserve">, </w:t>
            </w:r>
            <w:r>
              <w:rPr>
                <w:rFonts w:ascii="Arial Narrow" w:eastAsia="SimSun" w:hAnsi="Arial Narrow"/>
                <w:b/>
                <w:noProof/>
                <w:color w:val="000000"/>
                <w:sz w:val="20"/>
                <w:szCs w:val="20"/>
                <w:highlight w:val="black"/>
                <w:lang w:eastAsia="en-AU"/>
              </w:rPr>
              <w:t>'''''''''</w:t>
            </w:r>
            <w:r w:rsidR="005E7102" w:rsidRPr="00C53C25">
              <w:rPr>
                <w:rFonts w:ascii="Arial Narrow" w:eastAsia="SimSun" w:hAnsi="Arial Narrow"/>
                <w:b/>
                <w:color w:val="000000" w:themeColor="text1"/>
                <w:sz w:val="20"/>
                <w:szCs w:val="20"/>
                <w:lang w:eastAsia="en-AU"/>
              </w:rPr>
              <w:t>)</w:t>
            </w:r>
          </w:p>
        </w:tc>
      </w:tr>
      <w:tr w:rsidR="005E7102" w:rsidRPr="003A3555" w:rsidTr="00955CAB">
        <w:tc>
          <w:tcPr>
            <w:tcW w:w="1093" w:type="pct"/>
            <w:vMerge/>
            <w:tcBorders>
              <w:right w:val="single" w:sz="4" w:space="0" w:color="auto"/>
            </w:tcBorders>
            <w:shd w:val="clear" w:color="auto" w:fill="auto"/>
            <w:tcMar>
              <w:left w:w="28" w:type="dxa"/>
              <w:right w:w="28" w:type="dxa"/>
            </w:tcMar>
            <w:vAlign w:val="center"/>
          </w:tcPr>
          <w:p w:rsidR="005E7102" w:rsidRPr="00C53C25" w:rsidRDefault="005E7102" w:rsidP="00476EE6">
            <w:pPr>
              <w:pStyle w:val="Table"/>
              <w:spacing w:line="240" w:lineRule="auto"/>
              <w:rPr>
                <w:rFonts w:ascii="Arial Narrow" w:eastAsia="SimSun" w:hAnsi="Arial Narrow"/>
                <w:color w:val="000000" w:themeColor="text1"/>
                <w:sz w:val="20"/>
                <w:szCs w:val="20"/>
                <w:lang w:eastAsia="en-AU"/>
              </w:rPr>
            </w:pPr>
          </w:p>
        </w:tc>
        <w:tc>
          <w:tcPr>
            <w:tcW w:w="2739" w:type="pct"/>
            <w:tcBorders>
              <w:left w:val="single" w:sz="4" w:space="0" w:color="auto"/>
              <w:right w:val="single" w:sz="4" w:space="0" w:color="auto"/>
            </w:tcBorders>
            <w:shd w:val="clear" w:color="auto" w:fill="auto"/>
            <w:tcMar>
              <w:left w:w="28" w:type="dxa"/>
              <w:right w:w="28" w:type="dxa"/>
            </w:tcMar>
            <w:vAlign w:val="center"/>
          </w:tcPr>
          <w:p w:rsidR="005E7102" w:rsidRPr="00C53C25" w:rsidRDefault="005E7102" w:rsidP="00476EE6">
            <w:pPr>
              <w:pStyle w:val="Table"/>
              <w:spacing w:line="240" w:lineRule="auto"/>
              <w:rPr>
                <w:rFonts w:ascii="Arial Narrow" w:eastAsia="SimSun" w:hAnsi="Arial Narrow"/>
                <w:color w:val="000000" w:themeColor="text1"/>
                <w:sz w:val="20"/>
                <w:szCs w:val="20"/>
                <w:lang w:eastAsia="en-AU"/>
              </w:rPr>
            </w:pPr>
            <w:r w:rsidRPr="00C53C25">
              <w:rPr>
                <w:rFonts w:ascii="Arial Narrow" w:eastAsia="SimSun" w:hAnsi="Arial Narrow"/>
                <w:color w:val="000000" w:themeColor="text1"/>
                <w:sz w:val="20"/>
                <w:szCs w:val="20"/>
                <w:lang w:eastAsia="en-AU"/>
              </w:rPr>
              <w:t>Sensitivity 3: All trials (</w:t>
            </w:r>
            <w:proofErr w:type="spellStart"/>
            <w:r w:rsidRPr="00C53C25">
              <w:rPr>
                <w:rFonts w:ascii="Arial Narrow" w:eastAsia="SimSun" w:hAnsi="Arial Narrow"/>
                <w:color w:val="000000" w:themeColor="text1"/>
                <w:sz w:val="20"/>
                <w:szCs w:val="20"/>
                <w:lang w:eastAsia="en-AU"/>
              </w:rPr>
              <w:t>Adj</w:t>
            </w:r>
            <w:proofErr w:type="spellEnd"/>
            <w:r w:rsidRPr="00C53C25">
              <w:rPr>
                <w:rFonts w:ascii="Arial Narrow" w:eastAsia="SimSun" w:hAnsi="Arial Narrow"/>
                <w:color w:val="000000" w:themeColor="text1"/>
                <w:sz w:val="20"/>
                <w:szCs w:val="20"/>
                <w:lang w:eastAsia="en-AU"/>
              </w:rPr>
              <w:t xml:space="preserve">) </w:t>
            </w:r>
          </w:p>
        </w:tc>
        <w:tc>
          <w:tcPr>
            <w:tcW w:w="1168" w:type="pct"/>
            <w:shd w:val="clear" w:color="auto" w:fill="auto"/>
            <w:tcMar>
              <w:left w:w="28" w:type="dxa"/>
              <w:right w:w="28" w:type="dxa"/>
            </w:tcMar>
            <w:vAlign w:val="center"/>
          </w:tcPr>
          <w:p w:rsidR="00047508" w:rsidRPr="00C53C25" w:rsidRDefault="001D6F6D" w:rsidP="00476EE6">
            <w:pPr>
              <w:pStyle w:val="Table"/>
              <w:spacing w:line="240" w:lineRule="auto"/>
              <w:jc w:val="center"/>
              <w:rPr>
                <w:rFonts w:ascii="Arial Narrow" w:eastAsia="SimSun" w:hAnsi="Arial Narrow"/>
                <w:color w:val="000000" w:themeColor="text1"/>
                <w:sz w:val="20"/>
                <w:szCs w:val="20"/>
                <w:lang w:eastAsia="en-AU"/>
              </w:rPr>
            </w:pPr>
            <w:r>
              <w:rPr>
                <w:rFonts w:ascii="Arial Narrow" w:eastAsia="SimSun" w:hAnsi="Arial Narrow"/>
                <w:noProof/>
                <w:color w:val="000000"/>
                <w:sz w:val="20"/>
                <w:szCs w:val="20"/>
                <w:highlight w:val="black"/>
                <w:lang w:eastAsia="en-AU"/>
              </w:rPr>
              <w:t>'''''''''''</w:t>
            </w:r>
            <w:r w:rsidR="00047508" w:rsidRPr="00C53C25">
              <w:rPr>
                <w:rFonts w:ascii="Arial Narrow" w:eastAsia="SimSun" w:hAnsi="Arial Narrow"/>
                <w:color w:val="000000" w:themeColor="text1"/>
                <w:sz w:val="20"/>
                <w:szCs w:val="20"/>
                <w:lang w:eastAsia="en-AU"/>
              </w:rPr>
              <w:t xml:space="preserve"> (</w:t>
            </w:r>
            <w:r>
              <w:rPr>
                <w:rFonts w:ascii="Arial Narrow" w:eastAsia="SimSun" w:hAnsi="Arial Narrow"/>
                <w:noProof/>
                <w:color w:val="000000"/>
                <w:sz w:val="20"/>
                <w:szCs w:val="20"/>
                <w:highlight w:val="black"/>
                <w:lang w:eastAsia="en-AU"/>
              </w:rPr>
              <w:t>'''''''''''</w:t>
            </w:r>
            <w:r w:rsidR="00047508" w:rsidRPr="00C53C25">
              <w:rPr>
                <w:rFonts w:ascii="Arial Narrow" w:eastAsia="SimSun" w:hAnsi="Arial Narrow"/>
                <w:color w:val="000000" w:themeColor="text1"/>
                <w:sz w:val="20"/>
                <w:szCs w:val="20"/>
                <w:lang w:eastAsia="en-AU"/>
              </w:rPr>
              <w:t xml:space="preserve">, </w:t>
            </w:r>
            <w:r>
              <w:rPr>
                <w:rFonts w:ascii="Arial Narrow" w:eastAsia="SimSun" w:hAnsi="Arial Narrow"/>
                <w:noProof/>
                <w:color w:val="000000"/>
                <w:sz w:val="20"/>
                <w:szCs w:val="20"/>
                <w:highlight w:val="black"/>
                <w:lang w:eastAsia="en-AU"/>
              </w:rPr>
              <w:t>''''''''''''''</w:t>
            </w:r>
            <w:r w:rsidR="00047508" w:rsidRPr="00C53C25">
              <w:rPr>
                <w:rFonts w:ascii="Arial Narrow" w:eastAsia="SimSun" w:hAnsi="Arial Narrow"/>
                <w:color w:val="000000" w:themeColor="text1"/>
                <w:sz w:val="20"/>
                <w:szCs w:val="20"/>
                <w:lang w:eastAsia="en-AU"/>
              </w:rPr>
              <w:t>)</w:t>
            </w:r>
          </w:p>
        </w:tc>
      </w:tr>
      <w:tr w:rsidR="005E7102" w:rsidRPr="003A3555" w:rsidTr="00955CAB">
        <w:tc>
          <w:tcPr>
            <w:tcW w:w="1093" w:type="pct"/>
            <w:vMerge/>
            <w:tcBorders>
              <w:right w:val="single" w:sz="4" w:space="0" w:color="auto"/>
            </w:tcBorders>
            <w:shd w:val="clear" w:color="auto" w:fill="auto"/>
            <w:tcMar>
              <w:left w:w="28" w:type="dxa"/>
              <w:right w:w="28" w:type="dxa"/>
            </w:tcMar>
            <w:vAlign w:val="center"/>
          </w:tcPr>
          <w:p w:rsidR="005E7102" w:rsidRPr="00C53C25" w:rsidRDefault="005E7102" w:rsidP="00476EE6">
            <w:pPr>
              <w:pStyle w:val="Table"/>
              <w:spacing w:line="240" w:lineRule="auto"/>
              <w:rPr>
                <w:rFonts w:ascii="Arial Narrow" w:eastAsia="SimSun" w:hAnsi="Arial Narrow"/>
                <w:color w:val="000000" w:themeColor="text1"/>
                <w:sz w:val="20"/>
                <w:szCs w:val="20"/>
                <w:lang w:eastAsia="en-AU"/>
              </w:rPr>
            </w:pPr>
          </w:p>
        </w:tc>
        <w:tc>
          <w:tcPr>
            <w:tcW w:w="2739" w:type="pct"/>
            <w:tcBorders>
              <w:left w:val="single" w:sz="4" w:space="0" w:color="auto"/>
              <w:right w:val="single" w:sz="4" w:space="0" w:color="auto"/>
            </w:tcBorders>
            <w:shd w:val="clear" w:color="auto" w:fill="auto"/>
            <w:tcMar>
              <w:left w:w="28" w:type="dxa"/>
              <w:right w:w="28" w:type="dxa"/>
            </w:tcMar>
            <w:vAlign w:val="center"/>
          </w:tcPr>
          <w:p w:rsidR="005E7102" w:rsidRPr="00C53C25" w:rsidRDefault="005E7102" w:rsidP="00476EE6">
            <w:pPr>
              <w:pStyle w:val="Table"/>
              <w:spacing w:line="240" w:lineRule="auto"/>
              <w:rPr>
                <w:rFonts w:ascii="Arial Narrow" w:eastAsia="SimSun" w:hAnsi="Arial Narrow"/>
                <w:color w:val="000000" w:themeColor="text1"/>
                <w:sz w:val="20"/>
                <w:szCs w:val="20"/>
                <w:lang w:eastAsia="en-AU"/>
              </w:rPr>
            </w:pPr>
            <w:r w:rsidRPr="00C53C25">
              <w:rPr>
                <w:rFonts w:ascii="Arial Narrow" w:eastAsia="SimSun" w:hAnsi="Arial Narrow"/>
                <w:color w:val="000000" w:themeColor="text1"/>
                <w:sz w:val="20"/>
                <w:szCs w:val="20"/>
                <w:lang w:eastAsia="en-AU"/>
              </w:rPr>
              <w:t xml:space="preserve">Sensitivity 4: All trials (ITT) </w:t>
            </w:r>
          </w:p>
        </w:tc>
        <w:tc>
          <w:tcPr>
            <w:tcW w:w="1168" w:type="pct"/>
            <w:shd w:val="clear" w:color="auto" w:fill="auto"/>
            <w:tcMar>
              <w:left w:w="28" w:type="dxa"/>
              <w:right w:w="28" w:type="dxa"/>
            </w:tcMar>
            <w:vAlign w:val="center"/>
          </w:tcPr>
          <w:p w:rsidR="00047508" w:rsidRPr="00C53C25" w:rsidRDefault="001D6F6D" w:rsidP="00476EE6">
            <w:pPr>
              <w:pStyle w:val="Table"/>
              <w:spacing w:line="240" w:lineRule="auto"/>
              <w:jc w:val="center"/>
              <w:rPr>
                <w:rFonts w:ascii="Arial Narrow" w:eastAsia="SimSun" w:hAnsi="Arial Narrow"/>
                <w:color w:val="000000" w:themeColor="text1"/>
                <w:sz w:val="20"/>
                <w:szCs w:val="20"/>
                <w:lang w:eastAsia="en-AU"/>
              </w:rPr>
            </w:pPr>
            <w:r>
              <w:rPr>
                <w:rFonts w:ascii="Arial Narrow" w:eastAsia="SimSun" w:hAnsi="Arial Narrow"/>
                <w:noProof/>
                <w:color w:val="000000"/>
                <w:sz w:val="20"/>
                <w:szCs w:val="20"/>
                <w:highlight w:val="black"/>
                <w:lang w:eastAsia="en-AU"/>
              </w:rPr>
              <w:t>'''''''''''</w:t>
            </w:r>
            <w:r w:rsidR="00047508" w:rsidRPr="00C53C25">
              <w:rPr>
                <w:rFonts w:ascii="Arial Narrow" w:eastAsia="SimSun" w:hAnsi="Arial Narrow"/>
                <w:color w:val="000000" w:themeColor="text1"/>
                <w:sz w:val="20"/>
                <w:szCs w:val="20"/>
                <w:lang w:eastAsia="en-AU"/>
              </w:rPr>
              <w:t xml:space="preserve"> (</w:t>
            </w:r>
            <w:r>
              <w:rPr>
                <w:rFonts w:ascii="Arial Narrow" w:eastAsia="SimSun" w:hAnsi="Arial Narrow"/>
                <w:noProof/>
                <w:color w:val="000000"/>
                <w:sz w:val="20"/>
                <w:szCs w:val="20"/>
                <w:highlight w:val="black"/>
                <w:lang w:eastAsia="en-AU"/>
              </w:rPr>
              <w:t>'''''''''''</w:t>
            </w:r>
            <w:r w:rsidR="00047508" w:rsidRPr="00C53C25">
              <w:rPr>
                <w:rFonts w:ascii="Arial Narrow" w:eastAsia="SimSun" w:hAnsi="Arial Narrow"/>
                <w:color w:val="000000" w:themeColor="text1"/>
                <w:sz w:val="20"/>
                <w:szCs w:val="20"/>
                <w:lang w:eastAsia="en-AU"/>
              </w:rPr>
              <w:t xml:space="preserve">, </w:t>
            </w:r>
            <w:r>
              <w:rPr>
                <w:rFonts w:ascii="Arial Narrow" w:eastAsia="SimSun" w:hAnsi="Arial Narrow"/>
                <w:noProof/>
                <w:color w:val="000000"/>
                <w:sz w:val="20"/>
                <w:szCs w:val="20"/>
                <w:highlight w:val="black"/>
                <w:lang w:eastAsia="en-AU"/>
              </w:rPr>
              <w:t>'''''''''''''</w:t>
            </w:r>
            <w:r w:rsidR="00047508" w:rsidRPr="00C53C25">
              <w:rPr>
                <w:rFonts w:ascii="Arial Narrow" w:eastAsia="SimSun" w:hAnsi="Arial Narrow"/>
                <w:color w:val="000000" w:themeColor="text1"/>
                <w:sz w:val="20"/>
                <w:szCs w:val="20"/>
                <w:lang w:eastAsia="en-AU"/>
              </w:rPr>
              <w:t>)</w:t>
            </w:r>
          </w:p>
        </w:tc>
      </w:tr>
      <w:tr w:rsidR="005E7102" w:rsidRPr="003A3555" w:rsidTr="00955CAB">
        <w:tc>
          <w:tcPr>
            <w:tcW w:w="1093" w:type="pct"/>
            <w:vMerge/>
            <w:tcBorders>
              <w:right w:val="single" w:sz="4" w:space="0" w:color="auto"/>
            </w:tcBorders>
            <w:shd w:val="clear" w:color="auto" w:fill="auto"/>
            <w:tcMar>
              <w:left w:w="28" w:type="dxa"/>
              <w:right w:w="28" w:type="dxa"/>
            </w:tcMar>
            <w:vAlign w:val="center"/>
          </w:tcPr>
          <w:p w:rsidR="005E7102" w:rsidRPr="00C53C25" w:rsidRDefault="005E7102" w:rsidP="00476EE6">
            <w:pPr>
              <w:pStyle w:val="Table"/>
              <w:spacing w:line="240" w:lineRule="auto"/>
              <w:rPr>
                <w:rFonts w:ascii="Arial Narrow" w:eastAsia="SimSun" w:hAnsi="Arial Narrow"/>
                <w:color w:val="000000" w:themeColor="text1"/>
                <w:sz w:val="20"/>
                <w:szCs w:val="20"/>
                <w:lang w:eastAsia="en-AU"/>
              </w:rPr>
            </w:pPr>
          </w:p>
        </w:tc>
        <w:tc>
          <w:tcPr>
            <w:tcW w:w="2739" w:type="pct"/>
            <w:tcBorders>
              <w:left w:val="single" w:sz="4" w:space="0" w:color="auto"/>
              <w:right w:val="single" w:sz="4" w:space="0" w:color="auto"/>
            </w:tcBorders>
            <w:shd w:val="clear" w:color="auto" w:fill="auto"/>
            <w:tcMar>
              <w:left w:w="28" w:type="dxa"/>
              <w:right w:w="28" w:type="dxa"/>
            </w:tcMar>
            <w:vAlign w:val="center"/>
          </w:tcPr>
          <w:p w:rsidR="005E7102" w:rsidRPr="00C53C25" w:rsidRDefault="005E7102" w:rsidP="00476EE6">
            <w:pPr>
              <w:pStyle w:val="Table"/>
              <w:spacing w:line="240" w:lineRule="auto"/>
              <w:rPr>
                <w:rFonts w:ascii="Arial Narrow" w:eastAsia="SimSun" w:hAnsi="Arial Narrow"/>
                <w:color w:val="000000" w:themeColor="text1"/>
                <w:sz w:val="20"/>
                <w:szCs w:val="20"/>
                <w:lang w:eastAsia="en-AU"/>
              </w:rPr>
            </w:pPr>
            <w:r w:rsidRPr="00C53C25">
              <w:rPr>
                <w:rFonts w:ascii="Arial Narrow" w:eastAsia="SimSun" w:hAnsi="Arial Narrow"/>
                <w:color w:val="000000" w:themeColor="text1"/>
                <w:sz w:val="20"/>
                <w:szCs w:val="20"/>
                <w:lang w:eastAsia="en-AU"/>
              </w:rPr>
              <w:t xml:space="preserve">Sensitivity 5: All trials (PP) </w:t>
            </w:r>
          </w:p>
        </w:tc>
        <w:tc>
          <w:tcPr>
            <w:tcW w:w="1168" w:type="pct"/>
            <w:shd w:val="clear" w:color="auto" w:fill="auto"/>
            <w:tcMar>
              <w:left w:w="28" w:type="dxa"/>
              <w:right w:w="28" w:type="dxa"/>
            </w:tcMar>
          </w:tcPr>
          <w:p w:rsidR="005E7102" w:rsidRPr="00C53C25" w:rsidRDefault="001D6F6D" w:rsidP="00476EE6">
            <w:pPr>
              <w:pStyle w:val="Table"/>
              <w:spacing w:line="240" w:lineRule="auto"/>
              <w:jc w:val="center"/>
              <w:rPr>
                <w:rFonts w:ascii="Arial Narrow" w:eastAsia="SimSun" w:hAnsi="Arial Narrow"/>
                <w:color w:val="000000" w:themeColor="text1"/>
                <w:sz w:val="20"/>
                <w:szCs w:val="20"/>
                <w:lang w:eastAsia="en-AU"/>
              </w:rPr>
            </w:pPr>
            <w:r>
              <w:rPr>
                <w:rFonts w:ascii="Arial Narrow" w:eastAsia="SimSun" w:hAnsi="Arial Narrow"/>
                <w:noProof/>
                <w:color w:val="000000"/>
                <w:sz w:val="20"/>
                <w:szCs w:val="20"/>
                <w:highlight w:val="black"/>
                <w:lang w:eastAsia="en-AU"/>
              </w:rPr>
              <w:t>''''''''''</w:t>
            </w:r>
            <w:r w:rsidR="00F523B5" w:rsidRPr="00F523B5">
              <w:rPr>
                <w:rFonts w:ascii="Arial Narrow" w:eastAsia="SimSun" w:hAnsi="Arial Narrow"/>
                <w:color w:val="000000" w:themeColor="text1"/>
                <w:sz w:val="20"/>
                <w:szCs w:val="20"/>
                <w:lang w:eastAsia="en-AU"/>
              </w:rPr>
              <w:t xml:space="preserve"> (</w:t>
            </w:r>
            <w:r>
              <w:rPr>
                <w:rFonts w:ascii="Arial Narrow" w:eastAsia="SimSun" w:hAnsi="Arial Narrow"/>
                <w:noProof/>
                <w:color w:val="000000"/>
                <w:sz w:val="20"/>
                <w:szCs w:val="20"/>
                <w:highlight w:val="black"/>
                <w:lang w:eastAsia="en-AU"/>
              </w:rPr>
              <w:t>'''''''''''</w:t>
            </w:r>
            <w:r w:rsidR="00F523B5" w:rsidRPr="00F523B5">
              <w:rPr>
                <w:rFonts w:ascii="Arial Narrow" w:eastAsia="SimSun" w:hAnsi="Arial Narrow"/>
                <w:color w:val="000000" w:themeColor="text1"/>
                <w:sz w:val="20"/>
                <w:szCs w:val="20"/>
                <w:lang w:eastAsia="en-AU"/>
              </w:rPr>
              <w:t xml:space="preserve">, </w:t>
            </w:r>
            <w:r>
              <w:rPr>
                <w:rFonts w:ascii="Arial Narrow" w:eastAsia="SimSun" w:hAnsi="Arial Narrow"/>
                <w:noProof/>
                <w:color w:val="000000"/>
                <w:sz w:val="20"/>
                <w:szCs w:val="20"/>
                <w:highlight w:val="black"/>
                <w:lang w:eastAsia="en-AU"/>
              </w:rPr>
              <w:t>''''''''''''''</w:t>
            </w:r>
            <w:r w:rsidR="00F523B5" w:rsidRPr="00F523B5">
              <w:rPr>
                <w:rFonts w:ascii="Arial Narrow" w:eastAsia="SimSun" w:hAnsi="Arial Narrow"/>
                <w:color w:val="000000" w:themeColor="text1"/>
                <w:sz w:val="20"/>
                <w:szCs w:val="20"/>
                <w:lang w:eastAsia="en-AU"/>
              </w:rPr>
              <w:t>)</w:t>
            </w:r>
          </w:p>
        </w:tc>
      </w:tr>
    </w:tbl>
    <w:p w:rsidR="005E7102" w:rsidRPr="003A3555" w:rsidRDefault="005E7102" w:rsidP="00476EE6">
      <w:pPr>
        <w:widowControl/>
        <w:rPr>
          <w:rFonts w:ascii="Arial Narrow" w:hAnsi="Arial Narrow"/>
          <w:color w:val="000000" w:themeColor="text1"/>
          <w:sz w:val="18"/>
          <w:szCs w:val="18"/>
        </w:rPr>
      </w:pPr>
      <w:proofErr w:type="spellStart"/>
      <w:r w:rsidRPr="003A3555">
        <w:rPr>
          <w:rFonts w:ascii="Arial Narrow" w:hAnsi="Arial Narrow"/>
          <w:color w:val="000000" w:themeColor="text1"/>
          <w:sz w:val="18"/>
          <w:szCs w:val="18"/>
        </w:rPr>
        <w:t>Adj</w:t>
      </w:r>
      <w:proofErr w:type="spellEnd"/>
      <w:r w:rsidR="00955CAB">
        <w:rPr>
          <w:rFonts w:ascii="Arial Narrow" w:hAnsi="Arial Narrow"/>
          <w:color w:val="000000" w:themeColor="text1"/>
          <w:sz w:val="18"/>
          <w:szCs w:val="18"/>
        </w:rPr>
        <w:t xml:space="preserve"> </w:t>
      </w:r>
      <w:r w:rsidRPr="003A3555">
        <w:rPr>
          <w:rFonts w:ascii="Arial Narrow" w:hAnsi="Arial Narrow"/>
          <w:color w:val="000000" w:themeColor="text1"/>
          <w:sz w:val="18"/>
          <w:szCs w:val="18"/>
        </w:rPr>
        <w:t>=</w:t>
      </w:r>
      <w:r w:rsidR="00955CAB">
        <w:rPr>
          <w:rFonts w:ascii="Arial Narrow" w:hAnsi="Arial Narrow"/>
          <w:color w:val="000000" w:themeColor="text1"/>
          <w:sz w:val="18"/>
          <w:szCs w:val="18"/>
        </w:rPr>
        <w:t xml:space="preserve"> </w:t>
      </w:r>
      <w:r w:rsidRPr="003A3555">
        <w:rPr>
          <w:rFonts w:ascii="Arial Narrow" w:hAnsi="Arial Narrow"/>
          <w:color w:val="000000" w:themeColor="text1"/>
          <w:sz w:val="18"/>
          <w:szCs w:val="18"/>
        </w:rPr>
        <w:t xml:space="preserve">adjusted for crossover; </w:t>
      </w:r>
      <w:r w:rsidR="00C53C25">
        <w:rPr>
          <w:rFonts w:ascii="Arial Narrow" w:hAnsi="Arial Narrow"/>
          <w:color w:val="000000" w:themeColor="text1"/>
          <w:sz w:val="18"/>
          <w:szCs w:val="18"/>
        </w:rPr>
        <w:t xml:space="preserve">BSC = best supportive care; </w:t>
      </w:r>
      <w:r w:rsidRPr="003A3555">
        <w:rPr>
          <w:rFonts w:ascii="Arial Narrow" w:hAnsi="Arial Narrow"/>
          <w:color w:val="000000" w:themeColor="text1"/>
          <w:sz w:val="18"/>
          <w:szCs w:val="18"/>
        </w:rPr>
        <w:t>CI</w:t>
      </w:r>
      <w:r w:rsidR="00955CAB">
        <w:rPr>
          <w:rFonts w:ascii="Arial Narrow" w:hAnsi="Arial Narrow"/>
          <w:color w:val="000000" w:themeColor="text1"/>
          <w:sz w:val="18"/>
          <w:szCs w:val="18"/>
        </w:rPr>
        <w:t xml:space="preserve"> </w:t>
      </w:r>
      <w:r w:rsidRPr="003A3555">
        <w:rPr>
          <w:rFonts w:ascii="Arial Narrow" w:hAnsi="Arial Narrow"/>
          <w:color w:val="000000" w:themeColor="text1"/>
          <w:sz w:val="18"/>
          <w:szCs w:val="18"/>
        </w:rPr>
        <w:t>=</w:t>
      </w:r>
      <w:r w:rsidR="00955CAB">
        <w:rPr>
          <w:rFonts w:ascii="Arial Narrow" w:hAnsi="Arial Narrow"/>
          <w:color w:val="000000" w:themeColor="text1"/>
          <w:sz w:val="18"/>
          <w:szCs w:val="18"/>
        </w:rPr>
        <w:t xml:space="preserve"> </w:t>
      </w:r>
      <w:r w:rsidRPr="003A3555">
        <w:rPr>
          <w:rFonts w:ascii="Arial Narrow" w:hAnsi="Arial Narrow"/>
          <w:color w:val="000000" w:themeColor="text1"/>
          <w:sz w:val="18"/>
          <w:szCs w:val="18"/>
        </w:rPr>
        <w:t>confidence interval; HR</w:t>
      </w:r>
      <w:r w:rsidR="00955CAB">
        <w:rPr>
          <w:rFonts w:ascii="Arial Narrow" w:hAnsi="Arial Narrow"/>
          <w:color w:val="000000" w:themeColor="text1"/>
          <w:sz w:val="18"/>
          <w:szCs w:val="18"/>
        </w:rPr>
        <w:t xml:space="preserve"> </w:t>
      </w:r>
      <w:r w:rsidRPr="003A3555">
        <w:rPr>
          <w:rFonts w:ascii="Arial Narrow" w:hAnsi="Arial Narrow"/>
          <w:color w:val="000000" w:themeColor="text1"/>
          <w:sz w:val="18"/>
          <w:szCs w:val="18"/>
        </w:rPr>
        <w:t>=</w:t>
      </w:r>
      <w:r w:rsidR="00955CAB">
        <w:rPr>
          <w:rFonts w:ascii="Arial Narrow" w:hAnsi="Arial Narrow"/>
          <w:color w:val="000000" w:themeColor="text1"/>
          <w:sz w:val="18"/>
          <w:szCs w:val="18"/>
        </w:rPr>
        <w:t xml:space="preserve"> </w:t>
      </w:r>
      <w:r w:rsidRPr="003A3555">
        <w:rPr>
          <w:rFonts w:ascii="Arial Narrow" w:hAnsi="Arial Narrow"/>
          <w:color w:val="000000" w:themeColor="text1"/>
          <w:sz w:val="18"/>
          <w:szCs w:val="18"/>
        </w:rPr>
        <w:t>hazard ratio; ITT</w:t>
      </w:r>
      <w:r w:rsidR="00955CAB">
        <w:rPr>
          <w:rFonts w:ascii="Arial Narrow" w:hAnsi="Arial Narrow"/>
          <w:color w:val="000000" w:themeColor="text1"/>
          <w:sz w:val="18"/>
          <w:szCs w:val="18"/>
        </w:rPr>
        <w:t xml:space="preserve"> </w:t>
      </w:r>
      <w:r w:rsidRPr="003A3555">
        <w:rPr>
          <w:rFonts w:ascii="Arial Narrow" w:hAnsi="Arial Narrow"/>
          <w:color w:val="000000" w:themeColor="text1"/>
          <w:sz w:val="18"/>
          <w:szCs w:val="18"/>
        </w:rPr>
        <w:t>=</w:t>
      </w:r>
      <w:r w:rsidR="00955CAB">
        <w:rPr>
          <w:rFonts w:ascii="Arial Narrow" w:hAnsi="Arial Narrow"/>
          <w:color w:val="000000" w:themeColor="text1"/>
          <w:sz w:val="18"/>
          <w:szCs w:val="18"/>
        </w:rPr>
        <w:t xml:space="preserve"> </w:t>
      </w:r>
      <w:r w:rsidRPr="003A3555">
        <w:rPr>
          <w:rFonts w:ascii="Arial Narrow" w:hAnsi="Arial Narrow"/>
          <w:color w:val="000000" w:themeColor="text1"/>
          <w:sz w:val="18"/>
          <w:szCs w:val="18"/>
        </w:rPr>
        <w:t>intention to treat</w:t>
      </w:r>
    </w:p>
    <w:p w:rsidR="005E7102" w:rsidRPr="003A3555" w:rsidRDefault="005E7102" w:rsidP="00476EE6">
      <w:pPr>
        <w:widowControl/>
        <w:rPr>
          <w:rFonts w:ascii="Arial Narrow" w:hAnsi="Arial Narrow"/>
          <w:color w:val="000000" w:themeColor="text1"/>
          <w:sz w:val="18"/>
          <w:szCs w:val="18"/>
        </w:rPr>
      </w:pPr>
      <w:r w:rsidRPr="003A3555">
        <w:rPr>
          <w:rFonts w:ascii="Arial Narrow" w:hAnsi="Arial Narrow"/>
          <w:color w:val="000000" w:themeColor="text1"/>
          <w:sz w:val="18"/>
          <w:szCs w:val="18"/>
        </w:rPr>
        <w:t>Note: CALGB and IFM2005-02(Feb 2016 data cut-off); GIMEMA (Mar 2015 data cut-off); Myeloma XI (Sep 2017 data cut-off); Myeloma IX (Oct 2009 data cut-off); MM6 (Dec 2012 data cut-off)</w:t>
      </w:r>
    </w:p>
    <w:p w:rsidR="005E7102" w:rsidRPr="003A3555" w:rsidRDefault="005E7102" w:rsidP="00476EE6">
      <w:pPr>
        <w:pStyle w:val="TableFooter"/>
        <w:widowControl/>
        <w:rPr>
          <w:i/>
          <w:color w:val="000000" w:themeColor="text1"/>
        </w:rPr>
      </w:pPr>
      <w:r w:rsidRPr="003A3555">
        <w:rPr>
          <w:color w:val="000000" w:themeColor="text1"/>
          <w:szCs w:val="18"/>
        </w:rPr>
        <w:t>Source: Table 2-16, p.43 of the resubmission.</w:t>
      </w:r>
    </w:p>
    <w:p w:rsidR="005E7102" w:rsidRPr="003A3555" w:rsidRDefault="005E7102" w:rsidP="00BE016A">
      <w:pPr>
        <w:pStyle w:val="Heading2"/>
        <w:widowControl/>
        <w:spacing w:before="120"/>
      </w:pPr>
      <w:bookmarkStart w:id="33" w:name="_Toc532395964"/>
      <w:bookmarkStart w:id="34" w:name="_Toc532805607"/>
      <w:bookmarkStart w:id="35" w:name="_Toc533163397"/>
      <w:r w:rsidRPr="003A3555">
        <w:t>Comparative harms</w:t>
      </w:r>
      <w:bookmarkEnd w:id="33"/>
      <w:bookmarkEnd w:id="34"/>
      <w:bookmarkEnd w:id="35"/>
    </w:p>
    <w:p w:rsidR="005E7102" w:rsidRPr="00600AD1" w:rsidRDefault="005E7102" w:rsidP="00BE016A">
      <w:pPr>
        <w:pStyle w:val="ListParagraph"/>
        <w:widowControl/>
        <w:numPr>
          <w:ilvl w:val="1"/>
          <w:numId w:val="2"/>
        </w:numPr>
        <w:spacing w:before="120"/>
      </w:pPr>
      <w:r w:rsidRPr="003A3555">
        <w:t xml:space="preserve">A summary of the adverse events (AEs) and occurrence of second primary malignancies (SPMs) in the randomised trials CALGB and IFM2005-02 </w:t>
      </w:r>
      <w:proofErr w:type="gramStart"/>
      <w:r w:rsidRPr="003A3555">
        <w:t>is presented</w:t>
      </w:r>
      <w:proofErr w:type="gramEnd"/>
      <w:r w:rsidRPr="003A3555">
        <w:t xml:space="preserve"> in Tables </w:t>
      </w:r>
      <w:r w:rsidR="00097671">
        <w:t>18</w:t>
      </w:r>
      <w:r w:rsidR="00F8641D" w:rsidRPr="003A3555">
        <w:t xml:space="preserve"> </w:t>
      </w:r>
      <w:r w:rsidRPr="003A3555">
        <w:t xml:space="preserve">and </w:t>
      </w:r>
      <w:r w:rsidR="00097671">
        <w:t>19</w:t>
      </w:r>
      <w:r w:rsidRPr="003A3555">
        <w:t xml:space="preserve">. </w:t>
      </w:r>
      <w:r w:rsidRPr="00600AD1">
        <w:t xml:space="preserve">This shows that the use of </w:t>
      </w:r>
      <w:proofErr w:type="spellStart"/>
      <w:r w:rsidRPr="00600AD1">
        <w:t>lenalidomide</w:t>
      </w:r>
      <w:proofErr w:type="spellEnd"/>
      <w:r w:rsidRPr="00600AD1">
        <w:t xml:space="preserve"> compared with placebo is associated with a higher incidence of haematological AEs (neutropenia, leukopenia, </w:t>
      </w:r>
      <w:proofErr w:type="gramStart"/>
      <w:r w:rsidRPr="00600AD1">
        <w:t>thrombocytopenia</w:t>
      </w:r>
      <w:proofErr w:type="gramEnd"/>
      <w:r w:rsidRPr="00600AD1">
        <w:t>), infections (lung infection, pneumonia), fatigue and SPMs.</w:t>
      </w:r>
    </w:p>
    <w:p w:rsidR="00980EAF" w:rsidRPr="003A3555" w:rsidRDefault="00980EAF" w:rsidP="00476EE6">
      <w:pPr>
        <w:widowControl/>
        <w:jc w:val="left"/>
        <w:rPr>
          <w:rFonts w:ascii="Arial Narrow" w:hAnsi="Arial Narrow" w:cs="Times New Roman"/>
          <w:b/>
          <w:snapToGrid/>
          <w:sz w:val="20"/>
        </w:rPr>
      </w:pPr>
      <w:r w:rsidRPr="003A3555">
        <w:rPr>
          <w:b/>
        </w:rPr>
        <w:br w:type="page"/>
      </w:r>
    </w:p>
    <w:p w:rsidR="005E7102" w:rsidRPr="003A3555" w:rsidRDefault="005E7102" w:rsidP="00476EE6">
      <w:pPr>
        <w:pStyle w:val="Tabletext"/>
        <w:keepNext/>
        <w:rPr>
          <w:b/>
        </w:rPr>
      </w:pPr>
      <w:r w:rsidRPr="003A3555">
        <w:rPr>
          <w:b/>
        </w:rPr>
        <w:lastRenderedPageBreak/>
        <w:t xml:space="preserve">Table </w:t>
      </w:r>
      <w:r w:rsidR="00F8641D" w:rsidRPr="003A3555">
        <w:rPr>
          <w:b/>
        </w:rPr>
        <w:t>1</w:t>
      </w:r>
      <w:r w:rsidR="00097671">
        <w:rPr>
          <w:b/>
        </w:rPr>
        <w:t>8</w:t>
      </w:r>
      <w:r w:rsidRPr="003A3555">
        <w:rPr>
          <w:b/>
        </w:rPr>
        <w:t xml:space="preserve">: Summary of key Grade 3 or </w:t>
      </w:r>
      <w:proofErr w:type="gramStart"/>
      <w:r w:rsidRPr="003A3555">
        <w:rPr>
          <w:b/>
        </w:rPr>
        <w:t>4</w:t>
      </w:r>
      <w:proofErr w:type="gramEnd"/>
      <w:r w:rsidRPr="003A3555">
        <w:rPr>
          <w:b/>
        </w:rPr>
        <w:t xml:space="preserve"> treatment-emergent adverse events in the </w:t>
      </w:r>
      <w:r w:rsidR="008322DD">
        <w:rPr>
          <w:b/>
        </w:rPr>
        <w:t xml:space="preserve">key </w:t>
      </w:r>
      <w:proofErr w:type="spellStart"/>
      <w:r w:rsidR="008322DD">
        <w:rPr>
          <w:b/>
        </w:rPr>
        <w:t>lenalidomide</w:t>
      </w:r>
      <w:proofErr w:type="spellEnd"/>
      <w:r w:rsidR="008322DD">
        <w:rPr>
          <w:b/>
        </w:rPr>
        <w:t xml:space="preserve"> versus BSC </w:t>
      </w:r>
      <w:r w:rsidRPr="003A3555">
        <w:rPr>
          <w:b/>
        </w:rPr>
        <w:t>randomised trials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8: Summary of key Grade 3 or 4 treatment-emergent adverse events in the key lenalidomide versus BSC randomised trials"/>
      </w:tblPr>
      <w:tblGrid>
        <w:gridCol w:w="2263"/>
        <w:gridCol w:w="1276"/>
        <w:gridCol w:w="1276"/>
        <w:gridCol w:w="1276"/>
        <w:gridCol w:w="1559"/>
        <w:gridCol w:w="1367"/>
      </w:tblGrid>
      <w:tr w:rsidR="005E7102" w:rsidRPr="003A3555" w:rsidTr="00847F0C">
        <w:trPr>
          <w:tblHeader/>
        </w:trPr>
        <w:tc>
          <w:tcPr>
            <w:tcW w:w="2263" w:type="dxa"/>
            <w:tcBorders>
              <w:bottom w:val="single" w:sz="4" w:space="0" w:color="auto"/>
            </w:tcBorders>
            <w:tcMar>
              <w:left w:w="28" w:type="dxa"/>
              <w:right w:w="28" w:type="dxa"/>
            </w:tcMar>
            <w:vAlign w:val="center"/>
          </w:tcPr>
          <w:p w:rsidR="005E7102" w:rsidRPr="003A3555" w:rsidRDefault="005E7102" w:rsidP="00476EE6">
            <w:pPr>
              <w:pStyle w:val="Tabletext"/>
              <w:rPr>
                <w:b/>
                <w:szCs w:val="20"/>
              </w:rPr>
            </w:pPr>
            <w:r w:rsidRPr="003A3555">
              <w:rPr>
                <w:b/>
                <w:szCs w:val="20"/>
              </w:rPr>
              <w:t>Trial ID</w:t>
            </w:r>
          </w:p>
        </w:tc>
        <w:tc>
          <w:tcPr>
            <w:tcW w:w="1276" w:type="dxa"/>
            <w:tcBorders>
              <w:bottom w:val="single" w:sz="4" w:space="0" w:color="auto"/>
            </w:tcBorders>
            <w:tcMar>
              <w:left w:w="28" w:type="dxa"/>
              <w:right w:w="28" w:type="dxa"/>
            </w:tcMar>
            <w:vAlign w:val="center"/>
          </w:tcPr>
          <w:p w:rsidR="005E7102" w:rsidRPr="003A3555" w:rsidRDefault="005E7102" w:rsidP="00476EE6">
            <w:pPr>
              <w:pStyle w:val="Tabletext"/>
              <w:jc w:val="center"/>
              <w:rPr>
                <w:b/>
                <w:szCs w:val="20"/>
              </w:rPr>
            </w:pPr>
            <w:r w:rsidRPr="003A3555">
              <w:rPr>
                <w:b/>
                <w:szCs w:val="20"/>
              </w:rPr>
              <w:t>LEN</w:t>
            </w:r>
            <w:r w:rsidR="00847F0C">
              <w:rPr>
                <w:b/>
                <w:szCs w:val="20"/>
              </w:rPr>
              <w:t>,</w:t>
            </w:r>
          </w:p>
          <w:p w:rsidR="005E7102" w:rsidRPr="003A3555" w:rsidRDefault="005E7102" w:rsidP="00476EE6">
            <w:pPr>
              <w:pStyle w:val="Tabletext"/>
              <w:jc w:val="center"/>
              <w:rPr>
                <w:b/>
                <w:szCs w:val="20"/>
              </w:rPr>
            </w:pPr>
            <w:proofErr w:type="gramStart"/>
            <w:r w:rsidRPr="003A3555">
              <w:rPr>
                <w:b/>
                <w:szCs w:val="20"/>
              </w:rPr>
              <w:t>n</w:t>
            </w:r>
            <w:proofErr w:type="gramEnd"/>
            <w:r w:rsidRPr="003A3555">
              <w:rPr>
                <w:b/>
                <w:szCs w:val="20"/>
              </w:rPr>
              <w:t xml:space="preserve"> with event (%)</w:t>
            </w:r>
          </w:p>
        </w:tc>
        <w:tc>
          <w:tcPr>
            <w:tcW w:w="1276" w:type="dxa"/>
            <w:tcBorders>
              <w:bottom w:val="single" w:sz="4" w:space="0" w:color="auto"/>
            </w:tcBorders>
            <w:tcMar>
              <w:left w:w="28" w:type="dxa"/>
              <w:right w:w="28" w:type="dxa"/>
            </w:tcMar>
            <w:vAlign w:val="center"/>
          </w:tcPr>
          <w:p w:rsidR="005E7102" w:rsidRPr="003A3555" w:rsidRDefault="005E7102" w:rsidP="00476EE6">
            <w:pPr>
              <w:pStyle w:val="Tabletext"/>
              <w:jc w:val="center"/>
              <w:rPr>
                <w:b/>
                <w:szCs w:val="20"/>
              </w:rPr>
            </w:pPr>
            <w:r w:rsidRPr="003A3555">
              <w:rPr>
                <w:b/>
                <w:szCs w:val="20"/>
              </w:rPr>
              <w:t xml:space="preserve">BSC </w:t>
            </w:r>
            <w:r w:rsidR="00955CAB">
              <w:rPr>
                <w:b/>
                <w:szCs w:val="20"/>
              </w:rPr>
              <w:br/>
            </w:r>
            <w:r w:rsidRPr="003A3555">
              <w:rPr>
                <w:b/>
                <w:szCs w:val="20"/>
              </w:rPr>
              <w:t>(</w:t>
            </w:r>
            <w:r w:rsidR="00955CAB">
              <w:rPr>
                <w:b/>
                <w:szCs w:val="20"/>
              </w:rPr>
              <w:t>before</w:t>
            </w:r>
            <w:r w:rsidRPr="003A3555">
              <w:rPr>
                <w:b/>
                <w:szCs w:val="20"/>
              </w:rPr>
              <w:t xml:space="preserve"> XO)</w:t>
            </w:r>
            <w:r w:rsidR="00847F0C">
              <w:rPr>
                <w:b/>
                <w:szCs w:val="20"/>
              </w:rPr>
              <w:t>,</w:t>
            </w:r>
          </w:p>
          <w:p w:rsidR="005E7102" w:rsidRPr="003A3555" w:rsidRDefault="005E7102" w:rsidP="00476EE6">
            <w:pPr>
              <w:pStyle w:val="Tabletext"/>
              <w:jc w:val="center"/>
              <w:rPr>
                <w:b/>
                <w:szCs w:val="20"/>
              </w:rPr>
            </w:pPr>
            <w:proofErr w:type="gramStart"/>
            <w:r w:rsidRPr="003A3555">
              <w:rPr>
                <w:b/>
                <w:szCs w:val="20"/>
              </w:rPr>
              <w:t>n</w:t>
            </w:r>
            <w:proofErr w:type="gramEnd"/>
            <w:r w:rsidRPr="003A3555">
              <w:rPr>
                <w:b/>
                <w:szCs w:val="20"/>
              </w:rPr>
              <w:t xml:space="preserve"> with event</w:t>
            </w:r>
            <w:r w:rsidR="00847F0C">
              <w:rPr>
                <w:b/>
                <w:szCs w:val="20"/>
              </w:rPr>
              <w:t xml:space="preserve"> </w:t>
            </w:r>
            <w:r w:rsidRPr="003A3555">
              <w:rPr>
                <w:b/>
                <w:szCs w:val="20"/>
              </w:rPr>
              <w:t>(%)</w:t>
            </w:r>
          </w:p>
        </w:tc>
        <w:tc>
          <w:tcPr>
            <w:tcW w:w="1276" w:type="dxa"/>
            <w:tcBorders>
              <w:bottom w:val="single" w:sz="4" w:space="0" w:color="auto"/>
            </w:tcBorders>
            <w:tcMar>
              <w:left w:w="28" w:type="dxa"/>
              <w:right w:w="28" w:type="dxa"/>
            </w:tcMar>
          </w:tcPr>
          <w:p w:rsidR="005E7102" w:rsidRPr="003A3555" w:rsidRDefault="005E7102" w:rsidP="00476EE6">
            <w:pPr>
              <w:pStyle w:val="Tabletext"/>
              <w:jc w:val="center"/>
              <w:rPr>
                <w:b/>
                <w:szCs w:val="20"/>
              </w:rPr>
            </w:pPr>
            <w:r w:rsidRPr="003A3555">
              <w:rPr>
                <w:b/>
                <w:szCs w:val="20"/>
              </w:rPr>
              <w:t xml:space="preserve">BSC </w:t>
            </w:r>
            <w:r w:rsidR="00955CAB">
              <w:rPr>
                <w:b/>
                <w:szCs w:val="20"/>
              </w:rPr>
              <w:br/>
            </w:r>
            <w:r w:rsidRPr="003A3555">
              <w:rPr>
                <w:b/>
                <w:szCs w:val="20"/>
              </w:rPr>
              <w:t>(after X</w:t>
            </w:r>
            <w:r w:rsidR="00955CAB">
              <w:rPr>
                <w:b/>
                <w:szCs w:val="20"/>
              </w:rPr>
              <w:t>O</w:t>
            </w:r>
            <w:r w:rsidRPr="003A3555">
              <w:rPr>
                <w:b/>
                <w:szCs w:val="20"/>
              </w:rPr>
              <w:t>)</w:t>
            </w:r>
            <w:r w:rsidR="00847F0C">
              <w:rPr>
                <w:b/>
                <w:szCs w:val="20"/>
              </w:rPr>
              <w:t>,</w:t>
            </w:r>
          </w:p>
          <w:p w:rsidR="005E7102" w:rsidRPr="003A3555" w:rsidRDefault="00847F0C" w:rsidP="00476EE6">
            <w:pPr>
              <w:pStyle w:val="Tabletext"/>
              <w:jc w:val="center"/>
              <w:rPr>
                <w:b/>
                <w:szCs w:val="20"/>
              </w:rPr>
            </w:pPr>
            <w:proofErr w:type="gramStart"/>
            <w:r>
              <w:rPr>
                <w:b/>
                <w:szCs w:val="20"/>
              </w:rPr>
              <w:t>n</w:t>
            </w:r>
            <w:proofErr w:type="gramEnd"/>
            <w:r>
              <w:rPr>
                <w:b/>
                <w:szCs w:val="20"/>
              </w:rPr>
              <w:t xml:space="preserve"> with event </w:t>
            </w:r>
            <w:r>
              <w:rPr>
                <w:b/>
                <w:szCs w:val="20"/>
              </w:rPr>
              <w:br/>
            </w:r>
            <w:r w:rsidR="005E7102" w:rsidRPr="003A3555">
              <w:rPr>
                <w:b/>
                <w:szCs w:val="20"/>
              </w:rPr>
              <w:t>(%)</w:t>
            </w:r>
          </w:p>
        </w:tc>
        <w:tc>
          <w:tcPr>
            <w:tcW w:w="1559" w:type="dxa"/>
            <w:tcBorders>
              <w:bottom w:val="single" w:sz="4" w:space="0" w:color="auto"/>
            </w:tcBorders>
            <w:tcMar>
              <w:left w:w="28" w:type="dxa"/>
              <w:right w:w="28" w:type="dxa"/>
            </w:tcMar>
            <w:vAlign w:val="center"/>
          </w:tcPr>
          <w:p w:rsidR="005E7102" w:rsidRPr="003A3555" w:rsidRDefault="005E7102" w:rsidP="00476EE6">
            <w:pPr>
              <w:pStyle w:val="Tabletext"/>
              <w:jc w:val="center"/>
              <w:rPr>
                <w:b/>
                <w:szCs w:val="20"/>
              </w:rPr>
            </w:pPr>
            <w:r w:rsidRPr="003A3555">
              <w:rPr>
                <w:b/>
                <w:szCs w:val="20"/>
              </w:rPr>
              <w:t>RR (95% CI)</w:t>
            </w:r>
          </w:p>
        </w:tc>
        <w:tc>
          <w:tcPr>
            <w:tcW w:w="1367" w:type="dxa"/>
            <w:tcBorders>
              <w:bottom w:val="single" w:sz="4" w:space="0" w:color="auto"/>
            </w:tcBorders>
            <w:tcMar>
              <w:left w:w="28" w:type="dxa"/>
              <w:right w:w="28" w:type="dxa"/>
            </w:tcMar>
            <w:vAlign w:val="center"/>
          </w:tcPr>
          <w:p w:rsidR="005E7102" w:rsidRPr="003A3555" w:rsidRDefault="005E7102" w:rsidP="00476EE6">
            <w:pPr>
              <w:pStyle w:val="Tabletext"/>
              <w:jc w:val="center"/>
              <w:rPr>
                <w:b/>
                <w:szCs w:val="20"/>
              </w:rPr>
            </w:pPr>
            <w:r w:rsidRPr="003A3555">
              <w:rPr>
                <w:b/>
                <w:szCs w:val="20"/>
              </w:rPr>
              <w:t>RD (95% CI)</w:t>
            </w:r>
          </w:p>
        </w:tc>
      </w:tr>
      <w:tr w:rsidR="00847F0C" w:rsidRPr="003A3555" w:rsidTr="00847F0C">
        <w:tc>
          <w:tcPr>
            <w:tcW w:w="2263" w:type="dxa"/>
            <w:tcBorders>
              <w:bottom w:val="single" w:sz="4" w:space="0" w:color="auto"/>
              <w:right w:val="nil"/>
            </w:tcBorders>
            <w:tcMar>
              <w:left w:w="28" w:type="dxa"/>
              <w:right w:w="28" w:type="dxa"/>
            </w:tcMar>
          </w:tcPr>
          <w:p w:rsidR="00847F0C" w:rsidRPr="003A3555" w:rsidRDefault="00847F0C" w:rsidP="00476EE6">
            <w:pPr>
              <w:pStyle w:val="Tabletext"/>
              <w:rPr>
                <w:b/>
                <w:szCs w:val="20"/>
              </w:rPr>
            </w:pPr>
            <w:r w:rsidRPr="003A3555">
              <w:rPr>
                <w:b/>
                <w:szCs w:val="20"/>
              </w:rPr>
              <w:t>CALGB (March 2015)</w:t>
            </w:r>
          </w:p>
        </w:tc>
        <w:tc>
          <w:tcPr>
            <w:tcW w:w="1276" w:type="dxa"/>
            <w:tcBorders>
              <w:bottom w:val="single" w:sz="4" w:space="0" w:color="auto"/>
              <w:right w:val="nil"/>
            </w:tcBorders>
            <w:tcMar>
              <w:left w:w="28" w:type="dxa"/>
              <w:right w:w="28" w:type="dxa"/>
            </w:tcMar>
            <w:vAlign w:val="center"/>
          </w:tcPr>
          <w:p w:rsidR="00847F0C" w:rsidRPr="003A3555" w:rsidRDefault="00847F0C" w:rsidP="00476EE6">
            <w:pPr>
              <w:pStyle w:val="Tabletext"/>
              <w:jc w:val="center"/>
              <w:rPr>
                <w:b/>
                <w:szCs w:val="20"/>
              </w:rPr>
            </w:pPr>
            <w:r>
              <w:rPr>
                <w:b/>
                <w:szCs w:val="20"/>
              </w:rPr>
              <w:t>N = 224</w:t>
            </w:r>
          </w:p>
        </w:tc>
        <w:tc>
          <w:tcPr>
            <w:tcW w:w="1276" w:type="dxa"/>
            <w:tcBorders>
              <w:bottom w:val="single" w:sz="4" w:space="0" w:color="auto"/>
              <w:right w:val="nil"/>
            </w:tcBorders>
            <w:tcMar>
              <w:left w:w="28" w:type="dxa"/>
              <w:right w:w="28" w:type="dxa"/>
            </w:tcMar>
            <w:vAlign w:val="center"/>
          </w:tcPr>
          <w:p w:rsidR="00847F0C" w:rsidRPr="003A3555" w:rsidRDefault="00847F0C" w:rsidP="00476EE6">
            <w:pPr>
              <w:pStyle w:val="Tabletext"/>
              <w:jc w:val="center"/>
              <w:rPr>
                <w:b/>
                <w:szCs w:val="20"/>
              </w:rPr>
            </w:pPr>
            <w:r>
              <w:rPr>
                <w:b/>
                <w:szCs w:val="20"/>
              </w:rPr>
              <w:t>N = 221</w:t>
            </w:r>
          </w:p>
        </w:tc>
        <w:tc>
          <w:tcPr>
            <w:tcW w:w="1276" w:type="dxa"/>
            <w:tcBorders>
              <w:bottom w:val="single" w:sz="4" w:space="0" w:color="auto"/>
              <w:right w:val="nil"/>
            </w:tcBorders>
            <w:tcMar>
              <w:left w:w="28" w:type="dxa"/>
              <w:right w:w="28" w:type="dxa"/>
            </w:tcMar>
            <w:vAlign w:val="center"/>
          </w:tcPr>
          <w:p w:rsidR="00847F0C" w:rsidRPr="003A3555" w:rsidRDefault="00847F0C" w:rsidP="00476EE6">
            <w:pPr>
              <w:pStyle w:val="Tabletext"/>
              <w:jc w:val="center"/>
              <w:rPr>
                <w:b/>
                <w:szCs w:val="20"/>
              </w:rPr>
            </w:pPr>
            <w:r>
              <w:rPr>
                <w:b/>
                <w:szCs w:val="20"/>
              </w:rPr>
              <w:t>N = 76</w:t>
            </w:r>
          </w:p>
        </w:tc>
        <w:tc>
          <w:tcPr>
            <w:tcW w:w="1559" w:type="dxa"/>
            <w:tcBorders>
              <w:bottom w:val="single" w:sz="4" w:space="0" w:color="auto"/>
              <w:right w:val="nil"/>
            </w:tcBorders>
            <w:tcMar>
              <w:left w:w="28" w:type="dxa"/>
              <w:right w:w="28" w:type="dxa"/>
            </w:tcMar>
          </w:tcPr>
          <w:p w:rsidR="00847F0C" w:rsidRPr="003A3555" w:rsidRDefault="00847F0C" w:rsidP="00476EE6">
            <w:pPr>
              <w:pStyle w:val="Tabletext"/>
              <w:rPr>
                <w:b/>
                <w:szCs w:val="20"/>
              </w:rPr>
            </w:pPr>
          </w:p>
        </w:tc>
        <w:tc>
          <w:tcPr>
            <w:tcW w:w="1367" w:type="dxa"/>
            <w:tcBorders>
              <w:left w:val="nil"/>
              <w:bottom w:val="single" w:sz="4" w:space="0" w:color="auto"/>
            </w:tcBorders>
            <w:tcMar>
              <w:left w:w="28" w:type="dxa"/>
              <w:right w:w="28" w:type="dxa"/>
            </w:tcMar>
          </w:tcPr>
          <w:p w:rsidR="00847F0C" w:rsidRPr="003A3555" w:rsidRDefault="00847F0C" w:rsidP="00476EE6">
            <w:pPr>
              <w:pStyle w:val="Tabletext"/>
              <w:rPr>
                <w:b/>
                <w:szCs w:val="20"/>
              </w:rPr>
            </w:pPr>
          </w:p>
        </w:tc>
      </w:tr>
      <w:tr w:rsidR="00955CAB" w:rsidRPr="003A3555" w:rsidTr="00847F0C">
        <w:tc>
          <w:tcPr>
            <w:tcW w:w="9017" w:type="dxa"/>
            <w:gridSpan w:val="6"/>
            <w:shd w:val="clear" w:color="auto" w:fill="auto"/>
            <w:tcMar>
              <w:left w:w="28" w:type="dxa"/>
              <w:right w:w="28" w:type="dxa"/>
            </w:tcMar>
            <w:vAlign w:val="center"/>
          </w:tcPr>
          <w:p w:rsidR="00955CAB" w:rsidRPr="003A3555" w:rsidRDefault="00955CAB" w:rsidP="00476EE6">
            <w:pPr>
              <w:pStyle w:val="Tabletext"/>
              <w:rPr>
                <w:szCs w:val="20"/>
              </w:rPr>
            </w:pPr>
            <w:r w:rsidRPr="003A3555">
              <w:rPr>
                <w:rFonts w:eastAsia="SimSun"/>
                <w:szCs w:val="20"/>
                <w:lang w:eastAsia="en-AU"/>
              </w:rPr>
              <w:t>Haematological</w:t>
            </w:r>
          </w:p>
        </w:tc>
      </w:tr>
      <w:tr w:rsidR="005E7102" w:rsidRPr="003A3555" w:rsidTr="00847F0C">
        <w:tc>
          <w:tcPr>
            <w:tcW w:w="2263" w:type="dxa"/>
            <w:shd w:val="clear" w:color="auto" w:fill="auto"/>
            <w:tcMar>
              <w:left w:w="28" w:type="dxa"/>
              <w:right w:w="28" w:type="dxa"/>
            </w:tcMar>
            <w:vAlign w:val="center"/>
          </w:tcPr>
          <w:p w:rsidR="005E7102" w:rsidRPr="003A3555" w:rsidRDefault="00955CAB" w:rsidP="00476EE6">
            <w:pPr>
              <w:pStyle w:val="Tabletext"/>
              <w:rPr>
                <w:szCs w:val="20"/>
              </w:rPr>
            </w:pPr>
            <w:r>
              <w:rPr>
                <w:rFonts w:eastAsia="SimSun"/>
                <w:szCs w:val="20"/>
                <w:lang w:eastAsia="en-AU"/>
              </w:rPr>
              <w:t xml:space="preserve">  </w:t>
            </w:r>
            <w:r w:rsidR="005E7102" w:rsidRPr="003A3555">
              <w:rPr>
                <w:rFonts w:eastAsia="SimSun"/>
                <w:szCs w:val="20"/>
                <w:lang w:eastAsia="en-AU"/>
              </w:rPr>
              <w:t>Neutropenia</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133 (59.4%)</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73 (33.0%)</w:t>
            </w:r>
          </w:p>
        </w:tc>
        <w:tc>
          <w:tcPr>
            <w:tcW w:w="1276" w:type="dxa"/>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29 (38.2%)</w:t>
            </w:r>
          </w:p>
        </w:tc>
        <w:tc>
          <w:tcPr>
            <w:tcW w:w="1559" w:type="dxa"/>
            <w:tcMar>
              <w:left w:w="28" w:type="dxa"/>
              <w:right w:w="28" w:type="dxa"/>
            </w:tcMar>
            <w:vAlign w:val="center"/>
          </w:tcPr>
          <w:p w:rsidR="005E7102" w:rsidRPr="003A3555" w:rsidRDefault="005E7102" w:rsidP="00476EE6">
            <w:pPr>
              <w:pStyle w:val="Tabletext"/>
              <w:jc w:val="center"/>
              <w:rPr>
                <w:b/>
                <w:szCs w:val="20"/>
              </w:rPr>
            </w:pPr>
            <w:r w:rsidRPr="003A3555">
              <w:rPr>
                <w:b/>
                <w:szCs w:val="20"/>
              </w:rPr>
              <w:t>1.80 (1.45, 2.23)</w:t>
            </w:r>
          </w:p>
        </w:tc>
        <w:tc>
          <w:tcPr>
            <w:tcW w:w="1367" w:type="dxa"/>
            <w:shd w:val="clear" w:color="auto" w:fill="auto"/>
            <w:tcMar>
              <w:left w:w="28" w:type="dxa"/>
              <w:right w:w="28" w:type="dxa"/>
            </w:tcMar>
            <w:vAlign w:val="center"/>
          </w:tcPr>
          <w:p w:rsidR="005E7102" w:rsidRPr="003A3555" w:rsidRDefault="005E7102" w:rsidP="00476EE6">
            <w:pPr>
              <w:pStyle w:val="Tabletext"/>
              <w:jc w:val="center"/>
              <w:rPr>
                <w:b/>
                <w:szCs w:val="20"/>
              </w:rPr>
            </w:pPr>
            <w:r w:rsidRPr="003A3555">
              <w:rPr>
                <w:rFonts w:cs="Arial"/>
                <w:b/>
                <w:szCs w:val="20"/>
              </w:rPr>
              <w:t>26% (17%, 35%)</w:t>
            </w:r>
          </w:p>
        </w:tc>
      </w:tr>
      <w:tr w:rsidR="005E7102" w:rsidRPr="003A3555" w:rsidTr="00847F0C">
        <w:tc>
          <w:tcPr>
            <w:tcW w:w="2263" w:type="dxa"/>
            <w:shd w:val="clear" w:color="auto" w:fill="auto"/>
            <w:tcMar>
              <w:left w:w="28" w:type="dxa"/>
              <w:right w:w="28" w:type="dxa"/>
            </w:tcMar>
            <w:vAlign w:val="center"/>
          </w:tcPr>
          <w:p w:rsidR="005E7102" w:rsidRPr="003A3555" w:rsidRDefault="00955CAB" w:rsidP="00476EE6">
            <w:pPr>
              <w:pStyle w:val="Tabletext"/>
              <w:rPr>
                <w:szCs w:val="20"/>
              </w:rPr>
            </w:pPr>
            <w:r>
              <w:rPr>
                <w:rFonts w:eastAsia="SimSun"/>
                <w:szCs w:val="20"/>
                <w:lang w:eastAsia="en-AU"/>
              </w:rPr>
              <w:t xml:space="preserve">  </w:t>
            </w:r>
            <w:r w:rsidR="005E7102" w:rsidRPr="003A3555">
              <w:rPr>
                <w:rFonts w:eastAsia="SimSun"/>
                <w:szCs w:val="20"/>
                <w:lang w:eastAsia="en-AU"/>
              </w:rPr>
              <w:t>Thrombocytopenia</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84 (37.5%)</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67 (30.3%)</w:t>
            </w:r>
          </w:p>
        </w:tc>
        <w:tc>
          <w:tcPr>
            <w:tcW w:w="1276" w:type="dxa"/>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9 (11.8%)</w:t>
            </w:r>
          </w:p>
        </w:tc>
        <w:tc>
          <w:tcPr>
            <w:tcW w:w="1559" w:type="dxa"/>
            <w:tcMar>
              <w:left w:w="28" w:type="dxa"/>
              <w:right w:w="28" w:type="dxa"/>
            </w:tcMar>
          </w:tcPr>
          <w:p w:rsidR="005E7102" w:rsidRPr="003A3555" w:rsidRDefault="005E7102" w:rsidP="00476EE6">
            <w:pPr>
              <w:pStyle w:val="Tabletext"/>
              <w:jc w:val="center"/>
              <w:rPr>
                <w:szCs w:val="20"/>
              </w:rPr>
            </w:pPr>
            <w:r w:rsidRPr="003A3555">
              <w:t>1.24 (0.95, 1.61)</w:t>
            </w:r>
          </w:p>
        </w:tc>
        <w:tc>
          <w:tcPr>
            <w:tcW w:w="1367"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7% (-2%, 16%)</w:t>
            </w:r>
          </w:p>
        </w:tc>
      </w:tr>
      <w:tr w:rsidR="005E7102" w:rsidRPr="003A3555" w:rsidTr="00847F0C">
        <w:tc>
          <w:tcPr>
            <w:tcW w:w="2263" w:type="dxa"/>
            <w:shd w:val="clear" w:color="auto" w:fill="auto"/>
            <w:tcMar>
              <w:left w:w="28" w:type="dxa"/>
              <w:right w:w="28" w:type="dxa"/>
            </w:tcMar>
            <w:vAlign w:val="center"/>
          </w:tcPr>
          <w:p w:rsidR="005E7102" w:rsidRPr="003A3555" w:rsidRDefault="00955CAB" w:rsidP="00476EE6">
            <w:pPr>
              <w:pStyle w:val="Tabletext"/>
              <w:rPr>
                <w:szCs w:val="20"/>
              </w:rPr>
            </w:pPr>
            <w:r>
              <w:rPr>
                <w:rFonts w:eastAsia="SimSun"/>
                <w:szCs w:val="20"/>
                <w:lang w:eastAsia="en-AU"/>
              </w:rPr>
              <w:t xml:space="preserve">  </w:t>
            </w:r>
            <w:r w:rsidR="005E7102" w:rsidRPr="003A3555">
              <w:rPr>
                <w:rFonts w:eastAsia="SimSun"/>
                <w:szCs w:val="20"/>
                <w:lang w:eastAsia="en-AU"/>
              </w:rPr>
              <w:t>Leukopenia</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45 (20.1%)</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22 (10.0%)</w:t>
            </w:r>
          </w:p>
        </w:tc>
        <w:tc>
          <w:tcPr>
            <w:tcW w:w="1276" w:type="dxa"/>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9 (11.8%)</w:t>
            </w:r>
          </w:p>
        </w:tc>
        <w:tc>
          <w:tcPr>
            <w:tcW w:w="1559" w:type="dxa"/>
            <w:tcBorders>
              <w:bottom w:val="single" w:sz="4" w:space="0" w:color="auto"/>
            </w:tcBorders>
            <w:tcMar>
              <w:left w:w="28" w:type="dxa"/>
              <w:right w:w="28" w:type="dxa"/>
            </w:tcMar>
          </w:tcPr>
          <w:p w:rsidR="005E7102" w:rsidRPr="003A3555" w:rsidRDefault="005E7102" w:rsidP="00476EE6">
            <w:pPr>
              <w:pStyle w:val="Tabletext"/>
              <w:jc w:val="center"/>
              <w:rPr>
                <w:b/>
                <w:szCs w:val="20"/>
              </w:rPr>
            </w:pPr>
            <w:r w:rsidRPr="003A3555">
              <w:rPr>
                <w:b/>
              </w:rPr>
              <w:t>2.02 (1.26, 3.24)</w:t>
            </w:r>
          </w:p>
        </w:tc>
        <w:tc>
          <w:tcPr>
            <w:tcW w:w="1367" w:type="dxa"/>
            <w:shd w:val="clear" w:color="auto" w:fill="auto"/>
            <w:tcMar>
              <w:left w:w="28" w:type="dxa"/>
              <w:right w:w="28" w:type="dxa"/>
            </w:tcMar>
            <w:vAlign w:val="center"/>
          </w:tcPr>
          <w:p w:rsidR="005E7102" w:rsidRPr="003A3555" w:rsidRDefault="005E7102" w:rsidP="00476EE6">
            <w:pPr>
              <w:pStyle w:val="Tabletext"/>
              <w:jc w:val="center"/>
              <w:rPr>
                <w:b/>
                <w:szCs w:val="20"/>
              </w:rPr>
            </w:pPr>
            <w:r w:rsidRPr="003A3555">
              <w:rPr>
                <w:rFonts w:cs="Arial"/>
                <w:b/>
                <w:szCs w:val="20"/>
              </w:rPr>
              <w:t>10% (4%, 17%)</w:t>
            </w:r>
          </w:p>
        </w:tc>
      </w:tr>
      <w:tr w:rsidR="005E7102" w:rsidRPr="003A3555" w:rsidTr="00847F0C">
        <w:tc>
          <w:tcPr>
            <w:tcW w:w="2263" w:type="dxa"/>
            <w:shd w:val="clear" w:color="auto" w:fill="auto"/>
            <w:tcMar>
              <w:left w:w="28" w:type="dxa"/>
              <w:right w:w="28" w:type="dxa"/>
            </w:tcMar>
            <w:vAlign w:val="center"/>
          </w:tcPr>
          <w:p w:rsidR="005E7102" w:rsidRPr="003A3555" w:rsidRDefault="00955CAB" w:rsidP="00476EE6">
            <w:pPr>
              <w:pStyle w:val="Tabletext"/>
              <w:rPr>
                <w:szCs w:val="20"/>
              </w:rPr>
            </w:pPr>
            <w:r>
              <w:rPr>
                <w:rFonts w:eastAsia="SimSun"/>
                <w:szCs w:val="20"/>
                <w:lang w:eastAsia="en-AU"/>
              </w:rPr>
              <w:t xml:space="preserve">  </w:t>
            </w:r>
            <w:r w:rsidR="005E7102" w:rsidRPr="003A3555">
              <w:rPr>
                <w:rFonts w:eastAsia="SimSun"/>
                <w:szCs w:val="20"/>
                <w:lang w:eastAsia="en-AU"/>
              </w:rPr>
              <w:t>Febrile neutropenia</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39 (17.4%)</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34 (15.4%)</w:t>
            </w:r>
          </w:p>
        </w:tc>
        <w:tc>
          <w:tcPr>
            <w:tcW w:w="1276" w:type="dxa"/>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1 (1.3%)</w:t>
            </w:r>
          </w:p>
        </w:tc>
        <w:tc>
          <w:tcPr>
            <w:tcW w:w="1559" w:type="dxa"/>
            <w:tcBorders>
              <w:bottom w:val="single" w:sz="4" w:space="0" w:color="auto"/>
            </w:tcBorders>
            <w:tcMar>
              <w:left w:w="28" w:type="dxa"/>
              <w:right w:w="28" w:type="dxa"/>
            </w:tcMar>
          </w:tcPr>
          <w:p w:rsidR="005E7102" w:rsidRPr="003A3555" w:rsidRDefault="005E7102" w:rsidP="00476EE6">
            <w:pPr>
              <w:pStyle w:val="Tabletext"/>
              <w:jc w:val="center"/>
              <w:rPr>
                <w:szCs w:val="20"/>
              </w:rPr>
            </w:pPr>
            <w:r w:rsidRPr="003A3555">
              <w:t>1.13 (0.74, 1.72)</w:t>
            </w:r>
          </w:p>
        </w:tc>
        <w:tc>
          <w:tcPr>
            <w:tcW w:w="1367"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2% (-5%, 9%)</w:t>
            </w:r>
          </w:p>
        </w:tc>
      </w:tr>
      <w:tr w:rsidR="005E7102" w:rsidRPr="003A3555" w:rsidTr="00847F0C">
        <w:tc>
          <w:tcPr>
            <w:tcW w:w="2263" w:type="dxa"/>
            <w:shd w:val="clear" w:color="auto" w:fill="auto"/>
            <w:tcMar>
              <w:left w:w="28" w:type="dxa"/>
              <w:right w:w="28" w:type="dxa"/>
            </w:tcMar>
            <w:vAlign w:val="center"/>
          </w:tcPr>
          <w:p w:rsidR="005E7102" w:rsidRPr="003A3555" w:rsidRDefault="00955CAB" w:rsidP="00476EE6">
            <w:pPr>
              <w:pStyle w:val="Tabletext"/>
              <w:rPr>
                <w:szCs w:val="20"/>
              </w:rPr>
            </w:pPr>
            <w:r>
              <w:rPr>
                <w:rFonts w:eastAsia="SimSun"/>
                <w:szCs w:val="20"/>
                <w:lang w:eastAsia="en-AU"/>
              </w:rPr>
              <w:t xml:space="preserve">  </w:t>
            </w:r>
            <w:proofErr w:type="spellStart"/>
            <w:r w:rsidR="005E7102" w:rsidRPr="003A3555">
              <w:rPr>
                <w:rFonts w:eastAsia="SimSun"/>
                <w:szCs w:val="20"/>
                <w:lang w:eastAsia="en-AU"/>
              </w:rPr>
              <w:t>Lymphopenia</w:t>
            </w:r>
            <w:proofErr w:type="spellEnd"/>
          </w:p>
        </w:tc>
        <w:tc>
          <w:tcPr>
            <w:tcW w:w="1276"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37 (16.5%)</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26 (11.8%)</w:t>
            </w:r>
          </w:p>
        </w:tc>
        <w:tc>
          <w:tcPr>
            <w:tcW w:w="1276" w:type="dxa"/>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5 (6.6%)</w:t>
            </w:r>
          </w:p>
        </w:tc>
        <w:tc>
          <w:tcPr>
            <w:tcW w:w="1559" w:type="dxa"/>
            <w:tcBorders>
              <w:bottom w:val="single" w:sz="4" w:space="0" w:color="auto"/>
            </w:tcBorders>
            <w:tcMar>
              <w:left w:w="28" w:type="dxa"/>
              <w:right w:w="28" w:type="dxa"/>
            </w:tcMar>
          </w:tcPr>
          <w:p w:rsidR="005E7102" w:rsidRPr="003A3555" w:rsidRDefault="005E7102" w:rsidP="00476EE6">
            <w:pPr>
              <w:pStyle w:val="Tabletext"/>
              <w:jc w:val="center"/>
              <w:rPr>
                <w:szCs w:val="20"/>
              </w:rPr>
            </w:pPr>
            <w:r w:rsidRPr="003A3555">
              <w:t>1.40 (0.88, 2.24)</w:t>
            </w:r>
          </w:p>
        </w:tc>
        <w:tc>
          <w:tcPr>
            <w:tcW w:w="1367"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5% (-2%, 11%)</w:t>
            </w:r>
          </w:p>
        </w:tc>
      </w:tr>
      <w:tr w:rsidR="005E7102" w:rsidRPr="003A3555" w:rsidTr="00847F0C">
        <w:tc>
          <w:tcPr>
            <w:tcW w:w="2263" w:type="dxa"/>
            <w:tcBorders>
              <w:bottom w:val="single" w:sz="4" w:space="0" w:color="auto"/>
            </w:tcBorders>
            <w:shd w:val="clear" w:color="auto" w:fill="auto"/>
            <w:tcMar>
              <w:left w:w="28" w:type="dxa"/>
              <w:right w:w="28" w:type="dxa"/>
            </w:tcMar>
            <w:vAlign w:val="center"/>
          </w:tcPr>
          <w:p w:rsidR="005E7102" w:rsidRPr="003A3555" w:rsidRDefault="00955CAB" w:rsidP="00476EE6">
            <w:pPr>
              <w:pStyle w:val="Tabletext"/>
              <w:rPr>
                <w:szCs w:val="20"/>
              </w:rPr>
            </w:pPr>
            <w:r>
              <w:rPr>
                <w:rFonts w:eastAsia="SimSun"/>
                <w:szCs w:val="20"/>
                <w:lang w:eastAsia="en-AU"/>
              </w:rPr>
              <w:t xml:space="preserve">  </w:t>
            </w:r>
            <w:r w:rsidR="005E7102" w:rsidRPr="003A3555">
              <w:rPr>
                <w:rFonts w:eastAsia="SimSun"/>
                <w:szCs w:val="20"/>
                <w:lang w:eastAsia="en-AU"/>
              </w:rPr>
              <w:t>Anaemia</w:t>
            </w:r>
          </w:p>
        </w:tc>
        <w:tc>
          <w:tcPr>
            <w:tcW w:w="1276" w:type="dxa"/>
            <w:tcBorders>
              <w:bottom w:val="single" w:sz="4" w:space="0" w:color="auto"/>
            </w:tcBorders>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23 (10.3%)</w:t>
            </w:r>
          </w:p>
        </w:tc>
        <w:tc>
          <w:tcPr>
            <w:tcW w:w="1276" w:type="dxa"/>
            <w:tcBorders>
              <w:bottom w:val="single" w:sz="4" w:space="0" w:color="auto"/>
            </w:tcBorders>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18 (8.1%)</w:t>
            </w:r>
          </w:p>
        </w:tc>
        <w:tc>
          <w:tcPr>
            <w:tcW w:w="1276" w:type="dxa"/>
            <w:tcBorders>
              <w:bottom w:val="single" w:sz="4" w:space="0" w:color="auto"/>
            </w:tcBorders>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2 (2.6%)</w:t>
            </w:r>
          </w:p>
        </w:tc>
        <w:tc>
          <w:tcPr>
            <w:tcW w:w="1559" w:type="dxa"/>
            <w:tcBorders>
              <w:bottom w:val="single" w:sz="4" w:space="0" w:color="auto"/>
            </w:tcBorders>
            <w:tcMar>
              <w:left w:w="28" w:type="dxa"/>
              <w:right w:w="28" w:type="dxa"/>
            </w:tcMar>
          </w:tcPr>
          <w:p w:rsidR="005E7102" w:rsidRPr="003A3555" w:rsidRDefault="005E7102" w:rsidP="00476EE6">
            <w:pPr>
              <w:pStyle w:val="Tabletext"/>
              <w:jc w:val="center"/>
              <w:rPr>
                <w:szCs w:val="20"/>
              </w:rPr>
            </w:pPr>
            <w:r w:rsidRPr="003A3555">
              <w:t>1.26 (0.70, 2.27)</w:t>
            </w:r>
          </w:p>
        </w:tc>
        <w:tc>
          <w:tcPr>
            <w:tcW w:w="1367"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2% (-3%, 8%)</w:t>
            </w:r>
          </w:p>
        </w:tc>
      </w:tr>
      <w:tr w:rsidR="005E7102" w:rsidRPr="003A3555" w:rsidTr="00847F0C">
        <w:tc>
          <w:tcPr>
            <w:tcW w:w="2263" w:type="dxa"/>
            <w:tcBorders>
              <w:bottom w:val="single" w:sz="4" w:space="0" w:color="auto"/>
              <w:right w:val="nil"/>
            </w:tcBorders>
            <w:tcMar>
              <w:left w:w="28" w:type="dxa"/>
              <w:right w:w="28" w:type="dxa"/>
            </w:tcMar>
            <w:vAlign w:val="center"/>
          </w:tcPr>
          <w:p w:rsidR="005E7102" w:rsidRPr="003A3555" w:rsidRDefault="005E7102" w:rsidP="00476EE6">
            <w:pPr>
              <w:pStyle w:val="Tabletext"/>
              <w:rPr>
                <w:szCs w:val="20"/>
              </w:rPr>
            </w:pPr>
            <w:r w:rsidRPr="003A3555">
              <w:rPr>
                <w:szCs w:val="20"/>
              </w:rPr>
              <w:t xml:space="preserve">Non-haematological </w:t>
            </w:r>
          </w:p>
        </w:tc>
        <w:tc>
          <w:tcPr>
            <w:tcW w:w="1276" w:type="dxa"/>
            <w:tcBorders>
              <w:left w:val="nil"/>
              <w:bottom w:val="single" w:sz="4" w:space="0" w:color="auto"/>
              <w:right w:val="nil"/>
            </w:tcBorders>
            <w:tcMar>
              <w:left w:w="28" w:type="dxa"/>
              <w:right w:w="28" w:type="dxa"/>
            </w:tcMar>
            <w:vAlign w:val="center"/>
          </w:tcPr>
          <w:p w:rsidR="005E7102" w:rsidRPr="003A3555" w:rsidRDefault="005E7102" w:rsidP="00476EE6">
            <w:pPr>
              <w:pStyle w:val="Tabletext"/>
              <w:jc w:val="center"/>
              <w:rPr>
                <w:szCs w:val="20"/>
              </w:rPr>
            </w:pPr>
          </w:p>
        </w:tc>
        <w:tc>
          <w:tcPr>
            <w:tcW w:w="1276" w:type="dxa"/>
            <w:tcBorders>
              <w:left w:val="nil"/>
              <w:bottom w:val="single" w:sz="4" w:space="0" w:color="auto"/>
              <w:right w:val="nil"/>
            </w:tcBorders>
            <w:tcMar>
              <w:left w:w="28" w:type="dxa"/>
              <w:right w:w="28" w:type="dxa"/>
            </w:tcMar>
            <w:vAlign w:val="center"/>
          </w:tcPr>
          <w:p w:rsidR="005E7102" w:rsidRPr="003A3555" w:rsidRDefault="005E7102" w:rsidP="00476EE6">
            <w:pPr>
              <w:pStyle w:val="Tabletext"/>
              <w:jc w:val="center"/>
              <w:rPr>
                <w:szCs w:val="20"/>
              </w:rPr>
            </w:pPr>
          </w:p>
        </w:tc>
        <w:tc>
          <w:tcPr>
            <w:tcW w:w="1276" w:type="dxa"/>
            <w:tcBorders>
              <w:left w:val="nil"/>
              <w:bottom w:val="single" w:sz="4" w:space="0" w:color="auto"/>
              <w:right w:val="nil"/>
            </w:tcBorders>
            <w:tcMar>
              <w:left w:w="28" w:type="dxa"/>
              <w:right w:w="28" w:type="dxa"/>
            </w:tcMar>
          </w:tcPr>
          <w:p w:rsidR="005E7102" w:rsidRPr="003A3555" w:rsidRDefault="005E7102" w:rsidP="00476EE6">
            <w:pPr>
              <w:pStyle w:val="Tabletext"/>
              <w:jc w:val="center"/>
              <w:rPr>
                <w:szCs w:val="20"/>
              </w:rPr>
            </w:pPr>
          </w:p>
        </w:tc>
        <w:tc>
          <w:tcPr>
            <w:tcW w:w="1559" w:type="dxa"/>
            <w:tcBorders>
              <w:left w:val="nil"/>
              <w:bottom w:val="single" w:sz="4" w:space="0" w:color="auto"/>
              <w:right w:val="nil"/>
            </w:tcBorders>
            <w:tcMar>
              <w:left w:w="28" w:type="dxa"/>
              <w:right w:w="28" w:type="dxa"/>
            </w:tcMar>
            <w:vAlign w:val="center"/>
          </w:tcPr>
          <w:p w:rsidR="005E7102" w:rsidRPr="003A3555" w:rsidRDefault="005E7102" w:rsidP="00476EE6">
            <w:pPr>
              <w:pStyle w:val="Tabletext"/>
              <w:jc w:val="center"/>
              <w:rPr>
                <w:szCs w:val="20"/>
              </w:rPr>
            </w:pPr>
          </w:p>
        </w:tc>
        <w:tc>
          <w:tcPr>
            <w:tcW w:w="1367" w:type="dxa"/>
            <w:tcBorders>
              <w:left w:val="nil"/>
              <w:bottom w:val="single" w:sz="4" w:space="0" w:color="auto"/>
            </w:tcBorders>
            <w:tcMar>
              <w:left w:w="28" w:type="dxa"/>
              <w:right w:w="28" w:type="dxa"/>
            </w:tcMar>
          </w:tcPr>
          <w:p w:rsidR="005E7102" w:rsidRPr="003A3555" w:rsidRDefault="005E7102" w:rsidP="00476EE6">
            <w:pPr>
              <w:pStyle w:val="Tabletext"/>
              <w:jc w:val="center"/>
              <w:rPr>
                <w:szCs w:val="20"/>
              </w:rPr>
            </w:pPr>
          </w:p>
        </w:tc>
      </w:tr>
      <w:tr w:rsidR="005E7102" w:rsidRPr="003A3555" w:rsidTr="00847F0C">
        <w:tc>
          <w:tcPr>
            <w:tcW w:w="2263" w:type="dxa"/>
            <w:shd w:val="clear" w:color="auto" w:fill="auto"/>
            <w:tcMar>
              <w:left w:w="28" w:type="dxa"/>
              <w:right w:w="28" w:type="dxa"/>
            </w:tcMar>
            <w:vAlign w:val="center"/>
          </w:tcPr>
          <w:p w:rsidR="005E7102" w:rsidRPr="003A3555" w:rsidRDefault="00955CAB" w:rsidP="00476EE6">
            <w:pPr>
              <w:pStyle w:val="Tabletext"/>
              <w:rPr>
                <w:szCs w:val="20"/>
              </w:rPr>
            </w:pPr>
            <w:r>
              <w:rPr>
                <w:rFonts w:eastAsia="SimSun"/>
                <w:szCs w:val="20"/>
                <w:lang w:eastAsia="en-AU"/>
              </w:rPr>
              <w:t xml:space="preserve">  </w:t>
            </w:r>
            <w:r w:rsidR="005E7102" w:rsidRPr="003A3555">
              <w:rPr>
                <w:rFonts w:eastAsia="SimSun"/>
                <w:szCs w:val="20"/>
                <w:lang w:eastAsia="en-AU"/>
              </w:rPr>
              <w:t>Neutropenic infection</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27 (12.1%)</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14 (6.3%)</w:t>
            </w:r>
          </w:p>
        </w:tc>
        <w:tc>
          <w:tcPr>
            <w:tcW w:w="1276" w:type="dxa"/>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5 (6.6%)</w:t>
            </w:r>
          </w:p>
        </w:tc>
        <w:tc>
          <w:tcPr>
            <w:tcW w:w="1559" w:type="dxa"/>
            <w:tcBorders>
              <w:bottom w:val="single" w:sz="4" w:space="0" w:color="auto"/>
            </w:tcBorders>
            <w:tcMar>
              <w:left w:w="28" w:type="dxa"/>
              <w:right w:w="28" w:type="dxa"/>
            </w:tcMar>
          </w:tcPr>
          <w:p w:rsidR="005E7102" w:rsidRPr="003A3555" w:rsidRDefault="005E7102" w:rsidP="00476EE6">
            <w:pPr>
              <w:pStyle w:val="Tabletext"/>
              <w:jc w:val="center"/>
              <w:rPr>
                <w:szCs w:val="20"/>
              </w:rPr>
            </w:pPr>
            <w:r w:rsidRPr="003A3555">
              <w:t>1.90 (1.03, 3.53)</w:t>
            </w:r>
          </w:p>
        </w:tc>
        <w:tc>
          <w:tcPr>
            <w:tcW w:w="1367"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6% (0%, 11%)</w:t>
            </w:r>
          </w:p>
        </w:tc>
      </w:tr>
      <w:tr w:rsidR="005E7102" w:rsidRPr="003A3555" w:rsidTr="00847F0C">
        <w:tc>
          <w:tcPr>
            <w:tcW w:w="2263" w:type="dxa"/>
            <w:shd w:val="clear" w:color="auto" w:fill="auto"/>
            <w:tcMar>
              <w:left w:w="28" w:type="dxa"/>
              <w:right w:w="28" w:type="dxa"/>
            </w:tcMar>
            <w:vAlign w:val="center"/>
          </w:tcPr>
          <w:p w:rsidR="005E7102" w:rsidRPr="003A3555" w:rsidRDefault="00955CAB" w:rsidP="00476EE6">
            <w:pPr>
              <w:pStyle w:val="Tabletext"/>
              <w:rPr>
                <w:szCs w:val="20"/>
              </w:rPr>
            </w:pPr>
            <w:r>
              <w:rPr>
                <w:rFonts w:eastAsia="SimSun"/>
                <w:szCs w:val="20"/>
                <w:lang w:eastAsia="en-AU"/>
              </w:rPr>
              <w:t xml:space="preserve">  </w:t>
            </w:r>
            <w:r w:rsidR="005E7102" w:rsidRPr="003A3555">
              <w:rPr>
                <w:rFonts w:eastAsia="SimSun"/>
                <w:szCs w:val="20"/>
                <w:lang w:eastAsia="en-AU"/>
              </w:rPr>
              <w:t>Lung infection</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19 (8.5%)</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2 (0.9%)</w:t>
            </w:r>
          </w:p>
        </w:tc>
        <w:tc>
          <w:tcPr>
            <w:tcW w:w="1276" w:type="dxa"/>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2 (2.6%)</w:t>
            </w:r>
          </w:p>
        </w:tc>
        <w:tc>
          <w:tcPr>
            <w:tcW w:w="1559" w:type="dxa"/>
            <w:tcBorders>
              <w:bottom w:val="single" w:sz="4" w:space="0" w:color="auto"/>
            </w:tcBorders>
            <w:tcMar>
              <w:left w:w="28" w:type="dxa"/>
              <w:right w:w="28" w:type="dxa"/>
            </w:tcMar>
          </w:tcPr>
          <w:p w:rsidR="005E7102" w:rsidRPr="003A3555" w:rsidRDefault="005E7102" w:rsidP="00476EE6">
            <w:pPr>
              <w:pStyle w:val="Tabletext"/>
              <w:jc w:val="center"/>
              <w:rPr>
                <w:b/>
                <w:szCs w:val="20"/>
              </w:rPr>
            </w:pPr>
            <w:r w:rsidRPr="003A3555">
              <w:rPr>
                <w:b/>
              </w:rPr>
              <w:t>9.37 (2.21, 39.76)</w:t>
            </w:r>
          </w:p>
        </w:tc>
        <w:tc>
          <w:tcPr>
            <w:tcW w:w="1367" w:type="dxa"/>
            <w:shd w:val="clear" w:color="auto" w:fill="auto"/>
            <w:tcMar>
              <w:left w:w="28" w:type="dxa"/>
              <w:right w:w="28" w:type="dxa"/>
            </w:tcMar>
            <w:vAlign w:val="center"/>
          </w:tcPr>
          <w:p w:rsidR="005E7102" w:rsidRPr="003A3555" w:rsidRDefault="005E7102" w:rsidP="00476EE6">
            <w:pPr>
              <w:pStyle w:val="Tabletext"/>
              <w:jc w:val="center"/>
              <w:rPr>
                <w:b/>
                <w:szCs w:val="20"/>
              </w:rPr>
            </w:pPr>
            <w:r w:rsidRPr="003A3555">
              <w:rPr>
                <w:rFonts w:cs="Arial"/>
                <w:b/>
                <w:szCs w:val="20"/>
              </w:rPr>
              <w:t>8% (4%, 11%)</w:t>
            </w:r>
          </w:p>
        </w:tc>
      </w:tr>
      <w:tr w:rsidR="005E7102" w:rsidRPr="003A3555" w:rsidTr="00847F0C">
        <w:tc>
          <w:tcPr>
            <w:tcW w:w="2263" w:type="dxa"/>
            <w:shd w:val="clear" w:color="auto" w:fill="auto"/>
            <w:tcMar>
              <w:left w:w="28" w:type="dxa"/>
              <w:right w:w="28" w:type="dxa"/>
            </w:tcMar>
            <w:vAlign w:val="center"/>
          </w:tcPr>
          <w:p w:rsidR="005E7102" w:rsidRPr="003A3555" w:rsidRDefault="00955CAB" w:rsidP="00476EE6">
            <w:pPr>
              <w:pStyle w:val="Tabletext"/>
              <w:rPr>
                <w:szCs w:val="20"/>
              </w:rPr>
            </w:pPr>
            <w:r>
              <w:rPr>
                <w:rFonts w:eastAsia="SimSun"/>
                <w:szCs w:val="20"/>
                <w:lang w:eastAsia="en-AU"/>
              </w:rPr>
              <w:t xml:space="preserve">  </w:t>
            </w:r>
            <w:r w:rsidR="005E7102" w:rsidRPr="003A3555">
              <w:rPr>
                <w:rFonts w:eastAsia="SimSun"/>
                <w:szCs w:val="20"/>
                <w:lang w:eastAsia="en-AU"/>
              </w:rPr>
              <w:t>Pneumonia</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15 (6.7%)</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4 (1.8%)</w:t>
            </w:r>
          </w:p>
        </w:tc>
        <w:tc>
          <w:tcPr>
            <w:tcW w:w="1276" w:type="dxa"/>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1 (1.3%)</w:t>
            </w:r>
          </w:p>
        </w:tc>
        <w:tc>
          <w:tcPr>
            <w:tcW w:w="1559" w:type="dxa"/>
            <w:tcBorders>
              <w:bottom w:val="single" w:sz="4" w:space="0" w:color="auto"/>
            </w:tcBorders>
            <w:tcMar>
              <w:left w:w="28" w:type="dxa"/>
              <w:right w:w="28" w:type="dxa"/>
            </w:tcMar>
          </w:tcPr>
          <w:p w:rsidR="005E7102" w:rsidRPr="003A3555" w:rsidRDefault="005E7102" w:rsidP="00476EE6">
            <w:pPr>
              <w:pStyle w:val="Tabletext"/>
              <w:jc w:val="center"/>
              <w:rPr>
                <w:b/>
                <w:szCs w:val="20"/>
              </w:rPr>
            </w:pPr>
            <w:r w:rsidRPr="003A3555">
              <w:rPr>
                <w:b/>
              </w:rPr>
              <w:t>3.70 (1.25, 10.97)</w:t>
            </w:r>
          </w:p>
        </w:tc>
        <w:tc>
          <w:tcPr>
            <w:tcW w:w="1367" w:type="dxa"/>
            <w:shd w:val="clear" w:color="auto" w:fill="auto"/>
            <w:tcMar>
              <w:left w:w="28" w:type="dxa"/>
              <w:right w:w="28" w:type="dxa"/>
            </w:tcMar>
            <w:vAlign w:val="center"/>
          </w:tcPr>
          <w:p w:rsidR="005E7102" w:rsidRPr="003A3555" w:rsidRDefault="005E7102" w:rsidP="00476EE6">
            <w:pPr>
              <w:pStyle w:val="Tabletext"/>
              <w:jc w:val="center"/>
              <w:rPr>
                <w:b/>
                <w:szCs w:val="20"/>
              </w:rPr>
            </w:pPr>
            <w:r w:rsidRPr="003A3555">
              <w:rPr>
                <w:rFonts w:cs="Arial"/>
                <w:b/>
                <w:szCs w:val="20"/>
              </w:rPr>
              <w:t>5% (1%, 9%)</w:t>
            </w:r>
          </w:p>
        </w:tc>
      </w:tr>
      <w:tr w:rsidR="005E7102" w:rsidRPr="003A3555" w:rsidTr="00847F0C">
        <w:tc>
          <w:tcPr>
            <w:tcW w:w="2263" w:type="dxa"/>
            <w:shd w:val="clear" w:color="auto" w:fill="auto"/>
            <w:tcMar>
              <w:left w:w="28" w:type="dxa"/>
              <w:right w:w="28" w:type="dxa"/>
            </w:tcMar>
            <w:vAlign w:val="center"/>
          </w:tcPr>
          <w:p w:rsidR="005E7102" w:rsidRPr="003A3555" w:rsidRDefault="00955CAB" w:rsidP="00476EE6">
            <w:pPr>
              <w:pStyle w:val="Tabletext"/>
              <w:rPr>
                <w:szCs w:val="20"/>
              </w:rPr>
            </w:pPr>
            <w:r>
              <w:rPr>
                <w:rFonts w:eastAsia="SimSun"/>
                <w:szCs w:val="20"/>
                <w:lang w:eastAsia="en-AU"/>
              </w:rPr>
              <w:t xml:space="preserve">  </w:t>
            </w:r>
            <w:r w:rsidR="005E7102" w:rsidRPr="003A3555">
              <w:rPr>
                <w:rFonts w:eastAsia="SimSun"/>
                <w:szCs w:val="20"/>
                <w:lang w:eastAsia="en-AU"/>
              </w:rPr>
              <w:t>Diarrhoea</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22 (9.8%)</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17 (7.7%)</w:t>
            </w:r>
          </w:p>
        </w:tc>
        <w:tc>
          <w:tcPr>
            <w:tcW w:w="1276" w:type="dxa"/>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6 (7.9%)</w:t>
            </w:r>
          </w:p>
        </w:tc>
        <w:tc>
          <w:tcPr>
            <w:tcW w:w="1559" w:type="dxa"/>
            <w:tcBorders>
              <w:bottom w:val="single" w:sz="4" w:space="0" w:color="auto"/>
            </w:tcBorders>
            <w:tcMar>
              <w:left w:w="28" w:type="dxa"/>
              <w:right w:w="28" w:type="dxa"/>
            </w:tcMar>
          </w:tcPr>
          <w:p w:rsidR="005E7102" w:rsidRPr="003A3555" w:rsidRDefault="005E7102" w:rsidP="00476EE6">
            <w:pPr>
              <w:pStyle w:val="Tabletext"/>
              <w:jc w:val="center"/>
              <w:rPr>
                <w:szCs w:val="20"/>
              </w:rPr>
            </w:pPr>
            <w:r w:rsidRPr="003A3555">
              <w:t>1.28 (0.70, 2.34)</w:t>
            </w:r>
          </w:p>
        </w:tc>
        <w:tc>
          <w:tcPr>
            <w:tcW w:w="1367"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2% (-3%, 7%)</w:t>
            </w:r>
          </w:p>
        </w:tc>
      </w:tr>
      <w:tr w:rsidR="005E7102" w:rsidRPr="003A3555" w:rsidTr="00847F0C">
        <w:tc>
          <w:tcPr>
            <w:tcW w:w="2263" w:type="dxa"/>
            <w:shd w:val="clear" w:color="auto" w:fill="auto"/>
            <w:tcMar>
              <w:left w:w="28" w:type="dxa"/>
              <w:right w:w="28" w:type="dxa"/>
            </w:tcMar>
            <w:vAlign w:val="center"/>
          </w:tcPr>
          <w:p w:rsidR="005E7102" w:rsidRPr="003A3555" w:rsidRDefault="00955CAB" w:rsidP="00476EE6">
            <w:pPr>
              <w:pStyle w:val="Tabletext"/>
              <w:rPr>
                <w:szCs w:val="20"/>
              </w:rPr>
            </w:pPr>
            <w:r>
              <w:rPr>
                <w:rFonts w:eastAsia="SimSun"/>
                <w:szCs w:val="20"/>
                <w:lang w:eastAsia="en-AU"/>
              </w:rPr>
              <w:t xml:space="preserve">  </w:t>
            </w:r>
            <w:r w:rsidR="005E7102" w:rsidRPr="003A3555">
              <w:rPr>
                <w:rFonts w:eastAsia="SimSun"/>
                <w:szCs w:val="20"/>
                <w:lang w:eastAsia="en-AU"/>
              </w:rPr>
              <w:t>Nausea</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16 (7.1%)</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10 (4.5%)</w:t>
            </w:r>
          </w:p>
        </w:tc>
        <w:tc>
          <w:tcPr>
            <w:tcW w:w="1276" w:type="dxa"/>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2 (2.6%)</w:t>
            </w:r>
          </w:p>
        </w:tc>
        <w:tc>
          <w:tcPr>
            <w:tcW w:w="1559" w:type="dxa"/>
            <w:tcBorders>
              <w:bottom w:val="single" w:sz="4" w:space="0" w:color="auto"/>
            </w:tcBorders>
            <w:tcMar>
              <w:left w:w="28" w:type="dxa"/>
              <w:right w:w="28" w:type="dxa"/>
            </w:tcMar>
          </w:tcPr>
          <w:p w:rsidR="005E7102" w:rsidRPr="003A3555" w:rsidRDefault="005E7102" w:rsidP="00476EE6">
            <w:pPr>
              <w:pStyle w:val="Tabletext"/>
              <w:jc w:val="center"/>
              <w:rPr>
                <w:szCs w:val="20"/>
              </w:rPr>
            </w:pPr>
            <w:r w:rsidRPr="003A3555">
              <w:t>1.58 (0.73, 3.40)</w:t>
            </w:r>
          </w:p>
        </w:tc>
        <w:tc>
          <w:tcPr>
            <w:tcW w:w="1367"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3% (-2%, 7%)</w:t>
            </w:r>
          </w:p>
        </w:tc>
      </w:tr>
      <w:tr w:rsidR="005E7102" w:rsidRPr="003A3555" w:rsidTr="00847F0C">
        <w:tc>
          <w:tcPr>
            <w:tcW w:w="2263" w:type="dxa"/>
            <w:shd w:val="clear" w:color="auto" w:fill="auto"/>
            <w:tcMar>
              <w:left w:w="28" w:type="dxa"/>
              <w:right w:w="28" w:type="dxa"/>
            </w:tcMar>
            <w:vAlign w:val="center"/>
          </w:tcPr>
          <w:p w:rsidR="005E7102" w:rsidRPr="003A3555" w:rsidRDefault="00955CAB" w:rsidP="00476EE6">
            <w:pPr>
              <w:pStyle w:val="Tabletext"/>
              <w:rPr>
                <w:szCs w:val="20"/>
              </w:rPr>
            </w:pPr>
            <w:r>
              <w:rPr>
                <w:rFonts w:eastAsia="SimSun"/>
                <w:szCs w:val="20"/>
                <w:lang w:eastAsia="en-AU"/>
              </w:rPr>
              <w:t xml:space="preserve">  </w:t>
            </w:r>
            <w:r w:rsidR="005E7102" w:rsidRPr="003A3555">
              <w:rPr>
                <w:rFonts w:eastAsia="SimSun"/>
                <w:szCs w:val="20"/>
                <w:lang w:eastAsia="en-AU"/>
              </w:rPr>
              <w:t>Hypokalaemia</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16 (7.1%)</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12 (5.4%)</w:t>
            </w:r>
          </w:p>
        </w:tc>
        <w:tc>
          <w:tcPr>
            <w:tcW w:w="1276" w:type="dxa"/>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3 (3.9%)</w:t>
            </w:r>
          </w:p>
        </w:tc>
        <w:tc>
          <w:tcPr>
            <w:tcW w:w="1559" w:type="dxa"/>
            <w:tcBorders>
              <w:bottom w:val="single" w:sz="4" w:space="0" w:color="auto"/>
            </w:tcBorders>
            <w:tcMar>
              <w:left w:w="28" w:type="dxa"/>
              <w:right w:w="28" w:type="dxa"/>
            </w:tcMar>
          </w:tcPr>
          <w:p w:rsidR="005E7102" w:rsidRPr="003A3555" w:rsidRDefault="005E7102" w:rsidP="00476EE6">
            <w:pPr>
              <w:pStyle w:val="Tabletext"/>
              <w:jc w:val="center"/>
              <w:rPr>
                <w:szCs w:val="20"/>
              </w:rPr>
            </w:pPr>
            <w:r w:rsidRPr="003A3555">
              <w:t>1.32 (0.64, 2.72)</w:t>
            </w:r>
          </w:p>
        </w:tc>
        <w:tc>
          <w:tcPr>
            <w:tcW w:w="1367"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2% (-3%, 6%)</w:t>
            </w:r>
          </w:p>
        </w:tc>
      </w:tr>
      <w:tr w:rsidR="005E7102" w:rsidRPr="003A3555" w:rsidTr="00847F0C">
        <w:tc>
          <w:tcPr>
            <w:tcW w:w="2263" w:type="dxa"/>
            <w:shd w:val="clear" w:color="auto" w:fill="auto"/>
            <w:tcMar>
              <w:left w:w="28" w:type="dxa"/>
              <w:right w:w="28" w:type="dxa"/>
            </w:tcMar>
            <w:vAlign w:val="center"/>
          </w:tcPr>
          <w:p w:rsidR="005E7102" w:rsidRPr="003A3555" w:rsidRDefault="00955CAB" w:rsidP="00476EE6">
            <w:pPr>
              <w:pStyle w:val="Tabletext"/>
              <w:rPr>
                <w:szCs w:val="20"/>
              </w:rPr>
            </w:pPr>
            <w:r>
              <w:rPr>
                <w:rFonts w:eastAsia="SimSun"/>
                <w:szCs w:val="20"/>
                <w:lang w:eastAsia="en-AU"/>
              </w:rPr>
              <w:t xml:space="preserve">  </w:t>
            </w:r>
            <w:proofErr w:type="spellStart"/>
            <w:r w:rsidR="005E7102" w:rsidRPr="003A3555">
              <w:rPr>
                <w:rFonts w:eastAsia="SimSun"/>
                <w:szCs w:val="20"/>
                <w:lang w:eastAsia="en-AU"/>
              </w:rPr>
              <w:t>Hypophosphataemia</w:t>
            </w:r>
            <w:proofErr w:type="spellEnd"/>
          </w:p>
        </w:tc>
        <w:tc>
          <w:tcPr>
            <w:tcW w:w="1276"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13 (5.8%)</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14 (6.3%)</w:t>
            </w:r>
          </w:p>
        </w:tc>
        <w:tc>
          <w:tcPr>
            <w:tcW w:w="1276" w:type="dxa"/>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1 (1.3%)</w:t>
            </w:r>
          </w:p>
        </w:tc>
        <w:tc>
          <w:tcPr>
            <w:tcW w:w="1559" w:type="dxa"/>
            <w:tcBorders>
              <w:bottom w:val="single" w:sz="4" w:space="0" w:color="auto"/>
            </w:tcBorders>
            <w:tcMar>
              <w:left w:w="28" w:type="dxa"/>
              <w:right w:w="28" w:type="dxa"/>
            </w:tcMar>
          </w:tcPr>
          <w:p w:rsidR="005E7102" w:rsidRPr="003A3555" w:rsidRDefault="005E7102" w:rsidP="00476EE6">
            <w:pPr>
              <w:pStyle w:val="Tabletext"/>
              <w:jc w:val="center"/>
              <w:rPr>
                <w:szCs w:val="20"/>
              </w:rPr>
            </w:pPr>
            <w:r w:rsidRPr="003A3555">
              <w:t>0.92 (0.44, 1.90)</w:t>
            </w:r>
          </w:p>
        </w:tc>
        <w:tc>
          <w:tcPr>
            <w:tcW w:w="1367"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-1% (-5%, 4%)</w:t>
            </w:r>
          </w:p>
        </w:tc>
      </w:tr>
      <w:tr w:rsidR="005E7102" w:rsidRPr="003A3555" w:rsidTr="00847F0C">
        <w:tc>
          <w:tcPr>
            <w:tcW w:w="2263" w:type="dxa"/>
            <w:tcBorders>
              <w:bottom w:val="single" w:sz="4" w:space="0" w:color="auto"/>
            </w:tcBorders>
            <w:shd w:val="clear" w:color="auto" w:fill="auto"/>
            <w:tcMar>
              <w:left w:w="28" w:type="dxa"/>
              <w:right w:w="28" w:type="dxa"/>
            </w:tcMar>
            <w:vAlign w:val="center"/>
          </w:tcPr>
          <w:p w:rsidR="005E7102" w:rsidRPr="003A3555" w:rsidRDefault="00955CAB" w:rsidP="00476EE6">
            <w:pPr>
              <w:pStyle w:val="Tabletext"/>
              <w:rPr>
                <w:szCs w:val="20"/>
              </w:rPr>
            </w:pPr>
            <w:r>
              <w:rPr>
                <w:rFonts w:eastAsia="SimSun"/>
                <w:szCs w:val="20"/>
                <w:lang w:eastAsia="en-AU"/>
              </w:rPr>
              <w:t xml:space="preserve">  </w:t>
            </w:r>
            <w:r w:rsidR="005E7102" w:rsidRPr="003A3555">
              <w:rPr>
                <w:rFonts w:eastAsia="SimSun"/>
                <w:szCs w:val="20"/>
                <w:lang w:eastAsia="en-AU"/>
              </w:rPr>
              <w:t>Fatigue</w:t>
            </w:r>
          </w:p>
        </w:tc>
        <w:tc>
          <w:tcPr>
            <w:tcW w:w="1276" w:type="dxa"/>
            <w:tcBorders>
              <w:bottom w:val="single" w:sz="4" w:space="0" w:color="auto"/>
            </w:tcBorders>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21 (9.4%)</w:t>
            </w:r>
          </w:p>
        </w:tc>
        <w:tc>
          <w:tcPr>
            <w:tcW w:w="1276" w:type="dxa"/>
            <w:tcBorders>
              <w:bottom w:val="single" w:sz="4" w:space="0" w:color="auto"/>
            </w:tcBorders>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9 (4.1%)</w:t>
            </w:r>
          </w:p>
        </w:tc>
        <w:tc>
          <w:tcPr>
            <w:tcW w:w="1276" w:type="dxa"/>
            <w:tcBorders>
              <w:bottom w:val="single" w:sz="4" w:space="0" w:color="auto"/>
            </w:tcBorders>
            <w:tcMar>
              <w:left w:w="28" w:type="dxa"/>
              <w:right w:w="28" w:type="dxa"/>
            </w:tcMar>
            <w:vAlign w:val="center"/>
          </w:tcPr>
          <w:p w:rsidR="005E7102" w:rsidRPr="003A3555" w:rsidRDefault="005E7102" w:rsidP="00476EE6">
            <w:pPr>
              <w:pStyle w:val="Tabletext"/>
              <w:jc w:val="center"/>
              <w:rPr>
                <w:szCs w:val="20"/>
              </w:rPr>
            </w:pPr>
            <w:r w:rsidRPr="003A3555">
              <w:rPr>
                <w:rFonts w:cs="Arial"/>
                <w:szCs w:val="20"/>
              </w:rPr>
              <w:t>6 (7.9%)</w:t>
            </w:r>
          </w:p>
        </w:tc>
        <w:tc>
          <w:tcPr>
            <w:tcW w:w="1559" w:type="dxa"/>
            <w:tcBorders>
              <w:bottom w:val="single" w:sz="4" w:space="0" w:color="auto"/>
            </w:tcBorders>
            <w:tcMar>
              <w:left w:w="28" w:type="dxa"/>
              <w:right w:w="28" w:type="dxa"/>
            </w:tcMar>
          </w:tcPr>
          <w:p w:rsidR="005E7102" w:rsidRPr="003A3555" w:rsidRDefault="005E7102" w:rsidP="00476EE6">
            <w:pPr>
              <w:pStyle w:val="Tabletext"/>
              <w:jc w:val="center"/>
              <w:rPr>
                <w:b/>
                <w:szCs w:val="20"/>
              </w:rPr>
            </w:pPr>
            <w:r w:rsidRPr="003A3555">
              <w:rPr>
                <w:b/>
              </w:rPr>
              <w:t>2.30 (1.08, 4.91)</w:t>
            </w:r>
          </w:p>
        </w:tc>
        <w:tc>
          <w:tcPr>
            <w:tcW w:w="1367" w:type="dxa"/>
            <w:tcBorders>
              <w:bottom w:val="single" w:sz="4" w:space="0" w:color="auto"/>
            </w:tcBorders>
            <w:shd w:val="clear" w:color="auto" w:fill="auto"/>
            <w:tcMar>
              <w:left w:w="28" w:type="dxa"/>
              <w:right w:w="28" w:type="dxa"/>
            </w:tcMar>
            <w:vAlign w:val="center"/>
          </w:tcPr>
          <w:p w:rsidR="005E7102" w:rsidRPr="003A3555" w:rsidRDefault="005E7102" w:rsidP="00476EE6">
            <w:pPr>
              <w:pStyle w:val="Tabletext"/>
              <w:jc w:val="center"/>
              <w:rPr>
                <w:b/>
                <w:szCs w:val="20"/>
              </w:rPr>
            </w:pPr>
            <w:r w:rsidRPr="003A3555">
              <w:rPr>
                <w:rFonts w:cs="Arial"/>
                <w:b/>
                <w:szCs w:val="20"/>
              </w:rPr>
              <w:t>5% (1%, 10%)</w:t>
            </w:r>
          </w:p>
        </w:tc>
      </w:tr>
      <w:tr w:rsidR="00847F0C" w:rsidRPr="003A3555" w:rsidTr="00847F0C">
        <w:tc>
          <w:tcPr>
            <w:tcW w:w="2263" w:type="dxa"/>
            <w:tcBorders>
              <w:bottom w:val="single" w:sz="4" w:space="0" w:color="auto"/>
              <w:right w:val="nil"/>
            </w:tcBorders>
            <w:tcMar>
              <w:left w:w="28" w:type="dxa"/>
              <w:right w:w="28" w:type="dxa"/>
            </w:tcMar>
          </w:tcPr>
          <w:p w:rsidR="00847F0C" w:rsidRPr="003A3555" w:rsidRDefault="00C60F2C" w:rsidP="00476EE6">
            <w:pPr>
              <w:pStyle w:val="Tabletext"/>
              <w:rPr>
                <w:b/>
                <w:szCs w:val="20"/>
              </w:rPr>
            </w:pPr>
            <w:r>
              <w:rPr>
                <w:b/>
                <w:szCs w:val="20"/>
              </w:rPr>
              <w:t>IFM</w:t>
            </w:r>
            <w:r w:rsidR="00847F0C" w:rsidRPr="003A3555">
              <w:rPr>
                <w:b/>
                <w:szCs w:val="20"/>
              </w:rPr>
              <w:t>2005-02 (March 2015)</w:t>
            </w:r>
          </w:p>
        </w:tc>
        <w:tc>
          <w:tcPr>
            <w:tcW w:w="1276" w:type="dxa"/>
            <w:tcBorders>
              <w:bottom w:val="single" w:sz="4" w:space="0" w:color="auto"/>
              <w:right w:val="nil"/>
            </w:tcBorders>
            <w:tcMar>
              <w:left w:w="28" w:type="dxa"/>
              <w:right w:w="28" w:type="dxa"/>
            </w:tcMar>
            <w:vAlign w:val="center"/>
          </w:tcPr>
          <w:p w:rsidR="00847F0C" w:rsidRPr="003A3555" w:rsidRDefault="00847F0C" w:rsidP="00476EE6">
            <w:pPr>
              <w:pStyle w:val="Tabletext"/>
              <w:jc w:val="center"/>
              <w:rPr>
                <w:b/>
                <w:szCs w:val="20"/>
              </w:rPr>
            </w:pPr>
            <w:r>
              <w:rPr>
                <w:b/>
                <w:szCs w:val="20"/>
              </w:rPr>
              <w:t>N = 306</w:t>
            </w:r>
          </w:p>
        </w:tc>
        <w:tc>
          <w:tcPr>
            <w:tcW w:w="1276" w:type="dxa"/>
            <w:tcBorders>
              <w:bottom w:val="single" w:sz="4" w:space="0" w:color="auto"/>
              <w:right w:val="nil"/>
            </w:tcBorders>
            <w:tcMar>
              <w:left w:w="28" w:type="dxa"/>
              <w:right w:w="28" w:type="dxa"/>
            </w:tcMar>
            <w:vAlign w:val="center"/>
          </w:tcPr>
          <w:p w:rsidR="00847F0C" w:rsidRPr="003A3555" w:rsidRDefault="00847F0C" w:rsidP="00476EE6">
            <w:pPr>
              <w:pStyle w:val="Tabletext"/>
              <w:jc w:val="center"/>
              <w:rPr>
                <w:b/>
                <w:szCs w:val="20"/>
              </w:rPr>
            </w:pPr>
            <w:r>
              <w:rPr>
                <w:b/>
                <w:szCs w:val="20"/>
              </w:rPr>
              <w:t>N = 302</w:t>
            </w:r>
          </w:p>
        </w:tc>
        <w:tc>
          <w:tcPr>
            <w:tcW w:w="2835" w:type="dxa"/>
            <w:gridSpan w:val="2"/>
            <w:tcBorders>
              <w:bottom w:val="single" w:sz="4" w:space="0" w:color="auto"/>
              <w:right w:val="nil"/>
            </w:tcBorders>
            <w:tcMar>
              <w:left w:w="28" w:type="dxa"/>
              <w:right w:w="28" w:type="dxa"/>
            </w:tcMar>
          </w:tcPr>
          <w:p w:rsidR="00847F0C" w:rsidRPr="003A3555" w:rsidRDefault="00847F0C" w:rsidP="00476EE6">
            <w:pPr>
              <w:pStyle w:val="Tabletext"/>
              <w:rPr>
                <w:b/>
                <w:szCs w:val="20"/>
              </w:rPr>
            </w:pPr>
          </w:p>
        </w:tc>
        <w:tc>
          <w:tcPr>
            <w:tcW w:w="1367" w:type="dxa"/>
            <w:tcBorders>
              <w:left w:val="nil"/>
              <w:bottom w:val="single" w:sz="4" w:space="0" w:color="auto"/>
            </w:tcBorders>
            <w:tcMar>
              <w:left w:w="28" w:type="dxa"/>
              <w:right w:w="28" w:type="dxa"/>
            </w:tcMar>
          </w:tcPr>
          <w:p w:rsidR="00847F0C" w:rsidRPr="003A3555" w:rsidRDefault="00847F0C" w:rsidP="00476EE6">
            <w:pPr>
              <w:pStyle w:val="Tabletext"/>
              <w:rPr>
                <w:b/>
                <w:szCs w:val="20"/>
              </w:rPr>
            </w:pPr>
          </w:p>
        </w:tc>
      </w:tr>
      <w:tr w:rsidR="005E7102" w:rsidRPr="003A3555" w:rsidTr="00847F0C">
        <w:tc>
          <w:tcPr>
            <w:tcW w:w="2263" w:type="dxa"/>
            <w:tcBorders>
              <w:right w:val="nil"/>
            </w:tcBorders>
            <w:tcMar>
              <w:left w:w="28" w:type="dxa"/>
              <w:right w:w="28" w:type="dxa"/>
            </w:tcMar>
            <w:vAlign w:val="center"/>
          </w:tcPr>
          <w:p w:rsidR="005E7102" w:rsidRPr="003A3555" w:rsidRDefault="005E7102" w:rsidP="00476EE6">
            <w:pPr>
              <w:pStyle w:val="Tabletext"/>
              <w:rPr>
                <w:szCs w:val="20"/>
              </w:rPr>
            </w:pPr>
            <w:r w:rsidRPr="003A3555">
              <w:rPr>
                <w:szCs w:val="20"/>
              </w:rPr>
              <w:t xml:space="preserve">Haematological </w:t>
            </w:r>
          </w:p>
        </w:tc>
        <w:tc>
          <w:tcPr>
            <w:tcW w:w="1276" w:type="dxa"/>
            <w:tcBorders>
              <w:left w:val="nil"/>
              <w:right w:val="nil"/>
            </w:tcBorders>
            <w:tcMar>
              <w:left w:w="28" w:type="dxa"/>
              <w:right w:w="28" w:type="dxa"/>
            </w:tcMar>
            <w:vAlign w:val="center"/>
          </w:tcPr>
          <w:p w:rsidR="005E7102" w:rsidRPr="003A3555" w:rsidRDefault="005E7102" w:rsidP="00476EE6">
            <w:pPr>
              <w:pStyle w:val="Tabletext"/>
              <w:jc w:val="center"/>
              <w:rPr>
                <w:szCs w:val="20"/>
              </w:rPr>
            </w:pPr>
          </w:p>
        </w:tc>
        <w:tc>
          <w:tcPr>
            <w:tcW w:w="1276" w:type="dxa"/>
            <w:tcBorders>
              <w:left w:val="nil"/>
              <w:right w:val="nil"/>
            </w:tcBorders>
            <w:tcMar>
              <w:left w:w="28" w:type="dxa"/>
              <w:right w:w="28" w:type="dxa"/>
            </w:tcMar>
            <w:vAlign w:val="center"/>
          </w:tcPr>
          <w:p w:rsidR="005E7102" w:rsidRPr="003A3555" w:rsidRDefault="005E7102" w:rsidP="00476EE6">
            <w:pPr>
              <w:pStyle w:val="Tabletext"/>
              <w:jc w:val="center"/>
              <w:rPr>
                <w:szCs w:val="20"/>
              </w:rPr>
            </w:pPr>
          </w:p>
        </w:tc>
        <w:tc>
          <w:tcPr>
            <w:tcW w:w="1276" w:type="dxa"/>
            <w:tcBorders>
              <w:left w:val="nil"/>
              <w:right w:val="nil"/>
            </w:tcBorders>
            <w:tcMar>
              <w:left w:w="28" w:type="dxa"/>
              <w:right w:w="28" w:type="dxa"/>
            </w:tcMar>
          </w:tcPr>
          <w:p w:rsidR="005E7102" w:rsidRPr="003A3555" w:rsidRDefault="005E7102" w:rsidP="00476EE6">
            <w:pPr>
              <w:pStyle w:val="Tabletext"/>
              <w:jc w:val="center"/>
              <w:rPr>
                <w:szCs w:val="20"/>
              </w:rPr>
            </w:pPr>
          </w:p>
        </w:tc>
        <w:tc>
          <w:tcPr>
            <w:tcW w:w="1559" w:type="dxa"/>
            <w:tcBorders>
              <w:left w:val="nil"/>
              <w:right w:val="nil"/>
            </w:tcBorders>
            <w:tcMar>
              <w:left w:w="28" w:type="dxa"/>
              <w:right w:w="28" w:type="dxa"/>
            </w:tcMar>
            <w:vAlign w:val="center"/>
          </w:tcPr>
          <w:p w:rsidR="005E7102" w:rsidRPr="003A3555" w:rsidRDefault="005E7102" w:rsidP="00476EE6">
            <w:pPr>
              <w:pStyle w:val="Tabletext"/>
              <w:jc w:val="center"/>
              <w:rPr>
                <w:szCs w:val="20"/>
              </w:rPr>
            </w:pPr>
          </w:p>
        </w:tc>
        <w:tc>
          <w:tcPr>
            <w:tcW w:w="1367" w:type="dxa"/>
            <w:tcBorders>
              <w:left w:val="nil"/>
            </w:tcBorders>
            <w:tcMar>
              <w:left w:w="28" w:type="dxa"/>
              <w:right w:w="28" w:type="dxa"/>
            </w:tcMar>
          </w:tcPr>
          <w:p w:rsidR="005E7102" w:rsidRPr="003A3555" w:rsidRDefault="005E7102" w:rsidP="00476EE6">
            <w:pPr>
              <w:pStyle w:val="Tabletext"/>
              <w:jc w:val="center"/>
              <w:rPr>
                <w:szCs w:val="20"/>
              </w:rPr>
            </w:pPr>
          </w:p>
        </w:tc>
      </w:tr>
      <w:tr w:rsidR="005E7102" w:rsidRPr="003A3555" w:rsidTr="00847F0C">
        <w:tc>
          <w:tcPr>
            <w:tcW w:w="2263" w:type="dxa"/>
            <w:shd w:val="clear" w:color="auto" w:fill="auto"/>
            <w:tcMar>
              <w:left w:w="28" w:type="dxa"/>
              <w:right w:w="28" w:type="dxa"/>
            </w:tcMar>
            <w:vAlign w:val="center"/>
          </w:tcPr>
          <w:p w:rsidR="005E7102" w:rsidRPr="003A3555" w:rsidRDefault="00955CAB" w:rsidP="00476EE6">
            <w:pPr>
              <w:pStyle w:val="Tabletext"/>
              <w:rPr>
                <w:szCs w:val="20"/>
              </w:rPr>
            </w:pPr>
            <w:r>
              <w:rPr>
                <w:rFonts w:eastAsia="SimSun"/>
                <w:szCs w:val="20"/>
                <w:lang w:eastAsia="en-AU"/>
              </w:rPr>
              <w:t xml:space="preserve">  </w:t>
            </w:r>
            <w:r w:rsidR="005E7102" w:rsidRPr="003A3555">
              <w:rPr>
                <w:rFonts w:eastAsia="SimSun"/>
                <w:szCs w:val="20"/>
                <w:lang w:eastAsia="en-AU"/>
              </w:rPr>
              <w:t>Neutropenia</w:t>
            </w:r>
          </w:p>
        </w:tc>
        <w:tc>
          <w:tcPr>
            <w:tcW w:w="1276" w:type="dxa"/>
            <w:shd w:val="clear" w:color="auto" w:fill="auto"/>
            <w:tcMar>
              <w:left w:w="28" w:type="dxa"/>
              <w:right w:w="28" w:type="dxa"/>
            </w:tcMar>
            <w:vAlign w:val="bottom"/>
          </w:tcPr>
          <w:p w:rsidR="005E7102" w:rsidRPr="003A3555" w:rsidRDefault="005E7102" w:rsidP="00476EE6">
            <w:pPr>
              <w:pStyle w:val="Tabletext"/>
              <w:jc w:val="center"/>
              <w:rPr>
                <w:szCs w:val="20"/>
              </w:rPr>
            </w:pPr>
            <w:r w:rsidRPr="003A3555">
              <w:rPr>
                <w:rFonts w:cs="Arial"/>
                <w:szCs w:val="20"/>
              </w:rPr>
              <w:t>158 (53.9%)</w:t>
            </w:r>
          </w:p>
        </w:tc>
        <w:tc>
          <w:tcPr>
            <w:tcW w:w="1276" w:type="dxa"/>
            <w:shd w:val="clear" w:color="auto" w:fill="auto"/>
            <w:tcMar>
              <w:left w:w="28" w:type="dxa"/>
              <w:right w:w="28" w:type="dxa"/>
            </w:tcMar>
            <w:vAlign w:val="bottom"/>
          </w:tcPr>
          <w:p w:rsidR="005E7102" w:rsidRPr="003A3555" w:rsidRDefault="005E7102" w:rsidP="00476EE6">
            <w:pPr>
              <w:pStyle w:val="Tabletext"/>
              <w:jc w:val="center"/>
              <w:rPr>
                <w:szCs w:val="20"/>
              </w:rPr>
            </w:pPr>
            <w:r w:rsidRPr="003A3555">
              <w:rPr>
                <w:rFonts w:cs="Arial"/>
                <w:szCs w:val="20"/>
              </w:rPr>
              <w:t>21 (7.5%)</w:t>
            </w:r>
          </w:p>
        </w:tc>
        <w:tc>
          <w:tcPr>
            <w:tcW w:w="1276" w:type="dxa"/>
            <w:tcMar>
              <w:left w:w="28" w:type="dxa"/>
              <w:right w:w="28" w:type="dxa"/>
            </w:tcMar>
          </w:tcPr>
          <w:p w:rsidR="005E7102" w:rsidRPr="003A3555" w:rsidRDefault="005E7102" w:rsidP="00476EE6">
            <w:pPr>
              <w:pStyle w:val="Tabletext"/>
              <w:jc w:val="center"/>
              <w:rPr>
                <w:szCs w:val="20"/>
              </w:rPr>
            </w:pPr>
            <w:r w:rsidRPr="003A3555">
              <w:rPr>
                <w:szCs w:val="20"/>
              </w:rPr>
              <w:t>-</w:t>
            </w:r>
          </w:p>
        </w:tc>
        <w:tc>
          <w:tcPr>
            <w:tcW w:w="1559" w:type="dxa"/>
            <w:tcMar>
              <w:left w:w="28" w:type="dxa"/>
              <w:right w:w="28" w:type="dxa"/>
            </w:tcMar>
          </w:tcPr>
          <w:p w:rsidR="005E7102" w:rsidRPr="003A3555" w:rsidRDefault="005E7102" w:rsidP="00476EE6">
            <w:pPr>
              <w:pStyle w:val="Tabletext"/>
              <w:jc w:val="center"/>
              <w:rPr>
                <w:b/>
                <w:szCs w:val="20"/>
              </w:rPr>
            </w:pPr>
            <w:r w:rsidRPr="003A3555">
              <w:rPr>
                <w:b/>
              </w:rPr>
              <w:t>7.19 (4.70, 11.00)</w:t>
            </w:r>
          </w:p>
        </w:tc>
        <w:tc>
          <w:tcPr>
            <w:tcW w:w="1367" w:type="dxa"/>
            <w:shd w:val="clear" w:color="auto" w:fill="auto"/>
            <w:tcMar>
              <w:left w:w="28" w:type="dxa"/>
              <w:right w:w="28" w:type="dxa"/>
            </w:tcMar>
            <w:vAlign w:val="center"/>
          </w:tcPr>
          <w:p w:rsidR="005E7102" w:rsidRPr="003A3555" w:rsidRDefault="005E7102" w:rsidP="00476EE6">
            <w:pPr>
              <w:pStyle w:val="Tabletext"/>
              <w:jc w:val="center"/>
              <w:rPr>
                <w:b/>
                <w:szCs w:val="20"/>
              </w:rPr>
            </w:pPr>
            <w:r w:rsidRPr="003A3555">
              <w:rPr>
                <w:rFonts w:cs="Arial"/>
                <w:b/>
                <w:szCs w:val="20"/>
              </w:rPr>
              <w:t>49% (42%, 56%)</w:t>
            </w:r>
          </w:p>
        </w:tc>
      </w:tr>
      <w:tr w:rsidR="005E7102" w:rsidRPr="003A3555" w:rsidTr="00847F0C">
        <w:tc>
          <w:tcPr>
            <w:tcW w:w="2263" w:type="dxa"/>
            <w:shd w:val="clear" w:color="auto" w:fill="auto"/>
            <w:tcMar>
              <w:left w:w="28" w:type="dxa"/>
              <w:right w:w="28" w:type="dxa"/>
            </w:tcMar>
            <w:vAlign w:val="center"/>
          </w:tcPr>
          <w:p w:rsidR="005E7102" w:rsidRPr="003A3555" w:rsidRDefault="00955CAB" w:rsidP="00476EE6">
            <w:pPr>
              <w:pStyle w:val="Tabletext"/>
              <w:rPr>
                <w:szCs w:val="20"/>
              </w:rPr>
            </w:pPr>
            <w:r>
              <w:rPr>
                <w:rFonts w:eastAsia="SimSun"/>
                <w:szCs w:val="20"/>
                <w:lang w:eastAsia="en-AU"/>
              </w:rPr>
              <w:t xml:space="preserve">  </w:t>
            </w:r>
            <w:r w:rsidR="005E7102" w:rsidRPr="003A3555">
              <w:rPr>
                <w:rFonts w:eastAsia="SimSun"/>
                <w:szCs w:val="20"/>
                <w:lang w:eastAsia="en-AU"/>
              </w:rPr>
              <w:t>Leukopenia</w:t>
            </w:r>
          </w:p>
        </w:tc>
        <w:tc>
          <w:tcPr>
            <w:tcW w:w="1276" w:type="dxa"/>
            <w:shd w:val="clear" w:color="auto" w:fill="auto"/>
            <w:tcMar>
              <w:left w:w="28" w:type="dxa"/>
              <w:right w:w="28" w:type="dxa"/>
            </w:tcMar>
            <w:vAlign w:val="bottom"/>
          </w:tcPr>
          <w:p w:rsidR="005E7102" w:rsidRPr="003A3555" w:rsidRDefault="005E7102" w:rsidP="00476EE6">
            <w:pPr>
              <w:pStyle w:val="Tabletext"/>
              <w:jc w:val="center"/>
              <w:rPr>
                <w:szCs w:val="20"/>
              </w:rPr>
            </w:pPr>
            <w:r w:rsidRPr="003A3555">
              <w:rPr>
                <w:rFonts w:cs="Arial"/>
                <w:szCs w:val="20"/>
              </w:rPr>
              <w:t>71 (24.2%)</w:t>
            </w:r>
          </w:p>
        </w:tc>
        <w:tc>
          <w:tcPr>
            <w:tcW w:w="1276" w:type="dxa"/>
            <w:shd w:val="clear" w:color="auto" w:fill="auto"/>
            <w:tcMar>
              <w:left w:w="28" w:type="dxa"/>
              <w:right w:w="28" w:type="dxa"/>
            </w:tcMar>
            <w:vAlign w:val="bottom"/>
          </w:tcPr>
          <w:p w:rsidR="005E7102" w:rsidRPr="003A3555" w:rsidRDefault="005E7102" w:rsidP="00476EE6">
            <w:pPr>
              <w:pStyle w:val="Tabletext"/>
              <w:jc w:val="center"/>
              <w:rPr>
                <w:szCs w:val="20"/>
              </w:rPr>
            </w:pPr>
            <w:r w:rsidRPr="003A3555">
              <w:rPr>
                <w:rFonts w:cs="Arial"/>
                <w:szCs w:val="20"/>
              </w:rPr>
              <w:t>5 (1.8%)</w:t>
            </w:r>
          </w:p>
        </w:tc>
        <w:tc>
          <w:tcPr>
            <w:tcW w:w="1276" w:type="dxa"/>
            <w:tcMar>
              <w:left w:w="28" w:type="dxa"/>
              <w:right w:w="28" w:type="dxa"/>
            </w:tcMar>
          </w:tcPr>
          <w:p w:rsidR="005E7102" w:rsidRPr="003A3555" w:rsidRDefault="005E7102" w:rsidP="00476EE6">
            <w:pPr>
              <w:pStyle w:val="Tabletext"/>
              <w:jc w:val="center"/>
              <w:rPr>
                <w:szCs w:val="20"/>
              </w:rPr>
            </w:pPr>
            <w:r w:rsidRPr="003A3555">
              <w:rPr>
                <w:szCs w:val="20"/>
              </w:rPr>
              <w:t>-</w:t>
            </w:r>
          </w:p>
        </w:tc>
        <w:tc>
          <w:tcPr>
            <w:tcW w:w="1559" w:type="dxa"/>
            <w:tcMar>
              <w:left w:w="28" w:type="dxa"/>
              <w:right w:w="28" w:type="dxa"/>
            </w:tcMar>
          </w:tcPr>
          <w:p w:rsidR="005E7102" w:rsidRPr="003A3555" w:rsidRDefault="005E7102" w:rsidP="00476EE6">
            <w:pPr>
              <w:pStyle w:val="Tabletext"/>
              <w:jc w:val="center"/>
              <w:rPr>
                <w:b/>
                <w:szCs w:val="20"/>
              </w:rPr>
            </w:pPr>
            <w:r w:rsidRPr="003A3555">
              <w:rPr>
                <w:b/>
              </w:rPr>
              <w:t>13.57 (5.56, 33.11)</w:t>
            </w:r>
          </w:p>
        </w:tc>
        <w:tc>
          <w:tcPr>
            <w:tcW w:w="1367" w:type="dxa"/>
            <w:shd w:val="clear" w:color="auto" w:fill="auto"/>
            <w:tcMar>
              <w:left w:w="28" w:type="dxa"/>
              <w:right w:w="28" w:type="dxa"/>
            </w:tcMar>
            <w:vAlign w:val="center"/>
          </w:tcPr>
          <w:p w:rsidR="005E7102" w:rsidRPr="003A3555" w:rsidRDefault="005E7102" w:rsidP="00476EE6">
            <w:pPr>
              <w:pStyle w:val="Tabletext"/>
              <w:jc w:val="center"/>
              <w:rPr>
                <w:b/>
                <w:szCs w:val="20"/>
              </w:rPr>
            </w:pPr>
            <w:r w:rsidRPr="003A3555">
              <w:rPr>
                <w:rFonts w:cs="Arial"/>
                <w:b/>
                <w:szCs w:val="20"/>
              </w:rPr>
              <w:t>24% (18%, 30%)</w:t>
            </w:r>
          </w:p>
        </w:tc>
      </w:tr>
      <w:tr w:rsidR="005E7102" w:rsidRPr="003A3555" w:rsidTr="00847F0C">
        <w:trPr>
          <w:trHeight w:val="60"/>
        </w:trPr>
        <w:tc>
          <w:tcPr>
            <w:tcW w:w="2263" w:type="dxa"/>
            <w:tcBorders>
              <w:bottom w:val="single" w:sz="4" w:space="0" w:color="auto"/>
            </w:tcBorders>
            <w:shd w:val="clear" w:color="auto" w:fill="auto"/>
            <w:tcMar>
              <w:left w:w="28" w:type="dxa"/>
              <w:right w:w="28" w:type="dxa"/>
            </w:tcMar>
            <w:vAlign w:val="center"/>
          </w:tcPr>
          <w:p w:rsidR="005E7102" w:rsidRPr="003A3555" w:rsidRDefault="00955CAB" w:rsidP="00476EE6">
            <w:pPr>
              <w:pStyle w:val="Tabletext"/>
              <w:rPr>
                <w:szCs w:val="20"/>
              </w:rPr>
            </w:pPr>
            <w:r>
              <w:rPr>
                <w:rFonts w:eastAsia="SimSun"/>
                <w:szCs w:val="20"/>
                <w:lang w:eastAsia="en-AU"/>
              </w:rPr>
              <w:t xml:space="preserve">  </w:t>
            </w:r>
            <w:r w:rsidR="005E7102" w:rsidRPr="003A3555">
              <w:rPr>
                <w:rFonts w:eastAsia="SimSun"/>
                <w:szCs w:val="20"/>
                <w:lang w:eastAsia="en-AU"/>
              </w:rPr>
              <w:t>Thrombocytopenia</w:t>
            </w:r>
          </w:p>
        </w:tc>
        <w:tc>
          <w:tcPr>
            <w:tcW w:w="1276" w:type="dxa"/>
            <w:tcBorders>
              <w:bottom w:val="single" w:sz="4" w:space="0" w:color="auto"/>
            </w:tcBorders>
            <w:shd w:val="clear" w:color="auto" w:fill="auto"/>
            <w:tcMar>
              <w:left w:w="28" w:type="dxa"/>
              <w:right w:w="28" w:type="dxa"/>
            </w:tcMar>
            <w:vAlign w:val="bottom"/>
          </w:tcPr>
          <w:p w:rsidR="005E7102" w:rsidRPr="003A3555" w:rsidRDefault="005E7102" w:rsidP="00476EE6">
            <w:pPr>
              <w:pStyle w:val="Tabletext"/>
              <w:jc w:val="center"/>
              <w:rPr>
                <w:szCs w:val="20"/>
              </w:rPr>
            </w:pPr>
            <w:r w:rsidRPr="003A3555">
              <w:rPr>
                <w:rFonts w:cs="Arial"/>
                <w:szCs w:val="20"/>
              </w:rPr>
              <w:t>38 (13.0%)</w:t>
            </w:r>
          </w:p>
        </w:tc>
        <w:tc>
          <w:tcPr>
            <w:tcW w:w="1276" w:type="dxa"/>
            <w:tcBorders>
              <w:bottom w:val="single" w:sz="4" w:space="0" w:color="auto"/>
            </w:tcBorders>
            <w:shd w:val="clear" w:color="auto" w:fill="auto"/>
            <w:tcMar>
              <w:left w:w="28" w:type="dxa"/>
              <w:right w:w="28" w:type="dxa"/>
            </w:tcMar>
            <w:vAlign w:val="bottom"/>
          </w:tcPr>
          <w:p w:rsidR="005E7102" w:rsidRPr="003A3555" w:rsidRDefault="005E7102" w:rsidP="00476EE6">
            <w:pPr>
              <w:pStyle w:val="Tabletext"/>
              <w:jc w:val="center"/>
              <w:rPr>
                <w:szCs w:val="20"/>
              </w:rPr>
            </w:pPr>
            <w:r w:rsidRPr="003A3555">
              <w:rPr>
                <w:rFonts w:cs="Arial"/>
                <w:szCs w:val="20"/>
              </w:rPr>
              <w:t>8 (2.9%)</w:t>
            </w:r>
          </w:p>
        </w:tc>
        <w:tc>
          <w:tcPr>
            <w:tcW w:w="1276" w:type="dxa"/>
            <w:tcBorders>
              <w:bottom w:val="single" w:sz="4" w:space="0" w:color="auto"/>
            </w:tcBorders>
            <w:tcMar>
              <w:left w:w="28" w:type="dxa"/>
              <w:right w:w="28" w:type="dxa"/>
            </w:tcMar>
          </w:tcPr>
          <w:p w:rsidR="005E7102" w:rsidRPr="003A3555" w:rsidRDefault="005E7102" w:rsidP="00476EE6">
            <w:pPr>
              <w:pStyle w:val="Tabletext"/>
              <w:jc w:val="center"/>
              <w:rPr>
                <w:szCs w:val="20"/>
              </w:rPr>
            </w:pPr>
            <w:r w:rsidRPr="003A3555">
              <w:rPr>
                <w:szCs w:val="20"/>
              </w:rPr>
              <w:t>-</w:t>
            </w:r>
          </w:p>
        </w:tc>
        <w:tc>
          <w:tcPr>
            <w:tcW w:w="1559" w:type="dxa"/>
            <w:tcBorders>
              <w:bottom w:val="single" w:sz="4" w:space="0" w:color="auto"/>
            </w:tcBorders>
            <w:tcMar>
              <w:left w:w="28" w:type="dxa"/>
              <w:right w:w="28" w:type="dxa"/>
            </w:tcMar>
          </w:tcPr>
          <w:p w:rsidR="005E7102" w:rsidRPr="003A3555" w:rsidRDefault="005E7102" w:rsidP="00476EE6">
            <w:pPr>
              <w:pStyle w:val="Tabletext"/>
              <w:jc w:val="center"/>
              <w:rPr>
                <w:b/>
                <w:szCs w:val="20"/>
              </w:rPr>
            </w:pPr>
            <w:r w:rsidRPr="003A3555">
              <w:rPr>
                <w:b/>
              </w:rPr>
              <w:t>4.54 (2.16, 9.56)</w:t>
            </w:r>
          </w:p>
        </w:tc>
        <w:tc>
          <w:tcPr>
            <w:tcW w:w="1367" w:type="dxa"/>
            <w:tcBorders>
              <w:bottom w:val="single" w:sz="4" w:space="0" w:color="auto"/>
            </w:tcBorders>
            <w:shd w:val="clear" w:color="auto" w:fill="auto"/>
            <w:tcMar>
              <w:left w:w="28" w:type="dxa"/>
              <w:right w:w="28" w:type="dxa"/>
            </w:tcMar>
            <w:vAlign w:val="center"/>
          </w:tcPr>
          <w:p w:rsidR="005E7102" w:rsidRPr="003A3555" w:rsidRDefault="005E7102" w:rsidP="00476EE6">
            <w:pPr>
              <w:pStyle w:val="Tabletext"/>
              <w:jc w:val="center"/>
              <w:rPr>
                <w:b/>
                <w:szCs w:val="20"/>
              </w:rPr>
            </w:pPr>
            <w:r w:rsidRPr="003A3555">
              <w:rPr>
                <w:rFonts w:cs="Arial"/>
                <w:b/>
                <w:szCs w:val="20"/>
              </w:rPr>
              <w:t>13% (7%, 19%)</w:t>
            </w:r>
          </w:p>
        </w:tc>
      </w:tr>
      <w:tr w:rsidR="005E7102" w:rsidRPr="003A3555" w:rsidTr="00847F0C">
        <w:tc>
          <w:tcPr>
            <w:tcW w:w="2263" w:type="dxa"/>
            <w:tcBorders>
              <w:right w:val="nil"/>
            </w:tcBorders>
            <w:tcMar>
              <w:left w:w="28" w:type="dxa"/>
              <w:right w:w="28" w:type="dxa"/>
            </w:tcMar>
            <w:vAlign w:val="center"/>
          </w:tcPr>
          <w:p w:rsidR="005E7102" w:rsidRPr="003A3555" w:rsidRDefault="005E7102" w:rsidP="00476EE6">
            <w:pPr>
              <w:pStyle w:val="Tabletext"/>
              <w:rPr>
                <w:szCs w:val="20"/>
              </w:rPr>
            </w:pPr>
            <w:r w:rsidRPr="003A3555">
              <w:rPr>
                <w:szCs w:val="20"/>
              </w:rPr>
              <w:t xml:space="preserve">Non-haematological </w:t>
            </w:r>
          </w:p>
        </w:tc>
        <w:tc>
          <w:tcPr>
            <w:tcW w:w="1276" w:type="dxa"/>
            <w:tcBorders>
              <w:left w:val="nil"/>
              <w:right w:val="nil"/>
            </w:tcBorders>
            <w:tcMar>
              <w:left w:w="28" w:type="dxa"/>
              <w:right w:w="28" w:type="dxa"/>
            </w:tcMar>
            <w:vAlign w:val="center"/>
          </w:tcPr>
          <w:p w:rsidR="005E7102" w:rsidRPr="003A3555" w:rsidRDefault="005E7102" w:rsidP="00476EE6">
            <w:pPr>
              <w:pStyle w:val="Tabletext"/>
              <w:jc w:val="center"/>
              <w:rPr>
                <w:szCs w:val="20"/>
              </w:rPr>
            </w:pPr>
          </w:p>
        </w:tc>
        <w:tc>
          <w:tcPr>
            <w:tcW w:w="1276" w:type="dxa"/>
            <w:tcBorders>
              <w:left w:val="nil"/>
              <w:right w:val="nil"/>
            </w:tcBorders>
            <w:tcMar>
              <w:left w:w="28" w:type="dxa"/>
              <w:right w:w="28" w:type="dxa"/>
            </w:tcMar>
            <w:vAlign w:val="center"/>
          </w:tcPr>
          <w:p w:rsidR="005E7102" w:rsidRPr="003A3555" w:rsidRDefault="005E7102" w:rsidP="00476EE6">
            <w:pPr>
              <w:pStyle w:val="Tabletext"/>
              <w:jc w:val="center"/>
              <w:rPr>
                <w:szCs w:val="20"/>
              </w:rPr>
            </w:pPr>
          </w:p>
        </w:tc>
        <w:tc>
          <w:tcPr>
            <w:tcW w:w="1276" w:type="dxa"/>
            <w:tcBorders>
              <w:left w:val="nil"/>
              <w:right w:val="nil"/>
            </w:tcBorders>
            <w:tcMar>
              <w:left w:w="28" w:type="dxa"/>
              <w:right w:w="28" w:type="dxa"/>
            </w:tcMar>
          </w:tcPr>
          <w:p w:rsidR="005E7102" w:rsidRPr="003A3555" w:rsidRDefault="005E7102" w:rsidP="00476EE6">
            <w:pPr>
              <w:pStyle w:val="Tabletext"/>
              <w:jc w:val="center"/>
              <w:rPr>
                <w:szCs w:val="20"/>
              </w:rPr>
            </w:pPr>
          </w:p>
        </w:tc>
        <w:tc>
          <w:tcPr>
            <w:tcW w:w="1559" w:type="dxa"/>
            <w:tcBorders>
              <w:left w:val="nil"/>
              <w:right w:val="nil"/>
            </w:tcBorders>
            <w:tcMar>
              <w:left w:w="28" w:type="dxa"/>
              <w:right w:w="28" w:type="dxa"/>
            </w:tcMar>
            <w:vAlign w:val="center"/>
          </w:tcPr>
          <w:p w:rsidR="005E7102" w:rsidRPr="003A3555" w:rsidRDefault="005E7102" w:rsidP="00476EE6">
            <w:pPr>
              <w:pStyle w:val="Tabletext"/>
              <w:jc w:val="center"/>
              <w:rPr>
                <w:szCs w:val="20"/>
              </w:rPr>
            </w:pPr>
          </w:p>
        </w:tc>
        <w:tc>
          <w:tcPr>
            <w:tcW w:w="1367" w:type="dxa"/>
            <w:tcBorders>
              <w:left w:val="nil"/>
            </w:tcBorders>
            <w:tcMar>
              <w:left w:w="28" w:type="dxa"/>
              <w:right w:w="28" w:type="dxa"/>
            </w:tcMar>
          </w:tcPr>
          <w:p w:rsidR="005E7102" w:rsidRPr="003A3555" w:rsidRDefault="005E7102" w:rsidP="00476EE6">
            <w:pPr>
              <w:pStyle w:val="Tabletext"/>
              <w:jc w:val="center"/>
              <w:rPr>
                <w:szCs w:val="20"/>
              </w:rPr>
            </w:pPr>
          </w:p>
        </w:tc>
      </w:tr>
      <w:tr w:rsidR="005E7102" w:rsidRPr="003A3555" w:rsidTr="00847F0C">
        <w:tc>
          <w:tcPr>
            <w:tcW w:w="2263" w:type="dxa"/>
            <w:shd w:val="clear" w:color="auto" w:fill="auto"/>
            <w:tcMar>
              <w:left w:w="28" w:type="dxa"/>
              <w:right w:w="28" w:type="dxa"/>
            </w:tcMar>
            <w:vAlign w:val="center"/>
          </w:tcPr>
          <w:p w:rsidR="005E7102" w:rsidRPr="003A3555" w:rsidRDefault="00955CAB" w:rsidP="00476EE6">
            <w:pPr>
              <w:pStyle w:val="Tabletext"/>
              <w:rPr>
                <w:rFonts w:eastAsia="SimSun"/>
                <w:szCs w:val="20"/>
                <w:lang w:eastAsia="en-AU"/>
              </w:rPr>
            </w:pPr>
            <w:r>
              <w:rPr>
                <w:rFonts w:eastAsia="SimSun"/>
                <w:szCs w:val="20"/>
                <w:lang w:eastAsia="en-AU"/>
              </w:rPr>
              <w:t xml:space="preserve">  </w:t>
            </w:r>
            <w:r w:rsidR="005E7102" w:rsidRPr="003A3555">
              <w:rPr>
                <w:rFonts w:eastAsia="SimSun"/>
                <w:szCs w:val="20"/>
                <w:lang w:eastAsia="en-AU"/>
              </w:rPr>
              <w:t>Bronchitis</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rFonts w:cs="Arial"/>
                <w:szCs w:val="20"/>
              </w:rPr>
            </w:pPr>
            <w:r w:rsidRPr="003A3555">
              <w:rPr>
                <w:rFonts w:cs="Arial"/>
                <w:szCs w:val="20"/>
              </w:rPr>
              <w:t>139 (47.4%)</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rFonts w:cs="Arial"/>
                <w:szCs w:val="20"/>
              </w:rPr>
            </w:pPr>
            <w:r w:rsidRPr="003A3555">
              <w:rPr>
                <w:rFonts w:cs="Arial"/>
                <w:szCs w:val="20"/>
              </w:rPr>
              <w:t>104 (37.1%)</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szCs w:val="20"/>
              </w:rPr>
            </w:pPr>
            <w:r w:rsidRPr="003A3555">
              <w:rPr>
                <w:rFonts w:cs="Arial"/>
                <w:i/>
                <w:szCs w:val="20"/>
              </w:rPr>
              <w:t>-</w:t>
            </w:r>
          </w:p>
        </w:tc>
        <w:tc>
          <w:tcPr>
            <w:tcW w:w="1559" w:type="dxa"/>
            <w:shd w:val="clear" w:color="auto" w:fill="auto"/>
            <w:tcMar>
              <w:left w:w="28" w:type="dxa"/>
              <w:right w:w="28" w:type="dxa"/>
            </w:tcMar>
            <w:vAlign w:val="center"/>
          </w:tcPr>
          <w:p w:rsidR="005E7102" w:rsidRPr="003A3555" w:rsidRDefault="005E7102" w:rsidP="00476EE6">
            <w:pPr>
              <w:pStyle w:val="Tabletext"/>
              <w:jc w:val="center"/>
              <w:rPr>
                <w:b/>
                <w:szCs w:val="20"/>
              </w:rPr>
            </w:pPr>
            <w:r w:rsidRPr="003A3555">
              <w:rPr>
                <w:rFonts w:cs="Arial"/>
                <w:b/>
                <w:szCs w:val="20"/>
              </w:rPr>
              <w:t>1.28 (1.05, 1.55)</w:t>
            </w:r>
          </w:p>
        </w:tc>
        <w:tc>
          <w:tcPr>
            <w:tcW w:w="1367" w:type="dxa"/>
            <w:shd w:val="clear" w:color="auto" w:fill="auto"/>
            <w:tcMar>
              <w:left w:w="28" w:type="dxa"/>
              <w:right w:w="28" w:type="dxa"/>
            </w:tcMar>
            <w:vAlign w:val="center"/>
          </w:tcPr>
          <w:p w:rsidR="005E7102" w:rsidRPr="003A3555" w:rsidRDefault="005E7102" w:rsidP="00476EE6">
            <w:pPr>
              <w:pStyle w:val="Tabletext"/>
              <w:jc w:val="center"/>
              <w:rPr>
                <w:b/>
                <w:szCs w:val="20"/>
              </w:rPr>
            </w:pPr>
            <w:r w:rsidRPr="003A3555">
              <w:rPr>
                <w:rFonts w:cs="Arial"/>
                <w:b/>
                <w:szCs w:val="20"/>
              </w:rPr>
              <w:t>10% (2%, 18%)</w:t>
            </w:r>
          </w:p>
        </w:tc>
      </w:tr>
      <w:tr w:rsidR="005E7102" w:rsidRPr="003A3555" w:rsidTr="00847F0C">
        <w:tc>
          <w:tcPr>
            <w:tcW w:w="2263" w:type="dxa"/>
            <w:shd w:val="clear" w:color="auto" w:fill="auto"/>
            <w:tcMar>
              <w:left w:w="28" w:type="dxa"/>
              <w:right w:w="28" w:type="dxa"/>
            </w:tcMar>
            <w:vAlign w:val="center"/>
          </w:tcPr>
          <w:p w:rsidR="005E7102" w:rsidRPr="003A3555" w:rsidRDefault="00955CAB" w:rsidP="00476EE6">
            <w:pPr>
              <w:pStyle w:val="Tabletext"/>
              <w:rPr>
                <w:rFonts w:eastAsia="SimSun"/>
                <w:szCs w:val="20"/>
                <w:lang w:eastAsia="en-AU"/>
              </w:rPr>
            </w:pPr>
            <w:r>
              <w:rPr>
                <w:rFonts w:eastAsia="SimSun"/>
                <w:szCs w:val="20"/>
                <w:lang w:eastAsia="en-AU"/>
              </w:rPr>
              <w:t xml:space="preserve">  </w:t>
            </w:r>
            <w:r w:rsidR="005E7102" w:rsidRPr="003A3555">
              <w:rPr>
                <w:rFonts w:eastAsia="SimSun"/>
                <w:szCs w:val="20"/>
                <w:lang w:eastAsia="en-AU"/>
              </w:rPr>
              <w:t>Diarrhoea</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rFonts w:cs="Arial"/>
                <w:szCs w:val="20"/>
              </w:rPr>
            </w:pPr>
            <w:r w:rsidRPr="003A3555">
              <w:rPr>
                <w:rFonts w:cs="Arial"/>
                <w:szCs w:val="20"/>
              </w:rPr>
              <w:t>114 (38.9%)</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rFonts w:cs="Arial"/>
                <w:szCs w:val="20"/>
              </w:rPr>
            </w:pPr>
            <w:r w:rsidRPr="003A3555">
              <w:rPr>
                <w:rFonts w:cs="Arial"/>
                <w:szCs w:val="20"/>
              </w:rPr>
              <w:t>34 (12.1%)</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rFonts w:cs="Arial"/>
                <w:i/>
                <w:szCs w:val="20"/>
              </w:rPr>
            </w:pPr>
            <w:r w:rsidRPr="003A3555">
              <w:rPr>
                <w:rFonts w:cs="Arial"/>
                <w:i/>
                <w:szCs w:val="20"/>
              </w:rPr>
              <w:t>-</w:t>
            </w:r>
          </w:p>
        </w:tc>
        <w:tc>
          <w:tcPr>
            <w:tcW w:w="1559" w:type="dxa"/>
            <w:shd w:val="clear" w:color="auto" w:fill="auto"/>
            <w:tcMar>
              <w:left w:w="28" w:type="dxa"/>
              <w:right w:w="28" w:type="dxa"/>
            </w:tcMar>
            <w:vAlign w:val="center"/>
          </w:tcPr>
          <w:p w:rsidR="005E7102" w:rsidRPr="003A3555" w:rsidRDefault="005E7102" w:rsidP="00476EE6">
            <w:pPr>
              <w:pStyle w:val="Tabletext"/>
              <w:jc w:val="center"/>
              <w:rPr>
                <w:rFonts w:cs="Arial"/>
                <w:b/>
                <w:szCs w:val="20"/>
              </w:rPr>
            </w:pPr>
            <w:r w:rsidRPr="003A3555">
              <w:rPr>
                <w:rFonts w:cs="Arial"/>
                <w:b/>
                <w:szCs w:val="20"/>
              </w:rPr>
              <w:t>3.20 (2.27, 4.53)</w:t>
            </w:r>
          </w:p>
        </w:tc>
        <w:tc>
          <w:tcPr>
            <w:tcW w:w="1367" w:type="dxa"/>
            <w:shd w:val="clear" w:color="auto" w:fill="auto"/>
            <w:tcMar>
              <w:left w:w="28" w:type="dxa"/>
              <w:right w:w="28" w:type="dxa"/>
            </w:tcMar>
            <w:vAlign w:val="center"/>
          </w:tcPr>
          <w:p w:rsidR="005E7102" w:rsidRPr="003A3555" w:rsidRDefault="005E7102" w:rsidP="00476EE6">
            <w:pPr>
              <w:pStyle w:val="Tabletext"/>
              <w:jc w:val="center"/>
              <w:rPr>
                <w:rFonts w:cs="Arial"/>
                <w:b/>
                <w:szCs w:val="20"/>
              </w:rPr>
            </w:pPr>
            <w:r w:rsidRPr="003A3555">
              <w:rPr>
                <w:rFonts w:cs="Arial"/>
                <w:b/>
                <w:szCs w:val="20"/>
              </w:rPr>
              <w:t>27% (20%, 34%)</w:t>
            </w:r>
          </w:p>
        </w:tc>
      </w:tr>
      <w:tr w:rsidR="005E7102" w:rsidRPr="003A3555" w:rsidTr="00847F0C">
        <w:tc>
          <w:tcPr>
            <w:tcW w:w="2263" w:type="dxa"/>
            <w:shd w:val="clear" w:color="auto" w:fill="auto"/>
            <w:tcMar>
              <w:left w:w="28" w:type="dxa"/>
              <w:right w:w="28" w:type="dxa"/>
            </w:tcMar>
            <w:vAlign w:val="center"/>
          </w:tcPr>
          <w:p w:rsidR="005E7102" w:rsidRPr="003A3555" w:rsidRDefault="00955CAB" w:rsidP="00476EE6">
            <w:pPr>
              <w:pStyle w:val="Tabletext"/>
              <w:rPr>
                <w:rFonts w:eastAsia="SimSun"/>
                <w:szCs w:val="20"/>
                <w:lang w:eastAsia="en-AU"/>
              </w:rPr>
            </w:pPr>
            <w:r>
              <w:rPr>
                <w:rFonts w:eastAsia="SimSun"/>
                <w:szCs w:val="20"/>
                <w:lang w:eastAsia="en-AU"/>
              </w:rPr>
              <w:t xml:space="preserve">  </w:t>
            </w:r>
            <w:r w:rsidR="005E7102" w:rsidRPr="003A3555">
              <w:rPr>
                <w:rFonts w:eastAsia="SimSun"/>
                <w:szCs w:val="20"/>
                <w:lang w:eastAsia="en-AU"/>
              </w:rPr>
              <w:t>Fatigue</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rFonts w:cs="Arial"/>
                <w:szCs w:val="20"/>
              </w:rPr>
            </w:pPr>
            <w:r w:rsidRPr="003A3555">
              <w:rPr>
                <w:rFonts w:cs="Arial"/>
                <w:szCs w:val="20"/>
              </w:rPr>
              <w:t>31 (10.6%)</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rFonts w:cs="Arial"/>
                <w:szCs w:val="20"/>
              </w:rPr>
            </w:pPr>
            <w:r w:rsidRPr="003A3555">
              <w:rPr>
                <w:rFonts w:cs="Arial"/>
                <w:szCs w:val="20"/>
              </w:rPr>
              <w:t>15 (5.4%)</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rFonts w:cs="Arial"/>
                <w:i/>
                <w:szCs w:val="20"/>
              </w:rPr>
            </w:pPr>
            <w:r w:rsidRPr="003A3555">
              <w:rPr>
                <w:rFonts w:cs="Arial"/>
                <w:i/>
                <w:szCs w:val="20"/>
              </w:rPr>
              <w:t>-</w:t>
            </w:r>
          </w:p>
        </w:tc>
        <w:tc>
          <w:tcPr>
            <w:tcW w:w="1559" w:type="dxa"/>
            <w:shd w:val="clear" w:color="auto" w:fill="auto"/>
            <w:tcMar>
              <w:left w:w="28" w:type="dxa"/>
              <w:right w:w="28" w:type="dxa"/>
            </w:tcMar>
            <w:vAlign w:val="center"/>
          </w:tcPr>
          <w:p w:rsidR="005E7102" w:rsidRPr="003A3555" w:rsidRDefault="005E7102" w:rsidP="00476EE6">
            <w:pPr>
              <w:pStyle w:val="Tabletext"/>
              <w:jc w:val="center"/>
              <w:rPr>
                <w:rFonts w:cs="Arial"/>
                <w:b/>
                <w:szCs w:val="20"/>
              </w:rPr>
            </w:pPr>
            <w:r w:rsidRPr="003A3555">
              <w:rPr>
                <w:rFonts w:cs="Arial"/>
                <w:b/>
                <w:szCs w:val="20"/>
              </w:rPr>
              <w:t>1.97 (1.09, 3.58)</w:t>
            </w:r>
          </w:p>
        </w:tc>
        <w:tc>
          <w:tcPr>
            <w:tcW w:w="1367" w:type="dxa"/>
            <w:shd w:val="clear" w:color="auto" w:fill="auto"/>
            <w:tcMar>
              <w:left w:w="28" w:type="dxa"/>
              <w:right w:w="28" w:type="dxa"/>
            </w:tcMar>
            <w:vAlign w:val="center"/>
          </w:tcPr>
          <w:p w:rsidR="005E7102" w:rsidRPr="003A3555" w:rsidRDefault="005E7102" w:rsidP="00476EE6">
            <w:pPr>
              <w:pStyle w:val="Tabletext"/>
              <w:jc w:val="center"/>
              <w:rPr>
                <w:rFonts w:eastAsia="SimSun"/>
                <w:b/>
                <w:szCs w:val="20"/>
                <w:lang w:eastAsia="en-AU"/>
              </w:rPr>
            </w:pPr>
            <w:r w:rsidRPr="003A3555">
              <w:rPr>
                <w:rFonts w:cs="Arial"/>
                <w:b/>
                <w:szCs w:val="20"/>
              </w:rPr>
              <w:t>5% (1%, 10%)</w:t>
            </w:r>
          </w:p>
        </w:tc>
      </w:tr>
      <w:tr w:rsidR="005E7102" w:rsidRPr="003A3555" w:rsidTr="00847F0C">
        <w:tc>
          <w:tcPr>
            <w:tcW w:w="2263" w:type="dxa"/>
            <w:shd w:val="clear" w:color="auto" w:fill="auto"/>
            <w:tcMar>
              <w:left w:w="28" w:type="dxa"/>
              <w:right w:w="28" w:type="dxa"/>
            </w:tcMar>
            <w:vAlign w:val="center"/>
          </w:tcPr>
          <w:p w:rsidR="005E7102" w:rsidRPr="003A3555" w:rsidRDefault="00955CAB" w:rsidP="00476EE6">
            <w:pPr>
              <w:pStyle w:val="Tabletext"/>
              <w:rPr>
                <w:rFonts w:eastAsia="SimSun"/>
                <w:szCs w:val="20"/>
                <w:lang w:eastAsia="en-AU"/>
              </w:rPr>
            </w:pPr>
            <w:r>
              <w:rPr>
                <w:rFonts w:eastAsia="SimSun"/>
                <w:szCs w:val="20"/>
                <w:lang w:eastAsia="en-AU"/>
              </w:rPr>
              <w:t xml:space="preserve">  </w:t>
            </w:r>
            <w:r w:rsidR="005E7102" w:rsidRPr="003A3555">
              <w:rPr>
                <w:rFonts w:eastAsia="SimSun"/>
                <w:szCs w:val="20"/>
                <w:lang w:eastAsia="en-AU"/>
              </w:rPr>
              <w:t>Nausea</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rFonts w:cs="Arial"/>
                <w:szCs w:val="20"/>
              </w:rPr>
            </w:pPr>
            <w:r w:rsidRPr="003A3555">
              <w:rPr>
                <w:rFonts w:cs="Arial"/>
                <w:szCs w:val="20"/>
              </w:rPr>
              <w:t>31 (10.6%)</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rFonts w:cs="Arial"/>
                <w:szCs w:val="20"/>
              </w:rPr>
            </w:pPr>
            <w:r w:rsidRPr="003A3555">
              <w:rPr>
                <w:rFonts w:cs="Arial"/>
                <w:szCs w:val="20"/>
              </w:rPr>
              <w:t>28 (10%)</w:t>
            </w:r>
          </w:p>
        </w:tc>
        <w:tc>
          <w:tcPr>
            <w:tcW w:w="1276" w:type="dxa"/>
            <w:shd w:val="clear" w:color="auto" w:fill="auto"/>
            <w:tcMar>
              <w:left w:w="28" w:type="dxa"/>
              <w:right w:w="28" w:type="dxa"/>
            </w:tcMar>
            <w:vAlign w:val="center"/>
          </w:tcPr>
          <w:p w:rsidR="005E7102" w:rsidRPr="003A3555" w:rsidRDefault="005E7102" w:rsidP="00476EE6">
            <w:pPr>
              <w:pStyle w:val="Tabletext"/>
              <w:jc w:val="center"/>
              <w:rPr>
                <w:rFonts w:cs="Arial"/>
                <w:i/>
                <w:szCs w:val="20"/>
              </w:rPr>
            </w:pPr>
            <w:r w:rsidRPr="003A3555">
              <w:rPr>
                <w:rFonts w:cs="Arial"/>
                <w:i/>
                <w:szCs w:val="20"/>
              </w:rPr>
              <w:t>-</w:t>
            </w:r>
          </w:p>
        </w:tc>
        <w:tc>
          <w:tcPr>
            <w:tcW w:w="1559" w:type="dxa"/>
            <w:shd w:val="clear" w:color="auto" w:fill="auto"/>
            <w:tcMar>
              <w:left w:w="28" w:type="dxa"/>
              <w:right w:w="28" w:type="dxa"/>
            </w:tcMar>
            <w:vAlign w:val="center"/>
          </w:tcPr>
          <w:p w:rsidR="005E7102" w:rsidRPr="003A3555" w:rsidRDefault="005E7102" w:rsidP="00476EE6">
            <w:pPr>
              <w:pStyle w:val="Tabletext"/>
              <w:jc w:val="center"/>
              <w:rPr>
                <w:rFonts w:cs="Arial"/>
                <w:szCs w:val="20"/>
              </w:rPr>
            </w:pPr>
            <w:r w:rsidRPr="003A3555">
              <w:rPr>
                <w:rFonts w:cs="Arial"/>
                <w:szCs w:val="20"/>
              </w:rPr>
              <w:t>1.06 (0.65, 1.72)</w:t>
            </w:r>
          </w:p>
        </w:tc>
        <w:tc>
          <w:tcPr>
            <w:tcW w:w="1367" w:type="dxa"/>
            <w:shd w:val="clear" w:color="auto" w:fill="auto"/>
            <w:tcMar>
              <w:left w:w="28" w:type="dxa"/>
              <w:right w:w="28" w:type="dxa"/>
            </w:tcMar>
            <w:vAlign w:val="center"/>
          </w:tcPr>
          <w:p w:rsidR="005E7102" w:rsidRPr="003A3555" w:rsidRDefault="005E7102" w:rsidP="00476EE6">
            <w:pPr>
              <w:pStyle w:val="Tabletext"/>
              <w:jc w:val="center"/>
              <w:rPr>
                <w:rFonts w:eastAsia="SimSun"/>
                <w:szCs w:val="20"/>
                <w:lang w:eastAsia="en-AU"/>
              </w:rPr>
            </w:pPr>
            <w:r w:rsidRPr="003A3555">
              <w:rPr>
                <w:rFonts w:cs="Arial"/>
                <w:szCs w:val="20"/>
              </w:rPr>
              <w:t>1% (-4%, 6%)</w:t>
            </w:r>
          </w:p>
        </w:tc>
      </w:tr>
      <w:tr w:rsidR="005E7102" w:rsidRPr="003A3555" w:rsidTr="00847F0C">
        <w:tc>
          <w:tcPr>
            <w:tcW w:w="2263" w:type="dxa"/>
            <w:shd w:val="clear" w:color="auto" w:fill="auto"/>
            <w:tcMar>
              <w:left w:w="28" w:type="dxa"/>
              <w:right w:w="28" w:type="dxa"/>
            </w:tcMar>
            <w:vAlign w:val="center"/>
          </w:tcPr>
          <w:p w:rsidR="005E7102" w:rsidRPr="003A3555" w:rsidRDefault="00955CAB" w:rsidP="00476EE6">
            <w:pPr>
              <w:pStyle w:val="Tabletext"/>
              <w:rPr>
                <w:szCs w:val="20"/>
              </w:rPr>
            </w:pPr>
            <w:r>
              <w:rPr>
                <w:rFonts w:eastAsia="SimSun"/>
                <w:szCs w:val="20"/>
                <w:lang w:eastAsia="en-AU"/>
              </w:rPr>
              <w:t xml:space="preserve">  </w:t>
            </w:r>
            <w:r w:rsidR="005E7102" w:rsidRPr="003A3555">
              <w:rPr>
                <w:rFonts w:eastAsia="SimSun"/>
                <w:szCs w:val="20"/>
                <w:lang w:eastAsia="en-AU"/>
              </w:rPr>
              <w:t>Lung disorder</w:t>
            </w:r>
          </w:p>
        </w:tc>
        <w:tc>
          <w:tcPr>
            <w:tcW w:w="1276" w:type="dxa"/>
            <w:shd w:val="clear" w:color="auto" w:fill="auto"/>
            <w:tcMar>
              <w:left w:w="28" w:type="dxa"/>
              <w:right w:w="28" w:type="dxa"/>
            </w:tcMar>
            <w:vAlign w:val="bottom"/>
          </w:tcPr>
          <w:p w:rsidR="005E7102" w:rsidRPr="003A3555" w:rsidRDefault="005E7102" w:rsidP="00476EE6">
            <w:pPr>
              <w:pStyle w:val="Tabletext"/>
              <w:jc w:val="center"/>
              <w:rPr>
                <w:szCs w:val="20"/>
              </w:rPr>
            </w:pPr>
            <w:r w:rsidRPr="003A3555">
              <w:rPr>
                <w:rFonts w:cs="Arial"/>
                <w:szCs w:val="20"/>
              </w:rPr>
              <w:t>19 (6.5%)</w:t>
            </w:r>
          </w:p>
        </w:tc>
        <w:tc>
          <w:tcPr>
            <w:tcW w:w="1276" w:type="dxa"/>
            <w:shd w:val="clear" w:color="auto" w:fill="auto"/>
            <w:tcMar>
              <w:left w:w="28" w:type="dxa"/>
              <w:right w:w="28" w:type="dxa"/>
            </w:tcMar>
            <w:vAlign w:val="bottom"/>
          </w:tcPr>
          <w:p w:rsidR="005E7102" w:rsidRPr="003A3555" w:rsidRDefault="005E7102" w:rsidP="00476EE6">
            <w:pPr>
              <w:pStyle w:val="Tabletext"/>
              <w:jc w:val="center"/>
              <w:rPr>
                <w:szCs w:val="20"/>
              </w:rPr>
            </w:pPr>
            <w:r w:rsidRPr="003A3555">
              <w:rPr>
                <w:rFonts w:cs="Arial"/>
                <w:szCs w:val="20"/>
              </w:rPr>
              <w:t>3 (1.1%)</w:t>
            </w:r>
          </w:p>
        </w:tc>
        <w:tc>
          <w:tcPr>
            <w:tcW w:w="1276" w:type="dxa"/>
            <w:tcMar>
              <w:left w:w="28" w:type="dxa"/>
              <w:right w:w="28" w:type="dxa"/>
            </w:tcMar>
          </w:tcPr>
          <w:p w:rsidR="005E7102" w:rsidRPr="003A3555" w:rsidRDefault="005E7102" w:rsidP="00476EE6">
            <w:pPr>
              <w:pStyle w:val="Tabletext"/>
              <w:jc w:val="center"/>
              <w:rPr>
                <w:szCs w:val="20"/>
              </w:rPr>
            </w:pPr>
            <w:r w:rsidRPr="003A3555">
              <w:rPr>
                <w:szCs w:val="20"/>
              </w:rPr>
              <w:t>-</w:t>
            </w:r>
          </w:p>
        </w:tc>
        <w:tc>
          <w:tcPr>
            <w:tcW w:w="1559" w:type="dxa"/>
            <w:tcMar>
              <w:left w:w="28" w:type="dxa"/>
              <w:right w:w="28" w:type="dxa"/>
            </w:tcMar>
            <w:vAlign w:val="center"/>
          </w:tcPr>
          <w:p w:rsidR="005E7102" w:rsidRPr="003A3555" w:rsidRDefault="005E7102" w:rsidP="00476EE6">
            <w:pPr>
              <w:pStyle w:val="Tabletext"/>
              <w:jc w:val="center"/>
              <w:rPr>
                <w:b/>
                <w:szCs w:val="20"/>
              </w:rPr>
            </w:pPr>
            <w:r w:rsidRPr="003A3555">
              <w:rPr>
                <w:b/>
                <w:szCs w:val="20"/>
              </w:rPr>
              <w:t>6.05 (1.81, 20.23)</w:t>
            </w:r>
          </w:p>
        </w:tc>
        <w:tc>
          <w:tcPr>
            <w:tcW w:w="1367" w:type="dxa"/>
            <w:tcMar>
              <w:left w:w="28" w:type="dxa"/>
              <w:right w:w="28" w:type="dxa"/>
            </w:tcMar>
          </w:tcPr>
          <w:p w:rsidR="005E7102" w:rsidRPr="003A3555" w:rsidRDefault="005E7102" w:rsidP="00476EE6">
            <w:pPr>
              <w:pStyle w:val="Tabletext"/>
              <w:jc w:val="center"/>
              <w:rPr>
                <w:b/>
                <w:szCs w:val="20"/>
              </w:rPr>
            </w:pPr>
            <w:r w:rsidRPr="003A3555">
              <w:rPr>
                <w:b/>
                <w:szCs w:val="20"/>
              </w:rPr>
              <w:t>8% (4%, 12%)</w:t>
            </w:r>
          </w:p>
        </w:tc>
      </w:tr>
    </w:tbl>
    <w:p w:rsidR="005E7102" w:rsidRPr="003A3555" w:rsidRDefault="005E7102" w:rsidP="00476EE6">
      <w:pPr>
        <w:pStyle w:val="TableFooter"/>
        <w:widowControl/>
      </w:pPr>
      <w:r w:rsidRPr="003A3555">
        <w:t>BSC</w:t>
      </w:r>
      <w:r w:rsidR="00955CAB">
        <w:t xml:space="preserve"> </w:t>
      </w:r>
      <w:r w:rsidRPr="003A3555">
        <w:t>=</w:t>
      </w:r>
      <w:r w:rsidR="00955CAB">
        <w:t xml:space="preserve"> </w:t>
      </w:r>
      <w:r w:rsidRPr="003A3555">
        <w:t>best supportive care; CI</w:t>
      </w:r>
      <w:r w:rsidR="00955CAB">
        <w:t xml:space="preserve"> </w:t>
      </w:r>
      <w:r w:rsidRPr="003A3555">
        <w:t>=</w:t>
      </w:r>
      <w:r w:rsidR="00955CAB">
        <w:t xml:space="preserve"> </w:t>
      </w:r>
      <w:r w:rsidRPr="003A3555">
        <w:t>confidence interval; LEN</w:t>
      </w:r>
      <w:r w:rsidR="00955CAB">
        <w:t xml:space="preserve"> </w:t>
      </w:r>
      <w:r w:rsidRPr="003A3555">
        <w:t>=</w:t>
      </w:r>
      <w:r w:rsidR="00955CAB">
        <w:t xml:space="preserve"> </w:t>
      </w:r>
      <w:proofErr w:type="spellStart"/>
      <w:r w:rsidRPr="003A3555">
        <w:t>lenalidomide</w:t>
      </w:r>
      <w:proofErr w:type="spellEnd"/>
      <w:r w:rsidRPr="003A3555">
        <w:t xml:space="preserve">; </w:t>
      </w:r>
      <w:r w:rsidR="00AD6622">
        <w:t xml:space="preserve">PBO = placebo; RD = risk difference; RR = relative risk; </w:t>
      </w:r>
      <w:r w:rsidRPr="003A3555">
        <w:t>XO</w:t>
      </w:r>
      <w:r w:rsidR="00955CAB">
        <w:t xml:space="preserve"> </w:t>
      </w:r>
      <w:r w:rsidRPr="003A3555">
        <w:t>=</w:t>
      </w:r>
      <w:r w:rsidR="00955CAB">
        <w:t xml:space="preserve"> </w:t>
      </w:r>
      <w:r w:rsidRPr="003A3555">
        <w:t>crossover</w:t>
      </w:r>
    </w:p>
    <w:p w:rsidR="005E7102" w:rsidRPr="003A3555" w:rsidRDefault="005E7102" w:rsidP="00476EE6">
      <w:pPr>
        <w:pStyle w:val="TableFooter"/>
        <w:widowControl/>
      </w:pPr>
      <w:r w:rsidRPr="003A3555">
        <w:t xml:space="preserve">Source: Table 2.5.8, p.93-94 and Table 2.5.11, p.96-97 of the March-2018 submission. </w:t>
      </w:r>
    </w:p>
    <w:p w:rsidR="005E7102" w:rsidRPr="003A3555" w:rsidRDefault="005E7102" w:rsidP="00476EE6">
      <w:pPr>
        <w:pStyle w:val="TableFooter"/>
        <w:widowControl/>
      </w:pPr>
      <w:r w:rsidRPr="003A3555">
        <w:t xml:space="preserve">Note: RR </w:t>
      </w:r>
      <w:proofErr w:type="gramStart"/>
      <w:r w:rsidRPr="003A3555">
        <w:t>is calculated</w:t>
      </w:r>
      <w:proofErr w:type="gramEnd"/>
      <w:r w:rsidRPr="003A3555">
        <w:t xml:space="preserve"> for events in the PBO group up to the point of crossover to PBO. Statistically significant differences bolded. </w:t>
      </w:r>
    </w:p>
    <w:p w:rsidR="005E7102" w:rsidRPr="003A3555" w:rsidRDefault="005E7102" w:rsidP="00476EE6">
      <w:pPr>
        <w:pStyle w:val="ListParagraph"/>
        <w:widowControl/>
        <w:spacing w:after="0"/>
        <w:ind w:left="0"/>
      </w:pPr>
    </w:p>
    <w:p w:rsidR="00980EAF" w:rsidRPr="003A3555" w:rsidRDefault="00980EAF" w:rsidP="00476EE6">
      <w:pPr>
        <w:widowControl/>
        <w:jc w:val="left"/>
        <w:rPr>
          <w:rFonts w:ascii="Arial Narrow" w:hAnsi="Arial Narrow"/>
          <w:b/>
          <w:sz w:val="20"/>
          <w:szCs w:val="20"/>
        </w:rPr>
      </w:pPr>
      <w:r w:rsidRPr="003A3555">
        <w:rPr>
          <w:rFonts w:ascii="Arial Narrow" w:hAnsi="Arial Narrow"/>
          <w:b/>
          <w:sz w:val="20"/>
          <w:szCs w:val="20"/>
        </w:rPr>
        <w:br w:type="page"/>
      </w:r>
    </w:p>
    <w:p w:rsidR="005E7102" w:rsidRPr="003A3555" w:rsidRDefault="005E7102" w:rsidP="00476EE6">
      <w:pPr>
        <w:keepNext/>
        <w:widowControl/>
        <w:rPr>
          <w:rFonts w:ascii="Arial Narrow" w:hAnsi="Arial Narrow"/>
          <w:b/>
          <w:sz w:val="20"/>
          <w:szCs w:val="20"/>
        </w:rPr>
      </w:pPr>
      <w:r w:rsidRPr="003A3555">
        <w:rPr>
          <w:rFonts w:ascii="Arial Narrow" w:hAnsi="Arial Narrow"/>
          <w:b/>
          <w:sz w:val="20"/>
          <w:szCs w:val="20"/>
        </w:rPr>
        <w:lastRenderedPageBreak/>
        <w:t xml:space="preserve">Table </w:t>
      </w:r>
      <w:r w:rsidR="00097671">
        <w:rPr>
          <w:rFonts w:ascii="Arial Narrow" w:hAnsi="Arial Narrow"/>
          <w:b/>
          <w:sz w:val="20"/>
          <w:szCs w:val="20"/>
        </w:rPr>
        <w:t>19</w:t>
      </w:r>
      <w:r w:rsidRPr="003A3555">
        <w:rPr>
          <w:rFonts w:ascii="Arial Narrow" w:hAnsi="Arial Narrow"/>
          <w:b/>
          <w:sz w:val="20"/>
          <w:szCs w:val="20"/>
        </w:rPr>
        <w:t xml:space="preserve">: Secondary primary malignancies with maintenance therapy across the </w:t>
      </w:r>
      <w:r w:rsidR="008322DD">
        <w:rPr>
          <w:rFonts w:ascii="Arial Narrow" w:hAnsi="Arial Narrow"/>
          <w:b/>
          <w:sz w:val="20"/>
          <w:szCs w:val="20"/>
        </w:rPr>
        <w:t xml:space="preserve">key </w:t>
      </w:r>
      <w:proofErr w:type="spellStart"/>
      <w:r w:rsidR="008322DD">
        <w:rPr>
          <w:rFonts w:ascii="Arial Narrow" w:hAnsi="Arial Narrow"/>
          <w:b/>
          <w:sz w:val="20"/>
          <w:szCs w:val="20"/>
        </w:rPr>
        <w:t>lenalidomide</w:t>
      </w:r>
      <w:proofErr w:type="spellEnd"/>
      <w:r w:rsidR="008322DD">
        <w:rPr>
          <w:rFonts w:ascii="Arial Narrow" w:hAnsi="Arial Narrow"/>
          <w:b/>
          <w:sz w:val="20"/>
          <w:szCs w:val="20"/>
        </w:rPr>
        <w:t xml:space="preserve"> versus BSC </w:t>
      </w:r>
      <w:r w:rsidRPr="003A3555">
        <w:rPr>
          <w:rFonts w:ascii="Arial Narrow" w:hAnsi="Arial Narrow"/>
          <w:b/>
          <w:sz w:val="20"/>
          <w:szCs w:val="20"/>
        </w:rPr>
        <w:t>trials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19: Secondary primary malignancies with maintenance therapy across the key lenalidomide versus BSC trials"/>
      </w:tblPr>
      <w:tblGrid>
        <w:gridCol w:w="1273"/>
        <w:gridCol w:w="983"/>
        <w:gridCol w:w="985"/>
        <w:gridCol w:w="985"/>
        <w:gridCol w:w="1410"/>
        <w:gridCol w:w="990"/>
        <w:gridCol w:w="986"/>
        <w:gridCol w:w="1405"/>
      </w:tblGrid>
      <w:tr w:rsidR="00636FE4" w:rsidRPr="003A3555" w:rsidTr="00636FE4">
        <w:trPr>
          <w:cantSplit/>
          <w:trHeight w:val="20"/>
          <w:tblHeader/>
        </w:trPr>
        <w:tc>
          <w:tcPr>
            <w:tcW w:w="706" w:type="pct"/>
            <w:tcBorders>
              <w:top w:val="single" w:sz="4" w:space="0" w:color="auto"/>
              <w:left w:val="single" w:sz="4" w:space="0" w:color="auto"/>
              <w:bottom w:val="nil"/>
              <w:right w:val="single" w:sz="4" w:space="0" w:color="auto"/>
            </w:tcBorders>
          </w:tcPr>
          <w:p w:rsidR="00636FE4" w:rsidRPr="003A3555" w:rsidRDefault="00636FE4" w:rsidP="00476EE6">
            <w:pPr>
              <w:widowControl/>
              <w:jc w:val="left"/>
              <w:rPr>
                <w:rFonts w:ascii="Arial Narrow" w:hAnsi="Arial Narrow"/>
                <w:sz w:val="20"/>
                <w:szCs w:val="20"/>
              </w:rPr>
            </w:pPr>
          </w:p>
        </w:tc>
        <w:tc>
          <w:tcPr>
            <w:tcW w:w="1637" w:type="pct"/>
            <w:gridSpan w:val="3"/>
            <w:tcBorders>
              <w:top w:val="single" w:sz="4" w:space="0" w:color="auto"/>
              <w:left w:val="single" w:sz="4" w:space="0" w:color="auto"/>
              <w:bottom w:val="single" w:sz="4" w:space="0" w:color="auto"/>
              <w:right w:val="nil"/>
            </w:tcBorders>
            <w:vAlign w:val="center"/>
          </w:tcPr>
          <w:p w:rsidR="00636FE4" w:rsidRPr="003A3555" w:rsidRDefault="00636FE4" w:rsidP="00476EE6">
            <w:pPr>
              <w:widowControl/>
              <w:jc w:val="center"/>
              <w:rPr>
                <w:rFonts w:ascii="Arial Narrow" w:hAnsi="Arial Narrow"/>
                <w:b/>
                <w:sz w:val="20"/>
                <w:szCs w:val="20"/>
              </w:rPr>
            </w:pPr>
            <w:r w:rsidRPr="003A3555">
              <w:rPr>
                <w:rFonts w:ascii="Arial Narrow" w:hAnsi="Arial Narrow"/>
                <w:b/>
                <w:sz w:val="20"/>
                <w:szCs w:val="20"/>
              </w:rPr>
              <w:t>CALGB</w:t>
            </w:r>
          </w:p>
        </w:tc>
        <w:tc>
          <w:tcPr>
            <w:tcW w:w="782" w:type="pct"/>
            <w:vMerge w:val="restart"/>
            <w:tcBorders>
              <w:top w:val="single" w:sz="4" w:space="0" w:color="auto"/>
              <w:left w:val="single" w:sz="4" w:space="0" w:color="auto"/>
              <w:right w:val="single" w:sz="4" w:space="0" w:color="auto"/>
            </w:tcBorders>
            <w:vAlign w:val="center"/>
          </w:tcPr>
          <w:p w:rsidR="00636FE4" w:rsidRPr="003A3555" w:rsidRDefault="00636FE4" w:rsidP="00636FE4">
            <w:pPr>
              <w:widowControl/>
              <w:jc w:val="center"/>
              <w:rPr>
                <w:rFonts w:ascii="Arial Narrow" w:hAnsi="Arial Narrow"/>
                <w:b/>
                <w:sz w:val="20"/>
                <w:szCs w:val="20"/>
              </w:rPr>
            </w:pPr>
            <w:r w:rsidRPr="003A3555">
              <w:rPr>
                <w:rFonts w:ascii="Arial Narrow" w:hAnsi="Arial Narrow"/>
                <w:b/>
                <w:sz w:val="20"/>
                <w:szCs w:val="20"/>
              </w:rPr>
              <w:t>RR</w:t>
            </w:r>
          </w:p>
        </w:tc>
        <w:tc>
          <w:tcPr>
            <w:tcW w:w="1096" w:type="pct"/>
            <w:gridSpan w:val="2"/>
            <w:tcBorders>
              <w:top w:val="single" w:sz="4" w:space="0" w:color="auto"/>
              <w:left w:val="single" w:sz="4" w:space="0" w:color="auto"/>
              <w:bottom w:val="single" w:sz="4" w:space="0" w:color="auto"/>
              <w:right w:val="single" w:sz="4" w:space="0" w:color="auto"/>
            </w:tcBorders>
            <w:vAlign w:val="center"/>
          </w:tcPr>
          <w:p w:rsidR="00636FE4" w:rsidRPr="003A3555" w:rsidRDefault="00C60F2C" w:rsidP="00476EE6">
            <w:pPr>
              <w:widowControl/>
              <w:jc w:val="center"/>
              <w:rPr>
                <w:rFonts w:ascii="Arial Narrow" w:hAnsi="Arial Narrow"/>
                <w:b/>
                <w:sz w:val="20"/>
                <w:szCs w:val="20"/>
              </w:rPr>
            </w:pPr>
            <w:r>
              <w:rPr>
                <w:rFonts w:ascii="Arial Narrow" w:hAnsi="Arial Narrow"/>
                <w:b/>
                <w:sz w:val="20"/>
                <w:szCs w:val="20"/>
              </w:rPr>
              <w:t>IFM</w:t>
            </w:r>
            <w:r w:rsidR="00636FE4" w:rsidRPr="003A3555">
              <w:rPr>
                <w:rFonts w:ascii="Arial Narrow" w:hAnsi="Arial Narrow"/>
                <w:b/>
                <w:sz w:val="20"/>
                <w:szCs w:val="20"/>
              </w:rPr>
              <w:t>2005-02</w:t>
            </w:r>
          </w:p>
        </w:tc>
        <w:tc>
          <w:tcPr>
            <w:tcW w:w="779" w:type="pct"/>
            <w:vMerge w:val="restart"/>
            <w:tcBorders>
              <w:top w:val="single" w:sz="4" w:space="0" w:color="auto"/>
              <w:left w:val="single" w:sz="4" w:space="0" w:color="auto"/>
              <w:right w:val="single" w:sz="4" w:space="0" w:color="auto"/>
            </w:tcBorders>
            <w:vAlign w:val="center"/>
          </w:tcPr>
          <w:p w:rsidR="00636FE4" w:rsidRPr="003A3555" w:rsidRDefault="00636FE4" w:rsidP="00636FE4">
            <w:pPr>
              <w:widowControl/>
              <w:jc w:val="center"/>
              <w:rPr>
                <w:rFonts w:ascii="Arial Narrow" w:hAnsi="Arial Narrow"/>
                <w:b/>
                <w:sz w:val="20"/>
                <w:szCs w:val="20"/>
              </w:rPr>
            </w:pPr>
            <w:r w:rsidRPr="003A3555">
              <w:rPr>
                <w:rFonts w:ascii="Arial Narrow" w:hAnsi="Arial Narrow"/>
                <w:b/>
                <w:sz w:val="20"/>
                <w:szCs w:val="20"/>
              </w:rPr>
              <w:t>RR</w:t>
            </w:r>
          </w:p>
        </w:tc>
      </w:tr>
      <w:tr w:rsidR="00636FE4" w:rsidRPr="003A3555" w:rsidTr="00EB26BA">
        <w:trPr>
          <w:cantSplit/>
          <w:trHeight w:val="20"/>
        </w:trPr>
        <w:tc>
          <w:tcPr>
            <w:tcW w:w="706" w:type="pct"/>
            <w:tcBorders>
              <w:top w:val="nil"/>
              <w:left w:val="single" w:sz="4" w:space="0" w:color="auto"/>
              <w:bottom w:val="single" w:sz="4" w:space="0" w:color="auto"/>
              <w:right w:val="single" w:sz="4" w:space="0" w:color="auto"/>
            </w:tcBorders>
          </w:tcPr>
          <w:p w:rsidR="00636FE4" w:rsidRPr="003A3555" w:rsidRDefault="00636FE4" w:rsidP="00476EE6">
            <w:pPr>
              <w:widowControl/>
              <w:jc w:val="left"/>
              <w:rPr>
                <w:rFonts w:ascii="Arial Narrow" w:hAnsi="Arial Narrow"/>
                <w:sz w:val="20"/>
                <w:szCs w:val="20"/>
              </w:rPr>
            </w:pPr>
          </w:p>
        </w:tc>
        <w:tc>
          <w:tcPr>
            <w:tcW w:w="545" w:type="pct"/>
            <w:tcBorders>
              <w:top w:val="single" w:sz="4" w:space="0" w:color="auto"/>
              <w:left w:val="single" w:sz="4" w:space="0" w:color="auto"/>
              <w:bottom w:val="single" w:sz="4" w:space="0" w:color="auto"/>
              <w:right w:val="single" w:sz="4" w:space="0" w:color="auto"/>
            </w:tcBorders>
            <w:vAlign w:val="center"/>
          </w:tcPr>
          <w:p w:rsidR="00636FE4" w:rsidRPr="003A3555" w:rsidRDefault="00636FE4" w:rsidP="00476EE6">
            <w:pPr>
              <w:widowControl/>
              <w:jc w:val="center"/>
              <w:rPr>
                <w:rFonts w:ascii="Arial Narrow" w:hAnsi="Arial Narrow"/>
                <w:b/>
                <w:sz w:val="20"/>
                <w:szCs w:val="20"/>
              </w:rPr>
            </w:pPr>
            <w:r w:rsidRPr="003A3555">
              <w:rPr>
                <w:rFonts w:ascii="Arial Narrow" w:hAnsi="Arial Narrow"/>
                <w:b/>
                <w:sz w:val="20"/>
                <w:szCs w:val="20"/>
              </w:rPr>
              <w:t xml:space="preserve">LEN </w:t>
            </w:r>
          </w:p>
        </w:tc>
        <w:tc>
          <w:tcPr>
            <w:tcW w:w="1092" w:type="pct"/>
            <w:gridSpan w:val="2"/>
            <w:tcBorders>
              <w:top w:val="single" w:sz="4" w:space="0" w:color="auto"/>
              <w:left w:val="single" w:sz="4" w:space="0" w:color="auto"/>
              <w:bottom w:val="single" w:sz="4" w:space="0" w:color="auto"/>
              <w:right w:val="single" w:sz="4" w:space="0" w:color="auto"/>
            </w:tcBorders>
            <w:vAlign w:val="center"/>
          </w:tcPr>
          <w:p w:rsidR="00636FE4" w:rsidRPr="003A3555" w:rsidRDefault="00636FE4" w:rsidP="00476EE6">
            <w:pPr>
              <w:widowControl/>
              <w:jc w:val="center"/>
              <w:rPr>
                <w:rFonts w:ascii="Arial Narrow" w:hAnsi="Arial Narrow"/>
                <w:b/>
                <w:sz w:val="20"/>
                <w:szCs w:val="20"/>
              </w:rPr>
            </w:pPr>
            <w:r w:rsidRPr="003A3555">
              <w:rPr>
                <w:rFonts w:ascii="Arial Narrow" w:hAnsi="Arial Narrow"/>
                <w:b/>
                <w:sz w:val="20"/>
                <w:szCs w:val="20"/>
              </w:rPr>
              <w:t xml:space="preserve">BSC </w:t>
            </w:r>
          </w:p>
        </w:tc>
        <w:tc>
          <w:tcPr>
            <w:tcW w:w="782" w:type="pct"/>
            <w:vMerge/>
            <w:tcBorders>
              <w:left w:val="single" w:sz="4" w:space="0" w:color="auto"/>
              <w:right w:val="single" w:sz="4" w:space="0" w:color="auto"/>
            </w:tcBorders>
          </w:tcPr>
          <w:p w:rsidR="00636FE4" w:rsidRPr="003A3555" w:rsidRDefault="00636FE4" w:rsidP="00476EE6">
            <w:pPr>
              <w:widowControl/>
              <w:jc w:val="center"/>
              <w:rPr>
                <w:rFonts w:ascii="Arial Narrow" w:hAnsi="Arial Narrow"/>
                <w:b/>
                <w:sz w:val="20"/>
                <w:szCs w:val="20"/>
              </w:rPr>
            </w:pPr>
          </w:p>
        </w:tc>
        <w:tc>
          <w:tcPr>
            <w:tcW w:w="549" w:type="pct"/>
            <w:tcBorders>
              <w:top w:val="single" w:sz="4" w:space="0" w:color="auto"/>
              <w:left w:val="single" w:sz="4" w:space="0" w:color="auto"/>
              <w:bottom w:val="single" w:sz="4" w:space="0" w:color="auto"/>
              <w:right w:val="single" w:sz="4" w:space="0" w:color="auto"/>
            </w:tcBorders>
            <w:vAlign w:val="center"/>
          </w:tcPr>
          <w:p w:rsidR="00636FE4" w:rsidRPr="003A3555" w:rsidRDefault="00636FE4" w:rsidP="00476EE6">
            <w:pPr>
              <w:widowControl/>
              <w:jc w:val="center"/>
              <w:rPr>
                <w:rFonts w:ascii="Arial Narrow" w:hAnsi="Arial Narrow"/>
                <w:b/>
                <w:sz w:val="20"/>
                <w:szCs w:val="20"/>
              </w:rPr>
            </w:pPr>
            <w:r w:rsidRPr="003A3555">
              <w:rPr>
                <w:rFonts w:ascii="Arial Narrow" w:hAnsi="Arial Narrow"/>
                <w:b/>
                <w:sz w:val="20"/>
                <w:szCs w:val="20"/>
              </w:rPr>
              <w:t xml:space="preserve">LEN </w:t>
            </w:r>
          </w:p>
        </w:tc>
        <w:tc>
          <w:tcPr>
            <w:tcW w:w="547" w:type="pct"/>
            <w:tcBorders>
              <w:top w:val="single" w:sz="4" w:space="0" w:color="auto"/>
              <w:left w:val="single" w:sz="4" w:space="0" w:color="auto"/>
              <w:bottom w:val="single" w:sz="4" w:space="0" w:color="auto"/>
              <w:right w:val="single" w:sz="4" w:space="0" w:color="auto"/>
            </w:tcBorders>
            <w:vAlign w:val="center"/>
          </w:tcPr>
          <w:p w:rsidR="00636FE4" w:rsidRPr="003A3555" w:rsidRDefault="00636FE4" w:rsidP="00476EE6">
            <w:pPr>
              <w:widowControl/>
              <w:jc w:val="center"/>
              <w:rPr>
                <w:rFonts w:ascii="Arial Narrow" w:hAnsi="Arial Narrow"/>
                <w:b/>
                <w:sz w:val="20"/>
                <w:szCs w:val="20"/>
              </w:rPr>
            </w:pPr>
            <w:r w:rsidRPr="003A3555">
              <w:rPr>
                <w:rFonts w:ascii="Arial Narrow" w:hAnsi="Arial Narrow"/>
                <w:b/>
                <w:sz w:val="20"/>
                <w:szCs w:val="20"/>
              </w:rPr>
              <w:t xml:space="preserve">BSC </w:t>
            </w:r>
          </w:p>
        </w:tc>
        <w:tc>
          <w:tcPr>
            <w:tcW w:w="779" w:type="pct"/>
            <w:vMerge/>
            <w:tcBorders>
              <w:left w:val="single" w:sz="4" w:space="0" w:color="auto"/>
              <w:right w:val="single" w:sz="4" w:space="0" w:color="auto"/>
            </w:tcBorders>
          </w:tcPr>
          <w:p w:rsidR="00636FE4" w:rsidRPr="003A3555" w:rsidRDefault="00636FE4" w:rsidP="00476EE6">
            <w:pPr>
              <w:widowControl/>
              <w:jc w:val="center"/>
              <w:rPr>
                <w:rFonts w:ascii="Arial Narrow" w:hAnsi="Arial Narrow"/>
                <w:b/>
                <w:sz w:val="20"/>
                <w:szCs w:val="20"/>
              </w:rPr>
            </w:pPr>
          </w:p>
        </w:tc>
      </w:tr>
      <w:tr w:rsidR="00847F0C" w:rsidRPr="003A3555" w:rsidTr="00636FE4">
        <w:trPr>
          <w:cantSplit/>
          <w:trHeight w:val="20"/>
        </w:trPr>
        <w:tc>
          <w:tcPr>
            <w:tcW w:w="706" w:type="pct"/>
            <w:tcBorders>
              <w:top w:val="nil"/>
              <w:left w:val="single" w:sz="4" w:space="0" w:color="auto"/>
              <w:bottom w:val="single" w:sz="4" w:space="0" w:color="auto"/>
              <w:right w:val="single" w:sz="4" w:space="0" w:color="auto"/>
            </w:tcBorders>
            <w:vAlign w:val="center"/>
          </w:tcPr>
          <w:p w:rsidR="00847F0C" w:rsidRPr="003A3555" w:rsidRDefault="00847F0C" w:rsidP="00476EE6">
            <w:pPr>
              <w:widowControl/>
              <w:adjustRightInd w:val="0"/>
              <w:snapToGrid w:val="0"/>
              <w:jc w:val="left"/>
              <w:rPr>
                <w:rFonts w:ascii="Arial Narrow" w:eastAsia="SimSun" w:hAnsi="Arial Narrow"/>
                <w:sz w:val="20"/>
                <w:szCs w:val="20"/>
                <w:lang w:eastAsia="en-AU"/>
              </w:rPr>
            </w:pPr>
            <w:r w:rsidRPr="003A3555">
              <w:rPr>
                <w:rFonts w:ascii="Arial Narrow" w:hAnsi="Arial Narrow"/>
                <w:b/>
                <w:sz w:val="20"/>
                <w:szCs w:val="20"/>
              </w:rPr>
              <w:t>Mar 2015</w:t>
            </w:r>
          </w:p>
        </w:tc>
        <w:tc>
          <w:tcPr>
            <w:tcW w:w="545" w:type="pct"/>
            <w:tcBorders>
              <w:top w:val="single" w:sz="4" w:space="0" w:color="auto"/>
              <w:left w:val="single" w:sz="4" w:space="0" w:color="auto"/>
              <w:bottom w:val="single" w:sz="4" w:space="0" w:color="auto"/>
              <w:right w:val="single" w:sz="4" w:space="0" w:color="auto"/>
            </w:tcBorders>
            <w:vAlign w:val="center"/>
          </w:tcPr>
          <w:p w:rsidR="00847F0C" w:rsidRPr="00847F0C" w:rsidRDefault="00847F0C" w:rsidP="00476EE6">
            <w:pPr>
              <w:widowControl/>
              <w:jc w:val="center"/>
              <w:rPr>
                <w:rFonts w:ascii="Arial Narrow" w:hAnsi="Arial Narrow"/>
                <w:b/>
                <w:sz w:val="20"/>
                <w:szCs w:val="20"/>
              </w:rPr>
            </w:pPr>
            <w:r w:rsidRPr="00847F0C">
              <w:rPr>
                <w:rFonts w:ascii="Arial Narrow" w:hAnsi="Arial Narrow"/>
                <w:b/>
                <w:sz w:val="20"/>
                <w:szCs w:val="20"/>
              </w:rPr>
              <w:t>N = 224</w:t>
            </w:r>
          </w:p>
        </w:tc>
        <w:tc>
          <w:tcPr>
            <w:tcW w:w="1092" w:type="pct"/>
            <w:gridSpan w:val="2"/>
            <w:tcBorders>
              <w:top w:val="single" w:sz="4" w:space="0" w:color="auto"/>
              <w:left w:val="single" w:sz="4" w:space="0" w:color="auto"/>
              <w:bottom w:val="single" w:sz="4" w:space="0" w:color="auto"/>
              <w:right w:val="single" w:sz="4" w:space="0" w:color="auto"/>
            </w:tcBorders>
            <w:vAlign w:val="center"/>
          </w:tcPr>
          <w:p w:rsidR="00847F0C" w:rsidRPr="00847F0C" w:rsidRDefault="00847F0C" w:rsidP="00476EE6">
            <w:pPr>
              <w:widowControl/>
              <w:jc w:val="center"/>
              <w:rPr>
                <w:rFonts w:ascii="Arial Narrow" w:hAnsi="Arial Narrow"/>
                <w:b/>
                <w:sz w:val="20"/>
                <w:szCs w:val="20"/>
              </w:rPr>
            </w:pPr>
            <w:r w:rsidRPr="00847F0C">
              <w:rPr>
                <w:rFonts w:ascii="Arial Narrow" w:hAnsi="Arial Narrow"/>
                <w:b/>
                <w:sz w:val="20"/>
                <w:szCs w:val="20"/>
              </w:rPr>
              <w:t>N = 221</w:t>
            </w:r>
          </w:p>
        </w:tc>
        <w:tc>
          <w:tcPr>
            <w:tcW w:w="782" w:type="pct"/>
            <w:tcBorders>
              <w:left w:val="single" w:sz="4" w:space="0" w:color="auto"/>
              <w:bottom w:val="single" w:sz="4" w:space="0" w:color="auto"/>
              <w:right w:val="single" w:sz="4" w:space="0" w:color="auto"/>
            </w:tcBorders>
          </w:tcPr>
          <w:p w:rsidR="00847F0C" w:rsidRPr="00847F0C" w:rsidRDefault="00847F0C" w:rsidP="00476EE6">
            <w:pPr>
              <w:widowControl/>
              <w:jc w:val="center"/>
              <w:rPr>
                <w:rFonts w:ascii="Arial Narrow" w:hAnsi="Arial Narrow"/>
                <w:b/>
                <w:sz w:val="20"/>
                <w:szCs w:val="20"/>
              </w:rPr>
            </w:pPr>
          </w:p>
        </w:tc>
        <w:tc>
          <w:tcPr>
            <w:tcW w:w="549" w:type="pct"/>
            <w:tcBorders>
              <w:top w:val="single" w:sz="4" w:space="0" w:color="auto"/>
              <w:left w:val="single" w:sz="4" w:space="0" w:color="auto"/>
              <w:bottom w:val="single" w:sz="4" w:space="0" w:color="auto"/>
              <w:right w:val="single" w:sz="4" w:space="0" w:color="auto"/>
            </w:tcBorders>
            <w:vAlign w:val="center"/>
          </w:tcPr>
          <w:p w:rsidR="00847F0C" w:rsidRPr="00847F0C" w:rsidRDefault="00847F0C" w:rsidP="00476EE6">
            <w:pPr>
              <w:widowControl/>
              <w:jc w:val="center"/>
              <w:rPr>
                <w:rFonts w:ascii="Arial Narrow" w:hAnsi="Arial Narrow"/>
                <w:b/>
                <w:sz w:val="20"/>
                <w:szCs w:val="20"/>
              </w:rPr>
            </w:pPr>
            <w:r w:rsidRPr="00847F0C">
              <w:rPr>
                <w:rFonts w:ascii="Arial Narrow" w:hAnsi="Arial Narrow"/>
                <w:b/>
                <w:sz w:val="20"/>
                <w:szCs w:val="20"/>
              </w:rPr>
              <w:t>N = 306</w:t>
            </w:r>
          </w:p>
        </w:tc>
        <w:tc>
          <w:tcPr>
            <w:tcW w:w="547" w:type="pct"/>
            <w:tcBorders>
              <w:top w:val="single" w:sz="4" w:space="0" w:color="auto"/>
              <w:left w:val="single" w:sz="4" w:space="0" w:color="auto"/>
              <w:bottom w:val="single" w:sz="4" w:space="0" w:color="auto"/>
              <w:right w:val="single" w:sz="4" w:space="0" w:color="auto"/>
            </w:tcBorders>
            <w:vAlign w:val="center"/>
          </w:tcPr>
          <w:p w:rsidR="00847F0C" w:rsidRPr="00847F0C" w:rsidRDefault="00847F0C" w:rsidP="00476EE6">
            <w:pPr>
              <w:widowControl/>
              <w:jc w:val="center"/>
              <w:rPr>
                <w:rFonts w:ascii="Arial Narrow" w:hAnsi="Arial Narrow"/>
                <w:b/>
                <w:sz w:val="20"/>
                <w:szCs w:val="20"/>
              </w:rPr>
            </w:pPr>
            <w:r w:rsidRPr="00847F0C">
              <w:rPr>
                <w:rFonts w:ascii="Arial Narrow" w:hAnsi="Arial Narrow"/>
                <w:b/>
                <w:sz w:val="20"/>
                <w:szCs w:val="20"/>
              </w:rPr>
              <w:t>N = 302</w:t>
            </w:r>
          </w:p>
        </w:tc>
        <w:tc>
          <w:tcPr>
            <w:tcW w:w="779" w:type="pct"/>
            <w:tcBorders>
              <w:left w:val="single" w:sz="4" w:space="0" w:color="auto"/>
              <w:bottom w:val="single" w:sz="4" w:space="0" w:color="auto"/>
              <w:right w:val="single" w:sz="4" w:space="0" w:color="auto"/>
            </w:tcBorders>
          </w:tcPr>
          <w:p w:rsidR="00847F0C" w:rsidRPr="003A3555" w:rsidRDefault="00847F0C" w:rsidP="00476EE6">
            <w:pPr>
              <w:widowControl/>
              <w:jc w:val="center"/>
              <w:rPr>
                <w:rFonts w:ascii="Arial Narrow" w:hAnsi="Arial Narrow"/>
                <w:sz w:val="20"/>
                <w:szCs w:val="20"/>
              </w:rPr>
            </w:pPr>
          </w:p>
        </w:tc>
      </w:tr>
      <w:tr w:rsidR="005E7102" w:rsidRPr="003A3555" w:rsidTr="00636FE4">
        <w:trPr>
          <w:cantSplit/>
          <w:trHeight w:val="20"/>
        </w:trPr>
        <w:tc>
          <w:tcPr>
            <w:tcW w:w="706" w:type="pct"/>
            <w:tcBorders>
              <w:top w:val="nil"/>
              <w:left w:val="single" w:sz="4" w:space="0" w:color="auto"/>
              <w:bottom w:val="single" w:sz="4" w:space="0" w:color="auto"/>
              <w:right w:val="single" w:sz="4" w:space="0" w:color="auto"/>
            </w:tcBorders>
            <w:vAlign w:val="center"/>
          </w:tcPr>
          <w:p w:rsidR="005E7102" w:rsidRPr="003A3555" w:rsidRDefault="005E7102" w:rsidP="00476EE6">
            <w:pPr>
              <w:widowControl/>
              <w:adjustRightInd w:val="0"/>
              <w:snapToGrid w:val="0"/>
              <w:jc w:val="left"/>
              <w:rPr>
                <w:rFonts w:ascii="Arial Narrow" w:eastAsia="SimSun" w:hAnsi="Arial Narrow"/>
                <w:sz w:val="20"/>
                <w:szCs w:val="20"/>
                <w:lang w:eastAsia="en-AU"/>
              </w:rPr>
            </w:pPr>
            <w:r w:rsidRPr="003A3555">
              <w:rPr>
                <w:rFonts w:ascii="Arial Narrow" w:eastAsia="SimSun" w:hAnsi="Arial Narrow"/>
                <w:sz w:val="20"/>
                <w:szCs w:val="20"/>
                <w:lang w:eastAsia="en-AU"/>
              </w:rPr>
              <w:t>SPM</w:t>
            </w:r>
          </w:p>
        </w:tc>
        <w:tc>
          <w:tcPr>
            <w:tcW w:w="545"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42</w:t>
            </w:r>
            <w:r w:rsidRPr="003A3555">
              <w:rPr>
                <w:rFonts w:ascii="Arial Narrow" w:hAnsi="Arial Narrow"/>
                <w:sz w:val="20"/>
                <w:szCs w:val="20"/>
                <w:vertAlign w:val="superscript"/>
              </w:rPr>
              <w:t>b</w:t>
            </w:r>
            <w:r w:rsidRPr="003A3555">
              <w:rPr>
                <w:rFonts w:ascii="Arial Narrow" w:hAnsi="Arial Narrow"/>
                <w:sz w:val="20"/>
                <w:szCs w:val="20"/>
              </w:rPr>
              <w:t xml:space="preserve"> (18.8%)</w:t>
            </w:r>
          </w:p>
        </w:tc>
        <w:tc>
          <w:tcPr>
            <w:tcW w:w="1092" w:type="pct"/>
            <w:gridSpan w:val="2"/>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24</w:t>
            </w:r>
            <w:r w:rsidRPr="003A3555">
              <w:rPr>
                <w:rFonts w:ascii="Arial Narrow" w:hAnsi="Arial Narrow"/>
                <w:sz w:val="20"/>
                <w:szCs w:val="20"/>
                <w:vertAlign w:val="superscript"/>
              </w:rPr>
              <w:t>b</w:t>
            </w:r>
            <w:r w:rsidRPr="003A3555">
              <w:rPr>
                <w:rFonts w:ascii="Arial Narrow" w:hAnsi="Arial Narrow"/>
                <w:sz w:val="20"/>
                <w:szCs w:val="20"/>
              </w:rPr>
              <w:t xml:space="preserve"> (10.9%)</w:t>
            </w:r>
          </w:p>
        </w:tc>
        <w:tc>
          <w:tcPr>
            <w:tcW w:w="782" w:type="pct"/>
            <w:tcBorders>
              <w:top w:val="single" w:sz="4" w:space="0" w:color="auto"/>
              <w:left w:val="single" w:sz="4" w:space="0" w:color="auto"/>
              <w:bottom w:val="single" w:sz="4" w:space="0" w:color="auto"/>
              <w:right w:val="single" w:sz="4" w:space="0" w:color="auto"/>
            </w:tcBorders>
          </w:tcPr>
          <w:p w:rsidR="005E7102" w:rsidRPr="00600AD1" w:rsidRDefault="005E7102" w:rsidP="00476EE6">
            <w:pPr>
              <w:widowControl/>
              <w:jc w:val="center"/>
              <w:rPr>
                <w:rFonts w:ascii="Arial Narrow" w:hAnsi="Arial Narrow"/>
                <w:b/>
                <w:sz w:val="20"/>
                <w:szCs w:val="20"/>
              </w:rPr>
            </w:pPr>
            <w:r w:rsidRPr="00600AD1">
              <w:rPr>
                <w:rFonts w:ascii="Arial Narrow" w:hAnsi="Arial Narrow"/>
                <w:b/>
                <w:sz w:val="20"/>
                <w:szCs w:val="20"/>
              </w:rPr>
              <w:t>1.73 (1.08, 2.75)</w:t>
            </w:r>
          </w:p>
        </w:tc>
        <w:tc>
          <w:tcPr>
            <w:tcW w:w="549"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49</w:t>
            </w:r>
            <w:r w:rsidRPr="003A3555">
              <w:rPr>
                <w:rFonts w:ascii="Arial Narrow" w:hAnsi="Arial Narrow"/>
                <w:sz w:val="20"/>
                <w:szCs w:val="20"/>
                <w:vertAlign w:val="superscript"/>
              </w:rPr>
              <w:t>d</w:t>
            </w:r>
            <w:r w:rsidRPr="003A3555">
              <w:rPr>
                <w:rFonts w:ascii="Arial Narrow" w:hAnsi="Arial Narrow"/>
                <w:sz w:val="20"/>
                <w:szCs w:val="20"/>
              </w:rPr>
              <w:t xml:space="preserve"> (16%)</w:t>
            </w:r>
          </w:p>
        </w:tc>
        <w:tc>
          <w:tcPr>
            <w:tcW w:w="547"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27</w:t>
            </w:r>
            <w:r w:rsidRPr="003A3555">
              <w:rPr>
                <w:rFonts w:ascii="Arial Narrow" w:hAnsi="Arial Narrow"/>
                <w:sz w:val="20"/>
                <w:szCs w:val="20"/>
                <w:vertAlign w:val="superscript"/>
              </w:rPr>
              <w:t>d</w:t>
            </w:r>
            <w:r w:rsidRPr="003A3555">
              <w:rPr>
                <w:rFonts w:ascii="Arial Narrow" w:hAnsi="Arial Narrow"/>
                <w:sz w:val="20"/>
                <w:szCs w:val="20"/>
              </w:rPr>
              <w:t xml:space="preserve"> (9%)</w:t>
            </w:r>
          </w:p>
        </w:tc>
        <w:tc>
          <w:tcPr>
            <w:tcW w:w="779" w:type="pct"/>
            <w:tcBorders>
              <w:top w:val="single" w:sz="4" w:space="0" w:color="auto"/>
              <w:left w:val="single" w:sz="4" w:space="0" w:color="auto"/>
              <w:bottom w:val="single" w:sz="4" w:space="0" w:color="auto"/>
              <w:right w:val="single" w:sz="4" w:space="0" w:color="auto"/>
            </w:tcBorders>
          </w:tcPr>
          <w:p w:rsidR="005E7102" w:rsidRPr="00600AD1" w:rsidRDefault="005E7102" w:rsidP="00476EE6">
            <w:pPr>
              <w:widowControl/>
              <w:jc w:val="center"/>
              <w:rPr>
                <w:rFonts w:ascii="Arial Narrow" w:hAnsi="Arial Narrow"/>
                <w:b/>
                <w:sz w:val="20"/>
                <w:szCs w:val="20"/>
              </w:rPr>
            </w:pPr>
            <w:r w:rsidRPr="00600AD1">
              <w:rPr>
                <w:rFonts w:ascii="Arial Narrow" w:hAnsi="Arial Narrow"/>
                <w:b/>
                <w:sz w:val="20"/>
                <w:szCs w:val="20"/>
              </w:rPr>
              <w:t>1.79 (1.15, 2.79)</w:t>
            </w:r>
          </w:p>
        </w:tc>
      </w:tr>
      <w:tr w:rsidR="005E7102" w:rsidRPr="003A3555" w:rsidTr="00636FE4">
        <w:trPr>
          <w:cantSplit/>
          <w:trHeight w:val="20"/>
        </w:trPr>
        <w:tc>
          <w:tcPr>
            <w:tcW w:w="706" w:type="pct"/>
            <w:tcBorders>
              <w:top w:val="nil"/>
              <w:left w:val="single" w:sz="4" w:space="0" w:color="auto"/>
              <w:bottom w:val="single" w:sz="4" w:space="0" w:color="auto"/>
              <w:right w:val="single" w:sz="4" w:space="0" w:color="auto"/>
            </w:tcBorders>
            <w:vAlign w:val="center"/>
          </w:tcPr>
          <w:p w:rsidR="005E7102" w:rsidRPr="003A3555" w:rsidRDefault="005E7102" w:rsidP="00476EE6">
            <w:pPr>
              <w:widowControl/>
              <w:adjustRightInd w:val="0"/>
              <w:snapToGrid w:val="0"/>
              <w:jc w:val="left"/>
              <w:rPr>
                <w:rFonts w:ascii="Arial Narrow" w:eastAsia="SimSun" w:hAnsi="Arial Narrow"/>
                <w:sz w:val="20"/>
                <w:szCs w:val="20"/>
                <w:lang w:eastAsia="en-AU"/>
              </w:rPr>
            </w:pPr>
            <w:r w:rsidRPr="003A3555">
              <w:rPr>
                <w:rFonts w:ascii="Arial Narrow" w:eastAsia="SimSun" w:hAnsi="Arial Narrow"/>
                <w:sz w:val="20"/>
                <w:szCs w:val="20"/>
                <w:lang w:eastAsia="en-AU"/>
              </w:rPr>
              <w:t>Haematological</w:t>
            </w:r>
          </w:p>
        </w:tc>
        <w:tc>
          <w:tcPr>
            <w:tcW w:w="545"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15 (6.7%)</w:t>
            </w:r>
          </w:p>
        </w:tc>
        <w:tc>
          <w:tcPr>
            <w:tcW w:w="1092" w:type="pct"/>
            <w:gridSpan w:val="2"/>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8 (3.6%)</w:t>
            </w:r>
          </w:p>
        </w:tc>
        <w:tc>
          <w:tcPr>
            <w:tcW w:w="782" w:type="pct"/>
            <w:tcBorders>
              <w:top w:val="single" w:sz="4" w:space="0" w:color="auto"/>
              <w:left w:val="single" w:sz="4" w:space="0" w:color="auto"/>
              <w:bottom w:val="single" w:sz="4" w:space="0" w:color="auto"/>
              <w:right w:val="single" w:sz="4" w:space="0" w:color="auto"/>
            </w:tcBorders>
          </w:tcPr>
          <w:p w:rsidR="005E7102" w:rsidRPr="00600AD1" w:rsidRDefault="005E7102" w:rsidP="00476EE6">
            <w:pPr>
              <w:widowControl/>
              <w:jc w:val="center"/>
              <w:rPr>
                <w:rFonts w:ascii="Arial Narrow" w:hAnsi="Arial Narrow"/>
                <w:sz w:val="20"/>
                <w:szCs w:val="20"/>
              </w:rPr>
            </w:pPr>
            <w:r w:rsidRPr="00600AD1">
              <w:rPr>
                <w:rFonts w:ascii="Arial Narrow" w:hAnsi="Arial Narrow"/>
                <w:sz w:val="20"/>
                <w:szCs w:val="20"/>
              </w:rPr>
              <w:t>1.85 (0.80, 4.28)</w:t>
            </w:r>
          </w:p>
        </w:tc>
        <w:tc>
          <w:tcPr>
            <w:tcW w:w="549"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21 (6.9%)</w:t>
            </w:r>
          </w:p>
        </w:tc>
        <w:tc>
          <w:tcPr>
            <w:tcW w:w="547"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9 (3%)</w:t>
            </w:r>
          </w:p>
        </w:tc>
        <w:tc>
          <w:tcPr>
            <w:tcW w:w="779" w:type="pct"/>
            <w:tcBorders>
              <w:top w:val="single" w:sz="4" w:space="0" w:color="auto"/>
              <w:left w:val="single" w:sz="4" w:space="0" w:color="auto"/>
              <w:bottom w:val="single" w:sz="4" w:space="0" w:color="auto"/>
              <w:right w:val="single" w:sz="4" w:space="0" w:color="auto"/>
            </w:tcBorders>
          </w:tcPr>
          <w:p w:rsidR="005E7102" w:rsidRPr="00600AD1" w:rsidRDefault="005E7102" w:rsidP="00476EE6">
            <w:pPr>
              <w:widowControl/>
              <w:jc w:val="center"/>
              <w:rPr>
                <w:rFonts w:ascii="Arial Narrow" w:hAnsi="Arial Narrow"/>
                <w:b/>
                <w:sz w:val="20"/>
                <w:szCs w:val="20"/>
              </w:rPr>
            </w:pPr>
            <w:r w:rsidRPr="00600AD1">
              <w:rPr>
                <w:rFonts w:ascii="Arial Narrow" w:hAnsi="Arial Narrow"/>
                <w:b/>
                <w:sz w:val="20"/>
                <w:szCs w:val="20"/>
              </w:rPr>
              <w:t>2.30 (1.07, 4.95)</w:t>
            </w:r>
          </w:p>
        </w:tc>
      </w:tr>
      <w:tr w:rsidR="005E7102" w:rsidRPr="003A3555" w:rsidTr="00636FE4">
        <w:trPr>
          <w:cantSplit/>
          <w:trHeight w:val="20"/>
        </w:trPr>
        <w:tc>
          <w:tcPr>
            <w:tcW w:w="706" w:type="pct"/>
            <w:tcBorders>
              <w:top w:val="nil"/>
              <w:left w:val="single" w:sz="4" w:space="0" w:color="auto"/>
              <w:bottom w:val="single" w:sz="4" w:space="0" w:color="auto"/>
              <w:right w:val="single" w:sz="4" w:space="0" w:color="auto"/>
            </w:tcBorders>
            <w:vAlign w:val="center"/>
          </w:tcPr>
          <w:p w:rsidR="005E7102" w:rsidRPr="003A3555" w:rsidRDefault="005E7102" w:rsidP="00476EE6">
            <w:pPr>
              <w:widowControl/>
              <w:adjustRightInd w:val="0"/>
              <w:snapToGrid w:val="0"/>
              <w:jc w:val="left"/>
              <w:rPr>
                <w:rFonts w:ascii="Arial Narrow" w:eastAsia="SimSun" w:hAnsi="Arial Narrow"/>
                <w:sz w:val="20"/>
                <w:szCs w:val="20"/>
                <w:lang w:eastAsia="en-AU"/>
              </w:rPr>
            </w:pPr>
            <w:r w:rsidRPr="003A3555">
              <w:rPr>
                <w:rFonts w:ascii="Arial Narrow" w:eastAsia="SimSun" w:hAnsi="Arial Narrow"/>
                <w:sz w:val="20"/>
                <w:szCs w:val="20"/>
                <w:lang w:eastAsia="en-AU"/>
              </w:rPr>
              <w:t>Solid tumour</w:t>
            </w:r>
          </w:p>
        </w:tc>
        <w:tc>
          <w:tcPr>
            <w:tcW w:w="545"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17</w:t>
            </w:r>
            <w:r w:rsidRPr="003A3555">
              <w:rPr>
                <w:rFonts w:ascii="Arial Narrow" w:hAnsi="Arial Narrow"/>
                <w:sz w:val="20"/>
                <w:szCs w:val="20"/>
                <w:vertAlign w:val="superscript"/>
              </w:rPr>
              <w:t>c</w:t>
            </w:r>
            <w:r w:rsidRPr="003A3555">
              <w:rPr>
                <w:rFonts w:ascii="Arial Narrow" w:hAnsi="Arial Narrow"/>
                <w:sz w:val="20"/>
                <w:szCs w:val="20"/>
              </w:rPr>
              <w:t xml:space="preserve"> (7.6%)</w:t>
            </w:r>
          </w:p>
        </w:tc>
        <w:tc>
          <w:tcPr>
            <w:tcW w:w="1092" w:type="pct"/>
            <w:gridSpan w:val="2"/>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10</w:t>
            </w:r>
            <w:r w:rsidRPr="003A3555">
              <w:rPr>
                <w:rFonts w:ascii="Arial Narrow" w:hAnsi="Arial Narrow"/>
                <w:sz w:val="20"/>
                <w:szCs w:val="20"/>
                <w:vertAlign w:val="superscript"/>
              </w:rPr>
              <w:t>c</w:t>
            </w:r>
            <w:r w:rsidRPr="003A3555">
              <w:rPr>
                <w:rFonts w:ascii="Arial Narrow" w:hAnsi="Arial Narrow"/>
                <w:sz w:val="20"/>
                <w:szCs w:val="20"/>
              </w:rPr>
              <w:t xml:space="preserve"> (4.5%)</w:t>
            </w:r>
          </w:p>
        </w:tc>
        <w:tc>
          <w:tcPr>
            <w:tcW w:w="782" w:type="pct"/>
            <w:tcBorders>
              <w:top w:val="single" w:sz="4" w:space="0" w:color="auto"/>
              <w:left w:val="single" w:sz="4" w:space="0" w:color="auto"/>
              <w:bottom w:val="single" w:sz="4" w:space="0" w:color="auto"/>
              <w:right w:val="single" w:sz="4" w:space="0" w:color="auto"/>
            </w:tcBorders>
          </w:tcPr>
          <w:p w:rsidR="005E7102" w:rsidRPr="00600AD1" w:rsidRDefault="005E7102" w:rsidP="00476EE6">
            <w:pPr>
              <w:widowControl/>
              <w:jc w:val="center"/>
              <w:rPr>
                <w:rFonts w:ascii="Arial Narrow" w:hAnsi="Arial Narrow"/>
                <w:sz w:val="20"/>
                <w:szCs w:val="20"/>
              </w:rPr>
            </w:pPr>
            <w:r w:rsidRPr="00600AD1">
              <w:rPr>
                <w:rFonts w:ascii="Arial Narrow" w:hAnsi="Arial Narrow"/>
                <w:sz w:val="20"/>
                <w:szCs w:val="20"/>
              </w:rPr>
              <w:t>1.68 (0.79, 3.58)</w:t>
            </w:r>
          </w:p>
        </w:tc>
        <w:tc>
          <w:tcPr>
            <w:tcW w:w="549"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21 (6.9%)</w:t>
            </w:r>
          </w:p>
        </w:tc>
        <w:tc>
          <w:tcPr>
            <w:tcW w:w="547"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13 (4.3%)</w:t>
            </w:r>
          </w:p>
        </w:tc>
        <w:tc>
          <w:tcPr>
            <w:tcW w:w="779" w:type="pct"/>
            <w:tcBorders>
              <w:top w:val="single" w:sz="4" w:space="0" w:color="auto"/>
              <w:left w:val="single" w:sz="4" w:space="0" w:color="auto"/>
              <w:bottom w:val="single" w:sz="4" w:space="0" w:color="auto"/>
              <w:right w:val="single" w:sz="4" w:space="0" w:color="auto"/>
            </w:tcBorders>
          </w:tcPr>
          <w:p w:rsidR="005E7102" w:rsidRPr="00600AD1" w:rsidRDefault="005E7102" w:rsidP="00476EE6">
            <w:pPr>
              <w:widowControl/>
              <w:jc w:val="center"/>
              <w:rPr>
                <w:rFonts w:ascii="Arial Narrow" w:hAnsi="Arial Narrow"/>
                <w:sz w:val="20"/>
                <w:szCs w:val="20"/>
              </w:rPr>
            </w:pPr>
            <w:r w:rsidRPr="00600AD1">
              <w:rPr>
                <w:rFonts w:ascii="Arial Narrow" w:hAnsi="Arial Narrow"/>
                <w:sz w:val="20"/>
                <w:szCs w:val="20"/>
              </w:rPr>
              <w:t>1.59 (0.81, 3.13)</w:t>
            </w:r>
          </w:p>
        </w:tc>
      </w:tr>
      <w:tr w:rsidR="005E7102" w:rsidRPr="003A3555" w:rsidTr="00636FE4">
        <w:trPr>
          <w:cantSplit/>
          <w:trHeight w:val="20"/>
        </w:trPr>
        <w:tc>
          <w:tcPr>
            <w:tcW w:w="706" w:type="pct"/>
            <w:tcBorders>
              <w:top w:val="nil"/>
              <w:left w:val="single" w:sz="4" w:space="0" w:color="auto"/>
              <w:bottom w:val="single" w:sz="4" w:space="0" w:color="auto"/>
              <w:right w:val="single" w:sz="4" w:space="0" w:color="auto"/>
            </w:tcBorders>
            <w:vAlign w:val="center"/>
          </w:tcPr>
          <w:p w:rsidR="005E7102" w:rsidRPr="003A3555" w:rsidRDefault="005E7102" w:rsidP="00476EE6">
            <w:pPr>
              <w:widowControl/>
              <w:adjustRightInd w:val="0"/>
              <w:snapToGrid w:val="0"/>
              <w:jc w:val="left"/>
              <w:rPr>
                <w:rFonts w:ascii="Arial Narrow" w:eastAsia="SimSun" w:hAnsi="Arial Narrow"/>
                <w:sz w:val="20"/>
                <w:szCs w:val="20"/>
                <w:lang w:eastAsia="en-AU"/>
              </w:rPr>
            </w:pPr>
            <w:r w:rsidRPr="003A3555">
              <w:rPr>
                <w:rFonts w:ascii="Arial Narrow" w:eastAsia="SimSun" w:hAnsi="Arial Narrow"/>
                <w:sz w:val="20"/>
                <w:szCs w:val="20"/>
                <w:lang w:eastAsia="en-AU"/>
              </w:rPr>
              <w:t>Non-invasive</w:t>
            </w:r>
          </w:p>
        </w:tc>
        <w:tc>
          <w:tcPr>
            <w:tcW w:w="545"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12 (5.4%)</w:t>
            </w:r>
          </w:p>
        </w:tc>
        <w:tc>
          <w:tcPr>
            <w:tcW w:w="1092" w:type="pct"/>
            <w:gridSpan w:val="2"/>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9 (4.1%)</w:t>
            </w:r>
          </w:p>
        </w:tc>
        <w:tc>
          <w:tcPr>
            <w:tcW w:w="782" w:type="pct"/>
            <w:tcBorders>
              <w:top w:val="single" w:sz="4" w:space="0" w:color="auto"/>
              <w:left w:val="single" w:sz="4" w:space="0" w:color="auto"/>
              <w:bottom w:val="single" w:sz="4" w:space="0" w:color="auto"/>
              <w:right w:val="single" w:sz="4" w:space="0" w:color="auto"/>
            </w:tcBorders>
          </w:tcPr>
          <w:p w:rsidR="005E7102" w:rsidRPr="00600AD1" w:rsidRDefault="005E7102" w:rsidP="00476EE6">
            <w:pPr>
              <w:widowControl/>
              <w:jc w:val="center"/>
              <w:rPr>
                <w:rFonts w:ascii="Arial Narrow" w:hAnsi="Arial Narrow"/>
                <w:sz w:val="20"/>
                <w:szCs w:val="20"/>
              </w:rPr>
            </w:pPr>
            <w:r w:rsidRPr="00600AD1">
              <w:rPr>
                <w:rFonts w:ascii="Arial Narrow" w:hAnsi="Arial Narrow"/>
                <w:sz w:val="20"/>
                <w:szCs w:val="20"/>
              </w:rPr>
              <w:t>1.32 (0.57, 3.06)</w:t>
            </w:r>
          </w:p>
        </w:tc>
        <w:tc>
          <w:tcPr>
            <w:tcW w:w="549"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10 (3.3%)</w:t>
            </w:r>
          </w:p>
        </w:tc>
        <w:tc>
          <w:tcPr>
            <w:tcW w:w="547"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7 (2.3%)</w:t>
            </w:r>
          </w:p>
        </w:tc>
        <w:tc>
          <w:tcPr>
            <w:tcW w:w="779" w:type="pct"/>
            <w:tcBorders>
              <w:top w:val="single" w:sz="4" w:space="0" w:color="auto"/>
              <w:left w:val="single" w:sz="4" w:space="0" w:color="auto"/>
              <w:bottom w:val="single" w:sz="4" w:space="0" w:color="auto"/>
              <w:right w:val="single" w:sz="4" w:space="0" w:color="auto"/>
            </w:tcBorders>
          </w:tcPr>
          <w:p w:rsidR="005E7102" w:rsidRPr="00600AD1" w:rsidRDefault="005E7102" w:rsidP="00476EE6">
            <w:pPr>
              <w:widowControl/>
              <w:jc w:val="center"/>
              <w:rPr>
                <w:rFonts w:ascii="Arial Narrow" w:hAnsi="Arial Narrow"/>
                <w:sz w:val="20"/>
                <w:szCs w:val="20"/>
              </w:rPr>
            </w:pPr>
            <w:r w:rsidRPr="00600AD1">
              <w:rPr>
                <w:rFonts w:ascii="Arial Narrow" w:hAnsi="Arial Narrow"/>
                <w:sz w:val="20"/>
                <w:szCs w:val="20"/>
              </w:rPr>
              <w:t>1.41, 0.54, 3.66)</w:t>
            </w:r>
          </w:p>
        </w:tc>
      </w:tr>
      <w:tr w:rsidR="00636FE4" w:rsidRPr="003A3555" w:rsidTr="00636FE4">
        <w:trPr>
          <w:cantSplit/>
          <w:trHeight w:val="20"/>
        </w:trPr>
        <w:tc>
          <w:tcPr>
            <w:tcW w:w="1251" w:type="pct"/>
            <w:gridSpan w:val="2"/>
            <w:tcBorders>
              <w:top w:val="nil"/>
              <w:left w:val="single" w:sz="4" w:space="0" w:color="auto"/>
              <w:bottom w:val="single" w:sz="4" w:space="0" w:color="auto"/>
              <w:right w:val="single" w:sz="4" w:space="0" w:color="auto"/>
            </w:tcBorders>
            <w:vAlign w:val="center"/>
          </w:tcPr>
          <w:p w:rsidR="00636FE4" w:rsidRPr="003A3555" w:rsidRDefault="00636FE4" w:rsidP="00476EE6">
            <w:pPr>
              <w:widowControl/>
              <w:jc w:val="center"/>
              <w:rPr>
                <w:rFonts w:ascii="Arial Narrow" w:hAnsi="Arial Narrow"/>
                <w:sz w:val="20"/>
                <w:szCs w:val="20"/>
              </w:rPr>
            </w:pPr>
          </w:p>
        </w:tc>
        <w:tc>
          <w:tcPr>
            <w:tcW w:w="546" w:type="pct"/>
            <w:tcBorders>
              <w:top w:val="single" w:sz="4" w:space="0" w:color="auto"/>
              <w:left w:val="single" w:sz="4" w:space="0" w:color="auto"/>
              <w:bottom w:val="single" w:sz="4" w:space="0" w:color="auto"/>
              <w:right w:val="single" w:sz="4" w:space="0" w:color="auto"/>
            </w:tcBorders>
            <w:vAlign w:val="center"/>
          </w:tcPr>
          <w:p w:rsidR="00636FE4" w:rsidRPr="00636FE4" w:rsidRDefault="00636FE4" w:rsidP="00476EE6">
            <w:pPr>
              <w:widowControl/>
              <w:jc w:val="center"/>
              <w:rPr>
                <w:rFonts w:ascii="Arial Narrow" w:hAnsi="Arial Narrow"/>
                <w:b/>
                <w:sz w:val="20"/>
                <w:szCs w:val="20"/>
              </w:rPr>
            </w:pPr>
            <w:r w:rsidRPr="00636FE4">
              <w:rPr>
                <w:rFonts w:ascii="Arial Narrow" w:hAnsi="Arial Narrow"/>
                <w:b/>
                <w:sz w:val="20"/>
                <w:szCs w:val="20"/>
              </w:rPr>
              <w:t>Before XO</w:t>
            </w:r>
          </w:p>
        </w:tc>
        <w:tc>
          <w:tcPr>
            <w:tcW w:w="546" w:type="pct"/>
            <w:tcBorders>
              <w:top w:val="single" w:sz="4" w:space="0" w:color="auto"/>
              <w:left w:val="single" w:sz="4" w:space="0" w:color="auto"/>
              <w:bottom w:val="single" w:sz="4" w:space="0" w:color="auto"/>
              <w:right w:val="single" w:sz="4" w:space="0" w:color="auto"/>
            </w:tcBorders>
            <w:vAlign w:val="center"/>
          </w:tcPr>
          <w:p w:rsidR="00636FE4" w:rsidRPr="00636FE4" w:rsidRDefault="00636FE4" w:rsidP="00476EE6">
            <w:pPr>
              <w:widowControl/>
              <w:jc w:val="center"/>
              <w:rPr>
                <w:rFonts w:ascii="Arial Narrow" w:hAnsi="Arial Narrow"/>
                <w:b/>
                <w:sz w:val="20"/>
                <w:szCs w:val="20"/>
              </w:rPr>
            </w:pPr>
            <w:r w:rsidRPr="00636FE4">
              <w:rPr>
                <w:rFonts w:ascii="Arial Narrow" w:hAnsi="Arial Narrow"/>
                <w:b/>
                <w:sz w:val="20"/>
                <w:szCs w:val="20"/>
              </w:rPr>
              <w:t>After XO</w:t>
            </w:r>
          </w:p>
        </w:tc>
        <w:tc>
          <w:tcPr>
            <w:tcW w:w="2657" w:type="pct"/>
            <w:gridSpan w:val="4"/>
            <w:tcBorders>
              <w:top w:val="single" w:sz="4" w:space="0" w:color="auto"/>
              <w:left w:val="single" w:sz="4" w:space="0" w:color="auto"/>
              <w:bottom w:val="single" w:sz="4" w:space="0" w:color="auto"/>
              <w:right w:val="single" w:sz="4" w:space="0" w:color="auto"/>
            </w:tcBorders>
          </w:tcPr>
          <w:p w:rsidR="00636FE4" w:rsidRPr="00600AD1" w:rsidRDefault="00636FE4" w:rsidP="00476EE6">
            <w:pPr>
              <w:widowControl/>
              <w:jc w:val="center"/>
              <w:rPr>
                <w:rFonts w:ascii="Arial Narrow" w:hAnsi="Arial Narrow"/>
                <w:sz w:val="20"/>
                <w:szCs w:val="20"/>
              </w:rPr>
            </w:pPr>
          </w:p>
        </w:tc>
      </w:tr>
      <w:tr w:rsidR="005E7102" w:rsidRPr="003A3555" w:rsidTr="00636FE4">
        <w:trPr>
          <w:cantSplit/>
          <w:trHeight w:val="20"/>
        </w:trPr>
        <w:tc>
          <w:tcPr>
            <w:tcW w:w="706" w:type="pct"/>
            <w:tcBorders>
              <w:top w:val="nil"/>
              <w:left w:val="single" w:sz="4" w:space="0" w:color="auto"/>
              <w:bottom w:val="single" w:sz="4" w:space="0" w:color="auto"/>
              <w:right w:val="single" w:sz="4" w:space="0" w:color="auto"/>
            </w:tcBorders>
            <w:vAlign w:val="center"/>
          </w:tcPr>
          <w:p w:rsidR="005E7102" w:rsidRPr="003A3555" w:rsidRDefault="005E7102" w:rsidP="00476EE6">
            <w:pPr>
              <w:widowControl/>
              <w:jc w:val="left"/>
              <w:rPr>
                <w:rFonts w:ascii="Arial Narrow" w:hAnsi="Arial Narrow"/>
                <w:sz w:val="20"/>
                <w:szCs w:val="20"/>
              </w:rPr>
            </w:pPr>
            <w:r w:rsidRPr="003A3555">
              <w:rPr>
                <w:rFonts w:ascii="Arial Narrow" w:hAnsi="Arial Narrow"/>
                <w:b/>
                <w:sz w:val="20"/>
                <w:szCs w:val="20"/>
              </w:rPr>
              <w:t>Oct 2016</w:t>
            </w:r>
          </w:p>
        </w:tc>
        <w:tc>
          <w:tcPr>
            <w:tcW w:w="545"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b/>
                <w:sz w:val="20"/>
                <w:szCs w:val="20"/>
              </w:rPr>
            </w:pPr>
            <w:r w:rsidRPr="003A3555">
              <w:rPr>
                <w:rFonts w:ascii="Arial Narrow" w:hAnsi="Arial Narrow"/>
                <w:b/>
                <w:sz w:val="20"/>
                <w:szCs w:val="20"/>
              </w:rPr>
              <w:t>N</w:t>
            </w:r>
            <w:r w:rsidR="00847F0C">
              <w:rPr>
                <w:rFonts w:ascii="Arial Narrow" w:hAnsi="Arial Narrow"/>
                <w:b/>
                <w:sz w:val="20"/>
                <w:szCs w:val="20"/>
              </w:rPr>
              <w:t xml:space="preserve"> </w:t>
            </w:r>
            <w:r w:rsidRPr="003A3555">
              <w:rPr>
                <w:rFonts w:ascii="Arial Narrow" w:hAnsi="Arial Narrow"/>
                <w:b/>
                <w:sz w:val="20"/>
                <w:szCs w:val="20"/>
              </w:rPr>
              <w:t>=</w:t>
            </w:r>
            <w:r w:rsidR="00847F0C">
              <w:rPr>
                <w:rFonts w:ascii="Arial Narrow" w:hAnsi="Arial Narrow"/>
                <w:b/>
                <w:sz w:val="20"/>
                <w:szCs w:val="20"/>
              </w:rPr>
              <w:t xml:space="preserve"> </w:t>
            </w:r>
            <w:r w:rsidRPr="003A3555">
              <w:rPr>
                <w:rFonts w:ascii="Arial Narrow" w:hAnsi="Arial Narrow"/>
                <w:b/>
                <w:sz w:val="20"/>
                <w:szCs w:val="20"/>
              </w:rPr>
              <w:t>224</w:t>
            </w:r>
          </w:p>
        </w:tc>
        <w:tc>
          <w:tcPr>
            <w:tcW w:w="546"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b/>
                <w:sz w:val="20"/>
                <w:szCs w:val="20"/>
              </w:rPr>
            </w:pPr>
            <w:r w:rsidRPr="003A3555">
              <w:rPr>
                <w:rFonts w:ascii="Arial Narrow" w:hAnsi="Arial Narrow"/>
                <w:b/>
                <w:sz w:val="20"/>
                <w:szCs w:val="20"/>
              </w:rPr>
              <w:t>N</w:t>
            </w:r>
            <w:r w:rsidR="00847F0C">
              <w:rPr>
                <w:rFonts w:ascii="Arial Narrow" w:hAnsi="Arial Narrow"/>
                <w:b/>
                <w:sz w:val="20"/>
                <w:szCs w:val="20"/>
              </w:rPr>
              <w:t xml:space="preserve"> </w:t>
            </w:r>
            <w:r w:rsidRPr="003A3555">
              <w:rPr>
                <w:rFonts w:ascii="Arial Narrow" w:hAnsi="Arial Narrow"/>
                <w:b/>
                <w:sz w:val="20"/>
                <w:szCs w:val="20"/>
              </w:rPr>
              <w:t>=</w:t>
            </w:r>
            <w:r w:rsidR="00847F0C">
              <w:rPr>
                <w:rFonts w:ascii="Arial Narrow" w:hAnsi="Arial Narrow"/>
                <w:b/>
                <w:sz w:val="20"/>
                <w:szCs w:val="20"/>
              </w:rPr>
              <w:t xml:space="preserve"> </w:t>
            </w:r>
            <w:r w:rsidRPr="003A3555">
              <w:rPr>
                <w:rFonts w:ascii="Arial Narrow" w:hAnsi="Arial Narrow"/>
                <w:b/>
                <w:sz w:val="20"/>
                <w:szCs w:val="20"/>
              </w:rPr>
              <w:t>143</w:t>
            </w:r>
          </w:p>
        </w:tc>
        <w:tc>
          <w:tcPr>
            <w:tcW w:w="546"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b/>
                <w:sz w:val="20"/>
                <w:szCs w:val="20"/>
              </w:rPr>
            </w:pPr>
            <w:r w:rsidRPr="003A3555">
              <w:rPr>
                <w:rFonts w:ascii="Arial Narrow" w:hAnsi="Arial Narrow"/>
                <w:b/>
                <w:sz w:val="20"/>
                <w:szCs w:val="20"/>
              </w:rPr>
              <w:t>N</w:t>
            </w:r>
            <w:r w:rsidR="00847F0C">
              <w:rPr>
                <w:rFonts w:ascii="Arial Narrow" w:hAnsi="Arial Narrow"/>
                <w:b/>
                <w:sz w:val="20"/>
                <w:szCs w:val="20"/>
              </w:rPr>
              <w:t xml:space="preserve"> </w:t>
            </w:r>
            <w:r w:rsidRPr="003A3555">
              <w:rPr>
                <w:rFonts w:ascii="Arial Narrow" w:hAnsi="Arial Narrow"/>
                <w:b/>
                <w:sz w:val="20"/>
                <w:szCs w:val="20"/>
              </w:rPr>
              <w:t>=</w:t>
            </w:r>
            <w:r w:rsidR="00847F0C">
              <w:rPr>
                <w:rFonts w:ascii="Arial Narrow" w:hAnsi="Arial Narrow"/>
                <w:b/>
                <w:sz w:val="20"/>
                <w:szCs w:val="20"/>
              </w:rPr>
              <w:t xml:space="preserve"> </w:t>
            </w:r>
            <w:r w:rsidRPr="003A3555">
              <w:rPr>
                <w:rFonts w:ascii="Arial Narrow" w:hAnsi="Arial Narrow"/>
                <w:b/>
                <w:sz w:val="20"/>
                <w:szCs w:val="20"/>
              </w:rPr>
              <w:t>86</w:t>
            </w:r>
          </w:p>
        </w:tc>
        <w:tc>
          <w:tcPr>
            <w:tcW w:w="782" w:type="pct"/>
            <w:tcBorders>
              <w:top w:val="single" w:sz="4" w:space="0" w:color="auto"/>
              <w:left w:val="single" w:sz="4" w:space="0" w:color="auto"/>
              <w:bottom w:val="single" w:sz="4" w:space="0" w:color="auto"/>
              <w:right w:val="single" w:sz="4" w:space="0" w:color="auto"/>
            </w:tcBorders>
          </w:tcPr>
          <w:p w:rsidR="005E7102" w:rsidRPr="00600AD1" w:rsidRDefault="005E7102" w:rsidP="00476EE6">
            <w:pPr>
              <w:widowControl/>
              <w:jc w:val="center"/>
              <w:rPr>
                <w:rFonts w:ascii="Arial Narrow" w:hAnsi="Arial Narrow"/>
                <w:b/>
                <w:sz w:val="20"/>
                <w:szCs w:val="20"/>
              </w:rPr>
            </w:pPr>
          </w:p>
        </w:tc>
        <w:tc>
          <w:tcPr>
            <w:tcW w:w="549"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b/>
                <w:sz w:val="20"/>
                <w:szCs w:val="20"/>
              </w:rPr>
            </w:pPr>
            <w:r w:rsidRPr="003A3555">
              <w:rPr>
                <w:rFonts w:ascii="Arial Narrow" w:hAnsi="Arial Narrow"/>
                <w:b/>
                <w:sz w:val="20"/>
                <w:szCs w:val="20"/>
              </w:rPr>
              <w:t>N</w:t>
            </w:r>
            <w:r w:rsidR="00847F0C">
              <w:rPr>
                <w:rFonts w:ascii="Arial Narrow" w:hAnsi="Arial Narrow"/>
                <w:b/>
                <w:sz w:val="20"/>
                <w:szCs w:val="20"/>
              </w:rPr>
              <w:t xml:space="preserve"> </w:t>
            </w:r>
            <w:r w:rsidRPr="003A3555">
              <w:rPr>
                <w:rFonts w:ascii="Arial Narrow" w:hAnsi="Arial Narrow"/>
                <w:b/>
                <w:sz w:val="20"/>
                <w:szCs w:val="20"/>
              </w:rPr>
              <w:t>=</w:t>
            </w:r>
            <w:r w:rsidR="00847F0C">
              <w:rPr>
                <w:rFonts w:ascii="Arial Narrow" w:hAnsi="Arial Narrow"/>
                <w:b/>
                <w:sz w:val="20"/>
                <w:szCs w:val="20"/>
              </w:rPr>
              <w:t xml:space="preserve"> </w:t>
            </w:r>
            <w:r w:rsidRPr="003A3555">
              <w:rPr>
                <w:rFonts w:ascii="Arial Narrow" w:hAnsi="Arial Narrow"/>
                <w:b/>
                <w:sz w:val="20"/>
                <w:szCs w:val="20"/>
              </w:rPr>
              <w:t>306</w:t>
            </w:r>
          </w:p>
        </w:tc>
        <w:tc>
          <w:tcPr>
            <w:tcW w:w="547"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b/>
                <w:sz w:val="20"/>
                <w:szCs w:val="20"/>
              </w:rPr>
            </w:pPr>
            <w:r w:rsidRPr="003A3555">
              <w:rPr>
                <w:rFonts w:ascii="Arial Narrow" w:hAnsi="Arial Narrow"/>
                <w:b/>
                <w:sz w:val="20"/>
                <w:szCs w:val="20"/>
              </w:rPr>
              <w:t>N</w:t>
            </w:r>
            <w:r w:rsidR="00847F0C">
              <w:rPr>
                <w:rFonts w:ascii="Arial Narrow" w:hAnsi="Arial Narrow"/>
                <w:b/>
                <w:sz w:val="20"/>
                <w:szCs w:val="20"/>
              </w:rPr>
              <w:t xml:space="preserve"> </w:t>
            </w:r>
            <w:r w:rsidRPr="003A3555">
              <w:rPr>
                <w:rFonts w:ascii="Arial Narrow" w:hAnsi="Arial Narrow"/>
                <w:b/>
                <w:sz w:val="20"/>
                <w:szCs w:val="20"/>
              </w:rPr>
              <w:t>=</w:t>
            </w:r>
            <w:r w:rsidR="00847F0C">
              <w:rPr>
                <w:rFonts w:ascii="Arial Narrow" w:hAnsi="Arial Narrow"/>
                <w:b/>
                <w:sz w:val="20"/>
                <w:szCs w:val="20"/>
              </w:rPr>
              <w:t xml:space="preserve"> </w:t>
            </w:r>
            <w:r w:rsidRPr="003A3555">
              <w:rPr>
                <w:rFonts w:ascii="Arial Narrow" w:hAnsi="Arial Narrow"/>
                <w:b/>
                <w:sz w:val="20"/>
                <w:szCs w:val="20"/>
              </w:rPr>
              <w:t>302</w:t>
            </w:r>
          </w:p>
        </w:tc>
        <w:tc>
          <w:tcPr>
            <w:tcW w:w="779" w:type="pct"/>
            <w:tcBorders>
              <w:top w:val="single" w:sz="4" w:space="0" w:color="auto"/>
              <w:left w:val="single" w:sz="4" w:space="0" w:color="auto"/>
              <w:bottom w:val="single" w:sz="4" w:space="0" w:color="auto"/>
              <w:right w:val="single" w:sz="4" w:space="0" w:color="auto"/>
            </w:tcBorders>
          </w:tcPr>
          <w:p w:rsidR="005E7102" w:rsidRPr="00600AD1" w:rsidRDefault="005E7102" w:rsidP="00476EE6">
            <w:pPr>
              <w:widowControl/>
              <w:jc w:val="center"/>
              <w:rPr>
                <w:rFonts w:ascii="Arial Narrow" w:hAnsi="Arial Narrow"/>
                <w:b/>
                <w:sz w:val="20"/>
                <w:szCs w:val="20"/>
              </w:rPr>
            </w:pPr>
          </w:p>
        </w:tc>
      </w:tr>
      <w:tr w:rsidR="005E7102" w:rsidRPr="003A3555" w:rsidTr="00636FE4">
        <w:trPr>
          <w:cantSplit/>
          <w:trHeight w:val="20"/>
        </w:trPr>
        <w:tc>
          <w:tcPr>
            <w:tcW w:w="706" w:type="pct"/>
            <w:tcBorders>
              <w:top w:val="nil"/>
              <w:left w:val="single" w:sz="4" w:space="0" w:color="auto"/>
              <w:bottom w:val="single" w:sz="4" w:space="0" w:color="auto"/>
              <w:right w:val="single" w:sz="4" w:space="0" w:color="auto"/>
            </w:tcBorders>
            <w:vAlign w:val="center"/>
          </w:tcPr>
          <w:p w:rsidR="005E7102" w:rsidRPr="003A3555" w:rsidRDefault="005E7102" w:rsidP="00476EE6">
            <w:pPr>
              <w:widowControl/>
              <w:adjustRightInd w:val="0"/>
              <w:snapToGrid w:val="0"/>
              <w:jc w:val="left"/>
              <w:rPr>
                <w:rFonts w:ascii="Arial Narrow" w:eastAsia="SimSun" w:hAnsi="Arial Narrow"/>
                <w:sz w:val="20"/>
                <w:szCs w:val="20"/>
                <w:lang w:eastAsia="en-AU"/>
              </w:rPr>
            </w:pPr>
            <w:r w:rsidRPr="003A3555">
              <w:rPr>
                <w:rFonts w:ascii="Arial Narrow" w:eastAsia="SimSun" w:hAnsi="Arial Narrow"/>
                <w:sz w:val="20"/>
                <w:szCs w:val="20"/>
                <w:lang w:eastAsia="en-AU"/>
              </w:rPr>
              <w:t>SPM</w:t>
            </w:r>
          </w:p>
        </w:tc>
        <w:tc>
          <w:tcPr>
            <w:tcW w:w="545"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NR</w:t>
            </w:r>
          </w:p>
        </w:tc>
        <w:tc>
          <w:tcPr>
            <w:tcW w:w="546"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NR</w:t>
            </w:r>
          </w:p>
        </w:tc>
        <w:tc>
          <w:tcPr>
            <w:tcW w:w="546"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adjustRightInd w:val="0"/>
              <w:snapToGrid w:val="0"/>
              <w:jc w:val="center"/>
              <w:rPr>
                <w:rFonts w:ascii="Arial Narrow" w:eastAsia="SimSun" w:hAnsi="Arial Narrow"/>
                <w:sz w:val="20"/>
                <w:szCs w:val="20"/>
                <w:lang w:eastAsia="en-AU"/>
              </w:rPr>
            </w:pPr>
            <w:r w:rsidRPr="003A3555">
              <w:rPr>
                <w:rFonts w:ascii="Arial Narrow" w:eastAsia="SimSun" w:hAnsi="Arial Narrow"/>
                <w:sz w:val="20"/>
                <w:szCs w:val="20"/>
                <w:lang w:eastAsia="en-AU"/>
              </w:rPr>
              <w:t>NR</w:t>
            </w:r>
          </w:p>
        </w:tc>
        <w:tc>
          <w:tcPr>
            <w:tcW w:w="782" w:type="pct"/>
            <w:tcBorders>
              <w:top w:val="single" w:sz="4" w:space="0" w:color="auto"/>
              <w:left w:val="single" w:sz="4" w:space="0" w:color="auto"/>
              <w:bottom w:val="single" w:sz="4" w:space="0" w:color="auto"/>
              <w:right w:val="single" w:sz="4" w:space="0" w:color="auto"/>
            </w:tcBorders>
          </w:tcPr>
          <w:p w:rsidR="005E7102" w:rsidRPr="00600AD1" w:rsidRDefault="005E7102" w:rsidP="00476EE6">
            <w:pPr>
              <w:widowControl/>
              <w:jc w:val="center"/>
              <w:rPr>
                <w:rFonts w:ascii="Arial Narrow" w:hAnsi="Arial Narrow"/>
                <w:sz w:val="20"/>
                <w:szCs w:val="20"/>
              </w:rPr>
            </w:pPr>
            <w:r w:rsidRPr="00600AD1">
              <w:rPr>
                <w:rFonts w:ascii="Arial Narrow" w:hAnsi="Arial Narrow"/>
                <w:sz w:val="20"/>
                <w:szCs w:val="20"/>
              </w:rPr>
              <w:t>-</w:t>
            </w:r>
          </w:p>
        </w:tc>
        <w:tc>
          <w:tcPr>
            <w:tcW w:w="549"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51</w:t>
            </w:r>
            <w:r w:rsidRPr="003A3555">
              <w:rPr>
                <w:rFonts w:ascii="Arial Narrow" w:hAnsi="Arial Narrow"/>
                <w:sz w:val="20"/>
                <w:szCs w:val="20"/>
                <w:vertAlign w:val="superscript"/>
              </w:rPr>
              <w:t>b</w:t>
            </w:r>
            <w:r w:rsidRPr="003A3555">
              <w:rPr>
                <w:rFonts w:ascii="Arial Narrow" w:hAnsi="Arial Narrow"/>
                <w:sz w:val="20"/>
                <w:szCs w:val="20"/>
              </w:rPr>
              <w:t xml:space="preserve"> (16.7%)</w:t>
            </w:r>
          </w:p>
        </w:tc>
        <w:tc>
          <w:tcPr>
            <w:tcW w:w="547"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33</w:t>
            </w:r>
            <w:r w:rsidRPr="003A3555">
              <w:rPr>
                <w:rFonts w:ascii="Arial Narrow" w:hAnsi="Arial Narrow"/>
                <w:sz w:val="20"/>
                <w:szCs w:val="20"/>
                <w:vertAlign w:val="superscript"/>
              </w:rPr>
              <w:t>b</w:t>
            </w:r>
            <w:r w:rsidRPr="003A3555">
              <w:rPr>
                <w:rFonts w:ascii="Arial Narrow" w:hAnsi="Arial Narrow"/>
                <w:sz w:val="20"/>
                <w:szCs w:val="20"/>
              </w:rPr>
              <w:t xml:space="preserve"> (10.9%)</w:t>
            </w:r>
          </w:p>
        </w:tc>
        <w:tc>
          <w:tcPr>
            <w:tcW w:w="779" w:type="pct"/>
            <w:tcBorders>
              <w:top w:val="single" w:sz="4" w:space="0" w:color="auto"/>
              <w:left w:val="single" w:sz="4" w:space="0" w:color="auto"/>
              <w:bottom w:val="single" w:sz="4" w:space="0" w:color="auto"/>
              <w:right w:val="single" w:sz="4" w:space="0" w:color="auto"/>
            </w:tcBorders>
          </w:tcPr>
          <w:p w:rsidR="005E7102" w:rsidRPr="00600AD1" w:rsidRDefault="005E7102" w:rsidP="00476EE6">
            <w:pPr>
              <w:widowControl/>
              <w:jc w:val="center"/>
              <w:rPr>
                <w:rFonts w:ascii="Arial Narrow" w:hAnsi="Arial Narrow"/>
                <w:b/>
                <w:sz w:val="20"/>
                <w:szCs w:val="20"/>
              </w:rPr>
            </w:pPr>
            <w:r w:rsidRPr="00600AD1">
              <w:rPr>
                <w:rFonts w:ascii="Arial Narrow" w:hAnsi="Arial Narrow"/>
                <w:b/>
                <w:sz w:val="20"/>
                <w:szCs w:val="20"/>
              </w:rPr>
              <w:t>1.53 (1.01, 2.29)</w:t>
            </w:r>
          </w:p>
        </w:tc>
      </w:tr>
      <w:tr w:rsidR="005E7102" w:rsidRPr="003A3555" w:rsidTr="00636FE4">
        <w:trPr>
          <w:cantSplit/>
          <w:trHeight w:val="20"/>
        </w:trPr>
        <w:tc>
          <w:tcPr>
            <w:tcW w:w="706" w:type="pct"/>
            <w:tcBorders>
              <w:top w:val="nil"/>
              <w:left w:val="single" w:sz="4" w:space="0" w:color="auto"/>
              <w:bottom w:val="single" w:sz="4" w:space="0" w:color="auto"/>
              <w:right w:val="single" w:sz="4" w:space="0" w:color="auto"/>
            </w:tcBorders>
            <w:vAlign w:val="center"/>
          </w:tcPr>
          <w:p w:rsidR="005E7102" w:rsidRPr="003A3555" w:rsidRDefault="005E7102" w:rsidP="00476EE6">
            <w:pPr>
              <w:widowControl/>
              <w:adjustRightInd w:val="0"/>
              <w:snapToGrid w:val="0"/>
              <w:jc w:val="left"/>
              <w:rPr>
                <w:rFonts w:ascii="Arial Narrow" w:eastAsia="SimSun" w:hAnsi="Arial Narrow"/>
                <w:sz w:val="20"/>
                <w:szCs w:val="20"/>
                <w:lang w:eastAsia="en-AU"/>
              </w:rPr>
            </w:pPr>
            <w:r w:rsidRPr="003A3555">
              <w:rPr>
                <w:rFonts w:ascii="Arial Narrow" w:eastAsia="SimSun" w:hAnsi="Arial Narrow"/>
                <w:sz w:val="20"/>
                <w:szCs w:val="20"/>
                <w:lang w:eastAsia="en-AU"/>
              </w:rPr>
              <w:t>Haematological</w:t>
            </w:r>
          </w:p>
        </w:tc>
        <w:tc>
          <w:tcPr>
            <w:tcW w:w="545"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18 (7.8%)</w:t>
            </w:r>
          </w:p>
        </w:tc>
        <w:tc>
          <w:tcPr>
            <w:tcW w:w="546"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3 (2.1%)</w:t>
            </w:r>
          </w:p>
        </w:tc>
        <w:tc>
          <w:tcPr>
            <w:tcW w:w="546"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adjustRightInd w:val="0"/>
              <w:snapToGrid w:val="0"/>
              <w:jc w:val="center"/>
              <w:rPr>
                <w:rFonts w:ascii="Arial Narrow" w:eastAsia="SimSun" w:hAnsi="Arial Narrow"/>
                <w:sz w:val="20"/>
                <w:szCs w:val="20"/>
                <w:lang w:eastAsia="en-AU"/>
              </w:rPr>
            </w:pPr>
            <w:r w:rsidRPr="003A3555">
              <w:rPr>
                <w:rFonts w:ascii="Arial Narrow" w:eastAsia="SimSun" w:hAnsi="Arial Narrow"/>
                <w:sz w:val="20"/>
                <w:szCs w:val="20"/>
                <w:lang w:eastAsia="en-AU"/>
              </w:rPr>
              <w:t>0</w:t>
            </w:r>
          </w:p>
        </w:tc>
        <w:tc>
          <w:tcPr>
            <w:tcW w:w="782" w:type="pct"/>
            <w:tcBorders>
              <w:top w:val="single" w:sz="4" w:space="0" w:color="auto"/>
              <w:left w:val="single" w:sz="4" w:space="0" w:color="auto"/>
              <w:bottom w:val="single" w:sz="4" w:space="0" w:color="auto"/>
              <w:right w:val="single" w:sz="4" w:space="0" w:color="auto"/>
            </w:tcBorders>
          </w:tcPr>
          <w:p w:rsidR="005E7102" w:rsidRPr="00600AD1" w:rsidRDefault="005E7102" w:rsidP="00476EE6">
            <w:pPr>
              <w:widowControl/>
              <w:jc w:val="center"/>
              <w:rPr>
                <w:rFonts w:ascii="Arial Narrow" w:hAnsi="Arial Narrow"/>
                <w:sz w:val="20"/>
                <w:szCs w:val="20"/>
              </w:rPr>
            </w:pPr>
            <w:r w:rsidRPr="00600AD1">
              <w:rPr>
                <w:rFonts w:ascii="Arial Narrow" w:hAnsi="Arial Narrow"/>
                <w:b/>
                <w:sz w:val="20"/>
                <w:szCs w:val="20"/>
              </w:rPr>
              <w:t>3.83 (1.15, 12.77</w:t>
            </w:r>
            <w:r w:rsidRPr="00600AD1">
              <w:rPr>
                <w:rFonts w:ascii="Arial Narrow" w:hAnsi="Arial Narrow"/>
                <w:sz w:val="20"/>
                <w:szCs w:val="20"/>
              </w:rPr>
              <w:t>)</w:t>
            </w:r>
          </w:p>
        </w:tc>
        <w:tc>
          <w:tcPr>
            <w:tcW w:w="549"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21</w:t>
            </w:r>
            <w:r w:rsidRPr="003A3555">
              <w:rPr>
                <w:rFonts w:ascii="Arial Narrow" w:hAnsi="Arial Narrow"/>
                <w:sz w:val="20"/>
                <w:szCs w:val="20"/>
                <w:vertAlign w:val="superscript"/>
              </w:rPr>
              <w:t>c</w:t>
            </w:r>
            <w:r w:rsidRPr="003A3555">
              <w:rPr>
                <w:rFonts w:ascii="Arial Narrow" w:hAnsi="Arial Narrow"/>
                <w:sz w:val="20"/>
                <w:szCs w:val="20"/>
              </w:rPr>
              <w:t xml:space="preserve"> (6.9%)</w:t>
            </w:r>
          </w:p>
        </w:tc>
        <w:tc>
          <w:tcPr>
            <w:tcW w:w="547"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9 (3%)</w:t>
            </w:r>
          </w:p>
        </w:tc>
        <w:tc>
          <w:tcPr>
            <w:tcW w:w="779" w:type="pct"/>
            <w:tcBorders>
              <w:top w:val="single" w:sz="4" w:space="0" w:color="auto"/>
              <w:left w:val="single" w:sz="4" w:space="0" w:color="auto"/>
              <w:bottom w:val="single" w:sz="4" w:space="0" w:color="auto"/>
              <w:right w:val="single" w:sz="4" w:space="0" w:color="auto"/>
            </w:tcBorders>
          </w:tcPr>
          <w:p w:rsidR="005E7102" w:rsidRPr="00600AD1" w:rsidRDefault="005E7102" w:rsidP="00476EE6">
            <w:pPr>
              <w:widowControl/>
              <w:jc w:val="center"/>
              <w:rPr>
                <w:rFonts w:ascii="Arial Narrow" w:hAnsi="Arial Narrow"/>
                <w:b/>
                <w:sz w:val="20"/>
                <w:szCs w:val="20"/>
              </w:rPr>
            </w:pPr>
            <w:r w:rsidRPr="00600AD1">
              <w:rPr>
                <w:rFonts w:ascii="Arial Narrow" w:hAnsi="Arial Narrow"/>
                <w:b/>
                <w:sz w:val="20"/>
                <w:szCs w:val="20"/>
              </w:rPr>
              <w:t>2.30 (1.07, 4.95)</w:t>
            </w:r>
          </w:p>
        </w:tc>
      </w:tr>
      <w:tr w:rsidR="005E7102" w:rsidRPr="003A3555" w:rsidTr="00636FE4">
        <w:trPr>
          <w:cantSplit/>
          <w:trHeight w:val="20"/>
        </w:trPr>
        <w:tc>
          <w:tcPr>
            <w:tcW w:w="706" w:type="pct"/>
            <w:tcBorders>
              <w:top w:val="nil"/>
              <w:left w:val="single" w:sz="4" w:space="0" w:color="auto"/>
              <w:bottom w:val="single" w:sz="4" w:space="0" w:color="auto"/>
              <w:right w:val="single" w:sz="4" w:space="0" w:color="auto"/>
            </w:tcBorders>
            <w:vAlign w:val="center"/>
          </w:tcPr>
          <w:p w:rsidR="005E7102" w:rsidRPr="003A3555" w:rsidRDefault="005E7102" w:rsidP="00476EE6">
            <w:pPr>
              <w:widowControl/>
              <w:adjustRightInd w:val="0"/>
              <w:snapToGrid w:val="0"/>
              <w:jc w:val="left"/>
              <w:rPr>
                <w:rFonts w:ascii="Arial Narrow" w:eastAsia="SimSun" w:hAnsi="Arial Narrow"/>
                <w:sz w:val="20"/>
                <w:szCs w:val="20"/>
                <w:lang w:eastAsia="en-AU"/>
              </w:rPr>
            </w:pPr>
            <w:r w:rsidRPr="003A3555">
              <w:rPr>
                <w:rFonts w:ascii="Arial Narrow" w:eastAsia="SimSun" w:hAnsi="Arial Narrow"/>
                <w:sz w:val="20"/>
                <w:szCs w:val="20"/>
                <w:lang w:eastAsia="en-AU"/>
              </w:rPr>
              <w:t>Solid tumour</w:t>
            </w:r>
          </w:p>
        </w:tc>
        <w:tc>
          <w:tcPr>
            <w:tcW w:w="545"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14 (6.1%)</w:t>
            </w:r>
          </w:p>
        </w:tc>
        <w:tc>
          <w:tcPr>
            <w:tcW w:w="546"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5 (3.5%)</w:t>
            </w:r>
          </w:p>
        </w:tc>
        <w:tc>
          <w:tcPr>
            <w:tcW w:w="546"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adjustRightInd w:val="0"/>
              <w:snapToGrid w:val="0"/>
              <w:jc w:val="center"/>
              <w:rPr>
                <w:rFonts w:ascii="Arial Narrow" w:eastAsia="SimSun" w:hAnsi="Arial Narrow"/>
                <w:sz w:val="20"/>
                <w:szCs w:val="20"/>
                <w:lang w:eastAsia="en-AU"/>
              </w:rPr>
            </w:pPr>
            <w:r w:rsidRPr="003A3555">
              <w:rPr>
                <w:rFonts w:ascii="Arial Narrow" w:eastAsia="SimSun" w:hAnsi="Arial Narrow"/>
                <w:sz w:val="20"/>
                <w:szCs w:val="20"/>
                <w:lang w:eastAsia="en-AU"/>
              </w:rPr>
              <w:t>4 (4.7%)</w:t>
            </w:r>
          </w:p>
        </w:tc>
        <w:tc>
          <w:tcPr>
            <w:tcW w:w="782" w:type="pct"/>
            <w:tcBorders>
              <w:top w:val="single" w:sz="4" w:space="0" w:color="auto"/>
              <w:left w:val="single" w:sz="4" w:space="0" w:color="auto"/>
              <w:bottom w:val="single" w:sz="4" w:space="0" w:color="auto"/>
              <w:right w:val="single" w:sz="4" w:space="0" w:color="auto"/>
            </w:tcBorders>
          </w:tcPr>
          <w:p w:rsidR="005E7102" w:rsidRPr="00600AD1" w:rsidRDefault="005E7102" w:rsidP="00476EE6">
            <w:pPr>
              <w:widowControl/>
              <w:jc w:val="center"/>
              <w:rPr>
                <w:rFonts w:ascii="Arial Narrow" w:hAnsi="Arial Narrow"/>
                <w:sz w:val="20"/>
                <w:szCs w:val="20"/>
              </w:rPr>
            </w:pPr>
            <w:r w:rsidRPr="00600AD1">
              <w:rPr>
                <w:rFonts w:ascii="Arial Narrow" w:hAnsi="Arial Narrow"/>
                <w:sz w:val="20"/>
                <w:szCs w:val="20"/>
              </w:rPr>
              <w:t>1.79 (0.66, 4.86)</w:t>
            </w:r>
          </w:p>
        </w:tc>
        <w:tc>
          <w:tcPr>
            <w:tcW w:w="549"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23 (7.5%)</w:t>
            </w:r>
          </w:p>
        </w:tc>
        <w:tc>
          <w:tcPr>
            <w:tcW w:w="547"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19 (6.3%)</w:t>
            </w:r>
          </w:p>
        </w:tc>
        <w:tc>
          <w:tcPr>
            <w:tcW w:w="779" w:type="pct"/>
            <w:tcBorders>
              <w:top w:val="single" w:sz="4" w:space="0" w:color="auto"/>
              <w:left w:val="single" w:sz="4" w:space="0" w:color="auto"/>
              <w:bottom w:val="single" w:sz="4" w:space="0" w:color="auto"/>
              <w:right w:val="single" w:sz="4" w:space="0" w:color="auto"/>
            </w:tcBorders>
          </w:tcPr>
          <w:p w:rsidR="005E7102" w:rsidRPr="00600AD1" w:rsidRDefault="005E7102" w:rsidP="00476EE6">
            <w:pPr>
              <w:widowControl/>
              <w:jc w:val="center"/>
              <w:rPr>
                <w:rFonts w:ascii="Arial Narrow" w:hAnsi="Arial Narrow"/>
                <w:sz w:val="20"/>
                <w:szCs w:val="20"/>
              </w:rPr>
            </w:pPr>
            <w:r w:rsidRPr="00600AD1">
              <w:rPr>
                <w:rFonts w:ascii="Arial Narrow" w:hAnsi="Arial Narrow"/>
                <w:sz w:val="20"/>
                <w:szCs w:val="20"/>
              </w:rPr>
              <w:t>1.19 (0.66, 2.15)</w:t>
            </w:r>
          </w:p>
        </w:tc>
      </w:tr>
      <w:tr w:rsidR="005E7102" w:rsidRPr="003A3555" w:rsidTr="00636FE4">
        <w:trPr>
          <w:cantSplit/>
          <w:trHeight w:val="20"/>
        </w:trPr>
        <w:tc>
          <w:tcPr>
            <w:tcW w:w="706" w:type="pct"/>
            <w:tcBorders>
              <w:top w:val="nil"/>
              <w:left w:val="single" w:sz="4" w:space="0" w:color="auto"/>
              <w:bottom w:val="single" w:sz="4" w:space="0" w:color="auto"/>
              <w:right w:val="single" w:sz="4" w:space="0" w:color="auto"/>
            </w:tcBorders>
            <w:vAlign w:val="center"/>
          </w:tcPr>
          <w:p w:rsidR="005E7102" w:rsidRPr="003A3555" w:rsidRDefault="005E7102" w:rsidP="00476EE6">
            <w:pPr>
              <w:widowControl/>
              <w:adjustRightInd w:val="0"/>
              <w:snapToGrid w:val="0"/>
              <w:jc w:val="left"/>
              <w:rPr>
                <w:rFonts w:ascii="Arial Narrow" w:eastAsia="SimSun" w:hAnsi="Arial Narrow"/>
                <w:sz w:val="20"/>
                <w:szCs w:val="20"/>
                <w:lang w:eastAsia="en-AU"/>
              </w:rPr>
            </w:pPr>
            <w:r w:rsidRPr="003A3555">
              <w:rPr>
                <w:rFonts w:ascii="Arial Narrow" w:eastAsia="SimSun" w:hAnsi="Arial Narrow"/>
                <w:sz w:val="20"/>
                <w:szCs w:val="20"/>
                <w:lang w:eastAsia="en-AU"/>
              </w:rPr>
              <w:t>Non-invasive</w:t>
            </w:r>
          </w:p>
        </w:tc>
        <w:tc>
          <w:tcPr>
            <w:tcW w:w="545"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11 (4.8%)</w:t>
            </w:r>
          </w:p>
        </w:tc>
        <w:tc>
          <w:tcPr>
            <w:tcW w:w="546"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5 (3.5%)</w:t>
            </w:r>
          </w:p>
        </w:tc>
        <w:tc>
          <w:tcPr>
            <w:tcW w:w="546"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adjustRightInd w:val="0"/>
              <w:snapToGrid w:val="0"/>
              <w:jc w:val="center"/>
              <w:rPr>
                <w:rFonts w:ascii="Arial Narrow" w:eastAsia="SimSun" w:hAnsi="Arial Narrow"/>
                <w:sz w:val="20"/>
                <w:szCs w:val="20"/>
                <w:lang w:eastAsia="en-AU"/>
              </w:rPr>
            </w:pPr>
            <w:r w:rsidRPr="003A3555">
              <w:rPr>
                <w:rFonts w:ascii="Arial Narrow" w:eastAsia="SimSun" w:hAnsi="Arial Narrow"/>
                <w:sz w:val="20"/>
                <w:szCs w:val="20"/>
                <w:lang w:eastAsia="en-AU"/>
              </w:rPr>
              <w:t>1 (1.2%)</w:t>
            </w:r>
          </w:p>
        </w:tc>
        <w:tc>
          <w:tcPr>
            <w:tcW w:w="782" w:type="pct"/>
            <w:tcBorders>
              <w:top w:val="single" w:sz="4" w:space="0" w:color="auto"/>
              <w:left w:val="single" w:sz="4" w:space="0" w:color="auto"/>
              <w:bottom w:val="single" w:sz="4" w:space="0" w:color="auto"/>
              <w:right w:val="single" w:sz="4" w:space="0" w:color="auto"/>
            </w:tcBorders>
          </w:tcPr>
          <w:p w:rsidR="005E7102" w:rsidRPr="00600AD1" w:rsidRDefault="005E7102" w:rsidP="00476EE6">
            <w:pPr>
              <w:widowControl/>
              <w:jc w:val="center"/>
              <w:rPr>
                <w:rFonts w:ascii="Arial Narrow" w:hAnsi="Arial Narrow"/>
                <w:sz w:val="20"/>
                <w:szCs w:val="20"/>
              </w:rPr>
            </w:pPr>
            <w:r w:rsidRPr="00600AD1">
              <w:rPr>
                <w:rFonts w:ascii="Arial Narrow" w:hAnsi="Arial Narrow"/>
                <w:sz w:val="20"/>
                <w:szCs w:val="20"/>
              </w:rPr>
              <w:t>1.40 (0.50, 3.96)</w:t>
            </w:r>
          </w:p>
        </w:tc>
        <w:tc>
          <w:tcPr>
            <w:tcW w:w="549"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10 (3.3%)</w:t>
            </w:r>
          </w:p>
        </w:tc>
        <w:tc>
          <w:tcPr>
            <w:tcW w:w="547"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20"/>
              </w:rPr>
            </w:pPr>
            <w:r w:rsidRPr="003A3555">
              <w:rPr>
                <w:rFonts w:ascii="Arial Narrow" w:hAnsi="Arial Narrow"/>
                <w:sz w:val="20"/>
                <w:szCs w:val="20"/>
              </w:rPr>
              <w:t>7 (2.3%)</w:t>
            </w:r>
          </w:p>
        </w:tc>
        <w:tc>
          <w:tcPr>
            <w:tcW w:w="779" w:type="pct"/>
            <w:tcBorders>
              <w:top w:val="single" w:sz="4" w:space="0" w:color="auto"/>
              <w:left w:val="single" w:sz="4" w:space="0" w:color="auto"/>
              <w:bottom w:val="single" w:sz="4" w:space="0" w:color="auto"/>
              <w:right w:val="single" w:sz="4" w:space="0" w:color="auto"/>
            </w:tcBorders>
          </w:tcPr>
          <w:p w:rsidR="005E7102" w:rsidRPr="00600AD1" w:rsidRDefault="005E7102" w:rsidP="00476EE6">
            <w:pPr>
              <w:widowControl/>
              <w:jc w:val="center"/>
              <w:rPr>
                <w:rFonts w:ascii="Arial Narrow" w:hAnsi="Arial Narrow"/>
                <w:sz w:val="20"/>
                <w:szCs w:val="20"/>
              </w:rPr>
            </w:pPr>
            <w:r w:rsidRPr="00600AD1">
              <w:rPr>
                <w:rFonts w:ascii="Arial Narrow" w:hAnsi="Arial Narrow"/>
                <w:sz w:val="20"/>
                <w:szCs w:val="20"/>
              </w:rPr>
              <w:t>1.41 (0.54, 3.66)</w:t>
            </w:r>
          </w:p>
        </w:tc>
      </w:tr>
    </w:tbl>
    <w:p w:rsidR="005E7102" w:rsidRPr="003A3555" w:rsidRDefault="005E7102" w:rsidP="00476EE6">
      <w:pPr>
        <w:widowControl/>
        <w:rPr>
          <w:rFonts w:ascii="Arial Narrow" w:hAnsi="Arial Narrow"/>
          <w:sz w:val="18"/>
          <w:szCs w:val="18"/>
        </w:rPr>
      </w:pPr>
      <w:r w:rsidRPr="003A3555">
        <w:rPr>
          <w:rFonts w:ascii="Arial Narrow" w:hAnsi="Arial Narrow"/>
          <w:sz w:val="18"/>
          <w:szCs w:val="18"/>
        </w:rPr>
        <w:t>BSC</w:t>
      </w:r>
      <w:r w:rsidR="00955CAB">
        <w:rPr>
          <w:rFonts w:ascii="Arial Narrow" w:hAnsi="Arial Narrow"/>
          <w:sz w:val="18"/>
          <w:szCs w:val="18"/>
        </w:rPr>
        <w:t xml:space="preserve"> </w:t>
      </w:r>
      <w:r w:rsidRPr="003A3555">
        <w:rPr>
          <w:rFonts w:ascii="Arial Narrow" w:hAnsi="Arial Narrow"/>
          <w:sz w:val="18"/>
          <w:szCs w:val="18"/>
        </w:rPr>
        <w:t>=</w:t>
      </w:r>
      <w:r w:rsidR="00955CAB">
        <w:rPr>
          <w:rFonts w:ascii="Arial Narrow" w:hAnsi="Arial Narrow"/>
          <w:sz w:val="18"/>
          <w:szCs w:val="18"/>
        </w:rPr>
        <w:t xml:space="preserve"> </w:t>
      </w:r>
      <w:r w:rsidRPr="003A3555">
        <w:rPr>
          <w:rFonts w:ascii="Arial Narrow" w:hAnsi="Arial Narrow"/>
          <w:sz w:val="18"/>
          <w:szCs w:val="18"/>
        </w:rPr>
        <w:t>best supportive care; LEN</w:t>
      </w:r>
      <w:r w:rsidR="00955CAB">
        <w:rPr>
          <w:rFonts w:ascii="Arial Narrow" w:hAnsi="Arial Narrow"/>
          <w:sz w:val="18"/>
          <w:szCs w:val="18"/>
        </w:rPr>
        <w:t xml:space="preserve"> </w:t>
      </w:r>
      <w:r w:rsidRPr="003A3555">
        <w:rPr>
          <w:rFonts w:ascii="Arial Narrow" w:hAnsi="Arial Narrow"/>
          <w:sz w:val="18"/>
          <w:szCs w:val="18"/>
        </w:rPr>
        <w:t>=</w:t>
      </w:r>
      <w:r w:rsidR="00955CAB">
        <w:rPr>
          <w:rFonts w:ascii="Arial Narrow" w:hAnsi="Arial Narrow"/>
          <w:sz w:val="18"/>
          <w:szCs w:val="18"/>
        </w:rPr>
        <w:t xml:space="preserve"> </w:t>
      </w:r>
      <w:proofErr w:type="spellStart"/>
      <w:r w:rsidRPr="003A3555">
        <w:rPr>
          <w:rFonts w:ascii="Arial Narrow" w:hAnsi="Arial Narrow"/>
          <w:sz w:val="18"/>
          <w:szCs w:val="18"/>
        </w:rPr>
        <w:t>lenalidomide</w:t>
      </w:r>
      <w:proofErr w:type="spellEnd"/>
      <w:r w:rsidRPr="003A3555">
        <w:rPr>
          <w:rFonts w:ascii="Arial Narrow" w:hAnsi="Arial Narrow"/>
          <w:sz w:val="18"/>
          <w:szCs w:val="18"/>
        </w:rPr>
        <w:t>; NR</w:t>
      </w:r>
      <w:r w:rsidR="00955CAB">
        <w:rPr>
          <w:rFonts w:ascii="Arial Narrow" w:hAnsi="Arial Narrow"/>
          <w:sz w:val="18"/>
          <w:szCs w:val="18"/>
        </w:rPr>
        <w:t xml:space="preserve"> </w:t>
      </w:r>
      <w:r w:rsidRPr="003A3555">
        <w:rPr>
          <w:rFonts w:ascii="Arial Narrow" w:hAnsi="Arial Narrow"/>
          <w:sz w:val="18"/>
          <w:szCs w:val="18"/>
        </w:rPr>
        <w:t>=</w:t>
      </w:r>
      <w:r w:rsidR="00955CAB">
        <w:rPr>
          <w:rFonts w:ascii="Arial Narrow" w:hAnsi="Arial Narrow"/>
          <w:sz w:val="18"/>
          <w:szCs w:val="18"/>
        </w:rPr>
        <w:t xml:space="preserve"> </w:t>
      </w:r>
      <w:r w:rsidRPr="003A3555">
        <w:rPr>
          <w:rFonts w:ascii="Arial Narrow" w:hAnsi="Arial Narrow"/>
          <w:sz w:val="18"/>
          <w:szCs w:val="18"/>
        </w:rPr>
        <w:t xml:space="preserve">not reported; </w:t>
      </w:r>
      <w:r w:rsidR="00AD6622">
        <w:rPr>
          <w:rFonts w:ascii="Arial Narrow" w:hAnsi="Arial Narrow"/>
          <w:sz w:val="18"/>
          <w:szCs w:val="18"/>
        </w:rPr>
        <w:t xml:space="preserve">PBO = placebo; RR = relative risk; </w:t>
      </w:r>
      <w:r w:rsidRPr="003A3555">
        <w:rPr>
          <w:rFonts w:ascii="Arial Narrow" w:hAnsi="Arial Narrow"/>
          <w:sz w:val="18"/>
          <w:szCs w:val="18"/>
        </w:rPr>
        <w:t>SPM</w:t>
      </w:r>
      <w:r w:rsidR="00955CAB">
        <w:rPr>
          <w:rFonts w:ascii="Arial Narrow" w:hAnsi="Arial Narrow"/>
          <w:sz w:val="18"/>
          <w:szCs w:val="18"/>
        </w:rPr>
        <w:t xml:space="preserve"> </w:t>
      </w:r>
      <w:r w:rsidRPr="003A3555">
        <w:rPr>
          <w:rFonts w:ascii="Arial Narrow" w:hAnsi="Arial Narrow"/>
          <w:sz w:val="18"/>
          <w:szCs w:val="18"/>
        </w:rPr>
        <w:t>=</w:t>
      </w:r>
      <w:r w:rsidR="00955CAB">
        <w:rPr>
          <w:rFonts w:ascii="Arial Narrow" w:hAnsi="Arial Narrow"/>
          <w:sz w:val="18"/>
          <w:szCs w:val="18"/>
        </w:rPr>
        <w:t xml:space="preserve"> </w:t>
      </w:r>
      <w:r w:rsidRPr="003A3555">
        <w:rPr>
          <w:rFonts w:ascii="Arial Narrow" w:hAnsi="Arial Narrow"/>
          <w:sz w:val="18"/>
          <w:szCs w:val="18"/>
        </w:rPr>
        <w:t>second primary malignancy; XO</w:t>
      </w:r>
      <w:r w:rsidR="00955CAB">
        <w:rPr>
          <w:rFonts w:ascii="Arial Narrow" w:hAnsi="Arial Narrow"/>
          <w:sz w:val="18"/>
          <w:szCs w:val="18"/>
        </w:rPr>
        <w:t xml:space="preserve"> </w:t>
      </w:r>
      <w:r w:rsidRPr="003A3555">
        <w:rPr>
          <w:rFonts w:ascii="Arial Narrow" w:hAnsi="Arial Narrow"/>
          <w:sz w:val="18"/>
          <w:szCs w:val="18"/>
        </w:rPr>
        <w:t>=</w:t>
      </w:r>
      <w:r w:rsidR="00955CAB">
        <w:rPr>
          <w:rFonts w:ascii="Arial Narrow" w:hAnsi="Arial Narrow"/>
          <w:sz w:val="18"/>
          <w:szCs w:val="18"/>
        </w:rPr>
        <w:t xml:space="preserve"> </w:t>
      </w:r>
      <w:r w:rsidRPr="003A3555">
        <w:rPr>
          <w:rFonts w:ascii="Arial Narrow" w:hAnsi="Arial Narrow"/>
          <w:sz w:val="18"/>
          <w:szCs w:val="18"/>
        </w:rPr>
        <w:t>crossover.</w:t>
      </w:r>
    </w:p>
    <w:p w:rsidR="005E7102" w:rsidRPr="003A3555" w:rsidRDefault="005E7102" w:rsidP="00476EE6">
      <w:pPr>
        <w:widowControl/>
        <w:jc w:val="left"/>
        <w:rPr>
          <w:rFonts w:ascii="Arial Narrow" w:hAnsi="Arial Narrow"/>
          <w:sz w:val="18"/>
          <w:szCs w:val="18"/>
        </w:rPr>
      </w:pPr>
      <w:r w:rsidRPr="00600AD1">
        <w:rPr>
          <w:rFonts w:ascii="Arial Narrow" w:hAnsi="Arial Narrow"/>
          <w:sz w:val="18"/>
          <w:szCs w:val="18"/>
        </w:rPr>
        <w:t xml:space="preserve">a. RR calculated </w:t>
      </w:r>
      <w:proofErr w:type="gramStart"/>
      <w:r w:rsidRPr="00600AD1">
        <w:rPr>
          <w:rFonts w:ascii="Arial Narrow" w:hAnsi="Arial Narrow"/>
          <w:sz w:val="18"/>
          <w:szCs w:val="18"/>
        </w:rPr>
        <w:t>during the evaluation for events in the PBO group up to the point of crossover to PBO</w:t>
      </w:r>
      <w:proofErr w:type="gramEnd"/>
      <w:r w:rsidRPr="00600AD1">
        <w:rPr>
          <w:rFonts w:ascii="Arial Narrow" w:hAnsi="Arial Narrow"/>
          <w:sz w:val="18"/>
          <w:szCs w:val="18"/>
        </w:rPr>
        <w:t xml:space="preserve">. </w:t>
      </w:r>
      <w:r w:rsidR="00847F0C">
        <w:rPr>
          <w:rFonts w:ascii="Arial Narrow" w:hAnsi="Arial Narrow"/>
          <w:sz w:val="18"/>
          <w:szCs w:val="18"/>
        </w:rPr>
        <w:br/>
      </w:r>
      <w:r w:rsidRPr="00600AD1">
        <w:rPr>
          <w:rFonts w:ascii="Arial Narrow" w:hAnsi="Arial Narrow"/>
          <w:sz w:val="18"/>
          <w:szCs w:val="18"/>
        </w:rPr>
        <w:t>b</w:t>
      </w:r>
      <w:r w:rsidR="00847F0C">
        <w:rPr>
          <w:rFonts w:ascii="Arial Narrow" w:hAnsi="Arial Narrow"/>
          <w:sz w:val="18"/>
          <w:szCs w:val="18"/>
        </w:rPr>
        <w:t>.</w:t>
      </w:r>
      <w:r w:rsidRPr="00600AD1">
        <w:rPr>
          <w:rFonts w:ascii="Arial Narrow" w:hAnsi="Arial Narrow"/>
          <w:sz w:val="18"/>
          <w:szCs w:val="18"/>
        </w:rPr>
        <w:t xml:space="preserve"> Subjects with more than one type of SPM </w:t>
      </w:r>
      <w:proofErr w:type="gramStart"/>
      <w:r w:rsidRPr="00600AD1">
        <w:rPr>
          <w:rFonts w:ascii="Arial Narrow" w:hAnsi="Arial Narrow"/>
          <w:sz w:val="18"/>
          <w:szCs w:val="18"/>
        </w:rPr>
        <w:t>are counted</w:t>
      </w:r>
      <w:proofErr w:type="gramEnd"/>
      <w:r w:rsidRPr="00600AD1">
        <w:rPr>
          <w:rFonts w:ascii="Arial Narrow" w:hAnsi="Arial Narrow"/>
          <w:sz w:val="18"/>
          <w:szCs w:val="18"/>
        </w:rPr>
        <w:t xml:space="preserve"> once in the total. </w:t>
      </w:r>
      <w:r w:rsidR="00847F0C">
        <w:rPr>
          <w:rFonts w:ascii="Arial Narrow" w:hAnsi="Arial Narrow"/>
          <w:sz w:val="18"/>
          <w:szCs w:val="18"/>
        </w:rPr>
        <w:br/>
      </w:r>
      <w:r w:rsidRPr="00600AD1">
        <w:rPr>
          <w:rFonts w:ascii="Arial Narrow" w:hAnsi="Arial Narrow"/>
          <w:sz w:val="18"/>
          <w:szCs w:val="18"/>
        </w:rPr>
        <w:t>c</w:t>
      </w:r>
      <w:r w:rsidR="00847F0C">
        <w:rPr>
          <w:rFonts w:ascii="Arial Narrow" w:hAnsi="Arial Narrow"/>
          <w:sz w:val="18"/>
          <w:szCs w:val="18"/>
        </w:rPr>
        <w:t>.</w:t>
      </w:r>
      <w:r w:rsidRPr="00600AD1">
        <w:rPr>
          <w:rFonts w:ascii="Arial Narrow" w:hAnsi="Arial Narrow"/>
          <w:sz w:val="18"/>
          <w:szCs w:val="18"/>
        </w:rPr>
        <w:t xml:space="preserve"> One subject had two solid tumours and </w:t>
      </w:r>
      <w:proofErr w:type="gramStart"/>
      <w:r w:rsidRPr="00600AD1">
        <w:rPr>
          <w:rFonts w:ascii="Arial Narrow" w:hAnsi="Arial Narrow"/>
          <w:sz w:val="18"/>
          <w:szCs w:val="18"/>
        </w:rPr>
        <w:t>is counted</w:t>
      </w:r>
      <w:proofErr w:type="gramEnd"/>
      <w:r w:rsidRPr="003A3555">
        <w:rPr>
          <w:rFonts w:ascii="Arial Narrow" w:hAnsi="Arial Narrow"/>
          <w:sz w:val="18"/>
          <w:szCs w:val="18"/>
        </w:rPr>
        <w:t xml:space="preserve"> once in the table. </w:t>
      </w:r>
      <w:r w:rsidR="00847F0C">
        <w:rPr>
          <w:rFonts w:ascii="Arial Narrow" w:hAnsi="Arial Narrow"/>
          <w:sz w:val="18"/>
          <w:szCs w:val="18"/>
        </w:rPr>
        <w:br/>
      </w:r>
      <w:r w:rsidRPr="003A3555">
        <w:rPr>
          <w:rFonts w:ascii="Arial Narrow" w:hAnsi="Arial Narrow"/>
          <w:sz w:val="18"/>
          <w:szCs w:val="18"/>
        </w:rPr>
        <w:t>d</w:t>
      </w:r>
      <w:r w:rsidR="00847F0C">
        <w:rPr>
          <w:rFonts w:ascii="Arial Narrow" w:hAnsi="Arial Narrow"/>
          <w:sz w:val="18"/>
          <w:szCs w:val="18"/>
        </w:rPr>
        <w:t>.</w:t>
      </w:r>
      <w:r w:rsidRPr="003A3555">
        <w:rPr>
          <w:rFonts w:ascii="Arial Narrow" w:hAnsi="Arial Narrow"/>
          <w:sz w:val="18"/>
          <w:szCs w:val="18"/>
        </w:rPr>
        <w:t xml:space="preserve"> 49 subjects randomised to </w:t>
      </w:r>
      <w:proofErr w:type="spellStart"/>
      <w:r w:rsidRPr="003A3555">
        <w:rPr>
          <w:rFonts w:ascii="Arial Narrow" w:hAnsi="Arial Narrow"/>
          <w:sz w:val="18"/>
          <w:szCs w:val="18"/>
        </w:rPr>
        <w:t>lenalidomide</w:t>
      </w:r>
      <w:proofErr w:type="spellEnd"/>
      <w:r w:rsidRPr="003A3555">
        <w:rPr>
          <w:rFonts w:ascii="Arial Narrow" w:hAnsi="Arial Narrow"/>
          <w:sz w:val="18"/>
          <w:szCs w:val="18"/>
        </w:rPr>
        <w:t xml:space="preserve"> experienced 68 SPMs and 27 subjects randomised to placebo experienced 37 SPMs.</w:t>
      </w:r>
      <w:r w:rsidRPr="003A3555">
        <w:t xml:space="preserve"> </w:t>
      </w:r>
      <w:r w:rsidR="00847F0C">
        <w:br/>
      </w:r>
      <w:r w:rsidRPr="003A3555">
        <w:rPr>
          <w:rFonts w:ascii="Arial Narrow" w:hAnsi="Arial Narrow"/>
          <w:sz w:val="18"/>
          <w:szCs w:val="18"/>
        </w:rPr>
        <w:t>Statistically significant differences bolded.</w:t>
      </w:r>
    </w:p>
    <w:p w:rsidR="005E7102" w:rsidRPr="003A3555" w:rsidRDefault="005E7102" w:rsidP="00476EE6">
      <w:pPr>
        <w:widowControl/>
        <w:rPr>
          <w:rFonts w:ascii="Arial Narrow" w:hAnsi="Arial Narrow"/>
          <w:sz w:val="18"/>
          <w:szCs w:val="18"/>
        </w:rPr>
      </w:pPr>
      <w:r w:rsidRPr="003A3555">
        <w:rPr>
          <w:rFonts w:ascii="Arial Narrow" w:hAnsi="Arial Narrow"/>
          <w:sz w:val="18"/>
          <w:szCs w:val="18"/>
        </w:rPr>
        <w:t>Source: Table 2.5.15, p.106 of the March-2018 submission.</w:t>
      </w:r>
    </w:p>
    <w:p w:rsidR="005E7102" w:rsidRPr="003A3555" w:rsidRDefault="00F8641D" w:rsidP="005B4F08">
      <w:pPr>
        <w:pStyle w:val="ListParagraph"/>
        <w:widowControl/>
        <w:numPr>
          <w:ilvl w:val="1"/>
          <w:numId w:val="2"/>
        </w:numPr>
        <w:spacing w:before="120"/>
        <w:rPr>
          <w:rFonts w:cs="Calibri"/>
          <w:snapToGrid/>
          <w:szCs w:val="24"/>
          <w:lang w:eastAsia="en-AU"/>
        </w:rPr>
      </w:pPr>
      <w:r w:rsidRPr="003A3555">
        <w:t>R</w:t>
      </w:r>
      <w:r w:rsidR="005E7102" w:rsidRPr="003A3555">
        <w:t>elative to BSC, the relevant safety outcome</w:t>
      </w:r>
      <w:r w:rsidRPr="003A3555">
        <w:t>s</w:t>
      </w:r>
      <w:r w:rsidR="005E7102" w:rsidRPr="003A3555">
        <w:t xml:space="preserve"> for patients taking thalidomide </w:t>
      </w:r>
      <w:r w:rsidRPr="003A3555">
        <w:t xml:space="preserve">were </w:t>
      </w:r>
      <w:r w:rsidR="005E7102" w:rsidRPr="003A3555">
        <w:t xml:space="preserve">peripheral neuropathy </w:t>
      </w:r>
      <w:r w:rsidR="005E7102" w:rsidRPr="00600AD1">
        <w:t>and constipation</w:t>
      </w:r>
      <w:r w:rsidR="005E7102" w:rsidRPr="003A3555">
        <w:t xml:space="preserve">. </w:t>
      </w:r>
      <w:r w:rsidRPr="003A3555">
        <w:rPr>
          <w:color w:val="000000" w:themeColor="text1"/>
        </w:rPr>
        <w:t>The overall incidence of event</w:t>
      </w:r>
      <w:r w:rsidR="00097671">
        <w:rPr>
          <w:color w:val="000000" w:themeColor="text1"/>
        </w:rPr>
        <w:t xml:space="preserve">s in MM6 </w:t>
      </w:r>
      <w:proofErr w:type="gramStart"/>
      <w:r w:rsidR="00097671">
        <w:rPr>
          <w:color w:val="000000" w:themeColor="text1"/>
        </w:rPr>
        <w:t>is reported</w:t>
      </w:r>
      <w:proofErr w:type="gramEnd"/>
      <w:r w:rsidR="00097671">
        <w:rPr>
          <w:color w:val="000000" w:themeColor="text1"/>
        </w:rPr>
        <w:t xml:space="preserve"> in Table 20</w:t>
      </w:r>
      <w:r w:rsidRPr="003A3555">
        <w:rPr>
          <w:color w:val="000000" w:themeColor="text1"/>
        </w:rPr>
        <w:t xml:space="preserve">. </w:t>
      </w:r>
    </w:p>
    <w:p w:rsidR="005E7102" w:rsidRPr="003A3555" w:rsidRDefault="005E7102" w:rsidP="00476EE6">
      <w:pPr>
        <w:pStyle w:val="BodyText"/>
        <w:widowControl/>
        <w:rPr>
          <w:rStyle w:val="CommentReference"/>
        </w:rPr>
      </w:pPr>
      <w:r w:rsidRPr="003A3555">
        <w:rPr>
          <w:rStyle w:val="CommentReference"/>
        </w:rPr>
        <w:t xml:space="preserve">Table </w:t>
      </w:r>
      <w:r w:rsidR="00097671">
        <w:rPr>
          <w:rStyle w:val="CommentReference"/>
        </w:rPr>
        <w:t>20</w:t>
      </w:r>
      <w:r w:rsidRPr="003A3555">
        <w:rPr>
          <w:rStyle w:val="CommentReference"/>
        </w:rPr>
        <w:t xml:space="preserve">: Overall </w:t>
      </w:r>
      <w:r w:rsidR="00631B13">
        <w:rPr>
          <w:rStyle w:val="CommentReference"/>
        </w:rPr>
        <w:t>i</w:t>
      </w:r>
      <w:r w:rsidRPr="003A3555">
        <w:rPr>
          <w:rStyle w:val="CommentReference"/>
        </w:rPr>
        <w:t xml:space="preserve">ncidence of </w:t>
      </w:r>
      <w:r w:rsidR="00631B13">
        <w:rPr>
          <w:rStyle w:val="CommentReference"/>
        </w:rPr>
        <w:t>a</w:t>
      </w:r>
      <w:r w:rsidRPr="003A3555">
        <w:rPr>
          <w:rStyle w:val="CommentReference"/>
        </w:rPr>
        <w:t xml:space="preserve">dverse </w:t>
      </w:r>
      <w:r w:rsidR="00631B13">
        <w:rPr>
          <w:rStyle w:val="CommentReference"/>
        </w:rPr>
        <w:t>e</w:t>
      </w:r>
      <w:r w:rsidRPr="003A3555">
        <w:rPr>
          <w:rStyle w:val="CommentReference"/>
        </w:rPr>
        <w:t>vents ≥</w:t>
      </w:r>
      <w:r w:rsidR="00847F0C">
        <w:rPr>
          <w:rStyle w:val="CommentReference"/>
        </w:rPr>
        <w:t xml:space="preserve"> </w:t>
      </w:r>
      <w:r w:rsidRPr="003A3555">
        <w:rPr>
          <w:rStyle w:val="CommentReference"/>
        </w:rPr>
        <w:t>5% in any treatment group in MM6</w:t>
      </w:r>
      <w:r w:rsidR="00C668FB">
        <w:rPr>
          <w:rStyle w:val="CommentReference"/>
        </w:rPr>
        <w:t xml:space="preserve"> – thalidomide versus BSC</w:t>
      </w:r>
      <w:r w:rsidRPr="003A3555">
        <w:rPr>
          <w:rStyle w:val="CommentReference"/>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0: Overall incidence of adverse events ≥ 5% in any treatment group in MM6 – thalidomide versus BSC "/>
      </w:tblPr>
      <w:tblGrid>
        <w:gridCol w:w="1696"/>
        <w:gridCol w:w="1134"/>
        <w:gridCol w:w="1134"/>
        <w:gridCol w:w="1560"/>
        <w:gridCol w:w="1077"/>
        <w:gridCol w:w="1049"/>
        <w:gridCol w:w="1435"/>
      </w:tblGrid>
      <w:tr w:rsidR="00847F0C" w:rsidRPr="003A3555" w:rsidTr="00847F0C">
        <w:trPr>
          <w:tblHeader/>
        </w:trPr>
        <w:tc>
          <w:tcPr>
            <w:tcW w:w="1696" w:type="dxa"/>
            <w:vMerge w:val="restart"/>
            <w:shd w:val="clear" w:color="auto" w:fill="auto"/>
            <w:tcMar>
              <w:left w:w="28" w:type="dxa"/>
              <w:right w:w="28" w:type="dxa"/>
            </w:tcMar>
            <w:vAlign w:val="center"/>
          </w:tcPr>
          <w:p w:rsidR="00847F0C" w:rsidRPr="003A3555" w:rsidRDefault="00847F0C" w:rsidP="00476EE6">
            <w:pPr>
              <w:pStyle w:val="Table"/>
              <w:spacing w:line="240" w:lineRule="auto"/>
              <w:rPr>
                <w:rFonts w:ascii="Arial Narrow" w:eastAsia="SimSun" w:hAnsi="Arial Narrow"/>
                <w:b/>
                <w:color w:val="000000" w:themeColor="text1"/>
                <w:sz w:val="20"/>
                <w:szCs w:val="20"/>
                <w:bdr w:val="none" w:sz="0" w:space="0" w:color="auto" w:frame="1"/>
                <w:lang w:eastAsia="en-AU"/>
              </w:rPr>
            </w:pPr>
          </w:p>
        </w:tc>
        <w:tc>
          <w:tcPr>
            <w:tcW w:w="3828" w:type="dxa"/>
            <w:gridSpan w:val="3"/>
            <w:shd w:val="clear" w:color="auto" w:fill="auto"/>
            <w:tcMar>
              <w:left w:w="28" w:type="dxa"/>
              <w:right w:w="28" w:type="dxa"/>
            </w:tcMar>
            <w:vAlign w:val="center"/>
          </w:tcPr>
          <w:p w:rsidR="00847F0C" w:rsidRPr="003A3555" w:rsidRDefault="00847F0C" w:rsidP="00476EE6">
            <w:pPr>
              <w:pStyle w:val="Table"/>
              <w:spacing w:line="240" w:lineRule="auto"/>
              <w:jc w:val="center"/>
              <w:rPr>
                <w:rFonts w:ascii="Arial Narrow" w:eastAsia="SimSun" w:hAnsi="Arial Narrow"/>
                <w:b/>
                <w:color w:val="000000" w:themeColor="text1"/>
                <w:sz w:val="20"/>
                <w:szCs w:val="20"/>
                <w:bdr w:val="none" w:sz="0" w:space="0" w:color="auto" w:frame="1"/>
                <w:lang w:eastAsia="en-AU"/>
              </w:rPr>
            </w:pPr>
            <w:r>
              <w:rPr>
                <w:rFonts w:ascii="Arial Narrow" w:eastAsia="SimSun" w:hAnsi="Arial Narrow"/>
                <w:b/>
                <w:color w:val="000000" w:themeColor="text1"/>
                <w:sz w:val="20"/>
                <w:szCs w:val="20"/>
                <w:bdr w:val="none" w:sz="0" w:space="0" w:color="auto" w:frame="1"/>
                <w:lang w:eastAsia="en-AU"/>
              </w:rPr>
              <w:t>Total events</w:t>
            </w:r>
          </w:p>
        </w:tc>
        <w:tc>
          <w:tcPr>
            <w:tcW w:w="3561" w:type="dxa"/>
            <w:gridSpan w:val="3"/>
            <w:shd w:val="clear" w:color="auto" w:fill="auto"/>
            <w:tcMar>
              <w:left w:w="28" w:type="dxa"/>
              <w:right w:w="28" w:type="dxa"/>
            </w:tcMar>
            <w:vAlign w:val="center"/>
          </w:tcPr>
          <w:p w:rsidR="00847F0C" w:rsidRPr="003A3555" w:rsidRDefault="00847F0C" w:rsidP="00476EE6">
            <w:pPr>
              <w:pStyle w:val="Table"/>
              <w:spacing w:line="240" w:lineRule="auto"/>
              <w:jc w:val="center"/>
              <w:rPr>
                <w:rFonts w:ascii="Arial Narrow" w:eastAsia="SimSun" w:hAnsi="Arial Narrow"/>
                <w:b/>
                <w:color w:val="000000" w:themeColor="text1"/>
                <w:sz w:val="20"/>
                <w:szCs w:val="20"/>
                <w:bdr w:val="none" w:sz="0" w:space="0" w:color="auto" w:frame="1"/>
                <w:lang w:eastAsia="en-AU"/>
              </w:rPr>
            </w:pPr>
            <w:r>
              <w:rPr>
                <w:rFonts w:ascii="Arial Narrow" w:eastAsia="SimSun" w:hAnsi="Arial Narrow"/>
                <w:b/>
                <w:color w:val="000000" w:themeColor="text1"/>
                <w:sz w:val="20"/>
                <w:szCs w:val="20"/>
                <w:bdr w:val="none" w:sz="0" w:space="0" w:color="auto" w:frame="1"/>
                <w:lang w:eastAsia="en-AU"/>
              </w:rPr>
              <w:t>Grade 3 or 4</w:t>
            </w:r>
          </w:p>
        </w:tc>
      </w:tr>
      <w:tr w:rsidR="00847F0C" w:rsidRPr="003A3555" w:rsidTr="00847F0C">
        <w:trPr>
          <w:tblHeader/>
        </w:trPr>
        <w:tc>
          <w:tcPr>
            <w:tcW w:w="1696" w:type="dxa"/>
            <w:vMerge/>
            <w:shd w:val="clear" w:color="auto" w:fill="auto"/>
            <w:tcMar>
              <w:left w:w="28" w:type="dxa"/>
              <w:right w:w="28" w:type="dxa"/>
            </w:tcMar>
            <w:vAlign w:val="center"/>
          </w:tcPr>
          <w:p w:rsidR="00847F0C" w:rsidRPr="003A3555" w:rsidRDefault="00847F0C" w:rsidP="00476EE6">
            <w:pPr>
              <w:pStyle w:val="Table"/>
              <w:spacing w:line="240" w:lineRule="auto"/>
              <w:rPr>
                <w:rFonts w:ascii="Arial Narrow" w:eastAsia="SimSun" w:hAnsi="Arial Narrow"/>
                <w:b/>
                <w:color w:val="000000" w:themeColor="text1"/>
                <w:sz w:val="20"/>
                <w:szCs w:val="20"/>
                <w:bdr w:val="none" w:sz="0" w:space="0" w:color="auto" w:frame="1"/>
                <w:lang w:eastAsia="en-AU"/>
              </w:rPr>
            </w:pPr>
          </w:p>
        </w:tc>
        <w:tc>
          <w:tcPr>
            <w:tcW w:w="1134" w:type="dxa"/>
            <w:shd w:val="clear" w:color="auto" w:fill="auto"/>
            <w:tcMar>
              <w:left w:w="28" w:type="dxa"/>
              <w:right w:w="28" w:type="dxa"/>
            </w:tcMar>
            <w:vAlign w:val="center"/>
          </w:tcPr>
          <w:p w:rsidR="00847F0C" w:rsidRPr="003A3555" w:rsidRDefault="00847F0C" w:rsidP="00636FE4">
            <w:pPr>
              <w:pStyle w:val="Table"/>
              <w:spacing w:line="240" w:lineRule="auto"/>
              <w:jc w:val="center"/>
              <w:rPr>
                <w:rFonts w:ascii="Arial Narrow" w:eastAsia="SimSun" w:hAnsi="Arial Narrow"/>
                <w:b/>
                <w:color w:val="000000" w:themeColor="text1"/>
                <w:sz w:val="20"/>
                <w:szCs w:val="20"/>
                <w:bdr w:val="none" w:sz="0" w:space="0" w:color="auto" w:frame="1"/>
                <w:lang w:eastAsia="en-AU"/>
              </w:rPr>
            </w:pPr>
            <w:r>
              <w:rPr>
                <w:rFonts w:ascii="Arial Narrow" w:eastAsia="SimSun" w:hAnsi="Arial Narrow"/>
                <w:b/>
                <w:color w:val="000000" w:themeColor="text1"/>
                <w:sz w:val="20"/>
                <w:szCs w:val="20"/>
                <w:bdr w:val="none" w:sz="0" w:space="0" w:color="auto" w:frame="1"/>
                <w:lang w:eastAsia="en-AU"/>
              </w:rPr>
              <w:t>THAL</w:t>
            </w:r>
            <w:r>
              <w:rPr>
                <w:rFonts w:ascii="Arial Narrow" w:eastAsia="SimSun" w:hAnsi="Arial Narrow"/>
                <w:b/>
                <w:color w:val="000000" w:themeColor="text1"/>
                <w:sz w:val="20"/>
                <w:szCs w:val="20"/>
                <w:bdr w:val="none" w:sz="0" w:space="0" w:color="auto" w:frame="1"/>
                <w:lang w:eastAsia="en-AU"/>
              </w:rPr>
              <w:br/>
              <w:t>n (%)</w:t>
            </w:r>
          </w:p>
        </w:tc>
        <w:tc>
          <w:tcPr>
            <w:tcW w:w="1134" w:type="dxa"/>
            <w:shd w:val="clear" w:color="auto" w:fill="auto"/>
            <w:tcMar>
              <w:left w:w="28" w:type="dxa"/>
              <w:right w:w="28" w:type="dxa"/>
            </w:tcMar>
            <w:vAlign w:val="center"/>
          </w:tcPr>
          <w:p w:rsidR="00847F0C" w:rsidRPr="003A3555" w:rsidRDefault="00847F0C" w:rsidP="00636FE4">
            <w:pPr>
              <w:pStyle w:val="Table"/>
              <w:spacing w:line="240" w:lineRule="auto"/>
              <w:jc w:val="center"/>
              <w:rPr>
                <w:rFonts w:ascii="Arial Narrow" w:eastAsia="SimSun" w:hAnsi="Arial Narrow"/>
                <w:b/>
                <w:color w:val="000000" w:themeColor="text1"/>
                <w:sz w:val="20"/>
                <w:szCs w:val="20"/>
                <w:bdr w:val="none" w:sz="0" w:space="0" w:color="auto" w:frame="1"/>
                <w:lang w:eastAsia="en-AU"/>
              </w:rPr>
            </w:pPr>
            <w:r w:rsidRPr="003A3555">
              <w:rPr>
                <w:rFonts w:ascii="Arial Narrow" w:eastAsia="SimSun" w:hAnsi="Arial Narrow"/>
                <w:b/>
                <w:color w:val="000000" w:themeColor="text1"/>
                <w:sz w:val="20"/>
                <w:szCs w:val="20"/>
                <w:bdr w:val="none" w:sz="0" w:space="0" w:color="auto" w:frame="1"/>
                <w:lang w:eastAsia="en-AU"/>
              </w:rPr>
              <w:t>Control</w:t>
            </w:r>
            <w:r>
              <w:rPr>
                <w:rFonts w:ascii="Arial Narrow" w:eastAsia="SimSun" w:hAnsi="Arial Narrow"/>
                <w:b/>
                <w:color w:val="000000" w:themeColor="text1"/>
                <w:sz w:val="20"/>
                <w:szCs w:val="20"/>
                <w:bdr w:val="none" w:sz="0" w:space="0" w:color="auto" w:frame="1"/>
                <w:lang w:eastAsia="en-AU"/>
              </w:rPr>
              <w:br/>
              <w:t>n (%)</w:t>
            </w:r>
          </w:p>
        </w:tc>
        <w:tc>
          <w:tcPr>
            <w:tcW w:w="1560" w:type="dxa"/>
            <w:shd w:val="clear" w:color="auto" w:fill="auto"/>
            <w:tcMar>
              <w:left w:w="28" w:type="dxa"/>
              <w:right w:w="28" w:type="dxa"/>
            </w:tcMar>
          </w:tcPr>
          <w:p w:rsidR="00847F0C" w:rsidRPr="00600AD1" w:rsidRDefault="00847F0C" w:rsidP="00476EE6">
            <w:pPr>
              <w:pStyle w:val="Table"/>
              <w:spacing w:line="240" w:lineRule="auto"/>
              <w:jc w:val="center"/>
              <w:rPr>
                <w:rFonts w:ascii="Arial Narrow" w:eastAsia="SimSun" w:hAnsi="Arial Narrow"/>
                <w:b/>
                <w:color w:val="000000" w:themeColor="text1"/>
                <w:sz w:val="20"/>
                <w:szCs w:val="20"/>
                <w:bdr w:val="none" w:sz="0" w:space="0" w:color="auto" w:frame="1"/>
                <w:lang w:eastAsia="en-AU"/>
              </w:rPr>
            </w:pPr>
            <w:r w:rsidRPr="00600AD1">
              <w:rPr>
                <w:rFonts w:ascii="Arial Narrow" w:eastAsia="SimSun" w:hAnsi="Arial Narrow"/>
                <w:b/>
                <w:color w:val="000000" w:themeColor="text1"/>
                <w:sz w:val="20"/>
                <w:szCs w:val="20"/>
                <w:bdr w:val="none" w:sz="0" w:space="0" w:color="auto" w:frame="1"/>
                <w:lang w:eastAsia="en-AU"/>
              </w:rPr>
              <w:t xml:space="preserve">RR^ </w:t>
            </w:r>
          </w:p>
          <w:p w:rsidR="00847F0C" w:rsidRPr="00600AD1" w:rsidRDefault="00847F0C" w:rsidP="00476EE6">
            <w:pPr>
              <w:pStyle w:val="Table"/>
              <w:spacing w:line="240" w:lineRule="auto"/>
              <w:jc w:val="center"/>
              <w:rPr>
                <w:rFonts w:ascii="Arial Narrow" w:eastAsia="SimSun" w:hAnsi="Arial Narrow"/>
                <w:b/>
                <w:color w:val="000000" w:themeColor="text1"/>
                <w:sz w:val="20"/>
                <w:szCs w:val="20"/>
                <w:bdr w:val="none" w:sz="0" w:space="0" w:color="auto" w:frame="1"/>
                <w:lang w:eastAsia="en-AU"/>
              </w:rPr>
            </w:pPr>
            <w:r w:rsidRPr="00600AD1">
              <w:rPr>
                <w:rFonts w:ascii="Arial Narrow" w:eastAsia="SimSun" w:hAnsi="Arial Narrow"/>
                <w:b/>
                <w:color w:val="000000" w:themeColor="text1"/>
                <w:sz w:val="20"/>
                <w:szCs w:val="20"/>
                <w:bdr w:val="none" w:sz="0" w:space="0" w:color="auto" w:frame="1"/>
                <w:lang w:eastAsia="en-AU"/>
              </w:rPr>
              <w:t>(95% CI)</w:t>
            </w:r>
          </w:p>
        </w:tc>
        <w:tc>
          <w:tcPr>
            <w:tcW w:w="1077" w:type="dxa"/>
            <w:shd w:val="clear" w:color="auto" w:fill="auto"/>
            <w:tcMar>
              <w:left w:w="28" w:type="dxa"/>
              <w:right w:w="28" w:type="dxa"/>
            </w:tcMar>
            <w:vAlign w:val="center"/>
          </w:tcPr>
          <w:p w:rsidR="00847F0C" w:rsidRPr="00600AD1" w:rsidRDefault="00847F0C" w:rsidP="00636FE4">
            <w:pPr>
              <w:pStyle w:val="Table"/>
              <w:spacing w:line="240" w:lineRule="auto"/>
              <w:jc w:val="center"/>
              <w:rPr>
                <w:rFonts w:ascii="Arial Narrow" w:eastAsia="SimSun" w:hAnsi="Arial Narrow"/>
                <w:b/>
                <w:color w:val="000000" w:themeColor="text1"/>
                <w:sz w:val="20"/>
                <w:szCs w:val="20"/>
                <w:bdr w:val="none" w:sz="0" w:space="0" w:color="auto" w:frame="1"/>
                <w:lang w:eastAsia="en-AU"/>
              </w:rPr>
            </w:pPr>
            <w:r w:rsidRPr="00600AD1">
              <w:rPr>
                <w:rFonts w:ascii="Arial Narrow" w:eastAsia="SimSun" w:hAnsi="Arial Narrow"/>
                <w:b/>
                <w:color w:val="000000" w:themeColor="text1"/>
                <w:sz w:val="20"/>
                <w:szCs w:val="20"/>
                <w:bdr w:val="none" w:sz="0" w:space="0" w:color="auto" w:frame="1"/>
                <w:lang w:eastAsia="en-AU"/>
              </w:rPr>
              <w:t>THAL</w:t>
            </w:r>
            <w:r>
              <w:rPr>
                <w:rFonts w:ascii="Arial Narrow" w:eastAsia="SimSun" w:hAnsi="Arial Narrow"/>
                <w:b/>
                <w:color w:val="000000" w:themeColor="text1"/>
                <w:sz w:val="20"/>
                <w:szCs w:val="20"/>
                <w:bdr w:val="none" w:sz="0" w:space="0" w:color="auto" w:frame="1"/>
                <w:lang w:eastAsia="en-AU"/>
              </w:rPr>
              <w:br/>
              <w:t>n (%)</w:t>
            </w:r>
          </w:p>
        </w:tc>
        <w:tc>
          <w:tcPr>
            <w:tcW w:w="1049" w:type="dxa"/>
            <w:shd w:val="clear" w:color="auto" w:fill="auto"/>
            <w:tcMar>
              <w:left w:w="28" w:type="dxa"/>
              <w:right w:w="28" w:type="dxa"/>
            </w:tcMar>
            <w:vAlign w:val="center"/>
          </w:tcPr>
          <w:p w:rsidR="00847F0C" w:rsidRPr="00600AD1" w:rsidRDefault="00847F0C" w:rsidP="00636FE4">
            <w:pPr>
              <w:pStyle w:val="Table"/>
              <w:spacing w:line="240" w:lineRule="auto"/>
              <w:jc w:val="center"/>
              <w:rPr>
                <w:rFonts w:ascii="Arial Narrow" w:eastAsia="SimSun" w:hAnsi="Arial Narrow"/>
                <w:b/>
                <w:color w:val="000000" w:themeColor="text1"/>
                <w:sz w:val="20"/>
                <w:szCs w:val="20"/>
                <w:bdr w:val="none" w:sz="0" w:space="0" w:color="auto" w:frame="1"/>
                <w:lang w:eastAsia="en-AU"/>
              </w:rPr>
            </w:pPr>
            <w:r w:rsidRPr="00600AD1">
              <w:rPr>
                <w:rFonts w:ascii="Arial Narrow" w:eastAsia="SimSun" w:hAnsi="Arial Narrow"/>
                <w:b/>
                <w:color w:val="000000" w:themeColor="text1"/>
                <w:sz w:val="20"/>
                <w:szCs w:val="20"/>
                <w:bdr w:val="none" w:sz="0" w:space="0" w:color="auto" w:frame="1"/>
                <w:lang w:eastAsia="en-AU"/>
              </w:rPr>
              <w:t>Control</w:t>
            </w:r>
            <w:r>
              <w:rPr>
                <w:rFonts w:ascii="Arial Narrow" w:eastAsia="SimSun" w:hAnsi="Arial Narrow"/>
                <w:b/>
                <w:color w:val="000000" w:themeColor="text1"/>
                <w:sz w:val="20"/>
                <w:szCs w:val="20"/>
                <w:bdr w:val="none" w:sz="0" w:space="0" w:color="auto" w:frame="1"/>
                <w:lang w:eastAsia="en-AU"/>
              </w:rPr>
              <w:t xml:space="preserve"> </w:t>
            </w:r>
            <w:r>
              <w:rPr>
                <w:rFonts w:ascii="Arial Narrow" w:eastAsia="SimSun" w:hAnsi="Arial Narrow"/>
                <w:b/>
                <w:color w:val="000000" w:themeColor="text1"/>
                <w:sz w:val="20"/>
                <w:szCs w:val="20"/>
                <w:bdr w:val="none" w:sz="0" w:space="0" w:color="auto" w:frame="1"/>
                <w:lang w:eastAsia="en-AU"/>
              </w:rPr>
              <w:br/>
              <w:t>n (%)</w:t>
            </w:r>
          </w:p>
        </w:tc>
        <w:tc>
          <w:tcPr>
            <w:tcW w:w="1435" w:type="dxa"/>
            <w:shd w:val="clear" w:color="auto" w:fill="auto"/>
            <w:tcMar>
              <w:left w:w="28" w:type="dxa"/>
              <w:right w:w="28" w:type="dxa"/>
            </w:tcMar>
          </w:tcPr>
          <w:p w:rsidR="00847F0C" w:rsidRPr="00600AD1" w:rsidRDefault="00847F0C" w:rsidP="00476EE6">
            <w:pPr>
              <w:pStyle w:val="Table"/>
              <w:spacing w:line="240" w:lineRule="auto"/>
              <w:jc w:val="center"/>
              <w:rPr>
                <w:rFonts w:ascii="Arial Narrow" w:eastAsia="SimSun" w:hAnsi="Arial Narrow"/>
                <w:b/>
                <w:color w:val="000000" w:themeColor="text1"/>
                <w:sz w:val="20"/>
                <w:szCs w:val="20"/>
                <w:bdr w:val="none" w:sz="0" w:space="0" w:color="auto" w:frame="1"/>
                <w:lang w:eastAsia="en-AU"/>
              </w:rPr>
            </w:pPr>
            <w:r w:rsidRPr="00600AD1">
              <w:rPr>
                <w:rFonts w:ascii="Arial Narrow" w:eastAsia="SimSun" w:hAnsi="Arial Narrow"/>
                <w:b/>
                <w:color w:val="000000" w:themeColor="text1"/>
                <w:sz w:val="20"/>
                <w:szCs w:val="20"/>
                <w:bdr w:val="none" w:sz="0" w:space="0" w:color="auto" w:frame="1"/>
                <w:lang w:eastAsia="en-AU"/>
              </w:rPr>
              <w:t xml:space="preserve">RR^ </w:t>
            </w:r>
          </w:p>
          <w:p w:rsidR="00847F0C" w:rsidRPr="00600AD1" w:rsidRDefault="00847F0C" w:rsidP="00476EE6">
            <w:pPr>
              <w:pStyle w:val="Table"/>
              <w:spacing w:line="240" w:lineRule="auto"/>
              <w:jc w:val="center"/>
              <w:rPr>
                <w:rFonts w:ascii="Arial Narrow" w:eastAsia="SimSun" w:hAnsi="Arial Narrow"/>
                <w:b/>
                <w:color w:val="000000" w:themeColor="text1"/>
                <w:sz w:val="20"/>
                <w:szCs w:val="20"/>
                <w:bdr w:val="none" w:sz="0" w:space="0" w:color="auto" w:frame="1"/>
                <w:lang w:eastAsia="en-AU"/>
              </w:rPr>
            </w:pPr>
            <w:r w:rsidRPr="00600AD1">
              <w:rPr>
                <w:rFonts w:ascii="Arial Narrow" w:eastAsia="SimSun" w:hAnsi="Arial Narrow"/>
                <w:b/>
                <w:color w:val="000000" w:themeColor="text1"/>
                <w:sz w:val="20"/>
                <w:szCs w:val="20"/>
                <w:bdr w:val="none" w:sz="0" w:space="0" w:color="auto" w:frame="1"/>
                <w:lang w:eastAsia="en-AU"/>
              </w:rPr>
              <w:t>(95% CI)</w:t>
            </w:r>
          </w:p>
        </w:tc>
      </w:tr>
      <w:tr w:rsidR="00847F0C" w:rsidRPr="00847F0C" w:rsidTr="00847F0C">
        <w:tc>
          <w:tcPr>
            <w:tcW w:w="1696" w:type="dxa"/>
            <w:shd w:val="clear" w:color="auto" w:fill="auto"/>
            <w:tcMar>
              <w:left w:w="28" w:type="dxa"/>
              <w:right w:w="28" w:type="dxa"/>
            </w:tcMar>
            <w:vAlign w:val="center"/>
          </w:tcPr>
          <w:p w:rsidR="00847F0C" w:rsidRPr="00847F0C" w:rsidRDefault="00847F0C" w:rsidP="00476EE6">
            <w:pPr>
              <w:pStyle w:val="Table"/>
              <w:spacing w:line="240" w:lineRule="auto"/>
              <w:rPr>
                <w:rFonts w:ascii="Arial Narrow" w:eastAsia="SimSun" w:hAnsi="Arial Narrow"/>
                <w:b/>
                <w:color w:val="000000" w:themeColor="text1"/>
                <w:sz w:val="20"/>
                <w:szCs w:val="20"/>
                <w:bdr w:val="none" w:sz="0" w:space="0" w:color="auto" w:frame="1"/>
                <w:lang w:eastAsia="en-AU"/>
              </w:rPr>
            </w:pPr>
            <w:r w:rsidRPr="00847F0C">
              <w:rPr>
                <w:rFonts w:ascii="Arial Narrow" w:eastAsia="SimSun" w:hAnsi="Arial Narrow"/>
                <w:b/>
                <w:color w:val="000000" w:themeColor="text1"/>
                <w:sz w:val="20"/>
                <w:szCs w:val="20"/>
                <w:bdr w:val="none" w:sz="0" w:space="0" w:color="auto" w:frame="1"/>
                <w:lang w:eastAsia="en-AU"/>
              </w:rPr>
              <w:t>N</w:t>
            </w:r>
          </w:p>
        </w:tc>
        <w:tc>
          <w:tcPr>
            <w:tcW w:w="1134" w:type="dxa"/>
            <w:shd w:val="clear" w:color="auto" w:fill="auto"/>
            <w:tcMar>
              <w:left w:w="28" w:type="dxa"/>
              <w:right w:w="28" w:type="dxa"/>
            </w:tcMar>
            <w:vAlign w:val="center"/>
          </w:tcPr>
          <w:p w:rsidR="00847F0C" w:rsidRPr="00847F0C" w:rsidRDefault="00847F0C" w:rsidP="00476EE6">
            <w:pPr>
              <w:pStyle w:val="Table"/>
              <w:spacing w:line="240" w:lineRule="auto"/>
              <w:jc w:val="center"/>
              <w:rPr>
                <w:rFonts w:ascii="Arial Narrow" w:eastAsia="SimSun" w:hAnsi="Arial Narrow"/>
                <w:b/>
                <w:color w:val="000000" w:themeColor="text1"/>
                <w:sz w:val="20"/>
                <w:szCs w:val="20"/>
                <w:bdr w:val="none" w:sz="0" w:space="0" w:color="auto" w:frame="1"/>
                <w:lang w:eastAsia="en-AU"/>
              </w:rPr>
            </w:pPr>
            <w:r w:rsidRPr="00847F0C">
              <w:rPr>
                <w:rFonts w:ascii="Arial Narrow" w:eastAsia="SimSun" w:hAnsi="Arial Narrow"/>
                <w:b/>
                <w:color w:val="000000" w:themeColor="text1"/>
                <w:sz w:val="20"/>
                <w:szCs w:val="20"/>
                <w:bdr w:val="none" w:sz="0" w:space="0" w:color="auto" w:frame="1"/>
                <w:lang w:eastAsia="en-AU"/>
              </w:rPr>
              <w:t>114</w:t>
            </w:r>
          </w:p>
        </w:tc>
        <w:tc>
          <w:tcPr>
            <w:tcW w:w="1134" w:type="dxa"/>
            <w:shd w:val="clear" w:color="auto" w:fill="auto"/>
            <w:tcMar>
              <w:left w:w="28" w:type="dxa"/>
              <w:right w:w="28" w:type="dxa"/>
            </w:tcMar>
            <w:vAlign w:val="center"/>
          </w:tcPr>
          <w:p w:rsidR="00847F0C" w:rsidRPr="00847F0C" w:rsidRDefault="00847F0C" w:rsidP="00476EE6">
            <w:pPr>
              <w:pStyle w:val="Table"/>
              <w:spacing w:line="240" w:lineRule="auto"/>
              <w:jc w:val="center"/>
              <w:rPr>
                <w:rFonts w:ascii="Arial Narrow" w:eastAsia="SimSun" w:hAnsi="Arial Narrow"/>
                <w:b/>
                <w:color w:val="000000" w:themeColor="text1"/>
                <w:sz w:val="20"/>
                <w:szCs w:val="20"/>
                <w:bdr w:val="none" w:sz="0" w:space="0" w:color="auto" w:frame="1"/>
                <w:lang w:eastAsia="en-AU"/>
              </w:rPr>
            </w:pPr>
            <w:r w:rsidRPr="00847F0C">
              <w:rPr>
                <w:rFonts w:ascii="Arial Narrow" w:eastAsia="SimSun" w:hAnsi="Arial Narrow"/>
                <w:b/>
                <w:color w:val="000000" w:themeColor="text1"/>
                <w:sz w:val="20"/>
                <w:szCs w:val="20"/>
                <w:bdr w:val="none" w:sz="0" w:space="0" w:color="auto" w:frame="1"/>
                <w:lang w:eastAsia="en-AU"/>
              </w:rPr>
              <w:t>129</w:t>
            </w:r>
          </w:p>
        </w:tc>
        <w:tc>
          <w:tcPr>
            <w:tcW w:w="1560" w:type="dxa"/>
            <w:shd w:val="clear" w:color="auto" w:fill="auto"/>
            <w:tcMar>
              <w:left w:w="28" w:type="dxa"/>
              <w:right w:w="28" w:type="dxa"/>
            </w:tcMar>
          </w:tcPr>
          <w:p w:rsidR="00847F0C" w:rsidRPr="00847F0C" w:rsidRDefault="00847F0C" w:rsidP="00476EE6">
            <w:pPr>
              <w:pStyle w:val="Table"/>
              <w:spacing w:line="240" w:lineRule="auto"/>
              <w:jc w:val="center"/>
              <w:rPr>
                <w:rFonts w:ascii="Arial Narrow" w:eastAsia="SimSun" w:hAnsi="Arial Narrow"/>
                <w:b/>
                <w:color w:val="000000" w:themeColor="text1"/>
                <w:sz w:val="20"/>
                <w:szCs w:val="20"/>
                <w:bdr w:val="none" w:sz="0" w:space="0" w:color="auto" w:frame="1"/>
                <w:lang w:eastAsia="en-AU"/>
              </w:rPr>
            </w:pPr>
          </w:p>
        </w:tc>
        <w:tc>
          <w:tcPr>
            <w:tcW w:w="1077" w:type="dxa"/>
            <w:shd w:val="clear" w:color="auto" w:fill="auto"/>
            <w:tcMar>
              <w:left w:w="28" w:type="dxa"/>
              <w:right w:w="28" w:type="dxa"/>
            </w:tcMar>
            <w:vAlign w:val="center"/>
          </w:tcPr>
          <w:p w:rsidR="00847F0C" w:rsidRPr="00847F0C" w:rsidRDefault="00847F0C" w:rsidP="00476EE6">
            <w:pPr>
              <w:pStyle w:val="Table"/>
              <w:spacing w:line="240" w:lineRule="auto"/>
              <w:jc w:val="center"/>
              <w:rPr>
                <w:rFonts w:ascii="Arial Narrow" w:eastAsia="SimSun" w:hAnsi="Arial Narrow"/>
                <w:b/>
                <w:color w:val="000000" w:themeColor="text1"/>
                <w:sz w:val="20"/>
                <w:szCs w:val="20"/>
                <w:bdr w:val="none" w:sz="0" w:space="0" w:color="auto" w:frame="1"/>
                <w:lang w:eastAsia="en-AU"/>
              </w:rPr>
            </w:pPr>
            <w:r w:rsidRPr="00847F0C">
              <w:rPr>
                <w:rFonts w:ascii="Arial Narrow" w:eastAsia="SimSun" w:hAnsi="Arial Narrow"/>
                <w:b/>
                <w:color w:val="000000" w:themeColor="text1"/>
                <w:sz w:val="20"/>
                <w:szCs w:val="20"/>
                <w:bdr w:val="none" w:sz="0" w:space="0" w:color="auto" w:frame="1"/>
                <w:lang w:eastAsia="en-AU"/>
              </w:rPr>
              <w:t>114</w:t>
            </w:r>
          </w:p>
        </w:tc>
        <w:tc>
          <w:tcPr>
            <w:tcW w:w="1049" w:type="dxa"/>
            <w:shd w:val="clear" w:color="auto" w:fill="auto"/>
            <w:tcMar>
              <w:left w:w="28" w:type="dxa"/>
              <w:right w:w="28" w:type="dxa"/>
            </w:tcMar>
            <w:vAlign w:val="center"/>
          </w:tcPr>
          <w:p w:rsidR="00847F0C" w:rsidRPr="00847F0C" w:rsidRDefault="00847F0C" w:rsidP="00476EE6">
            <w:pPr>
              <w:pStyle w:val="Table"/>
              <w:spacing w:line="240" w:lineRule="auto"/>
              <w:jc w:val="center"/>
              <w:rPr>
                <w:rFonts w:ascii="Arial Narrow" w:eastAsia="SimSun" w:hAnsi="Arial Narrow"/>
                <w:b/>
                <w:color w:val="000000" w:themeColor="text1"/>
                <w:sz w:val="20"/>
                <w:szCs w:val="20"/>
                <w:bdr w:val="none" w:sz="0" w:space="0" w:color="auto" w:frame="1"/>
                <w:lang w:eastAsia="en-AU"/>
              </w:rPr>
            </w:pPr>
            <w:r w:rsidRPr="00847F0C">
              <w:rPr>
                <w:rFonts w:ascii="Arial Narrow" w:eastAsia="SimSun" w:hAnsi="Arial Narrow"/>
                <w:b/>
                <w:color w:val="000000" w:themeColor="text1"/>
                <w:sz w:val="20"/>
                <w:szCs w:val="20"/>
                <w:bdr w:val="none" w:sz="0" w:space="0" w:color="auto" w:frame="1"/>
                <w:lang w:eastAsia="en-AU"/>
              </w:rPr>
              <w:t>129</w:t>
            </w:r>
          </w:p>
        </w:tc>
        <w:tc>
          <w:tcPr>
            <w:tcW w:w="1435" w:type="dxa"/>
            <w:shd w:val="clear" w:color="auto" w:fill="auto"/>
            <w:tcMar>
              <w:left w:w="28" w:type="dxa"/>
              <w:right w:w="28" w:type="dxa"/>
            </w:tcMar>
          </w:tcPr>
          <w:p w:rsidR="00847F0C" w:rsidRPr="00847F0C" w:rsidRDefault="00847F0C" w:rsidP="00476EE6">
            <w:pPr>
              <w:pStyle w:val="Table"/>
              <w:spacing w:line="240" w:lineRule="auto"/>
              <w:jc w:val="center"/>
              <w:rPr>
                <w:rFonts w:ascii="Arial Narrow" w:eastAsia="SimSun" w:hAnsi="Arial Narrow"/>
                <w:b/>
                <w:color w:val="000000" w:themeColor="text1"/>
                <w:sz w:val="20"/>
                <w:szCs w:val="20"/>
                <w:bdr w:val="none" w:sz="0" w:space="0" w:color="auto" w:frame="1"/>
                <w:lang w:eastAsia="en-AU"/>
              </w:rPr>
            </w:pPr>
          </w:p>
        </w:tc>
      </w:tr>
      <w:tr w:rsidR="005E7102" w:rsidRPr="003A3555" w:rsidTr="00847F0C">
        <w:tc>
          <w:tcPr>
            <w:tcW w:w="1696" w:type="dxa"/>
            <w:shd w:val="clear" w:color="auto" w:fill="auto"/>
            <w:tcMar>
              <w:left w:w="28" w:type="dxa"/>
              <w:right w:w="28" w:type="dxa"/>
            </w:tcMar>
            <w:vAlign w:val="center"/>
          </w:tcPr>
          <w:p w:rsidR="005E7102" w:rsidRPr="003A3555" w:rsidRDefault="005E7102" w:rsidP="00476EE6">
            <w:pPr>
              <w:pStyle w:val="Table"/>
              <w:spacing w:line="240" w:lineRule="auto"/>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Neuropathy</w:t>
            </w:r>
          </w:p>
        </w:tc>
        <w:tc>
          <w:tcPr>
            <w:tcW w:w="1134" w:type="dxa"/>
            <w:shd w:val="clear" w:color="auto" w:fill="auto"/>
            <w:tcMar>
              <w:left w:w="28" w:type="dxa"/>
              <w:right w:w="28" w:type="dxa"/>
            </w:tcMar>
            <w:vAlign w:val="center"/>
          </w:tcPr>
          <w:p w:rsidR="005E7102" w:rsidRPr="003A3555"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59 (52</w:t>
            </w:r>
            <w:r w:rsidR="00847F0C">
              <w:rPr>
                <w:rFonts w:ascii="Arial Narrow" w:eastAsia="SimSun" w:hAnsi="Arial Narrow"/>
                <w:color w:val="000000" w:themeColor="text1"/>
                <w:sz w:val="20"/>
                <w:szCs w:val="20"/>
                <w:bdr w:val="none" w:sz="0" w:space="0" w:color="auto" w:frame="1"/>
                <w:lang w:eastAsia="en-AU"/>
              </w:rPr>
              <w:t>%</w:t>
            </w:r>
            <w:r w:rsidRPr="003A3555">
              <w:rPr>
                <w:rFonts w:ascii="Arial Narrow" w:eastAsia="SimSun" w:hAnsi="Arial Narrow"/>
                <w:color w:val="000000" w:themeColor="text1"/>
                <w:sz w:val="20"/>
                <w:szCs w:val="20"/>
                <w:bdr w:val="none" w:sz="0" w:space="0" w:color="auto" w:frame="1"/>
                <w:lang w:eastAsia="en-AU"/>
              </w:rPr>
              <w:t>)*</w:t>
            </w:r>
          </w:p>
        </w:tc>
        <w:tc>
          <w:tcPr>
            <w:tcW w:w="1134" w:type="dxa"/>
            <w:shd w:val="clear" w:color="auto" w:fill="auto"/>
            <w:tcMar>
              <w:left w:w="28" w:type="dxa"/>
              <w:right w:w="28" w:type="dxa"/>
            </w:tcMar>
            <w:vAlign w:val="center"/>
          </w:tcPr>
          <w:p w:rsidR="005E7102" w:rsidRPr="003A3555"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1 (&lt; 1</w:t>
            </w:r>
            <w:r w:rsidR="00847F0C">
              <w:rPr>
                <w:rFonts w:ascii="Arial Narrow" w:eastAsia="SimSun" w:hAnsi="Arial Narrow"/>
                <w:color w:val="000000" w:themeColor="text1"/>
                <w:sz w:val="20"/>
                <w:szCs w:val="20"/>
                <w:bdr w:val="none" w:sz="0" w:space="0" w:color="auto" w:frame="1"/>
                <w:lang w:eastAsia="en-AU"/>
              </w:rPr>
              <w:t>%</w:t>
            </w:r>
            <w:r w:rsidRPr="003A3555">
              <w:rPr>
                <w:rFonts w:ascii="Arial Narrow" w:eastAsia="SimSun" w:hAnsi="Arial Narrow"/>
                <w:color w:val="000000" w:themeColor="text1"/>
                <w:sz w:val="20"/>
                <w:szCs w:val="20"/>
                <w:bdr w:val="none" w:sz="0" w:space="0" w:color="auto" w:frame="1"/>
                <w:lang w:eastAsia="en-AU"/>
              </w:rPr>
              <w:t>)</w:t>
            </w:r>
          </w:p>
        </w:tc>
        <w:tc>
          <w:tcPr>
            <w:tcW w:w="1560" w:type="dxa"/>
            <w:shd w:val="clear" w:color="auto" w:fill="auto"/>
            <w:tcMar>
              <w:left w:w="28" w:type="dxa"/>
              <w:right w:w="28" w:type="dxa"/>
            </w:tcMa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66.7</w:t>
            </w:r>
            <w:r w:rsidR="00722D77" w:rsidRPr="00600AD1">
              <w:rPr>
                <w:rFonts w:ascii="Arial Narrow" w:eastAsia="SimSun" w:hAnsi="Arial Narrow"/>
                <w:color w:val="000000" w:themeColor="text1"/>
                <w:sz w:val="20"/>
                <w:szCs w:val="20"/>
                <w:bdr w:val="none" w:sz="0" w:space="0" w:color="auto" w:frame="1"/>
                <w:lang w:eastAsia="en-AU"/>
              </w:rPr>
              <w:t xml:space="preserve"> (9.4, 474.2)</w:t>
            </w:r>
          </w:p>
        </w:tc>
        <w:tc>
          <w:tcPr>
            <w:tcW w:w="1077"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11 (10</w:t>
            </w:r>
            <w:r w:rsidR="00847F0C">
              <w:rPr>
                <w:rFonts w:ascii="Arial Narrow" w:eastAsia="SimSun" w:hAnsi="Arial Narrow"/>
                <w:color w:val="000000" w:themeColor="text1"/>
                <w:sz w:val="20"/>
                <w:szCs w:val="20"/>
                <w:bdr w:val="none" w:sz="0" w:space="0" w:color="auto" w:frame="1"/>
                <w:lang w:eastAsia="en-AU"/>
              </w:rPr>
              <w:t>%</w:t>
            </w:r>
            <w:r w:rsidRPr="00600AD1">
              <w:rPr>
                <w:rFonts w:ascii="Arial Narrow" w:eastAsia="SimSun" w:hAnsi="Arial Narrow"/>
                <w:color w:val="000000" w:themeColor="text1"/>
                <w:sz w:val="20"/>
                <w:szCs w:val="20"/>
                <w:bdr w:val="none" w:sz="0" w:space="0" w:color="auto" w:frame="1"/>
                <w:lang w:eastAsia="en-AU"/>
              </w:rPr>
              <w:t>)*</w:t>
            </w:r>
          </w:p>
        </w:tc>
        <w:tc>
          <w:tcPr>
            <w:tcW w:w="1049"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0</w:t>
            </w:r>
          </w:p>
        </w:tc>
        <w:tc>
          <w:tcPr>
            <w:tcW w:w="1435" w:type="dxa"/>
            <w:shd w:val="clear" w:color="auto" w:fill="auto"/>
            <w:tcMar>
              <w:left w:w="28" w:type="dxa"/>
              <w:right w:w="28" w:type="dxa"/>
            </w:tcMa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w:t>
            </w:r>
          </w:p>
        </w:tc>
      </w:tr>
      <w:tr w:rsidR="005E7102" w:rsidRPr="003A3555" w:rsidTr="00847F0C">
        <w:tc>
          <w:tcPr>
            <w:tcW w:w="1696" w:type="dxa"/>
            <w:shd w:val="clear" w:color="auto" w:fill="auto"/>
            <w:tcMar>
              <w:left w:w="28" w:type="dxa"/>
              <w:right w:w="28" w:type="dxa"/>
            </w:tcMar>
            <w:vAlign w:val="center"/>
          </w:tcPr>
          <w:p w:rsidR="005E7102" w:rsidRPr="003A3555" w:rsidRDefault="005E7102" w:rsidP="00476EE6">
            <w:pPr>
              <w:pStyle w:val="Table"/>
              <w:spacing w:line="240" w:lineRule="auto"/>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Infection</w:t>
            </w:r>
          </w:p>
        </w:tc>
        <w:tc>
          <w:tcPr>
            <w:tcW w:w="1134" w:type="dxa"/>
            <w:shd w:val="clear" w:color="auto" w:fill="auto"/>
            <w:tcMar>
              <w:left w:w="28" w:type="dxa"/>
              <w:right w:w="28" w:type="dxa"/>
            </w:tcMar>
            <w:vAlign w:val="center"/>
          </w:tcPr>
          <w:p w:rsidR="005E7102" w:rsidRPr="003A3555"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26 (23</w:t>
            </w:r>
            <w:r w:rsidR="00847F0C">
              <w:rPr>
                <w:rFonts w:ascii="Arial Narrow" w:eastAsia="SimSun" w:hAnsi="Arial Narrow"/>
                <w:color w:val="000000" w:themeColor="text1"/>
                <w:sz w:val="20"/>
                <w:szCs w:val="20"/>
                <w:bdr w:val="none" w:sz="0" w:space="0" w:color="auto" w:frame="1"/>
                <w:lang w:eastAsia="en-AU"/>
              </w:rPr>
              <w:t>%</w:t>
            </w:r>
            <w:r w:rsidRPr="003A3555">
              <w:rPr>
                <w:rFonts w:ascii="Arial Narrow" w:eastAsia="SimSun" w:hAnsi="Arial Narrow"/>
                <w:color w:val="000000" w:themeColor="text1"/>
                <w:sz w:val="20"/>
                <w:szCs w:val="20"/>
                <w:bdr w:val="none" w:sz="0" w:space="0" w:color="auto" w:frame="1"/>
                <w:lang w:eastAsia="en-AU"/>
              </w:rPr>
              <w:t>)</w:t>
            </w:r>
          </w:p>
        </w:tc>
        <w:tc>
          <w:tcPr>
            <w:tcW w:w="1134" w:type="dxa"/>
            <w:shd w:val="clear" w:color="auto" w:fill="auto"/>
            <w:tcMar>
              <w:left w:w="28" w:type="dxa"/>
              <w:right w:w="28" w:type="dxa"/>
            </w:tcMar>
            <w:vAlign w:val="center"/>
          </w:tcPr>
          <w:p w:rsidR="005E7102" w:rsidRPr="003A3555"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20 (16</w:t>
            </w:r>
            <w:r w:rsidR="00847F0C">
              <w:rPr>
                <w:rFonts w:ascii="Arial Narrow" w:eastAsia="SimSun" w:hAnsi="Arial Narrow"/>
                <w:color w:val="000000" w:themeColor="text1"/>
                <w:sz w:val="20"/>
                <w:szCs w:val="20"/>
                <w:bdr w:val="none" w:sz="0" w:space="0" w:color="auto" w:frame="1"/>
                <w:lang w:eastAsia="en-AU"/>
              </w:rPr>
              <w:t>%</w:t>
            </w:r>
            <w:r w:rsidRPr="003A3555">
              <w:rPr>
                <w:rFonts w:ascii="Arial Narrow" w:eastAsia="SimSun" w:hAnsi="Arial Narrow"/>
                <w:color w:val="000000" w:themeColor="text1"/>
                <w:sz w:val="20"/>
                <w:szCs w:val="20"/>
                <w:bdr w:val="none" w:sz="0" w:space="0" w:color="auto" w:frame="1"/>
                <w:lang w:eastAsia="en-AU"/>
              </w:rPr>
              <w:t>)</w:t>
            </w:r>
          </w:p>
        </w:tc>
        <w:tc>
          <w:tcPr>
            <w:tcW w:w="1560" w:type="dxa"/>
            <w:shd w:val="clear" w:color="auto" w:fill="auto"/>
            <w:tcMar>
              <w:left w:w="28" w:type="dxa"/>
              <w:right w:w="28" w:type="dxa"/>
            </w:tcMa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1.5</w:t>
            </w:r>
            <w:r w:rsidR="00722D77" w:rsidRPr="00600AD1">
              <w:rPr>
                <w:rFonts w:ascii="Arial Narrow" w:eastAsia="SimSun" w:hAnsi="Arial Narrow"/>
                <w:color w:val="000000" w:themeColor="text1"/>
                <w:sz w:val="20"/>
                <w:szCs w:val="20"/>
                <w:bdr w:val="none" w:sz="0" w:space="0" w:color="auto" w:frame="1"/>
                <w:lang w:eastAsia="en-AU"/>
              </w:rPr>
              <w:t xml:space="preserve"> (0.9, 2.5)</w:t>
            </w:r>
          </w:p>
        </w:tc>
        <w:tc>
          <w:tcPr>
            <w:tcW w:w="1077"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12 (11</w:t>
            </w:r>
            <w:r w:rsidR="00847F0C">
              <w:rPr>
                <w:rFonts w:ascii="Arial Narrow" w:eastAsia="SimSun" w:hAnsi="Arial Narrow"/>
                <w:color w:val="000000" w:themeColor="text1"/>
                <w:sz w:val="20"/>
                <w:szCs w:val="20"/>
                <w:bdr w:val="none" w:sz="0" w:space="0" w:color="auto" w:frame="1"/>
                <w:lang w:eastAsia="en-AU"/>
              </w:rPr>
              <w:t>%</w:t>
            </w:r>
            <w:r w:rsidRPr="00600AD1">
              <w:rPr>
                <w:rFonts w:ascii="Arial Narrow" w:eastAsia="SimSun" w:hAnsi="Arial Narrow"/>
                <w:color w:val="000000" w:themeColor="text1"/>
                <w:sz w:val="20"/>
                <w:szCs w:val="20"/>
                <w:bdr w:val="none" w:sz="0" w:space="0" w:color="auto" w:frame="1"/>
                <w:lang w:eastAsia="en-AU"/>
              </w:rPr>
              <w:t>)</w:t>
            </w:r>
          </w:p>
        </w:tc>
        <w:tc>
          <w:tcPr>
            <w:tcW w:w="1049"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12 (8</w:t>
            </w:r>
            <w:r w:rsidR="00847F0C">
              <w:rPr>
                <w:rFonts w:ascii="Arial Narrow" w:eastAsia="SimSun" w:hAnsi="Arial Narrow"/>
                <w:color w:val="000000" w:themeColor="text1"/>
                <w:sz w:val="20"/>
                <w:szCs w:val="20"/>
                <w:bdr w:val="none" w:sz="0" w:space="0" w:color="auto" w:frame="1"/>
                <w:lang w:eastAsia="en-AU"/>
              </w:rPr>
              <w:t>%</w:t>
            </w:r>
            <w:r w:rsidRPr="00600AD1">
              <w:rPr>
                <w:rFonts w:ascii="Arial Narrow" w:eastAsia="SimSun" w:hAnsi="Arial Narrow"/>
                <w:color w:val="000000" w:themeColor="text1"/>
                <w:sz w:val="20"/>
                <w:szCs w:val="20"/>
                <w:bdr w:val="none" w:sz="0" w:space="0" w:color="auto" w:frame="1"/>
                <w:lang w:eastAsia="en-AU"/>
              </w:rPr>
              <w:t>)</w:t>
            </w:r>
          </w:p>
        </w:tc>
        <w:tc>
          <w:tcPr>
            <w:tcW w:w="1435" w:type="dxa"/>
            <w:shd w:val="clear" w:color="auto" w:fill="auto"/>
            <w:tcMar>
              <w:left w:w="28" w:type="dxa"/>
              <w:right w:w="28" w:type="dxa"/>
            </w:tcMa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1.1</w:t>
            </w:r>
            <w:r w:rsidR="00832269" w:rsidRPr="00600AD1">
              <w:rPr>
                <w:rFonts w:ascii="Arial Narrow" w:eastAsia="SimSun" w:hAnsi="Arial Narrow"/>
                <w:color w:val="000000" w:themeColor="text1"/>
                <w:sz w:val="20"/>
                <w:szCs w:val="20"/>
                <w:bdr w:val="none" w:sz="0" w:space="0" w:color="auto" w:frame="1"/>
                <w:lang w:eastAsia="en-AU"/>
              </w:rPr>
              <w:t xml:space="preserve"> (0.5, 2.4)</w:t>
            </w:r>
          </w:p>
        </w:tc>
      </w:tr>
      <w:tr w:rsidR="005E7102" w:rsidRPr="003A3555" w:rsidTr="00847F0C">
        <w:tc>
          <w:tcPr>
            <w:tcW w:w="1696" w:type="dxa"/>
            <w:shd w:val="clear" w:color="auto" w:fill="auto"/>
            <w:tcMar>
              <w:left w:w="28" w:type="dxa"/>
              <w:right w:w="28" w:type="dxa"/>
            </w:tcMar>
            <w:vAlign w:val="center"/>
          </w:tcPr>
          <w:p w:rsidR="005E7102" w:rsidRPr="003A3555" w:rsidRDefault="005E7102" w:rsidP="00476EE6">
            <w:pPr>
              <w:pStyle w:val="Table"/>
              <w:spacing w:line="240" w:lineRule="auto"/>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Weight gain</w:t>
            </w:r>
          </w:p>
        </w:tc>
        <w:tc>
          <w:tcPr>
            <w:tcW w:w="1134" w:type="dxa"/>
            <w:shd w:val="clear" w:color="auto" w:fill="auto"/>
            <w:tcMar>
              <w:left w:w="28" w:type="dxa"/>
              <w:right w:w="28" w:type="dxa"/>
            </w:tcMar>
            <w:vAlign w:val="center"/>
          </w:tcPr>
          <w:p w:rsidR="005E7102" w:rsidRPr="003A3555"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18 (16</w:t>
            </w:r>
            <w:r w:rsidR="00847F0C">
              <w:rPr>
                <w:rFonts w:ascii="Arial Narrow" w:eastAsia="SimSun" w:hAnsi="Arial Narrow"/>
                <w:color w:val="000000" w:themeColor="text1"/>
                <w:sz w:val="20"/>
                <w:szCs w:val="20"/>
                <w:bdr w:val="none" w:sz="0" w:space="0" w:color="auto" w:frame="1"/>
                <w:lang w:eastAsia="en-AU"/>
              </w:rPr>
              <w:t>%</w:t>
            </w:r>
            <w:r w:rsidRPr="003A3555">
              <w:rPr>
                <w:rFonts w:ascii="Arial Narrow" w:eastAsia="SimSun" w:hAnsi="Arial Narrow"/>
                <w:color w:val="000000" w:themeColor="text1"/>
                <w:sz w:val="20"/>
                <w:szCs w:val="20"/>
                <w:bdr w:val="none" w:sz="0" w:space="0" w:color="auto" w:frame="1"/>
                <w:lang w:eastAsia="en-AU"/>
              </w:rPr>
              <w:t>)</w:t>
            </w:r>
          </w:p>
        </w:tc>
        <w:tc>
          <w:tcPr>
            <w:tcW w:w="1134" w:type="dxa"/>
            <w:shd w:val="clear" w:color="auto" w:fill="auto"/>
            <w:tcMar>
              <w:left w:w="28" w:type="dxa"/>
              <w:right w:w="28" w:type="dxa"/>
            </w:tcMar>
            <w:vAlign w:val="center"/>
          </w:tcPr>
          <w:p w:rsidR="005E7102" w:rsidRPr="003A3555"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14 (11</w:t>
            </w:r>
            <w:r w:rsidR="00847F0C">
              <w:rPr>
                <w:rFonts w:ascii="Arial Narrow" w:eastAsia="SimSun" w:hAnsi="Arial Narrow"/>
                <w:color w:val="000000" w:themeColor="text1"/>
                <w:sz w:val="20"/>
                <w:szCs w:val="20"/>
                <w:bdr w:val="none" w:sz="0" w:space="0" w:color="auto" w:frame="1"/>
                <w:lang w:eastAsia="en-AU"/>
              </w:rPr>
              <w:t>%</w:t>
            </w:r>
            <w:r w:rsidRPr="003A3555">
              <w:rPr>
                <w:rFonts w:ascii="Arial Narrow" w:eastAsia="SimSun" w:hAnsi="Arial Narrow"/>
                <w:color w:val="000000" w:themeColor="text1"/>
                <w:sz w:val="20"/>
                <w:szCs w:val="20"/>
                <w:bdr w:val="none" w:sz="0" w:space="0" w:color="auto" w:frame="1"/>
                <w:lang w:eastAsia="en-AU"/>
              </w:rPr>
              <w:t>)</w:t>
            </w:r>
          </w:p>
        </w:tc>
        <w:tc>
          <w:tcPr>
            <w:tcW w:w="1560" w:type="dxa"/>
            <w:shd w:val="clear" w:color="auto" w:fill="auto"/>
            <w:tcMar>
              <w:left w:w="28" w:type="dxa"/>
              <w:right w:w="28" w:type="dxa"/>
            </w:tcMa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1.5</w:t>
            </w:r>
            <w:r w:rsidR="00722D77" w:rsidRPr="00600AD1">
              <w:rPr>
                <w:rFonts w:ascii="Arial Narrow" w:eastAsia="SimSun" w:hAnsi="Arial Narrow"/>
                <w:color w:val="000000" w:themeColor="text1"/>
                <w:sz w:val="20"/>
                <w:szCs w:val="20"/>
                <w:bdr w:val="none" w:sz="0" w:space="0" w:color="auto" w:frame="1"/>
                <w:lang w:eastAsia="en-AU"/>
              </w:rPr>
              <w:t xml:space="preserve"> (0.8, 2.8)</w:t>
            </w:r>
          </w:p>
        </w:tc>
        <w:tc>
          <w:tcPr>
            <w:tcW w:w="1077"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2 (2</w:t>
            </w:r>
            <w:r w:rsidR="00847F0C">
              <w:rPr>
                <w:rFonts w:ascii="Arial Narrow" w:eastAsia="SimSun" w:hAnsi="Arial Narrow"/>
                <w:color w:val="000000" w:themeColor="text1"/>
                <w:sz w:val="20"/>
                <w:szCs w:val="20"/>
                <w:bdr w:val="none" w:sz="0" w:space="0" w:color="auto" w:frame="1"/>
                <w:lang w:eastAsia="en-AU"/>
              </w:rPr>
              <w:t>%</w:t>
            </w:r>
            <w:r w:rsidRPr="00600AD1">
              <w:rPr>
                <w:rFonts w:ascii="Arial Narrow" w:eastAsia="SimSun" w:hAnsi="Arial Narrow"/>
                <w:color w:val="000000" w:themeColor="text1"/>
                <w:sz w:val="20"/>
                <w:szCs w:val="20"/>
                <w:bdr w:val="none" w:sz="0" w:space="0" w:color="auto" w:frame="1"/>
                <w:lang w:eastAsia="en-AU"/>
              </w:rPr>
              <w:t>)</w:t>
            </w:r>
          </w:p>
        </w:tc>
        <w:tc>
          <w:tcPr>
            <w:tcW w:w="1049"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1 (&lt; 1</w:t>
            </w:r>
            <w:r w:rsidR="00847F0C">
              <w:rPr>
                <w:rFonts w:ascii="Arial Narrow" w:eastAsia="SimSun" w:hAnsi="Arial Narrow"/>
                <w:color w:val="000000" w:themeColor="text1"/>
                <w:sz w:val="20"/>
                <w:szCs w:val="20"/>
                <w:bdr w:val="none" w:sz="0" w:space="0" w:color="auto" w:frame="1"/>
                <w:lang w:eastAsia="en-AU"/>
              </w:rPr>
              <w:t>%</w:t>
            </w:r>
            <w:r w:rsidRPr="00600AD1">
              <w:rPr>
                <w:rFonts w:ascii="Arial Narrow" w:eastAsia="SimSun" w:hAnsi="Arial Narrow"/>
                <w:color w:val="000000" w:themeColor="text1"/>
                <w:sz w:val="20"/>
                <w:szCs w:val="20"/>
                <w:bdr w:val="none" w:sz="0" w:space="0" w:color="auto" w:frame="1"/>
                <w:lang w:eastAsia="en-AU"/>
              </w:rPr>
              <w:t>)</w:t>
            </w:r>
          </w:p>
        </w:tc>
        <w:tc>
          <w:tcPr>
            <w:tcW w:w="1435" w:type="dxa"/>
            <w:shd w:val="clear" w:color="auto" w:fill="auto"/>
            <w:tcMar>
              <w:left w:w="28" w:type="dxa"/>
              <w:right w:w="28" w:type="dxa"/>
            </w:tcMa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2.3</w:t>
            </w:r>
            <w:r w:rsidR="00832269" w:rsidRPr="00600AD1">
              <w:rPr>
                <w:rFonts w:ascii="Arial Narrow" w:eastAsia="SimSun" w:hAnsi="Arial Narrow"/>
                <w:color w:val="000000" w:themeColor="text1"/>
                <w:sz w:val="20"/>
                <w:szCs w:val="20"/>
                <w:bdr w:val="none" w:sz="0" w:space="0" w:color="auto" w:frame="1"/>
                <w:lang w:eastAsia="en-AU"/>
              </w:rPr>
              <w:t xml:space="preserve"> (0.2, 24.6)</w:t>
            </w:r>
          </w:p>
        </w:tc>
      </w:tr>
      <w:tr w:rsidR="005E7102" w:rsidRPr="003A3555" w:rsidTr="00847F0C">
        <w:tc>
          <w:tcPr>
            <w:tcW w:w="1696" w:type="dxa"/>
            <w:shd w:val="clear" w:color="auto" w:fill="auto"/>
            <w:tcMar>
              <w:left w:w="28" w:type="dxa"/>
              <w:right w:w="28" w:type="dxa"/>
            </w:tcMar>
            <w:vAlign w:val="center"/>
          </w:tcPr>
          <w:p w:rsidR="005E7102" w:rsidRPr="003A3555" w:rsidRDefault="005E7102" w:rsidP="00476EE6">
            <w:pPr>
              <w:pStyle w:val="Table"/>
              <w:spacing w:line="240" w:lineRule="auto"/>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Mood alteration</w:t>
            </w:r>
          </w:p>
        </w:tc>
        <w:tc>
          <w:tcPr>
            <w:tcW w:w="1134" w:type="dxa"/>
            <w:shd w:val="clear" w:color="auto" w:fill="auto"/>
            <w:tcMar>
              <w:left w:w="28" w:type="dxa"/>
              <w:right w:w="28" w:type="dxa"/>
            </w:tcMar>
            <w:vAlign w:val="center"/>
          </w:tcPr>
          <w:p w:rsidR="005E7102" w:rsidRPr="003A3555"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17 (15</w:t>
            </w:r>
            <w:r w:rsidR="00847F0C">
              <w:rPr>
                <w:rFonts w:ascii="Arial Narrow" w:eastAsia="SimSun" w:hAnsi="Arial Narrow"/>
                <w:color w:val="000000" w:themeColor="text1"/>
                <w:sz w:val="20"/>
                <w:szCs w:val="20"/>
                <w:bdr w:val="none" w:sz="0" w:space="0" w:color="auto" w:frame="1"/>
                <w:lang w:eastAsia="en-AU"/>
              </w:rPr>
              <w:t>%</w:t>
            </w:r>
            <w:r w:rsidRPr="003A3555">
              <w:rPr>
                <w:rFonts w:ascii="Arial Narrow" w:eastAsia="SimSun" w:hAnsi="Arial Narrow"/>
                <w:color w:val="000000" w:themeColor="text1"/>
                <w:sz w:val="20"/>
                <w:szCs w:val="20"/>
                <w:bdr w:val="none" w:sz="0" w:space="0" w:color="auto" w:frame="1"/>
                <w:lang w:eastAsia="en-AU"/>
              </w:rPr>
              <w:t>)</w:t>
            </w:r>
          </w:p>
        </w:tc>
        <w:tc>
          <w:tcPr>
            <w:tcW w:w="1134" w:type="dxa"/>
            <w:shd w:val="clear" w:color="auto" w:fill="auto"/>
            <w:tcMar>
              <w:left w:w="28" w:type="dxa"/>
              <w:right w:w="28" w:type="dxa"/>
            </w:tcMar>
            <w:vAlign w:val="center"/>
          </w:tcPr>
          <w:p w:rsidR="005E7102" w:rsidRPr="003A3555"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9 (7</w:t>
            </w:r>
            <w:r w:rsidR="00847F0C">
              <w:rPr>
                <w:rFonts w:ascii="Arial Narrow" w:eastAsia="SimSun" w:hAnsi="Arial Narrow"/>
                <w:color w:val="000000" w:themeColor="text1"/>
                <w:sz w:val="20"/>
                <w:szCs w:val="20"/>
                <w:bdr w:val="none" w:sz="0" w:space="0" w:color="auto" w:frame="1"/>
                <w:lang w:eastAsia="en-AU"/>
              </w:rPr>
              <w:t>%</w:t>
            </w:r>
            <w:r w:rsidRPr="003A3555">
              <w:rPr>
                <w:rFonts w:ascii="Arial Narrow" w:eastAsia="SimSun" w:hAnsi="Arial Narrow"/>
                <w:color w:val="000000" w:themeColor="text1"/>
                <w:sz w:val="20"/>
                <w:szCs w:val="20"/>
                <w:bdr w:val="none" w:sz="0" w:space="0" w:color="auto" w:frame="1"/>
                <w:lang w:eastAsia="en-AU"/>
              </w:rPr>
              <w:t>)</w:t>
            </w:r>
          </w:p>
        </w:tc>
        <w:tc>
          <w:tcPr>
            <w:tcW w:w="1560" w:type="dxa"/>
            <w:shd w:val="clear" w:color="auto" w:fill="auto"/>
            <w:tcMar>
              <w:left w:w="28" w:type="dxa"/>
              <w:right w:w="28" w:type="dxa"/>
            </w:tcMa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2.1</w:t>
            </w:r>
            <w:r w:rsidR="00722D77" w:rsidRPr="00600AD1">
              <w:rPr>
                <w:rFonts w:ascii="Arial Narrow" w:eastAsia="SimSun" w:hAnsi="Arial Narrow"/>
                <w:color w:val="000000" w:themeColor="text1"/>
                <w:sz w:val="20"/>
                <w:szCs w:val="20"/>
                <w:bdr w:val="none" w:sz="0" w:space="0" w:color="auto" w:frame="1"/>
                <w:lang w:eastAsia="en-AU"/>
              </w:rPr>
              <w:t xml:space="preserve"> (1.0, 4.6)</w:t>
            </w:r>
          </w:p>
        </w:tc>
        <w:tc>
          <w:tcPr>
            <w:tcW w:w="1077"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1 (&lt;</w:t>
            </w:r>
            <w:r w:rsidR="00847F0C">
              <w:rPr>
                <w:rFonts w:ascii="Arial Narrow" w:eastAsia="SimSun" w:hAnsi="Arial Narrow"/>
                <w:color w:val="000000" w:themeColor="text1"/>
                <w:sz w:val="20"/>
                <w:szCs w:val="20"/>
                <w:bdr w:val="none" w:sz="0" w:space="0" w:color="auto" w:frame="1"/>
                <w:lang w:eastAsia="en-AU"/>
              </w:rPr>
              <w:t xml:space="preserve"> </w:t>
            </w:r>
            <w:r w:rsidRPr="00600AD1">
              <w:rPr>
                <w:rFonts w:ascii="Arial Narrow" w:eastAsia="SimSun" w:hAnsi="Arial Narrow"/>
                <w:color w:val="000000" w:themeColor="text1"/>
                <w:sz w:val="20"/>
                <w:szCs w:val="20"/>
                <w:bdr w:val="none" w:sz="0" w:space="0" w:color="auto" w:frame="1"/>
                <w:lang w:eastAsia="en-AU"/>
              </w:rPr>
              <w:t>1</w:t>
            </w:r>
            <w:r w:rsidR="00847F0C">
              <w:rPr>
                <w:rFonts w:ascii="Arial Narrow" w:eastAsia="SimSun" w:hAnsi="Arial Narrow"/>
                <w:color w:val="000000" w:themeColor="text1"/>
                <w:sz w:val="20"/>
                <w:szCs w:val="20"/>
                <w:bdr w:val="none" w:sz="0" w:space="0" w:color="auto" w:frame="1"/>
                <w:lang w:eastAsia="en-AU"/>
              </w:rPr>
              <w:t>%</w:t>
            </w:r>
            <w:r w:rsidRPr="00600AD1">
              <w:rPr>
                <w:rFonts w:ascii="Arial Narrow" w:eastAsia="SimSun" w:hAnsi="Arial Narrow"/>
                <w:color w:val="000000" w:themeColor="text1"/>
                <w:sz w:val="20"/>
                <w:szCs w:val="20"/>
                <w:bdr w:val="none" w:sz="0" w:space="0" w:color="auto" w:frame="1"/>
                <w:lang w:eastAsia="en-AU"/>
              </w:rPr>
              <w:t>)</w:t>
            </w:r>
          </w:p>
        </w:tc>
        <w:tc>
          <w:tcPr>
            <w:tcW w:w="1049"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3 (2</w:t>
            </w:r>
            <w:r w:rsidR="00847F0C">
              <w:rPr>
                <w:rFonts w:ascii="Arial Narrow" w:eastAsia="SimSun" w:hAnsi="Arial Narrow"/>
                <w:color w:val="000000" w:themeColor="text1"/>
                <w:sz w:val="20"/>
                <w:szCs w:val="20"/>
                <w:bdr w:val="none" w:sz="0" w:space="0" w:color="auto" w:frame="1"/>
                <w:lang w:eastAsia="en-AU"/>
              </w:rPr>
              <w:t>%</w:t>
            </w:r>
            <w:r w:rsidRPr="00600AD1">
              <w:rPr>
                <w:rFonts w:ascii="Arial Narrow" w:eastAsia="SimSun" w:hAnsi="Arial Narrow"/>
                <w:color w:val="000000" w:themeColor="text1"/>
                <w:sz w:val="20"/>
                <w:szCs w:val="20"/>
                <w:bdr w:val="none" w:sz="0" w:space="0" w:color="auto" w:frame="1"/>
                <w:lang w:eastAsia="en-AU"/>
              </w:rPr>
              <w:t>)</w:t>
            </w:r>
          </w:p>
        </w:tc>
        <w:tc>
          <w:tcPr>
            <w:tcW w:w="1435" w:type="dxa"/>
            <w:shd w:val="clear" w:color="auto" w:fill="auto"/>
            <w:tcMar>
              <w:left w:w="28" w:type="dxa"/>
              <w:right w:w="28" w:type="dxa"/>
            </w:tcMa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0.4</w:t>
            </w:r>
            <w:r w:rsidR="00832269" w:rsidRPr="00600AD1">
              <w:rPr>
                <w:rFonts w:ascii="Arial Narrow" w:eastAsia="SimSun" w:hAnsi="Arial Narrow"/>
                <w:color w:val="000000" w:themeColor="text1"/>
                <w:sz w:val="20"/>
                <w:szCs w:val="20"/>
                <w:bdr w:val="none" w:sz="0" w:space="0" w:color="auto" w:frame="1"/>
                <w:lang w:eastAsia="en-AU"/>
              </w:rPr>
              <w:t xml:space="preserve"> (0.0, 3.6)</w:t>
            </w:r>
          </w:p>
        </w:tc>
      </w:tr>
      <w:tr w:rsidR="005E7102" w:rsidRPr="003A3555" w:rsidTr="00847F0C">
        <w:tc>
          <w:tcPr>
            <w:tcW w:w="1696" w:type="dxa"/>
            <w:shd w:val="clear" w:color="auto" w:fill="auto"/>
            <w:tcMar>
              <w:left w:w="28" w:type="dxa"/>
              <w:right w:w="28" w:type="dxa"/>
            </w:tcMar>
            <w:vAlign w:val="center"/>
          </w:tcPr>
          <w:p w:rsidR="005E7102" w:rsidRPr="003A3555" w:rsidRDefault="005E7102" w:rsidP="00476EE6">
            <w:pPr>
              <w:pStyle w:val="Table"/>
              <w:spacing w:line="240" w:lineRule="auto"/>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Constipation</w:t>
            </w:r>
          </w:p>
        </w:tc>
        <w:tc>
          <w:tcPr>
            <w:tcW w:w="1134" w:type="dxa"/>
            <w:shd w:val="clear" w:color="auto" w:fill="auto"/>
            <w:tcMar>
              <w:left w:w="28" w:type="dxa"/>
              <w:right w:w="28" w:type="dxa"/>
            </w:tcMar>
            <w:vAlign w:val="center"/>
          </w:tcPr>
          <w:p w:rsidR="005E7102" w:rsidRPr="003A3555"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20 (18</w:t>
            </w:r>
            <w:r w:rsidR="00847F0C">
              <w:rPr>
                <w:rFonts w:ascii="Arial Narrow" w:eastAsia="SimSun" w:hAnsi="Arial Narrow"/>
                <w:color w:val="000000" w:themeColor="text1"/>
                <w:sz w:val="20"/>
                <w:szCs w:val="20"/>
                <w:bdr w:val="none" w:sz="0" w:space="0" w:color="auto" w:frame="1"/>
                <w:lang w:eastAsia="en-AU"/>
              </w:rPr>
              <w:t>%</w:t>
            </w:r>
            <w:r w:rsidRPr="003A3555">
              <w:rPr>
                <w:rFonts w:ascii="Arial Narrow" w:eastAsia="SimSun" w:hAnsi="Arial Narrow"/>
                <w:color w:val="000000" w:themeColor="text1"/>
                <w:sz w:val="20"/>
                <w:szCs w:val="20"/>
                <w:bdr w:val="none" w:sz="0" w:space="0" w:color="auto" w:frame="1"/>
                <w:lang w:eastAsia="en-AU"/>
              </w:rPr>
              <w:t>)*</w:t>
            </w:r>
          </w:p>
        </w:tc>
        <w:tc>
          <w:tcPr>
            <w:tcW w:w="1134" w:type="dxa"/>
            <w:shd w:val="clear" w:color="auto" w:fill="auto"/>
            <w:tcMar>
              <w:left w:w="28" w:type="dxa"/>
              <w:right w:w="28" w:type="dxa"/>
            </w:tcMar>
            <w:vAlign w:val="center"/>
          </w:tcPr>
          <w:p w:rsidR="005E7102" w:rsidRPr="003A3555" w:rsidRDefault="00847F0C"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Pr>
                <w:rFonts w:ascii="Arial Narrow" w:eastAsia="SimSun" w:hAnsi="Arial Narrow"/>
                <w:color w:val="000000" w:themeColor="text1"/>
                <w:sz w:val="20"/>
                <w:szCs w:val="20"/>
                <w:bdr w:val="none" w:sz="0" w:space="0" w:color="auto" w:frame="1"/>
                <w:lang w:eastAsia="en-AU"/>
              </w:rPr>
              <w:t>0</w:t>
            </w:r>
          </w:p>
        </w:tc>
        <w:tc>
          <w:tcPr>
            <w:tcW w:w="1560" w:type="dxa"/>
            <w:shd w:val="clear" w:color="auto" w:fill="auto"/>
            <w:tcMar>
              <w:left w:w="28" w:type="dxa"/>
              <w:right w:w="28" w:type="dxa"/>
            </w:tcMa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w:t>
            </w:r>
          </w:p>
        </w:tc>
        <w:tc>
          <w:tcPr>
            <w:tcW w:w="1077"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4 (4</w:t>
            </w:r>
            <w:r w:rsidR="00847F0C">
              <w:rPr>
                <w:rFonts w:ascii="Arial Narrow" w:eastAsia="SimSun" w:hAnsi="Arial Narrow"/>
                <w:color w:val="000000" w:themeColor="text1"/>
                <w:sz w:val="20"/>
                <w:szCs w:val="20"/>
                <w:bdr w:val="none" w:sz="0" w:space="0" w:color="auto" w:frame="1"/>
                <w:lang w:eastAsia="en-AU"/>
              </w:rPr>
              <w:t>%</w:t>
            </w:r>
            <w:r w:rsidRPr="00600AD1">
              <w:rPr>
                <w:rFonts w:ascii="Arial Narrow" w:eastAsia="SimSun" w:hAnsi="Arial Narrow"/>
                <w:color w:val="000000" w:themeColor="text1"/>
                <w:sz w:val="20"/>
                <w:szCs w:val="20"/>
                <w:bdr w:val="none" w:sz="0" w:space="0" w:color="auto" w:frame="1"/>
                <w:lang w:eastAsia="en-AU"/>
              </w:rPr>
              <w:t>)*</w:t>
            </w:r>
          </w:p>
        </w:tc>
        <w:tc>
          <w:tcPr>
            <w:tcW w:w="1049"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0</w:t>
            </w:r>
          </w:p>
        </w:tc>
        <w:tc>
          <w:tcPr>
            <w:tcW w:w="1435" w:type="dxa"/>
            <w:shd w:val="clear" w:color="auto" w:fill="auto"/>
            <w:tcMar>
              <w:left w:w="28" w:type="dxa"/>
              <w:right w:w="28" w:type="dxa"/>
            </w:tcMa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w:t>
            </w:r>
          </w:p>
        </w:tc>
      </w:tr>
      <w:tr w:rsidR="005E7102" w:rsidRPr="003A3555" w:rsidTr="00847F0C">
        <w:tc>
          <w:tcPr>
            <w:tcW w:w="1696" w:type="dxa"/>
            <w:shd w:val="clear" w:color="auto" w:fill="auto"/>
            <w:tcMar>
              <w:left w:w="28" w:type="dxa"/>
              <w:right w:w="28" w:type="dxa"/>
            </w:tcMar>
            <w:vAlign w:val="center"/>
          </w:tcPr>
          <w:p w:rsidR="005E7102" w:rsidRPr="003A3555" w:rsidRDefault="005E7102" w:rsidP="00476EE6">
            <w:pPr>
              <w:pStyle w:val="Table"/>
              <w:spacing w:line="240" w:lineRule="auto"/>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Other</w:t>
            </w:r>
          </w:p>
        </w:tc>
        <w:tc>
          <w:tcPr>
            <w:tcW w:w="1134" w:type="dxa"/>
            <w:shd w:val="clear" w:color="auto" w:fill="auto"/>
            <w:tcMar>
              <w:left w:w="28" w:type="dxa"/>
              <w:right w:w="28" w:type="dxa"/>
            </w:tcMar>
            <w:vAlign w:val="center"/>
          </w:tcPr>
          <w:p w:rsidR="005E7102" w:rsidRPr="003A3555"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7 (6</w:t>
            </w:r>
            <w:r w:rsidR="00847F0C">
              <w:rPr>
                <w:rFonts w:ascii="Arial Narrow" w:eastAsia="SimSun" w:hAnsi="Arial Narrow"/>
                <w:color w:val="000000" w:themeColor="text1"/>
                <w:sz w:val="20"/>
                <w:szCs w:val="20"/>
                <w:bdr w:val="none" w:sz="0" w:space="0" w:color="auto" w:frame="1"/>
                <w:lang w:eastAsia="en-AU"/>
              </w:rPr>
              <w:t>%</w:t>
            </w:r>
            <w:r w:rsidRPr="003A3555">
              <w:rPr>
                <w:rFonts w:ascii="Arial Narrow" w:eastAsia="SimSun" w:hAnsi="Arial Narrow"/>
                <w:color w:val="000000" w:themeColor="text1"/>
                <w:sz w:val="20"/>
                <w:szCs w:val="20"/>
                <w:bdr w:val="none" w:sz="0" w:space="0" w:color="auto" w:frame="1"/>
                <w:lang w:eastAsia="en-AU"/>
              </w:rPr>
              <w:t>)</w:t>
            </w:r>
          </w:p>
        </w:tc>
        <w:tc>
          <w:tcPr>
            <w:tcW w:w="1134" w:type="dxa"/>
            <w:shd w:val="clear" w:color="auto" w:fill="auto"/>
            <w:tcMar>
              <w:left w:w="28" w:type="dxa"/>
              <w:right w:w="28" w:type="dxa"/>
            </w:tcMar>
            <w:vAlign w:val="center"/>
          </w:tcPr>
          <w:p w:rsidR="005E7102" w:rsidRPr="003A3555"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12 (9</w:t>
            </w:r>
            <w:r w:rsidR="00847F0C">
              <w:rPr>
                <w:rFonts w:ascii="Arial Narrow" w:eastAsia="SimSun" w:hAnsi="Arial Narrow"/>
                <w:color w:val="000000" w:themeColor="text1"/>
                <w:sz w:val="20"/>
                <w:szCs w:val="20"/>
                <w:bdr w:val="none" w:sz="0" w:space="0" w:color="auto" w:frame="1"/>
                <w:lang w:eastAsia="en-AU"/>
              </w:rPr>
              <w:t>%</w:t>
            </w:r>
            <w:r w:rsidRPr="003A3555">
              <w:rPr>
                <w:rFonts w:ascii="Arial Narrow" w:eastAsia="SimSun" w:hAnsi="Arial Narrow"/>
                <w:color w:val="000000" w:themeColor="text1"/>
                <w:sz w:val="20"/>
                <w:szCs w:val="20"/>
                <w:bdr w:val="none" w:sz="0" w:space="0" w:color="auto" w:frame="1"/>
                <w:lang w:eastAsia="en-AU"/>
              </w:rPr>
              <w:t>)</w:t>
            </w:r>
          </w:p>
        </w:tc>
        <w:tc>
          <w:tcPr>
            <w:tcW w:w="1560" w:type="dxa"/>
            <w:shd w:val="clear" w:color="auto" w:fill="auto"/>
            <w:tcMar>
              <w:left w:w="28" w:type="dxa"/>
              <w:right w:w="28" w:type="dxa"/>
            </w:tcMa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0.7</w:t>
            </w:r>
            <w:r w:rsidR="00722D77" w:rsidRPr="00600AD1">
              <w:rPr>
                <w:rFonts w:ascii="Arial Narrow" w:eastAsia="SimSun" w:hAnsi="Arial Narrow"/>
                <w:color w:val="000000" w:themeColor="text1"/>
                <w:sz w:val="20"/>
                <w:szCs w:val="20"/>
                <w:bdr w:val="none" w:sz="0" w:space="0" w:color="auto" w:frame="1"/>
                <w:lang w:eastAsia="en-AU"/>
              </w:rPr>
              <w:t xml:space="preserve"> (0.3, 1.6)</w:t>
            </w:r>
          </w:p>
        </w:tc>
        <w:tc>
          <w:tcPr>
            <w:tcW w:w="1077"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5 (4</w:t>
            </w:r>
            <w:r w:rsidR="00847F0C">
              <w:rPr>
                <w:rFonts w:ascii="Arial Narrow" w:eastAsia="SimSun" w:hAnsi="Arial Narrow"/>
                <w:color w:val="000000" w:themeColor="text1"/>
                <w:sz w:val="20"/>
                <w:szCs w:val="20"/>
                <w:bdr w:val="none" w:sz="0" w:space="0" w:color="auto" w:frame="1"/>
                <w:lang w:eastAsia="en-AU"/>
              </w:rPr>
              <w:t>%</w:t>
            </w:r>
            <w:r w:rsidRPr="00600AD1">
              <w:rPr>
                <w:rFonts w:ascii="Arial Narrow" w:eastAsia="SimSun" w:hAnsi="Arial Narrow"/>
                <w:color w:val="000000" w:themeColor="text1"/>
                <w:sz w:val="20"/>
                <w:szCs w:val="20"/>
                <w:bdr w:val="none" w:sz="0" w:space="0" w:color="auto" w:frame="1"/>
                <w:lang w:eastAsia="en-AU"/>
              </w:rPr>
              <w:t>)</w:t>
            </w:r>
          </w:p>
        </w:tc>
        <w:tc>
          <w:tcPr>
            <w:tcW w:w="1049"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5 (4</w:t>
            </w:r>
            <w:r w:rsidR="00847F0C">
              <w:rPr>
                <w:rFonts w:ascii="Arial Narrow" w:eastAsia="SimSun" w:hAnsi="Arial Narrow"/>
                <w:color w:val="000000" w:themeColor="text1"/>
                <w:sz w:val="20"/>
                <w:szCs w:val="20"/>
                <w:bdr w:val="none" w:sz="0" w:space="0" w:color="auto" w:frame="1"/>
                <w:lang w:eastAsia="en-AU"/>
              </w:rPr>
              <w:t>%</w:t>
            </w:r>
            <w:r w:rsidRPr="00600AD1">
              <w:rPr>
                <w:rFonts w:ascii="Arial Narrow" w:eastAsia="SimSun" w:hAnsi="Arial Narrow"/>
                <w:color w:val="000000" w:themeColor="text1"/>
                <w:sz w:val="20"/>
                <w:szCs w:val="20"/>
                <w:bdr w:val="none" w:sz="0" w:space="0" w:color="auto" w:frame="1"/>
                <w:lang w:eastAsia="en-AU"/>
              </w:rPr>
              <w:t>)</w:t>
            </w:r>
          </w:p>
        </w:tc>
        <w:tc>
          <w:tcPr>
            <w:tcW w:w="1435" w:type="dxa"/>
            <w:shd w:val="clear" w:color="auto" w:fill="auto"/>
            <w:tcMar>
              <w:left w:w="28" w:type="dxa"/>
              <w:right w:w="28" w:type="dxa"/>
            </w:tcMa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1.1</w:t>
            </w:r>
            <w:r w:rsidR="00832269" w:rsidRPr="00600AD1">
              <w:rPr>
                <w:rFonts w:ascii="Arial Narrow" w:eastAsia="SimSun" w:hAnsi="Arial Narrow"/>
                <w:color w:val="000000" w:themeColor="text1"/>
                <w:sz w:val="20"/>
                <w:szCs w:val="20"/>
                <w:bdr w:val="none" w:sz="0" w:space="0" w:color="auto" w:frame="1"/>
                <w:lang w:eastAsia="en-AU"/>
              </w:rPr>
              <w:t xml:space="preserve"> (0.3, 3.8)</w:t>
            </w:r>
          </w:p>
        </w:tc>
      </w:tr>
      <w:tr w:rsidR="005E7102" w:rsidRPr="003A3555" w:rsidTr="00847F0C">
        <w:tc>
          <w:tcPr>
            <w:tcW w:w="1696" w:type="dxa"/>
            <w:shd w:val="clear" w:color="auto" w:fill="auto"/>
            <w:tcMar>
              <w:left w:w="28" w:type="dxa"/>
              <w:right w:w="28" w:type="dxa"/>
            </w:tcMar>
            <w:vAlign w:val="center"/>
          </w:tcPr>
          <w:p w:rsidR="005E7102" w:rsidRPr="003A3555" w:rsidRDefault="005E7102" w:rsidP="00476EE6">
            <w:pPr>
              <w:pStyle w:val="Table"/>
              <w:spacing w:line="240" w:lineRule="auto"/>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Fatigue/lethargy</w:t>
            </w:r>
          </w:p>
        </w:tc>
        <w:tc>
          <w:tcPr>
            <w:tcW w:w="1134" w:type="dxa"/>
            <w:shd w:val="clear" w:color="auto" w:fill="auto"/>
            <w:tcMar>
              <w:left w:w="28" w:type="dxa"/>
              <w:right w:w="28" w:type="dxa"/>
            </w:tcMar>
            <w:vAlign w:val="center"/>
          </w:tcPr>
          <w:p w:rsidR="005E7102" w:rsidRPr="003A3555"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16 (14</w:t>
            </w:r>
            <w:r w:rsidR="00847F0C">
              <w:rPr>
                <w:rFonts w:ascii="Arial Narrow" w:eastAsia="SimSun" w:hAnsi="Arial Narrow"/>
                <w:color w:val="000000" w:themeColor="text1"/>
                <w:sz w:val="20"/>
                <w:szCs w:val="20"/>
                <w:bdr w:val="none" w:sz="0" w:space="0" w:color="auto" w:frame="1"/>
                <w:lang w:eastAsia="en-AU"/>
              </w:rPr>
              <w:t>%</w:t>
            </w:r>
            <w:r w:rsidRPr="003A3555">
              <w:rPr>
                <w:rFonts w:ascii="Arial Narrow" w:eastAsia="SimSun" w:hAnsi="Arial Narrow"/>
                <w:color w:val="000000" w:themeColor="text1"/>
                <w:sz w:val="20"/>
                <w:szCs w:val="20"/>
                <w:bdr w:val="none" w:sz="0" w:space="0" w:color="auto" w:frame="1"/>
                <w:lang w:eastAsia="en-AU"/>
              </w:rPr>
              <w:t>)*</w:t>
            </w:r>
          </w:p>
        </w:tc>
        <w:tc>
          <w:tcPr>
            <w:tcW w:w="1134" w:type="dxa"/>
            <w:shd w:val="clear" w:color="auto" w:fill="auto"/>
            <w:tcMar>
              <w:left w:w="28" w:type="dxa"/>
              <w:right w:w="28" w:type="dxa"/>
            </w:tcMar>
            <w:vAlign w:val="center"/>
          </w:tcPr>
          <w:p w:rsidR="005E7102" w:rsidRPr="003A3555"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2 (2</w:t>
            </w:r>
            <w:r w:rsidR="00847F0C">
              <w:rPr>
                <w:rFonts w:ascii="Arial Narrow" w:eastAsia="SimSun" w:hAnsi="Arial Narrow"/>
                <w:color w:val="000000" w:themeColor="text1"/>
                <w:sz w:val="20"/>
                <w:szCs w:val="20"/>
                <w:bdr w:val="none" w:sz="0" w:space="0" w:color="auto" w:frame="1"/>
                <w:lang w:eastAsia="en-AU"/>
              </w:rPr>
              <w:t>%</w:t>
            </w:r>
            <w:r w:rsidRPr="003A3555">
              <w:rPr>
                <w:rFonts w:ascii="Arial Narrow" w:eastAsia="SimSun" w:hAnsi="Arial Narrow"/>
                <w:color w:val="000000" w:themeColor="text1"/>
                <w:sz w:val="20"/>
                <w:szCs w:val="20"/>
                <w:bdr w:val="none" w:sz="0" w:space="0" w:color="auto" w:frame="1"/>
                <w:lang w:eastAsia="en-AU"/>
              </w:rPr>
              <w:t>)</w:t>
            </w:r>
          </w:p>
        </w:tc>
        <w:tc>
          <w:tcPr>
            <w:tcW w:w="1560" w:type="dxa"/>
            <w:shd w:val="clear" w:color="auto" w:fill="auto"/>
            <w:tcMar>
              <w:left w:w="28" w:type="dxa"/>
              <w:right w:w="28" w:type="dxa"/>
            </w:tcMa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9.1</w:t>
            </w:r>
            <w:r w:rsidR="00722D77" w:rsidRPr="00600AD1">
              <w:rPr>
                <w:rFonts w:ascii="Arial Narrow" w:eastAsia="SimSun" w:hAnsi="Arial Narrow"/>
                <w:color w:val="000000" w:themeColor="text1"/>
                <w:sz w:val="20"/>
                <w:szCs w:val="20"/>
                <w:bdr w:val="none" w:sz="0" w:space="0" w:color="auto" w:frame="1"/>
                <w:lang w:eastAsia="en-AU"/>
              </w:rPr>
              <w:t xml:space="preserve"> (2.1, 38.5)</w:t>
            </w:r>
          </w:p>
        </w:tc>
        <w:tc>
          <w:tcPr>
            <w:tcW w:w="1077"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0</w:t>
            </w:r>
          </w:p>
        </w:tc>
        <w:tc>
          <w:tcPr>
            <w:tcW w:w="1049"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0</w:t>
            </w:r>
          </w:p>
        </w:tc>
        <w:tc>
          <w:tcPr>
            <w:tcW w:w="1435" w:type="dxa"/>
            <w:shd w:val="clear" w:color="auto" w:fill="auto"/>
            <w:tcMar>
              <w:left w:w="28" w:type="dxa"/>
              <w:right w:w="28" w:type="dxa"/>
            </w:tcMa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w:t>
            </w:r>
          </w:p>
        </w:tc>
      </w:tr>
      <w:tr w:rsidR="005E7102" w:rsidRPr="003A3555" w:rsidTr="00847F0C">
        <w:tc>
          <w:tcPr>
            <w:tcW w:w="1696" w:type="dxa"/>
            <w:shd w:val="clear" w:color="auto" w:fill="auto"/>
            <w:tcMar>
              <w:left w:w="28" w:type="dxa"/>
              <w:right w:w="28" w:type="dxa"/>
            </w:tcMar>
            <w:vAlign w:val="center"/>
          </w:tcPr>
          <w:p w:rsidR="005E7102" w:rsidRPr="003A3555" w:rsidRDefault="005E7102" w:rsidP="00476EE6">
            <w:pPr>
              <w:pStyle w:val="Table"/>
              <w:spacing w:line="240" w:lineRule="auto"/>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Hyperglycaemia</w:t>
            </w:r>
          </w:p>
        </w:tc>
        <w:tc>
          <w:tcPr>
            <w:tcW w:w="1134" w:type="dxa"/>
            <w:shd w:val="clear" w:color="auto" w:fill="auto"/>
            <w:tcMar>
              <w:left w:w="28" w:type="dxa"/>
              <w:right w:w="28" w:type="dxa"/>
            </w:tcMar>
            <w:vAlign w:val="center"/>
          </w:tcPr>
          <w:p w:rsidR="005E7102" w:rsidRPr="003A3555"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11 (10</w:t>
            </w:r>
            <w:r w:rsidR="00847F0C">
              <w:rPr>
                <w:rFonts w:ascii="Arial Narrow" w:eastAsia="SimSun" w:hAnsi="Arial Narrow"/>
                <w:color w:val="000000" w:themeColor="text1"/>
                <w:sz w:val="20"/>
                <w:szCs w:val="20"/>
                <w:bdr w:val="none" w:sz="0" w:space="0" w:color="auto" w:frame="1"/>
                <w:lang w:eastAsia="en-AU"/>
              </w:rPr>
              <w:t>%</w:t>
            </w:r>
            <w:r w:rsidRPr="003A3555">
              <w:rPr>
                <w:rFonts w:ascii="Arial Narrow" w:eastAsia="SimSun" w:hAnsi="Arial Narrow"/>
                <w:color w:val="000000" w:themeColor="text1"/>
                <w:sz w:val="20"/>
                <w:szCs w:val="20"/>
                <w:bdr w:val="none" w:sz="0" w:space="0" w:color="auto" w:frame="1"/>
                <w:lang w:eastAsia="en-AU"/>
              </w:rPr>
              <w:t>)</w:t>
            </w:r>
          </w:p>
        </w:tc>
        <w:tc>
          <w:tcPr>
            <w:tcW w:w="1134" w:type="dxa"/>
            <w:shd w:val="clear" w:color="auto" w:fill="auto"/>
            <w:tcMar>
              <w:left w:w="28" w:type="dxa"/>
              <w:right w:w="28" w:type="dxa"/>
            </w:tcMar>
            <w:vAlign w:val="center"/>
          </w:tcPr>
          <w:p w:rsidR="005E7102" w:rsidRPr="003A3555"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5 (4</w:t>
            </w:r>
            <w:r w:rsidR="00847F0C">
              <w:rPr>
                <w:rFonts w:ascii="Arial Narrow" w:eastAsia="SimSun" w:hAnsi="Arial Narrow"/>
                <w:color w:val="000000" w:themeColor="text1"/>
                <w:sz w:val="20"/>
                <w:szCs w:val="20"/>
                <w:bdr w:val="none" w:sz="0" w:space="0" w:color="auto" w:frame="1"/>
                <w:lang w:eastAsia="en-AU"/>
              </w:rPr>
              <w:t>%</w:t>
            </w:r>
            <w:r w:rsidRPr="003A3555">
              <w:rPr>
                <w:rFonts w:ascii="Arial Narrow" w:eastAsia="SimSun" w:hAnsi="Arial Narrow"/>
                <w:color w:val="000000" w:themeColor="text1"/>
                <w:sz w:val="20"/>
                <w:szCs w:val="20"/>
                <w:bdr w:val="none" w:sz="0" w:space="0" w:color="auto" w:frame="1"/>
                <w:lang w:eastAsia="en-AU"/>
              </w:rPr>
              <w:t>)</w:t>
            </w:r>
          </w:p>
        </w:tc>
        <w:tc>
          <w:tcPr>
            <w:tcW w:w="1560" w:type="dxa"/>
            <w:shd w:val="clear" w:color="auto" w:fill="auto"/>
            <w:tcMar>
              <w:left w:w="28" w:type="dxa"/>
              <w:right w:w="28" w:type="dxa"/>
            </w:tcMa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2.5</w:t>
            </w:r>
            <w:r w:rsidR="00722D77" w:rsidRPr="00600AD1">
              <w:rPr>
                <w:rFonts w:ascii="Arial Narrow" w:eastAsia="SimSun" w:hAnsi="Arial Narrow"/>
                <w:color w:val="000000" w:themeColor="text1"/>
                <w:sz w:val="20"/>
                <w:szCs w:val="20"/>
                <w:bdr w:val="none" w:sz="0" w:space="0" w:color="auto" w:frame="1"/>
                <w:lang w:eastAsia="en-AU"/>
              </w:rPr>
              <w:t xml:space="preserve"> (0.9, 7.0)</w:t>
            </w:r>
          </w:p>
        </w:tc>
        <w:tc>
          <w:tcPr>
            <w:tcW w:w="1077"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5 (4</w:t>
            </w:r>
            <w:r w:rsidR="00847F0C">
              <w:rPr>
                <w:rFonts w:ascii="Arial Narrow" w:eastAsia="SimSun" w:hAnsi="Arial Narrow"/>
                <w:color w:val="000000" w:themeColor="text1"/>
                <w:sz w:val="20"/>
                <w:szCs w:val="20"/>
                <w:bdr w:val="none" w:sz="0" w:space="0" w:color="auto" w:frame="1"/>
                <w:lang w:eastAsia="en-AU"/>
              </w:rPr>
              <w:t>%</w:t>
            </w:r>
            <w:r w:rsidRPr="00600AD1">
              <w:rPr>
                <w:rFonts w:ascii="Arial Narrow" w:eastAsia="SimSun" w:hAnsi="Arial Narrow"/>
                <w:color w:val="000000" w:themeColor="text1"/>
                <w:sz w:val="20"/>
                <w:szCs w:val="20"/>
                <w:bdr w:val="none" w:sz="0" w:space="0" w:color="auto" w:frame="1"/>
                <w:lang w:eastAsia="en-AU"/>
              </w:rPr>
              <w:t>)</w:t>
            </w:r>
          </w:p>
        </w:tc>
        <w:tc>
          <w:tcPr>
            <w:tcW w:w="1049"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2 (2</w:t>
            </w:r>
            <w:r w:rsidR="00847F0C">
              <w:rPr>
                <w:rFonts w:ascii="Arial Narrow" w:eastAsia="SimSun" w:hAnsi="Arial Narrow"/>
                <w:color w:val="000000" w:themeColor="text1"/>
                <w:sz w:val="20"/>
                <w:szCs w:val="20"/>
                <w:bdr w:val="none" w:sz="0" w:space="0" w:color="auto" w:frame="1"/>
                <w:lang w:eastAsia="en-AU"/>
              </w:rPr>
              <w:t>%</w:t>
            </w:r>
            <w:r w:rsidRPr="00600AD1">
              <w:rPr>
                <w:rFonts w:ascii="Arial Narrow" w:eastAsia="SimSun" w:hAnsi="Arial Narrow"/>
                <w:color w:val="000000" w:themeColor="text1"/>
                <w:sz w:val="20"/>
                <w:szCs w:val="20"/>
                <w:bdr w:val="none" w:sz="0" w:space="0" w:color="auto" w:frame="1"/>
                <w:lang w:eastAsia="en-AU"/>
              </w:rPr>
              <w:t>)</w:t>
            </w:r>
          </w:p>
        </w:tc>
        <w:tc>
          <w:tcPr>
            <w:tcW w:w="1435" w:type="dxa"/>
            <w:shd w:val="clear" w:color="auto" w:fill="auto"/>
            <w:tcMar>
              <w:left w:w="28" w:type="dxa"/>
              <w:right w:w="28" w:type="dxa"/>
            </w:tcMa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2.8</w:t>
            </w:r>
            <w:r w:rsidR="00832269" w:rsidRPr="00600AD1">
              <w:rPr>
                <w:rFonts w:ascii="Arial Narrow" w:eastAsia="SimSun" w:hAnsi="Arial Narrow"/>
                <w:color w:val="000000" w:themeColor="text1"/>
                <w:sz w:val="20"/>
                <w:szCs w:val="20"/>
                <w:bdr w:val="none" w:sz="0" w:space="0" w:color="auto" w:frame="1"/>
                <w:lang w:eastAsia="en-AU"/>
              </w:rPr>
              <w:t xml:space="preserve"> (0.6, 14.3)</w:t>
            </w:r>
          </w:p>
        </w:tc>
      </w:tr>
      <w:tr w:rsidR="005E7102" w:rsidRPr="003A3555" w:rsidTr="00847F0C">
        <w:tc>
          <w:tcPr>
            <w:tcW w:w="1696" w:type="dxa"/>
            <w:shd w:val="clear" w:color="auto" w:fill="auto"/>
            <w:tcMar>
              <w:left w:w="28" w:type="dxa"/>
              <w:right w:w="28" w:type="dxa"/>
            </w:tcMar>
            <w:vAlign w:val="center"/>
          </w:tcPr>
          <w:p w:rsidR="005E7102" w:rsidRPr="003A3555" w:rsidRDefault="005E7102" w:rsidP="00476EE6">
            <w:pPr>
              <w:pStyle w:val="Table"/>
              <w:spacing w:line="240" w:lineRule="auto"/>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Dizziness/tinnitus/</w:t>
            </w:r>
            <w:r w:rsidR="00847F0C">
              <w:rPr>
                <w:rFonts w:ascii="Arial Narrow" w:eastAsia="SimSun" w:hAnsi="Arial Narrow"/>
                <w:color w:val="000000" w:themeColor="text1"/>
                <w:sz w:val="20"/>
                <w:szCs w:val="20"/>
                <w:bdr w:val="none" w:sz="0" w:space="0" w:color="auto" w:frame="1"/>
                <w:lang w:eastAsia="en-AU"/>
              </w:rPr>
              <w:t xml:space="preserve"> </w:t>
            </w:r>
            <w:r w:rsidRPr="003A3555">
              <w:rPr>
                <w:rFonts w:ascii="Arial Narrow" w:eastAsia="SimSun" w:hAnsi="Arial Narrow"/>
                <w:color w:val="000000" w:themeColor="text1"/>
                <w:sz w:val="20"/>
                <w:szCs w:val="20"/>
                <w:bdr w:val="none" w:sz="0" w:space="0" w:color="auto" w:frame="1"/>
                <w:lang w:eastAsia="en-AU"/>
              </w:rPr>
              <w:t>tremor/inner ear</w:t>
            </w:r>
          </w:p>
        </w:tc>
        <w:tc>
          <w:tcPr>
            <w:tcW w:w="1134" w:type="dxa"/>
            <w:shd w:val="clear" w:color="auto" w:fill="auto"/>
            <w:tcMar>
              <w:left w:w="28" w:type="dxa"/>
              <w:right w:w="28" w:type="dxa"/>
            </w:tcMar>
            <w:vAlign w:val="center"/>
          </w:tcPr>
          <w:p w:rsidR="005E7102" w:rsidRPr="003A3555"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13 (11</w:t>
            </w:r>
            <w:r w:rsidR="00847F0C">
              <w:rPr>
                <w:rFonts w:ascii="Arial Narrow" w:eastAsia="SimSun" w:hAnsi="Arial Narrow"/>
                <w:color w:val="000000" w:themeColor="text1"/>
                <w:sz w:val="20"/>
                <w:szCs w:val="20"/>
                <w:bdr w:val="none" w:sz="0" w:space="0" w:color="auto" w:frame="1"/>
                <w:lang w:eastAsia="en-AU"/>
              </w:rPr>
              <w:t>%</w:t>
            </w:r>
            <w:r w:rsidRPr="003A3555">
              <w:rPr>
                <w:rFonts w:ascii="Arial Narrow" w:eastAsia="SimSun" w:hAnsi="Arial Narrow"/>
                <w:color w:val="000000" w:themeColor="text1"/>
                <w:sz w:val="20"/>
                <w:szCs w:val="20"/>
                <w:bdr w:val="none" w:sz="0" w:space="0" w:color="auto" w:frame="1"/>
                <w:lang w:eastAsia="en-AU"/>
              </w:rPr>
              <w:t>)*</w:t>
            </w:r>
          </w:p>
        </w:tc>
        <w:tc>
          <w:tcPr>
            <w:tcW w:w="1134" w:type="dxa"/>
            <w:shd w:val="clear" w:color="auto" w:fill="auto"/>
            <w:tcMar>
              <w:left w:w="28" w:type="dxa"/>
              <w:right w:w="28" w:type="dxa"/>
            </w:tcMar>
            <w:vAlign w:val="center"/>
          </w:tcPr>
          <w:p w:rsidR="005E7102" w:rsidRPr="003A3555"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2 (2</w:t>
            </w:r>
            <w:r w:rsidR="00847F0C">
              <w:rPr>
                <w:rFonts w:ascii="Arial Narrow" w:eastAsia="SimSun" w:hAnsi="Arial Narrow"/>
                <w:color w:val="000000" w:themeColor="text1"/>
                <w:sz w:val="20"/>
                <w:szCs w:val="20"/>
                <w:bdr w:val="none" w:sz="0" w:space="0" w:color="auto" w:frame="1"/>
                <w:lang w:eastAsia="en-AU"/>
              </w:rPr>
              <w:t>%</w:t>
            </w:r>
            <w:r w:rsidRPr="003A3555">
              <w:rPr>
                <w:rFonts w:ascii="Arial Narrow" w:eastAsia="SimSun" w:hAnsi="Arial Narrow"/>
                <w:color w:val="000000" w:themeColor="text1"/>
                <w:sz w:val="20"/>
                <w:szCs w:val="20"/>
                <w:bdr w:val="none" w:sz="0" w:space="0" w:color="auto" w:frame="1"/>
                <w:lang w:eastAsia="en-AU"/>
              </w:rPr>
              <w:t>)</w:t>
            </w:r>
          </w:p>
        </w:tc>
        <w:tc>
          <w:tcPr>
            <w:tcW w:w="1560"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7.4</w:t>
            </w:r>
            <w:r w:rsidR="00722D77" w:rsidRPr="00600AD1">
              <w:rPr>
                <w:rFonts w:ascii="Arial Narrow" w:eastAsia="SimSun" w:hAnsi="Arial Narrow"/>
                <w:color w:val="000000" w:themeColor="text1"/>
                <w:sz w:val="20"/>
                <w:szCs w:val="20"/>
                <w:bdr w:val="none" w:sz="0" w:space="0" w:color="auto" w:frame="1"/>
                <w:lang w:eastAsia="en-AU"/>
              </w:rPr>
              <w:t xml:space="preserve"> (1.7, 31.9)</w:t>
            </w:r>
          </w:p>
        </w:tc>
        <w:tc>
          <w:tcPr>
            <w:tcW w:w="1077"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0</w:t>
            </w:r>
          </w:p>
        </w:tc>
        <w:tc>
          <w:tcPr>
            <w:tcW w:w="1049"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0</w:t>
            </w:r>
          </w:p>
        </w:tc>
        <w:tc>
          <w:tcPr>
            <w:tcW w:w="1435"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w:t>
            </w:r>
          </w:p>
        </w:tc>
      </w:tr>
      <w:tr w:rsidR="005E7102" w:rsidRPr="003A3555" w:rsidTr="00847F0C">
        <w:tc>
          <w:tcPr>
            <w:tcW w:w="1696" w:type="dxa"/>
            <w:shd w:val="clear" w:color="auto" w:fill="auto"/>
            <w:tcMar>
              <w:left w:w="28" w:type="dxa"/>
              <w:right w:w="28" w:type="dxa"/>
            </w:tcMar>
            <w:vAlign w:val="center"/>
          </w:tcPr>
          <w:p w:rsidR="005E7102" w:rsidRPr="003A3555" w:rsidRDefault="005E7102" w:rsidP="00476EE6">
            <w:pPr>
              <w:pStyle w:val="Table"/>
              <w:spacing w:line="240" w:lineRule="auto"/>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Ocular</w:t>
            </w:r>
          </w:p>
        </w:tc>
        <w:tc>
          <w:tcPr>
            <w:tcW w:w="1134" w:type="dxa"/>
            <w:shd w:val="clear" w:color="auto" w:fill="auto"/>
            <w:tcMar>
              <w:left w:w="28" w:type="dxa"/>
              <w:right w:w="28" w:type="dxa"/>
            </w:tcMar>
            <w:vAlign w:val="center"/>
          </w:tcPr>
          <w:p w:rsidR="005E7102" w:rsidRPr="003A3555"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9 (8</w:t>
            </w:r>
            <w:r w:rsidR="00847F0C">
              <w:rPr>
                <w:rFonts w:ascii="Arial Narrow" w:eastAsia="SimSun" w:hAnsi="Arial Narrow"/>
                <w:color w:val="000000" w:themeColor="text1"/>
                <w:sz w:val="20"/>
                <w:szCs w:val="20"/>
                <w:bdr w:val="none" w:sz="0" w:space="0" w:color="auto" w:frame="1"/>
                <w:lang w:eastAsia="en-AU"/>
              </w:rPr>
              <w:t>%</w:t>
            </w:r>
            <w:r w:rsidRPr="003A3555">
              <w:rPr>
                <w:rFonts w:ascii="Arial Narrow" w:eastAsia="SimSun" w:hAnsi="Arial Narrow"/>
                <w:color w:val="000000" w:themeColor="text1"/>
                <w:sz w:val="20"/>
                <w:szCs w:val="20"/>
                <w:bdr w:val="none" w:sz="0" w:space="0" w:color="auto" w:frame="1"/>
                <w:lang w:eastAsia="en-AU"/>
              </w:rPr>
              <w:t>)</w:t>
            </w:r>
          </w:p>
        </w:tc>
        <w:tc>
          <w:tcPr>
            <w:tcW w:w="1134" w:type="dxa"/>
            <w:shd w:val="clear" w:color="auto" w:fill="auto"/>
            <w:tcMar>
              <w:left w:w="28" w:type="dxa"/>
              <w:right w:w="28" w:type="dxa"/>
            </w:tcMar>
            <w:vAlign w:val="center"/>
          </w:tcPr>
          <w:p w:rsidR="005E7102" w:rsidRPr="003A3555"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4 (3</w:t>
            </w:r>
            <w:r w:rsidR="00847F0C">
              <w:rPr>
                <w:rFonts w:ascii="Arial Narrow" w:eastAsia="SimSun" w:hAnsi="Arial Narrow"/>
                <w:color w:val="000000" w:themeColor="text1"/>
                <w:sz w:val="20"/>
                <w:szCs w:val="20"/>
                <w:bdr w:val="none" w:sz="0" w:space="0" w:color="auto" w:frame="1"/>
                <w:lang w:eastAsia="en-AU"/>
              </w:rPr>
              <w:t>%</w:t>
            </w:r>
            <w:r w:rsidRPr="003A3555">
              <w:rPr>
                <w:rFonts w:ascii="Arial Narrow" w:eastAsia="SimSun" w:hAnsi="Arial Narrow"/>
                <w:color w:val="000000" w:themeColor="text1"/>
                <w:sz w:val="20"/>
                <w:szCs w:val="20"/>
                <w:bdr w:val="none" w:sz="0" w:space="0" w:color="auto" w:frame="1"/>
                <w:lang w:eastAsia="en-AU"/>
              </w:rPr>
              <w:t>)</w:t>
            </w:r>
          </w:p>
        </w:tc>
        <w:tc>
          <w:tcPr>
            <w:tcW w:w="1560" w:type="dxa"/>
            <w:shd w:val="clear" w:color="auto" w:fill="auto"/>
            <w:tcMar>
              <w:left w:w="28" w:type="dxa"/>
              <w:right w:w="28" w:type="dxa"/>
            </w:tcMa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2.5</w:t>
            </w:r>
            <w:r w:rsidR="00722D77" w:rsidRPr="00600AD1">
              <w:rPr>
                <w:rFonts w:ascii="Arial Narrow" w:eastAsia="SimSun" w:hAnsi="Arial Narrow"/>
                <w:color w:val="000000" w:themeColor="text1"/>
                <w:sz w:val="20"/>
                <w:szCs w:val="20"/>
                <w:bdr w:val="none" w:sz="0" w:space="0" w:color="auto" w:frame="1"/>
                <w:lang w:eastAsia="en-AU"/>
              </w:rPr>
              <w:t xml:space="preserve"> (0.8, 8.0)</w:t>
            </w:r>
          </w:p>
        </w:tc>
        <w:tc>
          <w:tcPr>
            <w:tcW w:w="1077"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2 (2</w:t>
            </w:r>
            <w:r w:rsidR="00847F0C">
              <w:rPr>
                <w:rFonts w:ascii="Arial Narrow" w:eastAsia="SimSun" w:hAnsi="Arial Narrow"/>
                <w:color w:val="000000" w:themeColor="text1"/>
                <w:sz w:val="20"/>
                <w:szCs w:val="20"/>
                <w:bdr w:val="none" w:sz="0" w:space="0" w:color="auto" w:frame="1"/>
                <w:lang w:eastAsia="en-AU"/>
              </w:rPr>
              <w:t>%</w:t>
            </w:r>
            <w:r w:rsidRPr="00600AD1">
              <w:rPr>
                <w:rFonts w:ascii="Arial Narrow" w:eastAsia="SimSun" w:hAnsi="Arial Narrow"/>
                <w:color w:val="000000" w:themeColor="text1"/>
                <w:sz w:val="20"/>
                <w:szCs w:val="20"/>
                <w:bdr w:val="none" w:sz="0" w:space="0" w:color="auto" w:frame="1"/>
                <w:lang w:eastAsia="en-AU"/>
              </w:rPr>
              <w:t>)</w:t>
            </w:r>
          </w:p>
        </w:tc>
        <w:tc>
          <w:tcPr>
            <w:tcW w:w="1049"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1 (&lt; 1</w:t>
            </w:r>
            <w:r w:rsidR="00847F0C">
              <w:rPr>
                <w:rFonts w:ascii="Arial Narrow" w:eastAsia="SimSun" w:hAnsi="Arial Narrow"/>
                <w:color w:val="000000" w:themeColor="text1"/>
                <w:sz w:val="20"/>
                <w:szCs w:val="20"/>
                <w:bdr w:val="none" w:sz="0" w:space="0" w:color="auto" w:frame="1"/>
                <w:lang w:eastAsia="en-AU"/>
              </w:rPr>
              <w:t>%</w:t>
            </w:r>
            <w:r w:rsidRPr="00600AD1">
              <w:rPr>
                <w:rFonts w:ascii="Arial Narrow" w:eastAsia="SimSun" w:hAnsi="Arial Narrow"/>
                <w:color w:val="000000" w:themeColor="text1"/>
                <w:sz w:val="20"/>
                <w:szCs w:val="20"/>
                <w:bdr w:val="none" w:sz="0" w:space="0" w:color="auto" w:frame="1"/>
                <w:lang w:eastAsia="en-AU"/>
              </w:rPr>
              <w:t>)</w:t>
            </w:r>
          </w:p>
        </w:tc>
        <w:tc>
          <w:tcPr>
            <w:tcW w:w="1435" w:type="dxa"/>
            <w:shd w:val="clear" w:color="auto" w:fill="auto"/>
            <w:tcMar>
              <w:left w:w="28" w:type="dxa"/>
              <w:right w:w="28" w:type="dxa"/>
            </w:tcMa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2.3</w:t>
            </w:r>
            <w:r w:rsidR="00832269" w:rsidRPr="00600AD1">
              <w:rPr>
                <w:rFonts w:ascii="Arial Narrow" w:eastAsia="SimSun" w:hAnsi="Arial Narrow"/>
                <w:color w:val="000000" w:themeColor="text1"/>
                <w:sz w:val="20"/>
                <w:szCs w:val="20"/>
                <w:bdr w:val="none" w:sz="0" w:space="0" w:color="auto" w:frame="1"/>
                <w:lang w:eastAsia="en-AU"/>
              </w:rPr>
              <w:t xml:space="preserve"> (0.2, 24.6)</w:t>
            </w:r>
          </w:p>
        </w:tc>
      </w:tr>
      <w:tr w:rsidR="005E7102" w:rsidRPr="003A3555" w:rsidTr="00847F0C">
        <w:tc>
          <w:tcPr>
            <w:tcW w:w="1696" w:type="dxa"/>
            <w:shd w:val="clear" w:color="auto" w:fill="auto"/>
            <w:tcMar>
              <w:left w:w="28" w:type="dxa"/>
              <w:right w:w="28" w:type="dxa"/>
            </w:tcMar>
            <w:vAlign w:val="center"/>
          </w:tcPr>
          <w:p w:rsidR="005E7102" w:rsidRPr="003A3555" w:rsidRDefault="005E7102" w:rsidP="00476EE6">
            <w:pPr>
              <w:pStyle w:val="Table"/>
              <w:spacing w:line="240" w:lineRule="auto"/>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Renal</w:t>
            </w:r>
          </w:p>
        </w:tc>
        <w:tc>
          <w:tcPr>
            <w:tcW w:w="1134" w:type="dxa"/>
            <w:shd w:val="clear" w:color="auto" w:fill="auto"/>
            <w:tcMar>
              <w:left w:w="28" w:type="dxa"/>
              <w:right w:w="28" w:type="dxa"/>
            </w:tcMar>
            <w:vAlign w:val="center"/>
          </w:tcPr>
          <w:p w:rsidR="005E7102" w:rsidRPr="003A3555"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4 (4</w:t>
            </w:r>
            <w:r w:rsidR="00847F0C">
              <w:rPr>
                <w:rFonts w:ascii="Arial Narrow" w:eastAsia="SimSun" w:hAnsi="Arial Narrow"/>
                <w:color w:val="000000" w:themeColor="text1"/>
                <w:sz w:val="20"/>
                <w:szCs w:val="20"/>
                <w:bdr w:val="none" w:sz="0" w:space="0" w:color="auto" w:frame="1"/>
                <w:lang w:eastAsia="en-AU"/>
              </w:rPr>
              <w:t>%</w:t>
            </w:r>
            <w:r w:rsidRPr="003A3555">
              <w:rPr>
                <w:rFonts w:ascii="Arial Narrow" w:eastAsia="SimSun" w:hAnsi="Arial Narrow"/>
                <w:color w:val="000000" w:themeColor="text1"/>
                <w:sz w:val="20"/>
                <w:szCs w:val="20"/>
                <w:bdr w:val="none" w:sz="0" w:space="0" w:color="auto" w:frame="1"/>
                <w:lang w:eastAsia="en-AU"/>
              </w:rPr>
              <w:t>)</w:t>
            </w:r>
          </w:p>
        </w:tc>
        <w:tc>
          <w:tcPr>
            <w:tcW w:w="1134" w:type="dxa"/>
            <w:shd w:val="clear" w:color="auto" w:fill="auto"/>
            <w:tcMar>
              <w:left w:w="28" w:type="dxa"/>
              <w:right w:w="28" w:type="dxa"/>
            </w:tcMar>
            <w:vAlign w:val="center"/>
          </w:tcPr>
          <w:p w:rsidR="005E7102" w:rsidRPr="003A3555"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4 (3</w:t>
            </w:r>
            <w:r w:rsidR="00847F0C">
              <w:rPr>
                <w:rFonts w:ascii="Arial Narrow" w:eastAsia="SimSun" w:hAnsi="Arial Narrow"/>
                <w:color w:val="000000" w:themeColor="text1"/>
                <w:sz w:val="20"/>
                <w:szCs w:val="20"/>
                <w:bdr w:val="none" w:sz="0" w:space="0" w:color="auto" w:frame="1"/>
                <w:lang w:eastAsia="en-AU"/>
              </w:rPr>
              <w:t>%</w:t>
            </w:r>
            <w:r w:rsidRPr="003A3555">
              <w:rPr>
                <w:rFonts w:ascii="Arial Narrow" w:eastAsia="SimSun" w:hAnsi="Arial Narrow"/>
                <w:color w:val="000000" w:themeColor="text1"/>
                <w:sz w:val="20"/>
                <w:szCs w:val="20"/>
                <w:bdr w:val="none" w:sz="0" w:space="0" w:color="auto" w:frame="1"/>
                <w:lang w:eastAsia="en-AU"/>
              </w:rPr>
              <w:t>)</w:t>
            </w:r>
          </w:p>
        </w:tc>
        <w:tc>
          <w:tcPr>
            <w:tcW w:w="1560" w:type="dxa"/>
            <w:shd w:val="clear" w:color="auto" w:fill="auto"/>
            <w:tcMar>
              <w:left w:w="28" w:type="dxa"/>
              <w:right w:w="28" w:type="dxa"/>
            </w:tcMa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1.1</w:t>
            </w:r>
            <w:r w:rsidR="00722D77" w:rsidRPr="00600AD1">
              <w:rPr>
                <w:rFonts w:ascii="Arial Narrow" w:eastAsia="SimSun" w:hAnsi="Arial Narrow"/>
                <w:color w:val="000000" w:themeColor="text1"/>
                <w:sz w:val="20"/>
                <w:szCs w:val="20"/>
                <w:bdr w:val="none" w:sz="0" w:space="0" w:color="auto" w:frame="1"/>
                <w:lang w:eastAsia="en-AU"/>
              </w:rPr>
              <w:t xml:space="preserve"> (0.3, 4.4)</w:t>
            </w:r>
          </w:p>
        </w:tc>
        <w:tc>
          <w:tcPr>
            <w:tcW w:w="1077"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0</w:t>
            </w:r>
          </w:p>
        </w:tc>
        <w:tc>
          <w:tcPr>
            <w:tcW w:w="1049"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1 (&lt; 1</w:t>
            </w:r>
            <w:r w:rsidR="00847F0C">
              <w:rPr>
                <w:rFonts w:ascii="Arial Narrow" w:eastAsia="SimSun" w:hAnsi="Arial Narrow"/>
                <w:color w:val="000000" w:themeColor="text1"/>
                <w:sz w:val="20"/>
                <w:szCs w:val="20"/>
                <w:bdr w:val="none" w:sz="0" w:space="0" w:color="auto" w:frame="1"/>
                <w:lang w:eastAsia="en-AU"/>
              </w:rPr>
              <w:t>%</w:t>
            </w:r>
            <w:r w:rsidRPr="00600AD1">
              <w:rPr>
                <w:rFonts w:ascii="Arial Narrow" w:eastAsia="SimSun" w:hAnsi="Arial Narrow"/>
                <w:color w:val="000000" w:themeColor="text1"/>
                <w:sz w:val="20"/>
                <w:szCs w:val="20"/>
                <w:bdr w:val="none" w:sz="0" w:space="0" w:color="auto" w:frame="1"/>
                <w:lang w:eastAsia="en-AU"/>
              </w:rPr>
              <w:t>)</w:t>
            </w:r>
          </w:p>
        </w:tc>
        <w:tc>
          <w:tcPr>
            <w:tcW w:w="1435" w:type="dxa"/>
            <w:shd w:val="clear" w:color="auto" w:fill="auto"/>
            <w:tcMar>
              <w:left w:w="28" w:type="dxa"/>
              <w:right w:w="28" w:type="dxa"/>
            </w:tcMa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0</w:t>
            </w:r>
          </w:p>
        </w:tc>
      </w:tr>
      <w:tr w:rsidR="005E7102" w:rsidRPr="003A3555" w:rsidTr="00847F0C">
        <w:tc>
          <w:tcPr>
            <w:tcW w:w="1696" w:type="dxa"/>
            <w:shd w:val="clear" w:color="auto" w:fill="auto"/>
            <w:tcMar>
              <w:left w:w="28" w:type="dxa"/>
              <w:right w:w="28" w:type="dxa"/>
            </w:tcMar>
            <w:vAlign w:val="center"/>
          </w:tcPr>
          <w:p w:rsidR="005E7102" w:rsidRPr="003A3555" w:rsidRDefault="005E7102" w:rsidP="00476EE6">
            <w:pPr>
              <w:pStyle w:val="Table"/>
              <w:spacing w:line="240" w:lineRule="auto"/>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Myopathy</w:t>
            </w:r>
          </w:p>
        </w:tc>
        <w:tc>
          <w:tcPr>
            <w:tcW w:w="1134" w:type="dxa"/>
            <w:shd w:val="clear" w:color="auto" w:fill="auto"/>
            <w:tcMar>
              <w:left w:w="28" w:type="dxa"/>
              <w:right w:w="28" w:type="dxa"/>
            </w:tcMar>
            <w:vAlign w:val="center"/>
          </w:tcPr>
          <w:p w:rsidR="005E7102" w:rsidRPr="003A3555"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5 (4</w:t>
            </w:r>
            <w:r w:rsidR="00847F0C">
              <w:rPr>
                <w:rFonts w:ascii="Arial Narrow" w:eastAsia="SimSun" w:hAnsi="Arial Narrow"/>
                <w:color w:val="000000" w:themeColor="text1"/>
                <w:sz w:val="20"/>
                <w:szCs w:val="20"/>
                <w:bdr w:val="none" w:sz="0" w:space="0" w:color="auto" w:frame="1"/>
                <w:lang w:eastAsia="en-AU"/>
              </w:rPr>
              <w:t>%</w:t>
            </w:r>
            <w:r w:rsidRPr="003A3555">
              <w:rPr>
                <w:rFonts w:ascii="Arial Narrow" w:eastAsia="SimSun" w:hAnsi="Arial Narrow"/>
                <w:color w:val="000000" w:themeColor="text1"/>
                <w:sz w:val="20"/>
                <w:szCs w:val="20"/>
                <w:bdr w:val="none" w:sz="0" w:space="0" w:color="auto" w:frame="1"/>
                <w:lang w:eastAsia="en-AU"/>
              </w:rPr>
              <w:t>)</w:t>
            </w:r>
          </w:p>
        </w:tc>
        <w:tc>
          <w:tcPr>
            <w:tcW w:w="1134" w:type="dxa"/>
            <w:shd w:val="clear" w:color="auto" w:fill="auto"/>
            <w:tcMar>
              <w:left w:w="28" w:type="dxa"/>
              <w:right w:w="28" w:type="dxa"/>
            </w:tcMar>
            <w:vAlign w:val="center"/>
          </w:tcPr>
          <w:p w:rsidR="005E7102" w:rsidRPr="003A3555"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4 (3</w:t>
            </w:r>
            <w:r w:rsidR="00847F0C">
              <w:rPr>
                <w:rFonts w:ascii="Arial Narrow" w:eastAsia="SimSun" w:hAnsi="Arial Narrow"/>
                <w:color w:val="000000" w:themeColor="text1"/>
                <w:sz w:val="20"/>
                <w:szCs w:val="20"/>
                <w:bdr w:val="none" w:sz="0" w:space="0" w:color="auto" w:frame="1"/>
                <w:lang w:eastAsia="en-AU"/>
              </w:rPr>
              <w:t>%</w:t>
            </w:r>
            <w:r w:rsidRPr="003A3555">
              <w:rPr>
                <w:rFonts w:ascii="Arial Narrow" w:eastAsia="SimSun" w:hAnsi="Arial Narrow"/>
                <w:color w:val="000000" w:themeColor="text1"/>
                <w:sz w:val="20"/>
                <w:szCs w:val="20"/>
                <w:bdr w:val="none" w:sz="0" w:space="0" w:color="auto" w:frame="1"/>
                <w:lang w:eastAsia="en-AU"/>
              </w:rPr>
              <w:t>)</w:t>
            </w:r>
          </w:p>
        </w:tc>
        <w:tc>
          <w:tcPr>
            <w:tcW w:w="1560" w:type="dxa"/>
            <w:shd w:val="clear" w:color="auto" w:fill="auto"/>
            <w:tcMar>
              <w:left w:w="28" w:type="dxa"/>
              <w:right w:w="28" w:type="dxa"/>
            </w:tcMa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1.4</w:t>
            </w:r>
            <w:r w:rsidR="00722D77" w:rsidRPr="00600AD1">
              <w:rPr>
                <w:rFonts w:ascii="Arial Narrow" w:eastAsia="SimSun" w:hAnsi="Arial Narrow"/>
                <w:color w:val="000000" w:themeColor="text1"/>
                <w:sz w:val="20"/>
                <w:szCs w:val="20"/>
                <w:bdr w:val="none" w:sz="0" w:space="0" w:color="auto" w:frame="1"/>
                <w:lang w:eastAsia="en-AU"/>
              </w:rPr>
              <w:t xml:space="preserve"> (0.4, 5.1)</w:t>
            </w:r>
          </w:p>
        </w:tc>
        <w:tc>
          <w:tcPr>
            <w:tcW w:w="1077"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0</w:t>
            </w:r>
          </w:p>
        </w:tc>
        <w:tc>
          <w:tcPr>
            <w:tcW w:w="1049"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0</w:t>
            </w:r>
          </w:p>
        </w:tc>
        <w:tc>
          <w:tcPr>
            <w:tcW w:w="1435" w:type="dxa"/>
            <w:shd w:val="clear" w:color="auto" w:fill="auto"/>
            <w:tcMar>
              <w:left w:w="28" w:type="dxa"/>
              <w:right w:w="28" w:type="dxa"/>
            </w:tcMa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w:t>
            </w:r>
          </w:p>
        </w:tc>
      </w:tr>
      <w:tr w:rsidR="005E7102" w:rsidRPr="003A3555" w:rsidTr="00847F0C">
        <w:tc>
          <w:tcPr>
            <w:tcW w:w="1696" w:type="dxa"/>
            <w:shd w:val="clear" w:color="auto" w:fill="auto"/>
            <w:tcMar>
              <w:left w:w="28" w:type="dxa"/>
              <w:right w:w="28" w:type="dxa"/>
            </w:tcMar>
            <w:vAlign w:val="center"/>
          </w:tcPr>
          <w:p w:rsidR="005E7102" w:rsidRPr="003A3555" w:rsidRDefault="005E7102" w:rsidP="00476EE6">
            <w:pPr>
              <w:pStyle w:val="Table"/>
              <w:spacing w:line="240" w:lineRule="auto"/>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 xml:space="preserve">Thrombosis </w:t>
            </w:r>
          </w:p>
        </w:tc>
        <w:tc>
          <w:tcPr>
            <w:tcW w:w="1134" w:type="dxa"/>
            <w:shd w:val="clear" w:color="auto" w:fill="auto"/>
            <w:tcMar>
              <w:left w:w="28" w:type="dxa"/>
              <w:right w:w="28" w:type="dxa"/>
            </w:tcMar>
            <w:vAlign w:val="center"/>
          </w:tcPr>
          <w:p w:rsidR="005E7102" w:rsidRPr="003A3555"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6 (5</w:t>
            </w:r>
            <w:r w:rsidR="00847F0C">
              <w:rPr>
                <w:rFonts w:ascii="Arial Narrow" w:eastAsia="SimSun" w:hAnsi="Arial Narrow"/>
                <w:color w:val="000000" w:themeColor="text1"/>
                <w:sz w:val="20"/>
                <w:szCs w:val="20"/>
                <w:bdr w:val="none" w:sz="0" w:space="0" w:color="auto" w:frame="1"/>
                <w:lang w:eastAsia="en-AU"/>
              </w:rPr>
              <w:t>%</w:t>
            </w:r>
            <w:r w:rsidRPr="003A3555">
              <w:rPr>
                <w:rFonts w:ascii="Arial Narrow" w:eastAsia="SimSun" w:hAnsi="Arial Narrow"/>
                <w:color w:val="000000" w:themeColor="text1"/>
                <w:sz w:val="20"/>
                <w:szCs w:val="20"/>
                <w:bdr w:val="none" w:sz="0" w:space="0" w:color="auto" w:frame="1"/>
                <w:lang w:eastAsia="en-AU"/>
              </w:rPr>
              <w:t>)</w:t>
            </w:r>
          </w:p>
        </w:tc>
        <w:tc>
          <w:tcPr>
            <w:tcW w:w="1134" w:type="dxa"/>
            <w:shd w:val="clear" w:color="auto" w:fill="auto"/>
            <w:tcMar>
              <w:left w:w="28" w:type="dxa"/>
              <w:right w:w="28" w:type="dxa"/>
            </w:tcMar>
            <w:vAlign w:val="center"/>
          </w:tcPr>
          <w:p w:rsidR="005E7102" w:rsidRPr="003A3555"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3A3555">
              <w:rPr>
                <w:rFonts w:ascii="Arial Narrow" w:eastAsia="SimSun" w:hAnsi="Arial Narrow"/>
                <w:color w:val="000000" w:themeColor="text1"/>
                <w:sz w:val="20"/>
                <w:szCs w:val="20"/>
                <w:bdr w:val="none" w:sz="0" w:space="0" w:color="auto" w:frame="1"/>
                <w:lang w:eastAsia="en-AU"/>
              </w:rPr>
              <w:t>3 (2</w:t>
            </w:r>
            <w:r w:rsidR="00847F0C">
              <w:rPr>
                <w:rFonts w:ascii="Arial Narrow" w:eastAsia="SimSun" w:hAnsi="Arial Narrow"/>
                <w:color w:val="000000" w:themeColor="text1"/>
                <w:sz w:val="20"/>
                <w:szCs w:val="20"/>
                <w:bdr w:val="none" w:sz="0" w:space="0" w:color="auto" w:frame="1"/>
                <w:lang w:eastAsia="en-AU"/>
              </w:rPr>
              <w:t>%</w:t>
            </w:r>
            <w:r w:rsidRPr="003A3555">
              <w:rPr>
                <w:rFonts w:ascii="Arial Narrow" w:eastAsia="SimSun" w:hAnsi="Arial Narrow"/>
                <w:color w:val="000000" w:themeColor="text1"/>
                <w:sz w:val="20"/>
                <w:szCs w:val="20"/>
                <w:bdr w:val="none" w:sz="0" w:space="0" w:color="auto" w:frame="1"/>
                <w:lang w:eastAsia="en-AU"/>
              </w:rPr>
              <w:t>)</w:t>
            </w:r>
          </w:p>
        </w:tc>
        <w:tc>
          <w:tcPr>
            <w:tcW w:w="1560" w:type="dxa"/>
            <w:shd w:val="clear" w:color="auto" w:fill="auto"/>
            <w:tcMar>
              <w:left w:w="28" w:type="dxa"/>
              <w:right w:w="28" w:type="dxa"/>
            </w:tcMar>
          </w:tcPr>
          <w:p w:rsidR="005E7102" w:rsidRPr="00600AD1" w:rsidRDefault="005E7102" w:rsidP="00476EE6">
            <w:pPr>
              <w:pStyle w:val="Table"/>
              <w:spacing w:line="240" w:lineRule="auto"/>
              <w:ind w:left="0"/>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2.3</w:t>
            </w:r>
            <w:r w:rsidR="00722D77" w:rsidRPr="00600AD1">
              <w:rPr>
                <w:rFonts w:ascii="Arial Narrow" w:eastAsia="SimSun" w:hAnsi="Arial Narrow"/>
                <w:color w:val="000000" w:themeColor="text1"/>
                <w:sz w:val="20"/>
                <w:szCs w:val="20"/>
                <w:bdr w:val="none" w:sz="0" w:space="0" w:color="auto" w:frame="1"/>
                <w:lang w:eastAsia="en-AU"/>
              </w:rPr>
              <w:t xml:space="preserve"> (0.6, 8.8)</w:t>
            </w:r>
          </w:p>
        </w:tc>
        <w:tc>
          <w:tcPr>
            <w:tcW w:w="1077"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4 (4</w:t>
            </w:r>
            <w:r w:rsidR="00847F0C">
              <w:rPr>
                <w:rFonts w:ascii="Arial Narrow" w:eastAsia="SimSun" w:hAnsi="Arial Narrow"/>
                <w:color w:val="000000" w:themeColor="text1"/>
                <w:sz w:val="20"/>
                <w:szCs w:val="20"/>
                <w:bdr w:val="none" w:sz="0" w:space="0" w:color="auto" w:frame="1"/>
                <w:lang w:eastAsia="en-AU"/>
              </w:rPr>
              <w:t>%</w:t>
            </w:r>
            <w:r w:rsidRPr="00600AD1">
              <w:rPr>
                <w:rFonts w:ascii="Arial Narrow" w:eastAsia="SimSun" w:hAnsi="Arial Narrow"/>
                <w:color w:val="000000" w:themeColor="text1"/>
                <w:sz w:val="20"/>
                <w:szCs w:val="20"/>
                <w:bdr w:val="none" w:sz="0" w:space="0" w:color="auto" w:frame="1"/>
                <w:lang w:eastAsia="en-AU"/>
              </w:rPr>
              <w:t>)</w:t>
            </w:r>
          </w:p>
        </w:tc>
        <w:tc>
          <w:tcPr>
            <w:tcW w:w="1049" w:type="dxa"/>
            <w:shd w:val="clear" w:color="auto" w:fill="auto"/>
            <w:tcMar>
              <w:left w:w="28" w:type="dxa"/>
              <w:right w:w="28" w:type="dxa"/>
            </w:tcMar>
            <w:vAlign w:val="cente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3 (2</w:t>
            </w:r>
            <w:r w:rsidR="00847F0C">
              <w:rPr>
                <w:rFonts w:ascii="Arial Narrow" w:eastAsia="SimSun" w:hAnsi="Arial Narrow"/>
                <w:color w:val="000000" w:themeColor="text1"/>
                <w:sz w:val="20"/>
                <w:szCs w:val="20"/>
                <w:bdr w:val="none" w:sz="0" w:space="0" w:color="auto" w:frame="1"/>
                <w:lang w:eastAsia="en-AU"/>
              </w:rPr>
              <w:t>%</w:t>
            </w:r>
            <w:r w:rsidRPr="00600AD1">
              <w:rPr>
                <w:rFonts w:ascii="Arial Narrow" w:eastAsia="SimSun" w:hAnsi="Arial Narrow"/>
                <w:color w:val="000000" w:themeColor="text1"/>
                <w:sz w:val="20"/>
                <w:szCs w:val="20"/>
                <w:bdr w:val="none" w:sz="0" w:space="0" w:color="auto" w:frame="1"/>
                <w:lang w:eastAsia="en-AU"/>
              </w:rPr>
              <w:t>)</w:t>
            </w:r>
          </w:p>
        </w:tc>
        <w:tc>
          <w:tcPr>
            <w:tcW w:w="1435" w:type="dxa"/>
            <w:shd w:val="clear" w:color="auto" w:fill="auto"/>
            <w:tcMar>
              <w:left w:w="28" w:type="dxa"/>
              <w:right w:w="28" w:type="dxa"/>
            </w:tcMar>
          </w:tcPr>
          <w:p w:rsidR="005E7102" w:rsidRPr="00600AD1" w:rsidRDefault="005E7102" w:rsidP="00476EE6">
            <w:pPr>
              <w:pStyle w:val="Table"/>
              <w:spacing w:line="240" w:lineRule="auto"/>
              <w:jc w:val="center"/>
              <w:rPr>
                <w:rFonts w:ascii="Arial Narrow" w:eastAsia="SimSun" w:hAnsi="Arial Narrow"/>
                <w:color w:val="000000" w:themeColor="text1"/>
                <w:sz w:val="20"/>
                <w:szCs w:val="20"/>
                <w:bdr w:val="none" w:sz="0" w:space="0" w:color="auto" w:frame="1"/>
                <w:lang w:eastAsia="en-AU"/>
              </w:rPr>
            </w:pPr>
            <w:r w:rsidRPr="00600AD1">
              <w:rPr>
                <w:rFonts w:ascii="Arial Narrow" w:eastAsia="SimSun" w:hAnsi="Arial Narrow"/>
                <w:color w:val="000000" w:themeColor="text1"/>
                <w:sz w:val="20"/>
                <w:szCs w:val="20"/>
                <w:bdr w:val="none" w:sz="0" w:space="0" w:color="auto" w:frame="1"/>
                <w:lang w:eastAsia="en-AU"/>
              </w:rPr>
              <w:t>1.5</w:t>
            </w:r>
            <w:r w:rsidR="00832269" w:rsidRPr="00600AD1">
              <w:rPr>
                <w:rFonts w:ascii="Arial Narrow" w:eastAsia="SimSun" w:hAnsi="Arial Narrow"/>
                <w:color w:val="000000" w:themeColor="text1"/>
                <w:sz w:val="20"/>
                <w:szCs w:val="20"/>
                <w:bdr w:val="none" w:sz="0" w:space="0" w:color="auto" w:frame="1"/>
                <w:lang w:eastAsia="en-AU"/>
              </w:rPr>
              <w:t xml:space="preserve"> (0.3, 6.6)</w:t>
            </w:r>
          </w:p>
        </w:tc>
      </w:tr>
    </w:tbl>
    <w:p w:rsidR="005E7102" w:rsidRPr="003A3555" w:rsidRDefault="0085410E" w:rsidP="00476EE6">
      <w:pPr>
        <w:pStyle w:val="TableFooter"/>
        <w:widowControl/>
      </w:pPr>
      <w:r>
        <w:t xml:space="preserve">CI = confidence interval; </w:t>
      </w:r>
      <w:r w:rsidR="005E7102" w:rsidRPr="003A3555">
        <w:t>RR</w:t>
      </w:r>
      <w:r w:rsidR="00847F0C">
        <w:t xml:space="preserve"> </w:t>
      </w:r>
      <w:r w:rsidR="005E7102" w:rsidRPr="003A3555">
        <w:t>=</w:t>
      </w:r>
      <w:r w:rsidR="00847F0C">
        <w:t xml:space="preserve"> </w:t>
      </w:r>
      <w:r w:rsidR="005E7102" w:rsidRPr="003A3555">
        <w:t>relative risk</w:t>
      </w:r>
      <w:r w:rsidR="00847F0C">
        <w:t>; THAL = thalidomide</w:t>
      </w:r>
    </w:p>
    <w:p w:rsidR="0085410E" w:rsidRDefault="005E7102" w:rsidP="00476EE6">
      <w:pPr>
        <w:pStyle w:val="TableFooter"/>
        <w:widowControl/>
      </w:pPr>
      <w:r w:rsidRPr="003A3555">
        <w:t>*</w:t>
      </w:r>
      <w:r w:rsidR="0085410E">
        <w:t xml:space="preserve"> </w:t>
      </w:r>
      <w:r w:rsidRPr="003A3555">
        <w:t xml:space="preserve">Indicates statistically significant difference between treatment groups </w:t>
      </w:r>
    </w:p>
    <w:p w:rsidR="005E7102" w:rsidRPr="003A3555" w:rsidRDefault="005E7102" w:rsidP="00476EE6">
      <w:pPr>
        <w:pStyle w:val="TableFooter"/>
        <w:widowControl/>
      </w:pPr>
      <w:r w:rsidRPr="003A3555">
        <w:t>^</w:t>
      </w:r>
      <w:r w:rsidR="0085410E">
        <w:t xml:space="preserve"> C</w:t>
      </w:r>
      <w:r w:rsidRPr="003A3555">
        <w:t>alculated during evaluation of resubmission</w:t>
      </w:r>
    </w:p>
    <w:p w:rsidR="005E7102" w:rsidRPr="003A3555" w:rsidRDefault="005E7102" w:rsidP="00476EE6">
      <w:pPr>
        <w:pStyle w:val="TableFooter"/>
        <w:widowControl/>
      </w:pPr>
      <w:r w:rsidRPr="003A3555">
        <w:t>Source: Table 2-9, p.36 of the resubmission and RR calculated during evaluation.</w:t>
      </w:r>
    </w:p>
    <w:p w:rsidR="005E7102" w:rsidRPr="003A3555" w:rsidRDefault="005E7102" w:rsidP="00D73042">
      <w:pPr>
        <w:pStyle w:val="Heading2"/>
        <w:widowControl/>
        <w:spacing w:before="120"/>
      </w:pPr>
      <w:bookmarkStart w:id="36" w:name="_Toc532395965"/>
      <w:bookmarkStart w:id="37" w:name="_Toc532805608"/>
      <w:bookmarkStart w:id="38" w:name="_Toc533163398"/>
      <w:r w:rsidRPr="003A3555">
        <w:t>Benefits/harms</w:t>
      </w:r>
      <w:bookmarkEnd w:id="36"/>
      <w:bookmarkEnd w:id="37"/>
      <w:bookmarkEnd w:id="38"/>
    </w:p>
    <w:p w:rsidR="00D73042" w:rsidRDefault="005E7102" w:rsidP="00D73042">
      <w:pPr>
        <w:pStyle w:val="ListParagraph"/>
        <w:widowControl/>
        <w:numPr>
          <w:ilvl w:val="1"/>
          <w:numId w:val="2"/>
        </w:numPr>
        <w:spacing w:before="120"/>
        <w:rPr>
          <w:rFonts w:cs="Calibri"/>
          <w:snapToGrid/>
          <w:szCs w:val="24"/>
          <w:lang w:eastAsia="en-AU"/>
        </w:rPr>
      </w:pPr>
      <w:r w:rsidRPr="003A3555">
        <w:rPr>
          <w:rFonts w:cs="Calibri"/>
          <w:snapToGrid/>
          <w:szCs w:val="24"/>
          <w:lang w:eastAsia="en-AU"/>
        </w:rPr>
        <w:t xml:space="preserve">A summary of the comparative benefits and harms for </w:t>
      </w:r>
      <w:proofErr w:type="spellStart"/>
      <w:r w:rsidRPr="003A3555">
        <w:rPr>
          <w:rFonts w:cs="Calibri"/>
          <w:snapToGrid/>
          <w:szCs w:val="24"/>
          <w:lang w:eastAsia="en-AU"/>
        </w:rPr>
        <w:t>lenalidomide</w:t>
      </w:r>
      <w:proofErr w:type="spellEnd"/>
      <w:r w:rsidRPr="003A3555">
        <w:rPr>
          <w:rFonts w:cs="Calibri"/>
          <w:snapToGrid/>
          <w:szCs w:val="24"/>
          <w:lang w:eastAsia="en-AU"/>
        </w:rPr>
        <w:t xml:space="preserve"> compared to BSC </w:t>
      </w:r>
      <w:proofErr w:type="gramStart"/>
      <w:r w:rsidRPr="003A3555">
        <w:rPr>
          <w:rFonts w:cs="Calibri"/>
          <w:snapToGrid/>
          <w:szCs w:val="24"/>
          <w:lang w:eastAsia="en-AU"/>
        </w:rPr>
        <w:t>is presented</w:t>
      </w:r>
      <w:proofErr w:type="gramEnd"/>
      <w:r w:rsidRPr="003A3555">
        <w:rPr>
          <w:rFonts w:cs="Calibri"/>
          <w:snapToGrid/>
          <w:szCs w:val="24"/>
          <w:lang w:eastAsia="en-AU"/>
        </w:rPr>
        <w:t xml:space="preserve"> in </w:t>
      </w:r>
      <w:r w:rsidR="00682C4D" w:rsidRPr="003A3555">
        <w:rPr>
          <w:rFonts w:cs="Calibri"/>
          <w:snapToGrid/>
          <w:szCs w:val="24"/>
          <w:lang w:eastAsia="en-AU"/>
        </w:rPr>
        <w:t>T</w:t>
      </w:r>
      <w:r w:rsidRPr="003A3555">
        <w:rPr>
          <w:rFonts w:cs="Calibri"/>
          <w:snapToGrid/>
          <w:szCs w:val="24"/>
          <w:lang w:eastAsia="en-AU"/>
        </w:rPr>
        <w:t>able</w:t>
      </w:r>
      <w:r w:rsidR="00682C4D" w:rsidRPr="003A3555">
        <w:rPr>
          <w:rFonts w:cs="Calibri"/>
          <w:snapToGrid/>
          <w:szCs w:val="24"/>
          <w:lang w:eastAsia="en-AU"/>
        </w:rPr>
        <w:t xml:space="preserve"> </w:t>
      </w:r>
      <w:r w:rsidR="00097671">
        <w:rPr>
          <w:rFonts w:cs="Calibri"/>
          <w:snapToGrid/>
          <w:szCs w:val="24"/>
          <w:lang w:eastAsia="en-AU"/>
        </w:rPr>
        <w:t>21</w:t>
      </w:r>
      <w:r w:rsidRPr="003A3555">
        <w:rPr>
          <w:rFonts w:cs="Calibri"/>
          <w:snapToGrid/>
          <w:szCs w:val="24"/>
          <w:lang w:eastAsia="en-AU"/>
        </w:rPr>
        <w:t xml:space="preserve">. </w:t>
      </w:r>
    </w:p>
    <w:p w:rsidR="005E7102" w:rsidRPr="00D73042" w:rsidRDefault="00D73042" w:rsidP="00D73042">
      <w:pPr>
        <w:rPr>
          <w:rStyle w:val="CommentReference"/>
          <w:rFonts w:ascii="Calibri" w:hAnsi="Calibri"/>
          <w:b w:val="0"/>
          <w:snapToGrid/>
          <w:sz w:val="24"/>
          <w:szCs w:val="22"/>
          <w:lang w:eastAsia="en-AU"/>
        </w:rPr>
      </w:pPr>
      <w:r>
        <w:rPr>
          <w:snapToGrid/>
          <w:lang w:eastAsia="en-AU"/>
        </w:rPr>
        <w:br w:type="page"/>
      </w:r>
    </w:p>
    <w:p w:rsidR="005E7102" w:rsidRPr="003A3555" w:rsidRDefault="005E7102" w:rsidP="00476EE6">
      <w:pPr>
        <w:widowControl/>
        <w:rPr>
          <w:rStyle w:val="CommentReference"/>
        </w:rPr>
      </w:pPr>
      <w:r w:rsidRPr="003A3555">
        <w:rPr>
          <w:rStyle w:val="CommentReference"/>
        </w:rPr>
        <w:lastRenderedPageBreak/>
        <w:t xml:space="preserve">Table </w:t>
      </w:r>
      <w:r w:rsidR="00097671">
        <w:rPr>
          <w:rStyle w:val="CommentReference"/>
        </w:rPr>
        <w:t>21</w:t>
      </w:r>
      <w:r w:rsidRPr="003A3555">
        <w:rPr>
          <w:rStyle w:val="CommentReference"/>
        </w:rPr>
        <w:t xml:space="preserve">: Summary of comparative benefits and harms for </w:t>
      </w:r>
      <w:proofErr w:type="spellStart"/>
      <w:r w:rsidRPr="003A3555">
        <w:rPr>
          <w:rStyle w:val="CommentReference"/>
        </w:rPr>
        <w:t>lenalidomide</w:t>
      </w:r>
      <w:proofErr w:type="spellEnd"/>
      <w:r w:rsidRPr="003A3555">
        <w:rPr>
          <w:rStyle w:val="CommentReference"/>
        </w:rPr>
        <w:t xml:space="preserve"> and BSC</w:t>
      </w:r>
    </w:p>
    <w:tbl>
      <w:tblPr>
        <w:tblW w:w="4990" w:type="pct"/>
        <w:tblLayout w:type="fixed"/>
        <w:tblCellMar>
          <w:left w:w="28" w:type="dxa"/>
          <w:right w:w="28" w:type="dxa"/>
        </w:tblCellMar>
        <w:tblLook w:val="04A0" w:firstRow="1" w:lastRow="0" w:firstColumn="1" w:lastColumn="0" w:noHBand="0" w:noVBand="1"/>
        <w:tblCaption w:val="Table 21: Summary of comparative benefits and harms for lenalidomide and BSC"/>
      </w:tblPr>
      <w:tblGrid>
        <w:gridCol w:w="2407"/>
        <w:gridCol w:w="851"/>
        <w:gridCol w:w="851"/>
        <w:gridCol w:w="1420"/>
        <w:gridCol w:w="281"/>
        <w:gridCol w:w="711"/>
        <w:gridCol w:w="993"/>
        <w:gridCol w:w="1485"/>
      </w:tblGrid>
      <w:tr w:rsidR="005E7102" w:rsidRPr="003A3555" w:rsidTr="00161A0A">
        <w:trPr>
          <w:tblHeader/>
        </w:trPr>
        <w:tc>
          <w:tcPr>
            <w:tcW w:w="5000" w:type="pct"/>
            <w:gridSpan w:val="8"/>
            <w:tcBorders>
              <w:top w:val="single" w:sz="4" w:space="0" w:color="auto"/>
              <w:left w:val="single" w:sz="4" w:space="0" w:color="auto"/>
              <w:bottom w:val="double" w:sz="4" w:space="0" w:color="auto"/>
              <w:right w:val="single" w:sz="4" w:space="0" w:color="auto"/>
            </w:tcBorders>
            <w:shd w:val="clear" w:color="auto" w:fill="auto"/>
            <w:vAlign w:val="center"/>
          </w:tcPr>
          <w:p w:rsidR="005E7102" w:rsidRPr="003A3555" w:rsidRDefault="005E7102" w:rsidP="00476EE6">
            <w:pPr>
              <w:widowControl/>
              <w:rPr>
                <w:rFonts w:ascii="Arial Narrow" w:hAnsi="Arial Narrow"/>
                <w:b/>
                <w:sz w:val="20"/>
                <w:szCs w:val="18"/>
              </w:rPr>
            </w:pPr>
            <w:r w:rsidRPr="003A3555">
              <w:rPr>
                <w:rFonts w:ascii="Arial Narrow" w:hAnsi="Arial Narrow"/>
                <w:b/>
                <w:sz w:val="20"/>
                <w:szCs w:val="18"/>
              </w:rPr>
              <w:t>Benefits</w:t>
            </w:r>
          </w:p>
        </w:tc>
      </w:tr>
      <w:tr w:rsidR="005E7102" w:rsidRPr="003A3555" w:rsidTr="0067411C">
        <w:trPr>
          <w:tblHead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5E7102" w:rsidRPr="003A3555" w:rsidRDefault="005E7102" w:rsidP="00476EE6">
            <w:pPr>
              <w:widowControl/>
              <w:jc w:val="center"/>
              <w:rPr>
                <w:rFonts w:ascii="Arial Narrow" w:hAnsi="Arial Narrow"/>
                <w:sz w:val="20"/>
                <w:szCs w:val="18"/>
              </w:rPr>
            </w:pPr>
          </w:p>
        </w:tc>
        <w:tc>
          <w:tcPr>
            <w:tcW w:w="945" w:type="pct"/>
            <w:gridSpan w:val="2"/>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b/>
                <w:sz w:val="20"/>
                <w:szCs w:val="18"/>
              </w:rPr>
            </w:pPr>
            <w:proofErr w:type="spellStart"/>
            <w:r w:rsidRPr="003A3555">
              <w:rPr>
                <w:rFonts w:ascii="Arial Narrow" w:hAnsi="Arial Narrow"/>
                <w:b/>
                <w:sz w:val="20"/>
                <w:szCs w:val="18"/>
              </w:rPr>
              <w:t>Lenalidomide</w:t>
            </w:r>
            <w:proofErr w:type="spellEnd"/>
          </w:p>
        </w:tc>
        <w:tc>
          <w:tcPr>
            <w:tcW w:w="945" w:type="pct"/>
            <w:gridSpan w:val="2"/>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b/>
                <w:sz w:val="20"/>
                <w:szCs w:val="18"/>
              </w:rPr>
            </w:pPr>
            <w:r w:rsidRPr="003A3555">
              <w:rPr>
                <w:rFonts w:ascii="Arial Narrow" w:hAnsi="Arial Narrow"/>
                <w:b/>
                <w:sz w:val="20"/>
                <w:szCs w:val="18"/>
              </w:rPr>
              <w:t>BSC</w:t>
            </w:r>
          </w:p>
        </w:tc>
        <w:tc>
          <w:tcPr>
            <w:tcW w:w="947" w:type="pct"/>
            <w:gridSpan w:val="2"/>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b/>
                <w:sz w:val="20"/>
                <w:szCs w:val="18"/>
              </w:rPr>
            </w:pPr>
            <w:r w:rsidRPr="003A3555">
              <w:rPr>
                <w:rFonts w:ascii="Arial Narrow" w:hAnsi="Arial Narrow"/>
                <w:b/>
                <w:sz w:val="20"/>
                <w:szCs w:val="18"/>
              </w:rPr>
              <w:t>Absolute Difference</w:t>
            </w:r>
          </w:p>
        </w:tc>
        <w:tc>
          <w:tcPr>
            <w:tcW w:w="826"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b/>
                <w:sz w:val="20"/>
                <w:szCs w:val="18"/>
              </w:rPr>
            </w:pPr>
            <w:r w:rsidRPr="003A3555">
              <w:rPr>
                <w:rFonts w:ascii="Arial Narrow" w:hAnsi="Arial Narrow"/>
                <w:b/>
                <w:sz w:val="20"/>
                <w:szCs w:val="18"/>
              </w:rPr>
              <w:t>HR (95% CI)</w:t>
            </w:r>
          </w:p>
        </w:tc>
      </w:tr>
      <w:tr w:rsidR="005E7102" w:rsidRPr="003A3555" w:rsidTr="00453D1C">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5E7102" w:rsidRPr="003A3555" w:rsidRDefault="005E7102" w:rsidP="00476EE6">
            <w:pPr>
              <w:widowControl/>
              <w:jc w:val="left"/>
              <w:rPr>
                <w:rFonts w:ascii="Arial Narrow" w:hAnsi="Arial Narrow"/>
                <w:b/>
                <w:sz w:val="20"/>
                <w:szCs w:val="18"/>
              </w:rPr>
            </w:pPr>
            <w:r w:rsidRPr="003A3555">
              <w:rPr>
                <w:rFonts w:ascii="Arial Narrow" w:hAnsi="Arial Narrow"/>
                <w:b/>
                <w:sz w:val="20"/>
                <w:szCs w:val="18"/>
              </w:rPr>
              <w:t>PFS: CALGB</w:t>
            </w:r>
          </w:p>
        </w:tc>
      </w:tr>
      <w:tr w:rsidR="0067411C" w:rsidRPr="003A3555" w:rsidTr="0067411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5E7102" w:rsidRPr="003A3555" w:rsidRDefault="005E7102" w:rsidP="00476EE6">
            <w:pPr>
              <w:widowControl/>
              <w:rPr>
                <w:rFonts w:ascii="Arial Narrow" w:hAnsi="Arial Narrow"/>
                <w:sz w:val="20"/>
                <w:szCs w:val="18"/>
              </w:rPr>
            </w:pPr>
            <w:proofErr w:type="spellStart"/>
            <w:r w:rsidRPr="003A3555">
              <w:rPr>
                <w:rFonts w:ascii="Arial Narrow" w:hAnsi="Arial Narrow"/>
                <w:sz w:val="20"/>
                <w:szCs w:val="18"/>
              </w:rPr>
              <w:t>Progressed</w:t>
            </w:r>
            <w:r w:rsidRPr="003A3555">
              <w:rPr>
                <w:rFonts w:ascii="Arial Narrow" w:hAnsi="Arial Narrow"/>
                <w:sz w:val="20"/>
                <w:szCs w:val="18"/>
                <w:vertAlign w:val="superscript"/>
              </w:rPr>
              <w:t>a</w:t>
            </w:r>
            <w:proofErr w:type="spellEnd"/>
            <w:r w:rsidR="0085410E">
              <w:rPr>
                <w:rFonts w:ascii="Arial Narrow" w:hAnsi="Arial Narrow"/>
                <w:sz w:val="20"/>
                <w:szCs w:val="18"/>
              </w:rPr>
              <w:t xml:space="preserve">, </w:t>
            </w:r>
            <w:r w:rsidRPr="003A3555">
              <w:rPr>
                <w:rFonts w:ascii="Arial Narrow" w:hAnsi="Arial Narrow"/>
                <w:sz w:val="20"/>
                <w:szCs w:val="18"/>
              </w:rPr>
              <w:t>n/N (%)</w:t>
            </w:r>
          </w:p>
        </w:tc>
        <w:tc>
          <w:tcPr>
            <w:tcW w:w="945" w:type="pct"/>
            <w:gridSpan w:val="2"/>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rPr>
            </w:pPr>
            <w:r w:rsidRPr="003A3555">
              <w:rPr>
                <w:rFonts w:ascii="Arial Narrow" w:hAnsi="Arial Narrow"/>
                <w:sz w:val="20"/>
              </w:rPr>
              <w:t>146/231 (63.2)</w:t>
            </w:r>
          </w:p>
        </w:tc>
        <w:tc>
          <w:tcPr>
            <w:tcW w:w="945" w:type="pct"/>
            <w:gridSpan w:val="2"/>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rPr>
            </w:pPr>
            <w:r w:rsidRPr="003A3555">
              <w:rPr>
                <w:rFonts w:ascii="Arial Narrow" w:hAnsi="Arial Narrow"/>
                <w:sz w:val="20"/>
              </w:rPr>
              <w:t>176/229 (76.9)</w:t>
            </w:r>
          </w:p>
        </w:tc>
        <w:tc>
          <w:tcPr>
            <w:tcW w:w="947" w:type="pct"/>
            <w:gridSpan w:val="2"/>
            <w:tcBorders>
              <w:top w:val="single" w:sz="4" w:space="0" w:color="auto"/>
              <w:left w:val="single" w:sz="4" w:space="0" w:color="auto"/>
              <w:bottom w:val="single" w:sz="4" w:space="0" w:color="auto"/>
              <w:right w:val="single" w:sz="4" w:space="0" w:color="auto"/>
            </w:tcBorders>
            <w:vAlign w:val="center"/>
          </w:tcPr>
          <w:p w:rsidR="005E7102" w:rsidRPr="002D3AF3" w:rsidRDefault="005E7102" w:rsidP="00476EE6">
            <w:pPr>
              <w:widowControl/>
              <w:jc w:val="center"/>
              <w:rPr>
                <w:rFonts w:ascii="Arial Narrow" w:hAnsi="Arial Narrow"/>
                <w:sz w:val="20"/>
                <w:szCs w:val="18"/>
              </w:rPr>
            </w:pPr>
            <w:r w:rsidRPr="002D3AF3">
              <w:rPr>
                <w:rFonts w:ascii="Arial Narrow" w:hAnsi="Arial Narrow"/>
                <w:sz w:val="20"/>
                <w:szCs w:val="18"/>
              </w:rPr>
              <w:t>14</w:t>
            </w:r>
          </w:p>
        </w:tc>
        <w:tc>
          <w:tcPr>
            <w:tcW w:w="826"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b/>
                <w:sz w:val="20"/>
                <w:szCs w:val="18"/>
              </w:rPr>
            </w:pPr>
            <w:r w:rsidRPr="003A3555">
              <w:rPr>
                <w:rFonts w:ascii="Arial Narrow" w:hAnsi="Arial Narrow"/>
                <w:b/>
                <w:sz w:val="20"/>
              </w:rPr>
              <w:t>0.57 (0.46, 0.71)</w:t>
            </w:r>
          </w:p>
        </w:tc>
      </w:tr>
      <w:tr w:rsidR="005E7102" w:rsidRPr="003A3555" w:rsidTr="0067411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5E7102" w:rsidRPr="003A3555" w:rsidRDefault="005E7102" w:rsidP="00476EE6">
            <w:pPr>
              <w:widowControl/>
              <w:rPr>
                <w:rFonts w:ascii="Arial Narrow" w:hAnsi="Arial Narrow"/>
                <w:sz w:val="20"/>
                <w:szCs w:val="18"/>
              </w:rPr>
            </w:pPr>
            <w:r w:rsidRPr="003A3555">
              <w:rPr>
                <w:rFonts w:ascii="Arial Narrow" w:hAnsi="Arial Narrow"/>
                <w:sz w:val="20"/>
                <w:szCs w:val="18"/>
              </w:rPr>
              <w:t>Median</w:t>
            </w:r>
            <w:r w:rsidR="0085410E">
              <w:rPr>
                <w:rFonts w:ascii="Arial Narrow" w:hAnsi="Arial Narrow"/>
                <w:sz w:val="20"/>
                <w:szCs w:val="18"/>
              </w:rPr>
              <w:t xml:space="preserve">, </w:t>
            </w:r>
            <w:r w:rsidRPr="003A3555">
              <w:rPr>
                <w:rFonts w:ascii="Arial Narrow" w:hAnsi="Arial Narrow"/>
                <w:sz w:val="20"/>
                <w:szCs w:val="18"/>
              </w:rPr>
              <w:t>m</w:t>
            </w:r>
            <w:r w:rsidR="0085410E">
              <w:rPr>
                <w:rFonts w:ascii="Arial Narrow" w:hAnsi="Arial Narrow"/>
                <w:sz w:val="20"/>
                <w:szCs w:val="18"/>
              </w:rPr>
              <w:t>on</w:t>
            </w:r>
            <w:r w:rsidRPr="003A3555">
              <w:rPr>
                <w:rFonts w:ascii="Arial Narrow" w:hAnsi="Arial Narrow"/>
                <w:sz w:val="20"/>
                <w:szCs w:val="18"/>
              </w:rPr>
              <w:t>ths</w:t>
            </w:r>
            <w:r w:rsidR="0085410E">
              <w:rPr>
                <w:rFonts w:ascii="Arial Narrow" w:hAnsi="Arial Narrow"/>
                <w:sz w:val="20"/>
                <w:szCs w:val="18"/>
              </w:rPr>
              <w:t xml:space="preserve"> (95% CI)</w:t>
            </w:r>
          </w:p>
        </w:tc>
        <w:tc>
          <w:tcPr>
            <w:tcW w:w="945" w:type="pct"/>
            <w:gridSpan w:val="2"/>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rPr>
            </w:pPr>
            <w:r w:rsidRPr="003A3555">
              <w:rPr>
                <w:rFonts w:ascii="Arial Narrow" w:hAnsi="Arial Narrow"/>
                <w:sz w:val="20"/>
              </w:rPr>
              <w:t>57.3 (44.2, 73.3)</w:t>
            </w:r>
          </w:p>
        </w:tc>
        <w:tc>
          <w:tcPr>
            <w:tcW w:w="945" w:type="pct"/>
            <w:gridSpan w:val="2"/>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rPr>
            </w:pPr>
            <w:r w:rsidRPr="003A3555">
              <w:rPr>
                <w:rFonts w:ascii="Arial Narrow" w:hAnsi="Arial Narrow"/>
                <w:sz w:val="20"/>
              </w:rPr>
              <w:t>28.9 (23.0, 36.3)</w:t>
            </w:r>
          </w:p>
        </w:tc>
        <w:tc>
          <w:tcPr>
            <w:tcW w:w="947" w:type="pct"/>
            <w:gridSpan w:val="2"/>
            <w:tcBorders>
              <w:top w:val="single" w:sz="4" w:space="0" w:color="auto"/>
              <w:left w:val="single" w:sz="4" w:space="0" w:color="auto"/>
              <w:bottom w:val="single" w:sz="4" w:space="0" w:color="auto"/>
              <w:right w:val="single" w:sz="4" w:space="0" w:color="auto"/>
            </w:tcBorders>
            <w:vAlign w:val="center"/>
          </w:tcPr>
          <w:p w:rsidR="005E7102" w:rsidRPr="00600AD1" w:rsidRDefault="005E7102" w:rsidP="00476EE6">
            <w:pPr>
              <w:widowControl/>
              <w:jc w:val="center"/>
              <w:rPr>
                <w:rFonts w:ascii="Arial Narrow" w:hAnsi="Arial Narrow"/>
                <w:sz w:val="20"/>
                <w:szCs w:val="18"/>
              </w:rPr>
            </w:pPr>
            <w:r w:rsidRPr="00600AD1">
              <w:rPr>
                <w:rFonts w:ascii="Arial Narrow" w:hAnsi="Arial Narrow"/>
                <w:sz w:val="20"/>
                <w:szCs w:val="18"/>
              </w:rPr>
              <w:t>28.4</w:t>
            </w:r>
          </w:p>
        </w:tc>
        <w:tc>
          <w:tcPr>
            <w:tcW w:w="826"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18"/>
              </w:rPr>
            </w:pPr>
            <w:r w:rsidRPr="003A3555">
              <w:rPr>
                <w:rFonts w:ascii="Arial Narrow" w:hAnsi="Arial Narrow"/>
                <w:sz w:val="20"/>
                <w:szCs w:val="18"/>
              </w:rPr>
              <w:t>-</w:t>
            </w:r>
          </w:p>
        </w:tc>
      </w:tr>
      <w:tr w:rsidR="0067411C" w:rsidRPr="003A3555" w:rsidTr="0067411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5E7102" w:rsidRPr="003A3555" w:rsidRDefault="005E7102" w:rsidP="00476EE6">
            <w:pPr>
              <w:widowControl/>
              <w:rPr>
                <w:rFonts w:ascii="Arial Narrow" w:hAnsi="Arial Narrow"/>
                <w:sz w:val="20"/>
                <w:szCs w:val="18"/>
              </w:rPr>
            </w:pPr>
            <w:proofErr w:type="spellStart"/>
            <w:r w:rsidRPr="003A3555">
              <w:rPr>
                <w:rFonts w:ascii="Arial Narrow" w:hAnsi="Arial Narrow"/>
                <w:sz w:val="20"/>
                <w:szCs w:val="18"/>
              </w:rPr>
              <w:t>Progressed</w:t>
            </w:r>
            <w:r w:rsidRPr="003A3555">
              <w:rPr>
                <w:rFonts w:ascii="Arial Narrow" w:hAnsi="Arial Narrow"/>
                <w:sz w:val="20"/>
                <w:szCs w:val="18"/>
                <w:vertAlign w:val="superscript"/>
              </w:rPr>
              <w:t>b</w:t>
            </w:r>
            <w:proofErr w:type="spellEnd"/>
            <w:r w:rsidR="0085410E">
              <w:rPr>
                <w:rFonts w:ascii="Arial Narrow" w:hAnsi="Arial Narrow"/>
                <w:sz w:val="20"/>
                <w:szCs w:val="18"/>
              </w:rPr>
              <w:t xml:space="preserve">, </w:t>
            </w:r>
            <w:r w:rsidRPr="003A3555">
              <w:rPr>
                <w:rFonts w:ascii="Arial Narrow" w:hAnsi="Arial Narrow"/>
                <w:sz w:val="20"/>
                <w:szCs w:val="18"/>
              </w:rPr>
              <w:t>n/N (%)</w:t>
            </w:r>
          </w:p>
        </w:tc>
        <w:tc>
          <w:tcPr>
            <w:tcW w:w="945" w:type="pct"/>
            <w:gridSpan w:val="2"/>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rPr>
            </w:pPr>
            <w:r w:rsidRPr="003A3555">
              <w:rPr>
                <w:rFonts w:ascii="Arial Narrow" w:hAnsi="Arial Narrow"/>
                <w:sz w:val="20"/>
              </w:rPr>
              <w:t>126/231 (54.5)</w:t>
            </w:r>
          </w:p>
        </w:tc>
        <w:tc>
          <w:tcPr>
            <w:tcW w:w="945" w:type="pct"/>
            <w:gridSpan w:val="2"/>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rPr>
            </w:pPr>
            <w:r w:rsidRPr="003A3555">
              <w:rPr>
                <w:rFonts w:ascii="Arial Narrow" w:hAnsi="Arial Narrow"/>
                <w:sz w:val="20"/>
              </w:rPr>
              <w:t>162/229 (70.7)</w:t>
            </w:r>
          </w:p>
        </w:tc>
        <w:tc>
          <w:tcPr>
            <w:tcW w:w="947" w:type="pct"/>
            <w:gridSpan w:val="2"/>
            <w:tcBorders>
              <w:top w:val="single" w:sz="4" w:space="0" w:color="auto"/>
              <w:left w:val="single" w:sz="4" w:space="0" w:color="auto"/>
              <w:bottom w:val="single" w:sz="4" w:space="0" w:color="auto"/>
              <w:right w:val="single" w:sz="4" w:space="0" w:color="auto"/>
            </w:tcBorders>
            <w:vAlign w:val="center"/>
          </w:tcPr>
          <w:p w:rsidR="005E7102" w:rsidRPr="00600AD1" w:rsidRDefault="005E7102" w:rsidP="00476EE6">
            <w:pPr>
              <w:widowControl/>
              <w:jc w:val="center"/>
              <w:rPr>
                <w:rFonts w:ascii="Arial Narrow" w:hAnsi="Arial Narrow"/>
                <w:sz w:val="20"/>
                <w:szCs w:val="18"/>
              </w:rPr>
            </w:pPr>
            <w:r w:rsidRPr="00600AD1">
              <w:rPr>
                <w:rFonts w:ascii="Arial Narrow" w:hAnsi="Arial Narrow"/>
                <w:sz w:val="20"/>
                <w:szCs w:val="18"/>
              </w:rPr>
              <w:t>16</w:t>
            </w:r>
          </w:p>
        </w:tc>
        <w:tc>
          <w:tcPr>
            <w:tcW w:w="826"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b/>
                <w:sz w:val="20"/>
                <w:szCs w:val="18"/>
              </w:rPr>
            </w:pPr>
            <w:r w:rsidRPr="003A3555">
              <w:rPr>
                <w:rFonts w:ascii="Arial Narrow" w:hAnsi="Arial Narrow"/>
                <w:b/>
                <w:sz w:val="20"/>
                <w:szCs w:val="18"/>
              </w:rPr>
              <w:t>0.58 (0.46, 0.73)</w:t>
            </w:r>
          </w:p>
        </w:tc>
      </w:tr>
      <w:tr w:rsidR="005E7102" w:rsidRPr="003A3555" w:rsidTr="000B2F4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5E7102" w:rsidRPr="003A3555" w:rsidRDefault="005E7102" w:rsidP="00476EE6">
            <w:pPr>
              <w:widowControl/>
              <w:rPr>
                <w:rFonts w:ascii="Arial Narrow" w:hAnsi="Arial Narrow"/>
                <w:sz w:val="20"/>
                <w:szCs w:val="18"/>
              </w:rPr>
            </w:pPr>
            <w:r w:rsidRPr="003A3555">
              <w:rPr>
                <w:rFonts w:ascii="Arial Narrow" w:hAnsi="Arial Narrow"/>
                <w:sz w:val="20"/>
                <w:szCs w:val="18"/>
              </w:rPr>
              <w:t>Median</w:t>
            </w:r>
            <w:r w:rsidR="0085410E">
              <w:rPr>
                <w:rFonts w:ascii="Arial Narrow" w:hAnsi="Arial Narrow"/>
                <w:sz w:val="20"/>
                <w:szCs w:val="18"/>
              </w:rPr>
              <w:t>, months</w:t>
            </w:r>
            <w:r w:rsidRPr="003A3555">
              <w:rPr>
                <w:rFonts w:ascii="Arial Narrow" w:hAnsi="Arial Narrow"/>
                <w:sz w:val="20"/>
                <w:szCs w:val="18"/>
              </w:rPr>
              <w:t xml:space="preserve"> (</w:t>
            </w:r>
            <w:r w:rsidR="0085410E">
              <w:rPr>
                <w:rFonts w:ascii="Arial Narrow" w:hAnsi="Arial Narrow"/>
                <w:sz w:val="20"/>
                <w:szCs w:val="18"/>
              </w:rPr>
              <w:t>95% CI</w:t>
            </w:r>
            <w:r w:rsidRPr="003A3555">
              <w:rPr>
                <w:rFonts w:ascii="Arial Narrow" w:hAnsi="Arial Narrow"/>
                <w:sz w:val="20"/>
                <w:szCs w:val="18"/>
              </w:rPr>
              <w:t>)</w:t>
            </w:r>
          </w:p>
        </w:tc>
        <w:tc>
          <w:tcPr>
            <w:tcW w:w="945" w:type="pct"/>
            <w:gridSpan w:val="2"/>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rPr>
            </w:pPr>
            <w:r w:rsidRPr="003A3555">
              <w:rPr>
                <w:rFonts w:ascii="Arial Narrow" w:hAnsi="Arial Narrow"/>
                <w:sz w:val="20"/>
              </w:rPr>
              <w:t>58.4 (42.7, 82.0)</w:t>
            </w:r>
          </w:p>
        </w:tc>
        <w:tc>
          <w:tcPr>
            <w:tcW w:w="945" w:type="pct"/>
            <w:gridSpan w:val="2"/>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rPr>
            </w:pPr>
            <w:r w:rsidRPr="003A3555">
              <w:rPr>
                <w:rFonts w:ascii="Arial Narrow" w:hAnsi="Arial Narrow"/>
                <w:sz w:val="20"/>
              </w:rPr>
              <w:t>28.9 (21.0, 35.4)</w:t>
            </w:r>
          </w:p>
        </w:tc>
        <w:tc>
          <w:tcPr>
            <w:tcW w:w="947" w:type="pct"/>
            <w:gridSpan w:val="2"/>
            <w:tcBorders>
              <w:top w:val="single" w:sz="4" w:space="0" w:color="auto"/>
              <w:left w:val="single" w:sz="4" w:space="0" w:color="auto"/>
              <w:bottom w:val="single" w:sz="4" w:space="0" w:color="auto"/>
              <w:right w:val="single" w:sz="4" w:space="0" w:color="auto"/>
            </w:tcBorders>
            <w:vAlign w:val="center"/>
          </w:tcPr>
          <w:p w:rsidR="005E7102" w:rsidRPr="00600AD1" w:rsidRDefault="005E7102" w:rsidP="00476EE6">
            <w:pPr>
              <w:widowControl/>
              <w:jc w:val="center"/>
              <w:rPr>
                <w:rFonts w:ascii="Arial Narrow" w:hAnsi="Arial Narrow"/>
                <w:sz w:val="20"/>
                <w:szCs w:val="18"/>
              </w:rPr>
            </w:pPr>
            <w:r w:rsidRPr="00600AD1">
              <w:rPr>
                <w:rFonts w:ascii="Arial Narrow" w:hAnsi="Arial Narrow"/>
                <w:sz w:val="20"/>
                <w:szCs w:val="18"/>
              </w:rPr>
              <w:t>29.5</w:t>
            </w:r>
          </w:p>
        </w:tc>
        <w:tc>
          <w:tcPr>
            <w:tcW w:w="826"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18"/>
              </w:rPr>
            </w:pPr>
            <w:r w:rsidRPr="003A3555">
              <w:rPr>
                <w:rFonts w:ascii="Arial Narrow" w:hAnsi="Arial Narrow"/>
                <w:sz w:val="20"/>
                <w:szCs w:val="18"/>
              </w:rPr>
              <w:t>-</w:t>
            </w:r>
          </w:p>
        </w:tc>
      </w:tr>
      <w:tr w:rsidR="000B2F4C" w:rsidRPr="0010040E" w:rsidTr="0067411C">
        <w:tc>
          <w:tcPr>
            <w:tcW w:w="1337" w:type="pct"/>
            <w:tcBorders>
              <w:top w:val="single" w:sz="4" w:space="0" w:color="auto"/>
              <w:left w:val="single" w:sz="4" w:space="0" w:color="auto"/>
              <w:bottom w:val="double" w:sz="4" w:space="0" w:color="auto"/>
              <w:right w:val="single" w:sz="4" w:space="0" w:color="auto"/>
            </w:tcBorders>
            <w:shd w:val="clear" w:color="auto" w:fill="auto"/>
            <w:vAlign w:val="center"/>
          </w:tcPr>
          <w:p w:rsidR="000B2F4C" w:rsidRPr="00E07062" w:rsidRDefault="000B2F4C" w:rsidP="00476EE6">
            <w:pPr>
              <w:widowControl/>
              <w:rPr>
                <w:rFonts w:ascii="Arial Narrow" w:hAnsi="Arial Narrow"/>
                <w:sz w:val="20"/>
                <w:szCs w:val="18"/>
              </w:rPr>
            </w:pPr>
            <w:r w:rsidRPr="00E07062">
              <w:rPr>
                <w:rFonts w:ascii="Arial Narrow" w:hAnsi="Arial Narrow"/>
                <w:sz w:val="20"/>
                <w:szCs w:val="18"/>
              </w:rPr>
              <w:t>Progression free at 5 years, %</w:t>
            </w:r>
          </w:p>
        </w:tc>
        <w:tc>
          <w:tcPr>
            <w:tcW w:w="945" w:type="pct"/>
            <w:gridSpan w:val="2"/>
            <w:tcBorders>
              <w:top w:val="single" w:sz="4" w:space="0" w:color="auto"/>
              <w:left w:val="single" w:sz="4" w:space="0" w:color="auto"/>
              <w:bottom w:val="double" w:sz="4" w:space="0" w:color="auto"/>
              <w:right w:val="single" w:sz="4" w:space="0" w:color="auto"/>
            </w:tcBorders>
            <w:vAlign w:val="center"/>
          </w:tcPr>
          <w:p w:rsidR="000B2F4C" w:rsidRPr="00E07062" w:rsidRDefault="00C80466" w:rsidP="00476EE6">
            <w:pPr>
              <w:widowControl/>
              <w:jc w:val="center"/>
              <w:rPr>
                <w:rFonts w:ascii="Arial Narrow" w:hAnsi="Arial Narrow"/>
                <w:sz w:val="20"/>
              </w:rPr>
            </w:pPr>
            <w:r w:rsidRPr="00E07062">
              <w:rPr>
                <w:rFonts w:ascii="Arial Narrow" w:hAnsi="Arial Narrow"/>
                <w:sz w:val="20"/>
              </w:rPr>
              <w:t>49.0</w:t>
            </w:r>
            <w:r w:rsidR="000B2F4C" w:rsidRPr="00E07062">
              <w:rPr>
                <w:rFonts w:ascii="Arial Narrow" w:hAnsi="Arial Narrow"/>
                <w:sz w:val="20"/>
              </w:rPr>
              <w:t>%</w:t>
            </w:r>
          </w:p>
        </w:tc>
        <w:tc>
          <w:tcPr>
            <w:tcW w:w="945" w:type="pct"/>
            <w:gridSpan w:val="2"/>
            <w:tcBorders>
              <w:top w:val="single" w:sz="4" w:space="0" w:color="auto"/>
              <w:left w:val="single" w:sz="4" w:space="0" w:color="auto"/>
              <w:bottom w:val="double" w:sz="4" w:space="0" w:color="auto"/>
              <w:right w:val="single" w:sz="4" w:space="0" w:color="auto"/>
            </w:tcBorders>
            <w:vAlign w:val="center"/>
          </w:tcPr>
          <w:p w:rsidR="000B2F4C" w:rsidRPr="00E07062" w:rsidRDefault="00C80466" w:rsidP="00476EE6">
            <w:pPr>
              <w:widowControl/>
              <w:jc w:val="center"/>
              <w:rPr>
                <w:rFonts w:ascii="Arial Narrow" w:hAnsi="Arial Narrow"/>
                <w:sz w:val="20"/>
              </w:rPr>
            </w:pPr>
            <w:r w:rsidRPr="00E07062">
              <w:rPr>
                <w:rFonts w:ascii="Arial Narrow" w:hAnsi="Arial Narrow"/>
                <w:sz w:val="20"/>
              </w:rPr>
              <w:t>32.4</w:t>
            </w:r>
            <w:r w:rsidR="000B2F4C" w:rsidRPr="00E07062">
              <w:rPr>
                <w:rFonts w:ascii="Arial Narrow" w:hAnsi="Arial Narrow"/>
                <w:sz w:val="20"/>
              </w:rPr>
              <w:t>%</w:t>
            </w:r>
          </w:p>
        </w:tc>
        <w:tc>
          <w:tcPr>
            <w:tcW w:w="947" w:type="pct"/>
            <w:gridSpan w:val="2"/>
            <w:tcBorders>
              <w:top w:val="single" w:sz="4" w:space="0" w:color="auto"/>
              <w:left w:val="single" w:sz="4" w:space="0" w:color="auto"/>
              <w:bottom w:val="double" w:sz="4" w:space="0" w:color="auto"/>
              <w:right w:val="single" w:sz="4" w:space="0" w:color="auto"/>
            </w:tcBorders>
            <w:vAlign w:val="center"/>
          </w:tcPr>
          <w:p w:rsidR="000B2F4C" w:rsidRPr="00E07062" w:rsidRDefault="00C80466" w:rsidP="00476EE6">
            <w:pPr>
              <w:widowControl/>
              <w:jc w:val="center"/>
              <w:rPr>
                <w:rFonts w:ascii="Arial Narrow" w:hAnsi="Arial Narrow"/>
                <w:sz w:val="20"/>
                <w:szCs w:val="18"/>
              </w:rPr>
            </w:pPr>
            <w:r w:rsidRPr="00E07062">
              <w:rPr>
                <w:rFonts w:ascii="Arial Narrow" w:hAnsi="Arial Narrow"/>
                <w:sz w:val="20"/>
                <w:szCs w:val="18"/>
              </w:rPr>
              <w:t>16.6%</w:t>
            </w:r>
          </w:p>
        </w:tc>
        <w:tc>
          <w:tcPr>
            <w:tcW w:w="826" w:type="pct"/>
            <w:tcBorders>
              <w:top w:val="single" w:sz="4" w:space="0" w:color="auto"/>
              <w:left w:val="single" w:sz="4" w:space="0" w:color="auto"/>
              <w:bottom w:val="double" w:sz="4" w:space="0" w:color="auto"/>
              <w:right w:val="single" w:sz="4" w:space="0" w:color="auto"/>
            </w:tcBorders>
            <w:vAlign w:val="center"/>
          </w:tcPr>
          <w:p w:rsidR="000B2F4C" w:rsidRPr="0010040E" w:rsidRDefault="00C80466" w:rsidP="00476EE6">
            <w:pPr>
              <w:widowControl/>
              <w:jc w:val="center"/>
              <w:rPr>
                <w:rFonts w:ascii="Arial Narrow" w:hAnsi="Arial Narrow"/>
                <w:i/>
                <w:sz w:val="20"/>
                <w:szCs w:val="18"/>
              </w:rPr>
            </w:pPr>
            <w:r w:rsidRPr="0010040E">
              <w:rPr>
                <w:rFonts w:ascii="Arial Narrow" w:hAnsi="Arial Narrow"/>
                <w:i/>
                <w:sz w:val="20"/>
                <w:szCs w:val="18"/>
              </w:rPr>
              <w:t>-</w:t>
            </w:r>
          </w:p>
        </w:tc>
      </w:tr>
      <w:tr w:rsidR="005E7102" w:rsidRPr="003A3555" w:rsidTr="00453D1C">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5E7102" w:rsidRPr="00600AD1" w:rsidRDefault="005E7102" w:rsidP="00476EE6">
            <w:pPr>
              <w:widowControl/>
              <w:jc w:val="left"/>
              <w:rPr>
                <w:rFonts w:ascii="Arial Narrow" w:hAnsi="Arial Narrow"/>
                <w:b/>
                <w:sz w:val="20"/>
                <w:szCs w:val="18"/>
              </w:rPr>
            </w:pPr>
            <w:r w:rsidRPr="00600AD1">
              <w:rPr>
                <w:rFonts w:ascii="Arial Narrow" w:hAnsi="Arial Narrow"/>
                <w:b/>
                <w:sz w:val="20"/>
                <w:szCs w:val="18"/>
              </w:rPr>
              <w:t>OS: CALGB</w:t>
            </w:r>
          </w:p>
        </w:tc>
      </w:tr>
      <w:tr w:rsidR="0067411C" w:rsidRPr="003A3555" w:rsidTr="0067411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5E7102" w:rsidRPr="003A3555" w:rsidRDefault="005E7102" w:rsidP="00476EE6">
            <w:pPr>
              <w:widowControl/>
              <w:rPr>
                <w:rFonts w:ascii="Arial Narrow" w:hAnsi="Arial Narrow"/>
                <w:sz w:val="20"/>
                <w:szCs w:val="18"/>
              </w:rPr>
            </w:pPr>
            <w:proofErr w:type="spellStart"/>
            <w:r w:rsidRPr="003A3555">
              <w:rPr>
                <w:rFonts w:ascii="Arial Narrow" w:hAnsi="Arial Narrow"/>
                <w:sz w:val="20"/>
                <w:szCs w:val="18"/>
              </w:rPr>
              <w:t>Dead</w:t>
            </w:r>
            <w:r w:rsidRPr="003A3555">
              <w:rPr>
                <w:rFonts w:ascii="Arial Narrow" w:hAnsi="Arial Narrow"/>
                <w:sz w:val="20"/>
                <w:szCs w:val="18"/>
                <w:vertAlign w:val="superscript"/>
              </w:rPr>
              <w:t>a</w:t>
            </w:r>
            <w:proofErr w:type="spellEnd"/>
            <w:r w:rsidR="0085410E">
              <w:rPr>
                <w:rFonts w:ascii="Arial Narrow" w:hAnsi="Arial Narrow"/>
                <w:sz w:val="20"/>
                <w:szCs w:val="18"/>
              </w:rPr>
              <w:t xml:space="preserve">, </w:t>
            </w:r>
            <w:r w:rsidRPr="003A3555">
              <w:rPr>
                <w:rFonts w:ascii="Arial Narrow" w:hAnsi="Arial Narrow"/>
                <w:sz w:val="20"/>
                <w:szCs w:val="18"/>
              </w:rPr>
              <w:t>n/N (%)</w:t>
            </w:r>
          </w:p>
        </w:tc>
        <w:tc>
          <w:tcPr>
            <w:tcW w:w="945" w:type="pct"/>
            <w:gridSpan w:val="2"/>
            <w:tcBorders>
              <w:top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rPr>
            </w:pPr>
            <w:r w:rsidRPr="003A3555">
              <w:rPr>
                <w:rFonts w:ascii="Arial Narrow" w:hAnsi="Arial Narrow"/>
                <w:sz w:val="20"/>
              </w:rPr>
              <w:t>88/231 (38.1)</w:t>
            </w:r>
          </w:p>
        </w:tc>
        <w:tc>
          <w:tcPr>
            <w:tcW w:w="945" w:type="pct"/>
            <w:gridSpan w:val="2"/>
            <w:tcBorders>
              <w:top w:val="single" w:sz="4" w:space="0" w:color="auto"/>
              <w:left w:val="single" w:sz="4" w:space="0" w:color="auto"/>
              <w:bottom w:val="single" w:sz="4" w:space="0" w:color="auto"/>
            </w:tcBorders>
            <w:vAlign w:val="center"/>
          </w:tcPr>
          <w:p w:rsidR="005E7102" w:rsidRPr="003A3555" w:rsidRDefault="005E7102" w:rsidP="00476EE6">
            <w:pPr>
              <w:widowControl/>
              <w:jc w:val="center"/>
              <w:rPr>
                <w:rFonts w:ascii="Arial Narrow" w:hAnsi="Arial Narrow"/>
                <w:sz w:val="20"/>
              </w:rPr>
            </w:pPr>
            <w:r w:rsidRPr="003A3555">
              <w:rPr>
                <w:rFonts w:ascii="Arial Narrow" w:hAnsi="Arial Narrow"/>
                <w:sz w:val="20"/>
              </w:rPr>
              <w:t>120/229 (52.4)</w:t>
            </w:r>
          </w:p>
        </w:tc>
        <w:tc>
          <w:tcPr>
            <w:tcW w:w="947" w:type="pct"/>
            <w:gridSpan w:val="2"/>
            <w:tcBorders>
              <w:top w:val="single" w:sz="4" w:space="0" w:color="auto"/>
              <w:left w:val="single" w:sz="4" w:space="0" w:color="auto"/>
              <w:bottom w:val="single" w:sz="4" w:space="0" w:color="auto"/>
              <w:right w:val="single" w:sz="4" w:space="0" w:color="auto"/>
            </w:tcBorders>
            <w:vAlign w:val="center"/>
          </w:tcPr>
          <w:p w:rsidR="005E7102" w:rsidRPr="00600AD1" w:rsidRDefault="005E7102" w:rsidP="00476EE6">
            <w:pPr>
              <w:widowControl/>
              <w:jc w:val="center"/>
              <w:rPr>
                <w:rFonts w:ascii="Arial Narrow" w:hAnsi="Arial Narrow"/>
                <w:sz w:val="20"/>
                <w:szCs w:val="18"/>
              </w:rPr>
            </w:pPr>
            <w:r w:rsidRPr="00600AD1">
              <w:rPr>
                <w:rFonts w:ascii="Arial Narrow" w:hAnsi="Arial Narrow"/>
                <w:sz w:val="20"/>
                <w:szCs w:val="18"/>
              </w:rPr>
              <w:t>14</w:t>
            </w:r>
          </w:p>
        </w:tc>
        <w:tc>
          <w:tcPr>
            <w:tcW w:w="826"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b/>
                <w:sz w:val="20"/>
                <w:szCs w:val="18"/>
              </w:rPr>
            </w:pPr>
            <w:r w:rsidRPr="003A3555">
              <w:rPr>
                <w:rFonts w:ascii="Arial Narrow" w:hAnsi="Arial Narrow"/>
                <w:b/>
                <w:sz w:val="20"/>
                <w:szCs w:val="18"/>
              </w:rPr>
              <w:t>0.61 (0.46, 0.80)</w:t>
            </w:r>
          </w:p>
        </w:tc>
      </w:tr>
      <w:tr w:rsidR="0067411C" w:rsidRPr="003A3555" w:rsidTr="0067411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5E7102" w:rsidRPr="003A3555" w:rsidRDefault="005E7102" w:rsidP="00476EE6">
            <w:pPr>
              <w:widowControl/>
              <w:rPr>
                <w:rFonts w:ascii="Arial Narrow" w:hAnsi="Arial Narrow"/>
                <w:sz w:val="20"/>
                <w:szCs w:val="18"/>
              </w:rPr>
            </w:pPr>
            <w:r w:rsidRPr="003A3555">
              <w:rPr>
                <w:rFonts w:ascii="Arial Narrow" w:hAnsi="Arial Narrow"/>
                <w:sz w:val="20"/>
                <w:szCs w:val="18"/>
              </w:rPr>
              <w:t>Median</w:t>
            </w:r>
            <w:r w:rsidR="0085410E">
              <w:rPr>
                <w:rFonts w:ascii="Arial Narrow" w:hAnsi="Arial Narrow"/>
                <w:sz w:val="20"/>
                <w:szCs w:val="18"/>
              </w:rPr>
              <w:t>, months</w:t>
            </w:r>
            <w:r w:rsidRPr="003A3555">
              <w:rPr>
                <w:rFonts w:ascii="Arial Narrow" w:hAnsi="Arial Narrow"/>
                <w:sz w:val="20"/>
                <w:szCs w:val="18"/>
              </w:rPr>
              <w:t xml:space="preserve"> (</w:t>
            </w:r>
            <w:r w:rsidR="0085410E">
              <w:rPr>
                <w:rFonts w:ascii="Arial Narrow" w:hAnsi="Arial Narrow"/>
                <w:sz w:val="20"/>
                <w:szCs w:val="18"/>
              </w:rPr>
              <w:t>95% CI)</w:t>
            </w:r>
          </w:p>
        </w:tc>
        <w:tc>
          <w:tcPr>
            <w:tcW w:w="945" w:type="pct"/>
            <w:gridSpan w:val="2"/>
            <w:tcBorders>
              <w:top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rPr>
            </w:pPr>
            <w:r w:rsidRPr="003A3555">
              <w:rPr>
                <w:rFonts w:ascii="Arial Narrow" w:hAnsi="Arial Narrow"/>
                <w:sz w:val="20"/>
              </w:rPr>
              <w:t>113.8 (100.4, NE)</w:t>
            </w:r>
          </w:p>
        </w:tc>
        <w:tc>
          <w:tcPr>
            <w:tcW w:w="945" w:type="pct"/>
            <w:gridSpan w:val="2"/>
            <w:tcBorders>
              <w:top w:val="single" w:sz="4" w:space="0" w:color="auto"/>
              <w:left w:val="single" w:sz="4" w:space="0" w:color="auto"/>
              <w:bottom w:val="single" w:sz="4" w:space="0" w:color="auto"/>
            </w:tcBorders>
            <w:vAlign w:val="center"/>
          </w:tcPr>
          <w:p w:rsidR="005E7102" w:rsidRPr="003A3555" w:rsidRDefault="005E7102" w:rsidP="00476EE6">
            <w:pPr>
              <w:widowControl/>
              <w:jc w:val="center"/>
              <w:rPr>
                <w:rFonts w:ascii="Arial Narrow" w:hAnsi="Arial Narrow"/>
                <w:sz w:val="20"/>
              </w:rPr>
            </w:pPr>
            <w:r w:rsidRPr="003A3555">
              <w:rPr>
                <w:rFonts w:ascii="Arial Narrow" w:hAnsi="Arial Narrow"/>
                <w:sz w:val="20"/>
              </w:rPr>
              <w:t>84.1 (73.8, 106.0)</w:t>
            </w:r>
          </w:p>
        </w:tc>
        <w:tc>
          <w:tcPr>
            <w:tcW w:w="947" w:type="pct"/>
            <w:gridSpan w:val="2"/>
            <w:tcBorders>
              <w:top w:val="single" w:sz="4" w:space="0" w:color="auto"/>
              <w:left w:val="single" w:sz="4" w:space="0" w:color="auto"/>
              <w:bottom w:val="single" w:sz="4" w:space="0" w:color="auto"/>
              <w:right w:val="single" w:sz="4" w:space="0" w:color="auto"/>
            </w:tcBorders>
            <w:vAlign w:val="center"/>
          </w:tcPr>
          <w:p w:rsidR="005E7102" w:rsidRPr="00600AD1" w:rsidRDefault="005E7102" w:rsidP="00476EE6">
            <w:pPr>
              <w:widowControl/>
              <w:jc w:val="center"/>
              <w:rPr>
                <w:rFonts w:ascii="Arial Narrow" w:hAnsi="Arial Narrow"/>
                <w:sz w:val="20"/>
                <w:szCs w:val="18"/>
              </w:rPr>
            </w:pPr>
            <w:r w:rsidRPr="00600AD1">
              <w:rPr>
                <w:rFonts w:ascii="Arial Narrow" w:hAnsi="Arial Narrow"/>
                <w:sz w:val="20"/>
                <w:szCs w:val="18"/>
              </w:rPr>
              <w:t>29.7</w:t>
            </w:r>
          </w:p>
        </w:tc>
        <w:tc>
          <w:tcPr>
            <w:tcW w:w="826"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18"/>
              </w:rPr>
            </w:pPr>
            <w:r w:rsidRPr="003A3555">
              <w:rPr>
                <w:rFonts w:ascii="Arial Narrow" w:hAnsi="Arial Narrow"/>
                <w:sz w:val="20"/>
                <w:szCs w:val="18"/>
              </w:rPr>
              <w:t>-</w:t>
            </w:r>
          </w:p>
        </w:tc>
      </w:tr>
      <w:tr w:rsidR="0067411C" w:rsidRPr="003A3555" w:rsidTr="0067411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5E7102" w:rsidRPr="003A3555" w:rsidRDefault="005E7102" w:rsidP="00476EE6">
            <w:pPr>
              <w:widowControl/>
              <w:rPr>
                <w:rFonts w:ascii="Arial Narrow" w:hAnsi="Arial Narrow"/>
                <w:sz w:val="20"/>
                <w:szCs w:val="18"/>
              </w:rPr>
            </w:pPr>
            <w:proofErr w:type="spellStart"/>
            <w:r w:rsidRPr="003A3555">
              <w:rPr>
                <w:rFonts w:ascii="Arial Narrow" w:hAnsi="Arial Narrow"/>
                <w:sz w:val="20"/>
                <w:szCs w:val="18"/>
              </w:rPr>
              <w:t>Dead</w:t>
            </w:r>
            <w:r w:rsidRPr="003A3555">
              <w:rPr>
                <w:rFonts w:ascii="Arial Narrow" w:hAnsi="Arial Narrow"/>
                <w:sz w:val="20"/>
                <w:szCs w:val="18"/>
                <w:vertAlign w:val="superscript"/>
              </w:rPr>
              <w:t>b</w:t>
            </w:r>
            <w:proofErr w:type="spellEnd"/>
            <w:r w:rsidR="0085410E">
              <w:rPr>
                <w:rFonts w:ascii="Arial Narrow" w:hAnsi="Arial Narrow"/>
                <w:sz w:val="20"/>
                <w:szCs w:val="18"/>
              </w:rPr>
              <w:t xml:space="preserve">, </w:t>
            </w:r>
            <w:r w:rsidRPr="003A3555">
              <w:rPr>
                <w:rFonts w:ascii="Arial Narrow" w:hAnsi="Arial Narrow"/>
                <w:sz w:val="20"/>
                <w:szCs w:val="18"/>
              </w:rPr>
              <w:t>n/N (%)</w:t>
            </w:r>
          </w:p>
        </w:tc>
        <w:tc>
          <w:tcPr>
            <w:tcW w:w="945" w:type="pct"/>
            <w:gridSpan w:val="2"/>
            <w:tcBorders>
              <w:top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rPr>
            </w:pPr>
            <w:r w:rsidRPr="003A3555">
              <w:rPr>
                <w:rFonts w:ascii="Arial Narrow" w:hAnsi="Arial Narrow"/>
                <w:sz w:val="20"/>
              </w:rPr>
              <w:t>72/231 (31.2)</w:t>
            </w:r>
          </w:p>
        </w:tc>
        <w:tc>
          <w:tcPr>
            <w:tcW w:w="945" w:type="pct"/>
            <w:gridSpan w:val="2"/>
            <w:tcBorders>
              <w:top w:val="single" w:sz="4" w:space="0" w:color="auto"/>
              <w:left w:val="single" w:sz="4" w:space="0" w:color="auto"/>
              <w:bottom w:val="single" w:sz="4" w:space="0" w:color="auto"/>
            </w:tcBorders>
            <w:vAlign w:val="center"/>
          </w:tcPr>
          <w:p w:rsidR="005E7102" w:rsidRPr="003A3555" w:rsidRDefault="005E7102" w:rsidP="00476EE6">
            <w:pPr>
              <w:widowControl/>
              <w:jc w:val="center"/>
              <w:rPr>
                <w:rFonts w:ascii="Arial Narrow" w:hAnsi="Arial Narrow"/>
                <w:sz w:val="20"/>
              </w:rPr>
            </w:pPr>
            <w:r w:rsidRPr="003A3555">
              <w:rPr>
                <w:rFonts w:ascii="Arial Narrow" w:hAnsi="Arial Narrow"/>
                <w:sz w:val="20"/>
              </w:rPr>
              <w:t>109/229 (47.6)</w:t>
            </w:r>
          </w:p>
        </w:tc>
        <w:tc>
          <w:tcPr>
            <w:tcW w:w="947" w:type="pct"/>
            <w:gridSpan w:val="2"/>
            <w:tcBorders>
              <w:top w:val="single" w:sz="4" w:space="0" w:color="auto"/>
              <w:left w:val="single" w:sz="4" w:space="0" w:color="auto"/>
              <w:bottom w:val="single" w:sz="4" w:space="0" w:color="auto"/>
              <w:right w:val="single" w:sz="4" w:space="0" w:color="auto"/>
            </w:tcBorders>
            <w:vAlign w:val="center"/>
          </w:tcPr>
          <w:p w:rsidR="005E7102" w:rsidRPr="00600AD1" w:rsidRDefault="005E7102" w:rsidP="00476EE6">
            <w:pPr>
              <w:widowControl/>
              <w:jc w:val="center"/>
              <w:rPr>
                <w:rFonts w:ascii="Arial Narrow" w:hAnsi="Arial Narrow"/>
                <w:sz w:val="20"/>
                <w:szCs w:val="18"/>
              </w:rPr>
            </w:pPr>
            <w:r w:rsidRPr="00600AD1">
              <w:rPr>
                <w:rFonts w:ascii="Arial Narrow" w:hAnsi="Arial Narrow"/>
                <w:sz w:val="20"/>
                <w:szCs w:val="18"/>
              </w:rPr>
              <w:t>16</w:t>
            </w:r>
          </w:p>
        </w:tc>
        <w:tc>
          <w:tcPr>
            <w:tcW w:w="826"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b/>
                <w:sz w:val="20"/>
                <w:szCs w:val="18"/>
              </w:rPr>
            </w:pPr>
            <w:r w:rsidRPr="003A3555">
              <w:rPr>
                <w:rFonts w:ascii="Arial Narrow" w:hAnsi="Arial Narrow"/>
                <w:b/>
                <w:sz w:val="20"/>
                <w:szCs w:val="18"/>
              </w:rPr>
              <w:t>0.57 (0.42, 0.76)</w:t>
            </w:r>
          </w:p>
        </w:tc>
      </w:tr>
      <w:tr w:rsidR="0067411C" w:rsidRPr="003A3555" w:rsidTr="000B2F4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5E7102" w:rsidRPr="003A3555" w:rsidRDefault="005E7102" w:rsidP="00476EE6">
            <w:pPr>
              <w:widowControl/>
              <w:rPr>
                <w:rFonts w:ascii="Arial Narrow" w:hAnsi="Arial Narrow"/>
                <w:sz w:val="20"/>
                <w:szCs w:val="18"/>
              </w:rPr>
            </w:pPr>
            <w:r w:rsidRPr="003A3555">
              <w:rPr>
                <w:rFonts w:ascii="Arial Narrow" w:hAnsi="Arial Narrow"/>
                <w:sz w:val="20"/>
                <w:szCs w:val="18"/>
              </w:rPr>
              <w:t>Median</w:t>
            </w:r>
            <w:r w:rsidR="0085410E">
              <w:rPr>
                <w:rFonts w:ascii="Arial Narrow" w:hAnsi="Arial Narrow"/>
                <w:sz w:val="20"/>
                <w:szCs w:val="18"/>
              </w:rPr>
              <w:t>, months</w:t>
            </w:r>
            <w:r w:rsidRPr="003A3555">
              <w:rPr>
                <w:rFonts w:ascii="Arial Narrow" w:hAnsi="Arial Narrow"/>
                <w:sz w:val="20"/>
                <w:szCs w:val="18"/>
              </w:rPr>
              <w:t xml:space="preserve"> (</w:t>
            </w:r>
            <w:r w:rsidR="0085410E">
              <w:rPr>
                <w:rFonts w:ascii="Arial Narrow" w:hAnsi="Arial Narrow"/>
                <w:sz w:val="20"/>
                <w:szCs w:val="18"/>
              </w:rPr>
              <w:t>95% CI</w:t>
            </w:r>
            <w:r w:rsidRPr="003A3555">
              <w:rPr>
                <w:rFonts w:ascii="Arial Narrow" w:hAnsi="Arial Narrow"/>
                <w:sz w:val="20"/>
                <w:szCs w:val="18"/>
              </w:rPr>
              <w:t>)</w:t>
            </w:r>
          </w:p>
        </w:tc>
        <w:tc>
          <w:tcPr>
            <w:tcW w:w="945" w:type="pct"/>
            <w:gridSpan w:val="2"/>
            <w:tcBorders>
              <w:top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rPr>
            </w:pPr>
            <w:r w:rsidRPr="003A3555">
              <w:rPr>
                <w:rFonts w:ascii="Arial Narrow" w:hAnsi="Arial Narrow"/>
                <w:sz w:val="20"/>
              </w:rPr>
              <w:t>NR (NE, NE)</w:t>
            </w:r>
          </w:p>
        </w:tc>
        <w:tc>
          <w:tcPr>
            <w:tcW w:w="945" w:type="pct"/>
            <w:gridSpan w:val="2"/>
            <w:tcBorders>
              <w:top w:val="single" w:sz="4" w:space="0" w:color="auto"/>
              <w:left w:val="single" w:sz="4" w:space="0" w:color="auto"/>
              <w:bottom w:val="single" w:sz="4" w:space="0" w:color="auto"/>
            </w:tcBorders>
            <w:vAlign w:val="center"/>
          </w:tcPr>
          <w:p w:rsidR="005E7102" w:rsidRPr="003A3555" w:rsidRDefault="005E7102" w:rsidP="00476EE6">
            <w:pPr>
              <w:widowControl/>
              <w:jc w:val="center"/>
              <w:rPr>
                <w:rFonts w:ascii="Arial Narrow" w:hAnsi="Arial Narrow"/>
                <w:sz w:val="20"/>
              </w:rPr>
            </w:pPr>
            <w:r w:rsidRPr="003A3555">
              <w:rPr>
                <w:rFonts w:ascii="Arial Narrow" w:hAnsi="Arial Narrow"/>
                <w:sz w:val="20"/>
              </w:rPr>
              <w:t>79.0 (70.2, 88.4)</w:t>
            </w:r>
          </w:p>
        </w:tc>
        <w:tc>
          <w:tcPr>
            <w:tcW w:w="947" w:type="pct"/>
            <w:gridSpan w:val="2"/>
            <w:tcBorders>
              <w:top w:val="single" w:sz="4" w:space="0" w:color="auto"/>
              <w:left w:val="single" w:sz="4" w:space="0" w:color="auto"/>
              <w:bottom w:val="single" w:sz="4" w:space="0" w:color="auto"/>
              <w:right w:val="single" w:sz="4" w:space="0" w:color="auto"/>
            </w:tcBorders>
            <w:vAlign w:val="center"/>
          </w:tcPr>
          <w:p w:rsidR="005E7102" w:rsidRPr="00600AD1" w:rsidRDefault="005E7102" w:rsidP="00476EE6">
            <w:pPr>
              <w:widowControl/>
              <w:jc w:val="center"/>
              <w:rPr>
                <w:rFonts w:ascii="Arial Narrow" w:hAnsi="Arial Narrow"/>
                <w:sz w:val="20"/>
                <w:szCs w:val="18"/>
              </w:rPr>
            </w:pPr>
            <w:r w:rsidRPr="00600AD1">
              <w:rPr>
                <w:rFonts w:ascii="Arial Narrow" w:hAnsi="Arial Narrow"/>
                <w:sz w:val="20"/>
                <w:szCs w:val="18"/>
              </w:rPr>
              <w:t>NE</w:t>
            </w:r>
          </w:p>
        </w:tc>
        <w:tc>
          <w:tcPr>
            <w:tcW w:w="826"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18"/>
              </w:rPr>
            </w:pPr>
            <w:r w:rsidRPr="003A3555">
              <w:rPr>
                <w:rFonts w:ascii="Arial Narrow" w:hAnsi="Arial Narrow"/>
                <w:sz w:val="20"/>
                <w:szCs w:val="18"/>
              </w:rPr>
              <w:t>-</w:t>
            </w:r>
          </w:p>
        </w:tc>
      </w:tr>
      <w:tr w:rsidR="000B2F4C" w:rsidRPr="0010040E" w:rsidTr="0067411C">
        <w:tc>
          <w:tcPr>
            <w:tcW w:w="1337" w:type="pct"/>
            <w:tcBorders>
              <w:top w:val="single" w:sz="4" w:space="0" w:color="auto"/>
              <w:left w:val="single" w:sz="4" w:space="0" w:color="auto"/>
              <w:bottom w:val="double" w:sz="4" w:space="0" w:color="auto"/>
              <w:right w:val="single" w:sz="4" w:space="0" w:color="auto"/>
            </w:tcBorders>
            <w:shd w:val="clear" w:color="auto" w:fill="auto"/>
            <w:vAlign w:val="center"/>
          </w:tcPr>
          <w:p w:rsidR="000B2F4C" w:rsidRPr="00E07062" w:rsidRDefault="000B2F4C" w:rsidP="00476EE6">
            <w:pPr>
              <w:widowControl/>
              <w:rPr>
                <w:rFonts w:ascii="Arial Narrow" w:hAnsi="Arial Narrow"/>
                <w:sz w:val="20"/>
                <w:szCs w:val="18"/>
              </w:rPr>
            </w:pPr>
            <w:r w:rsidRPr="00E07062">
              <w:rPr>
                <w:rFonts w:ascii="Arial Narrow" w:hAnsi="Arial Narrow"/>
                <w:sz w:val="20"/>
                <w:szCs w:val="18"/>
              </w:rPr>
              <w:t xml:space="preserve">Alive at 5 years, % </w:t>
            </w:r>
          </w:p>
        </w:tc>
        <w:tc>
          <w:tcPr>
            <w:tcW w:w="945" w:type="pct"/>
            <w:gridSpan w:val="2"/>
            <w:tcBorders>
              <w:top w:val="single" w:sz="4" w:space="0" w:color="auto"/>
              <w:bottom w:val="single" w:sz="4" w:space="0" w:color="auto"/>
              <w:right w:val="single" w:sz="4" w:space="0" w:color="auto"/>
            </w:tcBorders>
            <w:vAlign w:val="center"/>
          </w:tcPr>
          <w:p w:rsidR="000B2F4C" w:rsidRPr="00E07062" w:rsidRDefault="000B2F4C" w:rsidP="00476EE6">
            <w:pPr>
              <w:widowControl/>
              <w:jc w:val="center"/>
              <w:rPr>
                <w:rFonts w:ascii="Arial Narrow" w:hAnsi="Arial Narrow"/>
                <w:sz w:val="20"/>
              </w:rPr>
            </w:pPr>
            <w:r w:rsidRPr="00E07062">
              <w:rPr>
                <w:rFonts w:ascii="Arial Narrow" w:hAnsi="Arial Narrow"/>
                <w:sz w:val="20"/>
              </w:rPr>
              <w:t>74</w:t>
            </w:r>
            <w:r w:rsidR="00C80466" w:rsidRPr="00E07062">
              <w:rPr>
                <w:rFonts w:ascii="Arial Narrow" w:hAnsi="Arial Narrow"/>
                <w:sz w:val="20"/>
              </w:rPr>
              <w:t>.4</w:t>
            </w:r>
            <w:r w:rsidRPr="00E07062">
              <w:rPr>
                <w:rFonts w:ascii="Arial Narrow" w:hAnsi="Arial Narrow"/>
                <w:sz w:val="20"/>
              </w:rPr>
              <w:t xml:space="preserve">% </w:t>
            </w:r>
          </w:p>
        </w:tc>
        <w:tc>
          <w:tcPr>
            <w:tcW w:w="945" w:type="pct"/>
            <w:gridSpan w:val="2"/>
            <w:tcBorders>
              <w:top w:val="single" w:sz="4" w:space="0" w:color="auto"/>
              <w:left w:val="single" w:sz="4" w:space="0" w:color="auto"/>
              <w:bottom w:val="single" w:sz="4" w:space="0" w:color="auto"/>
            </w:tcBorders>
            <w:vAlign w:val="center"/>
          </w:tcPr>
          <w:p w:rsidR="000B2F4C" w:rsidRPr="00E07062" w:rsidRDefault="000B2F4C" w:rsidP="00476EE6">
            <w:pPr>
              <w:widowControl/>
              <w:jc w:val="center"/>
              <w:rPr>
                <w:rFonts w:ascii="Arial Narrow" w:hAnsi="Arial Narrow"/>
                <w:sz w:val="20"/>
              </w:rPr>
            </w:pPr>
            <w:r w:rsidRPr="00E07062">
              <w:rPr>
                <w:rFonts w:ascii="Arial Narrow" w:hAnsi="Arial Narrow"/>
                <w:sz w:val="20"/>
              </w:rPr>
              <w:t>62</w:t>
            </w:r>
            <w:r w:rsidR="00C80466" w:rsidRPr="00E07062">
              <w:rPr>
                <w:rFonts w:ascii="Arial Narrow" w:hAnsi="Arial Narrow"/>
                <w:sz w:val="20"/>
              </w:rPr>
              <w:t>.1</w:t>
            </w:r>
            <w:r w:rsidRPr="00E07062">
              <w:rPr>
                <w:rFonts w:ascii="Arial Narrow" w:hAnsi="Arial Narrow"/>
                <w:sz w:val="20"/>
              </w:rPr>
              <w:t xml:space="preserve">% </w:t>
            </w:r>
          </w:p>
        </w:tc>
        <w:tc>
          <w:tcPr>
            <w:tcW w:w="947" w:type="pct"/>
            <w:gridSpan w:val="2"/>
            <w:tcBorders>
              <w:top w:val="single" w:sz="4" w:space="0" w:color="auto"/>
              <w:left w:val="single" w:sz="4" w:space="0" w:color="auto"/>
              <w:bottom w:val="double" w:sz="4" w:space="0" w:color="auto"/>
              <w:right w:val="single" w:sz="4" w:space="0" w:color="auto"/>
            </w:tcBorders>
            <w:vAlign w:val="center"/>
          </w:tcPr>
          <w:p w:rsidR="000B2F4C" w:rsidRPr="00E07062" w:rsidRDefault="000B2F4C" w:rsidP="00476EE6">
            <w:pPr>
              <w:widowControl/>
              <w:jc w:val="center"/>
              <w:rPr>
                <w:rFonts w:ascii="Arial Narrow" w:hAnsi="Arial Narrow"/>
                <w:sz w:val="20"/>
                <w:szCs w:val="18"/>
              </w:rPr>
            </w:pPr>
            <w:r w:rsidRPr="00E07062">
              <w:rPr>
                <w:rFonts w:ascii="Arial Narrow" w:hAnsi="Arial Narrow"/>
                <w:sz w:val="20"/>
                <w:szCs w:val="18"/>
              </w:rPr>
              <w:t>12</w:t>
            </w:r>
            <w:r w:rsidR="00C80466" w:rsidRPr="00E07062">
              <w:rPr>
                <w:rFonts w:ascii="Arial Narrow" w:hAnsi="Arial Narrow"/>
                <w:sz w:val="20"/>
                <w:szCs w:val="18"/>
              </w:rPr>
              <w:t>.3</w:t>
            </w:r>
            <w:r w:rsidRPr="00E07062">
              <w:rPr>
                <w:rFonts w:ascii="Arial Narrow" w:hAnsi="Arial Narrow"/>
                <w:sz w:val="20"/>
                <w:szCs w:val="18"/>
              </w:rPr>
              <w:t>%</w:t>
            </w:r>
          </w:p>
        </w:tc>
        <w:tc>
          <w:tcPr>
            <w:tcW w:w="826" w:type="pct"/>
            <w:tcBorders>
              <w:top w:val="single" w:sz="4" w:space="0" w:color="auto"/>
              <w:left w:val="single" w:sz="4" w:space="0" w:color="auto"/>
              <w:bottom w:val="double" w:sz="4" w:space="0" w:color="auto"/>
              <w:right w:val="single" w:sz="4" w:space="0" w:color="auto"/>
            </w:tcBorders>
            <w:vAlign w:val="center"/>
          </w:tcPr>
          <w:p w:rsidR="000B2F4C" w:rsidRPr="0010040E" w:rsidRDefault="000B2F4C" w:rsidP="00476EE6">
            <w:pPr>
              <w:widowControl/>
              <w:jc w:val="center"/>
              <w:rPr>
                <w:rFonts w:ascii="Arial Narrow" w:hAnsi="Arial Narrow"/>
                <w:i/>
                <w:sz w:val="20"/>
                <w:szCs w:val="18"/>
              </w:rPr>
            </w:pPr>
            <w:r w:rsidRPr="0010040E">
              <w:rPr>
                <w:rFonts w:ascii="Arial Narrow" w:hAnsi="Arial Narrow"/>
                <w:i/>
                <w:sz w:val="20"/>
                <w:szCs w:val="18"/>
              </w:rPr>
              <w:t>-</w:t>
            </w:r>
          </w:p>
        </w:tc>
      </w:tr>
      <w:tr w:rsidR="005E7102" w:rsidRPr="003A3555" w:rsidTr="00453D1C">
        <w:tc>
          <w:tcPr>
            <w:tcW w:w="5000" w:type="pct"/>
            <w:gridSpan w:val="8"/>
            <w:tcBorders>
              <w:top w:val="double" w:sz="4" w:space="0" w:color="auto"/>
              <w:left w:val="single" w:sz="4" w:space="0" w:color="auto"/>
              <w:bottom w:val="single" w:sz="4" w:space="0" w:color="auto"/>
              <w:right w:val="single" w:sz="4" w:space="0" w:color="auto"/>
            </w:tcBorders>
            <w:shd w:val="clear" w:color="auto" w:fill="auto"/>
            <w:vAlign w:val="center"/>
          </w:tcPr>
          <w:p w:rsidR="005E7102" w:rsidRPr="003A3555" w:rsidRDefault="005E7102" w:rsidP="00476EE6">
            <w:pPr>
              <w:widowControl/>
              <w:rPr>
                <w:rFonts w:ascii="Arial Narrow" w:hAnsi="Arial Narrow"/>
                <w:b/>
                <w:sz w:val="20"/>
                <w:szCs w:val="18"/>
              </w:rPr>
            </w:pPr>
            <w:r w:rsidRPr="003A3555">
              <w:rPr>
                <w:rFonts w:ascii="Arial Narrow" w:hAnsi="Arial Narrow"/>
                <w:b/>
                <w:sz w:val="20"/>
                <w:szCs w:val="18"/>
              </w:rPr>
              <w:t xml:space="preserve">Harms </w:t>
            </w:r>
          </w:p>
        </w:tc>
      </w:tr>
      <w:tr w:rsidR="0085410E" w:rsidRPr="003A3555" w:rsidTr="0067411C">
        <w:trPr>
          <w:trHeight w:val="70"/>
        </w:trPr>
        <w:tc>
          <w:tcPr>
            <w:tcW w:w="13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410E" w:rsidRPr="003A3555" w:rsidRDefault="0085410E" w:rsidP="00476EE6">
            <w:pPr>
              <w:widowControl/>
              <w:rPr>
                <w:rFonts w:ascii="Arial Narrow" w:hAnsi="Arial Narrow"/>
                <w:b/>
                <w:sz w:val="20"/>
                <w:szCs w:val="18"/>
              </w:rPr>
            </w:pPr>
          </w:p>
        </w:tc>
        <w:tc>
          <w:tcPr>
            <w:tcW w:w="473" w:type="pct"/>
            <w:vMerge w:val="restart"/>
            <w:tcBorders>
              <w:top w:val="single" w:sz="4" w:space="0" w:color="auto"/>
              <w:left w:val="single" w:sz="4" w:space="0" w:color="auto"/>
              <w:right w:val="single" w:sz="4" w:space="0" w:color="auto"/>
            </w:tcBorders>
            <w:vAlign w:val="center"/>
          </w:tcPr>
          <w:p w:rsidR="0085410E" w:rsidRPr="003A3555" w:rsidRDefault="0085410E" w:rsidP="00476EE6">
            <w:pPr>
              <w:widowControl/>
              <w:jc w:val="center"/>
              <w:rPr>
                <w:rFonts w:ascii="Arial Narrow" w:hAnsi="Arial Narrow"/>
                <w:b/>
                <w:sz w:val="20"/>
                <w:szCs w:val="18"/>
              </w:rPr>
            </w:pPr>
            <w:r w:rsidRPr="003A3555">
              <w:rPr>
                <w:rFonts w:ascii="Arial Narrow" w:hAnsi="Arial Narrow"/>
                <w:b/>
                <w:sz w:val="20"/>
                <w:szCs w:val="18"/>
              </w:rPr>
              <w:t>LEN</w:t>
            </w:r>
          </w:p>
        </w:tc>
        <w:tc>
          <w:tcPr>
            <w:tcW w:w="473" w:type="pct"/>
            <w:vMerge w:val="restart"/>
            <w:tcBorders>
              <w:top w:val="single" w:sz="4" w:space="0" w:color="auto"/>
              <w:left w:val="single" w:sz="4" w:space="0" w:color="auto"/>
              <w:bottom w:val="single" w:sz="4" w:space="0" w:color="auto"/>
              <w:right w:val="single" w:sz="4" w:space="0" w:color="auto"/>
            </w:tcBorders>
            <w:vAlign w:val="center"/>
          </w:tcPr>
          <w:p w:rsidR="0085410E" w:rsidRPr="003A3555" w:rsidRDefault="0085410E" w:rsidP="00476EE6">
            <w:pPr>
              <w:widowControl/>
              <w:jc w:val="center"/>
              <w:rPr>
                <w:rFonts w:ascii="Arial Narrow" w:hAnsi="Arial Narrow"/>
                <w:b/>
                <w:sz w:val="20"/>
                <w:szCs w:val="18"/>
              </w:rPr>
            </w:pPr>
            <w:r w:rsidRPr="003A3555">
              <w:rPr>
                <w:rFonts w:ascii="Arial Narrow" w:hAnsi="Arial Narrow"/>
                <w:b/>
                <w:sz w:val="20"/>
                <w:szCs w:val="18"/>
              </w:rPr>
              <w:t>BSC</w:t>
            </w:r>
          </w:p>
        </w:tc>
        <w:tc>
          <w:tcPr>
            <w:tcW w:w="789" w:type="pct"/>
            <w:vMerge w:val="restart"/>
            <w:tcBorders>
              <w:top w:val="single" w:sz="4" w:space="0" w:color="auto"/>
              <w:left w:val="single" w:sz="4" w:space="0" w:color="auto"/>
              <w:bottom w:val="single" w:sz="4" w:space="0" w:color="auto"/>
              <w:right w:val="single" w:sz="4" w:space="0" w:color="auto"/>
            </w:tcBorders>
            <w:vAlign w:val="center"/>
          </w:tcPr>
          <w:p w:rsidR="0085410E" w:rsidRPr="003A3555" w:rsidRDefault="0085410E" w:rsidP="00476EE6">
            <w:pPr>
              <w:widowControl/>
              <w:jc w:val="center"/>
              <w:rPr>
                <w:rFonts w:ascii="Arial Narrow" w:hAnsi="Arial Narrow"/>
                <w:b/>
                <w:sz w:val="20"/>
                <w:szCs w:val="18"/>
              </w:rPr>
            </w:pPr>
            <w:r w:rsidRPr="003A3555">
              <w:rPr>
                <w:rFonts w:ascii="Arial Narrow" w:hAnsi="Arial Narrow"/>
                <w:b/>
                <w:sz w:val="20"/>
                <w:szCs w:val="18"/>
              </w:rPr>
              <w:t>RR (95% CI)</w:t>
            </w:r>
          </w:p>
        </w:tc>
        <w:tc>
          <w:tcPr>
            <w:tcW w:w="1103" w:type="pct"/>
            <w:gridSpan w:val="3"/>
            <w:tcBorders>
              <w:top w:val="single" w:sz="4" w:space="0" w:color="auto"/>
              <w:left w:val="single" w:sz="4" w:space="0" w:color="auto"/>
              <w:bottom w:val="single" w:sz="4" w:space="0" w:color="auto"/>
              <w:right w:val="single" w:sz="4" w:space="0" w:color="auto"/>
            </w:tcBorders>
            <w:vAlign w:val="center"/>
          </w:tcPr>
          <w:p w:rsidR="0085410E" w:rsidRPr="003A3555" w:rsidRDefault="0085410E" w:rsidP="00476EE6">
            <w:pPr>
              <w:widowControl/>
              <w:jc w:val="center"/>
              <w:rPr>
                <w:rFonts w:ascii="Arial Narrow" w:hAnsi="Arial Narrow"/>
                <w:b/>
                <w:sz w:val="20"/>
                <w:szCs w:val="18"/>
              </w:rPr>
            </w:pPr>
            <w:r w:rsidRPr="003A3555">
              <w:rPr>
                <w:rFonts w:ascii="Arial Narrow" w:hAnsi="Arial Narrow"/>
                <w:b/>
                <w:sz w:val="20"/>
                <w:szCs w:val="18"/>
              </w:rPr>
              <w:t xml:space="preserve">Event rate/100 patients* </w:t>
            </w:r>
          </w:p>
        </w:tc>
        <w:tc>
          <w:tcPr>
            <w:tcW w:w="826" w:type="pct"/>
            <w:vMerge w:val="restart"/>
            <w:tcBorders>
              <w:top w:val="single" w:sz="4" w:space="0" w:color="auto"/>
              <w:left w:val="single" w:sz="4" w:space="0" w:color="auto"/>
              <w:bottom w:val="single" w:sz="4" w:space="0" w:color="auto"/>
              <w:right w:val="single" w:sz="4" w:space="0" w:color="auto"/>
            </w:tcBorders>
            <w:vAlign w:val="center"/>
          </w:tcPr>
          <w:p w:rsidR="0085410E" w:rsidRPr="003A3555" w:rsidRDefault="0085410E" w:rsidP="00476EE6">
            <w:pPr>
              <w:widowControl/>
              <w:jc w:val="center"/>
              <w:rPr>
                <w:rFonts w:ascii="Arial Narrow" w:hAnsi="Arial Narrow"/>
                <w:b/>
                <w:sz w:val="20"/>
                <w:szCs w:val="18"/>
              </w:rPr>
            </w:pPr>
            <w:r w:rsidRPr="003A3555">
              <w:rPr>
                <w:rFonts w:ascii="Arial Narrow" w:hAnsi="Arial Narrow"/>
                <w:b/>
                <w:sz w:val="20"/>
                <w:szCs w:val="18"/>
              </w:rPr>
              <w:t>RD (95% CI)</w:t>
            </w:r>
          </w:p>
        </w:tc>
      </w:tr>
      <w:tr w:rsidR="0085410E" w:rsidRPr="003A3555" w:rsidTr="0067411C">
        <w:trPr>
          <w:trHeight w:val="243"/>
        </w:trPr>
        <w:tc>
          <w:tcPr>
            <w:tcW w:w="1336" w:type="pct"/>
            <w:vMerge/>
            <w:tcBorders>
              <w:top w:val="single" w:sz="4" w:space="0" w:color="auto"/>
              <w:left w:val="single" w:sz="4" w:space="0" w:color="auto"/>
              <w:bottom w:val="single" w:sz="4" w:space="0" w:color="auto"/>
              <w:right w:val="single" w:sz="4" w:space="0" w:color="auto"/>
            </w:tcBorders>
            <w:shd w:val="clear" w:color="auto" w:fill="auto"/>
            <w:vAlign w:val="center"/>
          </w:tcPr>
          <w:p w:rsidR="0085410E" w:rsidRPr="003A3555" w:rsidRDefault="0085410E" w:rsidP="00476EE6">
            <w:pPr>
              <w:widowControl/>
              <w:rPr>
                <w:rFonts w:ascii="Arial Narrow" w:hAnsi="Arial Narrow"/>
                <w:b/>
                <w:sz w:val="20"/>
                <w:szCs w:val="18"/>
              </w:rPr>
            </w:pPr>
          </w:p>
        </w:tc>
        <w:tc>
          <w:tcPr>
            <w:tcW w:w="473" w:type="pct"/>
            <w:vMerge/>
            <w:tcBorders>
              <w:left w:val="single" w:sz="4" w:space="0" w:color="auto"/>
              <w:bottom w:val="single" w:sz="4" w:space="0" w:color="auto"/>
              <w:right w:val="single" w:sz="4" w:space="0" w:color="auto"/>
            </w:tcBorders>
            <w:vAlign w:val="center"/>
          </w:tcPr>
          <w:p w:rsidR="0085410E" w:rsidRPr="003A3555" w:rsidRDefault="0085410E" w:rsidP="00476EE6">
            <w:pPr>
              <w:widowControl/>
              <w:jc w:val="center"/>
              <w:rPr>
                <w:rFonts w:ascii="Arial Narrow" w:hAnsi="Arial Narrow"/>
                <w:b/>
                <w:sz w:val="20"/>
                <w:szCs w:val="18"/>
              </w:rPr>
            </w:pPr>
          </w:p>
        </w:tc>
        <w:tc>
          <w:tcPr>
            <w:tcW w:w="473" w:type="pct"/>
            <w:vMerge/>
            <w:tcBorders>
              <w:top w:val="single" w:sz="4" w:space="0" w:color="auto"/>
              <w:left w:val="single" w:sz="4" w:space="0" w:color="auto"/>
              <w:bottom w:val="single" w:sz="4" w:space="0" w:color="auto"/>
              <w:right w:val="single" w:sz="4" w:space="0" w:color="auto"/>
            </w:tcBorders>
            <w:vAlign w:val="center"/>
          </w:tcPr>
          <w:p w:rsidR="0085410E" w:rsidRPr="003A3555" w:rsidRDefault="0085410E" w:rsidP="00476EE6">
            <w:pPr>
              <w:widowControl/>
              <w:jc w:val="center"/>
              <w:rPr>
                <w:rFonts w:ascii="Arial Narrow" w:hAnsi="Arial Narrow"/>
                <w:b/>
                <w:sz w:val="20"/>
                <w:szCs w:val="18"/>
              </w:rPr>
            </w:pPr>
          </w:p>
        </w:tc>
        <w:tc>
          <w:tcPr>
            <w:tcW w:w="789" w:type="pct"/>
            <w:vMerge/>
            <w:tcBorders>
              <w:top w:val="single" w:sz="4" w:space="0" w:color="auto"/>
              <w:left w:val="single" w:sz="4" w:space="0" w:color="auto"/>
              <w:bottom w:val="single" w:sz="4" w:space="0" w:color="auto"/>
              <w:right w:val="single" w:sz="4" w:space="0" w:color="auto"/>
            </w:tcBorders>
            <w:vAlign w:val="center"/>
          </w:tcPr>
          <w:p w:rsidR="0085410E" w:rsidRPr="003A3555" w:rsidRDefault="0085410E" w:rsidP="00476EE6">
            <w:pPr>
              <w:widowControl/>
              <w:jc w:val="center"/>
              <w:rPr>
                <w:rFonts w:ascii="Arial Narrow" w:hAnsi="Arial Narrow"/>
                <w:b/>
                <w:sz w:val="20"/>
                <w:szCs w:val="18"/>
              </w:rPr>
            </w:pPr>
          </w:p>
        </w:tc>
        <w:tc>
          <w:tcPr>
            <w:tcW w:w="551" w:type="pct"/>
            <w:gridSpan w:val="2"/>
            <w:tcBorders>
              <w:top w:val="single" w:sz="4" w:space="0" w:color="auto"/>
              <w:left w:val="single" w:sz="4" w:space="0" w:color="auto"/>
              <w:bottom w:val="single" w:sz="4" w:space="0" w:color="auto"/>
              <w:right w:val="single" w:sz="4" w:space="0" w:color="auto"/>
            </w:tcBorders>
            <w:vAlign w:val="center"/>
          </w:tcPr>
          <w:p w:rsidR="0085410E" w:rsidRPr="003A3555" w:rsidRDefault="0085410E" w:rsidP="00476EE6">
            <w:pPr>
              <w:widowControl/>
              <w:jc w:val="center"/>
              <w:rPr>
                <w:rFonts w:ascii="Arial Narrow" w:hAnsi="Arial Narrow"/>
                <w:b/>
                <w:sz w:val="20"/>
                <w:szCs w:val="18"/>
              </w:rPr>
            </w:pPr>
            <w:r w:rsidRPr="003A3555">
              <w:rPr>
                <w:rFonts w:ascii="Arial Narrow" w:hAnsi="Arial Narrow"/>
                <w:b/>
                <w:sz w:val="20"/>
                <w:szCs w:val="18"/>
              </w:rPr>
              <w:t>LEN</w:t>
            </w:r>
          </w:p>
        </w:tc>
        <w:tc>
          <w:tcPr>
            <w:tcW w:w="552" w:type="pct"/>
            <w:tcBorders>
              <w:top w:val="single" w:sz="4" w:space="0" w:color="auto"/>
              <w:left w:val="single" w:sz="4" w:space="0" w:color="auto"/>
              <w:bottom w:val="single" w:sz="4" w:space="0" w:color="auto"/>
              <w:right w:val="single" w:sz="4" w:space="0" w:color="auto"/>
            </w:tcBorders>
            <w:vAlign w:val="center"/>
          </w:tcPr>
          <w:p w:rsidR="0085410E" w:rsidRPr="003A3555" w:rsidRDefault="0085410E" w:rsidP="00476EE6">
            <w:pPr>
              <w:widowControl/>
              <w:jc w:val="center"/>
              <w:rPr>
                <w:rFonts w:ascii="Arial Narrow" w:hAnsi="Arial Narrow"/>
                <w:b/>
                <w:sz w:val="20"/>
                <w:szCs w:val="18"/>
              </w:rPr>
            </w:pPr>
            <w:r w:rsidRPr="003A3555">
              <w:rPr>
                <w:rFonts w:ascii="Arial Narrow" w:hAnsi="Arial Narrow"/>
                <w:b/>
                <w:sz w:val="20"/>
                <w:szCs w:val="18"/>
              </w:rPr>
              <w:t>BSC</w:t>
            </w:r>
          </w:p>
        </w:tc>
        <w:tc>
          <w:tcPr>
            <w:tcW w:w="826" w:type="pct"/>
            <w:vMerge/>
            <w:tcBorders>
              <w:top w:val="single" w:sz="4" w:space="0" w:color="auto"/>
              <w:left w:val="single" w:sz="4" w:space="0" w:color="auto"/>
              <w:bottom w:val="single" w:sz="4" w:space="0" w:color="auto"/>
              <w:right w:val="single" w:sz="4" w:space="0" w:color="auto"/>
            </w:tcBorders>
            <w:vAlign w:val="center"/>
          </w:tcPr>
          <w:p w:rsidR="0085410E" w:rsidRPr="003A3555" w:rsidRDefault="0085410E" w:rsidP="00476EE6">
            <w:pPr>
              <w:widowControl/>
              <w:jc w:val="center"/>
              <w:rPr>
                <w:rFonts w:ascii="Arial Narrow" w:hAnsi="Arial Narrow"/>
                <w:b/>
                <w:sz w:val="20"/>
                <w:szCs w:val="18"/>
              </w:rPr>
            </w:pPr>
          </w:p>
        </w:tc>
      </w:tr>
      <w:tr w:rsidR="005E7102" w:rsidRPr="003A3555" w:rsidTr="00453D1C">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5E7102" w:rsidRPr="003A3555" w:rsidRDefault="005E7102" w:rsidP="00476EE6">
            <w:pPr>
              <w:widowControl/>
              <w:rPr>
                <w:rFonts w:ascii="Arial Narrow" w:hAnsi="Arial Narrow"/>
                <w:sz w:val="20"/>
                <w:szCs w:val="18"/>
              </w:rPr>
            </w:pPr>
            <w:r w:rsidRPr="003A3555">
              <w:rPr>
                <w:rFonts w:ascii="Arial Narrow" w:hAnsi="Arial Narrow"/>
                <w:b/>
                <w:sz w:val="20"/>
                <w:szCs w:val="18"/>
              </w:rPr>
              <w:t>Neutropenia (Grade 3 or 4)</w:t>
            </w:r>
          </w:p>
        </w:tc>
      </w:tr>
      <w:tr w:rsidR="0067411C" w:rsidRPr="003A3555" w:rsidTr="0067411C">
        <w:tc>
          <w:tcPr>
            <w:tcW w:w="1336" w:type="pct"/>
            <w:tcBorders>
              <w:top w:val="single" w:sz="4" w:space="0" w:color="auto"/>
              <w:left w:val="single" w:sz="4" w:space="0" w:color="auto"/>
              <w:bottom w:val="single" w:sz="4" w:space="0" w:color="auto"/>
              <w:right w:val="single" w:sz="4" w:space="0" w:color="auto"/>
            </w:tcBorders>
            <w:shd w:val="clear" w:color="auto" w:fill="auto"/>
            <w:vAlign w:val="center"/>
          </w:tcPr>
          <w:p w:rsidR="005E7102" w:rsidRPr="003A3555" w:rsidRDefault="005E7102" w:rsidP="00476EE6">
            <w:pPr>
              <w:widowControl/>
              <w:rPr>
                <w:rFonts w:ascii="Arial Narrow" w:hAnsi="Arial Narrow"/>
                <w:sz w:val="20"/>
                <w:szCs w:val="18"/>
                <w:vertAlign w:val="superscript"/>
              </w:rPr>
            </w:pPr>
            <w:proofErr w:type="spellStart"/>
            <w:r w:rsidRPr="003A3555">
              <w:rPr>
                <w:rFonts w:ascii="Arial Narrow" w:hAnsi="Arial Narrow"/>
                <w:sz w:val="20"/>
                <w:szCs w:val="18"/>
              </w:rPr>
              <w:t>CALGB</w:t>
            </w:r>
            <w:r w:rsidR="0055746D" w:rsidRPr="003A3555">
              <w:rPr>
                <w:rFonts w:ascii="Arial Narrow" w:hAnsi="Arial Narrow"/>
                <w:sz w:val="20"/>
                <w:szCs w:val="18"/>
                <w:vertAlign w:val="superscript"/>
              </w:rPr>
              <w:t>b</w:t>
            </w:r>
            <w:proofErr w:type="spellEnd"/>
          </w:p>
        </w:tc>
        <w:tc>
          <w:tcPr>
            <w:tcW w:w="473"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18"/>
              </w:rPr>
            </w:pPr>
            <w:r w:rsidRPr="003A3555">
              <w:rPr>
                <w:rFonts w:ascii="Arial Narrow" w:hAnsi="Arial Narrow"/>
                <w:sz w:val="20"/>
                <w:szCs w:val="18"/>
              </w:rPr>
              <w:t>133/224</w:t>
            </w:r>
          </w:p>
        </w:tc>
        <w:tc>
          <w:tcPr>
            <w:tcW w:w="473"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18"/>
              </w:rPr>
            </w:pPr>
            <w:r w:rsidRPr="003A3555">
              <w:rPr>
                <w:rFonts w:ascii="Arial Narrow" w:hAnsi="Arial Narrow"/>
                <w:sz w:val="20"/>
                <w:szCs w:val="18"/>
              </w:rPr>
              <w:t>73/221</w:t>
            </w:r>
          </w:p>
        </w:tc>
        <w:tc>
          <w:tcPr>
            <w:tcW w:w="789"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18"/>
              </w:rPr>
            </w:pPr>
            <w:r w:rsidRPr="003A3555">
              <w:rPr>
                <w:rFonts w:ascii="Arial Narrow" w:hAnsi="Arial Narrow"/>
                <w:sz w:val="20"/>
                <w:szCs w:val="18"/>
              </w:rPr>
              <w:t>1.80 (1.45, 2.23)</w:t>
            </w:r>
          </w:p>
        </w:tc>
        <w:tc>
          <w:tcPr>
            <w:tcW w:w="551" w:type="pct"/>
            <w:gridSpan w:val="2"/>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18"/>
              </w:rPr>
            </w:pPr>
            <w:r w:rsidRPr="003A3555">
              <w:rPr>
                <w:rFonts w:ascii="Arial Narrow" w:hAnsi="Arial Narrow"/>
                <w:sz w:val="20"/>
                <w:szCs w:val="18"/>
              </w:rPr>
              <w:t>59.4</w:t>
            </w:r>
          </w:p>
        </w:tc>
        <w:tc>
          <w:tcPr>
            <w:tcW w:w="552"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18"/>
              </w:rPr>
            </w:pPr>
            <w:r w:rsidRPr="003A3555">
              <w:rPr>
                <w:rFonts w:ascii="Arial Narrow" w:hAnsi="Arial Narrow"/>
                <w:sz w:val="20"/>
                <w:szCs w:val="18"/>
              </w:rPr>
              <w:t>33.0</w:t>
            </w:r>
          </w:p>
        </w:tc>
        <w:tc>
          <w:tcPr>
            <w:tcW w:w="826"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b/>
                <w:sz w:val="20"/>
                <w:szCs w:val="18"/>
              </w:rPr>
            </w:pPr>
            <w:r w:rsidRPr="003A3555">
              <w:rPr>
                <w:rFonts w:ascii="Arial Narrow" w:hAnsi="Arial Narrow"/>
                <w:b/>
                <w:sz w:val="20"/>
                <w:szCs w:val="18"/>
              </w:rPr>
              <w:t>0.26 (0.17, 0.35)</w:t>
            </w:r>
          </w:p>
        </w:tc>
      </w:tr>
      <w:tr w:rsidR="005E7102" w:rsidRPr="003A3555" w:rsidTr="00453D1C">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5E7102" w:rsidRPr="003A3555" w:rsidRDefault="005E7102" w:rsidP="00476EE6">
            <w:pPr>
              <w:widowControl/>
              <w:jc w:val="left"/>
              <w:rPr>
                <w:rFonts w:ascii="Arial Narrow" w:hAnsi="Arial Narrow"/>
                <w:b/>
                <w:sz w:val="20"/>
                <w:szCs w:val="18"/>
              </w:rPr>
            </w:pPr>
            <w:r w:rsidRPr="003A3555">
              <w:rPr>
                <w:rFonts w:ascii="Arial Narrow" w:hAnsi="Arial Narrow"/>
                <w:b/>
                <w:sz w:val="20"/>
                <w:szCs w:val="18"/>
              </w:rPr>
              <w:t>Leukopenia (Grade 3 or 4)</w:t>
            </w:r>
          </w:p>
        </w:tc>
      </w:tr>
      <w:tr w:rsidR="0085410E" w:rsidRPr="003A3555" w:rsidTr="0067411C">
        <w:tc>
          <w:tcPr>
            <w:tcW w:w="1336" w:type="pct"/>
            <w:tcBorders>
              <w:top w:val="single" w:sz="4" w:space="0" w:color="auto"/>
              <w:left w:val="single" w:sz="4" w:space="0" w:color="auto"/>
              <w:bottom w:val="single" w:sz="4" w:space="0" w:color="auto"/>
              <w:right w:val="single" w:sz="4" w:space="0" w:color="auto"/>
            </w:tcBorders>
            <w:shd w:val="clear" w:color="auto" w:fill="auto"/>
            <w:vAlign w:val="center"/>
          </w:tcPr>
          <w:p w:rsidR="005E7102" w:rsidRPr="003A3555" w:rsidRDefault="005E7102" w:rsidP="00476EE6">
            <w:pPr>
              <w:widowControl/>
              <w:rPr>
                <w:rFonts w:ascii="Arial Narrow" w:hAnsi="Arial Narrow"/>
                <w:sz w:val="20"/>
                <w:szCs w:val="18"/>
                <w:vertAlign w:val="superscript"/>
              </w:rPr>
            </w:pPr>
            <w:proofErr w:type="spellStart"/>
            <w:r w:rsidRPr="003A3555">
              <w:rPr>
                <w:rFonts w:ascii="Arial Narrow" w:hAnsi="Arial Narrow"/>
                <w:sz w:val="20"/>
                <w:szCs w:val="18"/>
              </w:rPr>
              <w:t>CALGB</w:t>
            </w:r>
            <w:r w:rsidR="0055746D" w:rsidRPr="003A3555">
              <w:rPr>
                <w:rFonts w:ascii="Arial Narrow" w:hAnsi="Arial Narrow"/>
                <w:sz w:val="20"/>
                <w:szCs w:val="18"/>
                <w:vertAlign w:val="superscript"/>
              </w:rPr>
              <w:t>b</w:t>
            </w:r>
            <w:proofErr w:type="spellEnd"/>
          </w:p>
        </w:tc>
        <w:tc>
          <w:tcPr>
            <w:tcW w:w="473"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18"/>
              </w:rPr>
            </w:pPr>
            <w:r w:rsidRPr="003A3555">
              <w:rPr>
                <w:rFonts w:ascii="Arial Narrow" w:hAnsi="Arial Narrow"/>
                <w:sz w:val="20"/>
                <w:szCs w:val="18"/>
              </w:rPr>
              <w:t>45/224</w:t>
            </w:r>
          </w:p>
        </w:tc>
        <w:tc>
          <w:tcPr>
            <w:tcW w:w="473"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18"/>
              </w:rPr>
            </w:pPr>
            <w:r w:rsidRPr="003A3555">
              <w:rPr>
                <w:rFonts w:ascii="Arial Narrow" w:hAnsi="Arial Narrow"/>
                <w:sz w:val="20"/>
                <w:szCs w:val="18"/>
              </w:rPr>
              <w:t>22/221</w:t>
            </w:r>
          </w:p>
        </w:tc>
        <w:tc>
          <w:tcPr>
            <w:tcW w:w="789"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18"/>
              </w:rPr>
            </w:pPr>
            <w:r w:rsidRPr="003A3555">
              <w:rPr>
                <w:rFonts w:ascii="Arial Narrow" w:hAnsi="Arial Narrow"/>
                <w:sz w:val="20"/>
                <w:szCs w:val="18"/>
              </w:rPr>
              <w:t>2.02 (1.26, 3.24)</w:t>
            </w:r>
          </w:p>
        </w:tc>
        <w:tc>
          <w:tcPr>
            <w:tcW w:w="551" w:type="pct"/>
            <w:gridSpan w:val="2"/>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18"/>
              </w:rPr>
            </w:pPr>
            <w:r w:rsidRPr="003A3555">
              <w:rPr>
                <w:rFonts w:ascii="Arial Narrow" w:hAnsi="Arial Narrow"/>
                <w:sz w:val="20"/>
                <w:szCs w:val="18"/>
              </w:rPr>
              <w:t>20.1</w:t>
            </w:r>
          </w:p>
        </w:tc>
        <w:tc>
          <w:tcPr>
            <w:tcW w:w="552"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18"/>
              </w:rPr>
            </w:pPr>
            <w:r w:rsidRPr="003A3555">
              <w:rPr>
                <w:rFonts w:ascii="Arial Narrow" w:hAnsi="Arial Narrow"/>
                <w:sz w:val="20"/>
                <w:szCs w:val="18"/>
              </w:rPr>
              <w:t>10.0</w:t>
            </w:r>
          </w:p>
        </w:tc>
        <w:tc>
          <w:tcPr>
            <w:tcW w:w="826"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b/>
                <w:sz w:val="20"/>
                <w:szCs w:val="18"/>
              </w:rPr>
            </w:pPr>
            <w:r w:rsidRPr="003A3555">
              <w:rPr>
                <w:rFonts w:ascii="Arial Narrow" w:hAnsi="Arial Narrow"/>
                <w:b/>
                <w:sz w:val="20"/>
                <w:szCs w:val="18"/>
              </w:rPr>
              <w:t>0.10 (0.04, 0.17)</w:t>
            </w:r>
          </w:p>
        </w:tc>
      </w:tr>
      <w:tr w:rsidR="005E7102" w:rsidRPr="003A3555" w:rsidTr="00453D1C">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5E7102" w:rsidRPr="003A3555" w:rsidRDefault="005E7102" w:rsidP="00476EE6">
            <w:pPr>
              <w:widowControl/>
              <w:rPr>
                <w:rFonts w:ascii="Arial Narrow" w:hAnsi="Arial Narrow"/>
                <w:b/>
                <w:sz w:val="20"/>
                <w:szCs w:val="18"/>
              </w:rPr>
            </w:pPr>
            <w:r w:rsidRPr="003A3555">
              <w:rPr>
                <w:rFonts w:ascii="Arial Narrow" w:hAnsi="Arial Narrow"/>
                <w:b/>
                <w:sz w:val="20"/>
                <w:szCs w:val="18"/>
              </w:rPr>
              <w:t xml:space="preserve">Secondary primary malignancy </w:t>
            </w:r>
          </w:p>
        </w:tc>
      </w:tr>
      <w:tr w:rsidR="0085410E" w:rsidRPr="003A3555" w:rsidTr="0067411C">
        <w:tc>
          <w:tcPr>
            <w:tcW w:w="1336" w:type="pct"/>
            <w:tcBorders>
              <w:top w:val="single" w:sz="4" w:space="0" w:color="auto"/>
              <w:left w:val="single" w:sz="4" w:space="0" w:color="auto"/>
              <w:bottom w:val="single" w:sz="4" w:space="0" w:color="auto"/>
              <w:right w:val="single" w:sz="4" w:space="0" w:color="auto"/>
            </w:tcBorders>
            <w:shd w:val="clear" w:color="auto" w:fill="auto"/>
          </w:tcPr>
          <w:p w:rsidR="005E7102" w:rsidRPr="003A3555" w:rsidRDefault="005E7102" w:rsidP="00476EE6">
            <w:pPr>
              <w:widowControl/>
              <w:rPr>
                <w:rFonts w:ascii="Arial Narrow" w:hAnsi="Arial Narrow"/>
                <w:sz w:val="20"/>
                <w:szCs w:val="18"/>
                <w:vertAlign w:val="superscript"/>
              </w:rPr>
            </w:pPr>
            <w:proofErr w:type="spellStart"/>
            <w:r w:rsidRPr="003A3555">
              <w:rPr>
                <w:rFonts w:ascii="Arial Narrow" w:hAnsi="Arial Narrow"/>
                <w:sz w:val="20"/>
                <w:szCs w:val="18"/>
              </w:rPr>
              <w:t>CALGB</w:t>
            </w:r>
            <w:r w:rsidR="0055746D" w:rsidRPr="003A3555">
              <w:rPr>
                <w:rFonts w:ascii="Arial Narrow" w:hAnsi="Arial Narrow"/>
                <w:sz w:val="20"/>
                <w:szCs w:val="18"/>
                <w:vertAlign w:val="superscript"/>
              </w:rPr>
              <w:t>b</w:t>
            </w:r>
            <w:proofErr w:type="spellEnd"/>
          </w:p>
        </w:tc>
        <w:tc>
          <w:tcPr>
            <w:tcW w:w="473"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18"/>
              </w:rPr>
            </w:pPr>
            <w:r w:rsidRPr="003A3555">
              <w:rPr>
                <w:rFonts w:ascii="Arial Narrow" w:hAnsi="Arial Narrow"/>
                <w:sz w:val="20"/>
                <w:szCs w:val="18"/>
              </w:rPr>
              <w:t>42/224</w:t>
            </w:r>
          </w:p>
        </w:tc>
        <w:tc>
          <w:tcPr>
            <w:tcW w:w="473"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18"/>
              </w:rPr>
            </w:pPr>
            <w:r w:rsidRPr="003A3555">
              <w:rPr>
                <w:rFonts w:ascii="Arial Narrow" w:hAnsi="Arial Narrow"/>
                <w:sz w:val="20"/>
                <w:szCs w:val="18"/>
              </w:rPr>
              <w:t>24/221</w:t>
            </w:r>
          </w:p>
        </w:tc>
        <w:tc>
          <w:tcPr>
            <w:tcW w:w="789"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i/>
                <w:sz w:val="20"/>
                <w:szCs w:val="18"/>
              </w:rPr>
            </w:pPr>
            <w:r w:rsidRPr="00AD6622">
              <w:rPr>
                <w:rFonts w:ascii="Arial Narrow" w:hAnsi="Arial Narrow"/>
                <w:sz w:val="20"/>
                <w:szCs w:val="18"/>
              </w:rPr>
              <w:t>1.73 (1.08, 2.75)</w:t>
            </w:r>
          </w:p>
        </w:tc>
        <w:tc>
          <w:tcPr>
            <w:tcW w:w="551" w:type="pct"/>
            <w:gridSpan w:val="2"/>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18"/>
              </w:rPr>
            </w:pPr>
            <w:r w:rsidRPr="003A3555">
              <w:rPr>
                <w:rFonts w:ascii="Arial Narrow" w:hAnsi="Arial Narrow"/>
                <w:sz w:val="20"/>
                <w:szCs w:val="18"/>
              </w:rPr>
              <w:t>18.8</w:t>
            </w:r>
          </w:p>
        </w:tc>
        <w:tc>
          <w:tcPr>
            <w:tcW w:w="552"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sz w:val="20"/>
                <w:szCs w:val="18"/>
              </w:rPr>
            </w:pPr>
            <w:r w:rsidRPr="003A3555">
              <w:rPr>
                <w:rFonts w:ascii="Arial Narrow" w:hAnsi="Arial Narrow"/>
                <w:sz w:val="20"/>
                <w:szCs w:val="18"/>
              </w:rPr>
              <w:t>10.9</w:t>
            </w:r>
          </w:p>
        </w:tc>
        <w:tc>
          <w:tcPr>
            <w:tcW w:w="826" w:type="pct"/>
            <w:tcBorders>
              <w:top w:val="single" w:sz="4" w:space="0" w:color="auto"/>
              <w:left w:val="single" w:sz="4" w:space="0" w:color="auto"/>
              <w:bottom w:val="single" w:sz="4" w:space="0" w:color="auto"/>
              <w:right w:val="single" w:sz="4" w:space="0" w:color="auto"/>
            </w:tcBorders>
            <w:vAlign w:val="center"/>
          </w:tcPr>
          <w:p w:rsidR="005E7102" w:rsidRPr="003A3555" w:rsidRDefault="005E7102" w:rsidP="00476EE6">
            <w:pPr>
              <w:widowControl/>
              <w:jc w:val="center"/>
              <w:rPr>
                <w:rFonts w:ascii="Arial Narrow" w:hAnsi="Arial Narrow"/>
                <w:b/>
                <w:sz w:val="20"/>
                <w:szCs w:val="18"/>
              </w:rPr>
            </w:pPr>
            <w:r w:rsidRPr="003A3555">
              <w:rPr>
                <w:rFonts w:ascii="Arial Narrow" w:hAnsi="Arial Narrow"/>
                <w:b/>
                <w:sz w:val="20"/>
                <w:szCs w:val="18"/>
              </w:rPr>
              <w:t>0.08 (0.01, 0.14)</w:t>
            </w:r>
          </w:p>
        </w:tc>
      </w:tr>
    </w:tbl>
    <w:p w:rsidR="0085410E" w:rsidRPr="003A3555" w:rsidRDefault="0085410E" w:rsidP="00476EE6">
      <w:pPr>
        <w:pStyle w:val="TableFooter"/>
        <w:widowControl/>
      </w:pPr>
      <w:r w:rsidRPr="003A3555">
        <w:t>BSC</w:t>
      </w:r>
      <w:r>
        <w:t xml:space="preserve"> =</w:t>
      </w:r>
      <w:r w:rsidRPr="003A3555">
        <w:t xml:space="preserve"> best supportive care; </w:t>
      </w:r>
      <w:r w:rsidR="00AD6622">
        <w:t xml:space="preserve">CI = confidence interval; </w:t>
      </w:r>
      <w:r w:rsidRPr="003A3555">
        <w:t>HR = hazard ratio; LEN</w:t>
      </w:r>
      <w:r>
        <w:t xml:space="preserve"> </w:t>
      </w:r>
      <w:r w:rsidRPr="003A3555">
        <w:t>=</w:t>
      </w:r>
      <w:r>
        <w:t xml:space="preserve"> </w:t>
      </w:r>
      <w:proofErr w:type="spellStart"/>
      <w:r w:rsidRPr="003A3555">
        <w:t>lenalidomide</w:t>
      </w:r>
      <w:proofErr w:type="spellEnd"/>
      <w:r w:rsidRPr="003A3555">
        <w:t>; NE</w:t>
      </w:r>
      <w:r>
        <w:t xml:space="preserve"> </w:t>
      </w:r>
      <w:r w:rsidRPr="003A3555">
        <w:t>=</w:t>
      </w:r>
      <w:r>
        <w:t xml:space="preserve"> </w:t>
      </w:r>
      <w:r w:rsidRPr="003A3555">
        <w:t xml:space="preserve">not evaluable; </w:t>
      </w:r>
      <w:r w:rsidR="00AD6622">
        <w:rPr>
          <w:rFonts w:eastAsia="Calibri"/>
        </w:rPr>
        <w:t xml:space="preserve">OS = overall survival; PFS = progression free survival; </w:t>
      </w:r>
      <w:r w:rsidRPr="003A3555">
        <w:t>RD = risk difference; RR = risk ratio</w:t>
      </w:r>
    </w:p>
    <w:p w:rsidR="0085410E" w:rsidRDefault="0085410E" w:rsidP="00476EE6">
      <w:pPr>
        <w:pStyle w:val="TableFooter"/>
        <w:widowControl/>
      </w:pPr>
      <w:r>
        <w:t xml:space="preserve">a. </w:t>
      </w:r>
      <w:r w:rsidR="005E7102" w:rsidRPr="003A3555">
        <w:t>Median duration of follow-up: CALGB= October 2016 data</w:t>
      </w:r>
      <w:r w:rsidR="005E7102" w:rsidRPr="003A3555">
        <w:noBreakHyphen/>
        <w:t xml:space="preserve">cut is 91 months; </w:t>
      </w:r>
    </w:p>
    <w:p w:rsidR="005E7102" w:rsidRPr="003A3555" w:rsidRDefault="0085410E" w:rsidP="00476EE6">
      <w:pPr>
        <w:pStyle w:val="TableFooter"/>
        <w:widowControl/>
      </w:pPr>
      <w:r>
        <w:t xml:space="preserve">b. </w:t>
      </w:r>
      <w:r w:rsidR="005E7102" w:rsidRPr="003A3555">
        <w:t>Median duration of follow</w:t>
      </w:r>
      <w:r w:rsidR="005E7102" w:rsidRPr="003A3555">
        <w:noBreakHyphen/>
        <w:t>up: CALGB = March 2015 data cut is 72.4 months.</w:t>
      </w:r>
    </w:p>
    <w:p w:rsidR="005E7102" w:rsidRPr="00600AD1" w:rsidRDefault="005E7102" w:rsidP="00476EE6">
      <w:pPr>
        <w:pStyle w:val="TableFooter"/>
        <w:widowControl/>
        <w:rPr>
          <w:sz w:val="20"/>
        </w:rPr>
      </w:pPr>
      <w:r w:rsidRPr="003A3555">
        <w:t>Source: Table 2.5.1, p.80 and Table 2.5.3, p.85-86 of the March-2018 submission</w:t>
      </w:r>
      <w:proofErr w:type="gramStart"/>
      <w:r w:rsidR="0010040E">
        <w:t>;</w:t>
      </w:r>
      <w:proofErr w:type="gramEnd"/>
      <w:r w:rsidR="0010040E">
        <w:t xml:space="preserve"> Table 21, p100 and Table 26, p113 of the CALGB CSR</w:t>
      </w:r>
      <w:r w:rsidRPr="003A3555">
        <w:t>.</w:t>
      </w:r>
      <w:r w:rsidRPr="003A3555">
        <w:rPr>
          <w:i/>
        </w:rPr>
        <w:t xml:space="preserve"> </w:t>
      </w:r>
      <w:r w:rsidRPr="00600AD1">
        <w:t xml:space="preserve">Absolute difference in </w:t>
      </w:r>
      <w:proofErr w:type="gramStart"/>
      <w:r w:rsidRPr="00600AD1">
        <w:t>%</w:t>
      </w:r>
      <w:proofErr w:type="gramEnd"/>
      <w:r w:rsidRPr="00600AD1">
        <w:t xml:space="preserve"> with events calculated during the evaluation.</w:t>
      </w:r>
    </w:p>
    <w:p w:rsidR="005E7102" w:rsidRPr="00600AD1" w:rsidRDefault="005E7102" w:rsidP="00D73042">
      <w:pPr>
        <w:pStyle w:val="ListParagraph"/>
        <w:widowControl/>
        <w:numPr>
          <w:ilvl w:val="1"/>
          <w:numId w:val="2"/>
        </w:numPr>
        <w:spacing w:before="120"/>
      </w:pPr>
      <w:r w:rsidRPr="00600AD1">
        <w:t xml:space="preserve">On the basis of direct evidence presented in the pivotal CALGB trial, for every 100 patients treated with </w:t>
      </w:r>
      <w:proofErr w:type="spellStart"/>
      <w:r w:rsidRPr="00600AD1">
        <w:t>lenalidomide</w:t>
      </w:r>
      <w:proofErr w:type="spellEnd"/>
      <w:r w:rsidRPr="00600AD1">
        <w:t>:</w:t>
      </w:r>
    </w:p>
    <w:p w:rsidR="00C80466" w:rsidRPr="00D539BE" w:rsidRDefault="00C80466" w:rsidP="00D73042">
      <w:pPr>
        <w:pStyle w:val="ListParagraph"/>
        <w:widowControl/>
        <w:numPr>
          <w:ilvl w:val="0"/>
          <w:numId w:val="1"/>
        </w:numPr>
        <w:spacing w:before="120"/>
        <w:ind w:left="992" w:hanging="357"/>
      </w:pPr>
      <w:r w:rsidRPr="00D539BE">
        <w:rPr>
          <w:rFonts w:cs="Calibri"/>
          <w:snapToGrid/>
          <w:szCs w:val="24"/>
          <w:lang w:eastAsia="en-AU"/>
        </w:rPr>
        <w:t xml:space="preserve">Approximately 17 fewer patients would have progressed than if </w:t>
      </w:r>
      <w:proofErr w:type="gramStart"/>
      <w:r w:rsidRPr="00D539BE">
        <w:rPr>
          <w:rFonts w:cs="Calibri"/>
          <w:snapToGrid/>
          <w:szCs w:val="24"/>
          <w:lang w:eastAsia="en-AU"/>
        </w:rPr>
        <w:t>treated</w:t>
      </w:r>
      <w:proofErr w:type="gramEnd"/>
      <w:r w:rsidRPr="00D539BE">
        <w:rPr>
          <w:rFonts w:cs="Calibri"/>
          <w:snapToGrid/>
          <w:szCs w:val="24"/>
          <w:lang w:eastAsia="en-AU"/>
        </w:rPr>
        <w:t xml:space="preserve"> with BSC at 5 years after the start of treatment.</w:t>
      </w:r>
    </w:p>
    <w:p w:rsidR="005E7102" w:rsidRPr="00D539BE" w:rsidRDefault="005E7102" w:rsidP="00D73042">
      <w:pPr>
        <w:pStyle w:val="ListParagraph"/>
        <w:widowControl/>
        <w:numPr>
          <w:ilvl w:val="0"/>
          <w:numId w:val="1"/>
        </w:numPr>
        <w:spacing w:before="120"/>
        <w:ind w:left="992" w:hanging="357"/>
      </w:pPr>
      <w:r w:rsidRPr="00D539BE">
        <w:rPr>
          <w:rFonts w:cs="Calibri"/>
          <w:snapToGrid/>
          <w:szCs w:val="24"/>
          <w:lang w:eastAsia="en-AU"/>
        </w:rPr>
        <w:t>Approximately 1</w:t>
      </w:r>
      <w:r w:rsidR="000B2F4C" w:rsidRPr="00D539BE">
        <w:rPr>
          <w:rFonts w:cs="Calibri"/>
          <w:snapToGrid/>
          <w:szCs w:val="24"/>
          <w:lang w:eastAsia="en-AU"/>
        </w:rPr>
        <w:t xml:space="preserve">2 additional patients would be alive than if treated with BSC at 5 years after the </w:t>
      </w:r>
      <w:r w:rsidR="00C80466" w:rsidRPr="00D539BE">
        <w:rPr>
          <w:rFonts w:cs="Calibri"/>
          <w:snapToGrid/>
          <w:szCs w:val="24"/>
          <w:lang w:eastAsia="en-AU"/>
        </w:rPr>
        <w:t>start</w:t>
      </w:r>
      <w:r w:rsidR="000B2F4C" w:rsidRPr="00D539BE">
        <w:rPr>
          <w:rFonts w:cs="Calibri"/>
          <w:snapToGrid/>
          <w:szCs w:val="24"/>
          <w:lang w:eastAsia="en-AU"/>
        </w:rPr>
        <w:t xml:space="preserve"> of treatment</w:t>
      </w:r>
      <w:r w:rsidRPr="00D539BE">
        <w:rPr>
          <w:rFonts w:cs="Calibri"/>
          <w:snapToGrid/>
          <w:szCs w:val="24"/>
          <w:lang w:eastAsia="en-AU"/>
        </w:rPr>
        <w:t>.</w:t>
      </w:r>
    </w:p>
    <w:p w:rsidR="005E7102" w:rsidRPr="00600AD1" w:rsidRDefault="005E7102" w:rsidP="00D73042">
      <w:pPr>
        <w:pStyle w:val="ListParagraph"/>
        <w:widowControl/>
        <w:numPr>
          <w:ilvl w:val="0"/>
          <w:numId w:val="1"/>
        </w:numPr>
        <w:spacing w:before="120"/>
        <w:ind w:left="992" w:hanging="357"/>
      </w:pPr>
      <w:r w:rsidRPr="00600AD1">
        <w:t xml:space="preserve">Approximately 26 </w:t>
      </w:r>
      <w:r w:rsidR="000B2F4C">
        <w:t>additional</w:t>
      </w:r>
      <w:r w:rsidRPr="00600AD1">
        <w:t xml:space="preserve"> patients would have a Grade 3 or </w:t>
      </w:r>
      <w:proofErr w:type="gramStart"/>
      <w:r w:rsidRPr="00600AD1">
        <w:t>4 neutropenic</w:t>
      </w:r>
      <w:proofErr w:type="gramEnd"/>
      <w:r w:rsidRPr="00600AD1">
        <w:t xml:space="preserve"> event</w:t>
      </w:r>
      <w:r w:rsidR="000B2F4C">
        <w:t xml:space="preserve"> than </w:t>
      </w:r>
      <w:r w:rsidR="00C80466">
        <w:t>if treated with BSC over a medi</w:t>
      </w:r>
      <w:r w:rsidR="000B2F4C">
        <w:t>an duration of treatment of 72.4 months</w:t>
      </w:r>
      <w:r w:rsidRPr="00600AD1">
        <w:t>.</w:t>
      </w:r>
    </w:p>
    <w:p w:rsidR="005E7102" w:rsidRPr="00600AD1" w:rsidRDefault="005E7102" w:rsidP="00D73042">
      <w:pPr>
        <w:pStyle w:val="ListParagraph"/>
        <w:widowControl/>
        <w:numPr>
          <w:ilvl w:val="0"/>
          <w:numId w:val="1"/>
        </w:numPr>
        <w:spacing w:before="120"/>
        <w:ind w:left="992" w:hanging="357"/>
      </w:pPr>
      <w:r w:rsidRPr="00600AD1">
        <w:t xml:space="preserve">Approximately 10 </w:t>
      </w:r>
      <w:r w:rsidR="000B2F4C">
        <w:t xml:space="preserve">additional </w:t>
      </w:r>
      <w:r w:rsidRPr="00600AD1">
        <w:t xml:space="preserve">patients would have a Grade 3 or </w:t>
      </w:r>
      <w:proofErr w:type="gramStart"/>
      <w:r w:rsidRPr="00600AD1">
        <w:t>4</w:t>
      </w:r>
      <w:proofErr w:type="gramEnd"/>
      <w:r w:rsidRPr="00600AD1">
        <w:t xml:space="preserve"> </w:t>
      </w:r>
      <w:proofErr w:type="spellStart"/>
      <w:r w:rsidRPr="00600AD1">
        <w:t>leukopenic</w:t>
      </w:r>
      <w:proofErr w:type="spellEnd"/>
      <w:r w:rsidRPr="00600AD1">
        <w:t xml:space="preserve"> event</w:t>
      </w:r>
      <w:r w:rsidR="000B2F4C">
        <w:t xml:space="preserve"> than if treated with BSC over a median duration of treatment of 72.4 months</w:t>
      </w:r>
      <w:r w:rsidRPr="00600AD1">
        <w:t>.</w:t>
      </w:r>
    </w:p>
    <w:p w:rsidR="005E7102" w:rsidRPr="00600AD1" w:rsidRDefault="005E7102" w:rsidP="00D73042">
      <w:pPr>
        <w:pStyle w:val="ListParagraph"/>
        <w:widowControl/>
        <w:numPr>
          <w:ilvl w:val="0"/>
          <w:numId w:val="1"/>
        </w:numPr>
        <w:spacing w:before="120"/>
        <w:ind w:left="992" w:hanging="357"/>
      </w:pPr>
      <w:r w:rsidRPr="00600AD1">
        <w:t xml:space="preserve">Approximately </w:t>
      </w:r>
      <w:proofErr w:type="gramStart"/>
      <w:r w:rsidRPr="00600AD1">
        <w:t>8</w:t>
      </w:r>
      <w:proofErr w:type="gramEnd"/>
      <w:r w:rsidRPr="00600AD1">
        <w:t xml:space="preserve"> </w:t>
      </w:r>
      <w:r w:rsidR="000B2F4C">
        <w:t>additional</w:t>
      </w:r>
      <w:r w:rsidRPr="00600AD1">
        <w:t xml:space="preserve"> patients would have a secondary primary malignancy</w:t>
      </w:r>
      <w:r w:rsidR="000B2F4C">
        <w:t xml:space="preserve"> than if treated with BSC over a median duration of 72.4 months</w:t>
      </w:r>
      <w:r w:rsidRPr="00600AD1">
        <w:t>.</w:t>
      </w:r>
    </w:p>
    <w:p w:rsidR="005E7102" w:rsidRPr="003A3555" w:rsidRDefault="005E7102" w:rsidP="00D73042">
      <w:pPr>
        <w:pStyle w:val="Heading2"/>
        <w:widowControl/>
        <w:spacing w:before="120"/>
      </w:pPr>
      <w:bookmarkStart w:id="39" w:name="_Toc532395966"/>
      <w:bookmarkStart w:id="40" w:name="_Toc532805609"/>
      <w:bookmarkStart w:id="41" w:name="_Toc533163399"/>
      <w:r w:rsidRPr="003A3555">
        <w:t>Clinical claim</w:t>
      </w:r>
      <w:bookmarkEnd w:id="39"/>
      <w:bookmarkEnd w:id="40"/>
      <w:bookmarkEnd w:id="41"/>
    </w:p>
    <w:p w:rsidR="00F94978" w:rsidRDefault="005E7102" w:rsidP="00D73042">
      <w:pPr>
        <w:widowControl/>
        <w:numPr>
          <w:ilvl w:val="1"/>
          <w:numId w:val="2"/>
        </w:numPr>
        <w:spacing w:before="120" w:after="120"/>
      </w:pPr>
      <w:r w:rsidRPr="003A3555">
        <w:t xml:space="preserve">The resubmission described </w:t>
      </w:r>
      <w:proofErr w:type="spellStart"/>
      <w:r w:rsidRPr="003A3555">
        <w:t>lenalidomide</w:t>
      </w:r>
      <w:proofErr w:type="spellEnd"/>
      <w:r w:rsidRPr="003A3555">
        <w:t xml:space="preserve"> as superior in terms of effectiveness but inferior in </w:t>
      </w:r>
      <w:r w:rsidR="00C668FB" w:rsidRPr="003A3555">
        <w:t>terms</w:t>
      </w:r>
      <w:r w:rsidRPr="003A3555">
        <w:t xml:space="preserve"> of safety compared to BSC. </w:t>
      </w:r>
    </w:p>
    <w:p w:rsidR="008A66D0" w:rsidRDefault="00C668FB" w:rsidP="00D73042">
      <w:pPr>
        <w:widowControl/>
        <w:numPr>
          <w:ilvl w:val="1"/>
          <w:numId w:val="2"/>
        </w:numPr>
        <w:spacing w:before="120" w:after="120"/>
      </w:pPr>
      <w:r>
        <w:lastRenderedPageBreak/>
        <w:t>The ESC considered that the transitivity issues across the trials made the results of the meta-analyses difficult to interpret, but overall, considered that the clinical claims were reasonable.</w:t>
      </w:r>
    </w:p>
    <w:p w:rsidR="00AB6F50" w:rsidRPr="00A87940" w:rsidRDefault="00AB6F50" w:rsidP="00D73042">
      <w:pPr>
        <w:pStyle w:val="ListParagraph"/>
        <w:widowControl/>
        <w:numPr>
          <w:ilvl w:val="1"/>
          <w:numId w:val="2"/>
        </w:numPr>
        <w:spacing w:before="120"/>
        <w:rPr>
          <w:rFonts w:asciiTheme="minorHAnsi" w:hAnsiTheme="minorHAnsi"/>
          <w:szCs w:val="20"/>
        </w:rPr>
      </w:pPr>
      <w:r w:rsidRPr="00A87940">
        <w:rPr>
          <w:rFonts w:asciiTheme="minorHAnsi" w:hAnsiTheme="minorHAnsi"/>
          <w:szCs w:val="20"/>
        </w:rPr>
        <w:t xml:space="preserve">The PBAC </w:t>
      </w:r>
      <w:r w:rsidR="00A87940">
        <w:rPr>
          <w:rFonts w:asciiTheme="minorHAnsi" w:hAnsiTheme="minorHAnsi"/>
          <w:szCs w:val="20"/>
        </w:rPr>
        <w:t xml:space="preserve">again </w:t>
      </w:r>
      <w:r w:rsidRPr="00A87940">
        <w:rPr>
          <w:rFonts w:asciiTheme="minorHAnsi" w:hAnsiTheme="minorHAnsi"/>
          <w:szCs w:val="20"/>
        </w:rPr>
        <w:t xml:space="preserve">considered that the claim that </w:t>
      </w:r>
      <w:proofErr w:type="spellStart"/>
      <w:r w:rsidRPr="00A87940">
        <w:rPr>
          <w:rFonts w:asciiTheme="minorHAnsi" w:hAnsiTheme="minorHAnsi"/>
          <w:szCs w:val="20"/>
        </w:rPr>
        <w:t>lenalidomide</w:t>
      </w:r>
      <w:proofErr w:type="spellEnd"/>
      <w:r w:rsidRPr="00A87940">
        <w:rPr>
          <w:rFonts w:asciiTheme="minorHAnsi" w:hAnsiTheme="minorHAnsi"/>
          <w:szCs w:val="20"/>
        </w:rPr>
        <w:t xml:space="preserve"> </w:t>
      </w:r>
      <w:r w:rsidR="008469AE" w:rsidRPr="00A87940">
        <w:rPr>
          <w:rFonts w:asciiTheme="minorHAnsi" w:hAnsiTheme="minorHAnsi"/>
          <w:szCs w:val="20"/>
        </w:rPr>
        <w:t xml:space="preserve">had </w:t>
      </w:r>
      <w:r w:rsidRPr="00A87940">
        <w:rPr>
          <w:rFonts w:asciiTheme="minorHAnsi" w:hAnsiTheme="minorHAnsi"/>
          <w:szCs w:val="20"/>
        </w:rPr>
        <w:t>superior comparative effectiveness compared to BSC was reasonable.</w:t>
      </w:r>
    </w:p>
    <w:p w:rsidR="00AB6F50" w:rsidRPr="00A87940" w:rsidRDefault="00AB6F50" w:rsidP="00D73042">
      <w:pPr>
        <w:pStyle w:val="ListParagraph"/>
        <w:widowControl/>
        <w:numPr>
          <w:ilvl w:val="1"/>
          <w:numId w:val="2"/>
        </w:numPr>
        <w:spacing w:before="120"/>
        <w:rPr>
          <w:rFonts w:asciiTheme="minorHAnsi" w:hAnsiTheme="minorHAnsi"/>
          <w:szCs w:val="20"/>
        </w:rPr>
      </w:pPr>
      <w:r w:rsidRPr="00A87940">
        <w:rPr>
          <w:rFonts w:asciiTheme="minorHAnsi" w:hAnsiTheme="minorHAnsi"/>
          <w:szCs w:val="20"/>
        </w:rPr>
        <w:t xml:space="preserve">The PBAC </w:t>
      </w:r>
      <w:r w:rsidR="00A87940">
        <w:rPr>
          <w:rFonts w:asciiTheme="minorHAnsi" w:hAnsiTheme="minorHAnsi"/>
          <w:szCs w:val="20"/>
        </w:rPr>
        <w:t xml:space="preserve">again </w:t>
      </w:r>
      <w:r w:rsidRPr="00A87940">
        <w:rPr>
          <w:rFonts w:asciiTheme="minorHAnsi" w:hAnsiTheme="minorHAnsi"/>
          <w:szCs w:val="20"/>
        </w:rPr>
        <w:t xml:space="preserve">considered that the claim </w:t>
      </w:r>
      <w:r w:rsidR="008469AE" w:rsidRPr="00A87940">
        <w:rPr>
          <w:rFonts w:asciiTheme="minorHAnsi" w:hAnsiTheme="minorHAnsi"/>
          <w:szCs w:val="20"/>
        </w:rPr>
        <w:t xml:space="preserve">that </w:t>
      </w:r>
      <w:proofErr w:type="spellStart"/>
      <w:r w:rsidR="008469AE" w:rsidRPr="00A87940">
        <w:rPr>
          <w:rFonts w:asciiTheme="minorHAnsi" w:hAnsiTheme="minorHAnsi"/>
          <w:szCs w:val="20"/>
        </w:rPr>
        <w:t>lenalidomide</w:t>
      </w:r>
      <w:proofErr w:type="spellEnd"/>
      <w:r w:rsidR="008469AE" w:rsidRPr="00A87940">
        <w:rPr>
          <w:rFonts w:asciiTheme="minorHAnsi" w:hAnsiTheme="minorHAnsi"/>
          <w:szCs w:val="20"/>
        </w:rPr>
        <w:t xml:space="preserve"> had</w:t>
      </w:r>
      <w:r w:rsidRPr="00A87940">
        <w:rPr>
          <w:rFonts w:asciiTheme="minorHAnsi" w:hAnsiTheme="minorHAnsi"/>
          <w:szCs w:val="20"/>
        </w:rPr>
        <w:t xml:space="preserve"> inferior comparative safety compared to BSC was reasonable</w:t>
      </w:r>
      <w:r w:rsidR="00E36CFD">
        <w:rPr>
          <w:rFonts w:asciiTheme="minorHAnsi" w:hAnsiTheme="minorHAnsi"/>
          <w:szCs w:val="20"/>
        </w:rPr>
        <w:t>, noting the potential for SPMs</w:t>
      </w:r>
      <w:r w:rsidRPr="00A87940">
        <w:rPr>
          <w:rFonts w:asciiTheme="minorHAnsi" w:hAnsiTheme="minorHAnsi"/>
          <w:szCs w:val="20"/>
        </w:rPr>
        <w:t>.</w:t>
      </w:r>
    </w:p>
    <w:p w:rsidR="005E7102" w:rsidRDefault="005E7102" w:rsidP="00D73042">
      <w:pPr>
        <w:widowControl/>
        <w:numPr>
          <w:ilvl w:val="1"/>
          <w:numId w:val="2"/>
        </w:numPr>
        <w:spacing w:before="120" w:after="120"/>
      </w:pPr>
      <w:r w:rsidRPr="003A3555">
        <w:t xml:space="preserve">The resubmission presented a revised clinical claim of non-inferior efficacy and different comparative safety </w:t>
      </w:r>
      <w:r w:rsidR="00296EF7" w:rsidRPr="003A3555">
        <w:t>relative</w:t>
      </w:r>
      <w:r w:rsidRPr="003A3555">
        <w:t xml:space="preserve"> to thalidomide. </w:t>
      </w:r>
      <w:r w:rsidR="00B82E3E">
        <w:t>Th</w:t>
      </w:r>
      <w:r w:rsidR="008623BA">
        <w:t>e</w:t>
      </w:r>
      <w:r w:rsidR="00616CA7">
        <w:t xml:space="preserve"> </w:t>
      </w:r>
      <w:r w:rsidR="00B82E3E">
        <w:t>evaluation considered this claim</w:t>
      </w:r>
      <w:r w:rsidRPr="003A3555">
        <w:t xml:space="preserve"> was supported by the clinical evidence</w:t>
      </w:r>
      <w:r w:rsidR="00296EF7" w:rsidRPr="003A3555">
        <w:t xml:space="preserve">, noting potential differences across the </w:t>
      </w:r>
      <w:proofErr w:type="spellStart"/>
      <w:r w:rsidR="00296EF7" w:rsidRPr="003A3555">
        <w:t>lenalidomide</w:t>
      </w:r>
      <w:proofErr w:type="spellEnd"/>
      <w:r w:rsidR="00296EF7" w:rsidRPr="003A3555">
        <w:t xml:space="preserve"> studies and thalidomide studies that </w:t>
      </w:r>
      <w:proofErr w:type="gramStart"/>
      <w:r w:rsidR="00296EF7" w:rsidRPr="003A3555">
        <w:t>impact on</w:t>
      </w:r>
      <w:proofErr w:type="gramEnd"/>
      <w:r w:rsidR="00296EF7" w:rsidRPr="003A3555">
        <w:t xml:space="preserve"> the capacity to make meaningful comparisons of these treatments. </w:t>
      </w:r>
      <w:proofErr w:type="gramStart"/>
      <w:r w:rsidRPr="003A3555">
        <w:t xml:space="preserve">The PBAC previously considered that the claim of different safety may be reasonable, noting that while there is a strong patient preference for the lower rates of peripheral neuropathy experienced with </w:t>
      </w:r>
      <w:proofErr w:type="spellStart"/>
      <w:r w:rsidRPr="003A3555">
        <w:t>lenalidomide</w:t>
      </w:r>
      <w:proofErr w:type="spellEnd"/>
      <w:r w:rsidRPr="003A3555">
        <w:t xml:space="preserve"> when compared to thalidomide, </w:t>
      </w:r>
      <w:proofErr w:type="spellStart"/>
      <w:r w:rsidRPr="003A3555">
        <w:t>lenalidomide</w:t>
      </w:r>
      <w:proofErr w:type="spellEnd"/>
      <w:r w:rsidRPr="003A3555">
        <w:t xml:space="preserve"> is associated with other toxicities such as neutropenia and a higher risk of irreversible and potentially fatal SPM (</w:t>
      </w:r>
      <w:r w:rsidR="008E6CE1">
        <w:t xml:space="preserve">paragraph 7.14, </w:t>
      </w:r>
      <w:proofErr w:type="spellStart"/>
      <w:r w:rsidR="008E6CE1">
        <w:t>L</w:t>
      </w:r>
      <w:r w:rsidRPr="003A3555">
        <w:t>enalidomide</w:t>
      </w:r>
      <w:proofErr w:type="spellEnd"/>
      <w:r w:rsidRPr="003A3555">
        <w:t xml:space="preserve"> PSD</w:t>
      </w:r>
      <w:r w:rsidR="008E6CE1">
        <w:t>,</w:t>
      </w:r>
      <w:r w:rsidRPr="003A3555">
        <w:t xml:space="preserve"> March 2018).</w:t>
      </w:r>
      <w:proofErr w:type="gramEnd"/>
    </w:p>
    <w:p w:rsidR="003A0CE5" w:rsidRPr="00D539BE" w:rsidRDefault="00F14A0C" w:rsidP="00D73042">
      <w:pPr>
        <w:widowControl/>
        <w:numPr>
          <w:ilvl w:val="1"/>
          <w:numId w:val="2"/>
        </w:numPr>
        <w:spacing w:before="120" w:after="120"/>
      </w:pPr>
      <w:r w:rsidRPr="00D539BE">
        <w:t xml:space="preserve">The ESC </w:t>
      </w:r>
      <w:r w:rsidR="003A0CE5" w:rsidRPr="00D539BE">
        <w:t xml:space="preserve">accepted that </w:t>
      </w:r>
      <w:proofErr w:type="spellStart"/>
      <w:r w:rsidR="003A0CE5" w:rsidRPr="00D539BE">
        <w:t>lenalidomide</w:t>
      </w:r>
      <w:proofErr w:type="spellEnd"/>
      <w:r w:rsidR="003A0CE5" w:rsidRPr="00D539BE">
        <w:t xml:space="preserve"> was not proven </w:t>
      </w:r>
      <w:proofErr w:type="gramStart"/>
      <w:r w:rsidR="003A0CE5" w:rsidRPr="00D539BE">
        <w:t>to be better</w:t>
      </w:r>
      <w:proofErr w:type="gramEnd"/>
      <w:r w:rsidR="003A0CE5" w:rsidRPr="00D539BE">
        <w:t xml:space="preserve"> than thalidomide</w:t>
      </w:r>
      <w:r w:rsidR="008A66D0" w:rsidRPr="00D539BE">
        <w:t xml:space="preserve">. The </w:t>
      </w:r>
      <w:r w:rsidR="003A0CE5" w:rsidRPr="00D539BE">
        <w:t>large differences in PFS and OS reported in t</w:t>
      </w:r>
      <w:r w:rsidR="00D93D18" w:rsidRPr="00D539BE">
        <w:t xml:space="preserve">he </w:t>
      </w:r>
      <w:r w:rsidR="00631B13" w:rsidRPr="00D539BE">
        <w:t xml:space="preserve">two </w:t>
      </w:r>
      <w:r w:rsidR="00D93D18" w:rsidRPr="00D539BE">
        <w:t xml:space="preserve">thalidomide versus BSC trials </w:t>
      </w:r>
      <w:r w:rsidR="00826676" w:rsidRPr="00D539BE">
        <w:t xml:space="preserve">and the </w:t>
      </w:r>
      <w:r w:rsidR="00B50620" w:rsidRPr="00D539BE">
        <w:t>l</w:t>
      </w:r>
      <w:r w:rsidR="00826676" w:rsidRPr="00D539BE">
        <w:t xml:space="preserve">ack of statistically significant results in the meta-analyses </w:t>
      </w:r>
      <w:r w:rsidR="003A0CE5" w:rsidRPr="00D539BE">
        <w:t xml:space="preserve">meant </w:t>
      </w:r>
      <w:r w:rsidR="008A66D0" w:rsidRPr="00D539BE">
        <w:t xml:space="preserve">ESC </w:t>
      </w:r>
      <w:r w:rsidR="003A0CE5" w:rsidRPr="00D539BE">
        <w:t xml:space="preserve">remained uncertain about the true comparative effectiveness </w:t>
      </w:r>
      <w:r w:rsidR="00631B13" w:rsidRPr="00D539BE">
        <w:t>between</w:t>
      </w:r>
      <w:r w:rsidR="003A0CE5" w:rsidRPr="00D539BE">
        <w:t xml:space="preserve"> thalidomide and BSC</w:t>
      </w:r>
      <w:r w:rsidR="00D93D18" w:rsidRPr="00D539BE">
        <w:t>. The results of the indirect comparison</w:t>
      </w:r>
      <w:r w:rsidR="00826676" w:rsidRPr="00D539BE">
        <w:t>s</w:t>
      </w:r>
      <w:r w:rsidR="00D93D18" w:rsidRPr="00D539BE">
        <w:t xml:space="preserve"> between </w:t>
      </w:r>
      <w:proofErr w:type="spellStart"/>
      <w:r w:rsidR="00D93D18" w:rsidRPr="00D539BE">
        <w:t>lenalidomide</w:t>
      </w:r>
      <w:proofErr w:type="spellEnd"/>
      <w:r w:rsidR="00D93D18" w:rsidRPr="00D539BE">
        <w:t xml:space="preserve"> and thalidomide were difficult to interpret considering the </w:t>
      </w:r>
      <w:r w:rsidR="002F377A" w:rsidRPr="00D539BE">
        <w:t>heterogeneity and transitivity issues between the trials including different intents, durations of treatment and treatment regimens.</w:t>
      </w:r>
      <w:r w:rsidR="003A0CE5" w:rsidRPr="00D539BE">
        <w:t xml:space="preserve"> </w:t>
      </w:r>
    </w:p>
    <w:p w:rsidR="006D772C" w:rsidRPr="00636FE4" w:rsidRDefault="006D772C" w:rsidP="00D73042">
      <w:pPr>
        <w:pStyle w:val="ListParagraph"/>
        <w:widowControl/>
        <w:numPr>
          <w:ilvl w:val="1"/>
          <w:numId w:val="2"/>
        </w:numPr>
        <w:spacing w:before="120"/>
        <w:rPr>
          <w:rFonts w:asciiTheme="minorHAnsi" w:hAnsiTheme="minorHAnsi"/>
          <w:szCs w:val="20"/>
        </w:rPr>
      </w:pPr>
      <w:r w:rsidRPr="00636FE4">
        <w:rPr>
          <w:rFonts w:asciiTheme="minorHAnsi" w:hAnsiTheme="minorHAnsi"/>
          <w:szCs w:val="20"/>
        </w:rPr>
        <w:t xml:space="preserve">The PBAC considered that the claim </w:t>
      </w:r>
      <w:r w:rsidR="008469AE" w:rsidRPr="00636FE4">
        <w:rPr>
          <w:rFonts w:asciiTheme="minorHAnsi" w:hAnsiTheme="minorHAnsi"/>
          <w:szCs w:val="20"/>
        </w:rPr>
        <w:t xml:space="preserve">that </w:t>
      </w:r>
      <w:proofErr w:type="spellStart"/>
      <w:r w:rsidR="008469AE" w:rsidRPr="00636FE4">
        <w:rPr>
          <w:rFonts w:asciiTheme="minorHAnsi" w:hAnsiTheme="minorHAnsi"/>
          <w:szCs w:val="20"/>
        </w:rPr>
        <w:t>lenalidomide</w:t>
      </w:r>
      <w:proofErr w:type="spellEnd"/>
      <w:r w:rsidR="008469AE" w:rsidRPr="00636FE4">
        <w:rPr>
          <w:rFonts w:asciiTheme="minorHAnsi" w:hAnsiTheme="minorHAnsi"/>
          <w:szCs w:val="20"/>
        </w:rPr>
        <w:t xml:space="preserve"> had </w:t>
      </w:r>
      <w:r w:rsidRPr="00636FE4">
        <w:rPr>
          <w:rFonts w:asciiTheme="minorHAnsi" w:hAnsiTheme="minorHAnsi"/>
          <w:szCs w:val="20"/>
        </w:rPr>
        <w:t xml:space="preserve">non-inferior comparative effectiveness </w:t>
      </w:r>
      <w:r w:rsidR="008469AE" w:rsidRPr="00636FE4">
        <w:rPr>
          <w:rFonts w:asciiTheme="minorHAnsi" w:hAnsiTheme="minorHAnsi"/>
          <w:szCs w:val="20"/>
        </w:rPr>
        <w:t xml:space="preserve">compared to thalidomide </w:t>
      </w:r>
      <w:r w:rsidRPr="00636FE4">
        <w:rPr>
          <w:rFonts w:asciiTheme="minorHAnsi" w:hAnsiTheme="minorHAnsi"/>
          <w:szCs w:val="20"/>
        </w:rPr>
        <w:t>was reasonable.</w:t>
      </w:r>
    </w:p>
    <w:p w:rsidR="006D772C" w:rsidRPr="00636FE4" w:rsidRDefault="006D772C" w:rsidP="00D73042">
      <w:pPr>
        <w:pStyle w:val="ListParagraph"/>
        <w:widowControl/>
        <w:numPr>
          <w:ilvl w:val="1"/>
          <w:numId w:val="2"/>
        </w:numPr>
        <w:spacing w:before="120"/>
        <w:rPr>
          <w:rFonts w:asciiTheme="minorHAnsi" w:hAnsiTheme="minorHAnsi"/>
          <w:szCs w:val="20"/>
        </w:rPr>
      </w:pPr>
      <w:r w:rsidRPr="00636FE4">
        <w:rPr>
          <w:rFonts w:asciiTheme="minorHAnsi" w:hAnsiTheme="minorHAnsi"/>
          <w:szCs w:val="20"/>
        </w:rPr>
        <w:t xml:space="preserve">The PBAC considered that the claim </w:t>
      </w:r>
      <w:r w:rsidR="008469AE" w:rsidRPr="00636FE4">
        <w:rPr>
          <w:rFonts w:asciiTheme="minorHAnsi" w:hAnsiTheme="minorHAnsi"/>
          <w:szCs w:val="20"/>
        </w:rPr>
        <w:t xml:space="preserve">that </w:t>
      </w:r>
      <w:proofErr w:type="spellStart"/>
      <w:r w:rsidR="008469AE" w:rsidRPr="00636FE4">
        <w:rPr>
          <w:rFonts w:asciiTheme="minorHAnsi" w:hAnsiTheme="minorHAnsi"/>
          <w:szCs w:val="20"/>
        </w:rPr>
        <w:t>lenalidomide</w:t>
      </w:r>
      <w:proofErr w:type="spellEnd"/>
      <w:r w:rsidR="008469AE" w:rsidRPr="00636FE4">
        <w:rPr>
          <w:rFonts w:asciiTheme="minorHAnsi" w:hAnsiTheme="minorHAnsi"/>
          <w:szCs w:val="20"/>
        </w:rPr>
        <w:t xml:space="preserve"> had a different </w:t>
      </w:r>
      <w:r w:rsidRPr="00636FE4">
        <w:rPr>
          <w:rFonts w:asciiTheme="minorHAnsi" w:hAnsiTheme="minorHAnsi"/>
          <w:szCs w:val="20"/>
        </w:rPr>
        <w:t xml:space="preserve">comparative safety </w:t>
      </w:r>
      <w:r w:rsidR="008469AE" w:rsidRPr="00636FE4">
        <w:rPr>
          <w:rFonts w:asciiTheme="minorHAnsi" w:hAnsiTheme="minorHAnsi"/>
          <w:szCs w:val="20"/>
        </w:rPr>
        <w:t xml:space="preserve">profile compared to thalidomide </w:t>
      </w:r>
      <w:r w:rsidRPr="00636FE4">
        <w:rPr>
          <w:rFonts w:asciiTheme="minorHAnsi" w:hAnsiTheme="minorHAnsi"/>
          <w:szCs w:val="20"/>
        </w:rPr>
        <w:t>was reasonable.</w:t>
      </w:r>
    </w:p>
    <w:p w:rsidR="005E7102" w:rsidRPr="003A3555" w:rsidRDefault="005E7102" w:rsidP="00D73042">
      <w:pPr>
        <w:pStyle w:val="Heading2"/>
        <w:widowControl/>
        <w:spacing w:before="120"/>
        <w:rPr>
          <w:color w:val="000000" w:themeColor="text1"/>
        </w:rPr>
      </w:pPr>
      <w:bookmarkStart w:id="42" w:name="_Toc532805610"/>
      <w:bookmarkStart w:id="43" w:name="_Toc533163400"/>
      <w:r w:rsidRPr="003A3555">
        <w:rPr>
          <w:color w:val="000000" w:themeColor="text1"/>
        </w:rPr>
        <w:t>Economic analysis</w:t>
      </w:r>
      <w:bookmarkEnd w:id="42"/>
      <w:bookmarkEnd w:id="43"/>
      <w:r w:rsidRPr="003A3555">
        <w:rPr>
          <w:color w:val="000000" w:themeColor="text1"/>
        </w:rPr>
        <w:t xml:space="preserve"> </w:t>
      </w:r>
    </w:p>
    <w:p w:rsidR="005E7102" w:rsidRPr="00600AD1" w:rsidRDefault="005E7102" w:rsidP="00D73042">
      <w:pPr>
        <w:pStyle w:val="ListParagraph"/>
        <w:widowControl/>
        <w:numPr>
          <w:ilvl w:val="1"/>
          <w:numId w:val="2"/>
        </w:numPr>
        <w:spacing w:before="120"/>
        <w:rPr>
          <w:color w:val="000000" w:themeColor="text1"/>
        </w:rPr>
      </w:pPr>
      <w:r w:rsidRPr="003A3555">
        <w:rPr>
          <w:rFonts w:cs="Calibri"/>
          <w:snapToGrid/>
          <w:color w:val="000000" w:themeColor="text1"/>
          <w:szCs w:val="24"/>
          <w:lang w:eastAsia="en-AU"/>
        </w:rPr>
        <w:t xml:space="preserve">The resubmission presented a stepped economic evaluation based on evidence from the RCTs and implemented a modelled cost-utility analysis for </w:t>
      </w:r>
      <w:proofErr w:type="spellStart"/>
      <w:r w:rsidRPr="003A3555">
        <w:rPr>
          <w:rFonts w:cs="Calibri"/>
          <w:snapToGrid/>
          <w:color w:val="000000" w:themeColor="text1"/>
          <w:szCs w:val="24"/>
          <w:lang w:eastAsia="en-AU"/>
        </w:rPr>
        <w:t>lenalidomide</w:t>
      </w:r>
      <w:proofErr w:type="spellEnd"/>
      <w:r w:rsidRPr="003A3555">
        <w:rPr>
          <w:rFonts w:cs="Calibri"/>
          <w:snapToGrid/>
          <w:color w:val="000000" w:themeColor="text1"/>
          <w:szCs w:val="24"/>
          <w:lang w:eastAsia="en-AU"/>
        </w:rPr>
        <w:t xml:space="preserve"> v</w:t>
      </w:r>
      <w:r w:rsidR="00894141" w:rsidRPr="003A3555">
        <w:rPr>
          <w:rFonts w:cs="Calibri"/>
          <w:snapToGrid/>
          <w:color w:val="000000" w:themeColor="text1"/>
          <w:szCs w:val="24"/>
          <w:lang w:eastAsia="en-AU"/>
        </w:rPr>
        <w:t>ersus</w:t>
      </w:r>
      <w:r w:rsidRPr="003A3555">
        <w:rPr>
          <w:rFonts w:cs="Calibri"/>
          <w:snapToGrid/>
          <w:color w:val="000000" w:themeColor="text1"/>
          <w:szCs w:val="24"/>
          <w:lang w:eastAsia="en-AU"/>
        </w:rPr>
        <w:t xml:space="preserve"> BSC. </w:t>
      </w:r>
    </w:p>
    <w:p w:rsidR="005E7102" w:rsidRPr="006E231F" w:rsidRDefault="005E7102" w:rsidP="00D73042">
      <w:pPr>
        <w:pStyle w:val="ListParagraph"/>
        <w:widowControl/>
        <w:numPr>
          <w:ilvl w:val="1"/>
          <w:numId w:val="2"/>
        </w:numPr>
        <w:spacing w:before="120"/>
        <w:rPr>
          <w:color w:val="000000" w:themeColor="text1"/>
        </w:rPr>
      </w:pPr>
      <w:r w:rsidRPr="00600AD1">
        <w:rPr>
          <w:rFonts w:cs="Calibri"/>
          <w:snapToGrid/>
          <w:color w:val="000000" w:themeColor="text1"/>
          <w:szCs w:val="24"/>
          <w:lang w:eastAsia="en-AU"/>
        </w:rPr>
        <w:t xml:space="preserve">The resubmission also presented a cost-minimisation analysis based on the indirect comparison of </w:t>
      </w:r>
      <w:proofErr w:type="spellStart"/>
      <w:r w:rsidRPr="00600AD1">
        <w:rPr>
          <w:rFonts w:cs="Calibri"/>
          <w:snapToGrid/>
          <w:color w:val="000000" w:themeColor="text1"/>
          <w:szCs w:val="24"/>
          <w:lang w:eastAsia="en-AU"/>
        </w:rPr>
        <w:t>lenalidomide</w:t>
      </w:r>
      <w:proofErr w:type="spellEnd"/>
      <w:r w:rsidRPr="00600AD1">
        <w:rPr>
          <w:rFonts w:cs="Calibri"/>
          <w:snapToGrid/>
          <w:color w:val="000000" w:themeColor="text1"/>
          <w:szCs w:val="24"/>
          <w:lang w:eastAsia="en-AU"/>
        </w:rPr>
        <w:t xml:space="preserve"> and thalidomide, as per PBAC advice </w:t>
      </w:r>
      <w:r w:rsidRPr="00600AD1">
        <w:rPr>
          <w:bCs/>
          <w:color w:val="000000" w:themeColor="text1"/>
        </w:rPr>
        <w:t>(</w:t>
      </w:r>
      <w:r w:rsidR="00631B13">
        <w:rPr>
          <w:bCs/>
          <w:color w:val="000000" w:themeColor="text1"/>
        </w:rPr>
        <w:t xml:space="preserve">paragraphs 7.15 and 7.17, </w:t>
      </w:r>
      <w:proofErr w:type="spellStart"/>
      <w:r w:rsidRPr="00600AD1">
        <w:rPr>
          <w:bCs/>
          <w:color w:val="000000" w:themeColor="text1"/>
        </w:rPr>
        <w:t>Lenalidomide</w:t>
      </w:r>
      <w:proofErr w:type="spellEnd"/>
      <w:r w:rsidRPr="00600AD1">
        <w:rPr>
          <w:bCs/>
          <w:color w:val="000000" w:themeColor="text1"/>
        </w:rPr>
        <w:t xml:space="preserve"> PSD</w:t>
      </w:r>
      <w:r w:rsidR="00631B13">
        <w:rPr>
          <w:bCs/>
          <w:color w:val="000000" w:themeColor="text1"/>
        </w:rPr>
        <w:t>,</w:t>
      </w:r>
      <w:r w:rsidRPr="00600AD1">
        <w:rPr>
          <w:bCs/>
          <w:color w:val="000000" w:themeColor="text1"/>
        </w:rPr>
        <w:t xml:space="preserve"> March 2018)</w:t>
      </w:r>
      <w:r w:rsidRPr="00600AD1">
        <w:rPr>
          <w:rFonts w:cs="Calibri"/>
          <w:snapToGrid/>
          <w:color w:val="000000" w:themeColor="text1"/>
          <w:szCs w:val="24"/>
          <w:lang w:eastAsia="en-AU"/>
        </w:rPr>
        <w:t>.</w:t>
      </w:r>
      <w:r w:rsidRPr="00600AD1">
        <w:rPr>
          <w:rFonts w:cs="Calibri"/>
          <w:snapToGrid/>
          <w:color w:val="000000" w:themeColor="text1"/>
          <w:szCs w:val="24"/>
          <w:shd w:val="clear" w:color="auto" w:fill="D9D9D9" w:themeFill="background1" w:themeFillShade="D9"/>
          <w:lang w:eastAsia="en-AU"/>
        </w:rPr>
        <w:t xml:space="preserve"> </w:t>
      </w:r>
    </w:p>
    <w:p w:rsidR="006E231F" w:rsidRPr="006E231F" w:rsidRDefault="006E231F" w:rsidP="00D73042">
      <w:pPr>
        <w:widowControl/>
        <w:spacing w:before="120" w:after="120"/>
        <w:rPr>
          <w:i/>
          <w:color w:val="000000" w:themeColor="text1"/>
          <w:u w:val="single"/>
        </w:rPr>
      </w:pPr>
      <w:r w:rsidRPr="006E231F">
        <w:rPr>
          <w:i/>
          <w:color w:val="000000" w:themeColor="text1"/>
          <w:u w:val="single"/>
        </w:rPr>
        <w:t>Cost-utility analysis</w:t>
      </w:r>
      <w:r w:rsidR="00C668FB">
        <w:rPr>
          <w:i/>
          <w:color w:val="000000" w:themeColor="text1"/>
          <w:u w:val="single"/>
        </w:rPr>
        <w:t xml:space="preserve">: </w:t>
      </w:r>
      <w:proofErr w:type="spellStart"/>
      <w:r w:rsidR="00C668FB">
        <w:rPr>
          <w:i/>
          <w:color w:val="000000" w:themeColor="text1"/>
          <w:u w:val="single"/>
        </w:rPr>
        <w:t>lenalidomide</w:t>
      </w:r>
      <w:proofErr w:type="spellEnd"/>
      <w:r w:rsidR="00C668FB">
        <w:rPr>
          <w:i/>
          <w:color w:val="000000" w:themeColor="text1"/>
          <w:u w:val="single"/>
        </w:rPr>
        <w:t xml:space="preserve"> versus BSC</w:t>
      </w:r>
    </w:p>
    <w:p w:rsidR="006E231F" w:rsidRPr="00600AD1" w:rsidRDefault="006E231F" w:rsidP="00D73042">
      <w:pPr>
        <w:pStyle w:val="ListParagraph"/>
        <w:widowControl/>
        <w:numPr>
          <w:ilvl w:val="1"/>
          <w:numId w:val="2"/>
        </w:numPr>
        <w:spacing w:before="120"/>
        <w:rPr>
          <w:color w:val="000000" w:themeColor="text1"/>
        </w:rPr>
      </w:pPr>
      <w:r w:rsidRPr="003A3555">
        <w:t>The model structure and rati</w:t>
      </w:r>
      <w:r w:rsidR="00097671">
        <w:t>onale are summarised in Table 22</w:t>
      </w:r>
      <w:r w:rsidRPr="003A3555">
        <w:t>.</w:t>
      </w:r>
      <w:r w:rsidRPr="003A3555">
        <w:rPr>
          <w:rFonts w:cs="Calibri"/>
          <w:i/>
          <w:snapToGrid/>
          <w:color w:val="000000" w:themeColor="text1"/>
          <w:szCs w:val="24"/>
          <w:lang w:eastAsia="en-AU"/>
        </w:rPr>
        <w:t xml:space="preserve"> </w:t>
      </w:r>
      <w:proofErr w:type="gramStart"/>
      <w:r w:rsidRPr="00600AD1">
        <w:rPr>
          <w:color w:val="000000" w:themeColor="text1"/>
        </w:rPr>
        <w:t>In response to feedback from the PBAC (</w:t>
      </w:r>
      <w:r w:rsidR="00631B13">
        <w:rPr>
          <w:color w:val="000000" w:themeColor="text1"/>
        </w:rPr>
        <w:t xml:space="preserve">paragraph 7.9, </w:t>
      </w:r>
      <w:proofErr w:type="spellStart"/>
      <w:r w:rsidRPr="00600AD1">
        <w:rPr>
          <w:color w:val="000000" w:themeColor="text1"/>
        </w:rPr>
        <w:t>Lenalidomide</w:t>
      </w:r>
      <w:proofErr w:type="spellEnd"/>
      <w:r w:rsidRPr="00600AD1">
        <w:rPr>
          <w:color w:val="000000" w:themeColor="text1"/>
        </w:rPr>
        <w:t xml:space="preserve"> PSD</w:t>
      </w:r>
      <w:r w:rsidR="00631B13">
        <w:rPr>
          <w:color w:val="000000" w:themeColor="text1"/>
        </w:rPr>
        <w:t>,</w:t>
      </w:r>
      <w:r w:rsidRPr="00600AD1">
        <w:rPr>
          <w:color w:val="000000" w:themeColor="text1"/>
        </w:rPr>
        <w:t xml:space="preserve"> March 2018), </w:t>
      </w:r>
      <w:r w:rsidR="00A90512" w:rsidRPr="00A90512">
        <w:rPr>
          <w:color w:val="000000" w:themeColor="text1"/>
        </w:rPr>
        <w:t>the</w:t>
      </w:r>
      <w:r w:rsidR="00F603AA" w:rsidRPr="00A90512">
        <w:rPr>
          <w:color w:val="000000" w:themeColor="text1"/>
        </w:rPr>
        <w:t xml:space="preserve"> </w:t>
      </w:r>
      <w:r w:rsidRPr="00600AD1">
        <w:rPr>
          <w:color w:val="000000" w:themeColor="text1"/>
        </w:rPr>
        <w:lastRenderedPageBreak/>
        <w:t xml:space="preserve">resubmission </w:t>
      </w:r>
      <w:r w:rsidR="00ED06A7">
        <w:rPr>
          <w:color w:val="000000" w:themeColor="text1"/>
        </w:rPr>
        <w:t>revised</w:t>
      </w:r>
      <w:r w:rsidR="00ED06A7" w:rsidRPr="00600AD1">
        <w:rPr>
          <w:color w:val="000000" w:themeColor="text1"/>
        </w:rPr>
        <w:t xml:space="preserve"> </w:t>
      </w:r>
      <w:r w:rsidRPr="00600AD1">
        <w:rPr>
          <w:color w:val="000000" w:themeColor="text1"/>
        </w:rPr>
        <w:t xml:space="preserve">the following in its approach to the CUA: </w:t>
      </w:r>
      <w:r w:rsidR="00ED06A7">
        <w:rPr>
          <w:color w:val="000000" w:themeColor="text1"/>
        </w:rPr>
        <w:t>reduced</w:t>
      </w:r>
      <w:r w:rsidR="00ED06A7" w:rsidRPr="00600AD1">
        <w:rPr>
          <w:color w:val="000000" w:themeColor="text1"/>
        </w:rPr>
        <w:t xml:space="preserve"> </w:t>
      </w:r>
      <w:r w:rsidRPr="00600AD1">
        <w:rPr>
          <w:color w:val="000000" w:themeColor="text1"/>
        </w:rPr>
        <w:t>time horizon from 25 years to 15; incorporated the Kaplan-Meier data (from CALGB) up to the median duration follow-up (72 months) and applied extrapolated OS, PFS and time-on-treatment (</w:t>
      </w:r>
      <w:proofErr w:type="spellStart"/>
      <w:r w:rsidRPr="00600AD1">
        <w:rPr>
          <w:color w:val="000000" w:themeColor="text1"/>
        </w:rPr>
        <w:t>ToT</w:t>
      </w:r>
      <w:proofErr w:type="spellEnd"/>
      <w:r w:rsidRPr="00600AD1">
        <w:rPr>
          <w:color w:val="000000" w:themeColor="text1"/>
        </w:rPr>
        <w:t>) data thereafter; and, applied the same pre-progression utility values to both arms.</w:t>
      </w:r>
      <w:proofErr w:type="gramEnd"/>
    </w:p>
    <w:p w:rsidR="005E7102" w:rsidRPr="003A3555" w:rsidRDefault="005E7102" w:rsidP="00DE10C6">
      <w:pPr>
        <w:keepNext/>
        <w:widowControl/>
        <w:rPr>
          <w:rStyle w:val="CommentReference"/>
          <w:color w:val="000000" w:themeColor="text1"/>
        </w:rPr>
      </w:pPr>
      <w:r w:rsidRPr="003A3555">
        <w:rPr>
          <w:rStyle w:val="CommentReference"/>
          <w:color w:val="000000" w:themeColor="text1"/>
        </w:rPr>
        <w:t xml:space="preserve">Table </w:t>
      </w:r>
      <w:r w:rsidR="00296EF7" w:rsidRPr="003A3555">
        <w:rPr>
          <w:rStyle w:val="CommentReference"/>
          <w:color w:val="000000" w:themeColor="text1"/>
        </w:rPr>
        <w:t>2</w:t>
      </w:r>
      <w:r w:rsidR="00097671">
        <w:rPr>
          <w:rStyle w:val="CommentReference"/>
          <w:color w:val="000000" w:themeColor="text1"/>
        </w:rPr>
        <w:t>2</w:t>
      </w:r>
      <w:r w:rsidRPr="003A3555">
        <w:rPr>
          <w:rStyle w:val="CommentReference"/>
          <w:color w:val="000000" w:themeColor="text1"/>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2: Summary of model structure and rationale"/>
      </w:tblPr>
      <w:tblGrid>
        <w:gridCol w:w="2518"/>
        <w:gridCol w:w="6499"/>
      </w:tblGrid>
      <w:tr w:rsidR="005E7102" w:rsidRPr="003A3555" w:rsidTr="00693AB3">
        <w:trPr>
          <w:tblHeader/>
        </w:trPr>
        <w:tc>
          <w:tcPr>
            <w:tcW w:w="1396" w:type="pct"/>
            <w:shd w:val="clear" w:color="auto" w:fill="auto"/>
            <w:vAlign w:val="center"/>
          </w:tcPr>
          <w:p w:rsidR="005E7102" w:rsidRPr="003A3555" w:rsidRDefault="005E7102" w:rsidP="00476EE6">
            <w:pPr>
              <w:pStyle w:val="Tabletext"/>
              <w:rPr>
                <w:b/>
                <w:color w:val="000000" w:themeColor="text1"/>
              </w:rPr>
            </w:pPr>
            <w:r w:rsidRPr="003A3555">
              <w:rPr>
                <w:b/>
                <w:color w:val="000000" w:themeColor="text1"/>
              </w:rPr>
              <w:t>Component</w:t>
            </w:r>
          </w:p>
        </w:tc>
        <w:tc>
          <w:tcPr>
            <w:tcW w:w="3604" w:type="pct"/>
            <w:shd w:val="clear" w:color="auto" w:fill="auto"/>
            <w:vAlign w:val="center"/>
          </w:tcPr>
          <w:p w:rsidR="005E7102" w:rsidRPr="003A3555" w:rsidRDefault="005E7102" w:rsidP="00476EE6">
            <w:pPr>
              <w:pStyle w:val="Tabletext"/>
              <w:jc w:val="center"/>
              <w:rPr>
                <w:b/>
                <w:color w:val="000000" w:themeColor="text1"/>
              </w:rPr>
            </w:pPr>
            <w:r w:rsidRPr="003A3555">
              <w:rPr>
                <w:b/>
                <w:color w:val="000000" w:themeColor="text1"/>
              </w:rPr>
              <w:t>Summary</w:t>
            </w:r>
          </w:p>
        </w:tc>
      </w:tr>
      <w:tr w:rsidR="005E7102" w:rsidRPr="003A3555" w:rsidTr="00693AB3">
        <w:tc>
          <w:tcPr>
            <w:tcW w:w="1396" w:type="pct"/>
            <w:shd w:val="clear" w:color="auto" w:fill="auto"/>
            <w:vAlign w:val="center"/>
          </w:tcPr>
          <w:p w:rsidR="005E7102" w:rsidRPr="003A3555" w:rsidRDefault="005E7102" w:rsidP="00476EE6">
            <w:pPr>
              <w:pStyle w:val="Tabletext"/>
              <w:rPr>
                <w:color w:val="000000" w:themeColor="text1"/>
              </w:rPr>
            </w:pPr>
            <w:r w:rsidRPr="003A3555">
              <w:rPr>
                <w:color w:val="000000" w:themeColor="text1"/>
              </w:rPr>
              <w:t>Time horizon</w:t>
            </w:r>
          </w:p>
        </w:tc>
        <w:tc>
          <w:tcPr>
            <w:tcW w:w="3604" w:type="pct"/>
            <w:shd w:val="clear" w:color="auto" w:fill="auto"/>
            <w:vAlign w:val="center"/>
          </w:tcPr>
          <w:p w:rsidR="005E7102" w:rsidRPr="003A3555" w:rsidRDefault="005E7102" w:rsidP="00476EE6">
            <w:pPr>
              <w:pStyle w:val="Tabletext"/>
              <w:rPr>
                <w:color w:val="000000" w:themeColor="text1"/>
              </w:rPr>
            </w:pPr>
            <w:r w:rsidRPr="003A3555">
              <w:rPr>
                <w:color w:val="000000" w:themeColor="text1"/>
              </w:rPr>
              <w:t>15 years in the model base case versus 6 years in CALGB.</w:t>
            </w:r>
          </w:p>
        </w:tc>
      </w:tr>
      <w:tr w:rsidR="005E7102" w:rsidRPr="003A3555" w:rsidTr="00693AB3">
        <w:tc>
          <w:tcPr>
            <w:tcW w:w="1396" w:type="pct"/>
            <w:shd w:val="clear" w:color="auto" w:fill="auto"/>
            <w:vAlign w:val="center"/>
          </w:tcPr>
          <w:p w:rsidR="005E7102" w:rsidRPr="003A3555" w:rsidRDefault="005E7102" w:rsidP="00476EE6">
            <w:pPr>
              <w:pStyle w:val="Tabletext"/>
              <w:rPr>
                <w:color w:val="000000" w:themeColor="text1"/>
              </w:rPr>
            </w:pPr>
            <w:r w:rsidRPr="003A3555">
              <w:rPr>
                <w:color w:val="000000" w:themeColor="text1"/>
              </w:rPr>
              <w:t>Outcomes</w:t>
            </w:r>
          </w:p>
        </w:tc>
        <w:tc>
          <w:tcPr>
            <w:tcW w:w="3604" w:type="pct"/>
            <w:shd w:val="clear" w:color="auto" w:fill="auto"/>
            <w:vAlign w:val="center"/>
          </w:tcPr>
          <w:p w:rsidR="005E7102" w:rsidRPr="003A3555" w:rsidRDefault="005E7102" w:rsidP="00CD0010">
            <w:pPr>
              <w:pStyle w:val="Tabletext"/>
              <w:rPr>
                <w:color w:val="000000" w:themeColor="text1"/>
              </w:rPr>
            </w:pPr>
            <w:r w:rsidRPr="003A3555">
              <w:rPr>
                <w:color w:val="000000" w:themeColor="text1"/>
              </w:rPr>
              <w:t>LY and QALYs</w:t>
            </w:r>
            <w:r w:rsidR="00CD0010">
              <w:rPr>
                <w:color w:val="000000" w:themeColor="text1"/>
              </w:rPr>
              <w:t xml:space="preserve"> gained</w:t>
            </w:r>
            <w:r w:rsidRPr="003A3555">
              <w:rPr>
                <w:color w:val="000000" w:themeColor="text1"/>
              </w:rPr>
              <w:t>.</w:t>
            </w:r>
          </w:p>
        </w:tc>
      </w:tr>
      <w:tr w:rsidR="005E7102" w:rsidRPr="003A3555" w:rsidTr="00693AB3">
        <w:tc>
          <w:tcPr>
            <w:tcW w:w="1396" w:type="pct"/>
            <w:shd w:val="clear" w:color="auto" w:fill="auto"/>
            <w:vAlign w:val="center"/>
          </w:tcPr>
          <w:p w:rsidR="005E7102" w:rsidRPr="003A3555" w:rsidRDefault="005E7102" w:rsidP="00476EE6">
            <w:pPr>
              <w:pStyle w:val="Tabletext"/>
              <w:rPr>
                <w:color w:val="000000" w:themeColor="text1"/>
              </w:rPr>
            </w:pPr>
            <w:r w:rsidRPr="003A3555">
              <w:rPr>
                <w:color w:val="000000" w:themeColor="text1"/>
              </w:rPr>
              <w:t>Methods used to generate results</w:t>
            </w:r>
          </w:p>
        </w:tc>
        <w:tc>
          <w:tcPr>
            <w:tcW w:w="3604" w:type="pct"/>
            <w:shd w:val="clear" w:color="auto" w:fill="auto"/>
            <w:vAlign w:val="center"/>
          </w:tcPr>
          <w:p w:rsidR="005E7102" w:rsidRPr="003A3555" w:rsidRDefault="005E7102" w:rsidP="00476EE6">
            <w:pPr>
              <w:pStyle w:val="Tabletext"/>
              <w:rPr>
                <w:color w:val="000000" w:themeColor="text1"/>
              </w:rPr>
            </w:pPr>
            <w:r w:rsidRPr="003A3555">
              <w:rPr>
                <w:color w:val="000000" w:themeColor="text1"/>
              </w:rPr>
              <w:t>Cohort expected value, partitioned survival model.</w:t>
            </w:r>
          </w:p>
        </w:tc>
      </w:tr>
      <w:tr w:rsidR="005E7102" w:rsidRPr="003A3555" w:rsidTr="00693AB3">
        <w:tc>
          <w:tcPr>
            <w:tcW w:w="1396" w:type="pct"/>
            <w:shd w:val="clear" w:color="auto" w:fill="auto"/>
            <w:vAlign w:val="center"/>
          </w:tcPr>
          <w:p w:rsidR="005E7102" w:rsidRPr="003A3555" w:rsidRDefault="005E7102" w:rsidP="00476EE6">
            <w:pPr>
              <w:pStyle w:val="Tabletext"/>
              <w:rPr>
                <w:color w:val="000000" w:themeColor="text1"/>
              </w:rPr>
            </w:pPr>
            <w:r w:rsidRPr="003A3555">
              <w:rPr>
                <w:color w:val="000000" w:themeColor="text1"/>
              </w:rPr>
              <w:t>Health states</w:t>
            </w:r>
          </w:p>
        </w:tc>
        <w:tc>
          <w:tcPr>
            <w:tcW w:w="3604" w:type="pct"/>
            <w:shd w:val="clear" w:color="auto" w:fill="auto"/>
            <w:vAlign w:val="center"/>
          </w:tcPr>
          <w:p w:rsidR="005E7102" w:rsidRPr="003A3555" w:rsidRDefault="005E7102" w:rsidP="00476EE6">
            <w:pPr>
              <w:pStyle w:val="Tabletext"/>
              <w:rPr>
                <w:color w:val="000000" w:themeColor="text1"/>
              </w:rPr>
            </w:pPr>
            <w:r w:rsidRPr="003A3555">
              <w:rPr>
                <w:color w:val="000000" w:themeColor="text1"/>
              </w:rPr>
              <w:t>Six model health states, comprising: pre-progression (split into ‘on treatment’ and ‘off treatment’); post-progression (split into ‘pre-second-line treatment’, ‘second-line treatment’ and ‘post second-line treatment’); death.</w:t>
            </w:r>
          </w:p>
        </w:tc>
      </w:tr>
      <w:tr w:rsidR="005E7102" w:rsidRPr="003A3555" w:rsidTr="00693AB3">
        <w:tc>
          <w:tcPr>
            <w:tcW w:w="1396" w:type="pct"/>
            <w:shd w:val="clear" w:color="auto" w:fill="auto"/>
            <w:vAlign w:val="center"/>
          </w:tcPr>
          <w:p w:rsidR="005E7102" w:rsidRPr="003A3555" w:rsidRDefault="005E7102" w:rsidP="00476EE6">
            <w:pPr>
              <w:pStyle w:val="Tabletext"/>
              <w:rPr>
                <w:color w:val="000000" w:themeColor="text1"/>
              </w:rPr>
            </w:pPr>
            <w:r w:rsidRPr="003A3555">
              <w:rPr>
                <w:color w:val="000000" w:themeColor="text1"/>
              </w:rPr>
              <w:t>Cycle length</w:t>
            </w:r>
          </w:p>
        </w:tc>
        <w:tc>
          <w:tcPr>
            <w:tcW w:w="3604" w:type="pct"/>
            <w:shd w:val="clear" w:color="auto" w:fill="auto"/>
            <w:vAlign w:val="center"/>
          </w:tcPr>
          <w:p w:rsidR="005E7102" w:rsidRPr="003A3555" w:rsidRDefault="005E7102" w:rsidP="00476EE6">
            <w:pPr>
              <w:pStyle w:val="Tabletext"/>
              <w:rPr>
                <w:color w:val="000000" w:themeColor="text1"/>
              </w:rPr>
            </w:pPr>
            <w:r w:rsidRPr="003A3555">
              <w:rPr>
                <w:color w:val="000000" w:themeColor="text1"/>
              </w:rPr>
              <w:t>28 days.</w:t>
            </w:r>
          </w:p>
        </w:tc>
      </w:tr>
      <w:tr w:rsidR="005E7102" w:rsidRPr="003A3555" w:rsidTr="00693AB3">
        <w:tc>
          <w:tcPr>
            <w:tcW w:w="1396" w:type="pct"/>
            <w:shd w:val="clear" w:color="auto" w:fill="auto"/>
            <w:vAlign w:val="center"/>
          </w:tcPr>
          <w:p w:rsidR="005E7102" w:rsidRPr="003A3555" w:rsidRDefault="005E7102" w:rsidP="00476EE6">
            <w:pPr>
              <w:pStyle w:val="Tabletext"/>
              <w:rPr>
                <w:color w:val="000000" w:themeColor="text1"/>
              </w:rPr>
            </w:pPr>
            <w:r w:rsidRPr="003A3555">
              <w:rPr>
                <w:color w:val="000000" w:themeColor="text1"/>
              </w:rPr>
              <w:t>Transition probabilities</w:t>
            </w:r>
          </w:p>
        </w:tc>
        <w:tc>
          <w:tcPr>
            <w:tcW w:w="3604" w:type="pct"/>
            <w:shd w:val="clear" w:color="auto" w:fill="auto"/>
            <w:vAlign w:val="center"/>
          </w:tcPr>
          <w:p w:rsidR="005E7102" w:rsidRPr="003A3555" w:rsidRDefault="005E7102" w:rsidP="00476EE6">
            <w:pPr>
              <w:pStyle w:val="Tabletext"/>
              <w:rPr>
                <w:i/>
                <w:color w:val="000000" w:themeColor="text1"/>
              </w:rPr>
            </w:pPr>
            <w:r w:rsidRPr="003A3555">
              <w:rPr>
                <w:color w:val="000000" w:themeColor="text1"/>
              </w:rPr>
              <w:t xml:space="preserve">Area under the curve analysis from CALGB using crossover adjusted OS and PFS. </w:t>
            </w:r>
          </w:p>
        </w:tc>
      </w:tr>
    </w:tbl>
    <w:p w:rsidR="005E7102" w:rsidRPr="003A3555" w:rsidRDefault="005E7102" w:rsidP="00476EE6">
      <w:pPr>
        <w:pStyle w:val="TableFooter"/>
        <w:widowControl/>
        <w:rPr>
          <w:color w:val="000000" w:themeColor="text1"/>
        </w:rPr>
      </w:pPr>
      <w:r w:rsidRPr="003A3555">
        <w:rPr>
          <w:color w:val="000000" w:themeColor="text1"/>
        </w:rPr>
        <w:t>LY</w:t>
      </w:r>
      <w:r w:rsidR="0067411C">
        <w:rPr>
          <w:color w:val="000000" w:themeColor="text1"/>
        </w:rPr>
        <w:t xml:space="preserve"> </w:t>
      </w:r>
      <w:r w:rsidRPr="003A3555">
        <w:rPr>
          <w:color w:val="000000" w:themeColor="text1"/>
        </w:rPr>
        <w:t>=</w:t>
      </w:r>
      <w:r w:rsidR="0067411C">
        <w:rPr>
          <w:color w:val="000000" w:themeColor="text1"/>
        </w:rPr>
        <w:t xml:space="preserve"> </w:t>
      </w:r>
      <w:proofErr w:type="spellStart"/>
      <w:r w:rsidRPr="003A3555">
        <w:rPr>
          <w:color w:val="000000" w:themeColor="text1"/>
        </w:rPr>
        <w:t>lifeyear</w:t>
      </w:r>
      <w:proofErr w:type="spellEnd"/>
      <w:r w:rsidRPr="003A3555">
        <w:rPr>
          <w:color w:val="000000" w:themeColor="text1"/>
        </w:rPr>
        <w:t>; PFS</w:t>
      </w:r>
      <w:r w:rsidR="0067411C">
        <w:rPr>
          <w:color w:val="000000" w:themeColor="text1"/>
        </w:rPr>
        <w:t xml:space="preserve"> </w:t>
      </w:r>
      <w:r w:rsidRPr="003A3555">
        <w:rPr>
          <w:color w:val="000000" w:themeColor="text1"/>
        </w:rPr>
        <w:t>=</w:t>
      </w:r>
      <w:r w:rsidR="0067411C">
        <w:rPr>
          <w:color w:val="000000" w:themeColor="text1"/>
        </w:rPr>
        <w:t xml:space="preserve"> </w:t>
      </w:r>
      <w:r w:rsidRPr="003A3555">
        <w:rPr>
          <w:color w:val="000000" w:themeColor="text1"/>
        </w:rPr>
        <w:t>progression-free survival; QALY</w:t>
      </w:r>
      <w:r w:rsidR="0067411C">
        <w:rPr>
          <w:color w:val="000000" w:themeColor="text1"/>
        </w:rPr>
        <w:t xml:space="preserve"> =</w:t>
      </w:r>
      <w:r w:rsidRPr="003A3555">
        <w:rPr>
          <w:color w:val="000000" w:themeColor="text1"/>
        </w:rPr>
        <w:t xml:space="preserve"> quality</w:t>
      </w:r>
      <w:r w:rsidR="0067411C">
        <w:rPr>
          <w:color w:val="000000" w:themeColor="text1"/>
        </w:rPr>
        <w:t>-</w:t>
      </w:r>
      <w:r w:rsidRPr="003A3555">
        <w:rPr>
          <w:color w:val="000000" w:themeColor="text1"/>
        </w:rPr>
        <w:t>adjusted life year; OS</w:t>
      </w:r>
      <w:r w:rsidR="0067411C">
        <w:rPr>
          <w:color w:val="000000" w:themeColor="text1"/>
        </w:rPr>
        <w:t xml:space="preserve"> </w:t>
      </w:r>
      <w:r w:rsidRPr="003A3555">
        <w:rPr>
          <w:color w:val="000000" w:themeColor="text1"/>
        </w:rPr>
        <w:t>=</w:t>
      </w:r>
      <w:r w:rsidR="0067411C">
        <w:rPr>
          <w:color w:val="000000" w:themeColor="text1"/>
        </w:rPr>
        <w:t xml:space="preserve"> </w:t>
      </w:r>
      <w:r w:rsidRPr="003A3555">
        <w:rPr>
          <w:color w:val="000000" w:themeColor="text1"/>
        </w:rPr>
        <w:t>overall survival.</w:t>
      </w:r>
    </w:p>
    <w:p w:rsidR="005E7102" w:rsidRPr="003A3555" w:rsidRDefault="005E7102" w:rsidP="00476EE6">
      <w:pPr>
        <w:pStyle w:val="TableFooter"/>
        <w:widowControl/>
        <w:rPr>
          <w:color w:val="000000" w:themeColor="text1"/>
        </w:rPr>
      </w:pPr>
      <w:r w:rsidRPr="003A3555">
        <w:rPr>
          <w:color w:val="000000" w:themeColor="text1"/>
        </w:rPr>
        <w:t>Source: Table 3.2, p48 of the resubmission.</w:t>
      </w:r>
    </w:p>
    <w:p w:rsidR="005E7102" w:rsidRPr="00D539BE" w:rsidRDefault="005E7102" w:rsidP="00E34D76">
      <w:pPr>
        <w:pStyle w:val="ListParagraph"/>
        <w:widowControl/>
        <w:numPr>
          <w:ilvl w:val="1"/>
          <w:numId w:val="2"/>
        </w:numPr>
        <w:spacing w:before="120"/>
        <w:rPr>
          <w:color w:val="000000" w:themeColor="text1"/>
        </w:rPr>
      </w:pPr>
      <w:r w:rsidRPr="00A90512">
        <w:rPr>
          <w:color w:val="000000" w:themeColor="text1"/>
        </w:rPr>
        <w:t xml:space="preserve">The </w:t>
      </w:r>
      <w:r w:rsidR="00894141" w:rsidRPr="00A90512">
        <w:rPr>
          <w:color w:val="000000" w:themeColor="text1"/>
        </w:rPr>
        <w:t>re</w:t>
      </w:r>
      <w:r w:rsidRPr="00A90512">
        <w:rPr>
          <w:color w:val="000000" w:themeColor="text1"/>
        </w:rPr>
        <w:t xml:space="preserve">submission used CALGB as the basis of the efficacy estimates for </w:t>
      </w:r>
      <w:proofErr w:type="spellStart"/>
      <w:r w:rsidRPr="00A90512">
        <w:rPr>
          <w:color w:val="000000" w:themeColor="text1"/>
        </w:rPr>
        <w:t>lenalidomide</w:t>
      </w:r>
      <w:proofErr w:type="spellEnd"/>
      <w:r w:rsidRPr="00A90512">
        <w:rPr>
          <w:color w:val="000000" w:themeColor="text1"/>
        </w:rPr>
        <w:t xml:space="preserve"> and BSC, and </w:t>
      </w:r>
      <w:proofErr w:type="spellStart"/>
      <w:r w:rsidRPr="00A90512">
        <w:rPr>
          <w:color w:val="000000" w:themeColor="text1"/>
        </w:rPr>
        <w:t>ToT</w:t>
      </w:r>
      <w:proofErr w:type="spellEnd"/>
      <w:r w:rsidRPr="00A90512">
        <w:rPr>
          <w:color w:val="000000" w:themeColor="text1"/>
        </w:rPr>
        <w:t xml:space="preserve"> for </w:t>
      </w:r>
      <w:proofErr w:type="spellStart"/>
      <w:r w:rsidRPr="00A90512">
        <w:rPr>
          <w:color w:val="000000" w:themeColor="text1"/>
        </w:rPr>
        <w:t>lenalidomide</w:t>
      </w:r>
      <w:proofErr w:type="spellEnd"/>
      <w:r w:rsidRPr="00A90512">
        <w:rPr>
          <w:color w:val="000000" w:themeColor="text1"/>
        </w:rPr>
        <w:t xml:space="preserve">, but IFM2005-02 to estimate the </w:t>
      </w:r>
      <w:proofErr w:type="spellStart"/>
      <w:r w:rsidRPr="00A90512">
        <w:rPr>
          <w:color w:val="000000" w:themeColor="text1"/>
        </w:rPr>
        <w:t>lenalidomide</w:t>
      </w:r>
      <w:proofErr w:type="spellEnd"/>
      <w:r w:rsidRPr="00A90512">
        <w:rPr>
          <w:color w:val="000000" w:themeColor="text1"/>
        </w:rPr>
        <w:t xml:space="preserve"> dose per cycle</w:t>
      </w:r>
      <w:r w:rsidR="00ED06A7">
        <w:rPr>
          <w:color w:val="000000" w:themeColor="text1"/>
        </w:rPr>
        <w:t xml:space="preserve"> as t</w:t>
      </w:r>
      <w:r w:rsidRPr="00A90512">
        <w:rPr>
          <w:color w:val="000000" w:themeColor="text1"/>
        </w:rPr>
        <w:t xml:space="preserve">he dose per cycle was not available for CALGB. There </w:t>
      </w:r>
      <w:r w:rsidR="00C668FB">
        <w:rPr>
          <w:color w:val="000000" w:themeColor="text1"/>
        </w:rPr>
        <w:t>wa</w:t>
      </w:r>
      <w:r w:rsidRPr="00A90512">
        <w:rPr>
          <w:color w:val="000000" w:themeColor="text1"/>
        </w:rPr>
        <w:t>s th</w:t>
      </w:r>
      <w:r w:rsidR="00A9169E" w:rsidRPr="00A90512">
        <w:rPr>
          <w:color w:val="000000" w:themeColor="text1"/>
        </w:rPr>
        <w:t xml:space="preserve">erefore </w:t>
      </w:r>
      <w:r w:rsidRPr="00A90512">
        <w:rPr>
          <w:color w:val="000000" w:themeColor="text1"/>
        </w:rPr>
        <w:t>a mismatch between the assumed efficacy and the drug dose required to achieve it within the economic evaluation.</w:t>
      </w:r>
      <w:r w:rsidRPr="00600AD1">
        <w:t xml:space="preserve"> </w:t>
      </w:r>
      <w:r w:rsidRPr="00A90512">
        <w:rPr>
          <w:color w:val="000000" w:themeColor="text1"/>
        </w:rPr>
        <w:t>Th</w:t>
      </w:r>
      <w:r w:rsidR="00EB0C7E" w:rsidRPr="00A90512">
        <w:rPr>
          <w:color w:val="000000" w:themeColor="text1"/>
        </w:rPr>
        <w:t xml:space="preserve">e impact of the disjoint in the source of data on treatment exposure and treatment efficacy on cost-effectiveness </w:t>
      </w:r>
      <w:r w:rsidRPr="00A90512">
        <w:rPr>
          <w:color w:val="000000" w:themeColor="text1"/>
        </w:rPr>
        <w:t>was not addressed in the resubmission</w:t>
      </w:r>
      <w:r w:rsidR="003F0435" w:rsidRPr="00D539BE">
        <w:rPr>
          <w:color w:val="000000" w:themeColor="text1"/>
        </w:rPr>
        <w:t xml:space="preserve">; however, the impact was considered to be minimal </w:t>
      </w:r>
      <w:r w:rsidR="00C668FB">
        <w:rPr>
          <w:color w:val="000000" w:themeColor="text1"/>
        </w:rPr>
        <w:t xml:space="preserve">by ESC </w:t>
      </w:r>
      <w:r w:rsidR="003F0435" w:rsidRPr="00D539BE">
        <w:rPr>
          <w:color w:val="000000" w:themeColor="text1"/>
        </w:rPr>
        <w:t xml:space="preserve">as the daily dose of </w:t>
      </w:r>
      <w:proofErr w:type="spellStart"/>
      <w:r w:rsidR="003F0435" w:rsidRPr="00D539BE">
        <w:rPr>
          <w:color w:val="000000" w:themeColor="text1"/>
        </w:rPr>
        <w:t>lenalidomide</w:t>
      </w:r>
      <w:proofErr w:type="spellEnd"/>
      <w:r w:rsidR="003F0435" w:rsidRPr="00D539BE">
        <w:rPr>
          <w:color w:val="000000" w:themeColor="text1"/>
        </w:rPr>
        <w:t xml:space="preserve"> in IFM2005-02 </w:t>
      </w:r>
      <w:r w:rsidR="003F0435" w:rsidRPr="00F72BA5">
        <w:rPr>
          <w:color w:val="000000" w:themeColor="text1"/>
        </w:rPr>
        <w:t xml:space="preserve">was </w:t>
      </w:r>
      <w:r w:rsidR="001D6F6D">
        <w:rPr>
          <w:noProof/>
          <w:color w:val="000000"/>
          <w:highlight w:val="black"/>
        </w:rPr>
        <w:t>''''''''</w:t>
      </w:r>
      <w:r w:rsidR="00F72BA5" w:rsidRPr="00F72BA5">
        <w:rPr>
          <w:color w:val="000000" w:themeColor="text1"/>
        </w:rPr>
        <w:t xml:space="preserve"> </w:t>
      </w:r>
      <w:r w:rsidR="003F0435" w:rsidRPr="00F72BA5">
        <w:rPr>
          <w:color w:val="000000" w:themeColor="text1"/>
        </w:rPr>
        <w:t>mg</w:t>
      </w:r>
      <w:r w:rsidRPr="00F72BA5">
        <w:rPr>
          <w:color w:val="000000" w:themeColor="text1"/>
        </w:rPr>
        <w:t>.</w:t>
      </w:r>
    </w:p>
    <w:p w:rsidR="000377B8" w:rsidRPr="00D539BE" w:rsidRDefault="00A70F77" w:rsidP="00E34D76">
      <w:pPr>
        <w:pStyle w:val="ListParagraph"/>
        <w:widowControl/>
        <w:numPr>
          <w:ilvl w:val="1"/>
          <w:numId w:val="2"/>
        </w:numPr>
        <w:spacing w:before="120"/>
        <w:rPr>
          <w:color w:val="000000" w:themeColor="text1"/>
        </w:rPr>
      </w:pPr>
      <w:r w:rsidRPr="00D539BE">
        <w:rPr>
          <w:color w:val="000000" w:themeColor="text1"/>
        </w:rPr>
        <w:t>T</w:t>
      </w:r>
      <w:r w:rsidR="00A9169E" w:rsidRPr="00D539BE">
        <w:rPr>
          <w:color w:val="000000" w:themeColor="text1"/>
        </w:rPr>
        <w:t xml:space="preserve">he ESC noted that </w:t>
      </w:r>
      <w:r w:rsidR="000377B8" w:rsidRPr="00D539BE">
        <w:rPr>
          <w:color w:val="000000" w:themeColor="text1"/>
        </w:rPr>
        <w:t xml:space="preserve">in the model the fitted PFS curves exceeded OS after 30 years for </w:t>
      </w:r>
      <w:proofErr w:type="spellStart"/>
      <w:r w:rsidR="000377B8" w:rsidRPr="00D539BE">
        <w:rPr>
          <w:color w:val="000000" w:themeColor="text1"/>
        </w:rPr>
        <w:t>lenalidomide</w:t>
      </w:r>
      <w:proofErr w:type="spellEnd"/>
      <w:r w:rsidR="000377B8" w:rsidRPr="00D539BE">
        <w:rPr>
          <w:color w:val="000000" w:themeColor="text1"/>
        </w:rPr>
        <w:t xml:space="preserve"> and after 12 years for BSC</w:t>
      </w:r>
      <w:r w:rsidRPr="00D539BE">
        <w:rPr>
          <w:color w:val="000000" w:themeColor="text1"/>
        </w:rPr>
        <w:t xml:space="preserve"> (Figure 5)</w:t>
      </w:r>
      <w:r w:rsidR="000377B8" w:rsidRPr="00D539BE">
        <w:rPr>
          <w:color w:val="000000" w:themeColor="text1"/>
        </w:rPr>
        <w:t>. The</w:t>
      </w:r>
      <w:r w:rsidR="00A9169E" w:rsidRPr="00D539BE">
        <w:rPr>
          <w:color w:val="000000" w:themeColor="text1"/>
        </w:rPr>
        <w:t xml:space="preserve"> ESC</w:t>
      </w:r>
      <w:r w:rsidR="001F5B60" w:rsidRPr="00D539BE">
        <w:rPr>
          <w:color w:val="000000" w:themeColor="text1"/>
        </w:rPr>
        <w:t xml:space="preserve"> further questioned the plausibility of the modelled results, given the very large differences in both OS and PFS between </w:t>
      </w:r>
      <w:proofErr w:type="spellStart"/>
      <w:r w:rsidR="001F5B60" w:rsidRPr="00D539BE">
        <w:rPr>
          <w:color w:val="000000" w:themeColor="text1"/>
        </w:rPr>
        <w:t>lenalidomide</w:t>
      </w:r>
      <w:proofErr w:type="spellEnd"/>
      <w:r w:rsidR="001F5B60" w:rsidRPr="00D539BE">
        <w:rPr>
          <w:color w:val="000000" w:themeColor="text1"/>
        </w:rPr>
        <w:t xml:space="preserve"> and BSC.</w:t>
      </w:r>
      <w:r w:rsidR="00A9169E" w:rsidRPr="00D539BE">
        <w:rPr>
          <w:color w:val="000000" w:themeColor="text1"/>
        </w:rPr>
        <w:t xml:space="preserve"> </w:t>
      </w:r>
      <w:r w:rsidR="001F5B60" w:rsidRPr="00D539BE">
        <w:rPr>
          <w:color w:val="000000" w:themeColor="text1"/>
        </w:rPr>
        <w:t xml:space="preserve">The ESC considered these issues </w:t>
      </w:r>
      <w:r w:rsidR="002E7791" w:rsidRPr="00D539BE">
        <w:rPr>
          <w:color w:val="000000" w:themeColor="text1"/>
        </w:rPr>
        <w:t xml:space="preserve">highlighted concerns regarding the validity of the model and the resulting ICER. </w:t>
      </w:r>
    </w:p>
    <w:p w:rsidR="000377B8" w:rsidRPr="003A3555" w:rsidRDefault="000377B8" w:rsidP="00476EE6">
      <w:pPr>
        <w:keepNext/>
        <w:widowControl/>
        <w:rPr>
          <w:rFonts w:ascii="Arial Narrow" w:hAnsi="Arial Narrow"/>
          <w:b/>
          <w:snapToGrid/>
          <w:color w:val="000000" w:themeColor="text1"/>
          <w:sz w:val="20"/>
          <w:szCs w:val="20"/>
          <w:lang w:val="en-US" w:eastAsia="en-AU"/>
        </w:rPr>
      </w:pPr>
      <w:r w:rsidRPr="003A3555">
        <w:rPr>
          <w:rFonts w:ascii="Arial Narrow" w:hAnsi="Arial Narrow"/>
          <w:b/>
          <w:snapToGrid/>
          <w:color w:val="000000" w:themeColor="text1"/>
          <w:sz w:val="20"/>
          <w:szCs w:val="20"/>
          <w:lang w:val="en-US" w:eastAsia="en-AU"/>
        </w:rPr>
        <w:lastRenderedPageBreak/>
        <w:t xml:space="preserve">Figure </w:t>
      </w:r>
      <w:r w:rsidR="006A38A8" w:rsidRPr="003A3555">
        <w:rPr>
          <w:rFonts w:ascii="Arial Narrow" w:hAnsi="Arial Narrow"/>
          <w:b/>
          <w:snapToGrid/>
          <w:color w:val="000000" w:themeColor="text1"/>
          <w:sz w:val="20"/>
          <w:szCs w:val="20"/>
          <w:lang w:val="en-US" w:eastAsia="en-AU"/>
        </w:rPr>
        <w:t>5</w:t>
      </w:r>
      <w:r w:rsidRPr="003A3555">
        <w:rPr>
          <w:rFonts w:ascii="Arial Narrow" w:hAnsi="Arial Narrow"/>
          <w:b/>
          <w:snapToGrid/>
          <w:color w:val="000000" w:themeColor="text1"/>
          <w:sz w:val="20"/>
          <w:szCs w:val="20"/>
          <w:lang w:val="en-US" w:eastAsia="en-AU"/>
        </w:rPr>
        <w:t xml:space="preserve">.  Comparison of long-term survival projections, </w:t>
      </w:r>
      <w:proofErr w:type="spellStart"/>
      <w:r w:rsidRPr="003A3555">
        <w:rPr>
          <w:rFonts w:ascii="Arial Narrow" w:hAnsi="Arial Narrow"/>
          <w:b/>
          <w:snapToGrid/>
          <w:color w:val="000000" w:themeColor="text1"/>
          <w:sz w:val="20"/>
          <w:szCs w:val="20"/>
          <w:lang w:val="en-US" w:eastAsia="en-AU"/>
        </w:rPr>
        <w:t>lenalidomide</w:t>
      </w:r>
      <w:proofErr w:type="spellEnd"/>
      <w:r w:rsidRPr="003A3555">
        <w:rPr>
          <w:rFonts w:ascii="Arial Narrow" w:hAnsi="Arial Narrow"/>
          <w:b/>
          <w:snapToGrid/>
          <w:color w:val="000000" w:themeColor="text1"/>
          <w:sz w:val="20"/>
          <w:szCs w:val="20"/>
          <w:lang w:val="en-US" w:eastAsia="en-AU"/>
        </w:rPr>
        <w:t xml:space="preserve"> and best supportive care </w:t>
      </w:r>
    </w:p>
    <w:p w:rsidR="000377B8" w:rsidRPr="003A3555" w:rsidRDefault="000377B8" w:rsidP="00476EE6">
      <w:pPr>
        <w:widowControl/>
        <w:rPr>
          <w:color w:val="000000" w:themeColor="text1"/>
        </w:rPr>
      </w:pPr>
      <w:r w:rsidRPr="003A3555">
        <w:rPr>
          <w:noProof/>
          <w:snapToGrid/>
          <w:color w:val="000000" w:themeColor="text1"/>
          <w:lang w:eastAsia="en-AU"/>
        </w:rPr>
        <w:drawing>
          <wp:inline distT="0" distB="0" distL="0" distR="0" wp14:anchorId="2A68E061" wp14:editId="14749FCA">
            <wp:extent cx="5287108" cy="4953000"/>
            <wp:effectExtent l="0" t="0" r="8890" b="0"/>
            <wp:docPr id="22" name="Chart 22" title="Figure 5.  Comparison of long-term survival projections, lenalidomide and best supportive care ">
              <a:extLst xmlns:a="http://schemas.openxmlformats.org/drawingml/2006/main">
                <a:ext uri="{FF2B5EF4-FFF2-40B4-BE49-F238E27FC236}">
                  <a16:creationId xmlns:a16="http://schemas.microsoft.com/office/drawing/2014/main" id="{00000000-0008-0000-0D00-00002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377B8" w:rsidRPr="003A3555" w:rsidRDefault="000377B8" w:rsidP="00476EE6">
      <w:pPr>
        <w:widowControl/>
        <w:rPr>
          <w:rFonts w:ascii="Arial Narrow" w:hAnsi="Arial Narrow"/>
          <w:color w:val="000000" w:themeColor="text1"/>
          <w:sz w:val="18"/>
          <w:szCs w:val="18"/>
        </w:rPr>
      </w:pPr>
      <w:r w:rsidRPr="003A3555">
        <w:rPr>
          <w:rFonts w:ascii="Arial Narrow" w:hAnsi="Arial Narrow"/>
          <w:color w:val="000000" w:themeColor="text1"/>
          <w:sz w:val="18"/>
          <w:szCs w:val="18"/>
        </w:rPr>
        <w:t xml:space="preserve">LEN = </w:t>
      </w:r>
      <w:proofErr w:type="spellStart"/>
      <w:r w:rsidRPr="003A3555">
        <w:rPr>
          <w:rFonts w:ascii="Arial Narrow" w:hAnsi="Arial Narrow"/>
          <w:color w:val="000000" w:themeColor="text1"/>
          <w:sz w:val="18"/>
          <w:szCs w:val="18"/>
        </w:rPr>
        <w:t>lenalidomide</w:t>
      </w:r>
      <w:proofErr w:type="spellEnd"/>
      <w:r w:rsidRPr="003A3555">
        <w:rPr>
          <w:rFonts w:ascii="Arial Narrow" w:hAnsi="Arial Narrow"/>
          <w:color w:val="000000" w:themeColor="text1"/>
          <w:sz w:val="18"/>
          <w:szCs w:val="18"/>
        </w:rPr>
        <w:t>; OS = overall survival; PFS = progression free survival; TOT = time on treatment.</w:t>
      </w:r>
    </w:p>
    <w:p w:rsidR="000377B8" w:rsidRPr="003A3555" w:rsidRDefault="000377B8" w:rsidP="00476EE6">
      <w:pPr>
        <w:keepNext/>
        <w:widowControl/>
        <w:rPr>
          <w:rFonts w:ascii="Arial Narrow" w:hAnsi="Arial Narrow"/>
          <w:snapToGrid/>
          <w:color w:val="000000" w:themeColor="text1"/>
          <w:sz w:val="18"/>
          <w:szCs w:val="18"/>
          <w:lang w:val="en-US" w:eastAsia="en-AU"/>
        </w:rPr>
      </w:pPr>
      <w:r w:rsidRPr="003A3555">
        <w:rPr>
          <w:rFonts w:ascii="Arial Narrow" w:hAnsi="Arial Narrow"/>
          <w:snapToGrid/>
          <w:color w:val="000000" w:themeColor="text1"/>
          <w:sz w:val="18"/>
          <w:szCs w:val="18"/>
          <w:lang w:val="en-US" w:eastAsia="en-AU"/>
        </w:rPr>
        <w:t>Source: Plotted on the same chart during the evaluation using ‘</w:t>
      </w:r>
      <w:proofErr w:type="spellStart"/>
      <w:r w:rsidRPr="003A3555">
        <w:rPr>
          <w:rFonts w:ascii="Arial Narrow" w:hAnsi="Arial Narrow"/>
          <w:snapToGrid/>
          <w:color w:val="000000" w:themeColor="text1"/>
          <w:sz w:val="18"/>
          <w:szCs w:val="18"/>
          <w:lang w:val="en-US" w:eastAsia="en-AU"/>
        </w:rPr>
        <w:t>Att</w:t>
      </w:r>
      <w:proofErr w:type="spellEnd"/>
      <w:r w:rsidRPr="003A3555">
        <w:rPr>
          <w:rFonts w:ascii="Arial Narrow" w:hAnsi="Arial Narrow"/>
          <w:snapToGrid/>
          <w:color w:val="000000" w:themeColor="text1"/>
          <w:sz w:val="18"/>
          <w:szCs w:val="18"/>
          <w:lang w:val="en-US" w:eastAsia="en-AU"/>
        </w:rPr>
        <w:t xml:space="preserve"> 12_Section 3 cost effectiveness model v2’.</w:t>
      </w:r>
    </w:p>
    <w:p w:rsidR="000377B8" w:rsidRPr="00600AD1" w:rsidRDefault="000377B8" w:rsidP="00E34D76">
      <w:pPr>
        <w:pStyle w:val="ListParagraph"/>
        <w:widowControl/>
        <w:numPr>
          <w:ilvl w:val="1"/>
          <w:numId w:val="2"/>
        </w:numPr>
        <w:spacing w:before="120"/>
        <w:rPr>
          <w:color w:val="000000" w:themeColor="text1"/>
        </w:rPr>
      </w:pPr>
      <w:r w:rsidRPr="00D539BE">
        <w:rPr>
          <w:color w:val="000000" w:themeColor="text1"/>
        </w:rPr>
        <w:t xml:space="preserve">The fitted PFS and OS curves for </w:t>
      </w:r>
      <w:proofErr w:type="spellStart"/>
      <w:r w:rsidRPr="00D539BE">
        <w:rPr>
          <w:color w:val="000000" w:themeColor="text1"/>
        </w:rPr>
        <w:t>lenalidomide</w:t>
      </w:r>
      <w:proofErr w:type="spellEnd"/>
      <w:r w:rsidRPr="00D539BE">
        <w:rPr>
          <w:color w:val="000000" w:themeColor="text1"/>
        </w:rPr>
        <w:t xml:space="preserve"> </w:t>
      </w:r>
      <w:proofErr w:type="gramStart"/>
      <w:r w:rsidRPr="00D539BE">
        <w:rPr>
          <w:color w:val="000000" w:themeColor="text1"/>
        </w:rPr>
        <w:t>are presented</w:t>
      </w:r>
      <w:proofErr w:type="gramEnd"/>
      <w:r w:rsidRPr="00D539BE">
        <w:rPr>
          <w:color w:val="000000" w:themeColor="text1"/>
        </w:rPr>
        <w:t xml:space="preserve"> in Figure </w:t>
      </w:r>
      <w:r w:rsidR="006A38A8" w:rsidRPr="00D539BE">
        <w:rPr>
          <w:color w:val="000000" w:themeColor="text1"/>
        </w:rPr>
        <w:t>6</w:t>
      </w:r>
      <w:r w:rsidR="00412744" w:rsidRPr="00D539BE">
        <w:rPr>
          <w:color w:val="000000" w:themeColor="text1"/>
        </w:rPr>
        <w:t xml:space="preserve"> and Figure 7, respectively</w:t>
      </w:r>
      <w:r w:rsidRPr="00D539BE">
        <w:rPr>
          <w:color w:val="000000" w:themeColor="text1"/>
        </w:rPr>
        <w:t xml:space="preserve">. </w:t>
      </w:r>
      <w:r w:rsidR="004559D6" w:rsidRPr="00D539BE">
        <w:rPr>
          <w:color w:val="000000" w:themeColor="text1"/>
        </w:rPr>
        <w:t xml:space="preserve">The resubmission used the generalised gamma (PFS) and Weibull (OS) curves to inform the base case of the economic model. </w:t>
      </w:r>
      <w:r w:rsidRPr="00D539BE">
        <w:rPr>
          <w:color w:val="000000" w:themeColor="text1"/>
        </w:rPr>
        <w:t xml:space="preserve">The majority of the estimated PFS and OS gain is coming from the extrapolated period. </w:t>
      </w:r>
      <w:r w:rsidR="004A7411" w:rsidRPr="00D539BE">
        <w:rPr>
          <w:color w:val="000000" w:themeColor="text1"/>
        </w:rPr>
        <w:t>A</w:t>
      </w:r>
      <w:r w:rsidRPr="00D539BE">
        <w:rPr>
          <w:color w:val="000000" w:themeColor="text1"/>
        </w:rPr>
        <w:t xml:space="preserve">t the start of the </w:t>
      </w:r>
      <w:r w:rsidR="004A7411" w:rsidRPr="00D539BE">
        <w:rPr>
          <w:color w:val="000000" w:themeColor="text1"/>
        </w:rPr>
        <w:t>OS</w:t>
      </w:r>
      <w:r w:rsidR="004A7411">
        <w:rPr>
          <w:color w:val="000000" w:themeColor="text1"/>
        </w:rPr>
        <w:t xml:space="preserve"> </w:t>
      </w:r>
      <w:r w:rsidRPr="00600AD1">
        <w:rPr>
          <w:color w:val="000000" w:themeColor="text1"/>
        </w:rPr>
        <w:t xml:space="preserve">extrapolation (72 </w:t>
      </w:r>
      <w:proofErr w:type="gramStart"/>
      <w:r w:rsidRPr="00600AD1">
        <w:rPr>
          <w:color w:val="000000" w:themeColor="text1"/>
        </w:rPr>
        <w:t>months)</w:t>
      </w:r>
      <w:proofErr w:type="gramEnd"/>
      <w:r w:rsidRPr="00600AD1">
        <w:rPr>
          <w:color w:val="000000" w:themeColor="text1"/>
        </w:rPr>
        <w:t xml:space="preserve"> </w:t>
      </w:r>
      <w:r w:rsidR="004A7411">
        <w:rPr>
          <w:color w:val="000000" w:themeColor="text1"/>
        </w:rPr>
        <w:t>all of the possible extrapolation</w:t>
      </w:r>
      <w:r w:rsidR="00CC44CB">
        <w:rPr>
          <w:color w:val="000000" w:themeColor="text1"/>
        </w:rPr>
        <w:t xml:space="preserve"> function</w:t>
      </w:r>
      <w:r w:rsidR="004A7411">
        <w:rPr>
          <w:color w:val="000000" w:themeColor="text1"/>
        </w:rPr>
        <w:t xml:space="preserve">s appear to overestimate the </w:t>
      </w:r>
      <w:r w:rsidR="00CC44CB">
        <w:rPr>
          <w:color w:val="000000" w:themeColor="text1"/>
        </w:rPr>
        <w:t xml:space="preserve">OS </w:t>
      </w:r>
      <w:r w:rsidR="004A7411">
        <w:rPr>
          <w:color w:val="000000" w:themeColor="text1"/>
        </w:rPr>
        <w:t xml:space="preserve">of </w:t>
      </w:r>
      <w:proofErr w:type="spellStart"/>
      <w:r w:rsidR="004A7411">
        <w:rPr>
          <w:color w:val="000000" w:themeColor="text1"/>
        </w:rPr>
        <w:t>lenalidomide</w:t>
      </w:r>
      <w:proofErr w:type="spellEnd"/>
      <w:r w:rsidR="004A7411">
        <w:rPr>
          <w:color w:val="000000" w:themeColor="text1"/>
        </w:rPr>
        <w:t xml:space="preserve"> relative to the Kaplan-Meier curve</w:t>
      </w:r>
      <w:r w:rsidRPr="00600AD1">
        <w:rPr>
          <w:color w:val="000000" w:themeColor="text1"/>
        </w:rPr>
        <w:t xml:space="preserve">. </w:t>
      </w:r>
      <w:r w:rsidR="00CC44CB">
        <w:rPr>
          <w:color w:val="000000" w:themeColor="text1"/>
        </w:rPr>
        <w:t xml:space="preserve">For the </w:t>
      </w:r>
      <w:r w:rsidR="004A7411">
        <w:rPr>
          <w:color w:val="000000" w:themeColor="text1"/>
        </w:rPr>
        <w:t xml:space="preserve">OS extrapolations </w:t>
      </w:r>
      <w:r w:rsidRPr="00600AD1">
        <w:rPr>
          <w:color w:val="000000" w:themeColor="text1"/>
        </w:rPr>
        <w:t xml:space="preserve">for BSC the </w:t>
      </w:r>
      <w:proofErr w:type="spellStart"/>
      <w:r w:rsidRPr="00600AD1">
        <w:rPr>
          <w:color w:val="000000" w:themeColor="text1"/>
        </w:rPr>
        <w:t>Gompertz</w:t>
      </w:r>
      <w:proofErr w:type="spellEnd"/>
      <w:r w:rsidRPr="00600AD1">
        <w:rPr>
          <w:color w:val="000000" w:themeColor="text1"/>
        </w:rPr>
        <w:t xml:space="preserve">, generalised gamma and Weibull </w:t>
      </w:r>
      <w:r w:rsidR="00CC44CB">
        <w:rPr>
          <w:color w:val="000000" w:themeColor="text1"/>
        </w:rPr>
        <w:t xml:space="preserve">functions provide a more </w:t>
      </w:r>
      <w:r w:rsidR="00CC44CB" w:rsidRPr="00600AD1">
        <w:rPr>
          <w:color w:val="000000" w:themeColor="text1"/>
        </w:rPr>
        <w:t>reasonable fit</w:t>
      </w:r>
      <w:r w:rsidRPr="00600AD1">
        <w:rPr>
          <w:color w:val="000000" w:themeColor="text1"/>
        </w:rPr>
        <w:t xml:space="preserve">. The result is that the fitted curves </w:t>
      </w:r>
      <w:r w:rsidR="004A7411">
        <w:rPr>
          <w:color w:val="000000" w:themeColor="text1"/>
        </w:rPr>
        <w:t xml:space="preserve">might </w:t>
      </w:r>
      <w:r w:rsidRPr="00600AD1">
        <w:rPr>
          <w:color w:val="000000" w:themeColor="text1"/>
        </w:rPr>
        <w:t xml:space="preserve">overestimate the </w:t>
      </w:r>
      <w:r w:rsidR="00CC44CB">
        <w:rPr>
          <w:color w:val="000000" w:themeColor="text1"/>
        </w:rPr>
        <w:t xml:space="preserve">OS </w:t>
      </w:r>
      <w:r w:rsidRPr="00600AD1">
        <w:rPr>
          <w:color w:val="000000" w:themeColor="text1"/>
        </w:rPr>
        <w:t xml:space="preserve">gain for </w:t>
      </w:r>
      <w:proofErr w:type="spellStart"/>
      <w:r w:rsidRPr="00600AD1">
        <w:rPr>
          <w:color w:val="000000" w:themeColor="text1"/>
        </w:rPr>
        <w:t>lenalidomide</w:t>
      </w:r>
      <w:proofErr w:type="spellEnd"/>
      <w:r w:rsidRPr="00600AD1">
        <w:rPr>
          <w:color w:val="000000" w:themeColor="text1"/>
        </w:rPr>
        <w:t xml:space="preserve"> relative to BSC.</w:t>
      </w:r>
    </w:p>
    <w:p w:rsidR="00412744" w:rsidRPr="003A3555" w:rsidRDefault="00500422" w:rsidP="00476EE6">
      <w:pPr>
        <w:keepNext/>
        <w:keepLines/>
        <w:widowControl/>
        <w:rPr>
          <w:rFonts w:ascii="Arial Narrow" w:hAnsi="Arial Narrow"/>
          <w:b/>
          <w:color w:val="000000" w:themeColor="text1"/>
          <w:sz w:val="20"/>
          <w:szCs w:val="20"/>
        </w:rPr>
      </w:pPr>
      <w:r w:rsidRPr="003A3555">
        <w:rPr>
          <w:rFonts w:ascii="Arial Narrow" w:hAnsi="Arial Narrow"/>
          <w:b/>
          <w:color w:val="000000" w:themeColor="text1"/>
          <w:sz w:val="20"/>
          <w:szCs w:val="20"/>
        </w:rPr>
        <w:lastRenderedPageBreak/>
        <w:t>Figure 6.</w:t>
      </w:r>
      <w:r w:rsidR="00412744" w:rsidRPr="003A3555">
        <w:rPr>
          <w:rFonts w:ascii="Arial Narrow" w:hAnsi="Arial Narrow"/>
          <w:b/>
          <w:color w:val="000000" w:themeColor="text1"/>
          <w:sz w:val="20"/>
          <w:szCs w:val="20"/>
        </w:rPr>
        <w:t xml:space="preserve"> Fit of the extrapolated survival curves to the KM data for PFS with adjustment for crossover using RPSFT with adjustment for 4 covariates for CALGB dataset (</w:t>
      </w:r>
      <w:proofErr w:type="spellStart"/>
      <w:r w:rsidR="0067411C">
        <w:rPr>
          <w:rFonts w:ascii="Arial Narrow" w:hAnsi="Arial Narrow"/>
          <w:b/>
          <w:color w:val="000000" w:themeColor="text1"/>
          <w:sz w:val="20"/>
          <w:szCs w:val="20"/>
        </w:rPr>
        <w:t>len</w:t>
      </w:r>
      <w:r w:rsidR="00F015DC">
        <w:rPr>
          <w:rFonts w:ascii="Arial Narrow" w:hAnsi="Arial Narrow"/>
          <w:b/>
          <w:color w:val="000000" w:themeColor="text1"/>
          <w:sz w:val="20"/>
          <w:szCs w:val="20"/>
        </w:rPr>
        <w:t>a</w:t>
      </w:r>
      <w:r w:rsidR="0067411C">
        <w:rPr>
          <w:rFonts w:ascii="Arial Narrow" w:hAnsi="Arial Narrow"/>
          <w:b/>
          <w:color w:val="000000" w:themeColor="text1"/>
          <w:sz w:val="20"/>
          <w:szCs w:val="20"/>
        </w:rPr>
        <w:t>lidomide</w:t>
      </w:r>
      <w:proofErr w:type="spellEnd"/>
      <w:r w:rsidR="00412744" w:rsidRPr="003A3555">
        <w:rPr>
          <w:rFonts w:ascii="Arial Narrow" w:hAnsi="Arial Narrow"/>
          <w:b/>
          <w:color w:val="000000" w:themeColor="text1"/>
          <w:sz w:val="20"/>
          <w:szCs w:val="20"/>
        </w:rPr>
        <w:t>, stratified)</w:t>
      </w:r>
    </w:p>
    <w:p w:rsidR="00412744" w:rsidRPr="003A3555" w:rsidRDefault="00A378BC" w:rsidP="00476EE6">
      <w:pPr>
        <w:widowControl/>
        <w:rPr>
          <w:i/>
          <w:color w:val="000000" w:themeColor="text1"/>
        </w:rPr>
      </w:pPr>
      <w:r w:rsidRPr="003A3555">
        <w:rPr>
          <w:i/>
          <w:noProof/>
          <w:color w:val="000000" w:themeColor="text1"/>
          <w:lang w:eastAsia="en-AU"/>
        </w:rPr>
        <w:drawing>
          <wp:inline distT="0" distB="0" distL="0" distR="0" wp14:anchorId="1C16E622" wp14:editId="5D159B35">
            <wp:extent cx="4136470" cy="2722728"/>
            <wp:effectExtent l="0" t="0" r="0" b="1905"/>
            <wp:docPr id="30" name="Picture 30" title="Figure 6. Fit of the extrapolated survival curves to the KM data for PFS with adjustment for crossover using RPSFT with adjustment for 4 covariates for CALGB dataset (lenalidomide, stra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7255" cy="2729827"/>
                    </a:xfrm>
                    <a:prstGeom prst="rect">
                      <a:avLst/>
                    </a:prstGeom>
                    <a:noFill/>
                  </pic:spPr>
                </pic:pic>
              </a:graphicData>
            </a:graphic>
          </wp:inline>
        </w:drawing>
      </w:r>
    </w:p>
    <w:p w:rsidR="00412744" w:rsidRPr="00600AD1" w:rsidRDefault="00412744" w:rsidP="00476EE6">
      <w:pPr>
        <w:keepNext/>
        <w:widowControl/>
        <w:rPr>
          <w:rFonts w:ascii="Arial Narrow" w:hAnsi="Arial Narrow"/>
          <w:color w:val="000000" w:themeColor="text1"/>
          <w:sz w:val="18"/>
          <w:szCs w:val="18"/>
        </w:rPr>
      </w:pPr>
      <w:r w:rsidRPr="00600AD1">
        <w:rPr>
          <w:rFonts w:ascii="Arial Narrow" w:hAnsi="Arial Narrow"/>
          <w:color w:val="000000" w:themeColor="text1"/>
          <w:sz w:val="18"/>
          <w:szCs w:val="18"/>
        </w:rPr>
        <w:t>KM = Kaplan-Meier; OS = overall survival; RPST = rank preserving structural failure time model.</w:t>
      </w:r>
    </w:p>
    <w:p w:rsidR="00A378BC" w:rsidRPr="00600AD1" w:rsidRDefault="00412744" w:rsidP="00476EE6">
      <w:pPr>
        <w:widowControl/>
        <w:rPr>
          <w:rFonts w:ascii="Arial Narrow" w:hAnsi="Arial Narrow"/>
          <w:color w:val="000000" w:themeColor="text1"/>
          <w:sz w:val="18"/>
          <w:szCs w:val="18"/>
        </w:rPr>
      </w:pPr>
      <w:r w:rsidRPr="00600AD1">
        <w:rPr>
          <w:rFonts w:ascii="Arial Narrow" w:hAnsi="Arial Narrow"/>
          <w:color w:val="000000" w:themeColor="text1"/>
          <w:sz w:val="18"/>
          <w:szCs w:val="18"/>
        </w:rPr>
        <w:t xml:space="preserve">Source: </w:t>
      </w:r>
      <w:r w:rsidR="00A378BC" w:rsidRPr="00600AD1">
        <w:rPr>
          <w:rFonts w:ascii="Arial Narrow" w:hAnsi="Arial Narrow"/>
          <w:color w:val="000000" w:themeColor="text1"/>
          <w:sz w:val="18"/>
          <w:szCs w:val="18"/>
        </w:rPr>
        <w:t xml:space="preserve">Source: Excel workbook “Section 3 CEA </w:t>
      </w:r>
      <w:proofErr w:type="spellStart"/>
      <w:r w:rsidR="00A378BC" w:rsidRPr="00600AD1">
        <w:rPr>
          <w:rFonts w:ascii="Arial Narrow" w:hAnsi="Arial Narrow"/>
          <w:color w:val="000000" w:themeColor="text1"/>
          <w:sz w:val="18"/>
          <w:szCs w:val="18"/>
        </w:rPr>
        <w:t>model_Nov</w:t>
      </w:r>
      <w:proofErr w:type="spellEnd"/>
      <w:r w:rsidR="00A378BC" w:rsidRPr="00600AD1">
        <w:rPr>
          <w:rFonts w:ascii="Arial Narrow" w:hAnsi="Arial Narrow"/>
          <w:color w:val="000000" w:themeColor="text1"/>
          <w:sz w:val="18"/>
          <w:szCs w:val="18"/>
        </w:rPr>
        <w:t xml:space="preserve"> 2018_v2.0”, sheet “PFS”, cell E50 changed to </w:t>
      </w:r>
      <w:proofErr w:type="gramStart"/>
      <w:r w:rsidR="00A378BC" w:rsidRPr="00600AD1">
        <w:rPr>
          <w:rFonts w:ascii="Arial Narrow" w:hAnsi="Arial Narrow"/>
          <w:color w:val="000000" w:themeColor="text1"/>
          <w:sz w:val="18"/>
          <w:szCs w:val="18"/>
        </w:rPr>
        <w:t>0</w:t>
      </w:r>
      <w:proofErr w:type="gramEnd"/>
      <w:r w:rsidR="00A378BC" w:rsidRPr="00600AD1">
        <w:rPr>
          <w:rFonts w:ascii="Arial Narrow" w:hAnsi="Arial Narrow"/>
          <w:color w:val="000000" w:themeColor="text1"/>
          <w:sz w:val="18"/>
          <w:szCs w:val="18"/>
        </w:rPr>
        <w:t>.</w:t>
      </w:r>
    </w:p>
    <w:p w:rsidR="00412744" w:rsidRPr="003A3555" w:rsidRDefault="00412744" w:rsidP="00476EE6">
      <w:pPr>
        <w:keepNext/>
        <w:keepLines/>
        <w:widowControl/>
        <w:rPr>
          <w:rFonts w:ascii="Arial Narrow" w:hAnsi="Arial Narrow"/>
          <w:b/>
          <w:color w:val="000000" w:themeColor="text1"/>
          <w:sz w:val="20"/>
          <w:szCs w:val="20"/>
        </w:rPr>
      </w:pPr>
    </w:p>
    <w:p w:rsidR="00412744" w:rsidRPr="003A3555" w:rsidRDefault="00412744" w:rsidP="00476EE6">
      <w:pPr>
        <w:keepNext/>
        <w:keepLines/>
        <w:widowControl/>
        <w:rPr>
          <w:rFonts w:ascii="Arial Narrow" w:hAnsi="Arial Narrow"/>
          <w:b/>
          <w:color w:val="000000" w:themeColor="text1"/>
          <w:sz w:val="20"/>
          <w:szCs w:val="20"/>
        </w:rPr>
      </w:pPr>
      <w:r w:rsidRPr="003A3555">
        <w:rPr>
          <w:rFonts w:ascii="Arial Narrow" w:hAnsi="Arial Narrow"/>
          <w:b/>
          <w:color w:val="000000" w:themeColor="text1"/>
          <w:sz w:val="20"/>
          <w:szCs w:val="20"/>
        </w:rPr>
        <w:t>Figure 7. Fit of the extrapolated survival curves to the KM data for OS with adjustment for crossover using RPSFT with adjustment for 4 covariates for CALGB dataset (</w:t>
      </w:r>
      <w:proofErr w:type="spellStart"/>
      <w:r w:rsidR="00A378BC" w:rsidRPr="003A3555">
        <w:rPr>
          <w:rFonts w:ascii="Arial Narrow" w:hAnsi="Arial Narrow"/>
          <w:b/>
          <w:color w:val="000000" w:themeColor="text1"/>
          <w:sz w:val="20"/>
          <w:szCs w:val="20"/>
        </w:rPr>
        <w:t>lenalidomide</w:t>
      </w:r>
      <w:proofErr w:type="spellEnd"/>
      <w:r w:rsidRPr="003A3555">
        <w:rPr>
          <w:rFonts w:ascii="Arial Narrow" w:hAnsi="Arial Narrow"/>
          <w:b/>
          <w:color w:val="000000" w:themeColor="text1"/>
          <w:sz w:val="20"/>
          <w:szCs w:val="20"/>
        </w:rPr>
        <w:t>, stratified)</w:t>
      </w:r>
    </w:p>
    <w:p w:rsidR="004B681F" w:rsidRPr="003A3555" w:rsidRDefault="00A378BC" w:rsidP="00476EE6">
      <w:pPr>
        <w:widowControl/>
        <w:rPr>
          <w:i/>
          <w:color w:val="000000" w:themeColor="text1"/>
        </w:rPr>
      </w:pPr>
      <w:r w:rsidRPr="003A3555">
        <w:rPr>
          <w:i/>
          <w:noProof/>
          <w:color w:val="000000" w:themeColor="text1"/>
          <w:lang w:eastAsia="en-AU"/>
        </w:rPr>
        <w:drawing>
          <wp:inline distT="0" distB="0" distL="0" distR="0" wp14:anchorId="4F532483" wp14:editId="06E72FE3">
            <wp:extent cx="4110824" cy="2705847"/>
            <wp:effectExtent l="0" t="0" r="4445" b="0"/>
            <wp:docPr id="11" name="Picture 11" title="Figure 7. Fit of the extrapolated survival curves to the KM data for OS with adjustment for crossover using RPSFT with adjustment for 4 covariates for CALGB dataset (lenalidomide, stra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1108" cy="2725781"/>
                    </a:xfrm>
                    <a:prstGeom prst="rect">
                      <a:avLst/>
                    </a:prstGeom>
                    <a:noFill/>
                  </pic:spPr>
                </pic:pic>
              </a:graphicData>
            </a:graphic>
          </wp:inline>
        </w:drawing>
      </w:r>
    </w:p>
    <w:p w:rsidR="00500422" w:rsidRPr="003A3555" w:rsidRDefault="00500422" w:rsidP="00476EE6">
      <w:pPr>
        <w:keepNext/>
        <w:widowControl/>
        <w:rPr>
          <w:rFonts w:ascii="Arial Narrow" w:hAnsi="Arial Narrow"/>
          <w:color w:val="000000" w:themeColor="text1"/>
          <w:sz w:val="18"/>
          <w:szCs w:val="18"/>
        </w:rPr>
      </w:pPr>
      <w:r w:rsidRPr="003A3555">
        <w:rPr>
          <w:rFonts w:ascii="Arial Narrow" w:hAnsi="Arial Narrow"/>
          <w:color w:val="000000" w:themeColor="text1"/>
          <w:sz w:val="18"/>
          <w:szCs w:val="18"/>
        </w:rPr>
        <w:t>KM = Kaplan-Meier; OS = overall survival; RPST = rank preserving structural failure time model.</w:t>
      </w:r>
    </w:p>
    <w:p w:rsidR="004B681F" w:rsidRPr="00600AD1" w:rsidRDefault="00500422" w:rsidP="00476EE6">
      <w:pPr>
        <w:widowControl/>
        <w:rPr>
          <w:rFonts w:ascii="Arial Narrow" w:hAnsi="Arial Narrow"/>
          <w:color w:val="000000" w:themeColor="text1"/>
          <w:sz w:val="18"/>
          <w:szCs w:val="18"/>
        </w:rPr>
      </w:pPr>
      <w:r w:rsidRPr="00600AD1">
        <w:rPr>
          <w:rFonts w:ascii="Arial Narrow" w:hAnsi="Arial Narrow"/>
          <w:color w:val="000000" w:themeColor="text1"/>
          <w:sz w:val="18"/>
          <w:szCs w:val="18"/>
        </w:rPr>
        <w:t xml:space="preserve">Source: </w:t>
      </w:r>
      <w:r w:rsidR="00A378BC" w:rsidRPr="00600AD1">
        <w:rPr>
          <w:rFonts w:ascii="Arial Narrow" w:hAnsi="Arial Narrow"/>
          <w:color w:val="000000" w:themeColor="text1"/>
          <w:sz w:val="18"/>
          <w:szCs w:val="18"/>
        </w:rPr>
        <w:t xml:space="preserve">Excel workbook “Section 3 CEA </w:t>
      </w:r>
      <w:proofErr w:type="spellStart"/>
      <w:r w:rsidR="00A378BC" w:rsidRPr="00600AD1">
        <w:rPr>
          <w:rFonts w:ascii="Arial Narrow" w:hAnsi="Arial Narrow"/>
          <w:color w:val="000000" w:themeColor="text1"/>
          <w:sz w:val="18"/>
          <w:szCs w:val="18"/>
        </w:rPr>
        <w:t>model_Nov</w:t>
      </w:r>
      <w:proofErr w:type="spellEnd"/>
      <w:r w:rsidR="00A378BC" w:rsidRPr="00600AD1">
        <w:rPr>
          <w:rFonts w:ascii="Arial Narrow" w:hAnsi="Arial Narrow"/>
          <w:color w:val="000000" w:themeColor="text1"/>
          <w:sz w:val="18"/>
          <w:szCs w:val="18"/>
        </w:rPr>
        <w:t xml:space="preserve"> 2018_v2.0”</w:t>
      </w:r>
      <w:proofErr w:type="gramStart"/>
      <w:r w:rsidR="00A378BC" w:rsidRPr="00600AD1">
        <w:rPr>
          <w:rFonts w:ascii="Arial Narrow" w:hAnsi="Arial Narrow"/>
          <w:color w:val="000000" w:themeColor="text1"/>
          <w:sz w:val="18"/>
          <w:szCs w:val="18"/>
        </w:rPr>
        <w:t>,</w:t>
      </w:r>
      <w:proofErr w:type="gramEnd"/>
      <w:r w:rsidR="00A378BC" w:rsidRPr="00600AD1">
        <w:rPr>
          <w:rFonts w:ascii="Arial Narrow" w:hAnsi="Arial Narrow"/>
          <w:color w:val="000000" w:themeColor="text1"/>
          <w:sz w:val="18"/>
          <w:szCs w:val="18"/>
        </w:rPr>
        <w:t xml:space="preserve"> sheet “OS”, cell E50 changed to 0.</w:t>
      </w:r>
    </w:p>
    <w:p w:rsidR="00500422" w:rsidRPr="00600AD1" w:rsidRDefault="00500422" w:rsidP="00476EE6">
      <w:pPr>
        <w:widowControl/>
        <w:rPr>
          <w:color w:val="000000" w:themeColor="text1"/>
        </w:rPr>
      </w:pPr>
    </w:p>
    <w:p w:rsidR="005E7102" w:rsidRPr="003A3555" w:rsidRDefault="005E7102" w:rsidP="00BF6529">
      <w:pPr>
        <w:pStyle w:val="ListParagraph"/>
        <w:widowControl/>
        <w:numPr>
          <w:ilvl w:val="1"/>
          <w:numId w:val="2"/>
        </w:numPr>
        <w:rPr>
          <w:color w:val="000000" w:themeColor="text1"/>
        </w:rPr>
      </w:pPr>
      <w:r w:rsidRPr="003A3555">
        <w:rPr>
          <w:color w:val="000000" w:themeColor="text1"/>
        </w:rPr>
        <w:t xml:space="preserve">The key drivers of the </w:t>
      </w:r>
      <w:r w:rsidR="00F015DC">
        <w:rPr>
          <w:color w:val="000000" w:themeColor="text1"/>
        </w:rPr>
        <w:t>cost-utility</w:t>
      </w:r>
      <w:r w:rsidRPr="003A3555">
        <w:rPr>
          <w:color w:val="000000" w:themeColor="text1"/>
        </w:rPr>
        <w:t xml:space="preserve"> model </w:t>
      </w:r>
      <w:proofErr w:type="gramStart"/>
      <w:r w:rsidRPr="003A3555">
        <w:rPr>
          <w:color w:val="000000" w:themeColor="text1"/>
        </w:rPr>
        <w:t>are presented</w:t>
      </w:r>
      <w:proofErr w:type="gramEnd"/>
      <w:r w:rsidRPr="003A3555">
        <w:rPr>
          <w:color w:val="000000" w:themeColor="text1"/>
        </w:rPr>
        <w:t xml:space="preserve"> in Table </w:t>
      </w:r>
      <w:r w:rsidR="00296EF7" w:rsidRPr="003A3555">
        <w:rPr>
          <w:color w:val="000000" w:themeColor="text1"/>
        </w:rPr>
        <w:t>2</w:t>
      </w:r>
      <w:r w:rsidR="00097671">
        <w:rPr>
          <w:color w:val="000000" w:themeColor="text1"/>
        </w:rPr>
        <w:t>3</w:t>
      </w:r>
      <w:r w:rsidRPr="003A3555">
        <w:rPr>
          <w:color w:val="000000" w:themeColor="text1"/>
        </w:rPr>
        <w:t xml:space="preserve">. </w:t>
      </w:r>
    </w:p>
    <w:p w:rsidR="005E7102" w:rsidRPr="003A3555" w:rsidRDefault="005E7102" w:rsidP="00476EE6">
      <w:pPr>
        <w:keepNext/>
        <w:keepLines/>
        <w:widowControl/>
        <w:rPr>
          <w:rStyle w:val="CommentReference"/>
          <w:color w:val="000000" w:themeColor="text1"/>
        </w:rPr>
      </w:pPr>
      <w:bookmarkStart w:id="44" w:name="_Hlk500948820"/>
      <w:r w:rsidRPr="003A3555">
        <w:rPr>
          <w:rStyle w:val="CommentReference"/>
          <w:color w:val="000000" w:themeColor="text1"/>
        </w:rPr>
        <w:lastRenderedPageBreak/>
        <w:t xml:space="preserve">Table </w:t>
      </w:r>
      <w:r w:rsidR="000377B8" w:rsidRPr="003A3555">
        <w:rPr>
          <w:rStyle w:val="CommentReference"/>
          <w:color w:val="000000" w:themeColor="text1"/>
        </w:rPr>
        <w:t>2</w:t>
      </w:r>
      <w:r w:rsidR="00097671">
        <w:rPr>
          <w:rStyle w:val="CommentReference"/>
          <w:color w:val="000000" w:themeColor="text1"/>
        </w:rPr>
        <w:t>3</w:t>
      </w:r>
      <w:r w:rsidRPr="003A3555">
        <w:rPr>
          <w:rStyle w:val="CommentReference"/>
          <w:color w:val="000000" w:themeColor="text1"/>
        </w:rPr>
        <w:t xml:space="preserve">: Key drivers of the model – </w:t>
      </w:r>
      <w:proofErr w:type="spellStart"/>
      <w:r w:rsidRPr="003A3555">
        <w:rPr>
          <w:rStyle w:val="CommentReference"/>
          <w:color w:val="000000" w:themeColor="text1"/>
        </w:rPr>
        <w:t>lenalidomide</w:t>
      </w:r>
      <w:proofErr w:type="spellEnd"/>
      <w:r w:rsidRPr="003A3555">
        <w:rPr>
          <w:rStyle w:val="CommentReference"/>
          <w:color w:val="000000" w:themeColor="text1"/>
        </w:rPr>
        <w:t xml:space="preserve"> v</w:t>
      </w:r>
      <w:r w:rsidR="00F015DC">
        <w:rPr>
          <w:rStyle w:val="CommentReference"/>
          <w:color w:val="000000" w:themeColor="text1"/>
        </w:rPr>
        <w:t>ersus</w:t>
      </w:r>
      <w:r w:rsidRPr="003A3555">
        <w:rPr>
          <w:rStyle w:val="CommentReference"/>
          <w:color w:val="000000" w:themeColor="text1"/>
        </w:rPr>
        <w:t xml:space="preserve"> BSC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3: Key drivers of the model – lenalidomide versus BSC"/>
      </w:tblPr>
      <w:tblGrid>
        <w:gridCol w:w="1554"/>
        <w:gridCol w:w="5670"/>
        <w:gridCol w:w="1793"/>
      </w:tblGrid>
      <w:tr w:rsidR="005E7102" w:rsidRPr="003A3555" w:rsidTr="00CD0010">
        <w:trPr>
          <w:tblHeader/>
        </w:trPr>
        <w:tc>
          <w:tcPr>
            <w:tcW w:w="862" w:type="pct"/>
            <w:shd w:val="clear" w:color="auto" w:fill="auto"/>
            <w:vAlign w:val="center"/>
          </w:tcPr>
          <w:p w:rsidR="005E7102" w:rsidRPr="003A3555" w:rsidRDefault="005E7102" w:rsidP="00476EE6">
            <w:pPr>
              <w:pStyle w:val="Tabletext"/>
              <w:keepNext/>
              <w:rPr>
                <w:b/>
                <w:color w:val="000000" w:themeColor="text1"/>
              </w:rPr>
            </w:pPr>
            <w:r w:rsidRPr="003A3555">
              <w:rPr>
                <w:b/>
                <w:color w:val="000000" w:themeColor="text1"/>
              </w:rPr>
              <w:t>Description</w:t>
            </w:r>
          </w:p>
        </w:tc>
        <w:tc>
          <w:tcPr>
            <w:tcW w:w="3144" w:type="pct"/>
            <w:shd w:val="clear" w:color="auto" w:fill="auto"/>
            <w:vAlign w:val="center"/>
          </w:tcPr>
          <w:p w:rsidR="005E7102" w:rsidRPr="003A3555" w:rsidRDefault="005E7102" w:rsidP="00476EE6">
            <w:pPr>
              <w:pStyle w:val="Tabletext"/>
              <w:keepNext/>
              <w:jc w:val="center"/>
              <w:rPr>
                <w:b/>
                <w:color w:val="000000" w:themeColor="text1"/>
              </w:rPr>
            </w:pPr>
            <w:r w:rsidRPr="003A3555">
              <w:rPr>
                <w:b/>
                <w:color w:val="000000" w:themeColor="text1"/>
              </w:rPr>
              <w:t>Method/Value</w:t>
            </w:r>
          </w:p>
        </w:tc>
        <w:tc>
          <w:tcPr>
            <w:tcW w:w="994" w:type="pct"/>
            <w:shd w:val="clear" w:color="auto" w:fill="auto"/>
            <w:vAlign w:val="center"/>
          </w:tcPr>
          <w:p w:rsidR="00D549A7" w:rsidRPr="0067411C" w:rsidRDefault="0032091D" w:rsidP="00476EE6">
            <w:pPr>
              <w:pStyle w:val="Tabletext"/>
              <w:keepNext/>
              <w:jc w:val="center"/>
              <w:rPr>
                <w:b/>
                <w:color w:val="000000" w:themeColor="text1"/>
              </w:rPr>
            </w:pPr>
            <w:r>
              <w:rPr>
                <w:b/>
                <w:color w:val="000000" w:themeColor="text1"/>
              </w:rPr>
              <w:t>Impact</w:t>
            </w:r>
          </w:p>
        </w:tc>
      </w:tr>
      <w:tr w:rsidR="005E7102" w:rsidRPr="003A3555" w:rsidTr="00CD0010">
        <w:tc>
          <w:tcPr>
            <w:tcW w:w="862" w:type="pct"/>
            <w:shd w:val="clear" w:color="auto" w:fill="auto"/>
            <w:vAlign w:val="center"/>
          </w:tcPr>
          <w:p w:rsidR="005E7102" w:rsidRPr="003A3555" w:rsidRDefault="005E7102" w:rsidP="00476EE6">
            <w:pPr>
              <w:pStyle w:val="Tabletext"/>
              <w:keepNext/>
              <w:rPr>
                <w:color w:val="000000" w:themeColor="text1"/>
              </w:rPr>
            </w:pPr>
            <w:r w:rsidRPr="003A3555">
              <w:rPr>
                <w:color w:val="000000" w:themeColor="text1"/>
              </w:rPr>
              <w:t xml:space="preserve">Extrapolation </w:t>
            </w:r>
          </w:p>
        </w:tc>
        <w:tc>
          <w:tcPr>
            <w:tcW w:w="3144" w:type="pct"/>
            <w:shd w:val="clear" w:color="auto" w:fill="auto"/>
            <w:vAlign w:val="center"/>
          </w:tcPr>
          <w:p w:rsidR="005E7102" w:rsidRPr="003A3555" w:rsidRDefault="0032091D" w:rsidP="00476EE6">
            <w:pPr>
              <w:pStyle w:val="Tabletext"/>
              <w:keepNext/>
              <w:rPr>
                <w:color w:val="000000" w:themeColor="text1"/>
              </w:rPr>
            </w:pPr>
            <w:r>
              <w:rPr>
                <w:color w:val="000000" w:themeColor="text1"/>
              </w:rPr>
              <w:t xml:space="preserve">In the base </w:t>
            </w:r>
            <w:proofErr w:type="gramStart"/>
            <w:r>
              <w:rPr>
                <w:color w:val="000000" w:themeColor="text1"/>
              </w:rPr>
              <w:t>case</w:t>
            </w:r>
            <w:proofErr w:type="gramEnd"/>
            <w:r>
              <w:rPr>
                <w:color w:val="000000" w:themeColor="text1"/>
              </w:rPr>
              <w:t xml:space="preserve"> the t</w:t>
            </w:r>
            <w:r w:rsidR="005E7102" w:rsidRPr="003A3555">
              <w:rPr>
                <w:color w:val="000000" w:themeColor="text1"/>
              </w:rPr>
              <w:t xml:space="preserve">reatment effect </w:t>
            </w:r>
            <w:r>
              <w:rPr>
                <w:color w:val="000000" w:themeColor="text1"/>
              </w:rPr>
              <w:t xml:space="preserve">of </w:t>
            </w:r>
            <w:proofErr w:type="spellStart"/>
            <w:r>
              <w:rPr>
                <w:color w:val="000000" w:themeColor="text1"/>
              </w:rPr>
              <w:t>lenalidomide</w:t>
            </w:r>
            <w:proofErr w:type="spellEnd"/>
            <w:r>
              <w:rPr>
                <w:color w:val="000000" w:themeColor="text1"/>
              </w:rPr>
              <w:t xml:space="preserve"> was continued over the 15 year time horizon. Reducing the period over which there is a treatment effect increased the ICER.</w:t>
            </w:r>
          </w:p>
        </w:tc>
        <w:tc>
          <w:tcPr>
            <w:tcW w:w="994" w:type="pct"/>
            <w:shd w:val="clear" w:color="auto" w:fill="auto"/>
            <w:vAlign w:val="center"/>
          </w:tcPr>
          <w:p w:rsidR="00D549A7" w:rsidRPr="003A3555" w:rsidRDefault="005E7102" w:rsidP="00476EE6">
            <w:pPr>
              <w:pStyle w:val="Tabletext"/>
              <w:keepNext/>
              <w:jc w:val="center"/>
              <w:rPr>
                <w:color w:val="000000" w:themeColor="text1"/>
              </w:rPr>
            </w:pPr>
            <w:r w:rsidRPr="003A3555">
              <w:rPr>
                <w:color w:val="000000" w:themeColor="text1"/>
              </w:rPr>
              <w:t>H</w:t>
            </w:r>
            <w:r w:rsidR="0032091D">
              <w:rPr>
                <w:color w:val="000000" w:themeColor="text1"/>
              </w:rPr>
              <w:t xml:space="preserve">igh, </w:t>
            </w:r>
            <w:r w:rsidR="00CD0010">
              <w:rPr>
                <w:color w:val="000000" w:themeColor="text1"/>
              </w:rPr>
              <w:br/>
            </w:r>
            <w:r w:rsidR="0032091D">
              <w:rPr>
                <w:color w:val="000000" w:themeColor="text1"/>
              </w:rPr>
              <w:t xml:space="preserve">favoured </w:t>
            </w:r>
            <w:proofErr w:type="spellStart"/>
            <w:r w:rsidR="0032091D">
              <w:rPr>
                <w:color w:val="000000" w:themeColor="text1"/>
              </w:rPr>
              <w:t>lenalidomide</w:t>
            </w:r>
            <w:proofErr w:type="spellEnd"/>
          </w:p>
        </w:tc>
      </w:tr>
      <w:tr w:rsidR="005E7102" w:rsidRPr="003A3555" w:rsidTr="00CD0010">
        <w:tc>
          <w:tcPr>
            <w:tcW w:w="862" w:type="pct"/>
            <w:shd w:val="clear" w:color="auto" w:fill="auto"/>
            <w:vAlign w:val="center"/>
          </w:tcPr>
          <w:p w:rsidR="005E7102" w:rsidRPr="003A3555" w:rsidRDefault="00CD0010" w:rsidP="00476EE6">
            <w:pPr>
              <w:pStyle w:val="Tabletext"/>
              <w:keepNext/>
              <w:rPr>
                <w:color w:val="000000" w:themeColor="text1"/>
              </w:rPr>
            </w:pPr>
            <w:r>
              <w:rPr>
                <w:color w:val="000000" w:themeColor="text1"/>
              </w:rPr>
              <w:t>D</w:t>
            </w:r>
            <w:r w:rsidR="005E7102" w:rsidRPr="003A3555">
              <w:rPr>
                <w:color w:val="000000" w:themeColor="text1"/>
              </w:rPr>
              <w:t>ata source</w:t>
            </w:r>
          </w:p>
        </w:tc>
        <w:tc>
          <w:tcPr>
            <w:tcW w:w="3144" w:type="pct"/>
            <w:shd w:val="clear" w:color="auto" w:fill="auto"/>
            <w:vAlign w:val="center"/>
          </w:tcPr>
          <w:p w:rsidR="005E7102" w:rsidRPr="003A3555" w:rsidRDefault="006B758C" w:rsidP="00476EE6">
            <w:pPr>
              <w:pStyle w:val="Tabletext"/>
              <w:keepNext/>
              <w:rPr>
                <w:color w:val="000000" w:themeColor="text1"/>
              </w:rPr>
            </w:pPr>
            <w:r>
              <w:rPr>
                <w:color w:val="000000" w:themeColor="text1"/>
              </w:rPr>
              <w:t xml:space="preserve">OS, PFS and </w:t>
            </w:r>
            <w:proofErr w:type="spellStart"/>
            <w:r>
              <w:rPr>
                <w:color w:val="000000" w:themeColor="text1"/>
              </w:rPr>
              <w:t>ToT</w:t>
            </w:r>
            <w:proofErr w:type="spellEnd"/>
            <w:r>
              <w:rPr>
                <w:color w:val="000000" w:themeColor="text1"/>
              </w:rPr>
              <w:t xml:space="preserve"> in the</w:t>
            </w:r>
            <w:r w:rsidR="0032091D">
              <w:rPr>
                <w:color w:val="000000" w:themeColor="text1"/>
              </w:rPr>
              <w:t xml:space="preserve"> base case </w:t>
            </w:r>
            <w:proofErr w:type="gramStart"/>
            <w:r w:rsidR="0032091D">
              <w:rPr>
                <w:color w:val="000000" w:themeColor="text1"/>
              </w:rPr>
              <w:t>w</w:t>
            </w:r>
            <w:r>
              <w:rPr>
                <w:color w:val="000000" w:themeColor="text1"/>
              </w:rPr>
              <w:t>ere</w:t>
            </w:r>
            <w:r w:rsidR="0032091D">
              <w:rPr>
                <w:color w:val="000000" w:themeColor="text1"/>
              </w:rPr>
              <w:t xml:space="preserve"> informed</w:t>
            </w:r>
            <w:proofErr w:type="gramEnd"/>
            <w:r w:rsidR="0032091D">
              <w:rPr>
                <w:color w:val="000000" w:themeColor="text1"/>
              </w:rPr>
              <w:t xml:space="preserve"> by </w:t>
            </w:r>
            <w:r>
              <w:rPr>
                <w:color w:val="000000" w:themeColor="text1"/>
              </w:rPr>
              <w:t xml:space="preserve">the </w:t>
            </w:r>
            <w:r w:rsidR="0032091D">
              <w:rPr>
                <w:color w:val="000000" w:themeColor="text1"/>
              </w:rPr>
              <w:t>CALGB</w:t>
            </w:r>
            <w:r>
              <w:rPr>
                <w:color w:val="000000" w:themeColor="text1"/>
              </w:rPr>
              <w:t xml:space="preserve"> trial. Use of the pooled dataset (</w:t>
            </w:r>
            <w:r w:rsidR="00C60F2C">
              <w:rPr>
                <w:color w:val="000000" w:themeColor="text1"/>
              </w:rPr>
              <w:t>CALGB, IFM</w:t>
            </w:r>
            <w:r w:rsidR="005E7102" w:rsidRPr="003A3555">
              <w:rPr>
                <w:color w:val="000000" w:themeColor="text1"/>
              </w:rPr>
              <w:t>2005</w:t>
            </w:r>
            <w:r w:rsidR="005E7102" w:rsidRPr="003A3555">
              <w:rPr>
                <w:color w:val="000000" w:themeColor="text1"/>
              </w:rPr>
              <w:noBreakHyphen/>
              <w:t xml:space="preserve">02, </w:t>
            </w:r>
            <w:proofErr w:type="gramStart"/>
            <w:r w:rsidR="005E7102" w:rsidRPr="003A3555">
              <w:rPr>
                <w:color w:val="000000" w:themeColor="text1"/>
              </w:rPr>
              <w:t>GIMEMA</w:t>
            </w:r>
            <w:proofErr w:type="gramEnd"/>
            <w:r w:rsidR="005E7102" w:rsidRPr="003A3555">
              <w:rPr>
                <w:color w:val="000000" w:themeColor="text1"/>
              </w:rPr>
              <w:t>)</w:t>
            </w:r>
            <w:r w:rsidR="003632F4">
              <w:rPr>
                <w:color w:val="000000" w:themeColor="text1"/>
              </w:rPr>
              <w:t xml:space="preserve"> </w:t>
            </w:r>
            <w:r>
              <w:rPr>
                <w:color w:val="000000" w:themeColor="text1"/>
              </w:rPr>
              <w:t>increased the ICER.</w:t>
            </w:r>
          </w:p>
        </w:tc>
        <w:tc>
          <w:tcPr>
            <w:tcW w:w="994" w:type="pct"/>
            <w:shd w:val="clear" w:color="auto" w:fill="auto"/>
            <w:vAlign w:val="center"/>
          </w:tcPr>
          <w:p w:rsidR="00D549A7" w:rsidRPr="003A3555" w:rsidRDefault="005E7102" w:rsidP="00476EE6">
            <w:pPr>
              <w:pStyle w:val="Tabletext"/>
              <w:keepNext/>
              <w:jc w:val="center"/>
              <w:rPr>
                <w:color w:val="000000" w:themeColor="text1"/>
              </w:rPr>
            </w:pPr>
            <w:r w:rsidRPr="003A3555">
              <w:rPr>
                <w:color w:val="000000" w:themeColor="text1"/>
              </w:rPr>
              <w:t>H</w:t>
            </w:r>
            <w:r w:rsidR="006B758C">
              <w:rPr>
                <w:color w:val="000000" w:themeColor="text1"/>
              </w:rPr>
              <w:t xml:space="preserve">igh, </w:t>
            </w:r>
            <w:r w:rsidR="00CD0010">
              <w:rPr>
                <w:color w:val="000000" w:themeColor="text1"/>
              </w:rPr>
              <w:br/>
            </w:r>
            <w:r w:rsidR="006B758C">
              <w:rPr>
                <w:color w:val="000000" w:themeColor="text1"/>
              </w:rPr>
              <w:t xml:space="preserve">favoured </w:t>
            </w:r>
            <w:proofErr w:type="spellStart"/>
            <w:r w:rsidR="006B758C">
              <w:rPr>
                <w:color w:val="000000" w:themeColor="text1"/>
              </w:rPr>
              <w:t>lenalidomide</w:t>
            </w:r>
            <w:proofErr w:type="spellEnd"/>
          </w:p>
        </w:tc>
      </w:tr>
    </w:tbl>
    <w:p w:rsidR="005E7102" w:rsidRPr="003A3555" w:rsidRDefault="0067411C" w:rsidP="00476EE6">
      <w:pPr>
        <w:pStyle w:val="TableFooter"/>
        <w:widowControl/>
        <w:rPr>
          <w:color w:val="000000" w:themeColor="text1"/>
        </w:rPr>
      </w:pPr>
      <w:r>
        <w:rPr>
          <w:color w:val="000000" w:themeColor="text1"/>
        </w:rPr>
        <w:t xml:space="preserve">ICER = incremental cost-effectiveness ratio; </w:t>
      </w:r>
      <w:r w:rsidR="005E7102" w:rsidRPr="003A3555">
        <w:rPr>
          <w:color w:val="000000" w:themeColor="text1"/>
        </w:rPr>
        <w:t>PFS</w:t>
      </w:r>
      <w:r>
        <w:rPr>
          <w:color w:val="000000" w:themeColor="text1"/>
        </w:rPr>
        <w:t xml:space="preserve"> </w:t>
      </w:r>
      <w:r w:rsidR="005E7102" w:rsidRPr="003A3555">
        <w:rPr>
          <w:color w:val="000000" w:themeColor="text1"/>
        </w:rPr>
        <w:t>=</w:t>
      </w:r>
      <w:r>
        <w:rPr>
          <w:color w:val="000000" w:themeColor="text1"/>
        </w:rPr>
        <w:t xml:space="preserve"> </w:t>
      </w:r>
      <w:r w:rsidR="005E7102" w:rsidRPr="003A3555">
        <w:rPr>
          <w:color w:val="000000" w:themeColor="text1"/>
        </w:rPr>
        <w:t>progression</w:t>
      </w:r>
      <w:r w:rsidR="005E7102" w:rsidRPr="003A3555">
        <w:rPr>
          <w:color w:val="000000" w:themeColor="text1"/>
        </w:rPr>
        <w:noBreakHyphen/>
        <w:t>free survival; OS</w:t>
      </w:r>
      <w:r>
        <w:rPr>
          <w:color w:val="000000" w:themeColor="text1"/>
        </w:rPr>
        <w:t xml:space="preserve"> </w:t>
      </w:r>
      <w:r w:rsidR="005E7102" w:rsidRPr="003A3555">
        <w:rPr>
          <w:color w:val="000000" w:themeColor="text1"/>
        </w:rPr>
        <w:t>=</w:t>
      </w:r>
      <w:r>
        <w:rPr>
          <w:color w:val="000000" w:themeColor="text1"/>
        </w:rPr>
        <w:t xml:space="preserve"> </w:t>
      </w:r>
      <w:r w:rsidR="005E7102" w:rsidRPr="003A3555">
        <w:rPr>
          <w:color w:val="000000" w:themeColor="text1"/>
        </w:rPr>
        <w:t xml:space="preserve">overall survival; </w:t>
      </w:r>
      <w:proofErr w:type="spellStart"/>
      <w:r w:rsidR="005E7102" w:rsidRPr="003A3555">
        <w:rPr>
          <w:color w:val="000000" w:themeColor="text1"/>
        </w:rPr>
        <w:t>ToT</w:t>
      </w:r>
      <w:proofErr w:type="spellEnd"/>
      <w:r>
        <w:rPr>
          <w:color w:val="000000" w:themeColor="text1"/>
        </w:rPr>
        <w:t xml:space="preserve"> </w:t>
      </w:r>
      <w:r w:rsidR="005E7102" w:rsidRPr="003A3555">
        <w:rPr>
          <w:color w:val="000000" w:themeColor="text1"/>
        </w:rPr>
        <w:t>=</w:t>
      </w:r>
      <w:r>
        <w:rPr>
          <w:color w:val="000000" w:themeColor="text1"/>
        </w:rPr>
        <w:t xml:space="preserve"> </w:t>
      </w:r>
      <w:r w:rsidR="005E7102" w:rsidRPr="003A3555">
        <w:rPr>
          <w:color w:val="000000" w:themeColor="text1"/>
        </w:rPr>
        <w:t xml:space="preserve">time on treatment. </w:t>
      </w:r>
    </w:p>
    <w:p w:rsidR="005E7102" w:rsidRPr="003A3555" w:rsidRDefault="005E7102" w:rsidP="00476EE6">
      <w:pPr>
        <w:pStyle w:val="TableFooter"/>
        <w:widowControl/>
        <w:rPr>
          <w:color w:val="000000" w:themeColor="text1"/>
        </w:rPr>
      </w:pPr>
      <w:r w:rsidRPr="003A3555">
        <w:rPr>
          <w:color w:val="000000" w:themeColor="text1"/>
        </w:rPr>
        <w:t xml:space="preserve">Source: </w:t>
      </w:r>
      <w:r w:rsidRPr="003A3555">
        <w:rPr>
          <w:color w:val="000000" w:themeColor="text1"/>
          <w:szCs w:val="18"/>
        </w:rPr>
        <w:t>Table 3.31, p87 of the resubmission</w:t>
      </w:r>
    </w:p>
    <w:bookmarkEnd w:id="44"/>
    <w:p w:rsidR="005E7102" w:rsidRPr="00600AD1" w:rsidRDefault="005E7102" w:rsidP="00E34D76">
      <w:pPr>
        <w:pStyle w:val="ListParagraph"/>
        <w:widowControl/>
        <w:numPr>
          <w:ilvl w:val="1"/>
          <w:numId w:val="2"/>
        </w:numPr>
        <w:spacing w:before="120"/>
        <w:rPr>
          <w:color w:val="000000" w:themeColor="text1"/>
        </w:rPr>
      </w:pPr>
      <w:r w:rsidRPr="00600AD1">
        <w:rPr>
          <w:color w:val="000000" w:themeColor="text1"/>
        </w:rPr>
        <w:t xml:space="preserve">The results of the stepped economic evaluation for </w:t>
      </w:r>
      <w:proofErr w:type="spellStart"/>
      <w:r w:rsidRPr="00600AD1">
        <w:rPr>
          <w:color w:val="000000" w:themeColor="text1"/>
        </w:rPr>
        <w:t>lenalidomide</w:t>
      </w:r>
      <w:proofErr w:type="spellEnd"/>
      <w:r w:rsidRPr="00600AD1">
        <w:rPr>
          <w:color w:val="000000" w:themeColor="text1"/>
        </w:rPr>
        <w:t xml:space="preserve"> v</w:t>
      </w:r>
      <w:r w:rsidR="00A70F77">
        <w:rPr>
          <w:color w:val="000000" w:themeColor="text1"/>
        </w:rPr>
        <w:t>ersus</w:t>
      </w:r>
      <w:r w:rsidRPr="00600AD1">
        <w:rPr>
          <w:color w:val="000000" w:themeColor="text1"/>
        </w:rPr>
        <w:t xml:space="preserve"> BSC </w:t>
      </w:r>
      <w:proofErr w:type="gramStart"/>
      <w:r w:rsidRPr="00600AD1">
        <w:rPr>
          <w:color w:val="000000" w:themeColor="text1"/>
        </w:rPr>
        <w:t>are presented</w:t>
      </w:r>
      <w:proofErr w:type="gramEnd"/>
      <w:r w:rsidRPr="00600AD1">
        <w:rPr>
          <w:color w:val="000000" w:themeColor="text1"/>
        </w:rPr>
        <w:t xml:space="preserve"> in Table </w:t>
      </w:r>
      <w:r w:rsidR="000377B8" w:rsidRPr="00600AD1">
        <w:rPr>
          <w:color w:val="000000" w:themeColor="text1"/>
        </w:rPr>
        <w:t>2</w:t>
      </w:r>
      <w:r w:rsidR="00097671">
        <w:rPr>
          <w:color w:val="000000" w:themeColor="text1"/>
        </w:rPr>
        <w:t>4</w:t>
      </w:r>
      <w:r w:rsidR="00D62954" w:rsidRPr="00600AD1">
        <w:rPr>
          <w:color w:val="000000" w:themeColor="text1"/>
        </w:rPr>
        <w:t>.</w:t>
      </w:r>
      <w:r w:rsidRPr="00600AD1">
        <w:rPr>
          <w:color w:val="000000" w:themeColor="text1"/>
        </w:rPr>
        <w:t xml:space="preserve"> The extension of the time horizon to 15 years (Step 2) from 6 years has a significant impact on the ICER</w:t>
      </w:r>
      <w:r w:rsidR="00F015DC">
        <w:rPr>
          <w:color w:val="000000" w:themeColor="text1"/>
        </w:rPr>
        <w:t>,</w:t>
      </w:r>
      <w:r w:rsidRPr="00600AD1">
        <w:rPr>
          <w:color w:val="000000" w:themeColor="text1"/>
        </w:rPr>
        <w:t xml:space="preserve"> increasing the incremental </w:t>
      </w:r>
      <w:r w:rsidR="00F015DC">
        <w:rPr>
          <w:color w:val="000000" w:themeColor="text1"/>
        </w:rPr>
        <w:t>life years</w:t>
      </w:r>
      <w:r w:rsidRPr="00600AD1">
        <w:rPr>
          <w:color w:val="000000" w:themeColor="text1"/>
        </w:rPr>
        <w:t xml:space="preserve"> gained from 0.49 to 2.24. Extension of the time horizon therefore accounts for 77% of the estimated incremental LY</w:t>
      </w:r>
      <w:r w:rsidR="00F015DC">
        <w:rPr>
          <w:color w:val="000000" w:themeColor="text1"/>
        </w:rPr>
        <w:t>s</w:t>
      </w:r>
      <w:r w:rsidR="00E23323">
        <w:rPr>
          <w:color w:val="000000" w:themeColor="text1"/>
        </w:rPr>
        <w:t xml:space="preserve"> gained</w:t>
      </w:r>
      <w:r w:rsidRPr="00600AD1">
        <w:rPr>
          <w:color w:val="000000" w:themeColor="text1"/>
        </w:rPr>
        <w:t xml:space="preserve">. Applying </w:t>
      </w:r>
      <w:r w:rsidR="00F015DC">
        <w:rPr>
          <w:color w:val="000000" w:themeColor="text1"/>
        </w:rPr>
        <w:t>quality of life</w:t>
      </w:r>
      <w:r w:rsidRPr="00600AD1">
        <w:rPr>
          <w:color w:val="000000" w:themeColor="text1"/>
        </w:rPr>
        <w:t xml:space="preserve"> transformations in Step 4 </w:t>
      </w:r>
      <w:r w:rsidR="00F015DC">
        <w:rPr>
          <w:color w:val="000000" w:themeColor="text1"/>
        </w:rPr>
        <w:t xml:space="preserve">resulted in a base case </w:t>
      </w:r>
      <w:r w:rsidRPr="00600AD1">
        <w:rPr>
          <w:color w:val="000000" w:themeColor="text1"/>
        </w:rPr>
        <w:t xml:space="preserve">ICER </w:t>
      </w:r>
      <w:r w:rsidR="00F015DC">
        <w:rPr>
          <w:color w:val="000000" w:themeColor="text1"/>
        </w:rPr>
        <w:t>of</w:t>
      </w:r>
      <w:r w:rsidRPr="00600AD1">
        <w:rPr>
          <w:color w:val="000000" w:themeColor="text1"/>
        </w:rPr>
        <w:t xml:space="preserve"> </w:t>
      </w:r>
      <w:r w:rsidR="00F015DC">
        <w:rPr>
          <w:color w:val="000000" w:themeColor="text1"/>
        </w:rPr>
        <w:t>quality-adjusted life year (</w:t>
      </w:r>
      <w:r w:rsidRPr="00600AD1">
        <w:rPr>
          <w:color w:val="000000" w:themeColor="text1"/>
        </w:rPr>
        <w:t>QALY</w:t>
      </w:r>
      <w:r w:rsidR="00F015DC">
        <w:rPr>
          <w:color w:val="000000" w:themeColor="text1"/>
        </w:rPr>
        <w:t>)</w:t>
      </w:r>
      <w:r w:rsidR="00B1710B">
        <w:rPr>
          <w:color w:val="000000" w:themeColor="text1"/>
        </w:rPr>
        <w:t xml:space="preserve"> - $45,000/QALY</w:t>
      </w:r>
      <w:r w:rsidR="00A70F77">
        <w:rPr>
          <w:color w:val="000000" w:themeColor="text1"/>
        </w:rPr>
        <w:t xml:space="preserve">. </w:t>
      </w:r>
      <w:r w:rsidR="00EC38C1">
        <w:rPr>
          <w:color w:val="000000" w:themeColor="text1"/>
        </w:rPr>
        <w:t>The PBAC noted that the ICER was considerably higher than that estimated in the March 2018 submission (</w:t>
      </w:r>
      <w:r w:rsidR="00D26678">
        <w:rPr>
          <w:color w:val="000000" w:themeColor="text1"/>
        </w:rPr>
        <w:t>$15,000/QALY - $45,000/</w:t>
      </w:r>
      <w:r w:rsidR="00EC38C1">
        <w:rPr>
          <w:color w:val="000000" w:themeColor="text1"/>
        </w:rPr>
        <w:t>QALY).</w:t>
      </w:r>
    </w:p>
    <w:p w:rsidR="00600AD1" w:rsidRPr="00600AD1" w:rsidRDefault="00600AD1" w:rsidP="00476EE6">
      <w:pPr>
        <w:widowControl/>
        <w:rPr>
          <w:rFonts w:ascii="Arial Narrow" w:hAnsi="Arial Narrow"/>
          <w:b/>
          <w:color w:val="000000" w:themeColor="text1"/>
          <w:sz w:val="20"/>
          <w:szCs w:val="20"/>
        </w:rPr>
      </w:pPr>
      <w:r w:rsidRPr="00600AD1">
        <w:rPr>
          <w:rFonts w:ascii="Arial Narrow" w:hAnsi="Arial Narrow"/>
          <w:b/>
          <w:color w:val="000000" w:themeColor="text1"/>
          <w:sz w:val="20"/>
          <w:szCs w:val="20"/>
        </w:rPr>
        <w:t>Table 2</w:t>
      </w:r>
      <w:r w:rsidR="00097671">
        <w:rPr>
          <w:rFonts w:ascii="Arial Narrow" w:hAnsi="Arial Narrow"/>
          <w:b/>
          <w:color w:val="000000" w:themeColor="text1"/>
          <w:sz w:val="20"/>
          <w:szCs w:val="20"/>
        </w:rPr>
        <w:t>4</w:t>
      </w:r>
      <w:r w:rsidRPr="00600AD1">
        <w:rPr>
          <w:rFonts w:ascii="Arial Narrow" w:hAnsi="Arial Narrow"/>
          <w:b/>
          <w:color w:val="000000" w:themeColor="text1"/>
          <w:sz w:val="20"/>
          <w:szCs w:val="20"/>
        </w:rPr>
        <w:t xml:space="preserve">: Results of the stepped economic evaluation – </w:t>
      </w:r>
      <w:proofErr w:type="spellStart"/>
      <w:r w:rsidRPr="00600AD1">
        <w:rPr>
          <w:rFonts w:ascii="Arial Narrow" w:hAnsi="Arial Narrow"/>
          <w:b/>
          <w:color w:val="000000" w:themeColor="text1"/>
          <w:sz w:val="20"/>
          <w:szCs w:val="20"/>
        </w:rPr>
        <w:t>Lenalidomide</w:t>
      </w:r>
      <w:proofErr w:type="spellEnd"/>
      <w:r w:rsidRPr="00600AD1">
        <w:rPr>
          <w:rFonts w:ascii="Arial Narrow" w:hAnsi="Arial Narrow"/>
          <w:b/>
          <w:color w:val="000000" w:themeColor="text1"/>
          <w:sz w:val="20"/>
          <w:szCs w:val="20"/>
        </w:rPr>
        <w:t xml:space="preserve"> vs. BSC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4: Results of the stepped economic evaluation – Lenalidomide vs. BSC"/>
      </w:tblPr>
      <w:tblGrid>
        <w:gridCol w:w="3255"/>
        <w:gridCol w:w="1953"/>
        <w:gridCol w:w="1733"/>
        <w:gridCol w:w="2076"/>
      </w:tblGrid>
      <w:tr w:rsidR="005E7102" w:rsidRPr="003A3555" w:rsidTr="0067411C">
        <w:trPr>
          <w:tblHeader/>
        </w:trPr>
        <w:tc>
          <w:tcPr>
            <w:tcW w:w="1805" w:type="pct"/>
            <w:shd w:val="clear" w:color="auto" w:fill="auto"/>
            <w:vAlign w:val="center"/>
          </w:tcPr>
          <w:p w:rsidR="005E7102" w:rsidRPr="003A3555" w:rsidRDefault="005E7102" w:rsidP="00476EE6">
            <w:pPr>
              <w:pStyle w:val="Tabletext"/>
              <w:keepNext/>
              <w:rPr>
                <w:b/>
                <w:color w:val="000000" w:themeColor="text1"/>
              </w:rPr>
            </w:pPr>
            <w:r w:rsidRPr="003A3555">
              <w:rPr>
                <w:b/>
                <w:color w:val="000000" w:themeColor="text1"/>
              </w:rPr>
              <w:t>Step and component</w:t>
            </w:r>
          </w:p>
        </w:tc>
        <w:tc>
          <w:tcPr>
            <w:tcW w:w="1083" w:type="pct"/>
            <w:shd w:val="clear" w:color="auto" w:fill="auto"/>
            <w:vAlign w:val="center"/>
          </w:tcPr>
          <w:p w:rsidR="005E7102" w:rsidRPr="003A3555" w:rsidRDefault="005E7102" w:rsidP="00476EE6">
            <w:pPr>
              <w:pStyle w:val="Tabletext"/>
              <w:keepNext/>
              <w:jc w:val="center"/>
              <w:rPr>
                <w:b/>
                <w:color w:val="000000" w:themeColor="text1"/>
              </w:rPr>
            </w:pPr>
            <w:proofErr w:type="spellStart"/>
            <w:r w:rsidRPr="003A3555">
              <w:rPr>
                <w:b/>
                <w:color w:val="000000" w:themeColor="text1"/>
              </w:rPr>
              <w:t>Lenalidomide</w:t>
            </w:r>
            <w:proofErr w:type="spellEnd"/>
          </w:p>
        </w:tc>
        <w:tc>
          <w:tcPr>
            <w:tcW w:w="961" w:type="pct"/>
            <w:shd w:val="clear" w:color="auto" w:fill="auto"/>
            <w:vAlign w:val="center"/>
          </w:tcPr>
          <w:p w:rsidR="005E7102" w:rsidRPr="003A3555" w:rsidRDefault="005E7102" w:rsidP="00476EE6">
            <w:pPr>
              <w:pStyle w:val="Tabletext"/>
              <w:keepNext/>
              <w:jc w:val="center"/>
              <w:rPr>
                <w:b/>
                <w:color w:val="000000" w:themeColor="text1"/>
              </w:rPr>
            </w:pPr>
            <w:r w:rsidRPr="003A3555">
              <w:rPr>
                <w:b/>
                <w:color w:val="000000" w:themeColor="text1"/>
              </w:rPr>
              <w:t>BSC</w:t>
            </w:r>
          </w:p>
        </w:tc>
        <w:tc>
          <w:tcPr>
            <w:tcW w:w="1151" w:type="pct"/>
            <w:shd w:val="clear" w:color="auto" w:fill="auto"/>
            <w:vAlign w:val="center"/>
          </w:tcPr>
          <w:p w:rsidR="005E7102" w:rsidRPr="003A3555" w:rsidRDefault="005E7102" w:rsidP="00476EE6">
            <w:pPr>
              <w:pStyle w:val="Tabletext"/>
              <w:keepNext/>
              <w:jc w:val="center"/>
              <w:rPr>
                <w:b/>
                <w:color w:val="000000" w:themeColor="text1"/>
              </w:rPr>
            </w:pPr>
            <w:r w:rsidRPr="003A3555">
              <w:rPr>
                <w:b/>
                <w:color w:val="000000" w:themeColor="text1"/>
              </w:rPr>
              <w:t>Increment</w:t>
            </w:r>
          </w:p>
        </w:tc>
      </w:tr>
      <w:tr w:rsidR="005E7102" w:rsidRPr="003A3555" w:rsidTr="00502BCD">
        <w:tc>
          <w:tcPr>
            <w:tcW w:w="5000" w:type="pct"/>
            <w:gridSpan w:val="4"/>
            <w:shd w:val="clear" w:color="auto" w:fill="auto"/>
            <w:vAlign w:val="center"/>
          </w:tcPr>
          <w:p w:rsidR="005E7102" w:rsidRPr="003A3555" w:rsidRDefault="005E7102" w:rsidP="00476EE6">
            <w:pPr>
              <w:pStyle w:val="Tabletext"/>
              <w:rPr>
                <w:b/>
                <w:snapToGrid w:val="0"/>
                <w:color w:val="000000" w:themeColor="text1"/>
              </w:rPr>
            </w:pPr>
            <w:r w:rsidRPr="003A3555">
              <w:rPr>
                <w:b/>
                <w:snapToGrid w:val="0"/>
                <w:color w:val="000000" w:themeColor="text1"/>
              </w:rPr>
              <w:t>Step 1: CALGB (cross-over adjusted, median follow-up 6 years) – 6-year time horizon, 1</w:t>
            </w:r>
            <w:r w:rsidRPr="003A3555">
              <w:rPr>
                <w:b/>
                <w:snapToGrid w:val="0"/>
                <w:color w:val="000000" w:themeColor="text1"/>
                <w:vertAlign w:val="superscript"/>
              </w:rPr>
              <w:t>st</w:t>
            </w:r>
            <w:r w:rsidRPr="003A3555">
              <w:rPr>
                <w:b/>
                <w:snapToGrid w:val="0"/>
                <w:color w:val="000000" w:themeColor="text1"/>
              </w:rPr>
              <w:t xml:space="preserve"> line drug costs and outcomes</w:t>
            </w:r>
          </w:p>
        </w:tc>
      </w:tr>
      <w:tr w:rsidR="005E7102" w:rsidRPr="003A3555" w:rsidTr="0067411C">
        <w:tc>
          <w:tcPr>
            <w:tcW w:w="1805" w:type="pct"/>
            <w:shd w:val="clear" w:color="auto" w:fill="auto"/>
            <w:vAlign w:val="center"/>
          </w:tcPr>
          <w:p w:rsidR="005E7102" w:rsidRPr="003A3555" w:rsidRDefault="005E7102" w:rsidP="00476EE6">
            <w:pPr>
              <w:pStyle w:val="Tabletext"/>
              <w:rPr>
                <w:rFonts w:ascii="Times" w:hAnsi="Times"/>
                <w:color w:val="000000" w:themeColor="text1"/>
              </w:rPr>
            </w:pPr>
            <w:r w:rsidRPr="003A3555">
              <w:rPr>
                <w:color w:val="000000" w:themeColor="text1"/>
              </w:rPr>
              <w:t>Costs</w:t>
            </w:r>
          </w:p>
        </w:tc>
        <w:tc>
          <w:tcPr>
            <w:tcW w:w="1083" w:type="pct"/>
            <w:shd w:val="clear" w:color="auto" w:fill="auto"/>
          </w:tcPr>
          <w:p w:rsidR="005E7102" w:rsidRPr="001D6F6D" w:rsidRDefault="001D6F6D" w:rsidP="00476EE6">
            <w:pPr>
              <w:pStyle w:val="Tabletext"/>
              <w:jc w:val="center"/>
              <w:rPr>
                <w:rFonts w:ascii="Times" w:hAnsi="Times"/>
                <w:color w:val="000000" w:themeColor="text1"/>
                <w:highlight w:val="black"/>
              </w:rPr>
            </w:pPr>
            <w:r>
              <w:rPr>
                <w:rFonts w:eastAsia="SimSun"/>
                <w:noProof/>
                <w:color w:val="000000"/>
                <w:highlight w:val="black"/>
                <w:lang w:eastAsia="en-AU"/>
              </w:rPr>
              <w:t>''''''''''''''''''''</w:t>
            </w:r>
          </w:p>
        </w:tc>
        <w:tc>
          <w:tcPr>
            <w:tcW w:w="961" w:type="pct"/>
            <w:shd w:val="clear" w:color="auto" w:fill="auto"/>
          </w:tcPr>
          <w:p w:rsidR="005E7102" w:rsidRPr="001D6F6D" w:rsidRDefault="001D6F6D" w:rsidP="00476EE6">
            <w:pPr>
              <w:pStyle w:val="Tabletext"/>
              <w:jc w:val="center"/>
              <w:rPr>
                <w:rFonts w:ascii="Times" w:hAnsi="Times"/>
                <w:color w:val="000000" w:themeColor="text1"/>
                <w:highlight w:val="black"/>
              </w:rPr>
            </w:pPr>
            <w:r>
              <w:rPr>
                <w:rFonts w:eastAsia="SimSun"/>
                <w:noProof/>
                <w:color w:val="000000"/>
                <w:highlight w:val="black"/>
                <w:lang w:eastAsia="en-AU"/>
              </w:rPr>
              <w:t>''''''</w:t>
            </w:r>
          </w:p>
        </w:tc>
        <w:tc>
          <w:tcPr>
            <w:tcW w:w="1151" w:type="pct"/>
            <w:shd w:val="clear" w:color="auto" w:fill="auto"/>
          </w:tcPr>
          <w:p w:rsidR="005E7102" w:rsidRPr="001D6F6D" w:rsidRDefault="001D6F6D" w:rsidP="00476EE6">
            <w:pPr>
              <w:pStyle w:val="Tabletext"/>
              <w:jc w:val="center"/>
              <w:rPr>
                <w:rFonts w:ascii="Times" w:hAnsi="Times"/>
                <w:color w:val="000000" w:themeColor="text1"/>
                <w:highlight w:val="black"/>
              </w:rPr>
            </w:pPr>
            <w:r>
              <w:rPr>
                <w:rFonts w:eastAsia="SimSun"/>
                <w:noProof/>
                <w:color w:val="000000"/>
                <w:highlight w:val="black"/>
                <w:lang w:eastAsia="en-AU"/>
              </w:rPr>
              <w:t>'''''''''''''''''''</w:t>
            </w:r>
          </w:p>
        </w:tc>
      </w:tr>
      <w:tr w:rsidR="005E7102" w:rsidRPr="003A3555" w:rsidTr="0067411C">
        <w:tc>
          <w:tcPr>
            <w:tcW w:w="1805" w:type="pct"/>
            <w:shd w:val="clear" w:color="auto" w:fill="auto"/>
            <w:vAlign w:val="center"/>
          </w:tcPr>
          <w:p w:rsidR="005E7102" w:rsidRPr="003A3555" w:rsidRDefault="005E7102" w:rsidP="00476EE6">
            <w:pPr>
              <w:pStyle w:val="Tabletext"/>
              <w:rPr>
                <w:rFonts w:ascii="Times" w:hAnsi="Times"/>
                <w:color w:val="000000" w:themeColor="text1"/>
              </w:rPr>
            </w:pPr>
            <w:r w:rsidRPr="003A3555">
              <w:rPr>
                <w:color w:val="000000" w:themeColor="text1"/>
              </w:rPr>
              <w:t>LYG</w:t>
            </w:r>
          </w:p>
        </w:tc>
        <w:tc>
          <w:tcPr>
            <w:tcW w:w="1083" w:type="pct"/>
            <w:shd w:val="clear" w:color="auto" w:fill="auto"/>
          </w:tcPr>
          <w:p w:rsidR="005E7102" w:rsidRPr="003A3555" w:rsidRDefault="005E7102" w:rsidP="00476EE6">
            <w:pPr>
              <w:pStyle w:val="Tabletext"/>
              <w:jc w:val="center"/>
              <w:rPr>
                <w:rFonts w:ascii="Times" w:hAnsi="Times"/>
                <w:i/>
                <w:color w:val="000000" w:themeColor="text1"/>
              </w:rPr>
            </w:pPr>
            <w:r w:rsidRPr="003A3555">
              <w:rPr>
                <w:rFonts w:eastAsia="SimSun"/>
                <w:color w:val="000000" w:themeColor="text1"/>
                <w:lang w:eastAsia="en-AU"/>
              </w:rPr>
              <w:t>4.61</w:t>
            </w:r>
          </w:p>
        </w:tc>
        <w:tc>
          <w:tcPr>
            <w:tcW w:w="961" w:type="pct"/>
            <w:shd w:val="clear" w:color="auto" w:fill="auto"/>
          </w:tcPr>
          <w:p w:rsidR="005E7102" w:rsidRPr="003A3555" w:rsidRDefault="005E7102" w:rsidP="00476EE6">
            <w:pPr>
              <w:pStyle w:val="Tabletext"/>
              <w:jc w:val="center"/>
              <w:rPr>
                <w:rFonts w:ascii="Times" w:hAnsi="Times"/>
                <w:i/>
                <w:color w:val="000000" w:themeColor="text1"/>
              </w:rPr>
            </w:pPr>
            <w:r w:rsidRPr="003A3555">
              <w:rPr>
                <w:rFonts w:eastAsia="SimSun"/>
                <w:color w:val="000000" w:themeColor="text1"/>
                <w:lang w:eastAsia="en-AU"/>
              </w:rPr>
              <w:t>4.12</w:t>
            </w:r>
          </w:p>
        </w:tc>
        <w:tc>
          <w:tcPr>
            <w:tcW w:w="1151" w:type="pct"/>
            <w:shd w:val="clear" w:color="auto" w:fill="auto"/>
          </w:tcPr>
          <w:p w:rsidR="005E7102" w:rsidRPr="003A3555" w:rsidRDefault="005E7102" w:rsidP="00476EE6">
            <w:pPr>
              <w:pStyle w:val="Tabletext"/>
              <w:jc w:val="center"/>
              <w:rPr>
                <w:i/>
                <w:color w:val="000000" w:themeColor="text1"/>
              </w:rPr>
            </w:pPr>
            <w:r w:rsidRPr="003A3555">
              <w:rPr>
                <w:rFonts w:eastAsia="SimSun"/>
                <w:color w:val="000000" w:themeColor="text1"/>
                <w:lang w:eastAsia="en-AU"/>
              </w:rPr>
              <w:t>0.49</w:t>
            </w:r>
          </w:p>
        </w:tc>
      </w:tr>
      <w:tr w:rsidR="005E7102" w:rsidRPr="003A3555" w:rsidTr="0067411C">
        <w:tc>
          <w:tcPr>
            <w:tcW w:w="3849" w:type="pct"/>
            <w:gridSpan w:val="3"/>
            <w:shd w:val="clear" w:color="auto" w:fill="auto"/>
            <w:vAlign w:val="center"/>
          </w:tcPr>
          <w:p w:rsidR="005E7102" w:rsidRPr="003A3555" w:rsidRDefault="005E7102" w:rsidP="00476EE6">
            <w:pPr>
              <w:pStyle w:val="Tabletext"/>
              <w:rPr>
                <w:rFonts w:ascii="Times" w:hAnsi="Times"/>
                <w:snapToGrid w:val="0"/>
                <w:color w:val="000000" w:themeColor="text1"/>
              </w:rPr>
            </w:pPr>
            <w:r w:rsidRPr="003A3555">
              <w:rPr>
                <w:color w:val="000000" w:themeColor="text1"/>
              </w:rPr>
              <w:t>Incremental cost per LYG gained</w:t>
            </w:r>
          </w:p>
        </w:tc>
        <w:tc>
          <w:tcPr>
            <w:tcW w:w="1151" w:type="pct"/>
            <w:shd w:val="clear" w:color="auto" w:fill="auto"/>
          </w:tcPr>
          <w:p w:rsidR="005E7102" w:rsidRPr="001D6F6D" w:rsidRDefault="001D6F6D" w:rsidP="00476EE6">
            <w:pPr>
              <w:pStyle w:val="Tabletext"/>
              <w:jc w:val="center"/>
              <w:rPr>
                <w:rFonts w:ascii="Times" w:hAnsi="Times"/>
                <w:color w:val="000000" w:themeColor="text1"/>
                <w:highlight w:val="black"/>
              </w:rPr>
            </w:pPr>
            <w:r>
              <w:rPr>
                <w:rFonts w:eastAsia="SimSun"/>
                <w:noProof/>
                <w:color w:val="000000"/>
                <w:highlight w:val="black"/>
                <w:lang w:eastAsia="en-AU"/>
              </w:rPr>
              <w:t>''''''''''''''''''''</w:t>
            </w:r>
          </w:p>
        </w:tc>
      </w:tr>
      <w:tr w:rsidR="005E7102" w:rsidRPr="003A3555" w:rsidTr="00502BCD">
        <w:tc>
          <w:tcPr>
            <w:tcW w:w="5000" w:type="pct"/>
            <w:gridSpan w:val="4"/>
            <w:shd w:val="clear" w:color="auto" w:fill="auto"/>
            <w:vAlign w:val="center"/>
          </w:tcPr>
          <w:p w:rsidR="005E7102" w:rsidRPr="003A3555" w:rsidRDefault="005E7102" w:rsidP="00476EE6">
            <w:pPr>
              <w:pStyle w:val="Tabletext"/>
              <w:rPr>
                <w:b/>
                <w:snapToGrid w:val="0"/>
                <w:color w:val="000000" w:themeColor="text1"/>
              </w:rPr>
            </w:pPr>
            <w:r w:rsidRPr="003A3555">
              <w:rPr>
                <w:b/>
                <w:snapToGrid w:val="0"/>
                <w:color w:val="000000" w:themeColor="text1"/>
              </w:rPr>
              <w:t xml:space="preserve">Step 2: CALGB data extrapolation - </w:t>
            </w:r>
            <w:r w:rsidRPr="003A3555">
              <w:rPr>
                <w:b/>
                <w:color w:val="000000" w:themeColor="text1"/>
              </w:rPr>
              <w:t>time horizon extended to 15 years, 1</w:t>
            </w:r>
            <w:r w:rsidRPr="003A3555">
              <w:rPr>
                <w:b/>
                <w:color w:val="000000" w:themeColor="text1"/>
                <w:vertAlign w:val="superscript"/>
              </w:rPr>
              <w:t>st</w:t>
            </w:r>
            <w:r w:rsidRPr="003A3555">
              <w:rPr>
                <w:b/>
                <w:color w:val="000000" w:themeColor="text1"/>
              </w:rPr>
              <w:t xml:space="preserve"> line drug cost only</w:t>
            </w:r>
          </w:p>
        </w:tc>
      </w:tr>
      <w:tr w:rsidR="005E7102" w:rsidRPr="003A3555" w:rsidTr="0067411C">
        <w:tc>
          <w:tcPr>
            <w:tcW w:w="1805" w:type="pct"/>
            <w:shd w:val="clear" w:color="auto" w:fill="auto"/>
            <w:vAlign w:val="center"/>
          </w:tcPr>
          <w:p w:rsidR="005E7102" w:rsidRPr="003A3555" w:rsidRDefault="005E7102" w:rsidP="00476EE6">
            <w:pPr>
              <w:pStyle w:val="Tabletext"/>
              <w:rPr>
                <w:rFonts w:ascii="Times" w:hAnsi="Times"/>
                <w:color w:val="000000" w:themeColor="text1"/>
              </w:rPr>
            </w:pPr>
            <w:r w:rsidRPr="003A3555">
              <w:rPr>
                <w:color w:val="000000" w:themeColor="text1"/>
              </w:rPr>
              <w:t>Costs</w:t>
            </w:r>
          </w:p>
        </w:tc>
        <w:tc>
          <w:tcPr>
            <w:tcW w:w="1083" w:type="pct"/>
            <w:shd w:val="clear" w:color="auto" w:fill="auto"/>
          </w:tcPr>
          <w:p w:rsidR="005E7102" w:rsidRPr="001D6F6D" w:rsidRDefault="001D6F6D" w:rsidP="00476EE6">
            <w:pPr>
              <w:pStyle w:val="Tabletext"/>
              <w:jc w:val="center"/>
              <w:rPr>
                <w:rFonts w:ascii="Times" w:hAnsi="Times"/>
                <w:color w:val="000000" w:themeColor="text1"/>
                <w:highlight w:val="black"/>
              </w:rPr>
            </w:pPr>
            <w:r>
              <w:rPr>
                <w:rFonts w:eastAsia="SimSun"/>
                <w:noProof/>
                <w:color w:val="000000"/>
                <w:highlight w:val="black"/>
                <w:lang w:eastAsia="en-AU"/>
              </w:rPr>
              <w:t>''''''''''''''''''''</w:t>
            </w:r>
          </w:p>
        </w:tc>
        <w:tc>
          <w:tcPr>
            <w:tcW w:w="961" w:type="pct"/>
            <w:shd w:val="clear" w:color="auto" w:fill="auto"/>
          </w:tcPr>
          <w:p w:rsidR="005E7102" w:rsidRPr="001D6F6D" w:rsidRDefault="001D6F6D" w:rsidP="00476EE6">
            <w:pPr>
              <w:pStyle w:val="Tabletext"/>
              <w:jc w:val="center"/>
              <w:rPr>
                <w:rFonts w:ascii="Times" w:hAnsi="Times"/>
                <w:color w:val="000000" w:themeColor="text1"/>
                <w:highlight w:val="black"/>
              </w:rPr>
            </w:pPr>
            <w:r>
              <w:rPr>
                <w:rFonts w:eastAsia="SimSun"/>
                <w:noProof/>
                <w:color w:val="000000"/>
                <w:highlight w:val="black"/>
                <w:lang w:eastAsia="en-AU"/>
              </w:rPr>
              <w:t>'''''</w:t>
            </w:r>
          </w:p>
        </w:tc>
        <w:tc>
          <w:tcPr>
            <w:tcW w:w="1151" w:type="pct"/>
            <w:shd w:val="clear" w:color="auto" w:fill="auto"/>
          </w:tcPr>
          <w:p w:rsidR="005E7102" w:rsidRPr="001D6F6D" w:rsidRDefault="001D6F6D" w:rsidP="00476EE6">
            <w:pPr>
              <w:pStyle w:val="Tabletext"/>
              <w:jc w:val="center"/>
              <w:rPr>
                <w:rFonts w:ascii="Times" w:hAnsi="Times"/>
                <w:color w:val="000000" w:themeColor="text1"/>
                <w:highlight w:val="black"/>
              </w:rPr>
            </w:pPr>
            <w:r>
              <w:rPr>
                <w:rFonts w:eastAsia="SimSun"/>
                <w:noProof/>
                <w:color w:val="000000"/>
                <w:highlight w:val="black"/>
                <w:lang w:eastAsia="en-AU"/>
              </w:rPr>
              <w:t>'''''''''''''''''</w:t>
            </w:r>
          </w:p>
        </w:tc>
      </w:tr>
      <w:tr w:rsidR="005E7102" w:rsidRPr="003A3555" w:rsidTr="0067411C">
        <w:tc>
          <w:tcPr>
            <w:tcW w:w="1805" w:type="pct"/>
            <w:shd w:val="clear" w:color="auto" w:fill="auto"/>
            <w:vAlign w:val="center"/>
          </w:tcPr>
          <w:p w:rsidR="005E7102" w:rsidRPr="003A3555" w:rsidRDefault="005E7102" w:rsidP="00476EE6">
            <w:pPr>
              <w:pStyle w:val="Tabletext"/>
              <w:rPr>
                <w:rFonts w:ascii="Times" w:hAnsi="Times"/>
                <w:color w:val="000000" w:themeColor="text1"/>
              </w:rPr>
            </w:pPr>
            <w:r w:rsidRPr="003A3555">
              <w:rPr>
                <w:color w:val="000000" w:themeColor="text1"/>
              </w:rPr>
              <w:t>LYG</w:t>
            </w:r>
          </w:p>
        </w:tc>
        <w:tc>
          <w:tcPr>
            <w:tcW w:w="1083" w:type="pct"/>
            <w:shd w:val="clear" w:color="auto" w:fill="auto"/>
          </w:tcPr>
          <w:p w:rsidR="005E7102" w:rsidRPr="003A3555" w:rsidRDefault="005E7102" w:rsidP="00476EE6">
            <w:pPr>
              <w:pStyle w:val="Tabletext"/>
              <w:jc w:val="center"/>
              <w:rPr>
                <w:rFonts w:ascii="Times" w:hAnsi="Times"/>
                <w:i/>
                <w:color w:val="000000" w:themeColor="text1"/>
              </w:rPr>
            </w:pPr>
            <w:r w:rsidRPr="003A3555">
              <w:rPr>
                <w:rFonts w:eastAsia="SimSun"/>
                <w:color w:val="000000" w:themeColor="text1"/>
                <w:lang w:eastAsia="en-AU"/>
              </w:rPr>
              <w:t>7.55</w:t>
            </w:r>
          </w:p>
        </w:tc>
        <w:tc>
          <w:tcPr>
            <w:tcW w:w="961" w:type="pct"/>
            <w:shd w:val="clear" w:color="auto" w:fill="auto"/>
          </w:tcPr>
          <w:p w:rsidR="005E7102" w:rsidRPr="003A3555" w:rsidRDefault="005E7102" w:rsidP="00476EE6">
            <w:pPr>
              <w:pStyle w:val="Tabletext"/>
              <w:jc w:val="center"/>
              <w:rPr>
                <w:rFonts w:ascii="Times" w:hAnsi="Times"/>
                <w:i/>
                <w:color w:val="000000" w:themeColor="text1"/>
              </w:rPr>
            </w:pPr>
            <w:r w:rsidRPr="003A3555">
              <w:rPr>
                <w:rFonts w:eastAsia="SimSun"/>
                <w:color w:val="000000" w:themeColor="text1"/>
                <w:lang w:eastAsia="en-AU"/>
              </w:rPr>
              <w:t>5.31</w:t>
            </w:r>
          </w:p>
        </w:tc>
        <w:tc>
          <w:tcPr>
            <w:tcW w:w="1151" w:type="pct"/>
            <w:shd w:val="clear" w:color="auto" w:fill="auto"/>
          </w:tcPr>
          <w:p w:rsidR="005E7102" w:rsidRPr="003A3555" w:rsidRDefault="005E7102" w:rsidP="00476EE6">
            <w:pPr>
              <w:pStyle w:val="Tabletext"/>
              <w:jc w:val="center"/>
              <w:rPr>
                <w:i/>
                <w:color w:val="000000" w:themeColor="text1"/>
              </w:rPr>
            </w:pPr>
            <w:r w:rsidRPr="003A3555">
              <w:rPr>
                <w:rFonts w:eastAsia="SimSun"/>
                <w:color w:val="000000" w:themeColor="text1"/>
                <w:lang w:eastAsia="en-AU"/>
              </w:rPr>
              <w:t>2.24</w:t>
            </w:r>
          </w:p>
        </w:tc>
      </w:tr>
      <w:tr w:rsidR="005E7102" w:rsidRPr="003A3555" w:rsidTr="0067411C">
        <w:tc>
          <w:tcPr>
            <w:tcW w:w="3849" w:type="pct"/>
            <w:gridSpan w:val="3"/>
            <w:shd w:val="clear" w:color="auto" w:fill="auto"/>
            <w:vAlign w:val="center"/>
          </w:tcPr>
          <w:p w:rsidR="005E7102" w:rsidRPr="003A3555" w:rsidRDefault="005E7102" w:rsidP="00476EE6">
            <w:pPr>
              <w:pStyle w:val="Tabletext"/>
              <w:rPr>
                <w:rFonts w:ascii="Times" w:hAnsi="Times"/>
                <w:snapToGrid w:val="0"/>
                <w:color w:val="000000" w:themeColor="text1"/>
              </w:rPr>
            </w:pPr>
            <w:r w:rsidRPr="003A3555">
              <w:rPr>
                <w:color w:val="000000" w:themeColor="text1"/>
              </w:rPr>
              <w:t>Incremental cost per LYG gained</w:t>
            </w:r>
          </w:p>
        </w:tc>
        <w:tc>
          <w:tcPr>
            <w:tcW w:w="1151" w:type="pct"/>
            <w:shd w:val="clear" w:color="auto" w:fill="auto"/>
            <w:vAlign w:val="center"/>
          </w:tcPr>
          <w:p w:rsidR="005E7102" w:rsidRPr="001D6F6D" w:rsidRDefault="001D6F6D" w:rsidP="00476EE6">
            <w:pPr>
              <w:pStyle w:val="Tabletext"/>
              <w:jc w:val="center"/>
              <w:rPr>
                <w:rFonts w:ascii="Times" w:hAnsi="Times"/>
                <w:color w:val="000000" w:themeColor="text1"/>
                <w:highlight w:val="black"/>
              </w:rPr>
            </w:pPr>
            <w:r>
              <w:rPr>
                <w:rFonts w:eastAsia="SimSun"/>
                <w:noProof/>
                <w:color w:val="000000"/>
                <w:highlight w:val="black"/>
                <w:lang w:eastAsia="en-AU"/>
              </w:rPr>
              <w:t>'''''''''''''''''''</w:t>
            </w:r>
          </w:p>
        </w:tc>
      </w:tr>
      <w:tr w:rsidR="005E7102" w:rsidRPr="003A3555" w:rsidTr="00502BCD">
        <w:tc>
          <w:tcPr>
            <w:tcW w:w="5000" w:type="pct"/>
            <w:gridSpan w:val="4"/>
            <w:shd w:val="clear" w:color="auto" w:fill="auto"/>
            <w:vAlign w:val="center"/>
          </w:tcPr>
          <w:p w:rsidR="005E7102" w:rsidRPr="003A3555" w:rsidRDefault="005E7102" w:rsidP="00476EE6">
            <w:pPr>
              <w:pStyle w:val="Tabletext"/>
              <w:rPr>
                <w:b/>
                <w:snapToGrid w:val="0"/>
                <w:color w:val="000000" w:themeColor="text1"/>
              </w:rPr>
            </w:pPr>
            <w:r w:rsidRPr="003A3555">
              <w:rPr>
                <w:b/>
                <w:snapToGrid w:val="0"/>
                <w:color w:val="000000" w:themeColor="text1"/>
              </w:rPr>
              <w:t>Step 3: CALGB data extrapolated to 15 years, incorporation of all costs (subsequent therapy, AEs)</w:t>
            </w:r>
          </w:p>
        </w:tc>
      </w:tr>
      <w:tr w:rsidR="005E7102" w:rsidRPr="003A3555" w:rsidTr="0067411C">
        <w:tc>
          <w:tcPr>
            <w:tcW w:w="1805" w:type="pct"/>
            <w:shd w:val="clear" w:color="auto" w:fill="auto"/>
            <w:vAlign w:val="center"/>
          </w:tcPr>
          <w:p w:rsidR="005E7102" w:rsidRPr="003A3555" w:rsidRDefault="005E7102" w:rsidP="00476EE6">
            <w:pPr>
              <w:pStyle w:val="Tabletext"/>
              <w:rPr>
                <w:rFonts w:ascii="Times" w:hAnsi="Times"/>
                <w:color w:val="000000" w:themeColor="text1"/>
              </w:rPr>
            </w:pPr>
            <w:r w:rsidRPr="003A3555">
              <w:rPr>
                <w:color w:val="000000" w:themeColor="text1"/>
              </w:rPr>
              <w:t>Costs</w:t>
            </w:r>
          </w:p>
        </w:tc>
        <w:tc>
          <w:tcPr>
            <w:tcW w:w="1083" w:type="pct"/>
            <w:shd w:val="clear" w:color="auto" w:fill="auto"/>
          </w:tcPr>
          <w:p w:rsidR="005E7102" w:rsidRPr="001D6F6D" w:rsidRDefault="001D6F6D" w:rsidP="00476EE6">
            <w:pPr>
              <w:pStyle w:val="Tabletext"/>
              <w:jc w:val="center"/>
              <w:rPr>
                <w:rFonts w:ascii="Times" w:hAnsi="Times"/>
                <w:color w:val="000000" w:themeColor="text1"/>
                <w:highlight w:val="black"/>
              </w:rPr>
            </w:pPr>
            <w:r>
              <w:rPr>
                <w:rFonts w:eastAsia="SimSun"/>
                <w:noProof/>
                <w:color w:val="000000"/>
                <w:highlight w:val="black"/>
                <w:lang w:eastAsia="en-AU"/>
              </w:rPr>
              <w:t>''''''''''''''''''''''''</w:t>
            </w:r>
          </w:p>
        </w:tc>
        <w:tc>
          <w:tcPr>
            <w:tcW w:w="961" w:type="pct"/>
            <w:shd w:val="clear" w:color="auto" w:fill="auto"/>
          </w:tcPr>
          <w:p w:rsidR="005E7102" w:rsidRPr="001D6F6D" w:rsidRDefault="001D6F6D" w:rsidP="00476EE6">
            <w:pPr>
              <w:pStyle w:val="Tabletext"/>
              <w:jc w:val="center"/>
              <w:rPr>
                <w:rFonts w:ascii="Times" w:hAnsi="Times"/>
                <w:color w:val="000000" w:themeColor="text1"/>
                <w:highlight w:val="black"/>
              </w:rPr>
            </w:pPr>
            <w:r>
              <w:rPr>
                <w:rFonts w:eastAsia="SimSun"/>
                <w:noProof/>
                <w:color w:val="000000"/>
                <w:highlight w:val="black"/>
                <w:lang w:eastAsia="en-AU"/>
              </w:rPr>
              <w:t>''''''''''''''''''''</w:t>
            </w:r>
          </w:p>
        </w:tc>
        <w:tc>
          <w:tcPr>
            <w:tcW w:w="1151" w:type="pct"/>
            <w:shd w:val="clear" w:color="auto" w:fill="auto"/>
          </w:tcPr>
          <w:p w:rsidR="005E7102" w:rsidRPr="001D6F6D" w:rsidRDefault="001D6F6D" w:rsidP="00476EE6">
            <w:pPr>
              <w:pStyle w:val="Tabletext"/>
              <w:jc w:val="center"/>
              <w:rPr>
                <w:rFonts w:ascii="Times" w:hAnsi="Times"/>
                <w:color w:val="000000" w:themeColor="text1"/>
                <w:highlight w:val="black"/>
              </w:rPr>
            </w:pPr>
            <w:r>
              <w:rPr>
                <w:rFonts w:eastAsia="SimSun"/>
                <w:noProof/>
                <w:color w:val="000000"/>
                <w:highlight w:val="black"/>
                <w:lang w:eastAsia="en-AU"/>
              </w:rPr>
              <w:t>''''''''''''''''''</w:t>
            </w:r>
          </w:p>
        </w:tc>
      </w:tr>
      <w:tr w:rsidR="005E7102" w:rsidRPr="003A3555" w:rsidTr="0067411C">
        <w:tc>
          <w:tcPr>
            <w:tcW w:w="1805" w:type="pct"/>
            <w:shd w:val="clear" w:color="auto" w:fill="auto"/>
            <w:vAlign w:val="center"/>
          </w:tcPr>
          <w:p w:rsidR="005E7102" w:rsidRPr="003A3555" w:rsidRDefault="005E7102" w:rsidP="00476EE6">
            <w:pPr>
              <w:pStyle w:val="Tabletext"/>
              <w:rPr>
                <w:rFonts w:ascii="Times" w:hAnsi="Times"/>
                <w:color w:val="000000" w:themeColor="text1"/>
              </w:rPr>
            </w:pPr>
            <w:r w:rsidRPr="003A3555">
              <w:rPr>
                <w:color w:val="000000" w:themeColor="text1"/>
              </w:rPr>
              <w:t>LYG</w:t>
            </w:r>
          </w:p>
        </w:tc>
        <w:tc>
          <w:tcPr>
            <w:tcW w:w="1083" w:type="pct"/>
            <w:shd w:val="clear" w:color="auto" w:fill="auto"/>
          </w:tcPr>
          <w:p w:rsidR="005E7102" w:rsidRPr="003A3555" w:rsidRDefault="005E7102" w:rsidP="00476EE6">
            <w:pPr>
              <w:pStyle w:val="Tabletext"/>
              <w:jc w:val="center"/>
              <w:rPr>
                <w:rFonts w:ascii="Times" w:hAnsi="Times"/>
                <w:i/>
                <w:color w:val="000000" w:themeColor="text1"/>
              </w:rPr>
            </w:pPr>
            <w:r w:rsidRPr="003A3555">
              <w:rPr>
                <w:rFonts w:eastAsia="SimSun"/>
                <w:color w:val="000000" w:themeColor="text1"/>
                <w:lang w:eastAsia="en-AU"/>
              </w:rPr>
              <w:t>7.55</w:t>
            </w:r>
          </w:p>
        </w:tc>
        <w:tc>
          <w:tcPr>
            <w:tcW w:w="961" w:type="pct"/>
            <w:shd w:val="clear" w:color="auto" w:fill="auto"/>
          </w:tcPr>
          <w:p w:rsidR="005E7102" w:rsidRPr="003A3555" w:rsidRDefault="005E7102" w:rsidP="00476EE6">
            <w:pPr>
              <w:pStyle w:val="Tabletext"/>
              <w:jc w:val="center"/>
              <w:rPr>
                <w:rFonts w:ascii="Times" w:hAnsi="Times"/>
                <w:i/>
                <w:color w:val="000000" w:themeColor="text1"/>
              </w:rPr>
            </w:pPr>
            <w:r w:rsidRPr="003A3555">
              <w:rPr>
                <w:rFonts w:eastAsia="SimSun"/>
                <w:color w:val="000000" w:themeColor="text1"/>
                <w:lang w:eastAsia="en-AU"/>
              </w:rPr>
              <w:t>5.31</w:t>
            </w:r>
          </w:p>
        </w:tc>
        <w:tc>
          <w:tcPr>
            <w:tcW w:w="1151" w:type="pct"/>
            <w:shd w:val="clear" w:color="auto" w:fill="auto"/>
          </w:tcPr>
          <w:p w:rsidR="005E7102" w:rsidRPr="003A3555" w:rsidRDefault="005E7102" w:rsidP="00476EE6">
            <w:pPr>
              <w:pStyle w:val="Tabletext"/>
              <w:jc w:val="center"/>
              <w:rPr>
                <w:i/>
                <w:color w:val="000000" w:themeColor="text1"/>
              </w:rPr>
            </w:pPr>
            <w:r w:rsidRPr="003A3555">
              <w:rPr>
                <w:rFonts w:eastAsia="SimSun"/>
                <w:color w:val="000000" w:themeColor="text1"/>
                <w:lang w:eastAsia="en-AU"/>
              </w:rPr>
              <w:t>2.24</w:t>
            </w:r>
          </w:p>
        </w:tc>
      </w:tr>
      <w:tr w:rsidR="005E7102" w:rsidRPr="003A3555" w:rsidTr="0067411C">
        <w:tc>
          <w:tcPr>
            <w:tcW w:w="3849" w:type="pct"/>
            <w:gridSpan w:val="3"/>
            <w:shd w:val="clear" w:color="auto" w:fill="auto"/>
            <w:vAlign w:val="center"/>
          </w:tcPr>
          <w:p w:rsidR="005E7102" w:rsidRPr="003A3555" w:rsidRDefault="005E7102" w:rsidP="00476EE6">
            <w:pPr>
              <w:pStyle w:val="Tabletext"/>
              <w:rPr>
                <w:rFonts w:ascii="Times" w:hAnsi="Times"/>
                <w:color w:val="000000" w:themeColor="text1"/>
              </w:rPr>
            </w:pPr>
            <w:r w:rsidRPr="003A3555">
              <w:rPr>
                <w:color w:val="000000" w:themeColor="text1"/>
              </w:rPr>
              <w:t>Incremental cost per LYG gained</w:t>
            </w:r>
          </w:p>
        </w:tc>
        <w:tc>
          <w:tcPr>
            <w:tcW w:w="1151" w:type="pct"/>
            <w:shd w:val="clear" w:color="auto" w:fill="auto"/>
            <w:vAlign w:val="center"/>
          </w:tcPr>
          <w:p w:rsidR="005E7102" w:rsidRPr="001D6F6D" w:rsidRDefault="001D6F6D" w:rsidP="00476EE6">
            <w:pPr>
              <w:pStyle w:val="Tabletext"/>
              <w:jc w:val="center"/>
              <w:rPr>
                <w:rFonts w:ascii="Times" w:hAnsi="Times"/>
                <w:color w:val="000000" w:themeColor="text1"/>
                <w:highlight w:val="black"/>
              </w:rPr>
            </w:pPr>
            <w:r>
              <w:rPr>
                <w:rFonts w:eastAsia="SimSun"/>
                <w:noProof/>
                <w:color w:val="000000"/>
                <w:highlight w:val="black"/>
                <w:lang w:eastAsia="en-AU"/>
              </w:rPr>
              <w:t>''''''''''''''''''''</w:t>
            </w:r>
          </w:p>
        </w:tc>
      </w:tr>
      <w:tr w:rsidR="005E7102" w:rsidRPr="003A3555" w:rsidTr="00502BCD">
        <w:tc>
          <w:tcPr>
            <w:tcW w:w="5000" w:type="pct"/>
            <w:gridSpan w:val="4"/>
            <w:shd w:val="clear" w:color="auto" w:fill="auto"/>
            <w:vAlign w:val="center"/>
          </w:tcPr>
          <w:p w:rsidR="005E7102" w:rsidRPr="003A3555" w:rsidRDefault="005E7102" w:rsidP="00476EE6">
            <w:pPr>
              <w:pStyle w:val="Tabletext"/>
              <w:rPr>
                <w:b/>
                <w:snapToGrid w:val="0"/>
                <w:color w:val="000000" w:themeColor="text1"/>
              </w:rPr>
            </w:pPr>
            <w:r w:rsidRPr="003A3555">
              <w:rPr>
                <w:b/>
                <w:snapToGrid w:val="0"/>
                <w:color w:val="000000" w:themeColor="text1"/>
              </w:rPr>
              <w:t>Step 4: utility weights applied</w:t>
            </w:r>
          </w:p>
        </w:tc>
      </w:tr>
      <w:tr w:rsidR="005E7102" w:rsidRPr="003A3555" w:rsidTr="0067411C">
        <w:tc>
          <w:tcPr>
            <w:tcW w:w="1805" w:type="pct"/>
            <w:shd w:val="clear" w:color="auto" w:fill="auto"/>
            <w:vAlign w:val="center"/>
          </w:tcPr>
          <w:p w:rsidR="005E7102" w:rsidRPr="003A3555" w:rsidRDefault="005E7102" w:rsidP="00476EE6">
            <w:pPr>
              <w:pStyle w:val="Tabletext"/>
              <w:rPr>
                <w:rFonts w:ascii="Times" w:hAnsi="Times"/>
                <w:color w:val="000000" w:themeColor="text1"/>
              </w:rPr>
            </w:pPr>
            <w:r w:rsidRPr="003A3555">
              <w:rPr>
                <w:color w:val="000000" w:themeColor="text1"/>
              </w:rPr>
              <w:t>Costs</w:t>
            </w:r>
          </w:p>
        </w:tc>
        <w:tc>
          <w:tcPr>
            <w:tcW w:w="1083" w:type="pct"/>
            <w:shd w:val="clear" w:color="auto" w:fill="auto"/>
          </w:tcPr>
          <w:p w:rsidR="005E7102" w:rsidRPr="001D6F6D" w:rsidRDefault="001D6F6D" w:rsidP="00476EE6">
            <w:pPr>
              <w:pStyle w:val="Tabletext"/>
              <w:jc w:val="center"/>
              <w:rPr>
                <w:rFonts w:ascii="Times" w:hAnsi="Times"/>
                <w:color w:val="000000" w:themeColor="text1"/>
                <w:highlight w:val="black"/>
              </w:rPr>
            </w:pPr>
            <w:r>
              <w:rPr>
                <w:rFonts w:eastAsia="SimSun"/>
                <w:noProof/>
                <w:color w:val="000000"/>
                <w:highlight w:val="black"/>
                <w:lang w:eastAsia="en-AU"/>
              </w:rPr>
              <w:t>''''''''''''''''''''''</w:t>
            </w:r>
          </w:p>
        </w:tc>
        <w:tc>
          <w:tcPr>
            <w:tcW w:w="961" w:type="pct"/>
            <w:shd w:val="clear" w:color="auto" w:fill="auto"/>
          </w:tcPr>
          <w:p w:rsidR="005E7102" w:rsidRPr="001D6F6D" w:rsidRDefault="001D6F6D" w:rsidP="00476EE6">
            <w:pPr>
              <w:pStyle w:val="Tabletext"/>
              <w:jc w:val="center"/>
              <w:rPr>
                <w:rFonts w:ascii="Times" w:hAnsi="Times"/>
                <w:color w:val="000000" w:themeColor="text1"/>
                <w:highlight w:val="black"/>
              </w:rPr>
            </w:pPr>
            <w:r>
              <w:rPr>
                <w:rFonts w:eastAsia="SimSun"/>
                <w:noProof/>
                <w:color w:val="000000"/>
                <w:highlight w:val="black"/>
                <w:lang w:eastAsia="en-AU"/>
              </w:rPr>
              <w:t>''''''''''''''''''</w:t>
            </w:r>
          </w:p>
        </w:tc>
        <w:tc>
          <w:tcPr>
            <w:tcW w:w="1151" w:type="pct"/>
            <w:shd w:val="clear" w:color="auto" w:fill="auto"/>
          </w:tcPr>
          <w:p w:rsidR="005E7102" w:rsidRPr="001D6F6D" w:rsidRDefault="001D6F6D" w:rsidP="00476EE6">
            <w:pPr>
              <w:pStyle w:val="Tabletext"/>
              <w:jc w:val="center"/>
              <w:rPr>
                <w:rFonts w:ascii="Times" w:hAnsi="Times"/>
                <w:color w:val="000000" w:themeColor="text1"/>
                <w:highlight w:val="black"/>
              </w:rPr>
            </w:pPr>
            <w:r>
              <w:rPr>
                <w:rFonts w:eastAsia="SimSun"/>
                <w:noProof/>
                <w:color w:val="000000"/>
                <w:highlight w:val="black"/>
                <w:lang w:eastAsia="en-AU"/>
              </w:rPr>
              <w:t>''''''''''''''''''''</w:t>
            </w:r>
          </w:p>
        </w:tc>
      </w:tr>
      <w:tr w:rsidR="005E7102" w:rsidRPr="003A3555" w:rsidTr="0067411C">
        <w:tc>
          <w:tcPr>
            <w:tcW w:w="1805" w:type="pct"/>
            <w:shd w:val="clear" w:color="auto" w:fill="auto"/>
            <w:vAlign w:val="center"/>
          </w:tcPr>
          <w:p w:rsidR="005E7102" w:rsidRPr="003A3555" w:rsidRDefault="005E7102" w:rsidP="00476EE6">
            <w:pPr>
              <w:pStyle w:val="Tabletext"/>
              <w:rPr>
                <w:rFonts w:ascii="Times" w:hAnsi="Times"/>
                <w:color w:val="000000" w:themeColor="text1"/>
              </w:rPr>
            </w:pPr>
            <w:r w:rsidRPr="003A3555">
              <w:rPr>
                <w:color w:val="000000" w:themeColor="text1"/>
              </w:rPr>
              <w:t>QALYs</w:t>
            </w:r>
          </w:p>
        </w:tc>
        <w:tc>
          <w:tcPr>
            <w:tcW w:w="1083" w:type="pct"/>
            <w:shd w:val="clear" w:color="auto" w:fill="auto"/>
          </w:tcPr>
          <w:p w:rsidR="005E7102" w:rsidRPr="003A3555" w:rsidRDefault="005E7102" w:rsidP="00476EE6">
            <w:pPr>
              <w:pStyle w:val="Tabletext"/>
              <w:jc w:val="center"/>
              <w:rPr>
                <w:i/>
                <w:color w:val="000000" w:themeColor="text1"/>
              </w:rPr>
            </w:pPr>
            <w:r w:rsidRPr="003A3555">
              <w:rPr>
                <w:rFonts w:eastAsia="SimSun"/>
                <w:color w:val="000000" w:themeColor="text1"/>
                <w:lang w:eastAsia="en-AU"/>
              </w:rPr>
              <w:t>5.76</w:t>
            </w:r>
          </w:p>
        </w:tc>
        <w:tc>
          <w:tcPr>
            <w:tcW w:w="961" w:type="pct"/>
            <w:shd w:val="clear" w:color="auto" w:fill="auto"/>
          </w:tcPr>
          <w:p w:rsidR="005E7102" w:rsidRPr="003A3555" w:rsidRDefault="005E7102" w:rsidP="00476EE6">
            <w:pPr>
              <w:pStyle w:val="Tabletext"/>
              <w:jc w:val="center"/>
              <w:rPr>
                <w:rFonts w:ascii="Times" w:hAnsi="Times"/>
                <w:i/>
                <w:color w:val="000000" w:themeColor="text1"/>
              </w:rPr>
            </w:pPr>
            <w:r w:rsidRPr="003A3555">
              <w:rPr>
                <w:rFonts w:eastAsia="SimSun"/>
                <w:color w:val="000000" w:themeColor="text1"/>
                <w:lang w:eastAsia="en-AU"/>
              </w:rPr>
              <w:t>4.02</w:t>
            </w:r>
          </w:p>
        </w:tc>
        <w:tc>
          <w:tcPr>
            <w:tcW w:w="1151" w:type="pct"/>
            <w:shd w:val="clear" w:color="auto" w:fill="auto"/>
          </w:tcPr>
          <w:p w:rsidR="005E7102" w:rsidRPr="003A3555" w:rsidRDefault="005E7102" w:rsidP="00476EE6">
            <w:pPr>
              <w:pStyle w:val="Tabletext"/>
              <w:jc w:val="center"/>
              <w:rPr>
                <w:i/>
                <w:color w:val="000000" w:themeColor="text1"/>
              </w:rPr>
            </w:pPr>
            <w:r w:rsidRPr="003A3555">
              <w:rPr>
                <w:rFonts w:eastAsia="SimSun"/>
                <w:color w:val="000000" w:themeColor="text1"/>
                <w:lang w:eastAsia="en-AU"/>
              </w:rPr>
              <w:t>1.74</w:t>
            </w:r>
          </w:p>
        </w:tc>
      </w:tr>
      <w:tr w:rsidR="005E7102" w:rsidRPr="00401CF2" w:rsidTr="0067411C">
        <w:tc>
          <w:tcPr>
            <w:tcW w:w="3849" w:type="pct"/>
            <w:gridSpan w:val="3"/>
            <w:shd w:val="clear" w:color="auto" w:fill="auto"/>
            <w:vAlign w:val="center"/>
          </w:tcPr>
          <w:p w:rsidR="005E7102" w:rsidRPr="00401CF2" w:rsidRDefault="005E7102" w:rsidP="00476EE6">
            <w:pPr>
              <w:pStyle w:val="Tabletext"/>
              <w:rPr>
                <w:rFonts w:ascii="Times" w:hAnsi="Times"/>
                <w:b/>
                <w:color w:val="000000" w:themeColor="text1"/>
              </w:rPr>
            </w:pPr>
            <w:r w:rsidRPr="00401CF2">
              <w:rPr>
                <w:b/>
                <w:color w:val="000000" w:themeColor="text1"/>
              </w:rPr>
              <w:t>Incremental cost per QALY gained (base case)</w:t>
            </w:r>
          </w:p>
        </w:tc>
        <w:tc>
          <w:tcPr>
            <w:tcW w:w="1151" w:type="pct"/>
            <w:shd w:val="clear" w:color="auto" w:fill="auto"/>
            <w:vAlign w:val="center"/>
          </w:tcPr>
          <w:p w:rsidR="005E7102" w:rsidRPr="00401CF2" w:rsidRDefault="001D6F6D" w:rsidP="00476EE6">
            <w:pPr>
              <w:pStyle w:val="Tabletext"/>
              <w:jc w:val="center"/>
              <w:rPr>
                <w:rFonts w:ascii="Times" w:hAnsi="Times"/>
                <w:b/>
                <w:color w:val="000000" w:themeColor="text1"/>
              </w:rPr>
            </w:pPr>
            <w:r>
              <w:rPr>
                <w:rFonts w:eastAsia="SimSun"/>
                <w:b/>
                <w:noProof/>
                <w:color w:val="000000"/>
                <w:highlight w:val="black"/>
                <w:lang w:eastAsia="en-AU"/>
              </w:rPr>
              <w:t>'''''''''''''''</w:t>
            </w:r>
            <w:r w:rsidR="006A474C">
              <w:rPr>
                <w:rFonts w:eastAsia="SimSun"/>
                <w:b/>
                <w:color w:val="000000" w:themeColor="text1"/>
                <w:lang w:eastAsia="en-AU"/>
              </w:rPr>
              <w:t>*</w:t>
            </w:r>
          </w:p>
        </w:tc>
      </w:tr>
      <w:tr w:rsidR="00CD0010" w:rsidRPr="00401CF2" w:rsidTr="00CD0010">
        <w:tc>
          <w:tcPr>
            <w:tcW w:w="5000" w:type="pct"/>
            <w:gridSpan w:val="4"/>
            <w:shd w:val="clear" w:color="auto" w:fill="auto"/>
            <w:vAlign w:val="center"/>
          </w:tcPr>
          <w:p w:rsidR="00CD0010" w:rsidRPr="00401CF2" w:rsidRDefault="00CD0010" w:rsidP="00CD0010">
            <w:pPr>
              <w:pStyle w:val="Tabletext"/>
              <w:rPr>
                <w:rFonts w:eastAsia="SimSun"/>
                <w:b/>
                <w:color w:val="000000" w:themeColor="text1"/>
                <w:lang w:eastAsia="en-AU"/>
              </w:rPr>
            </w:pPr>
            <w:r w:rsidRPr="00401CF2">
              <w:rPr>
                <w:b/>
                <w:color w:val="000000" w:themeColor="text1"/>
              </w:rPr>
              <w:t>March 2018 submission – Step 4</w:t>
            </w:r>
          </w:p>
        </w:tc>
      </w:tr>
      <w:tr w:rsidR="00D84529" w:rsidRPr="00401CF2" w:rsidTr="0067411C">
        <w:tc>
          <w:tcPr>
            <w:tcW w:w="1805" w:type="pct"/>
            <w:shd w:val="clear" w:color="auto" w:fill="auto"/>
            <w:vAlign w:val="center"/>
          </w:tcPr>
          <w:p w:rsidR="00D84529" w:rsidRPr="00401CF2" w:rsidRDefault="00D84529" w:rsidP="00476EE6">
            <w:pPr>
              <w:pStyle w:val="Tabletext"/>
              <w:rPr>
                <w:color w:val="000000" w:themeColor="text1"/>
                <w:szCs w:val="20"/>
              </w:rPr>
            </w:pPr>
            <w:r w:rsidRPr="00401CF2">
              <w:rPr>
                <w:color w:val="000000" w:themeColor="text1"/>
                <w:szCs w:val="20"/>
              </w:rPr>
              <w:t>Costs</w:t>
            </w:r>
          </w:p>
        </w:tc>
        <w:tc>
          <w:tcPr>
            <w:tcW w:w="1083" w:type="pct"/>
            <w:shd w:val="clear" w:color="auto" w:fill="auto"/>
            <w:vAlign w:val="center"/>
          </w:tcPr>
          <w:p w:rsidR="00D84529" w:rsidRPr="001D6F6D" w:rsidRDefault="001D6F6D" w:rsidP="00476EE6">
            <w:pPr>
              <w:pStyle w:val="Tabletext"/>
              <w:ind w:left="111"/>
              <w:jc w:val="center"/>
              <w:rPr>
                <w:color w:val="000000" w:themeColor="text1"/>
                <w:szCs w:val="20"/>
                <w:highlight w:val="black"/>
              </w:rPr>
            </w:pPr>
            <w:r>
              <w:rPr>
                <w:noProof/>
                <w:color w:val="000000"/>
                <w:szCs w:val="20"/>
                <w:highlight w:val="black"/>
              </w:rPr>
              <w:t>''''''''''''''''''''</w:t>
            </w:r>
          </w:p>
        </w:tc>
        <w:tc>
          <w:tcPr>
            <w:tcW w:w="961" w:type="pct"/>
            <w:shd w:val="clear" w:color="auto" w:fill="auto"/>
            <w:vAlign w:val="center"/>
          </w:tcPr>
          <w:p w:rsidR="00D84529" w:rsidRPr="001D6F6D" w:rsidRDefault="001D6F6D" w:rsidP="00476EE6">
            <w:pPr>
              <w:pStyle w:val="Tabletext"/>
              <w:jc w:val="center"/>
              <w:rPr>
                <w:color w:val="000000" w:themeColor="text1"/>
                <w:szCs w:val="20"/>
                <w:highlight w:val="black"/>
              </w:rPr>
            </w:pPr>
            <w:r>
              <w:rPr>
                <w:noProof/>
                <w:color w:val="000000"/>
                <w:szCs w:val="20"/>
                <w:highlight w:val="black"/>
              </w:rPr>
              <w:t>'''''''''''''''''''</w:t>
            </w:r>
          </w:p>
        </w:tc>
        <w:tc>
          <w:tcPr>
            <w:tcW w:w="1151" w:type="pct"/>
            <w:shd w:val="clear" w:color="auto" w:fill="auto"/>
            <w:vAlign w:val="center"/>
          </w:tcPr>
          <w:p w:rsidR="00D84529" w:rsidRPr="001D6F6D" w:rsidRDefault="001D6F6D" w:rsidP="00476EE6">
            <w:pPr>
              <w:pStyle w:val="Tabletext"/>
              <w:jc w:val="center"/>
              <w:rPr>
                <w:rFonts w:eastAsia="SimSun"/>
                <w:color w:val="000000" w:themeColor="text1"/>
                <w:szCs w:val="20"/>
                <w:highlight w:val="black"/>
                <w:lang w:eastAsia="en-AU"/>
              </w:rPr>
            </w:pPr>
            <w:r>
              <w:rPr>
                <w:noProof/>
                <w:color w:val="000000"/>
                <w:szCs w:val="20"/>
                <w:highlight w:val="black"/>
              </w:rPr>
              <w:t>'''''''''''''''''''''</w:t>
            </w:r>
          </w:p>
        </w:tc>
      </w:tr>
      <w:tr w:rsidR="00D84529" w:rsidRPr="00401CF2" w:rsidTr="0067411C">
        <w:tc>
          <w:tcPr>
            <w:tcW w:w="1805" w:type="pct"/>
            <w:shd w:val="clear" w:color="auto" w:fill="auto"/>
            <w:vAlign w:val="center"/>
          </w:tcPr>
          <w:p w:rsidR="00D84529" w:rsidRPr="00401CF2" w:rsidRDefault="00D84529" w:rsidP="00476EE6">
            <w:pPr>
              <w:pStyle w:val="Tabletext"/>
              <w:rPr>
                <w:color w:val="000000" w:themeColor="text1"/>
                <w:szCs w:val="20"/>
              </w:rPr>
            </w:pPr>
            <w:r w:rsidRPr="00401CF2">
              <w:rPr>
                <w:color w:val="000000" w:themeColor="text1"/>
                <w:szCs w:val="20"/>
              </w:rPr>
              <w:t>QALYs</w:t>
            </w:r>
          </w:p>
        </w:tc>
        <w:tc>
          <w:tcPr>
            <w:tcW w:w="1083" w:type="pct"/>
            <w:shd w:val="clear" w:color="auto" w:fill="auto"/>
            <w:vAlign w:val="center"/>
          </w:tcPr>
          <w:p w:rsidR="00D84529" w:rsidRPr="00401CF2" w:rsidRDefault="00D84529" w:rsidP="00476EE6">
            <w:pPr>
              <w:pStyle w:val="Tabletext"/>
              <w:jc w:val="center"/>
              <w:rPr>
                <w:color w:val="000000" w:themeColor="text1"/>
                <w:szCs w:val="20"/>
              </w:rPr>
            </w:pPr>
            <w:r w:rsidRPr="00401CF2">
              <w:rPr>
                <w:color w:val="000000" w:themeColor="text1"/>
                <w:szCs w:val="20"/>
              </w:rPr>
              <w:t>6.5</w:t>
            </w:r>
          </w:p>
        </w:tc>
        <w:tc>
          <w:tcPr>
            <w:tcW w:w="961" w:type="pct"/>
            <w:shd w:val="clear" w:color="auto" w:fill="auto"/>
            <w:vAlign w:val="center"/>
          </w:tcPr>
          <w:p w:rsidR="00D84529" w:rsidRPr="00401CF2" w:rsidRDefault="00D84529" w:rsidP="00476EE6">
            <w:pPr>
              <w:pStyle w:val="Tabletext"/>
              <w:jc w:val="center"/>
              <w:rPr>
                <w:color w:val="000000" w:themeColor="text1"/>
                <w:szCs w:val="20"/>
              </w:rPr>
            </w:pPr>
            <w:r w:rsidRPr="00401CF2">
              <w:rPr>
                <w:color w:val="000000" w:themeColor="text1"/>
                <w:szCs w:val="20"/>
              </w:rPr>
              <w:t>4.1</w:t>
            </w:r>
          </w:p>
        </w:tc>
        <w:tc>
          <w:tcPr>
            <w:tcW w:w="1151" w:type="pct"/>
            <w:shd w:val="clear" w:color="auto" w:fill="auto"/>
            <w:vAlign w:val="center"/>
          </w:tcPr>
          <w:p w:rsidR="00D84529" w:rsidRPr="00401CF2" w:rsidRDefault="00D84529" w:rsidP="00476EE6">
            <w:pPr>
              <w:pStyle w:val="Tabletext"/>
              <w:jc w:val="center"/>
              <w:rPr>
                <w:rFonts w:eastAsia="SimSun"/>
                <w:color w:val="000000" w:themeColor="text1"/>
                <w:szCs w:val="20"/>
                <w:lang w:eastAsia="en-AU"/>
              </w:rPr>
            </w:pPr>
            <w:r w:rsidRPr="00401CF2">
              <w:rPr>
                <w:rFonts w:eastAsia="SimSun"/>
                <w:color w:val="000000" w:themeColor="text1"/>
                <w:szCs w:val="20"/>
                <w:lang w:eastAsia="en-AU"/>
              </w:rPr>
              <w:t>2.4</w:t>
            </w:r>
          </w:p>
        </w:tc>
      </w:tr>
      <w:tr w:rsidR="00D84529" w:rsidRPr="00401CF2" w:rsidTr="0067411C">
        <w:tc>
          <w:tcPr>
            <w:tcW w:w="3849" w:type="pct"/>
            <w:gridSpan w:val="3"/>
            <w:shd w:val="clear" w:color="auto" w:fill="auto"/>
            <w:vAlign w:val="center"/>
          </w:tcPr>
          <w:p w:rsidR="00D84529" w:rsidRPr="00401CF2" w:rsidRDefault="00D84529" w:rsidP="00476EE6">
            <w:pPr>
              <w:pStyle w:val="Tabletext"/>
              <w:rPr>
                <w:b/>
                <w:color w:val="000000" w:themeColor="text1"/>
                <w:szCs w:val="20"/>
              </w:rPr>
            </w:pPr>
            <w:r w:rsidRPr="00401CF2">
              <w:rPr>
                <w:b/>
                <w:color w:val="000000" w:themeColor="text1"/>
                <w:szCs w:val="20"/>
              </w:rPr>
              <w:t>Incremental cost per QALY gained (base case)</w:t>
            </w:r>
          </w:p>
        </w:tc>
        <w:tc>
          <w:tcPr>
            <w:tcW w:w="1151" w:type="pct"/>
            <w:shd w:val="clear" w:color="auto" w:fill="auto"/>
            <w:vAlign w:val="center"/>
          </w:tcPr>
          <w:p w:rsidR="00D84529" w:rsidRPr="001D6F6D" w:rsidRDefault="001D6F6D" w:rsidP="00476EE6">
            <w:pPr>
              <w:pStyle w:val="Tabletext"/>
              <w:jc w:val="center"/>
              <w:rPr>
                <w:rFonts w:eastAsia="SimSun"/>
                <w:b/>
                <w:color w:val="000000" w:themeColor="text1"/>
                <w:szCs w:val="20"/>
                <w:highlight w:val="black"/>
                <w:lang w:eastAsia="en-AU"/>
              </w:rPr>
            </w:pPr>
            <w:r>
              <w:rPr>
                <w:noProof/>
                <w:color w:val="000000"/>
                <w:szCs w:val="20"/>
                <w:highlight w:val="black"/>
              </w:rPr>
              <w:t>''''''''''''''''''''</w:t>
            </w:r>
          </w:p>
        </w:tc>
      </w:tr>
    </w:tbl>
    <w:p w:rsidR="005E7102" w:rsidRDefault="005E7102" w:rsidP="00476EE6">
      <w:pPr>
        <w:pStyle w:val="TableorfigureAbbreviationsandSource"/>
        <w:spacing w:after="0"/>
        <w:rPr>
          <w:rFonts w:ascii="Arial Narrow" w:hAnsi="Arial Narrow"/>
          <w:color w:val="000000" w:themeColor="text1"/>
          <w:sz w:val="18"/>
          <w:szCs w:val="18"/>
        </w:rPr>
      </w:pPr>
      <w:r w:rsidRPr="00401CF2">
        <w:rPr>
          <w:rFonts w:ascii="Arial Narrow" w:hAnsi="Arial Narrow"/>
          <w:color w:val="000000" w:themeColor="text1"/>
          <w:sz w:val="18"/>
          <w:szCs w:val="18"/>
        </w:rPr>
        <w:t xml:space="preserve">AE = adverse event; BSC = best supportive care; ICER = incremental cost-effectiveness ratio; LEN = </w:t>
      </w:r>
      <w:proofErr w:type="spellStart"/>
      <w:r w:rsidRPr="00401CF2">
        <w:rPr>
          <w:rFonts w:ascii="Arial Narrow" w:hAnsi="Arial Narrow"/>
          <w:color w:val="000000" w:themeColor="text1"/>
          <w:sz w:val="18"/>
          <w:szCs w:val="18"/>
        </w:rPr>
        <w:t>lenalidomide</w:t>
      </w:r>
      <w:proofErr w:type="spellEnd"/>
      <w:r w:rsidRPr="00401CF2">
        <w:rPr>
          <w:rFonts w:ascii="Arial Narrow" w:hAnsi="Arial Narrow"/>
          <w:color w:val="000000" w:themeColor="text1"/>
          <w:sz w:val="18"/>
          <w:szCs w:val="18"/>
        </w:rPr>
        <w:t>; LYG</w:t>
      </w:r>
      <w:r w:rsidR="0067411C">
        <w:rPr>
          <w:rFonts w:ascii="Arial Narrow" w:hAnsi="Arial Narrow"/>
          <w:color w:val="000000" w:themeColor="text1"/>
          <w:sz w:val="18"/>
          <w:szCs w:val="18"/>
        </w:rPr>
        <w:t xml:space="preserve"> </w:t>
      </w:r>
      <w:r w:rsidRPr="00401CF2">
        <w:rPr>
          <w:rFonts w:ascii="Arial Narrow" w:hAnsi="Arial Narrow"/>
          <w:color w:val="000000" w:themeColor="text1"/>
          <w:sz w:val="18"/>
          <w:szCs w:val="18"/>
        </w:rPr>
        <w:t>=</w:t>
      </w:r>
      <w:r w:rsidR="0067411C">
        <w:rPr>
          <w:rFonts w:ascii="Arial Narrow" w:hAnsi="Arial Narrow"/>
          <w:color w:val="000000" w:themeColor="text1"/>
          <w:sz w:val="18"/>
          <w:szCs w:val="18"/>
        </w:rPr>
        <w:t xml:space="preserve"> </w:t>
      </w:r>
      <w:r w:rsidRPr="00401CF2">
        <w:rPr>
          <w:rFonts w:ascii="Arial Narrow" w:hAnsi="Arial Narrow"/>
          <w:color w:val="000000" w:themeColor="text1"/>
          <w:sz w:val="18"/>
          <w:szCs w:val="18"/>
        </w:rPr>
        <w:t>life year gained; QALY</w:t>
      </w:r>
      <w:r w:rsidR="0067411C">
        <w:rPr>
          <w:rFonts w:ascii="Arial Narrow" w:hAnsi="Arial Narrow"/>
          <w:color w:val="000000" w:themeColor="text1"/>
          <w:sz w:val="18"/>
          <w:szCs w:val="18"/>
        </w:rPr>
        <w:t xml:space="preserve"> </w:t>
      </w:r>
      <w:r w:rsidRPr="00401CF2">
        <w:rPr>
          <w:rFonts w:ascii="Arial Narrow" w:hAnsi="Arial Narrow"/>
          <w:color w:val="000000" w:themeColor="text1"/>
          <w:sz w:val="18"/>
          <w:szCs w:val="18"/>
        </w:rPr>
        <w:t>= quality-adjusted life year.</w:t>
      </w:r>
    </w:p>
    <w:p w:rsidR="006A474C" w:rsidRPr="006A474C" w:rsidRDefault="006A474C" w:rsidP="00476EE6">
      <w:pPr>
        <w:widowControl/>
        <w:rPr>
          <w:rFonts w:ascii="Arial Narrow" w:hAnsi="Arial Narrow"/>
          <w:sz w:val="18"/>
          <w:szCs w:val="18"/>
          <w:lang w:eastAsia="zh-CN"/>
        </w:rPr>
      </w:pPr>
      <w:r w:rsidRPr="006A474C">
        <w:rPr>
          <w:rFonts w:ascii="Arial Narrow" w:hAnsi="Arial Narrow"/>
          <w:sz w:val="18"/>
          <w:szCs w:val="18"/>
          <w:lang w:eastAsia="zh-CN"/>
        </w:rPr>
        <w:t xml:space="preserve">* ICER calculations use published prices for </w:t>
      </w:r>
      <w:proofErr w:type="spellStart"/>
      <w:r w:rsidRPr="006A474C">
        <w:rPr>
          <w:rFonts w:ascii="Arial Narrow" w:hAnsi="Arial Narrow"/>
          <w:sz w:val="18"/>
          <w:szCs w:val="18"/>
          <w:lang w:eastAsia="zh-CN"/>
        </w:rPr>
        <w:t>bortezomib</w:t>
      </w:r>
      <w:proofErr w:type="spellEnd"/>
      <w:r w:rsidRPr="006A474C">
        <w:rPr>
          <w:rFonts w:ascii="Arial Narrow" w:hAnsi="Arial Narrow"/>
          <w:sz w:val="18"/>
          <w:szCs w:val="18"/>
          <w:lang w:eastAsia="zh-CN"/>
        </w:rPr>
        <w:t xml:space="preserve"> and </w:t>
      </w:r>
      <w:proofErr w:type="spellStart"/>
      <w:r w:rsidRPr="006A474C">
        <w:rPr>
          <w:rFonts w:ascii="Arial Narrow" w:hAnsi="Arial Narrow"/>
          <w:sz w:val="18"/>
          <w:szCs w:val="18"/>
          <w:lang w:eastAsia="zh-CN"/>
        </w:rPr>
        <w:t>pomalidomide</w:t>
      </w:r>
      <w:proofErr w:type="spellEnd"/>
    </w:p>
    <w:p w:rsidR="005E7102" w:rsidRPr="00401CF2" w:rsidRDefault="005E7102" w:rsidP="00476EE6">
      <w:pPr>
        <w:widowControl/>
        <w:rPr>
          <w:rFonts w:ascii="Arial Narrow" w:hAnsi="Arial Narrow"/>
          <w:b/>
          <w:color w:val="000000" w:themeColor="text1"/>
          <w:sz w:val="20"/>
          <w:szCs w:val="16"/>
        </w:rPr>
      </w:pPr>
      <w:r w:rsidRPr="00401CF2">
        <w:rPr>
          <w:rFonts w:ascii="Arial Narrow" w:hAnsi="Arial Narrow"/>
          <w:color w:val="000000" w:themeColor="text1"/>
          <w:sz w:val="18"/>
          <w:szCs w:val="18"/>
          <w:lang w:eastAsia="zh-CN"/>
        </w:rPr>
        <w:t>Source: Table 3.24, p.83 of the resubmission. Calculated during evaluation.</w:t>
      </w:r>
    </w:p>
    <w:p w:rsidR="005E7102" w:rsidRDefault="005E7102" w:rsidP="00E34D76">
      <w:pPr>
        <w:pStyle w:val="ListParagraph"/>
        <w:widowControl/>
        <w:numPr>
          <w:ilvl w:val="1"/>
          <w:numId w:val="2"/>
        </w:numPr>
        <w:spacing w:before="120"/>
        <w:rPr>
          <w:color w:val="000000" w:themeColor="text1"/>
        </w:rPr>
      </w:pPr>
      <w:r w:rsidRPr="00401CF2">
        <w:rPr>
          <w:color w:val="000000" w:themeColor="text1"/>
        </w:rPr>
        <w:t xml:space="preserve">The </w:t>
      </w:r>
      <w:r w:rsidR="00F015DC">
        <w:rPr>
          <w:color w:val="000000" w:themeColor="text1"/>
        </w:rPr>
        <w:t xml:space="preserve">results of selected </w:t>
      </w:r>
      <w:r w:rsidRPr="00401CF2">
        <w:rPr>
          <w:color w:val="000000" w:themeColor="text1"/>
        </w:rPr>
        <w:t xml:space="preserve">univariate sensitivity analyses </w:t>
      </w:r>
      <w:proofErr w:type="gramStart"/>
      <w:r w:rsidRPr="00401CF2">
        <w:rPr>
          <w:color w:val="000000" w:themeColor="text1"/>
        </w:rPr>
        <w:t>are presented</w:t>
      </w:r>
      <w:proofErr w:type="gramEnd"/>
      <w:r w:rsidRPr="00401CF2">
        <w:rPr>
          <w:color w:val="000000" w:themeColor="text1"/>
        </w:rPr>
        <w:t xml:space="preserve"> in Table </w:t>
      </w:r>
      <w:r w:rsidR="007E22CA" w:rsidRPr="00401CF2">
        <w:rPr>
          <w:color w:val="000000" w:themeColor="text1"/>
        </w:rPr>
        <w:t>2</w:t>
      </w:r>
      <w:r w:rsidR="00097671">
        <w:rPr>
          <w:color w:val="000000" w:themeColor="text1"/>
        </w:rPr>
        <w:t>5</w:t>
      </w:r>
      <w:r w:rsidRPr="00401CF2">
        <w:rPr>
          <w:color w:val="000000" w:themeColor="text1"/>
        </w:rPr>
        <w:t xml:space="preserve">. These results show that the model was most sensitive to variations in the time horizon, the source of efficacy data and the time patients </w:t>
      </w:r>
      <w:r w:rsidR="009B4062" w:rsidRPr="00401CF2">
        <w:rPr>
          <w:color w:val="000000" w:themeColor="text1"/>
        </w:rPr>
        <w:t xml:space="preserve">spent </w:t>
      </w:r>
      <w:r w:rsidRPr="00401CF2">
        <w:rPr>
          <w:color w:val="000000" w:themeColor="text1"/>
        </w:rPr>
        <w:t>on subsequent treatment post</w:t>
      </w:r>
      <w:r w:rsidRPr="00401CF2">
        <w:rPr>
          <w:color w:val="000000" w:themeColor="text1"/>
        </w:rPr>
        <w:noBreakHyphen/>
        <w:t xml:space="preserve">progression. </w:t>
      </w:r>
      <w:r w:rsidR="00F015DC">
        <w:rPr>
          <w:color w:val="000000" w:themeColor="text1"/>
        </w:rPr>
        <w:t>A</w:t>
      </w:r>
      <w:r w:rsidRPr="00401CF2">
        <w:rPr>
          <w:color w:val="000000" w:themeColor="text1"/>
        </w:rPr>
        <w:t xml:space="preserve"> </w:t>
      </w:r>
      <w:r w:rsidR="00A70F77">
        <w:rPr>
          <w:color w:val="000000" w:themeColor="text1"/>
        </w:rPr>
        <w:t>sensitivity analysis</w:t>
      </w:r>
      <w:r w:rsidRPr="00401CF2">
        <w:rPr>
          <w:color w:val="000000" w:themeColor="text1"/>
        </w:rPr>
        <w:t xml:space="preserve"> </w:t>
      </w:r>
      <w:r w:rsidR="00F015DC">
        <w:rPr>
          <w:color w:val="000000" w:themeColor="text1"/>
        </w:rPr>
        <w:t xml:space="preserve">using the </w:t>
      </w:r>
      <w:r w:rsidRPr="00401CF2">
        <w:rPr>
          <w:color w:val="000000" w:themeColor="text1"/>
        </w:rPr>
        <w:t xml:space="preserve">effective prices for </w:t>
      </w:r>
      <w:proofErr w:type="spellStart"/>
      <w:r w:rsidRPr="00401CF2">
        <w:rPr>
          <w:color w:val="000000" w:themeColor="text1"/>
        </w:rPr>
        <w:t>lenalidomide</w:t>
      </w:r>
      <w:proofErr w:type="spellEnd"/>
      <w:r w:rsidRPr="00401CF2">
        <w:rPr>
          <w:color w:val="000000" w:themeColor="text1"/>
        </w:rPr>
        <w:t xml:space="preserve"> in NDMM resulted in a lower ICER.  </w:t>
      </w:r>
    </w:p>
    <w:p w:rsidR="00977E5E" w:rsidRPr="00D539BE" w:rsidRDefault="00977E5E" w:rsidP="00E34D76">
      <w:pPr>
        <w:pStyle w:val="ListParagraph"/>
        <w:widowControl/>
        <w:numPr>
          <w:ilvl w:val="1"/>
          <w:numId w:val="2"/>
        </w:numPr>
        <w:spacing w:before="120"/>
        <w:rPr>
          <w:color w:val="000000" w:themeColor="text1"/>
        </w:rPr>
      </w:pPr>
      <w:r w:rsidRPr="00D539BE">
        <w:rPr>
          <w:color w:val="000000" w:themeColor="text1"/>
        </w:rPr>
        <w:lastRenderedPageBreak/>
        <w:t xml:space="preserve">The ESC requested </w:t>
      </w:r>
      <w:r w:rsidR="002E7791" w:rsidRPr="00D539BE">
        <w:rPr>
          <w:color w:val="000000" w:themeColor="text1"/>
        </w:rPr>
        <w:t>a comparison of the ICERs using CALGB and the pooled efficacy dataset with and without crossover adjus</w:t>
      </w:r>
      <w:r w:rsidR="00097671">
        <w:rPr>
          <w:color w:val="000000" w:themeColor="text1"/>
        </w:rPr>
        <w:t>tment (see final row of Table 25</w:t>
      </w:r>
      <w:r w:rsidR="002E7791" w:rsidRPr="00D539BE">
        <w:rPr>
          <w:color w:val="000000" w:themeColor="text1"/>
        </w:rPr>
        <w:t xml:space="preserve">). The ICERs ranged from the base case of </w:t>
      </w:r>
      <w:r w:rsidR="00AE495B">
        <w:rPr>
          <w:color w:val="000000" w:themeColor="text1"/>
        </w:rPr>
        <w:t>$15,000/QALY - $45,000</w:t>
      </w:r>
      <w:r w:rsidR="002E7791" w:rsidRPr="00D539BE">
        <w:rPr>
          <w:color w:val="000000" w:themeColor="text1"/>
        </w:rPr>
        <w:t xml:space="preserve">/QALY, using the CALGB efficacy data and crossover adjustment to </w:t>
      </w:r>
      <w:r w:rsidR="00AE495B">
        <w:rPr>
          <w:color w:val="000000" w:themeColor="text1"/>
        </w:rPr>
        <w:t>$75,000/QALY - $105,000</w:t>
      </w:r>
      <w:r w:rsidR="002E7791" w:rsidRPr="00D539BE">
        <w:rPr>
          <w:color w:val="000000" w:themeColor="text1"/>
        </w:rPr>
        <w:t>/QALY, using the pooled dataset with no crossover adjustment</w:t>
      </w:r>
      <w:r w:rsidRPr="00D539BE">
        <w:rPr>
          <w:color w:val="000000" w:themeColor="text1"/>
        </w:rPr>
        <w:t xml:space="preserve">. </w:t>
      </w:r>
    </w:p>
    <w:p w:rsidR="005E7102" w:rsidRPr="003A3555" w:rsidRDefault="005E7102" w:rsidP="00476EE6">
      <w:pPr>
        <w:keepNext/>
        <w:widowControl/>
        <w:rPr>
          <w:rStyle w:val="CommentReference"/>
          <w:color w:val="000000" w:themeColor="text1"/>
        </w:rPr>
      </w:pPr>
      <w:r w:rsidRPr="003A3555">
        <w:rPr>
          <w:rStyle w:val="CommentReference"/>
          <w:color w:val="000000" w:themeColor="text1"/>
        </w:rPr>
        <w:t xml:space="preserve">Table </w:t>
      </w:r>
      <w:r w:rsidR="009B4062" w:rsidRPr="003A3555">
        <w:rPr>
          <w:rStyle w:val="CommentReference"/>
          <w:color w:val="000000" w:themeColor="text1"/>
        </w:rPr>
        <w:t>2</w:t>
      </w:r>
      <w:r w:rsidR="00097671">
        <w:rPr>
          <w:rStyle w:val="CommentReference"/>
          <w:color w:val="000000" w:themeColor="text1"/>
        </w:rPr>
        <w:t>5</w:t>
      </w:r>
      <w:r w:rsidRPr="003A3555">
        <w:rPr>
          <w:rStyle w:val="CommentReference"/>
          <w:color w:val="000000" w:themeColor="text1"/>
        </w:rPr>
        <w:t xml:space="preserve">: Results of sensitivity analyses – </w:t>
      </w:r>
      <w:proofErr w:type="spellStart"/>
      <w:r w:rsidRPr="003A3555">
        <w:rPr>
          <w:rStyle w:val="CommentReference"/>
          <w:color w:val="000000" w:themeColor="text1"/>
        </w:rPr>
        <w:t>lenalidomide</w:t>
      </w:r>
      <w:proofErr w:type="spellEnd"/>
      <w:r w:rsidRPr="003A3555">
        <w:rPr>
          <w:rStyle w:val="CommentReference"/>
          <w:color w:val="000000" w:themeColor="text1"/>
        </w:rPr>
        <w:t xml:space="preserve"> vs. BSC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Caption w:val="Table 25: Results of sensitivity analyses – lenalidomide vs. BSC"/>
      </w:tblPr>
      <w:tblGrid>
        <w:gridCol w:w="5665"/>
        <w:gridCol w:w="1131"/>
        <w:gridCol w:w="1137"/>
        <w:gridCol w:w="1134"/>
      </w:tblGrid>
      <w:tr w:rsidR="005E7102" w:rsidRPr="003A3555" w:rsidTr="006B758C">
        <w:trPr>
          <w:tblHeader/>
        </w:trPr>
        <w:tc>
          <w:tcPr>
            <w:tcW w:w="5665" w:type="dxa"/>
            <w:shd w:val="clear" w:color="auto" w:fill="auto"/>
            <w:tcMar>
              <w:left w:w="28" w:type="dxa"/>
              <w:right w:w="28" w:type="dxa"/>
            </w:tcMar>
          </w:tcPr>
          <w:p w:rsidR="005E7102" w:rsidRPr="003A3555" w:rsidRDefault="005E7102" w:rsidP="00476EE6">
            <w:pPr>
              <w:pStyle w:val="Tabletext"/>
              <w:keepNext/>
              <w:tabs>
                <w:tab w:val="left" w:pos="142"/>
              </w:tabs>
              <w:rPr>
                <w:b/>
                <w:color w:val="000000" w:themeColor="text1"/>
                <w:szCs w:val="20"/>
              </w:rPr>
            </w:pPr>
            <w:r w:rsidRPr="003A3555">
              <w:rPr>
                <w:b/>
                <w:color w:val="000000" w:themeColor="text1"/>
                <w:szCs w:val="20"/>
              </w:rPr>
              <w:t>Analyses</w:t>
            </w:r>
          </w:p>
        </w:tc>
        <w:tc>
          <w:tcPr>
            <w:tcW w:w="1131" w:type="dxa"/>
            <w:shd w:val="clear" w:color="auto" w:fill="auto"/>
            <w:tcMar>
              <w:left w:w="28" w:type="dxa"/>
              <w:right w:w="28" w:type="dxa"/>
            </w:tcMar>
          </w:tcPr>
          <w:p w:rsidR="005E7102" w:rsidRPr="003A3555" w:rsidRDefault="005E7102" w:rsidP="00476EE6">
            <w:pPr>
              <w:pStyle w:val="Tabletext"/>
              <w:keepNext/>
              <w:jc w:val="center"/>
              <w:rPr>
                <w:b/>
                <w:color w:val="000000" w:themeColor="text1"/>
                <w:szCs w:val="20"/>
              </w:rPr>
            </w:pPr>
            <w:r w:rsidRPr="003A3555">
              <w:rPr>
                <w:b/>
                <w:color w:val="000000" w:themeColor="text1"/>
                <w:szCs w:val="20"/>
              </w:rPr>
              <w:t>Incremental cost</w:t>
            </w:r>
          </w:p>
        </w:tc>
        <w:tc>
          <w:tcPr>
            <w:tcW w:w="1137" w:type="dxa"/>
            <w:shd w:val="clear" w:color="auto" w:fill="auto"/>
            <w:tcMar>
              <w:left w:w="28" w:type="dxa"/>
              <w:right w:w="28" w:type="dxa"/>
            </w:tcMar>
          </w:tcPr>
          <w:p w:rsidR="005E7102" w:rsidRPr="003A3555" w:rsidRDefault="005E7102" w:rsidP="00476EE6">
            <w:pPr>
              <w:pStyle w:val="Tabletext"/>
              <w:keepNext/>
              <w:jc w:val="center"/>
              <w:rPr>
                <w:b/>
                <w:color w:val="000000" w:themeColor="text1"/>
                <w:szCs w:val="20"/>
              </w:rPr>
            </w:pPr>
            <w:r w:rsidRPr="003A3555">
              <w:rPr>
                <w:b/>
                <w:color w:val="000000" w:themeColor="text1"/>
                <w:szCs w:val="20"/>
              </w:rPr>
              <w:t>Incremental QALY</w:t>
            </w:r>
          </w:p>
        </w:tc>
        <w:tc>
          <w:tcPr>
            <w:tcW w:w="1134" w:type="dxa"/>
            <w:shd w:val="clear" w:color="auto" w:fill="auto"/>
            <w:tcMar>
              <w:left w:w="28" w:type="dxa"/>
              <w:right w:w="28" w:type="dxa"/>
            </w:tcMar>
          </w:tcPr>
          <w:p w:rsidR="005E7102" w:rsidRPr="003A3555" w:rsidRDefault="005E7102" w:rsidP="00476EE6">
            <w:pPr>
              <w:pStyle w:val="Tabletext"/>
              <w:keepNext/>
              <w:jc w:val="center"/>
              <w:rPr>
                <w:b/>
                <w:color w:val="000000" w:themeColor="text1"/>
                <w:szCs w:val="20"/>
              </w:rPr>
            </w:pPr>
            <w:r w:rsidRPr="003A3555">
              <w:rPr>
                <w:b/>
                <w:color w:val="000000" w:themeColor="text1"/>
                <w:szCs w:val="20"/>
              </w:rPr>
              <w:t>ICER</w:t>
            </w:r>
          </w:p>
        </w:tc>
      </w:tr>
      <w:tr w:rsidR="005E7102" w:rsidRPr="003A3555" w:rsidTr="006B758C">
        <w:tc>
          <w:tcPr>
            <w:tcW w:w="5665" w:type="dxa"/>
            <w:shd w:val="clear" w:color="auto" w:fill="auto"/>
            <w:tcMar>
              <w:left w:w="28" w:type="dxa"/>
              <w:right w:w="28" w:type="dxa"/>
            </w:tcMar>
          </w:tcPr>
          <w:p w:rsidR="005E7102" w:rsidRPr="003A3555" w:rsidRDefault="005E7102" w:rsidP="00476EE6">
            <w:pPr>
              <w:pStyle w:val="Tabletext"/>
              <w:tabs>
                <w:tab w:val="left" w:pos="142"/>
              </w:tabs>
              <w:rPr>
                <w:b/>
                <w:color w:val="000000" w:themeColor="text1"/>
                <w:szCs w:val="20"/>
              </w:rPr>
            </w:pPr>
            <w:r w:rsidRPr="003A3555">
              <w:rPr>
                <w:b/>
                <w:color w:val="000000" w:themeColor="text1"/>
                <w:szCs w:val="20"/>
              </w:rPr>
              <w:t>Base case</w:t>
            </w:r>
          </w:p>
        </w:tc>
        <w:tc>
          <w:tcPr>
            <w:tcW w:w="1131" w:type="dxa"/>
            <w:shd w:val="clear" w:color="auto" w:fill="auto"/>
            <w:tcMar>
              <w:left w:w="28" w:type="dxa"/>
              <w:right w:w="28" w:type="dxa"/>
            </w:tcMar>
          </w:tcPr>
          <w:p w:rsidR="005E7102" w:rsidRPr="001D6F6D" w:rsidRDefault="001D6F6D" w:rsidP="00476EE6">
            <w:pPr>
              <w:pStyle w:val="Tabletext"/>
              <w:jc w:val="center"/>
              <w:rPr>
                <w:b/>
                <w:color w:val="000000" w:themeColor="text1"/>
                <w:szCs w:val="20"/>
                <w:highlight w:val="black"/>
              </w:rPr>
            </w:pPr>
            <w:r>
              <w:rPr>
                <w:noProof/>
                <w:color w:val="000000"/>
                <w:szCs w:val="20"/>
                <w:highlight w:val="black"/>
              </w:rPr>
              <w:t>'''''''''''''''''''</w:t>
            </w:r>
          </w:p>
        </w:tc>
        <w:tc>
          <w:tcPr>
            <w:tcW w:w="1137" w:type="dxa"/>
            <w:shd w:val="clear" w:color="auto" w:fill="auto"/>
            <w:tcMar>
              <w:left w:w="28" w:type="dxa"/>
              <w:right w:w="28" w:type="dxa"/>
            </w:tcMar>
          </w:tcPr>
          <w:p w:rsidR="005E7102" w:rsidRPr="003A3555" w:rsidRDefault="005E7102" w:rsidP="00476EE6">
            <w:pPr>
              <w:pStyle w:val="Tabletext"/>
              <w:jc w:val="center"/>
              <w:rPr>
                <w:b/>
                <w:color w:val="000000" w:themeColor="text1"/>
                <w:szCs w:val="20"/>
              </w:rPr>
            </w:pPr>
            <w:r w:rsidRPr="003A3555">
              <w:rPr>
                <w:color w:val="000000" w:themeColor="text1"/>
                <w:szCs w:val="20"/>
              </w:rPr>
              <w:t>1.74</w:t>
            </w:r>
          </w:p>
        </w:tc>
        <w:tc>
          <w:tcPr>
            <w:tcW w:w="1134" w:type="dxa"/>
            <w:shd w:val="clear" w:color="auto" w:fill="auto"/>
            <w:tcMar>
              <w:left w:w="28" w:type="dxa"/>
              <w:right w:w="28" w:type="dxa"/>
            </w:tcMar>
          </w:tcPr>
          <w:p w:rsidR="005E7102" w:rsidRPr="001D6F6D" w:rsidRDefault="001D6F6D" w:rsidP="00476EE6">
            <w:pPr>
              <w:pStyle w:val="Tabletext"/>
              <w:jc w:val="center"/>
              <w:rPr>
                <w:b/>
                <w:color w:val="000000" w:themeColor="text1"/>
                <w:szCs w:val="20"/>
                <w:highlight w:val="black"/>
              </w:rPr>
            </w:pPr>
            <w:r>
              <w:rPr>
                <w:noProof/>
                <w:color w:val="000000"/>
                <w:szCs w:val="20"/>
                <w:highlight w:val="black"/>
              </w:rPr>
              <w:t>'''''''''''''''''''</w:t>
            </w:r>
          </w:p>
        </w:tc>
      </w:tr>
      <w:tr w:rsidR="005E7102" w:rsidRPr="003A3555" w:rsidTr="006B758C">
        <w:tc>
          <w:tcPr>
            <w:tcW w:w="5665" w:type="dxa"/>
            <w:tcBorders>
              <w:bottom w:val="single" w:sz="4" w:space="0" w:color="auto"/>
            </w:tcBorders>
            <w:shd w:val="clear" w:color="auto" w:fill="auto"/>
            <w:tcMar>
              <w:left w:w="28" w:type="dxa"/>
              <w:right w:w="28" w:type="dxa"/>
            </w:tcMar>
          </w:tcPr>
          <w:p w:rsidR="005E7102" w:rsidRPr="00401CF2" w:rsidRDefault="005E7102" w:rsidP="00476EE6">
            <w:pPr>
              <w:pStyle w:val="Tabletext"/>
              <w:tabs>
                <w:tab w:val="left" w:pos="142"/>
              </w:tabs>
              <w:rPr>
                <w:color w:val="000000" w:themeColor="text1"/>
                <w:szCs w:val="20"/>
              </w:rPr>
            </w:pPr>
            <w:proofErr w:type="spellStart"/>
            <w:r w:rsidRPr="00401CF2">
              <w:rPr>
                <w:color w:val="000000" w:themeColor="text1"/>
                <w:szCs w:val="20"/>
              </w:rPr>
              <w:t>Lenalidomide</w:t>
            </w:r>
            <w:proofErr w:type="spellEnd"/>
            <w:r w:rsidRPr="00401CF2">
              <w:rPr>
                <w:color w:val="000000" w:themeColor="text1"/>
                <w:szCs w:val="20"/>
              </w:rPr>
              <w:t xml:space="preserve"> effective price</w:t>
            </w:r>
            <w:r w:rsidR="00CD0010">
              <w:rPr>
                <w:color w:val="000000" w:themeColor="text1"/>
                <w:szCs w:val="20"/>
              </w:rPr>
              <w:t>s</w:t>
            </w:r>
            <w:r w:rsidRPr="00401CF2">
              <w:rPr>
                <w:color w:val="000000" w:themeColor="text1"/>
                <w:szCs w:val="20"/>
              </w:rPr>
              <w:t xml:space="preserve"> for NDMM (provided by </w:t>
            </w:r>
            <w:proofErr w:type="spellStart"/>
            <w:r w:rsidR="00D84529" w:rsidRPr="00401CF2">
              <w:rPr>
                <w:color w:val="000000" w:themeColor="text1"/>
                <w:szCs w:val="20"/>
              </w:rPr>
              <w:t>DoH</w:t>
            </w:r>
            <w:proofErr w:type="spellEnd"/>
            <w:r w:rsidRPr="00401CF2">
              <w:rPr>
                <w:color w:val="000000" w:themeColor="text1"/>
                <w:szCs w:val="20"/>
              </w:rPr>
              <w:t>)</w:t>
            </w:r>
            <w:r w:rsidRPr="00401CF2">
              <w:rPr>
                <w:color w:val="000000" w:themeColor="text1"/>
                <w:szCs w:val="20"/>
                <w:vertAlign w:val="superscript"/>
              </w:rPr>
              <w:t>a</w:t>
            </w:r>
          </w:p>
          <w:p w:rsidR="005E7102" w:rsidRPr="00401CF2" w:rsidRDefault="005E7102" w:rsidP="00476EE6">
            <w:pPr>
              <w:pStyle w:val="Tabletext"/>
              <w:tabs>
                <w:tab w:val="left" w:pos="142"/>
              </w:tabs>
              <w:rPr>
                <w:color w:val="000000" w:themeColor="text1"/>
                <w:szCs w:val="20"/>
              </w:rPr>
            </w:pPr>
            <w:r w:rsidRPr="00401CF2">
              <w:rPr>
                <w:color w:val="000000" w:themeColor="text1"/>
                <w:szCs w:val="20"/>
              </w:rPr>
              <w:t>5</w:t>
            </w:r>
            <w:r w:rsidR="009B4062" w:rsidRPr="00401CF2">
              <w:rPr>
                <w:color w:val="000000" w:themeColor="text1"/>
                <w:szCs w:val="20"/>
              </w:rPr>
              <w:t xml:space="preserve"> </w:t>
            </w:r>
            <w:r w:rsidRPr="00401CF2">
              <w:rPr>
                <w:color w:val="000000" w:themeColor="text1"/>
                <w:szCs w:val="20"/>
              </w:rPr>
              <w:t>mg – $</w:t>
            </w:r>
            <w:r w:rsidR="001D6F6D">
              <w:rPr>
                <w:noProof/>
                <w:color w:val="000000"/>
                <w:szCs w:val="20"/>
                <w:highlight w:val="black"/>
              </w:rPr>
              <w:t>'''''''''''''''''''</w:t>
            </w:r>
            <w:r w:rsidRPr="00401CF2">
              <w:rPr>
                <w:color w:val="000000" w:themeColor="text1"/>
                <w:szCs w:val="20"/>
              </w:rPr>
              <w:t>; 10 mg – $</w:t>
            </w:r>
            <w:r w:rsidR="001D6F6D">
              <w:rPr>
                <w:noProof/>
                <w:color w:val="000000"/>
                <w:szCs w:val="20"/>
                <w:highlight w:val="black"/>
              </w:rPr>
              <w:t>'''''''''''''''''''''''</w:t>
            </w:r>
            <w:r w:rsidRPr="00401CF2">
              <w:rPr>
                <w:color w:val="000000" w:themeColor="text1"/>
                <w:szCs w:val="20"/>
              </w:rPr>
              <w:t>; 15 mg - $</w:t>
            </w:r>
            <w:r w:rsidR="001D6F6D">
              <w:rPr>
                <w:noProof/>
                <w:color w:val="000000"/>
                <w:szCs w:val="20"/>
                <w:highlight w:val="black"/>
              </w:rPr>
              <w:t>''''''''''''''''''''''</w:t>
            </w:r>
          </w:p>
        </w:tc>
        <w:tc>
          <w:tcPr>
            <w:tcW w:w="1131" w:type="dxa"/>
            <w:tcBorders>
              <w:bottom w:val="single" w:sz="4" w:space="0" w:color="auto"/>
            </w:tcBorders>
            <w:shd w:val="clear" w:color="auto" w:fill="auto"/>
            <w:tcMar>
              <w:left w:w="28" w:type="dxa"/>
              <w:right w:w="28" w:type="dxa"/>
            </w:tcMar>
            <w:vAlign w:val="bottom"/>
          </w:tcPr>
          <w:p w:rsidR="005E7102" w:rsidRPr="001D6F6D" w:rsidRDefault="001D6F6D" w:rsidP="00476EE6">
            <w:pPr>
              <w:pStyle w:val="Tabletext"/>
              <w:jc w:val="center"/>
              <w:rPr>
                <w:color w:val="000000" w:themeColor="text1"/>
                <w:szCs w:val="20"/>
                <w:highlight w:val="black"/>
              </w:rPr>
            </w:pPr>
            <w:r>
              <w:rPr>
                <w:rFonts w:eastAsia="SimSun"/>
                <w:noProof/>
                <w:color w:val="000000"/>
                <w:szCs w:val="20"/>
                <w:highlight w:val="black"/>
                <w:lang w:eastAsia="en-AU"/>
              </w:rPr>
              <w:t>''''''''''''''''''</w:t>
            </w:r>
          </w:p>
        </w:tc>
        <w:tc>
          <w:tcPr>
            <w:tcW w:w="1137" w:type="dxa"/>
            <w:tcBorders>
              <w:bottom w:val="single" w:sz="4" w:space="0" w:color="auto"/>
            </w:tcBorders>
            <w:shd w:val="clear" w:color="auto" w:fill="auto"/>
            <w:tcMar>
              <w:left w:w="28" w:type="dxa"/>
              <w:right w:w="28" w:type="dxa"/>
            </w:tcMar>
            <w:vAlign w:val="bottom"/>
          </w:tcPr>
          <w:p w:rsidR="005E7102" w:rsidRPr="00401CF2" w:rsidRDefault="005E7102" w:rsidP="00476EE6">
            <w:pPr>
              <w:pStyle w:val="Tabletext"/>
              <w:jc w:val="center"/>
              <w:rPr>
                <w:color w:val="000000" w:themeColor="text1"/>
                <w:szCs w:val="20"/>
              </w:rPr>
            </w:pPr>
            <w:r w:rsidRPr="00401CF2">
              <w:rPr>
                <w:color w:val="000000" w:themeColor="text1"/>
                <w:szCs w:val="20"/>
              </w:rPr>
              <w:t>1.74</w:t>
            </w:r>
          </w:p>
        </w:tc>
        <w:tc>
          <w:tcPr>
            <w:tcW w:w="1134" w:type="dxa"/>
            <w:tcBorders>
              <w:bottom w:val="single" w:sz="4" w:space="0" w:color="auto"/>
            </w:tcBorders>
            <w:shd w:val="clear" w:color="auto" w:fill="auto"/>
            <w:tcMar>
              <w:left w:w="28" w:type="dxa"/>
              <w:right w:w="28" w:type="dxa"/>
            </w:tcMar>
            <w:vAlign w:val="bottom"/>
          </w:tcPr>
          <w:p w:rsidR="005E7102" w:rsidRPr="001D6F6D" w:rsidRDefault="001D6F6D" w:rsidP="00476EE6">
            <w:pPr>
              <w:pStyle w:val="Tabletext"/>
              <w:jc w:val="center"/>
              <w:rPr>
                <w:color w:val="000000" w:themeColor="text1"/>
                <w:szCs w:val="20"/>
                <w:highlight w:val="black"/>
              </w:rPr>
            </w:pPr>
            <w:r>
              <w:rPr>
                <w:noProof/>
                <w:color w:val="000000"/>
                <w:szCs w:val="20"/>
                <w:highlight w:val="black"/>
              </w:rPr>
              <w:t>''''''''''''''''''''</w:t>
            </w:r>
          </w:p>
        </w:tc>
      </w:tr>
      <w:tr w:rsidR="005E7102" w:rsidRPr="003A3555" w:rsidTr="006B758C">
        <w:tc>
          <w:tcPr>
            <w:tcW w:w="5665" w:type="dxa"/>
            <w:tcBorders>
              <w:bottom w:val="nil"/>
            </w:tcBorders>
            <w:shd w:val="clear" w:color="auto" w:fill="auto"/>
            <w:tcMar>
              <w:left w:w="28" w:type="dxa"/>
              <w:right w:w="28" w:type="dxa"/>
            </w:tcMar>
          </w:tcPr>
          <w:p w:rsidR="005E7102" w:rsidRPr="00401CF2" w:rsidRDefault="005E7102" w:rsidP="00476EE6">
            <w:pPr>
              <w:pStyle w:val="Tabletext"/>
              <w:tabs>
                <w:tab w:val="left" w:pos="142"/>
              </w:tabs>
              <w:rPr>
                <w:color w:val="000000" w:themeColor="text1"/>
                <w:szCs w:val="20"/>
              </w:rPr>
            </w:pPr>
            <w:r w:rsidRPr="00401CF2">
              <w:rPr>
                <w:color w:val="000000" w:themeColor="text1"/>
                <w:szCs w:val="20"/>
              </w:rPr>
              <w:t>Time horizon (base case 15 years)</w:t>
            </w:r>
          </w:p>
          <w:p w:rsidR="005E7102" w:rsidRPr="00401CF2" w:rsidRDefault="005E7102" w:rsidP="00476EE6">
            <w:pPr>
              <w:pStyle w:val="Tabletext"/>
              <w:tabs>
                <w:tab w:val="left" w:pos="142"/>
              </w:tabs>
              <w:jc w:val="right"/>
              <w:rPr>
                <w:color w:val="000000" w:themeColor="text1"/>
                <w:szCs w:val="20"/>
              </w:rPr>
            </w:pPr>
            <w:r w:rsidRPr="00401CF2">
              <w:rPr>
                <w:color w:val="000000" w:themeColor="text1"/>
                <w:szCs w:val="20"/>
              </w:rPr>
              <w:t xml:space="preserve">6 </w:t>
            </w:r>
            <w:proofErr w:type="spellStart"/>
            <w:r w:rsidRPr="00401CF2">
              <w:rPr>
                <w:color w:val="000000" w:themeColor="text1"/>
                <w:szCs w:val="20"/>
              </w:rPr>
              <w:t>years</w:t>
            </w:r>
            <w:r w:rsidRPr="00401CF2">
              <w:rPr>
                <w:color w:val="000000" w:themeColor="text1"/>
                <w:szCs w:val="20"/>
                <w:vertAlign w:val="superscript"/>
              </w:rPr>
              <w:t>b</w:t>
            </w:r>
            <w:proofErr w:type="spellEnd"/>
          </w:p>
        </w:tc>
        <w:tc>
          <w:tcPr>
            <w:tcW w:w="1131" w:type="dxa"/>
            <w:tcBorders>
              <w:bottom w:val="nil"/>
            </w:tcBorders>
            <w:shd w:val="clear" w:color="auto" w:fill="auto"/>
            <w:tcMar>
              <w:left w:w="28" w:type="dxa"/>
              <w:right w:w="28" w:type="dxa"/>
            </w:tcMar>
            <w:vAlign w:val="bottom"/>
          </w:tcPr>
          <w:p w:rsidR="005E7102" w:rsidRPr="001D6F6D" w:rsidRDefault="001D6F6D" w:rsidP="00476EE6">
            <w:pPr>
              <w:pStyle w:val="Tabletext"/>
              <w:jc w:val="center"/>
              <w:rPr>
                <w:rFonts w:eastAsia="SimSun"/>
                <w:color w:val="000000" w:themeColor="text1"/>
                <w:szCs w:val="20"/>
                <w:highlight w:val="black"/>
                <w:lang w:eastAsia="en-AU"/>
              </w:rPr>
            </w:pPr>
            <w:r>
              <w:rPr>
                <w:rFonts w:eastAsia="SimSun"/>
                <w:noProof/>
                <w:color w:val="000000"/>
                <w:szCs w:val="20"/>
                <w:highlight w:val="black"/>
                <w:lang w:eastAsia="en-AU"/>
              </w:rPr>
              <w:t>'''''''''''''''''''</w:t>
            </w:r>
          </w:p>
        </w:tc>
        <w:tc>
          <w:tcPr>
            <w:tcW w:w="1137" w:type="dxa"/>
            <w:tcBorders>
              <w:bottom w:val="nil"/>
            </w:tcBorders>
            <w:shd w:val="clear" w:color="auto" w:fill="auto"/>
            <w:tcMar>
              <w:left w:w="28" w:type="dxa"/>
              <w:right w:w="28" w:type="dxa"/>
            </w:tcMar>
            <w:vAlign w:val="bottom"/>
          </w:tcPr>
          <w:p w:rsidR="005E7102" w:rsidRPr="00401CF2" w:rsidRDefault="005E7102" w:rsidP="00476EE6">
            <w:pPr>
              <w:pStyle w:val="Tabletext"/>
              <w:jc w:val="center"/>
              <w:rPr>
                <w:color w:val="000000" w:themeColor="text1"/>
                <w:szCs w:val="20"/>
              </w:rPr>
            </w:pPr>
            <w:r w:rsidRPr="00401CF2">
              <w:rPr>
                <w:color w:val="000000" w:themeColor="text1"/>
                <w:szCs w:val="20"/>
              </w:rPr>
              <w:t>0.41</w:t>
            </w:r>
          </w:p>
        </w:tc>
        <w:tc>
          <w:tcPr>
            <w:tcW w:w="1134" w:type="dxa"/>
            <w:tcBorders>
              <w:bottom w:val="nil"/>
            </w:tcBorders>
            <w:shd w:val="clear" w:color="auto" w:fill="auto"/>
            <w:tcMar>
              <w:left w:w="28" w:type="dxa"/>
              <w:right w:w="28" w:type="dxa"/>
            </w:tcMar>
            <w:vAlign w:val="bottom"/>
          </w:tcPr>
          <w:p w:rsidR="005E7102" w:rsidRPr="001D6F6D" w:rsidRDefault="001D6F6D" w:rsidP="00476EE6">
            <w:pPr>
              <w:pStyle w:val="Tabletext"/>
              <w:jc w:val="center"/>
              <w:rPr>
                <w:color w:val="000000" w:themeColor="text1"/>
                <w:szCs w:val="20"/>
                <w:highlight w:val="black"/>
              </w:rPr>
            </w:pPr>
            <w:r>
              <w:rPr>
                <w:noProof/>
                <w:color w:val="000000"/>
                <w:szCs w:val="20"/>
                <w:highlight w:val="black"/>
              </w:rPr>
              <w:t>'''''''''''''''''''''''</w:t>
            </w:r>
          </w:p>
        </w:tc>
      </w:tr>
      <w:tr w:rsidR="005E7102" w:rsidRPr="003A3555" w:rsidTr="006B758C">
        <w:tc>
          <w:tcPr>
            <w:tcW w:w="5665" w:type="dxa"/>
            <w:tcBorders>
              <w:top w:val="nil"/>
              <w:bottom w:val="nil"/>
            </w:tcBorders>
            <w:shd w:val="clear" w:color="auto" w:fill="auto"/>
            <w:tcMar>
              <w:left w:w="28" w:type="dxa"/>
              <w:right w:w="28" w:type="dxa"/>
            </w:tcMar>
          </w:tcPr>
          <w:p w:rsidR="005E7102" w:rsidRPr="00401CF2" w:rsidRDefault="005E7102" w:rsidP="00476EE6">
            <w:pPr>
              <w:pStyle w:val="Tabletext"/>
              <w:tabs>
                <w:tab w:val="left" w:pos="142"/>
              </w:tabs>
              <w:jc w:val="right"/>
              <w:rPr>
                <w:color w:val="000000" w:themeColor="text1"/>
                <w:szCs w:val="20"/>
              </w:rPr>
            </w:pPr>
            <w:r w:rsidRPr="00401CF2">
              <w:rPr>
                <w:color w:val="000000" w:themeColor="text1"/>
                <w:szCs w:val="20"/>
              </w:rPr>
              <w:t>10 years</w:t>
            </w:r>
          </w:p>
        </w:tc>
        <w:tc>
          <w:tcPr>
            <w:tcW w:w="1131" w:type="dxa"/>
            <w:tcBorders>
              <w:top w:val="nil"/>
              <w:bottom w:val="nil"/>
            </w:tcBorders>
            <w:shd w:val="clear" w:color="auto" w:fill="auto"/>
            <w:tcMar>
              <w:left w:w="28" w:type="dxa"/>
              <w:right w:w="28" w:type="dxa"/>
            </w:tcMar>
          </w:tcPr>
          <w:p w:rsidR="005E7102" w:rsidRPr="001D6F6D" w:rsidRDefault="001D6F6D" w:rsidP="00476EE6">
            <w:pPr>
              <w:pStyle w:val="Tabletext"/>
              <w:jc w:val="center"/>
              <w:rPr>
                <w:color w:val="000000" w:themeColor="text1"/>
                <w:szCs w:val="20"/>
                <w:highlight w:val="black"/>
              </w:rPr>
            </w:pPr>
            <w:r>
              <w:rPr>
                <w:noProof/>
                <w:color w:val="000000"/>
                <w:szCs w:val="20"/>
                <w:highlight w:val="black"/>
              </w:rPr>
              <w:t>'''''''''''''''''''</w:t>
            </w:r>
          </w:p>
        </w:tc>
        <w:tc>
          <w:tcPr>
            <w:tcW w:w="1137" w:type="dxa"/>
            <w:tcBorders>
              <w:top w:val="nil"/>
              <w:bottom w:val="nil"/>
            </w:tcBorders>
            <w:shd w:val="clear" w:color="auto" w:fill="auto"/>
            <w:tcMar>
              <w:left w:w="28" w:type="dxa"/>
              <w:right w:w="28" w:type="dxa"/>
            </w:tcMar>
          </w:tcPr>
          <w:p w:rsidR="005E7102" w:rsidRPr="00401CF2" w:rsidRDefault="005E7102" w:rsidP="00476EE6">
            <w:pPr>
              <w:pStyle w:val="Tabletext"/>
              <w:jc w:val="center"/>
              <w:rPr>
                <w:color w:val="000000" w:themeColor="text1"/>
                <w:szCs w:val="20"/>
              </w:rPr>
            </w:pPr>
            <w:r w:rsidRPr="00401CF2">
              <w:rPr>
                <w:color w:val="000000" w:themeColor="text1"/>
                <w:szCs w:val="20"/>
              </w:rPr>
              <w:t>1.06</w:t>
            </w:r>
          </w:p>
        </w:tc>
        <w:tc>
          <w:tcPr>
            <w:tcW w:w="1134" w:type="dxa"/>
            <w:tcBorders>
              <w:top w:val="nil"/>
              <w:bottom w:val="nil"/>
            </w:tcBorders>
            <w:shd w:val="clear" w:color="auto" w:fill="auto"/>
            <w:tcMar>
              <w:left w:w="28" w:type="dxa"/>
              <w:right w:w="28" w:type="dxa"/>
            </w:tcMar>
          </w:tcPr>
          <w:p w:rsidR="005E7102" w:rsidRPr="001D6F6D" w:rsidRDefault="001D6F6D" w:rsidP="00476EE6">
            <w:pPr>
              <w:pStyle w:val="Tabletext"/>
              <w:jc w:val="center"/>
              <w:rPr>
                <w:color w:val="000000" w:themeColor="text1"/>
                <w:szCs w:val="20"/>
                <w:highlight w:val="black"/>
              </w:rPr>
            </w:pPr>
            <w:r>
              <w:rPr>
                <w:noProof/>
                <w:color w:val="000000"/>
                <w:szCs w:val="20"/>
                <w:highlight w:val="black"/>
              </w:rPr>
              <w:t>''''''''''''''''''</w:t>
            </w:r>
          </w:p>
        </w:tc>
      </w:tr>
      <w:tr w:rsidR="005E7102" w:rsidRPr="003A3555" w:rsidTr="006B758C">
        <w:tc>
          <w:tcPr>
            <w:tcW w:w="5665" w:type="dxa"/>
            <w:tcBorders>
              <w:top w:val="nil"/>
              <w:bottom w:val="nil"/>
            </w:tcBorders>
            <w:shd w:val="clear" w:color="auto" w:fill="auto"/>
            <w:tcMar>
              <w:left w:w="28" w:type="dxa"/>
              <w:right w:w="28" w:type="dxa"/>
            </w:tcMar>
          </w:tcPr>
          <w:p w:rsidR="005E7102" w:rsidRPr="00401CF2" w:rsidRDefault="005E7102" w:rsidP="00476EE6">
            <w:pPr>
              <w:pStyle w:val="Tabletext"/>
              <w:tabs>
                <w:tab w:val="left" w:pos="142"/>
              </w:tabs>
              <w:jc w:val="right"/>
              <w:rPr>
                <w:color w:val="000000" w:themeColor="text1"/>
                <w:szCs w:val="20"/>
              </w:rPr>
            </w:pPr>
            <w:r w:rsidRPr="00401CF2">
              <w:rPr>
                <w:color w:val="000000" w:themeColor="text1"/>
                <w:szCs w:val="20"/>
              </w:rPr>
              <w:t>20 years</w:t>
            </w:r>
          </w:p>
        </w:tc>
        <w:tc>
          <w:tcPr>
            <w:tcW w:w="1131" w:type="dxa"/>
            <w:tcBorders>
              <w:top w:val="nil"/>
              <w:bottom w:val="nil"/>
            </w:tcBorders>
            <w:shd w:val="clear" w:color="auto" w:fill="auto"/>
            <w:tcMar>
              <w:left w:w="28" w:type="dxa"/>
              <w:right w:w="28" w:type="dxa"/>
            </w:tcMar>
          </w:tcPr>
          <w:p w:rsidR="005E7102" w:rsidRPr="001D6F6D" w:rsidRDefault="001D6F6D" w:rsidP="00476EE6">
            <w:pPr>
              <w:pStyle w:val="Tabletext"/>
              <w:jc w:val="center"/>
              <w:rPr>
                <w:color w:val="000000" w:themeColor="text1"/>
                <w:szCs w:val="20"/>
                <w:highlight w:val="black"/>
              </w:rPr>
            </w:pPr>
            <w:r>
              <w:rPr>
                <w:noProof/>
                <w:color w:val="000000"/>
                <w:szCs w:val="20"/>
                <w:highlight w:val="black"/>
              </w:rPr>
              <w:t>'''''''''''''''''''</w:t>
            </w:r>
          </w:p>
        </w:tc>
        <w:tc>
          <w:tcPr>
            <w:tcW w:w="1137" w:type="dxa"/>
            <w:tcBorders>
              <w:top w:val="nil"/>
              <w:bottom w:val="nil"/>
            </w:tcBorders>
            <w:shd w:val="clear" w:color="auto" w:fill="auto"/>
            <w:tcMar>
              <w:left w:w="28" w:type="dxa"/>
              <w:right w:w="28" w:type="dxa"/>
            </w:tcMar>
          </w:tcPr>
          <w:p w:rsidR="005E7102" w:rsidRPr="00401CF2" w:rsidRDefault="005E7102" w:rsidP="00476EE6">
            <w:pPr>
              <w:pStyle w:val="Tabletext"/>
              <w:jc w:val="center"/>
              <w:rPr>
                <w:color w:val="000000" w:themeColor="text1"/>
                <w:szCs w:val="20"/>
              </w:rPr>
            </w:pPr>
            <w:r w:rsidRPr="00401CF2">
              <w:rPr>
                <w:color w:val="000000" w:themeColor="text1"/>
                <w:szCs w:val="20"/>
              </w:rPr>
              <w:t>2.13</w:t>
            </w:r>
          </w:p>
        </w:tc>
        <w:tc>
          <w:tcPr>
            <w:tcW w:w="1134" w:type="dxa"/>
            <w:tcBorders>
              <w:top w:val="nil"/>
              <w:bottom w:val="nil"/>
            </w:tcBorders>
            <w:shd w:val="clear" w:color="auto" w:fill="auto"/>
            <w:tcMar>
              <w:left w:w="28" w:type="dxa"/>
              <w:right w:w="28" w:type="dxa"/>
            </w:tcMar>
          </w:tcPr>
          <w:p w:rsidR="005E7102" w:rsidRPr="001D6F6D" w:rsidRDefault="001D6F6D" w:rsidP="00476EE6">
            <w:pPr>
              <w:pStyle w:val="Tabletext"/>
              <w:jc w:val="center"/>
              <w:rPr>
                <w:color w:val="000000" w:themeColor="text1"/>
                <w:szCs w:val="20"/>
                <w:highlight w:val="black"/>
              </w:rPr>
            </w:pPr>
            <w:r>
              <w:rPr>
                <w:noProof/>
                <w:color w:val="000000"/>
                <w:szCs w:val="20"/>
                <w:highlight w:val="black"/>
              </w:rPr>
              <w:t>'''''''''''''''''''</w:t>
            </w:r>
          </w:p>
        </w:tc>
      </w:tr>
      <w:tr w:rsidR="005E7102" w:rsidRPr="003A3555" w:rsidTr="006B758C">
        <w:tc>
          <w:tcPr>
            <w:tcW w:w="5665" w:type="dxa"/>
            <w:shd w:val="clear" w:color="auto" w:fill="auto"/>
            <w:tcMar>
              <w:left w:w="28" w:type="dxa"/>
              <w:right w:w="28" w:type="dxa"/>
            </w:tcMar>
          </w:tcPr>
          <w:p w:rsidR="00977E5E" w:rsidRDefault="005E7102" w:rsidP="00476EE6">
            <w:pPr>
              <w:pStyle w:val="Tabletext"/>
              <w:tabs>
                <w:tab w:val="left" w:pos="142"/>
              </w:tabs>
              <w:rPr>
                <w:color w:val="000000" w:themeColor="text1"/>
                <w:szCs w:val="20"/>
              </w:rPr>
            </w:pPr>
            <w:r w:rsidRPr="00401CF2">
              <w:rPr>
                <w:color w:val="000000" w:themeColor="text1"/>
                <w:szCs w:val="20"/>
              </w:rPr>
              <w:t xml:space="preserve">Efficacy source (base case OS, PFS and </w:t>
            </w:r>
            <w:proofErr w:type="spellStart"/>
            <w:r w:rsidRPr="00401CF2">
              <w:rPr>
                <w:color w:val="000000" w:themeColor="text1"/>
                <w:szCs w:val="20"/>
              </w:rPr>
              <w:t>ToT</w:t>
            </w:r>
            <w:proofErr w:type="spellEnd"/>
            <w:r w:rsidRPr="00401CF2">
              <w:rPr>
                <w:color w:val="000000" w:themeColor="text1"/>
                <w:szCs w:val="20"/>
              </w:rPr>
              <w:t xml:space="preserve"> data from CALGB)</w:t>
            </w:r>
            <w:r w:rsidR="009B4062" w:rsidRPr="00401CF2">
              <w:rPr>
                <w:color w:val="000000" w:themeColor="text1"/>
                <w:szCs w:val="20"/>
              </w:rPr>
              <w:t xml:space="preserve"> </w:t>
            </w:r>
          </w:p>
          <w:p w:rsidR="005E7102" w:rsidRPr="00401CF2" w:rsidRDefault="005E7102" w:rsidP="00476EE6">
            <w:pPr>
              <w:pStyle w:val="Tabletext"/>
              <w:tabs>
                <w:tab w:val="left" w:pos="142"/>
              </w:tabs>
              <w:jc w:val="right"/>
              <w:rPr>
                <w:color w:val="000000" w:themeColor="text1"/>
                <w:szCs w:val="20"/>
              </w:rPr>
            </w:pPr>
            <w:r w:rsidRPr="00401CF2">
              <w:rPr>
                <w:color w:val="000000" w:themeColor="text1"/>
                <w:szCs w:val="20"/>
              </w:rPr>
              <w:t>P</w:t>
            </w:r>
            <w:r w:rsidR="00C60F2C">
              <w:rPr>
                <w:color w:val="000000" w:themeColor="text1"/>
                <w:szCs w:val="20"/>
              </w:rPr>
              <w:t>ooled trial dataset (CALGB, IFM</w:t>
            </w:r>
            <w:r w:rsidRPr="00401CF2">
              <w:rPr>
                <w:color w:val="000000" w:themeColor="text1"/>
                <w:szCs w:val="20"/>
              </w:rPr>
              <w:t>2005</w:t>
            </w:r>
            <w:r w:rsidRPr="00401CF2">
              <w:rPr>
                <w:color w:val="000000" w:themeColor="text1"/>
                <w:szCs w:val="20"/>
              </w:rPr>
              <w:noBreakHyphen/>
              <w:t>02, GIMEMA)</w:t>
            </w:r>
          </w:p>
        </w:tc>
        <w:tc>
          <w:tcPr>
            <w:tcW w:w="1131" w:type="dxa"/>
            <w:shd w:val="clear" w:color="auto" w:fill="auto"/>
            <w:tcMar>
              <w:left w:w="28" w:type="dxa"/>
              <w:right w:w="28" w:type="dxa"/>
            </w:tcMar>
            <w:vAlign w:val="bottom"/>
          </w:tcPr>
          <w:p w:rsidR="005E7102" w:rsidRPr="001D6F6D" w:rsidRDefault="001D6F6D" w:rsidP="00476EE6">
            <w:pPr>
              <w:pStyle w:val="Tabletext"/>
              <w:jc w:val="center"/>
              <w:rPr>
                <w:color w:val="000000" w:themeColor="text1"/>
                <w:szCs w:val="20"/>
                <w:highlight w:val="black"/>
              </w:rPr>
            </w:pPr>
            <w:r>
              <w:rPr>
                <w:noProof/>
                <w:color w:val="000000"/>
                <w:szCs w:val="20"/>
                <w:highlight w:val="black"/>
              </w:rPr>
              <w:t>'''''''''''''''''</w:t>
            </w:r>
          </w:p>
        </w:tc>
        <w:tc>
          <w:tcPr>
            <w:tcW w:w="1137" w:type="dxa"/>
            <w:shd w:val="clear" w:color="auto" w:fill="auto"/>
            <w:tcMar>
              <w:left w:w="28" w:type="dxa"/>
              <w:right w:w="28" w:type="dxa"/>
            </w:tcMar>
            <w:vAlign w:val="bottom"/>
          </w:tcPr>
          <w:p w:rsidR="005E7102" w:rsidRPr="00401CF2" w:rsidRDefault="005E7102" w:rsidP="00476EE6">
            <w:pPr>
              <w:pStyle w:val="Tabletext"/>
              <w:jc w:val="center"/>
              <w:rPr>
                <w:color w:val="000000" w:themeColor="text1"/>
                <w:szCs w:val="20"/>
              </w:rPr>
            </w:pPr>
            <w:r w:rsidRPr="00401CF2">
              <w:rPr>
                <w:color w:val="000000" w:themeColor="text1"/>
                <w:szCs w:val="20"/>
              </w:rPr>
              <w:t>0.77</w:t>
            </w:r>
          </w:p>
        </w:tc>
        <w:tc>
          <w:tcPr>
            <w:tcW w:w="1134" w:type="dxa"/>
            <w:shd w:val="clear" w:color="auto" w:fill="auto"/>
            <w:tcMar>
              <w:left w:w="28" w:type="dxa"/>
              <w:right w:w="28" w:type="dxa"/>
            </w:tcMar>
            <w:vAlign w:val="bottom"/>
          </w:tcPr>
          <w:p w:rsidR="005E7102" w:rsidRPr="001D6F6D" w:rsidRDefault="001D6F6D" w:rsidP="00476EE6">
            <w:pPr>
              <w:pStyle w:val="Tabletext"/>
              <w:jc w:val="center"/>
              <w:rPr>
                <w:color w:val="000000" w:themeColor="text1"/>
                <w:szCs w:val="20"/>
                <w:highlight w:val="black"/>
              </w:rPr>
            </w:pPr>
            <w:r>
              <w:rPr>
                <w:noProof/>
                <w:color w:val="000000"/>
                <w:szCs w:val="20"/>
                <w:highlight w:val="black"/>
              </w:rPr>
              <w:t>''''''''''''''''''''</w:t>
            </w:r>
          </w:p>
        </w:tc>
      </w:tr>
      <w:tr w:rsidR="00826676" w:rsidRPr="003A3555" w:rsidTr="006B758C">
        <w:trPr>
          <w:trHeight w:val="688"/>
        </w:trPr>
        <w:tc>
          <w:tcPr>
            <w:tcW w:w="5665" w:type="dxa"/>
            <w:shd w:val="clear" w:color="auto" w:fill="auto"/>
            <w:tcMar>
              <w:left w:w="28" w:type="dxa"/>
              <w:right w:w="28" w:type="dxa"/>
            </w:tcMar>
          </w:tcPr>
          <w:p w:rsidR="00826676" w:rsidRPr="00401CF2" w:rsidRDefault="00826676" w:rsidP="00476EE6">
            <w:pPr>
              <w:pStyle w:val="Tabletext"/>
              <w:tabs>
                <w:tab w:val="left" w:pos="142"/>
              </w:tabs>
              <w:rPr>
                <w:color w:val="000000" w:themeColor="text1"/>
                <w:szCs w:val="20"/>
              </w:rPr>
            </w:pPr>
            <w:r w:rsidRPr="00401CF2">
              <w:rPr>
                <w:color w:val="000000" w:themeColor="text1"/>
                <w:szCs w:val="20"/>
              </w:rPr>
              <w:t>OS extrapolation (base case Weibull)</w:t>
            </w:r>
            <w:r w:rsidRPr="00401CF2">
              <w:rPr>
                <w:color w:val="000000" w:themeColor="text1"/>
                <w:szCs w:val="20"/>
                <w:vertAlign w:val="superscript"/>
              </w:rPr>
              <w:t>c</w:t>
            </w:r>
          </w:p>
          <w:p w:rsidR="00826676" w:rsidRPr="00401CF2" w:rsidRDefault="00826676" w:rsidP="00476EE6">
            <w:pPr>
              <w:pStyle w:val="Tabletext"/>
              <w:tabs>
                <w:tab w:val="left" w:pos="142"/>
              </w:tabs>
              <w:jc w:val="right"/>
              <w:rPr>
                <w:color w:val="000000" w:themeColor="text1"/>
                <w:szCs w:val="20"/>
              </w:rPr>
            </w:pPr>
            <w:r w:rsidRPr="00401CF2">
              <w:rPr>
                <w:color w:val="000000" w:themeColor="text1"/>
                <w:szCs w:val="20"/>
              </w:rPr>
              <w:t>Log-Logistic</w:t>
            </w:r>
          </w:p>
          <w:p w:rsidR="00826676" w:rsidRPr="00401CF2" w:rsidRDefault="00826676" w:rsidP="00476EE6">
            <w:pPr>
              <w:pStyle w:val="Tabletext"/>
              <w:tabs>
                <w:tab w:val="left" w:pos="142"/>
              </w:tabs>
              <w:jc w:val="right"/>
              <w:rPr>
                <w:color w:val="000000" w:themeColor="text1"/>
                <w:szCs w:val="20"/>
              </w:rPr>
            </w:pPr>
            <w:r w:rsidRPr="00401CF2">
              <w:rPr>
                <w:color w:val="000000" w:themeColor="text1"/>
                <w:szCs w:val="20"/>
              </w:rPr>
              <w:t>Log-Normal</w:t>
            </w:r>
          </w:p>
        </w:tc>
        <w:tc>
          <w:tcPr>
            <w:tcW w:w="1131" w:type="dxa"/>
            <w:shd w:val="clear" w:color="auto" w:fill="auto"/>
            <w:tcMar>
              <w:left w:w="28" w:type="dxa"/>
              <w:right w:w="28" w:type="dxa"/>
            </w:tcMar>
            <w:vAlign w:val="bottom"/>
          </w:tcPr>
          <w:p w:rsidR="00826676" w:rsidRPr="001D6F6D" w:rsidRDefault="001D6F6D" w:rsidP="00476EE6">
            <w:pPr>
              <w:widowControl/>
              <w:jc w:val="center"/>
              <w:rPr>
                <w:rFonts w:ascii="Arial Narrow" w:hAnsi="Arial Narrow"/>
                <w:snapToGrid/>
                <w:color w:val="000000" w:themeColor="text1"/>
                <w:sz w:val="20"/>
                <w:szCs w:val="20"/>
                <w:highlight w:val="black"/>
                <w:lang w:eastAsia="en-AU"/>
              </w:rPr>
            </w:pPr>
            <w:r>
              <w:rPr>
                <w:rFonts w:ascii="Arial Narrow" w:hAnsi="Arial Narrow"/>
                <w:noProof/>
                <w:color w:val="000000"/>
                <w:sz w:val="20"/>
                <w:szCs w:val="20"/>
                <w:highlight w:val="black"/>
              </w:rPr>
              <w:t>'''''''''''''''''''</w:t>
            </w:r>
          </w:p>
          <w:p w:rsidR="00826676" w:rsidRPr="001D6F6D" w:rsidRDefault="001D6F6D" w:rsidP="00476EE6">
            <w:pPr>
              <w:pStyle w:val="Tabletext"/>
              <w:jc w:val="center"/>
              <w:rPr>
                <w:color w:val="000000" w:themeColor="text1"/>
                <w:szCs w:val="20"/>
                <w:highlight w:val="black"/>
                <w:lang w:eastAsia="en-AU"/>
              </w:rPr>
            </w:pPr>
            <w:r>
              <w:rPr>
                <w:noProof/>
                <w:color w:val="000000"/>
                <w:szCs w:val="20"/>
                <w:highlight w:val="black"/>
              </w:rPr>
              <w:t>'''''''''''''''''''</w:t>
            </w:r>
          </w:p>
        </w:tc>
        <w:tc>
          <w:tcPr>
            <w:tcW w:w="1137" w:type="dxa"/>
            <w:shd w:val="clear" w:color="auto" w:fill="auto"/>
            <w:tcMar>
              <w:left w:w="28" w:type="dxa"/>
              <w:right w:w="28" w:type="dxa"/>
            </w:tcMar>
            <w:vAlign w:val="bottom"/>
          </w:tcPr>
          <w:p w:rsidR="00826676" w:rsidRPr="00401CF2" w:rsidRDefault="00826676" w:rsidP="00476EE6">
            <w:pPr>
              <w:pStyle w:val="Tabletext"/>
              <w:jc w:val="center"/>
              <w:rPr>
                <w:color w:val="000000" w:themeColor="text1"/>
                <w:szCs w:val="20"/>
              </w:rPr>
            </w:pPr>
            <w:r w:rsidRPr="00401CF2">
              <w:rPr>
                <w:color w:val="000000" w:themeColor="text1"/>
                <w:szCs w:val="20"/>
              </w:rPr>
              <w:t>1.54</w:t>
            </w:r>
          </w:p>
          <w:p w:rsidR="00826676" w:rsidRPr="00401CF2" w:rsidRDefault="00826676" w:rsidP="00476EE6">
            <w:pPr>
              <w:pStyle w:val="Tabletext"/>
              <w:jc w:val="center"/>
              <w:rPr>
                <w:color w:val="000000" w:themeColor="text1"/>
                <w:szCs w:val="20"/>
              </w:rPr>
            </w:pPr>
            <w:r w:rsidRPr="00401CF2">
              <w:rPr>
                <w:color w:val="000000" w:themeColor="text1"/>
                <w:szCs w:val="20"/>
              </w:rPr>
              <w:t>1.56</w:t>
            </w:r>
          </w:p>
        </w:tc>
        <w:tc>
          <w:tcPr>
            <w:tcW w:w="1134" w:type="dxa"/>
            <w:shd w:val="clear" w:color="auto" w:fill="auto"/>
            <w:tcMar>
              <w:left w:w="28" w:type="dxa"/>
              <w:right w:w="28" w:type="dxa"/>
            </w:tcMar>
            <w:vAlign w:val="bottom"/>
          </w:tcPr>
          <w:p w:rsidR="00826676" w:rsidRPr="001D6F6D" w:rsidRDefault="001D6F6D" w:rsidP="00476EE6">
            <w:pPr>
              <w:pStyle w:val="Tabletext"/>
              <w:jc w:val="center"/>
              <w:rPr>
                <w:color w:val="000000" w:themeColor="text1"/>
                <w:szCs w:val="20"/>
                <w:highlight w:val="black"/>
              </w:rPr>
            </w:pPr>
            <w:r>
              <w:rPr>
                <w:noProof/>
                <w:color w:val="000000"/>
                <w:szCs w:val="20"/>
                <w:highlight w:val="black"/>
              </w:rPr>
              <w:t>''''''''''''''''''</w:t>
            </w:r>
          </w:p>
          <w:p w:rsidR="00826676" w:rsidRPr="001D6F6D" w:rsidRDefault="001D6F6D" w:rsidP="00476EE6">
            <w:pPr>
              <w:pStyle w:val="Tabletext"/>
              <w:jc w:val="center"/>
              <w:rPr>
                <w:color w:val="000000" w:themeColor="text1"/>
                <w:szCs w:val="20"/>
                <w:highlight w:val="black"/>
              </w:rPr>
            </w:pPr>
            <w:r>
              <w:rPr>
                <w:noProof/>
                <w:color w:val="000000"/>
                <w:szCs w:val="20"/>
                <w:highlight w:val="black"/>
              </w:rPr>
              <w:t>''''''''''''''''''</w:t>
            </w:r>
          </w:p>
        </w:tc>
      </w:tr>
      <w:tr w:rsidR="005E7102" w:rsidRPr="003A3555" w:rsidTr="006B758C">
        <w:tc>
          <w:tcPr>
            <w:tcW w:w="5665" w:type="dxa"/>
            <w:shd w:val="clear" w:color="auto" w:fill="auto"/>
            <w:tcMar>
              <w:left w:w="28" w:type="dxa"/>
              <w:right w:w="28" w:type="dxa"/>
            </w:tcMar>
          </w:tcPr>
          <w:p w:rsidR="005E7102" w:rsidRPr="00401CF2" w:rsidRDefault="005E7102" w:rsidP="00476EE6">
            <w:pPr>
              <w:pStyle w:val="Tabletext"/>
              <w:tabs>
                <w:tab w:val="left" w:pos="142"/>
              </w:tabs>
              <w:rPr>
                <w:color w:val="000000" w:themeColor="text1"/>
                <w:szCs w:val="20"/>
              </w:rPr>
            </w:pPr>
            <w:r w:rsidRPr="00401CF2">
              <w:rPr>
                <w:color w:val="000000" w:themeColor="text1"/>
                <w:szCs w:val="20"/>
              </w:rPr>
              <w:t>Cross over adjustment (base case adjusted using RPSFT)</w:t>
            </w:r>
            <w:r w:rsidRPr="00401CF2">
              <w:rPr>
                <w:color w:val="000000" w:themeColor="text1"/>
                <w:szCs w:val="20"/>
                <w:vertAlign w:val="superscript"/>
              </w:rPr>
              <w:t>d</w:t>
            </w:r>
          </w:p>
          <w:p w:rsidR="005E7102" w:rsidRPr="00401CF2" w:rsidRDefault="005E7102" w:rsidP="00476EE6">
            <w:pPr>
              <w:pStyle w:val="Tabletext"/>
              <w:tabs>
                <w:tab w:val="left" w:pos="142"/>
              </w:tabs>
              <w:jc w:val="right"/>
              <w:rPr>
                <w:color w:val="000000" w:themeColor="text1"/>
                <w:szCs w:val="20"/>
              </w:rPr>
            </w:pPr>
            <w:r w:rsidRPr="00401CF2">
              <w:rPr>
                <w:color w:val="000000" w:themeColor="text1"/>
                <w:szCs w:val="20"/>
              </w:rPr>
              <w:t>No crossover adjustment (ITT population)</w:t>
            </w:r>
          </w:p>
          <w:p w:rsidR="005E7102" w:rsidRPr="00401CF2" w:rsidRDefault="005E7102" w:rsidP="00476EE6">
            <w:pPr>
              <w:pStyle w:val="Tabletext"/>
              <w:tabs>
                <w:tab w:val="left" w:pos="142"/>
              </w:tabs>
              <w:jc w:val="right"/>
              <w:rPr>
                <w:color w:val="000000" w:themeColor="text1"/>
                <w:szCs w:val="20"/>
              </w:rPr>
            </w:pPr>
            <w:r w:rsidRPr="00401CF2">
              <w:rPr>
                <w:color w:val="000000" w:themeColor="text1"/>
                <w:szCs w:val="20"/>
              </w:rPr>
              <w:t>Crossover adjustment censoring at crossover</w:t>
            </w:r>
          </w:p>
        </w:tc>
        <w:tc>
          <w:tcPr>
            <w:tcW w:w="1131" w:type="dxa"/>
            <w:shd w:val="clear" w:color="auto" w:fill="auto"/>
            <w:tcMar>
              <w:left w:w="28" w:type="dxa"/>
              <w:right w:w="28" w:type="dxa"/>
            </w:tcMar>
            <w:vAlign w:val="bottom"/>
          </w:tcPr>
          <w:p w:rsidR="005E7102" w:rsidRPr="001D6F6D" w:rsidRDefault="001D6F6D" w:rsidP="00476EE6">
            <w:pPr>
              <w:pStyle w:val="Tabletext"/>
              <w:jc w:val="center"/>
              <w:rPr>
                <w:color w:val="000000" w:themeColor="text1"/>
                <w:szCs w:val="20"/>
                <w:highlight w:val="black"/>
              </w:rPr>
            </w:pPr>
            <w:r>
              <w:rPr>
                <w:noProof/>
                <w:color w:val="000000"/>
                <w:szCs w:val="20"/>
                <w:highlight w:val="black"/>
              </w:rPr>
              <w:t>'''''''''''''''''''''</w:t>
            </w:r>
          </w:p>
          <w:p w:rsidR="005E7102" w:rsidRPr="001D6F6D" w:rsidRDefault="001D6F6D" w:rsidP="00476EE6">
            <w:pPr>
              <w:pStyle w:val="Tabletext"/>
              <w:jc w:val="center"/>
              <w:rPr>
                <w:color w:val="000000" w:themeColor="text1"/>
                <w:szCs w:val="20"/>
                <w:highlight w:val="black"/>
              </w:rPr>
            </w:pPr>
            <w:r>
              <w:rPr>
                <w:noProof/>
                <w:color w:val="000000"/>
                <w:szCs w:val="20"/>
                <w:highlight w:val="black"/>
              </w:rPr>
              <w:t>''''''''''''''''''</w:t>
            </w:r>
          </w:p>
        </w:tc>
        <w:tc>
          <w:tcPr>
            <w:tcW w:w="1137" w:type="dxa"/>
            <w:shd w:val="clear" w:color="auto" w:fill="auto"/>
            <w:tcMar>
              <w:left w:w="28" w:type="dxa"/>
              <w:right w:w="28" w:type="dxa"/>
            </w:tcMar>
            <w:vAlign w:val="bottom"/>
          </w:tcPr>
          <w:p w:rsidR="005E7102" w:rsidRPr="00401CF2" w:rsidRDefault="005E7102" w:rsidP="00476EE6">
            <w:pPr>
              <w:pStyle w:val="Tabletext"/>
              <w:jc w:val="center"/>
              <w:rPr>
                <w:color w:val="000000" w:themeColor="text1"/>
                <w:szCs w:val="20"/>
              </w:rPr>
            </w:pPr>
            <w:r w:rsidRPr="00401CF2">
              <w:rPr>
                <w:color w:val="000000" w:themeColor="text1"/>
                <w:szCs w:val="20"/>
              </w:rPr>
              <w:t>1.34</w:t>
            </w:r>
          </w:p>
          <w:p w:rsidR="005E7102" w:rsidRPr="00401CF2" w:rsidRDefault="005E7102" w:rsidP="00476EE6">
            <w:pPr>
              <w:pStyle w:val="Tabletext"/>
              <w:jc w:val="center"/>
              <w:rPr>
                <w:color w:val="000000" w:themeColor="text1"/>
                <w:szCs w:val="20"/>
              </w:rPr>
            </w:pPr>
            <w:r w:rsidRPr="00401CF2">
              <w:rPr>
                <w:color w:val="000000" w:themeColor="text1"/>
                <w:szCs w:val="20"/>
              </w:rPr>
              <w:t>1.93</w:t>
            </w:r>
          </w:p>
        </w:tc>
        <w:tc>
          <w:tcPr>
            <w:tcW w:w="1134" w:type="dxa"/>
            <w:shd w:val="clear" w:color="auto" w:fill="auto"/>
            <w:tcMar>
              <w:left w:w="28" w:type="dxa"/>
              <w:right w:w="28" w:type="dxa"/>
            </w:tcMar>
            <w:vAlign w:val="bottom"/>
          </w:tcPr>
          <w:p w:rsidR="005E7102" w:rsidRPr="001D6F6D" w:rsidRDefault="001D6F6D" w:rsidP="00476EE6">
            <w:pPr>
              <w:pStyle w:val="Tabletext"/>
              <w:jc w:val="center"/>
              <w:rPr>
                <w:color w:val="000000" w:themeColor="text1"/>
                <w:szCs w:val="20"/>
                <w:highlight w:val="black"/>
              </w:rPr>
            </w:pPr>
            <w:r>
              <w:rPr>
                <w:noProof/>
                <w:color w:val="000000"/>
                <w:szCs w:val="20"/>
                <w:highlight w:val="black"/>
              </w:rPr>
              <w:t>'''''''''''''''''''''</w:t>
            </w:r>
          </w:p>
          <w:p w:rsidR="005E7102" w:rsidRPr="001D6F6D" w:rsidRDefault="001D6F6D" w:rsidP="00476EE6">
            <w:pPr>
              <w:pStyle w:val="Tabletext"/>
              <w:jc w:val="center"/>
              <w:rPr>
                <w:color w:val="000000" w:themeColor="text1"/>
                <w:szCs w:val="20"/>
                <w:highlight w:val="black"/>
              </w:rPr>
            </w:pPr>
            <w:r>
              <w:rPr>
                <w:noProof/>
                <w:color w:val="000000"/>
                <w:szCs w:val="20"/>
                <w:highlight w:val="black"/>
              </w:rPr>
              <w:t>''''''''''''''''''''</w:t>
            </w:r>
          </w:p>
        </w:tc>
      </w:tr>
      <w:tr w:rsidR="005E7102" w:rsidRPr="003A3555" w:rsidTr="006B758C">
        <w:tc>
          <w:tcPr>
            <w:tcW w:w="5665" w:type="dxa"/>
            <w:shd w:val="clear" w:color="auto" w:fill="auto"/>
            <w:tcMar>
              <w:left w:w="28" w:type="dxa"/>
              <w:right w:w="28" w:type="dxa"/>
            </w:tcMar>
          </w:tcPr>
          <w:p w:rsidR="005E7102" w:rsidRPr="00401CF2" w:rsidRDefault="005E7102" w:rsidP="00476EE6">
            <w:pPr>
              <w:pStyle w:val="Tabletext"/>
              <w:tabs>
                <w:tab w:val="left" w:pos="142"/>
              </w:tabs>
              <w:rPr>
                <w:color w:val="000000" w:themeColor="text1"/>
                <w:szCs w:val="20"/>
              </w:rPr>
            </w:pPr>
            <w:proofErr w:type="spellStart"/>
            <w:r w:rsidRPr="00401CF2">
              <w:rPr>
                <w:color w:val="000000" w:themeColor="text1"/>
                <w:szCs w:val="20"/>
              </w:rPr>
              <w:t>Lenalidomide</w:t>
            </w:r>
            <w:proofErr w:type="spellEnd"/>
            <w:r w:rsidRPr="00401CF2">
              <w:rPr>
                <w:color w:val="000000" w:themeColor="text1"/>
                <w:szCs w:val="20"/>
              </w:rPr>
              <w:t xml:space="preserve"> treatment cost (base case applied to all ‘pre-progression, on treatment’ patients for full time horizon)</w:t>
            </w:r>
          </w:p>
          <w:p w:rsidR="005E7102" w:rsidRPr="00401CF2" w:rsidRDefault="005E7102" w:rsidP="00476EE6">
            <w:pPr>
              <w:pStyle w:val="Tabletext"/>
              <w:tabs>
                <w:tab w:val="left" w:pos="142"/>
              </w:tabs>
              <w:jc w:val="right"/>
              <w:rPr>
                <w:color w:val="000000" w:themeColor="text1"/>
                <w:szCs w:val="20"/>
              </w:rPr>
            </w:pPr>
            <w:r w:rsidRPr="00401CF2">
              <w:rPr>
                <w:color w:val="000000" w:themeColor="text1"/>
                <w:szCs w:val="20"/>
              </w:rPr>
              <w:t>Applied up-to 2.5 years (</w:t>
            </w:r>
            <w:r w:rsidR="00006D9B" w:rsidRPr="00401CF2">
              <w:rPr>
                <w:color w:val="000000" w:themeColor="text1"/>
                <w:szCs w:val="20"/>
              </w:rPr>
              <w:t xml:space="preserve">mean </w:t>
            </w:r>
            <w:r w:rsidRPr="00401CF2">
              <w:rPr>
                <w:color w:val="000000" w:themeColor="text1"/>
                <w:szCs w:val="20"/>
              </w:rPr>
              <w:t>treatment duration in CALGB)</w:t>
            </w:r>
          </w:p>
        </w:tc>
        <w:tc>
          <w:tcPr>
            <w:tcW w:w="1131" w:type="dxa"/>
            <w:shd w:val="clear" w:color="auto" w:fill="auto"/>
            <w:tcMar>
              <w:left w:w="28" w:type="dxa"/>
              <w:right w:w="28" w:type="dxa"/>
            </w:tcMar>
            <w:vAlign w:val="bottom"/>
          </w:tcPr>
          <w:p w:rsidR="005E7102" w:rsidRPr="001D6F6D" w:rsidRDefault="001D6F6D" w:rsidP="00476EE6">
            <w:pPr>
              <w:pStyle w:val="Tabletext"/>
              <w:jc w:val="center"/>
              <w:rPr>
                <w:color w:val="000000" w:themeColor="text1"/>
                <w:szCs w:val="20"/>
                <w:highlight w:val="black"/>
              </w:rPr>
            </w:pPr>
            <w:r>
              <w:rPr>
                <w:noProof/>
                <w:color w:val="000000"/>
                <w:szCs w:val="20"/>
                <w:highlight w:val="black"/>
              </w:rPr>
              <w:t>'''''''''''''''''''</w:t>
            </w:r>
          </w:p>
        </w:tc>
        <w:tc>
          <w:tcPr>
            <w:tcW w:w="1137" w:type="dxa"/>
            <w:shd w:val="clear" w:color="auto" w:fill="auto"/>
            <w:tcMar>
              <w:left w:w="28" w:type="dxa"/>
              <w:right w:w="28" w:type="dxa"/>
            </w:tcMar>
            <w:vAlign w:val="bottom"/>
          </w:tcPr>
          <w:p w:rsidR="005E7102" w:rsidRPr="00401CF2" w:rsidRDefault="005E7102" w:rsidP="00476EE6">
            <w:pPr>
              <w:pStyle w:val="Tabletext"/>
              <w:jc w:val="center"/>
              <w:rPr>
                <w:color w:val="000000" w:themeColor="text1"/>
                <w:szCs w:val="20"/>
              </w:rPr>
            </w:pPr>
            <w:r w:rsidRPr="00401CF2">
              <w:rPr>
                <w:color w:val="000000" w:themeColor="text1"/>
                <w:szCs w:val="20"/>
              </w:rPr>
              <w:t>1.74</w:t>
            </w:r>
          </w:p>
        </w:tc>
        <w:tc>
          <w:tcPr>
            <w:tcW w:w="1134" w:type="dxa"/>
            <w:shd w:val="clear" w:color="auto" w:fill="auto"/>
            <w:tcMar>
              <w:left w:w="28" w:type="dxa"/>
              <w:right w:w="28" w:type="dxa"/>
            </w:tcMar>
            <w:vAlign w:val="bottom"/>
          </w:tcPr>
          <w:p w:rsidR="005E7102" w:rsidRPr="001D6F6D" w:rsidRDefault="001D6F6D" w:rsidP="00476EE6">
            <w:pPr>
              <w:pStyle w:val="Tabletext"/>
              <w:jc w:val="center"/>
              <w:rPr>
                <w:color w:val="000000" w:themeColor="text1"/>
                <w:szCs w:val="20"/>
                <w:highlight w:val="black"/>
              </w:rPr>
            </w:pPr>
            <w:r>
              <w:rPr>
                <w:noProof/>
                <w:color w:val="000000"/>
                <w:szCs w:val="20"/>
                <w:highlight w:val="black"/>
              </w:rPr>
              <w:t>'''''''''''''''''''''</w:t>
            </w:r>
          </w:p>
        </w:tc>
      </w:tr>
      <w:tr w:rsidR="005E7102" w:rsidRPr="003A3555" w:rsidTr="006B758C">
        <w:tc>
          <w:tcPr>
            <w:tcW w:w="5665" w:type="dxa"/>
            <w:shd w:val="clear" w:color="auto" w:fill="auto"/>
            <w:tcMar>
              <w:left w:w="28" w:type="dxa"/>
              <w:right w:w="28" w:type="dxa"/>
            </w:tcMar>
          </w:tcPr>
          <w:p w:rsidR="005E7102" w:rsidRPr="00401CF2" w:rsidRDefault="005E7102" w:rsidP="00476EE6">
            <w:pPr>
              <w:pStyle w:val="Tabletext"/>
              <w:tabs>
                <w:tab w:val="left" w:pos="142"/>
              </w:tabs>
              <w:rPr>
                <w:color w:val="000000" w:themeColor="text1"/>
                <w:szCs w:val="20"/>
              </w:rPr>
            </w:pPr>
            <w:r w:rsidRPr="00401CF2">
              <w:rPr>
                <w:color w:val="000000" w:themeColor="text1"/>
                <w:szCs w:val="20"/>
              </w:rPr>
              <w:t>Time subsequent treatment (base case different cycle each line and arm)</w:t>
            </w:r>
          </w:p>
          <w:p w:rsidR="005E7102" w:rsidRPr="00401CF2" w:rsidRDefault="001D6F6D" w:rsidP="00476EE6">
            <w:pPr>
              <w:pStyle w:val="Tabletext"/>
              <w:tabs>
                <w:tab w:val="left" w:pos="142"/>
              </w:tabs>
              <w:jc w:val="right"/>
              <w:rPr>
                <w:color w:val="000000" w:themeColor="text1"/>
                <w:szCs w:val="20"/>
              </w:rPr>
            </w:pPr>
            <w:r>
              <w:rPr>
                <w:noProof/>
                <w:color w:val="000000"/>
                <w:szCs w:val="20"/>
                <w:highlight w:val="black"/>
              </w:rPr>
              <w:t>'''''''</w:t>
            </w:r>
            <w:r w:rsidR="00C74837" w:rsidRPr="001172EE">
              <w:rPr>
                <w:color w:val="000000" w:themeColor="text1"/>
                <w:szCs w:val="20"/>
              </w:rPr>
              <w:t xml:space="preserve"> </w:t>
            </w:r>
            <w:r w:rsidR="005E7102" w:rsidRPr="001172EE">
              <w:rPr>
                <w:color w:val="000000" w:themeColor="text1"/>
                <w:szCs w:val="20"/>
              </w:rPr>
              <w:t>cycles for each</w:t>
            </w:r>
            <w:r w:rsidR="005E7102" w:rsidRPr="00401CF2">
              <w:rPr>
                <w:color w:val="000000" w:themeColor="text1"/>
                <w:szCs w:val="20"/>
              </w:rPr>
              <w:t xml:space="preserve"> line and arm (GIMEMA)</w:t>
            </w:r>
          </w:p>
        </w:tc>
        <w:tc>
          <w:tcPr>
            <w:tcW w:w="1131" w:type="dxa"/>
            <w:shd w:val="clear" w:color="auto" w:fill="auto"/>
            <w:tcMar>
              <w:left w:w="28" w:type="dxa"/>
              <w:right w:w="28" w:type="dxa"/>
            </w:tcMar>
            <w:vAlign w:val="bottom"/>
          </w:tcPr>
          <w:p w:rsidR="005E7102" w:rsidRPr="001D6F6D" w:rsidRDefault="001D6F6D" w:rsidP="00476EE6">
            <w:pPr>
              <w:pStyle w:val="Tabletext"/>
              <w:jc w:val="center"/>
              <w:rPr>
                <w:color w:val="000000" w:themeColor="text1"/>
                <w:szCs w:val="20"/>
                <w:highlight w:val="black"/>
              </w:rPr>
            </w:pPr>
            <w:r>
              <w:rPr>
                <w:noProof/>
                <w:color w:val="000000"/>
                <w:szCs w:val="20"/>
                <w:highlight w:val="black"/>
              </w:rPr>
              <w:t>'''''''''''''''''</w:t>
            </w:r>
          </w:p>
        </w:tc>
        <w:tc>
          <w:tcPr>
            <w:tcW w:w="1137" w:type="dxa"/>
            <w:shd w:val="clear" w:color="auto" w:fill="auto"/>
            <w:tcMar>
              <w:left w:w="28" w:type="dxa"/>
              <w:right w:w="28" w:type="dxa"/>
            </w:tcMar>
            <w:vAlign w:val="bottom"/>
          </w:tcPr>
          <w:p w:rsidR="005E7102" w:rsidRPr="00401CF2" w:rsidRDefault="005E7102" w:rsidP="00476EE6">
            <w:pPr>
              <w:pStyle w:val="Tabletext"/>
              <w:jc w:val="center"/>
              <w:rPr>
                <w:color w:val="000000" w:themeColor="text1"/>
                <w:szCs w:val="20"/>
              </w:rPr>
            </w:pPr>
            <w:r w:rsidRPr="00401CF2">
              <w:rPr>
                <w:color w:val="000000" w:themeColor="text1"/>
                <w:szCs w:val="20"/>
              </w:rPr>
              <w:t>1.74</w:t>
            </w:r>
          </w:p>
        </w:tc>
        <w:tc>
          <w:tcPr>
            <w:tcW w:w="1134" w:type="dxa"/>
            <w:shd w:val="clear" w:color="auto" w:fill="auto"/>
            <w:tcMar>
              <w:left w:w="28" w:type="dxa"/>
              <w:right w:w="28" w:type="dxa"/>
            </w:tcMar>
            <w:vAlign w:val="bottom"/>
          </w:tcPr>
          <w:p w:rsidR="005E7102" w:rsidRPr="001D6F6D" w:rsidRDefault="001D6F6D" w:rsidP="00476EE6">
            <w:pPr>
              <w:pStyle w:val="Tabletext"/>
              <w:jc w:val="center"/>
              <w:rPr>
                <w:color w:val="000000" w:themeColor="text1"/>
                <w:szCs w:val="20"/>
                <w:highlight w:val="black"/>
              </w:rPr>
            </w:pPr>
            <w:r>
              <w:rPr>
                <w:noProof/>
                <w:color w:val="000000"/>
                <w:szCs w:val="20"/>
                <w:highlight w:val="black"/>
              </w:rPr>
              <w:t>'''''''''''''''''</w:t>
            </w:r>
          </w:p>
        </w:tc>
      </w:tr>
      <w:tr w:rsidR="00977E5E" w:rsidRPr="00D539BE" w:rsidTr="006B758C">
        <w:tc>
          <w:tcPr>
            <w:tcW w:w="5665" w:type="dxa"/>
            <w:shd w:val="clear" w:color="auto" w:fill="auto"/>
            <w:tcMar>
              <w:left w:w="28" w:type="dxa"/>
              <w:right w:w="28" w:type="dxa"/>
            </w:tcMar>
          </w:tcPr>
          <w:p w:rsidR="006B758C" w:rsidRPr="00D539BE" w:rsidRDefault="00977E5E" w:rsidP="00476EE6">
            <w:pPr>
              <w:pStyle w:val="Tabletext"/>
              <w:tabs>
                <w:tab w:val="left" w:pos="142"/>
              </w:tabs>
              <w:rPr>
                <w:color w:val="000000" w:themeColor="text1"/>
                <w:szCs w:val="20"/>
              </w:rPr>
            </w:pPr>
            <w:r w:rsidRPr="00D539BE">
              <w:rPr>
                <w:color w:val="000000" w:themeColor="text1"/>
                <w:szCs w:val="20"/>
              </w:rPr>
              <w:t>ESC requested multivariate analysis</w:t>
            </w:r>
            <w:r w:rsidR="006B758C" w:rsidRPr="00D539BE">
              <w:rPr>
                <w:color w:val="000000" w:themeColor="text1"/>
                <w:szCs w:val="20"/>
              </w:rPr>
              <w:t xml:space="preserve"> and comparisons</w:t>
            </w:r>
          </w:p>
          <w:p w:rsidR="006B758C" w:rsidRPr="00D539BE" w:rsidRDefault="006B758C" w:rsidP="00476EE6">
            <w:pPr>
              <w:pStyle w:val="Tabletext"/>
              <w:tabs>
                <w:tab w:val="left" w:pos="142"/>
              </w:tabs>
              <w:jc w:val="right"/>
              <w:rPr>
                <w:color w:val="000000" w:themeColor="text1"/>
                <w:szCs w:val="20"/>
              </w:rPr>
            </w:pPr>
            <w:r w:rsidRPr="00D539BE">
              <w:rPr>
                <w:color w:val="000000" w:themeColor="text1"/>
                <w:szCs w:val="20"/>
              </w:rPr>
              <w:t>CALGB + crossover adjustment (base case)</w:t>
            </w:r>
          </w:p>
          <w:p w:rsidR="00DE782C" w:rsidRPr="00D539BE" w:rsidRDefault="00DE782C" w:rsidP="00476EE6">
            <w:pPr>
              <w:pStyle w:val="Tabletext"/>
              <w:tabs>
                <w:tab w:val="left" w:pos="142"/>
              </w:tabs>
              <w:jc w:val="right"/>
              <w:rPr>
                <w:color w:val="000000" w:themeColor="text1"/>
                <w:szCs w:val="20"/>
              </w:rPr>
            </w:pPr>
            <w:r w:rsidRPr="00D539BE">
              <w:rPr>
                <w:color w:val="000000" w:themeColor="text1"/>
                <w:szCs w:val="20"/>
              </w:rPr>
              <w:t>CALGB + no crossover</w:t>
            </w:r>
          </w:p>
          <w:p w:rsidR="006B758C" w:rsidRPr="00D539BE" w:rsidRDefault="00C60F2C" w:rsidP="00476EE6">
            <w:pPr>
              <w:pStyle w:val="Tabletext"/>
              <w:tabs>
                <w:tab w:val="left" w:pos="142"/>
              </w:tabs>
              <w:jc w:val="right"/>
              <w:rPr>
                <w:color w:val="000000" w:themeColor="text1"/>
                <w:szCs w:val="20"/>
              </w:rPr>
            </w:pPr>
            <w:r>
              <w:rPr>
                <w:color w:val="000000" w:themeColor="text1"/>
                <w:szCs w:val="20"/>
              </w:rPr>
              <w:t>Pooled dataset (CALGB, IFM</w:t>
            </w:r>
            <w:r w:rsidR="00DE782C" w:rsidRPr="00D539BE">
              <w:rPr>
                <w:color w:val="000000" w:themeColor="text1"/>
                <w:szCs w:val="20"/>
              </w:rPr>
              <w:t xml:space="preserve">2005-02, GIMEMA) + crossover adjustment </w:t>
            </w:r>
            <w:r w:rsidR="006B758C" w:rsidRPr="00D539BE">
              <w:rPr>
                <w:color w:val="000000" w:themeColor="text1"/>
                <w:szCs w:val="20"/>
              </w:rPr>
              <w:t>Pooled dataset (</w:t>
            </w:r>
            <w:r w:rsidR="00977E5E" w:rsidRPr="00D539BE">
              <w:rPr>
                <w:color w:val="000000" w:themeColor="text1"/>
                <w:szCs w:val="20"/>
              </w:rPr>
              <w:t>CALGB</w:t>
            </w:r>
            <w:r>
              <w:rPr>
                <w:color w:val="000000" w:themeColor="text1"/>
                <w:szCs w:val="20"/>
              </w:rPr>
              <w:t>,</w:t>
            </w:r>
            <w:r w:rsidR="00977E5E" w:rsidRPr="00D539BE">
              <w:rPr>
                <w:color w:val="000000" w:themeColor="text1"/>
                <w:szCs w:val="20"/>
              </w:rPr>
              <w:t xml:space="preserve"> </w:t>
            </w:r>
            <w:r>
              <w:rPr>
                <w:color w:val="000000" w:themeColor="text1"/>
                <w:szCs w:val="20"/>
              </w:rPr>
              <w:t>IFM</w:t>
            </w:r>
            <w:r w:rsidR="006B758C" w:rsidRPr="00D539BE">
              <w:rPr>
                <w:color w:val="000000" w:themeColor="text1"/>
                <w:szCs w:val="20"/>
              </w:rPr>
              <w:t xml:space="preserve">2005-02, GIMEMA) </w:t>
            </w:r>
            <w:r w:rsidR="00977E5E" w:rsidRPr="00D539BE">
              <w:rPr>
                <w:color w:val="000000" w:themeColor="text1"/>
                <w:szCs w:val="20"/>
              </w:rPr>
              <w:t>+ no crossover adjustment</w:t>
            </w:r>
          </w:p>
        </w:tc>
        <w:tc>
          <w:tcPr>
            <w:tcW w:w="1131" w:type="dxa"/>
            <w:shd w:val="clear" w:color="auto" w:fill="auto"/>
            <w:tcMar>
              <w:left w:w="28" w:type="dxa"/>
              <w:right w:w="28" w:type="dxa"/>
            </w:tcMar>
            <w:vAlign w:val="bottom"/>
          </w:tcPr>
          <w:p w:rsidR="006B758C" w:rsidRPr="001D6F6D" w:rsidRDefault="001D6F6D" w:rsidP="00476EE6">
            <w:pPr>
              <w:pStyle w:val="Tabletext"/>
              <w:jc w:val="center"/>
              <w:rPr>
                <w:color w:val="000000" w:themeColor="text1"/>
                <w:szCs w:val="20"/>
                <w:highlight w:val="black"/>
              </w:rPr>
            </w:pPr>
            <w:r>
              <w:rPr>
                <w:noProof/>
                <w:color w:val="000000"/>
                <w:szCs w:val="20"/>
                <w:highlight w:val="black"/>
              </w:rPr>
              <w:t>'''''''''''''''''''</w:t>
            </w:r>
          </w:p>
          <w:p w:rsidR="00DE782C" w:rsidRPr="001D6F6D" w:rsidRDefault="001D6F6D" w:rsidP="00476EE6">
            <w:pPr>
              <w:pStyle w:val="Tabletext"/>
              <w:jc w:val="center"/>
              <w:rPr>
                <w:color w:val="000000" w:themeColor="text1"/>
                <w:szCs w:val="20"/>
                <w:highlight w:val="black"/>
              </w:rPr>
            </w:pPr>
            <w:r>
              <w:rPr>
                <w:noProof/>
                <w:color w:val="000000"/>
                <w:szCs w:val="20"/>
                <w:highlight w:val="black"/>
              </w:rPr>
              <w:t>'''''''''''''''''''''</w:t>
            </w:r>
          </w:p>
          <w:p w:rsidR="00DE782C" w:rsidRPr="001D6F6D" w:rsidRDefault="001D6F6D" w:rsidP="00476EE6">
            <w:pPr>
              <w:pStyle w:val="Tabletext"/>
              <w:jc w:val="center"/>
              <w:rPr>
                <w:color w:val="000000" w:themeColor="text1"/>
                <w:szCs w:val="20"/>
                <w:highlight w:val="black"/>
              </w:rPr>
            </w:pPr>
            <w:r>
              <w:rPr>
                <w:noProof/>
                <w:color w:val="000000"/>
                <w:szCs w:val="20"/>
                <w:highlight w:val="black"/>
              </w:rPr>
              <w:t>'''''''''''''''''''</w:t>
            </w:r>
          </w:p>
          <w:p w:rsidR="006B758C" w:rsidRPr="001D6F6D" w:rsidRDefault="001D6F6D" w:rsidP="00476EE6">
            <w:pPr>
              <w:pStyle w:val="Tabletext"/>
              <w:jc w:val="center"/>
              <w:rPr>
                <w:color w:val="000000" w:themeColor="text1"/>
                <w:szCs w:val="20"/>
                <w:highlight w:val="black"/>
              </w:rPr>
            </w:pPr>
            <w:r>
              <w:rPr>
                <w:noProof/>
                <w:color w:val="000000"/>
                <w:szCs w:val="20"/>
                <w:highlight w:val="black"/>
              </w:rPr>
              <w:t>''''''''''''''''''</w:t>
            </w:r>
          </w:p>
        </w:tc>
        <w:tc>
          <w:tcPr>
            <w:tcW w:w="1137" w:type="dxa"/>
            <w:shd w:val="clear" w:color="auto" w:fill="auto"/>
            <w:tcMar>
              <w:left w:w="28" w:type="dxa"/>
              <w:right w:w="28" w:type="dxa"/>
            </w:tcMar>
            <w:vAlign w:val="bottom"/>
          </w:tcPr>
          <w:p w:rsidR="006B758C" w:rsidRPr="00D539BE" w:rsidRDefault="006B758C" w:rsidP="00476EE6">
            <w:pPr>
              <w:pStyle w:val="Tabletext"/>
              <w:jc w:val="center"/>
              <w:rPr>
                <w:color w:val="000000" w:themeColor="text1"/>
                <w:szCs w:val="20"/>
              </w:rPr>
            </w:pPr>
            <w:r w:rsidRPr="00D539BE">
              <w:rPr>
                <w:color w:val="000000" w:themeColor="text1"/>
                <w:szCs w:val="20"/>
              </w:rPr>
              <w:t>1.74</w:t>
            </w:r>
          </w:p>
          <w:p w:rsidR="00DE782C" w:rsidRPr="00D539BE" w:rsidRDefault="00DE782C" w:rsidP="00476EE6">
            <w:pPr>
              <w:pStyle w:val="Tabletext"/>
              <w:jc w:val="center"/>
              <w:rPr>
                <w:color w:val="000000" w:themeColor="text1"/>
                <w:szCs w:val="20"/>
              </w:rPr>
            </w:pPr>
            <w:r w:rsidRPr="00D539BE">
              <w:rPr>
                <w:color w:val="000000" w:themeColor="text1"/>
                <w:szCs w:val="20"/>
              </w:rPr>
              <w:t>1.34</w:t>
            </w:r>
          </w:p>
          <w:p w:rsidR="00DE782C" w:rsidRPr="00D539BE" w:rsidRDefault="00DE782C" w:rsidP="00476EE6">
            <w:pPr>
              <w:pStyle w:val="Tabletext"/>
              <w:jc w:val="center"/>
              <w:rPr>
                <w:color w:val="000000" w:themeColor="text1"/>
                <w:szCs w:val="20"/>
              </w:rPr>
            </w:pPr>
            <w:r w:rsidRPr="00D539BE">
              <w:rPr>
                <w:color w:val="000000" w:themeColor="text1"/>
                <w:szCs w:val="20"/>
              </w:rPr>
              <w:t>0.77</w:t>
            </w:r>
          </w:p>
          <w:p w:rsidR="006B758C" w:rsidRPr="00D539BE" w:rsidRDefault="00977E5E" w:rsidP="00476EE6">
            <w:pPr>
              <w:pStyle w:val="Tabletext"/>
              <w:jc w:val="center"/>
              <w:rPr>
                <w:color w:val="000000" w:themeColor="text1"/>
                <w:szCs w:val="20"/>
              </w:rPr>
            </w:pPr>
            <w:r w:rsidRPr="00D539BE">
              <w:rPr>
                <w:color w:val="000000" w:themeColor="text1"/>
                <w:szCs w:val="20"/>
              </w:rPr>
              <w:t>0.57</w:t>
            </w:r>
          </w:p>
        </w:tc>
        <w:tc>
          <w:tcPr>
            <w:tcW w:w="1134" w:type="dxa"/>
            <w:shd w:val="clear" w:color="auto" w:fill="auto"/>
            <w:tcMar>
              <w:left w:w="28" w:type="dxa"/>
              <w:right w:w="28" w:type="dxa"/>
            </w:tcMar>
            <w:vAlign w:val="bottom"/>
          </w:tcPr>
          <w:p w:rsidR="006B758C" w:rsidRPr="001D6F6D" w:rsidRDefault="001D6F6D" w:rsidP="00476EE6">
            <w:pPr>
              <w:pStyle w:val="Tabletext"/>
              <w:jc w:val="center"/>
              <w:rPr>
                <w:color w:val="000000" w:themeColor="text1"/>
                <w:szCs w:val="20"/>
                <w:highlight w:val="black"/>
              </w:rPr>
            </w:pPr>
            <w:r>
              <w:rPr>
                <w:noProof/>
                <w:color w:val="000000"/>
                <w:szCs w:val="20"/>
                <w:highlight w:val="black"/>
              </w:rPr>
              <w:t>'''''''''''''''''''</w:t>
            </w:r>
          </w:p>
          <w:p w:rsidR="00DE782C" w:rsidRPr="001D6F6D" w:rsidRDefault="001D6F6D" w:rsidP="00476EE6">
            <w:pPr>
              <w:pStyle w:val="Tabletext"/>
              <w:jc w:val="center"/>
              <w:rPr>
                <w:color w:val="000000" w:themeColor="text1"/>
                <w:szCs w:val="20"/>
                <w:highlight w:val="black"/>
              </w:rPr>
            </w:pPr>
            <w:r>
              <w:rPr>
                <w:noProof/>
                <w:color w:val="000000"/>
                <w:szCs w:val="20"/>
                <w:highlight w:val="black"/>
              </w:rPr>
              <w:t>''''''''''''''''''</w:t>
            </w:r>
          </w:p>
          <w:p w:rsidR="00DE782C" w:rsidRPr="001D6F6D" w:rsidRDefault="001D6F6D" w:rsidP="00476EE6">
            <w:pPr>
              <w:pStyle w:val="Tabletext"/>
              <w:jc w:val="center"/>
              <w:rPr>
                <w:color w:val="000000" w:themeColor="text1"/>
                <w:szCs w:val="20"/>
                <w:highlight w:val="black"/>
              </w:rPr>
            </w:pPr>
            <w:r>
              <w:rPr>
                <w:noProof/>
                <w:color w:val="000000"/>
                <w:szCs w:val="20"/>
                <w:highlight w:val="black"/>
              </w:rPr>
              <w:t>''''''''''''''''''</w:t>
            </w:r>
          </w:p>
          <w:p w:rsidR="006B758C" w:rsidRPr="001D6F6D" w:rsidRDefault="001D6F6D" w:rsidP="00476EE6">
            <w:pPr>
              <w:pStyle w:val="Tabletext"/>
              <w:jc w:val="center"/>
              <w:rPr>
                <w:color w:val="000000" w:themeColor="text1"/>
                <w:szCs w:val="20"/>
                <w:highlight w:val="black"/>
              </w:rPr>
            </w:pPr>
            <w:r>
              <w:rPr>
                <w:noProof/>
                <w:color w:val="000000"/>
                <w:szCs w:val="20"/>
                <w:highlight w:val="black"/>
              </w:rPr>
              <w:t>'''''''''''''''''''''</w:t>
            </w:r>
          </w:p>
        </w:tc>
      </w:tr>
    </w:tbl>
    <w:p w:rsidR="005E7102" w:rsidRPr="003A3555" w:rsidRDefault="005E7102" w:rsidP="00476EE6">
      <w:pPr>
        <w:pStyle w:val="TableFooter"/>
        <w:widowControl/>
      </w:pPr>
      <w:r w:rsidRPr="003A3555">
        <w:t>BSC</w:t>
      </w:r>
      <w:r w:rsidR="0067411C">
        <w:t xml:space="preserve"> </w:t>
      </w:r>
      <w:r w:rsidRPr="003A3555">
        <w:t>=</w:t>
      </w:r>
      <w:r w:rsidR="0067411C">
        <w:t xml:space="preserve"> </w:t>
      </w:r>
      <w:r w:rsidRPr="003A3555">
        <w:t>best supportive care; CI</w:t>
      </w:r>
      <w:r w:rsidR="0067411C">
        <w:t xml:space="preserve"> </w:t>
      </w:r>
      <w:r w:rsidRPr="003A3555">
        <w:t xml:space="preserve">= confidence interval; </w:t>
      </w:r>
      <w:proofErr w:type="spellStart"/>
      <w:r w:rsidR="00D84529" w:rsidRPr="003A3555">
        <w:t>DoH</w:t>
      </w:r>
      <w:proofErr w:type="spellEnd"/>
      <w:r w:rsidR="00D84529" w:rsidRPr="003A3555">
        <w:t xml:space="preserve"> = Department of Health</w:t>
      </w:r>
      <w:r w:rsidRPr="003A3555">
        <w:t>; ICER</w:t>
      </w:r>
      <w:r w:rsidR="0067411C">
        <w:t xml:space="preserve"> </w:t>
      </w:r>
      <w:r w:rsidRPr="003A3555">
        <w:t>= incremental cost-effectiveness ratio; KM</w:t>
      </w:r>
      <w:r w:rsidR="0067411C">
        <w:t xml:space="preserve"> </w:t>
      </w:r>
      <w:r w:rsidRPr="003A3555">
        <w:t>= Kaplan-Meier; LEN</w:t>
      </w:r>
      <w:r w:rsidR="0067411C">
        <w:t xml:space="preserve"> </w:t>
      </w:r>
      <w:r w:rsidRPr="003A3555">
        <w:t xml:space="preserve">= </w:t>
      </w:r>
      <w:proofErr w:type="spellStart"/>
      <w:r w:rsidRPr="003A3555">
        <w:t>lenalidomide</w:t>
      </w:r>
      <w:proofErr w:type="spellEnd"/>
      <w:r w:rsidRPr="003A3555">
        <w:t>; NDMM = newly diagnosed multiple myeloma; OS</w:t>
      </w:r>
      <w:r w:rsidR="0067411C">
        <w:t xml:space="preserve"> </w:t>
      </w:r>
      <w:r w:rsidRPr="003A3555">
        <w:t>= overall survival; PFS</w:t>
      </w:r>
      <w:r w:rsidR="0067411C">
        <w:t xml:space="preserve"> </w:t>
      </w:r>
      <w:r w:rsidRPr="003A3555">
        <w:t xml:space="preserve">= progression-free survival; RPSFTM = rank preserving structural failure time method; </w:t>
      </w:r>
      <w:proofErr w:type="spellStart"/>
      <w:r w:rsidRPr="003A3555">
        <w:t>ToT</w:t>
      </w:r>
      <w:proofErr w:type="spellEnd"/>
      <w:r w:rsidRPr="003A3555">
        <w:t>= time on treatment.</w:t>
      </w:r>
    </w:p>
    <w:p w:rsidR="005E7102" w:rsidRPr="003A3555" w:rsidRDefault="005E7102" w:rsidP="00476EE6">
      <w:pPr>
        <w:pStyle w:val="TableFooter"/>
        <w:widowControl/>
      </w:pPr>
      <w:proofErr w:type="gramStart"/>
      <w:r w:rsidRPr="003A3555">
        <w:t xml:space="preserve">Notes: The specific cells that were altered in the Excel spreadsheet Section 3 CEA </w:t>
      </w:r>
      <w:proofErr w:type="spellStart"/>
      <w:r w:rsidRPr="003A3555">
        <w:t>model_Nov</w:t>
      </w:r>
      <w:proofErr w:type="spellEnd"/>
      <w:r w:rsidRPr="003A3555">
        <w:t xml:space="preserve"> 2018_v2.0’ were as follows: a: sheet ‘</w:t>
      </w:r>
      <w:proofErr w:type="spellStart"/>
      <w:r w:rsidRPr="003A3555">
        <w:t>Tx</w:t>
      </w:r>
      <w:proofErr w:type="spellEnd"/>
      <w:r w:rsidRPr="003A3555">
        <w:t xml:space="preserve"> acquisition cost’ cells [D17 to D19]; b: sheet “Model controls’ cell [dropdown choice from J14]; c: sheet “Model controls’ cell [dropdown choice from J115]; d: sheet “Model controls’ cell [dropdown choice from J109]; e: sheet “Model controls’ cell [dropdown choice from J46].</w:t>
      </w:r>
      <w:proofErr w:type="gramEnd"/>
    </w:p>
    <w:p w:rsidR="005E7102" w:rsidRPr="003A3555" w:rsidRDefault="005E7102" w:rsidP="00476EE6">
      <w:pPr>
        <w:pStyle w:val="TableFooter"/>
        <w:widowControl/>
      </w:pPr>
      <w:r w:rsidRPr="003A3555">
        <w:t xml:space="preserve">Source: Table 3.31, p87 of the resubmission. Excel spreadsheet Section 3 CEA </w:t>
      </w:r>
      <w:proofErr w:type="spellStart"/>
      <w:r w:rsidRPr="003A3555">
        <w:t>model_Nov</w:t>
      </w:r>
      <w:proofErr w:type="spellEnd"/>
      <w:r w:rsidRPr="003A3555">
        <w:t xml:space="preserve"> 2018_v2.0’, sheet ‘Results’.</w:t>
      </w:r>
    </w:p>
    <w:p w:rsidR="00E32DDA" w:rsidRPr="006E231F" w:rsidRDefault="006E231F" w:rsidP="00E34D76">
      <w:pPr>
        <w:keepNext/>
        <w:widowControl/>
        <w:spacing w:before="120" w:after="120"/>
        <w:rPr>
          <w:i/>
          <w:color w:val="000000" w:themeColor="text1"/>
          <w:u w:val="single"/>
        </w:rPr>
      </w:pPr>
      <w:r w:rsidRPr="006E231F">
        <w:rPr>
          <w:i/>
          <w:color w:val="000000" w:themeColor="text1"/>
          <w:u w:val="single"/>
        </w:rPr>
        <w:t>Cost-minimisation analysis</w:t>
      </w:r>
      <w:r w:rsidR="006B5EE5">
        <w:rPr>
          <w:i/>
          <w:color w:val="000000" w:themeColor="text1"/>
          <w:u w:val="single"/>
        </w:rPr>
        <w:t xml:space="preserve">: </w:t>
      </w:r>
      <w:proofErr w:type="spellStart"/>
      <w:r w:rsidR="006B5EE5">
        <w:rPr>
          <w:i/>
          <w:color w:val="000000" w:themeColor="text1"/>
          <w:u w:val="single"/>
        </w:rPr>
        <w:t>lenalidomide</w:t>
      </w:r>
      <w:proofErr w:type="spellEnd"/>
      <w:r w:rsidR="006B5EE5">
        <w:rPr>
          <w:i/>
          <w:color w:val="000000" w:themeColor="text1"/>
          <w:u w:val="single"/>
        </w:rPr>
        <w:t xml:space="preserve"> versus </w:t>
      </w:r>
      <w:r w:rsidR="00310F15">
        <w:rPr>
          <w:i/>
          <w:color w:val="000000" w:themeColor="text1"/>
          <w:u w:val="single"/>
        </w:rPr>
        <w:t>thalidomide</w:t>
      </w:r>
    </w:p>
    <w:p w:rsidR="00E32DDA" w:rsidRDefault="005E7102" w:rsidP="00E34D76">
      <w:pPr>
        <w:pStyle w:val="ListParagraph"/>
        <w:widowControl/>
        <w:numPr>
          <w:ilvl w:val="1"/>
          <w:numId w:val="2"/>
        </w:numPr>
        <w:spacing w:before="120"/>
      </w:pPr>
      <w:r w:rsidRPr="00401CF2">
        <w:t xml:space="preserve">The resubmission presented a cost-minimisation analysis for </w:t>
      </w:r>
      <w:proofErr w:type="spellStart"/>
      <w:r w:rsidRPr="00401CF2">
        <w:t>lenalidomide</w:t>
      </w:r>
      <w:proofErr w:type="spellEnd"/>
      <w:r w:rsidRPr="00401CF2">
        <w:t xml:space="preserve"> compared with thalidomide. The </w:t>
      </w:r>
      <w:proofErr w:type="spellStart"/>
      <w:r w:rsidRPr="00401CF2">
        <w:t>equi</w:t>
      </w:r>
      <w:proofErr w:type="spellEnd"/>
      <w:r w:rsidRPr="00401CF2">
        <w:t>-effective doses used to inform that analysis were</w:t>
      </w:r>
      <w:r w:rsidR="00E32DDA">
        <w:t>:</w:t>
      </w:r>
    </w:p>
    <w:p w:rsidR="00EC38C1" w:rsidRPr="00EC38C1" w:rsidRDefault="00EC38C1" w:rsidP="00E34D76">
      <w:pPr>
        <w:pStyle w:val="PBACHeading1"/>
        <w:numPr>
          <w:ilvl w:val="0"/>
          <w:numId w:val="0"/>
        </w:numPr>
        <w:spacing w:before="120"/>
        <w:ind w:left="720"/>
        <w:rPr>
          <w:b w:val="0"/>
          <w:sz w:val="24"/>
          <w:szCs w:val="24"/>
        </w:rPr>
      </w:pPr>
      <w:proofErr w:type="spellStart"/>
      <w:r w:rsidRPr="00EC38C1">
        <w:rPr>
          <w:b w:val="0"/>
          <w:sz w:val="24"/>
          <w:szCs w:val="24"/>
        </w:rPr>
        <w:t>Lenalidomide</w:t>
      </w:r>
      <w:proofErr w:type="spellEnd"/>
      <w:r w:rsidRPr="00EC38C1">
        <w:rPr>
          <w:b w:val="0"/>
          <w:sz w:val="24"/>
          <w:szCs w:val="24"/>
        </w:rPr>
        <w:t xml:space="preserve"> 10 mg per day </w:t>
      </w:r>
      <w:r w:rsidRPr="00EC38C1">
        <w:rPr>
          <w:rFonts w:cs="Calibri"/>
          <w:b w:val="0"/>
          <w:sz w:val="24"/>
          <w:szCs w:val="24"/>
        </w:rPr>
        <w:t xml:space="preserve">≈ </w:t>
      </w:r>
      <w:r w:rsidRPr="00EC38C1">
        <w:rPr>
          <w:b w:val="0"/>
          <w:sz w:val="24"/>
          <w:szCs w:val="24"/>
        </w:rPr>
        <w:t>thalidomide 100 mg per day.</w:t>
      </w:r>
    </w:p>
    <w:p w:rsidR="00EC38C1" w:rsidRDefault="00EC38C1" w:rsidP="00E34D76">
      <w:pPr>
        <w:pStyle w:val="ListParagraph"/>
        <w:widowControl/>
        <w:numPr>
          <w:ilvl w:val="1"/>
          <w:numId w:val="2"/>
        </w:numPr>
        <w:spacing w:before="120"/>
      </w:pPr>
      <w:r w:rsidRPr="00401CF2">
        <w:t xml:space="preserve">The resubmission did not use estimates of treatment exposure (dose or duration) </w:t>
      </w:r>
      <w:r w:rsidRPr="00D539BE">
        <w:t>from the clinical trials to inform the CMA.</w:t>
      </w:r>
    </w:p>
    <w:p w:rsidR="00E23323" w:rsidRPr="00D539BE" w:rsidRDefault="00E23323" w:rsidP="001172EE">
      <w:pPr>
        <w:pStyle w:val="PBACHeading1"/>
        <w:keepLines/>
        <w:numPr>
          <w:ilvl w:val="0"/>
          <w:numId w:val="0"/>
        </w:numPr>
        <w:spacing w:after="0"/>
        <w:rPr>
          <w:rStyle w:val="CommentReference"/>
          <w:b/>
          <w:color w:val="000000" w:themeColor="text1"/>
        </w:rPr>
      </w:pPr>
      <w:r w:rsidRPr="00D539BE">
        <w:rPr>
          <w:rStyle w:val="CommentReference"/>
          <w:b/>
          <w:color w:val="000000" w:themeColor="text1"/>
        </w:rPr>
        <w:lastRenderedPageBreak/>
        <w:t xml:space="preserve">Table </w:t>
      </w:r>
      <w:r w:rsidR="00097671">
        <w:rPr>
          <w:rStyle w:val="CommentReference"/>
          <w:b/>
          <w:color w:val="000000" w:themeColor="text1"/>
        </w:rPr>
        <w:t>26</w:t>
      </w:r>
      <w:r w:rsidRPr="00D539BE">
        <w:rPr>
          <w:rStyle w:val="CommentReference"/>
          <w:b/>
          <w:color w:val="000000" w:themeColor="text1"/>
        </w:rPr>
        <w:t>: Results of the cost-minimisation analysis</w:t>
      </w:r>
      <w:r w:rsidR="00B920A8" w:rsidRPr="00D539BE">
        <w:rPr>
          <w:rStyle w:val="CommentReference"/>
          <w:b/>
          <w:color w:val="000000" w:themeColor="text1"/>
        </w:rPr>
        <w:t xml:space="preserve"> based on the recommended doses for each of the medicines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6: Results of the cost-minimisation analysis based on the recommended doses for each of the medicines"/>
      </w:tblPr>
      <w:tblGrid>
        <w:gridCol w:w="988"/>
        <w:gridCol w:w="1984"/>
        <w:gridCol w:w="1276"/>
        <w:gridCol w:w="1276"/>
        <w:gridCol w:w="1134"/>
        <w:gridCol w:w="1134"/>
        <w:gridCol w:w="1134"/>
      </w:tblGrid>
      <w:tr w:rsidR="000F7FDA" w:rsidRPr="00D539BE" w:rsidTr="00D03C86">
        <w:trPr>
          <w:tblHeader/>
        </w:trPr>
        <w:tc>
          <w:tcPr>
            <w:tcW w:w="988" w:type="dxa"/>
            <w:vMerge w:val="restart"/>
            <w:tcMar>
              <w:left w:w="28" w:type="dxa"/>
              <w:right w:w="28" w:type="dxa"/>
            </w:tcMar>
          </w:tcPr>
          <w:p w:rsidR="000F7FDA" w:rsidRPr="00D539BE" w:rsidRDefault="000F7FDA" w:rsidP="001172EE">
            <w:pPr>
              <w:pStyle w:val="Tabletext"/>
              <w:keepNext/>
              <w:keepLines/>
              <w:jc w:val="center"/>
              <w:rPr>
                <w:b/>
                <w:color w:val="000000" w:themeColor="text1"/>
              </w:rPr>
            </w:pPr>
          </w:p>
        </w:tc>
        <w:tc>
          <w:tcPr>
            <w:tcW w:w="1984" w:type="dxa"/>
            <w:tcMar>
              <w:left w:w="28" w:type="dxa"/>
              <w:right w:w="28" w:type="dxa"/>
            </w:tcMar>
          </w:tcPr>
          <w:p w:rsidR="000F7FDA" w:rsidRPr="00D539BE" w:rsidRDefault="000F7FDA" w:rsidP="001172EE">
            <w:pPr>
              <w:pStyle w:val="Tabletext"/>
              <w:keepNext/>
              <w:keepLines/>
              <w:rPr>
                <w:b/>
                <w:color w:val="000000" w:themeColor="text1"/>
              </w:rPr>
            </w:pPr>
            <w:r w:rsidRPr="00D539BE">
              <w:rPr>
                <w:b/>
                <w:color w:val="000000" w:themeColor="text1"/>
              </w:rPr>
              <w:t>Component</w:t>
            </w:r>
          </w:p>
        </w:tc>
        <w:tc>
          <w:tcPr>
            <w:tcW w:w="3686" w:type="dxa"/>
            <w:gridSpan w:val="3"/>
            <w:tcMar>
              <w:left w:w="28" w:type="dxa"/>
              <w:right w:w="28" w:type="dxa"/>
            </w:tcMar>
          </w:tcPr>
          <w:p w:rsidR="000F7FDA" w:rsidRPr="00D539BE" w:rsidRDefault="000F7FDA" w:rsidP="001172EE">
            <w:pPr>
              <w:pStyle w:val="Tabletext"/>
              <w:keepNext/>
              <w:keepLines/>
              <w:jc w:val="center"/>
              <w:rPr>
                <w:b/>
                <w:color w:val="000000" w:themeColor="text1"/>
              </w:rPr>
            </w:pPr>
            <w:proofErr w:type="spellStart"/>
            <w:r w:rsidRPr="00D539BE">
              <w:rPr>
                <w:b/>
                <w:color w:val="000000" w:themeColor="text1"/>
              </w:rPr>
              <w:t>Lenalidomide</w:t>
            </w:r>
            <w:proofErr w:type="spellEnd"/>
          </w:p>
        </w:tc>
        <w:tc>
          <w:tcPr>
            <w:tcW w:w="2268" w:type="dxa"/>
            <w:gridSpan w:val="2"/>
            <w:tcMar>
              <w:left w:w="28" w:type="dxa"/>
              <w:right w:w="28" w:type="dxa"/>
            </w:tcMar>
          </w:tcPr>
          <w:p w:rsidR="000F7FDA" w:rsidRPr="00D539BE" w:rsidRDefault="000F7FDA" w:rsidP="001172EE">
            <w:pPr>
              <w:pStyle w:val="Tabletext"/>
              <w:keepNext/>
              <w:keepLines/>
              <w:jc w:val="center"/>
              <w:rPr>
                <w:b/>
                <w:color w:val="000000" w:themeColor="text1"/>
              </w:rPr>
            </w:pPr>
            <w:r w:rsidRPr="00D539BE">
              <w:rPr>
                <w:b/>
                <w:color w:val="000000" w:themeColor="text1"/>
              </w:rPr>
              <w:t>Thalidomide</w:t>
            </w:r>
          </w:p>
        </w:tc>
      </w:tr>
      <w:tr w:rsidR="000F7FDA" w:rsidRPr="00D539BE" w:rsidTr="00D03C86">
        <w:tc>
          <w:tcPr>
            <w:tcW w:w="988" w:type="dxa"/>
            <w:vMerge/>
            <w:tcBorders>
              <w:bottom w:val="single" w:sz="4" w:space="0" w:color="auto"/>
            </w:tcBorders>
            <w:tcMar>
              <w:left w:w="28" w:type="dxa"/>
              <w:right w:w="28" w:type="dxa"/>
            </w:tcMar>
          </w:tcPr>
          <w:p w:rsidR="000F7FDA" w:rsidRPr="00D539BE" w:rsidRDefault="000F7FDA" w:rsidP="001172EE">
            <w:pPr>
              <w:pStyle w:val="Tabletext"/>
              <w:keepNext/>
              <w:keepLines/>
              <w:jc w:val="center"/>
              <w:rPr>
                <w:rFonts w:eastAsia="SimSun"/>
                <w:color w:val="000000" w:themeColor="text1"/>
                <w:lang w:eastAsia="en-AU"/>
              </w:rPr>
            </w:pPr>
          </w:p>
        </w:tc>
        <w:tc>
          <w:tcPr>
            <w:tcW w:w="1984" w:type="dxa"/>
            <w:tcBorders>
              <w:top w:val="single" w:sz="4" w:space="0" w:color="auto"/>
              <w:bottom w:val="single" w:sz="4" w:space="0" w:color="auto"/>
              <w:right w:val="single" w:sz="4" w:space="0" w:color="auto"/>
            </w:tcBorders>
            <w:shd w:val="clear" w:color="auto" w:fill="auto"/>
            <w:tcMar>
              <w:left w:w="28" w:type="dxa"/>
              <w:right w:w="28" w:type="dxa"/>
            </w:tcMar>
            <w:vAlign w:val="bottom"/>
          </w:tcPr>
          <w:p w:rsidR="000F7FDA" w:rsidRPr="00D539BE" w:rsidRDefault="000F7FDA" w:rsidP="001172EE">
            <w:pPr>
              <w:pStyle w:val="Tabletext"/>
              <w:keepNext/>
              <w:keepLines/>
              <w:rPr>
                <w:b/>
                <w:color w:val="000000" w:themeColor="text1"/>
              </w:rPr>
            </w:pPr>
            <w:r w:rsidRPr="00D539BE">
              <w:rPr>
                <w:rFonts w:eastAsia="SimSun"/>
                <w:color w:val="000000" w:themeColor="text1"/>
                <w:lang w:eastAsia="en-AU"/>
              </w:rPr>
              <w:t>Presentation</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0F7FDA" w:rsidRPr="00D539BE" w:rsidRDefault="000F7FDA" w:rsidP="001172EE">
            <w:pPr>
              <w:pStyle w:val="Tabletext"/>
              <w:keepNext/>
              <w:keepLines/>
              <w:jc w:val="center"/>
              <w:rPr>
                <w:b/>
                <w:color w:val="000000" w:themeColor="text1"/>
              </w:rPr>
            </w:pPr>
            <w:r w:rsidRPr="00D539BE">
              <w:rPr>
                <w:rFonts w:eastAsia="SimSun"/>
                <w:color w:val="000000" w:themeColor="text1"/>
                <w:lang w:eastAsia="en-AU"/>
              </w:rPr>
              <w:t>28 x 5 mg</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0F7FDA" w:rsidRPr="00D539BE" w:rsidRDefault="000F7FDA" w:rsidP="001172EE">
            <w:pPr>
              <w:pStyle w:val="Tabletext"/>
              <w:keepNext/>
              <w:keepLines/>
              <w:jc w:val="center"/>
              <w:rPr>
                <w:b/>
                <w:color w:val="000000" w:themeColor="text1"/>
              </w:rPr>
            </w:pPr>
            <w:r w:rsidRPr="00D539BE">
              <w:rPr>
                <w:rFonts w:eastAsia="SimSun"/>
                <w:color w:val="000000" w:themeColor="text1"/>
                <w:lang w:eastAsia="en-AU"/>
              </w:rPr>
              <w:t>28 x 10 mg</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0F7FDA" w:rsidRPr="00D539BE" w:rsidRDefault="000F7FDA" w:rsidP="001172EE">
            <w:pPr>
              <w:pStyle w:val="Tabletext"/>
              <w:keepNext/>
              <w:keepLines/>
              <w:jc w:val="center"/>
              <w:rPr>
                <w:b/>
                <w:color w:val="000000" w:themeColor="text1"/>
              </w:rPr>
            </w:pPr>
            <w:r w:rsidRPr="00D539BE">
              <w:rPr>
                <w:rFonts w:eastAsia="SimSun"/>
                <w:color w:val="000000" w:themeColor="text1"/>
                <w:lang w:eastAsia="en-AU"/>
              </w:rPr>
              <w:t>28 x 15 mg</w:t>
            </w:r>
          </w:p>
        </w:tc>
        <w:tc>
          <w:tcPr>
            <w:tcW w:w="1134" w:type="dxa"/>
            <w:tcMar>
              <w:left w:w="28" w:type="dxa"/>
              <w:right w:w="28" w:type="dxa"/>
            </w:tcMar>
            <w:vAlign w:val="bottom"/>
          </w:tcPr>
          <w:p w:rsidR="000F7FDA" w:rsidRPr="00D539BE" w:rsidRDefault="000F7FDA" w:rsidP="001172EE">
            <w:pPr>
              <w:pStyle w:val="Tabletext"/>
              <w:keepNext/>
              <w:keepLines/>
              <w:jc w:val="center"/>
              <w:rPr>
                <w:b/>
                <w:color w:val="000000" w:themeColor="text1"/>
              </w:rPr>
            </w:pPr>
            <w:r w:rsidRPr="00D539BE">
              <w:rPr>
                <w:rFonts w:eastAsia="SimSun"/>
                <w:color w:val="000000" w:themeColor="text1"/>
                <w:lang w:eastAsia="en-AU"/>
              </w:rPr>
              <w:t xml:space="preserve">112 x 50 mg </w:t>
            </w:r>
          </w:p>
        </w:tc>
        <w:tc>
          <w:tcPr>
            <w:tcW w:w="1134" w:type="dxa"/>
            <w:tcMar>
              <w:left w:w="28" w:type="dxa"/>
              <w:right w:w="28" w:type="dxa"/>
            </w:tcMar>
          </w:tcPr>
          <w:p w:rsidR="000F7FDA" w:rsidRPr="00D539BE" w:rsidRDefault="000F7FDA" w:rsidP="001172EE">
            <w:pPr>
              <w:pStyle w:val="Tabletext"/>
              <w:keepNext/>
              <w:keepLines/>
              <w:jc w:val="center"/>
              <w:rPr>
                <w:b/>
                <w:color w:val="000000" w:themeColor="text1"/>
              </w:rPr>
            </w:pPr>
            <w:r w:rsidRPr="00D539BE">
              <w:rPr>
                <w:rFonts w:eastAsia="SimSun"/>
                <w:color w:val="000000" w:themeColor="text1"/>
                <w:lang w:eastAsia="en-AU"/>
              </w:rPr>
              <w:t>56 x 100 mg</w:t>
            </w:r>
          </w:p>
        </w:tc>
      </w:tr>
      <w:tr w:rsidR="00E23323" w:rsidRPr="00D539BE" w:rsidTr="00D03C86">
        <w:tc>
          <w:tcPr>
            <w:tcW w:w="988" w:type="dxa"/>
            <w:tcBorders>
              <w:top w:val="nil"/>
              <w:left w:val="single" w:sz="4" w:space="0" w:color="auto"/>
              <w:bottom w:val="single" w:sz="4" w:space="0" w:color="auto"/>
              <w:right w:val="single" w:sz="4" w:space="0" w:color="auto"/>
            </w:tcBorders>
            <w:tcMar>
              <w:left w:w="28" w:type="dxa"/>
              <w:right w:w="28" w:type="dxa"/>
            </w:tcMar>
            <w:vAlign w:val="center"/>
          </w:tcPr>
          <w:p w:rsidR="00E23323" w:rsidRPr="00D539BE" w:rsidRDefault="00E23323" w:rsidP="001172EE">
            <w:pPr>
              <w:pStyle w:val="Tabletext"/>
              <w:keepNext/>
              <w:keepLines/>
              <w:jc w:val="center"/>
              <w:rPr>
                <w:rFonts w:eastAsia="SimSun"/>
                <w:color w:val="000000" w:themeColor="text1"/>
                <w:lang w:eastAsia="en-AU"/>
              </w:rPr>
            </w:pPr>
            <w:r w:rsidRPr="00D539BE">
              <w:rPr>
                <w:color w:val="000000" w:themeColor="text1"/>
              </w:rPr>
              <w:t>A</w:t>
            </w:r>
          </w:p>
        </w:tc>
        <w:tc>
          <w:tcPr>
            <w:tcW w:w="1984"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rsidR="00E23323" w:rsidRPr="00D539BE" w:rsidRDefault="00E23323" w:rsidP="001172EE">
            <w:pPr>
              <w:pStyle w:val="Tabletext"/>
              <w:keepNext/>
              <w:keepLines/>
              <w:rPr>
                <w:b/>
                <w:color w:val="000000" w:themeColor="text1"/>
              </w:rPr>
            </w:pPr>
            <w:r w:rsidRPr="00D539BE">
              <w:rPr>
                <w:rFonts w:eastAsia="SimSun"/>
                <w:color w:val="000000" w:themeColor="text1"/>
                <w:lang w:eastAsia="en-AU"/>
              </w:rPr>
              <w:t>Strength</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bottom"/>
          </w:tcPr>
          <w:p w:rsidR="00E23323" w:rsidRPr="00D539BE" w:rsidRDefault="00E23323" w:rsidP="001172EE">
            <w:pPr>
              <w:pStyle w:val="Tabletext"/>
              <w:keepNext/>
              <w:keepLines/>
              <w:jc w:val="center"/>
              <w:rPr>
                <w:b/>
                <w:color w:val="000000" w:themeColor="text1"/>
              </w:rPr>
            </w:pPr>
            <w:r w:rsidRPr="00D539BE">
              <w:rPr>
                <w:rFonts w:eastAsia="SimSun"/>
                <w:color w:val="000000" w:themeColor="text1"/>
                <w:lang w:eastAsia="en-AU"/>
              </w:rPr>
              <w:t>5</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bottom"/>
          </w:tcPr>
          <w:p w:rsidR="00E23323" w:rsidRPr="00D539BE" w:rsidRDefault="00E23323" w:rsidP="001172EE">
            <w:pPr>
              <w:pStyle w:val="Tabletext"/>
              <w:keepNext/>
              <w:keepLines/>
              <w:jc w:val="center"/>
              <w:rPr>
                <w:b/>
                <w:color w:val="000000" w:themeColor="text1"/>
              </w:rPr>
            </w:pPr>
            <w:r w:rsidRPr="00D539BE">
              <w:rPr>
                <w:rFonts w:eastAsia="SimSun"/>
                <w:color w:val="000000" w:themeColor="text1"/>
                <w:lang w:eastAsia="en-AU"/>
              </w:rPr>
              <w:t>10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bottom"/>
          </w:tcPr>
          <w:p w:rsidR="00E23323" w:rsidRPr="00D539BE" w:rsidRDefault="00E23323" w:rsidP="001172EE">
            <w:pPr>
              <w:pStyle w:val="Tabletext"/>
              <w:keepNext/>
              <w:keepLines/>
              <w:jc w:val="center"/>
              <w:rPr>
                <w:b/>
                <w:color w:val="000000" w:themeColor="text1"/>
              </w:rPr>
            </w:pPr>
            <w:r w:rsidRPr="00D539BE">
              <w:rPr>
                <w:rFonts w:eastAsia="SimSun"/>
                <w:color w:val="000000" w:themeColor="text1"/>
                <w:lang w:eastAsia="en-AU"/>
              </w:rPr>
              <w:t>15</w:t>
            </w:r>
          </w:p>
        </w:tc>
        <w:tc>
          <w:tcPr>
            <w:tcW w:w="1134" w:type="dxa"/>
            <w:tcMar>
              <w:left w:w="28" w:type="dxa"/>
              <w:right w:w="28" w:type="dxa"/>
            </w:tcMar>
            <w:vAlign w:val="bottom"/>
          </w:tcPr>
          <w:p w:rsidR="00E23323" w:rsidRPr="00D539BE" w:rsidRDefault="00E23323" w:rsidP="001172EE">
            <w:pPr>
              <w:pStyle w:val="Tabletext"/>
              <w:keepNext/>
              <w:keepLines/>
              <w:jc w:val="center"/>
              <w:rPr>
                <w:b/>
                <w:color w:val="000000" w:themeColor="text1"/>
              </w:rPr>
            </w:pPr>
            <w:r w:rsidRPr="00D539BE">
              <w:rPr>
                <w:rFonts w:eastAsia="SimSun"/>
                <w:color w:val="000000" w:themeColor="text1"/>
                <w:lang w:eastAsia="en-AU"/>
              </w:rPr>
              <w:t>50</w:t>
            </w:r>
          </w:p>
        </w:tc>
        <w:tc>
          <w:tcPr>
            <w:tcW w:w="1134" w:type="dxa"/>
            <w:tcMar>
              <w:left w:w="28" w:type="dxa"/>
              <w:right w:w="28" w:type="dxa"/>
            </w:tcMar>
          </w:tcPr>
          <w:p w:rsidR="00E23323" w:rsidRPr="00D539BE" w:rsidRDefault="00E23323" w:rsidP="001172EE">
            <w:pPr>
              <w:pStyle w:val="Tabletext"/>
              <w:keepNext/>
              <w:keepLines/>
              <w:jc w:val="center"/>
              <w:rPr>
                <w:b/>
                <w:color w:val="000000" w:themeColor="text1"/>
              </w:rPr>
            </w:pPr>
            <w:r w:rsidRPr="00D539BE">
              <w:rPr>
                <w:rFonts w:eastAsia="SimSun"/>
                <w:color w:val="000000" w:themeColor="text1"/>
                <w:lang w:eastAsia="en-AU"/>
              </w:rPr>
              <w:t>100</w:t>
            </w:r>
          </w:p>
        </w:tc>
      </w:tr>
      <w:tr w:rsidR="00E23323" w:rsidRPr="00D539BE" w:rsidTr="00D03C86">
        <w:tc>
          <w:tcPr>
            <w:tcW w:w="988" w:type="dxa"/>
            <w:tcBorders>
              <w:top w:val="nil"/>
              <w:left w:val="single" w:sz="4" w:space="0" w:color="auto"/>
              <w:bottom w:val="single" w:sz="4" w:space="0" w:color="auto"/>
              <w:right w:val="single" w:sz="4" w:space="0" w:color="auto"/>
            </w:tcBorders>
            <w:tcMar>
              <w:left w:w="28" w:type="dxa"/>
              <w:right w:w="28" w:type="dxa"/>
            </w:tcMar>
            <w:vAlign w:val="center"/>
          </w:tcPr>
          <w:p w:rsidR="00E23323" w:rsidRPr="00D539BE" w:rsidRDefault="00E23323" w:rsidP="001172EE">
            <w:pPr>
              <w:pStyle w:val="Tabletext"/>
              <w:keepNext/>
              <w:keepLines/>
              <w:jc w:val="center"/>
              <w:rPr>
                <w:rFonts w:eastAsia="SimSun"/>
                <w:color w:val="000000" w:themeColor="text1"/>
                <w:lang w:eastAsia="en-AU"/>
              </w:rPr>
            </w:pPr>
            <w:r w:rsidRPr="00D539BE">
              <w:rPr>
                <w:color w:val="000000" w:themeColor="text1"/>
              </w:rPr>
              <w:t>B</w:t>
            </w:r>
          </w:p>
        </w:tc>
        <w:tc>
          <w:tcPr>
            <w:tcW w:w="1984"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rsidR="00E23323" w:rsidRPr="00D539BE" w:rsidRDefault="00E23323" w:rsidP="001172EE">
            <w:pPr>
              <w:pStyle w:val="Tabletext"/>
              <w:keepNext/>
              <w:keepLines/>
              <w:rPr>
                <w:b/>
                <w:color w:val="000000" w:themeColor="text1"/>
              </w:rPr>
            </w:pPr>
            <w:r w:rsidRPr="00D539BE">
              <w:rPr>
                <w:rFonts w:eastAsia="SimSun"/>
                <w:color w:val="000000" w:themeColor="text1"/>
                <w:lang w:eastAsia="en-AU"/>
              </w:rPr>
              <w:t>Quantity</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bottom"/>
          </w:tcPr>
          <w:p w:rsidR="00E23323" w:rsidRPr="00D539BE" w:rsidRDefault="00E23323" w:rsidP="001172EE">
            <w:pPr>
              <w:pStyle w:val="Tabletext"/>
              <w:keepNext/>
              <w:keepLines/>
              <w:jc w:val="center"/>
              <w:rPr>
                <w:b/>
                <w:color w:val="000000" w:themeColor="text1"/>
              </w:rPr>
            </w:pPr>
            <w:r w:rsidRPr="00D539BE">
              <w:rPr>
                <w:rFonts w:eastAsia="SimSun"/>
                <w:color w:val="000000" w:themeColor="text1"/>
                <w:lang w:eastAsia="en-AU"/>
              </w:rPr>
              <w:t>28</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bottom"/>
          </w:tcPr>
          <w:p w:rsidR="00E23323" w:rsidRPr="00D539BE" w:rsidRDefault="00E23323" w:rsidP="001172EE">
            <w:pPr>
              <w:pStyle w:val="Tabletext"/>
              <w:keepNext/>
              <w:keepLines/>
              <w:jc w:val="center"/>
              <w:rPr>
                <w:b/>
                <w:color w:val="000000" w:themeColor="text1"/>
              </w:rPr>
            </w:pPr>
            <w:r w:rsidRPr="00D539BE">
              <w:rPr>
                <w:rFonts w:eastAsia="SimSun"/>
                <w:color w:val="000000" w:themeColor="text1"/>
                <w:lang w:eastAsia="en-AU"/>
              </w:rPr>
              <w:t>28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bottom"/>
          </w:tcPr>
          <w:p w:rsidR="00E23323" w:rsidRPr="00D539BE" w:rsidRDefault="00E23323" w:rsidP="001172EE">
            <w:pPr>
              <w:pStyle w:val="Tabletext"/>
              <w:keepNext/>
              <w:keepLines/>
              <w:jc w:val="center"/>
              <w:rPr>
                <w:b/>
                <w:color w:val="000000" w:themeColor="text1"/>
              </w:rPr>
            </w:pPr>
            <w:r w:rsidRPr="00D539BE">
              <w:rPr>
                <w:rFonts w:eastAsia="SimSun"/>
                <w:color w:val="000000" w:themeColor="text1"/>
                <w:lang w:eastAsia="en-AU"/>
              </w:rPr>
              <w:t>28</w:t>
            </w:r>
          </w:p>
        </w:tc>
        <w:tc>
          <w:tcPr>
            <w:tcW w:w="1134" w:type="dxa"/>
            <w:tcMar>
              <w:left w:w="28" w:type="dxa"/>
              <w:right w:w="28" w:type="dxa"/>
            </w:tcMar>
            <w:vAlign w:val="bottom"/>
          </w:tcPr>
          <w:p w:rsidR="00E23323" w:rsidRPr="00D539BE" w:rsidRDefault="00E23323" w:rsidP="001172EE">
            <w:pPr>
              <w:pStyle w:val="Tabletext"/>
              <w:keepNext/>
              <w:keepLines/>
              <w:jc w:val="center"/>
              <w:rPr>
                <w:b/>
                <w:color w:val="000000" w:themeColor="text1"/>
              </w:rPr>
            </w:pPr>
            <w:r w:rsidRPr="00D539BE">
              <w:rPr>
                <w:rFonts w:eastAsia="SimSun"/>
                <w:color w:val="000000" w:themeColor="text1"/>
                <w:lang w:eastAsia="en-AU"/>
              </w:rPr>
              <w:t>112</w:t>
            </w:r>
          </w:p>
        </w:tc>
        <w:tc>
          <w:tcPr>
            <w:tcW w:w="1134" w:type="dxa"/>
            <w:tcMar>
              <w:left w:w="28" w:type="dxa"/>
              <w:right w:w="28" w:type="dxa"/>
            </w:tcMar>
          </w:tcPr>
          <w:p w:rsidR="00E23323" w:rsidRPr="00D539BE" w:rsidRDefault="00E23323" w:rsidP="001172EE">
            <w:pPr>
              <w:pStyle w:val="Tabletext"/>
              <w:keepNext/>
              <w:keepLines/>
              <w:jc w:val="center"/>
              <w:rPr>
                <w:b/>
                <w:color w:val="000000" w:themeColor="text1"/>
              </w:rPr>
            </w:pPr>
            <w:r w:rsidRPr="00D539BE">
              <w:rPr>
                <w:rFonts w:eastAsia="SimSun"/>
                <w:color w:val="000000" w:themeColor="text1"/>
                <w:lang w:eastAsia="en-AU"/>
              </w:rPr>
              <w:t>56</w:t>
            </w:r>
          </w:p>
        </w:tc>
      </w:tr>
      <w:tr w:rsidR="00E23323" w:rsidRPr="00D539BE" w:rsidTr="00D03C86">
        <w:tc>
          <w:tcPr>
            <w:tcW w:w="988" w:type="dxa"/>
            <w:tcBorders>
              <w:top w:val="nil"/>
              <w:left w:val="single" w:sz="4" w:space="0" w:color="auto"/>
              <w:bottom w:val="single" w:sz="4" w:space="0" w:color="auto"/>
              <w:right w:val="single" w:sz="4" w:space="0" w:color="auto"/>
            </w:tcBorders>
            <w:tcMar>
              <w:left w:w="28" w:type="dxa"/>
              <w:right w:w="28" w:type="dxa"/>
            </w:tcMar>
            <w:vAlign w:val="center"/>
          </w:tcPr>
          <w:p w:rsidR="00E23323" w:rsidRPr="00D539BE" w:rsidRDefault="00E23323" w:rsidP="001172EE">
            <w:pPr>
              <w:pStyle w:val="Tabletext"/>
              <w:keepNext/>
              <w:keepLines/>
              <w:jc w:val="center"/>
              <w:rPr>
                <w:color w:val="000000" w:themeColor="text1"/>
              </w:rPr>
            </w:pPr>
            <w:r w:rsidRPr="00D539BE">
              <w:rPr>
                <w:color w:val="000000" w:themeColor="text1"/>
              </w:rPr>
              <w:t>C = A x B</w:t>
            </w:r>
          </w:p>
        </w:tc>
        <w:tc>
          <w:tcPr>
            <w:tcW w:w="198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E23323" w:rsidRPr="00D539BE" w:rsidRDefault="00E23323" w:rsidP="001172EE">
            <w:pPr>
              <w:pStyle w:val="Tabletext"/>
              <w:keepNext/>
              <w:keepLines/>
              <w:rPr>
                <w:rFonts w:eastAsia="SimSun"/>
                <w:color w:val="000000" w:themeColor="text1"/>
                <w:lang w:eastAsia="en-AU"/>
              </w:rPr>
            </w:pPr>
            <w:r w:rsidRPr="00D539BE">
              <w:rPr>
                <w:rFonts w:eastAsia="SimSun"/>
                <w:color w:val="000000" w:themeColor="text1"/>
                <w:lang w:eastAsia="en-AU"/>
              </w:rPr>
              <w:t>Pack quantity (mg)</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bottom"/>
          </w:tcPr>
          <w:p w:rsidR="00E23323" w:rsidRPr="00D539BE" w:rsidRDefault="00E23323" w:rsidP="001172EE">
            <w:pPr>
              <w:pStyle w:val="Tabletext"/>
              <w:keepNext/>
              <w:keepLines/>
              <w:jc w:val="center"/>
              <w:rPr>
                <w:rFonts w:eastAsia="SimSun"/>
                <w:color w:val="000000" w:themeColor="text1"/>
                <w:lang w:eastAsia="en-AU"/>
              </w:rPr>
            </w:pPr>
            <w:r w:rsidRPr="00D539BE">
              <w:rPr>
                <w:rFonts w:eastAsia="SimSun"/>
                <w:color w:val="000000" w:themeColor="text1"/>
                <w:lang w:eastAsia="en-AU"/>
              </w:rPr>
              <w:t>140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bottom"/>
          </w:tcPr>
          <w:p w:rsidR="00E23323" w:rsidRPr="00D539BE" w:rsidRDefault="00E23323" w:rsidP="001172EE">
            <w:pPr>
              <w:pStyle w:val="Tabletext"/>
              <w:keepNext/>
              <w:keepLines/>
              <w:jc w:val="center"/>
              <w:rPr>
                <w:rFonts w:eastAsia="SimSun"/>
                <w:color w:val="000000" w:themeColor="text1"/>
                <w:lang w:eastAsia="en-AU"/>
              </w:rPr>
            </w:pPr>
            <w:r w:rsidRPr="00D539BE">
              <w:rPr>
                <w:rFonts w:eastAsia="SimSun"/>
                <w:color w:val="000000" w:themeColor="text1"/>
                <w:lang w:eastAsia="en-AU"/>
              </w:rPr>
              <w:t>280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bottom"/>
          </w:tcPr>
          <w:p w:rsidR="00E23323" w:rsidRPr="00D539BE" w:rsidRDefault="00E23323" w:rsidP="001172EE">
            <w:pPr>
              <w:pStyle w:val="Tabletext"/>
              <w:keepNext/>
              <w:keepLines/>
              <w:jc w:val="center"/>
              <w:rPr>
                <w:rFonts w:eastAsia="SimSun"/>
                <w:color w:val="000000" w:themeColor="text1"/>
                <w:lang w:eastAsia="en-AU"/>
              </w:rPr>
            </w:pPr>
            <w:r w:rsidRPr="00D539BE">
              <w:rPr>
                <w:rFonts w:eastAsia="SimSun"/>
                <w:color w:val="000000" w:themeColor="text1"/>
                <w:lang w:eastAsia="en-AU"/>
              </w:rPr>
              <w:t>420</w:t>
            </w:r>
          </w:p>
        </w:tc>
        <w:tc>
          <w:tcPr>
            <w:tcW w:w="1134" w:type="dxa"/>
            <w:tcMar>
              <w:left w:w="28" w:type="dxa"/>
              <w:right w:w="28" w:type="dxa"/>
            </w:tcMar>
            <w:vAlign w:val="bottom"/>
          </w:tcPr>
          <w:p w:rsidR="00E23323" w:rsidRPr="00D539BE" w:rsidRDefault="00E23323" w:rsidP="001172EE">
            <w:pPr>
              <w:pStyle w:val="Tabletext"/>
              <w:keepNext/>
              <w:keepLines/>
              <w:jc w:val="center"/>
              <w:rPr>
                <w:rFonts w:eastAsia="SimSun"/>
                <w:color w:val="000000" w:themeColor="text1"/>
                <w:lang w:eastAsia="en-AU"/>
              </w:rPr>
            </w:pPr>
            <w:r w:rsidRPr="00D539BE">
              <w:rPr>
                <w:rFonts w:eastAsia="SimSun"/>
                <w:color w:val="000000" w:themeColor="text1"/>
                <w:lang w:eastAsia="en-AU"/>
              </w:rPr>
              <w:t>5</w:t>
            </w:r>
            <w:r w:rsidR="00AE18A4" w:rsidRPr="00D539BE">
              <w:rPr>
                <w:rFonts w:eastAsia="SimSun"/>
                <w:color w:val="000000" w:themeColor="text1"/>
                <w:lang w:eastAsia="en-AU"/>
              </w:rPr>
              <w:t>,</w:t>
            </w:r>
            <w:r w:rsidRPr="00D539BE">
              <w:rPr>
                <w:rFonts w:eastAsia="SimSun"/>
                <w:color w:val="000000" w:themeColor="text1"/>
                <w:lang w:eastAsia="en-AU"/>
              </w:rPr>
              <w:t>600</w:t>
            </w:r>
          </w:p>
        </w:tc>
        <w:tc>
          <w:tcPr>
            <w:tcW w:w="1134" w:type="dxa"/>
            <w:tcMar>
              <w:left w:w="28" w:type="dxa"/>
              <w:right w:w="28" w:type="dxa"/>
            </w:tcMar>
          </w:tcPr>
          <w:p w:rsidR="00E23323" w:rsidRPr="00D539BE" w:rsidRDefault="00E23323" w:rsidP="001172EE">
            <w:pPr>
              <w:pStyle w:val="Tabletext"/>
              <w:keepNext/>
              <w:keepLines/>
              <w:jc w:val="center"/>
              <w:rPr>
                <w:rFonts w:eastAsia="SimSun"/>
                <w:color w:val="000000" w:themeColor="text1"/>
                <w:lang w:eastAsia="en-AU"/>
              </w:rPr>
            </w:pPr>
            <w:r w:rsidRPr="00D539BE">
              <w:rPr>
                <w:rFonts w:eastAsia="SimSun"/>
                <w:color w:val="000000" w:themeColor="text1"/>
                <w:lang w:eastAsia="en-AU"/>
              </w:rPr>
              <w:t>5</w:t>
            </w:r>
            <w:r w:rsidR="00AE18A4" w:rsidRPr="00D539BE">
              <w:rPr>
                <w:rFonts w:eastAsia="SimSun"/>
                <w:color w:val="000000" w:themeColor="text1"/>
                <w:lang w:eastAsia="en-AU"/>
              </w:rPr>
              <w:t>,</w:t>
            </w:r>
            <w:r w:rsidRPr="00D539BE">
              <w:rPr>
                <w:rFonts w:eastAsia="SimSun"/>
                <w:color w:val="000000" w:themeColor="text1"/>
                <w:lang w:eastAsia="en-AU"/>
              </w:rPr>
              <w:t>600</w:t>
            </w:r>
          </w:p>
        </w:tc>
      </w:tr>
      <w:tr w:rsidR="00E23323" w:rsidRPr="00D539BE" w:rsidTr="00D03C86">
        <w:tc>
          <w:tcPr>
            <w:tcW w:w="988" w:type="dxa"/>
            <w:tcBorders>
              <w:top w:val="nil"/>
              <w:left w:val="single" w:sz="4" w:space="0" w:color="auto"/>
              <w:bottom w:val="single" w:sz="4" w:space="0" w:color="auto"/>
              <w:right w:val="single" w:sz="4" w:space="0" w:color="auto"/>
            </w:tcBorders>
            <w:tcMar>
              <w:left w:w="28" w:type="dxa"/>
              <w:right w:w="28" w:type="dxa"/>
            </w:tcMar>
            <w:vAlign w:val="center"/>
          </w:tcPr>
          <w:p w:rsidR="00E23323" w:rsidRPr="00D539BE" w:rsidRDefault="00E23323" w:rsidP="001172EE">
            <w:pPr>
              <w:pStyle w:val="Tabletext"/>
              <w:keepNext/>
              <w:keepLines/>
              <w:jc w:val="center"/>
              <w:rPr>
                <w:color w:val="000000" w:themeColor="text1"/>
              </w:rPr>
            </w:pPr>
            <w:r w:rsidRPr="00D539BE">
              <w:rPr>
                <w:color w:val="000000" w:themeColor="text1"/>
              </w:rPr>
              <w:t>D</w:t>
            </w:r>
          </w:p>
        </w:tc>
        <w:tc>
          <w:tcPr>
            <w:tcW w:w="198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E23323" w:rsidRPr="00D539BE" w:rsidRDefault="00E23323" w:rsidP="001172EE">
            <w:pPr>
              <w:pStyle w:val="Tabletext"/>
              <w:keepNext/>
              <w:keepLines/>
              <w:rPr>
                <w:rFonts w:eastAsia="SimSun"/>
                <w:color w:val="000000" w:themeColor="text1"/>
                <w:lang w:eastAsia="en-AU"/>
              </w:rPr>
            </w:pPr>
            <w:proofErr w:type="spellStart"/>
            <w:r w:rsidRPr="00D539BE">
              <w:rPr>
                <w:rFonts w:eastAsia="SimSun"/>
                <w:color w:val="000000" w:themeColor="text1"/>
                <w:lang w:eastAsia="en-AU"/>
              </w:rPr>
              <w:t>Equi</w:t>
            </w:r>
            <w:proofErr w:type="spellEnd"/>
            <w:r w:rsidRPr="00D539BE">
              <w:rPr>
                <w:rFonts w:eastAsia="SimSun"/>
                <w:color w:val="000000" w:themeColor="text1"/>
                <w:lang w:eastAsia="en-AU"/>
              </w:rPr>
              <w:t>-effective daily doses</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bottom"/>
          </w:tcPr>
          <w:p w:rsidR="00E23323" w:rsidRPr="001D6F6D" w:rsidRDefault="001D6F6D" w:rsidP="001172EE">
            <w:pPr>
              <w:pStyle w:val="Tabletext"/>
              <w:keepNext/>
              <w:keepLines/>
              <w:jc w:val="center"/>
              <w:rPr>
                <w:rFonts w:eastAsia="SimSun"/>
                <w:color w:val="000000" w:themeColor="text1"/>
                <w:highlight w:val="black"/>
                <w:lang w:eastAsia="en-AU"/>
              </w:rPr>
            </w:pPr>
            <w:r>
              <w:rPr>
                <w:rFonts w:eastAsia="SimSun"/>
                <w:noProof/>
                <w:color w:val="000000"/>
                <w:highlight w:val="black"/>
                <w:lang w:eastAsia="en-AU"/>
              </w:rPr>
              <w:t>''''''</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bottom"/>
          </w:tcPr>
          <w:p w:rsidR="00E23323" w:rsidRPr="001D6F6D" w:rsidRDefault="001D6F6D" w:rsidP="001172EE">
            <w:pPr>
              <w:pStyle w:val="Tabletext"/>
              <w:keepNext/>
              <w:keepLines/>
              <w:jc w:val="center"/>
              <w:rPr>
                <w:rFonts w:eastAsia="SimSun"/>
                <w:color w:val="000000" w:themeColor="text1"/>
                <w:highlight w:val="black"/>
                <w:lang w:eastAsia="en-AU"/>
              </w:rPr>
            </w:pPr>
            <w:r>
              <w:rPr>
                <w:rFonts w:eastAsia="SimSun"/>
                <w:noProof/>
                <w:color w:val="000000"/>
                <w:highlight w:val="black"/>
                <w:lang w:eastAsia="en-AU"/>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bottom"/>
          </w:tcPr>
          <w:p w:rsidR="00E23323" w:rsidRPr="001D6F6D" w:rsidRDefault="001D6F6D" w:rsidP="001172EE">
            <w:pPr>
              <w:pStyle w:val="Tabletext"/>
              <w:keepNext/>
              <w:keepLines/>
              <w:jc w:val="center"/>
              <w:rPr>
                <w:rFonts w:eastAsia="SimSun"/>
                <w:color w:val="000000" w:themeColor="text1"/>
                <w:highlight w:val="black"/>
                <w:lang w:eastAsia="en-AU"/>
              </w:rPr>
            </w:pPr>
            <w:r>
              <w:rPr>
                <w:rFonts w:eastAsia="SimSun"/>
                <w:noProof/>
                <w:color w:val="000000"/>
                <w:highlight w:val="black"/>
                <w:lang w:eastAsia="en-AU"/>
              </w:rPr>
              <w:t>''''''</w:t>
            </w:r>
          </w:p>
        </w:tc>
        <w:tc>
          <w:tcPr>
            <w:tcW w:w="2268" w:type="dxa"/>
            <w:gridSpan w:val="2"/>
            <w:tcBorders>
              <w:top w:val="nil"/>
              <w:left w:val="nil"/>
              <w:bottom w:val="single" w:sz="4" w:space="0" w:color="auto"/>
              <w:right w:val="single" w:sz="4" w:space="0" w:color="auto"/>
            </w:tcBorders>
            <w:shd w:val="clear" w:color="auto" w:fill="auto"/>
            <w:tcMar>
              <w:left w:w="28" w:type="dxa"/>
              <w:right w:w="28" w:type="dxa"/>
            </w:tcMar>
            <w:vAlign w:val="bottom"/>
          </w:tcPr>
          <w:p w:rsidR="00E23323" w:rsidRPr="001D6F6D" w:rsidRDefault="001D6F6D" w:rsidP="001172EE">
            <w:pPr>
              <w:pStyle w:val="Tabletext"/>
              <w:keepNext/>
              <w:keepLines/>
              <w:jc w:val="center"/>
              <w:rPr>
                <w:rFonts w:eastAsia="SimSun"/>
                <w:color w:val="000000" w:themeColor="text1"/>
                <w:highlight w:val="black"/>
                <w:lang w:eastAsia="en-AU"/>
              </w:rPr>
            </w:pPr>
            <w:r>
              <w:rPr>
                <w:rFonts w:eastAsia="SimSun"/>
                <w:noProof/>
                <w:color w:val="000000"/>
                <w:highlight w:val="black"/>
                <w:lang w:eastAsia="en-AU"/>
              </w:rPr>
              <w:t>''''''''''</w:t>
            </w:r>
          </w:p>
        </w:tc>
      </w:tr>
      <w:tr w:rsidR="00E23323" w:rsidRPr="00D539BE" w:rsidTr="00D03C86">
        <w:tc>
          <w:tcPr>
            <w:tcW w:w="988" w:type="dxa"/>
            <w:tcBorders>
              <w:top w:val="nil"/>
              <w:left w:val="single" w:sz="4" w:space="0" w:color="auto"/>
              <w:bottom w:val="single" w:sz="4" w:space="0" w:color="auto"/>
              <w:right w:val="single" w:sz="4" w:space="0" w:color="auto"/>
            </w:tcBorders>
            <w:tcMar>
              <w:left w:w="28" w:type="dxa"/>
              <w:right w:w="28" w:type="dxa"/>
            </w:tcMar>
            <w:vAlign w:val="center"/>
          </w:tcPr>
          <w:p w:rsidR="00E23323" w:rsidRPr="00D539BE" w:rsidRDefault="00E23323" w:rsidP="001172EE">
            <w:pPr>
              <w:pStyle w:val="Tabletext"/>
              <w:keepNext/>
              <w:keepLines/>
              <w:jc w:val="center"/>
              <w:rPr>
                <w:color w:val="000000" w:themeColor="text1"/>
              </w:rPr>
            </w:pPr>
            <w:r w:rsidRPr="00D539BE">
              <w:rPr>
                <w:color w:val="000000" w:themeColor="text1"/>
              </w:rPr>
              <w:t>E</w:t>
            </w:r>
          </w:p>
        </w:tc>
        <w:tc>
          <w:tcPr>
            <w:tcW w:w="198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E23323" w:rsidRPr="00D539BE" w:rsidRDefault="00E23323" w:rsidP="001172EE">
            <w:pPr>
              <w:pStyle w:val="Tabletext"/>
              <w:keepNext/>
              <w:keepLines/>
              <w:rPr>
                <w:rFonts w:eastAsia="SimSun"/>
                <w:color w:val="000000" w:themeColor="text1"/>
                <w:lang w:eastAsia="en-AU"/>
              </w:rPr>
            </w:pPr>
            <w:r w:rsidRPr="00D539BE">
              <w:rPr>
                <w:rFonts w:eastAsia="SimSun"/>
                <w:color w:val="000000" w:themeColor="text1"/>
                <w:lang w:eastAsia="en-AU"/>
              </w:rPr>
              <w:t>Cost per mg (AEMP)</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E23323" w:rsidRPr="00D539BE" w:rsidRDefault="00E23323" w:rsidP="001172EE">
            <w:pPr>
              <w:pStyle w:val="Tabletext"/>
              <w:keepNext/>
              <w:keepLines/>
              <w:jc w:val="center"/>
              <w:rPr>
                <w:rFonts w:eastAsia="SimSun"/>
                <w:color w:val="000000" w:themeColor="text1"/>
                <w:lang w:eastAsia="en-AU"/>
              </w:rPr>
            </w:pPr>
            <w:r w:rsidRPr="00D539BE">
              <w:rPr>
                <w:rFonts w:eastAsia="SimSun"/>
                <w:color w:val="000000" w:themeColor="text1"/>
                <w:lang w:eastAsia="en-AU"/>
              </w:rPr>
              <w:t>$</w:t>
            </w:r>
            <w:r w:rsidR="001D6F6D">
              <w:rPr>
                <w:rFonts w:eastAsia="SimSun"/>
                <w:noProof/>
                <w:color w:val="000000"/>
                <w:highlight w:val="black"/>
                <w:lang w:eastAsia="en-AU"/>
              </w:rPr>
              <w:t>'''''''''''</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E23323" w:rsidRPr="00D539BE" w:rsidRDefault="00E23323" w:rsidP="001172EE">
            <w:pPr>
              <w:pStyle w:val="Tabletext"/>
              <w:keepNext/>
              <w:keepLines/>
              <w:jc w:val="center"/>
              <w:rPr>
                <w:rFonts w:eastAsia="SimSun"/>
                <w:color w:val="000000" w:themeColor="text1"/>
                <w:lang w:eastAsia="en-AU"/>
              </w:rPr>
            </w:pPr>
            <w:r w:rsidRPr="00D539BE">
              <w:rPr>
                <w:rFonts w:eastAsia="SimSun"/>
                <w:color w:val="000000" w:themeColor="text1"/>
                <w:lang w:eastAsia="en-AU"/>
              </w:rPr>
              <w:t>$</w:t>
            </w:r>
            <w:r w:rsidR="001D6F6D">
              <w:rPr>
                <w:rFonts w:eastAsia="SimSun"/>
                <w:noProof/>
                <w:color w:val="000000"/>
                <w:highlight w:val="black"/>
                <w:lang w:eastAsia="en-AU"/>
              </w:rPr>
              <w:t>''''''''''</w:t>
            </w:r>
          </w:p>
          <w:p w:rsidR="00E23323" w:rsidRPr="00D539BE" w:rsidRDefault="00E23323" w:rsidP="001172EE">
            <w:pPr>
              <w:pStyle w:val="Tabletext"/>
              <w:keepNext/>
              <w:keepLines/>
              <w:jc w:val="center"/>
              <w:rPr>
                <w:rFonts w:eastAsia="SimSun"/>
                <w:color w:val="000000" w:themeColor="text1"/>
                <w:lang w:eastAsia="en-AU"/>
              </w:rPr>
            </w:pPr>
            <w:r w:rsidRPr="00D539BE">
              <w:rPr>
                <w:rFonts w:eastAsia="SimSun"/>
                <w:color w:val="000000" w:themeColor="text1"/>
                <w:lang w:eastAsia="en-AU"/>
              </w:rPr>
              <w:t>(= $</w:t>
            </w:r>
            <w:r w:rsidR="001D6F6D">
              <w:rPr>
                <w:rFonts w:eastAsia="SimSun"/>
                <w:noProof/>
                <w:color w:val="000000"/>
                <w:highlight w:val="black"/>
                <w:lang w:eastAsia="en-AU"/>
              </w:rPr>
              <w:t>''''''''''''</w:t>
            </w:r>
            <w:r w:rsidRPr="00D539BE">
              <w:rPr>
                <w:rFonts w:eastAsia="SimSun"/>
                <w:color w:val="000000" w:themeColor="text1"/>
                <w:lang w:eastAsia="en-AU"/>
              </w:rPr>
              <w:t xml:space="preserve"> * </w:t>
            </w:r>
            <w:r w:rsidR="001D6F6D">
              <w:rPr>
                <w:rFonts w:eastAsia="SimSun"/>
                <w:noProof/>
                <w:color w:val="000000"/>
                <w:highlight w:val="black"/>
                <w:lang w:eastAsia="en-AU"/>
              </w:rPr>
              <w:t>'''''</w:t>
            </w:r>
            <w:r w:rsidRPr="00D539BE">
              <w:rPr>
                <w:rFonts w:eastAsia="SimSun"/>
                <w:color w:val="000000" w:themeColor="text1"/>
                <w:lang w:eastAsia="en-AU"/>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rsidR="00E23323" w:rsidRPr="00D539BE" w:rsidRDefault="00E23323" w:rsidP="001172EE">
            <w:pPr>
              <w:pStyle w:val="Tabletext"/>
              <w:keepNext/>
              <w:keepLines/>
              <w:jc w:val="center"/>
              <w:rPr>
                <w:rFonts w:eastAsia="SimSun"/>
                <w:color w:val="000000" w:themeColor="text1"/>
                <w:lang w:eastAsia="en-AU"/>
              </w:rPr>
            </w:pPr>
            <w:r w:rsidRPr="00D539BE">
              <w:rPr>
                <w:rFonts w:eastAsia="SimSun"/>
                <w:color w:val="000000" w:themeColor="text1"/>
                <w:lang w:eastAsia="en-AU"/>
              </w:rPr>
              <w:t>$</w:t>
            </w:r>
            <w:r w:rsidR="001D6F6D">
              <w:rPr>
                <w:rFonts w:eastAsia="SimSun"/>
                <w:noProof/>
                <w:color w:val="000000"/>
                <w:highlight w:val="black"/>
                <w:lang w:eastAsia="en-AU"/>
              </w:rPr>
              <w:t>'''''''''''</w:t>
            </w:r>
          </w:p>
        </w:tc>
        <w:tc>
          <w:tcPr>
            <w:tcW w:w="2268"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E23323" w:rsidRPr="00D539BE" w:rsidRDefault="00E23323" w:rsidP="001172EE">
            <w:pPr>
              <w:pStyle w:val="Tabletext"/>
              <w:keepNext/>
              <w:keepLines/>
              <w:jc w:val="center"/>
              <w:rPr>
                <w:rFonts w:eastAsia="SimSun"/>
                <w:color w:val="000000" w:themeColor="text1"/>
                <w:lang w:eastAsia="en-AU"/>
              </w:rPr>
            </w:pPr>
            <w:r w:rsidRPr="00D539BE">
              <w:rPr>
                <w:rFonts w:eastAsia="SimSun"/>
                <w:color w:val="000000" w:themeColor="text1"/>
                <w:lang w:eastAsia="en-AU"/>
              </w:rPr>
              <w:t>$</w:t>
            </w:r>
            <w:r w:rsidR="001D6F6D">
              <w:rPr>
                <w:rFonts w:eastAsia="SimSun"/>
                <w:noProof/>
                <w:color w:val="000000"/>
                <w:highlight w:val="black"/>
                <w:lang w:eastAsia="en-AU"/>
              </w:rPr>
              <w:t>'''''''''''''</w:t>
            </w:r>
          </w:p>
          <w:p w:rsidR="00E23323" w:rsidRPr="00D539BE" w:rsidRDefault="00E23323" w:rsidP="001172EE">
            <w:pPr>
              <w:pStyle w:val="Tabletext"/>
              <w:keepNext/>
              <w:keepLines/>
              <w:jc w:val="center"/>
              <w:rPr>
                <w:rFonts w:eastAsia="SimSun"/>
                <w:color w:val="000000" w:themeColor="text1"/>
                <w:lang w:eastAsia="en-AU"/>
              </w:rPr>
            </w:pPr>
            <w:r w:rsidRPr="00D539BE">
              <w:rPr>
                <w:rFonts w:eastAsia="SimSun"/>
                <w:color w:val="000000" w:themeColor="text1"/>
                <w:lang w:eastAsia="en-AU"/>
              </w:rPr>
              <w:t>(= $</w:t>
            </w:r>
            <w:r w:rsidR="001D6F6D">
              <w:rPr>
                <w:rFonts w:eastAsia="SimSun"/>
                <w:noProof/>
                <w:color w:val="000000"/>
                <w:highlight w:val="black"/>
                <w:lang w:eastAsia="en-AU"/>
              </w:rPr>
              <w:t>''''''''''''''''''''''</w:t>
            </w:r>
            <w:r w:rsidRPr="00D539BE">
              <w:rPr>
                <w:rFonts w:eastAsia="SimSun"/>
                <w:color w:val="000000" w:themeColor="text1"/>
                <w:lang w:eastAsia="en-AU"/>
              </w:rPr>
              <w:t xml:space="preserve"> / 5</w:t>
            </w:r>
            <w:r w:rsidR="00AE18A4" w:rsidRPr="00D539BE">
              <w:rPr>
                <w:rFonts w:eastAsia="SimSun"/>
                <w:color w:val="000000" w:themeColor="text1"/>
                <w:lang w:eastAsia="en-AU"/>
              </w:rPr>
              <w:t>,</w:t>
            </w:r>
            <w:r w:rsidRPr="00D539BE">
              <w:rPr>
                <w:rFonts w:eastAsia="SimSun"/>
                <w:color w:val="000000" w:themeColor="text1"/>
                <w:lang w:eastAsia="en-AU"/>
              </w:rPr>
              <w:t>600 mg)</w:t>
            </w:r>
          </w:p>
        </w:tc>
      </w:tr>
      <w:tr w:rsidR="00E23323" w:rsidRPr="00D539BE" w:rsidTr="00D03C86">
        <w:tc>
          <w:tcPr>
            <w:tcW w:w="988" w:type="dxa"/>
            <w:tcBorders>
              <w:top w:val="nil"/>
              <w:left w:val="single" w:sz="4" w:space="0" w:color="auto"/>
              <w:bottom w:val="single" w:sz="4" w:space="0" w:color="auto"/>
              <w:right w:val="single" w:sz="4" w:space="0" w:color="auto"/>
            </w:tcBorders>
            <w:tcMar>
              <w:left w:w="28" w:type="dxa"/>
              <w:right w:w="28" w:type="dxa"/>
            </w:tcMar>
            <w:vAlign w:val="center"/>
          </w:tcPr>
          <w:p w:rsidR="00E23323" w:rsidRPr="00D539BE" w:rsidRDefault="00E23323" w:rsidP="001172EE">
            <w:pPr>
              <w:pStyle w:val="Tabletext"/>
              <w:keepNext/>
              <w:keepLines/>
              <w:jc w:val="center"/>
              <w:rPr>
                <w:color w:val="000000" w:themeColor="text1"/>
              </w:rPr>
            </w:pPr>
            <w:r w:rsidRPr="00D539BE">
              <w:rPr>
                <w:color w:val="000000" w:themeColor="text1"/>
              </w:rPr>
              <w:t>F = D x E</w:t>
            </w:r>
          </w:p>
        </w:tc>
        <w:tc>
          <w:tcPr>
            <w:tcW w:w="1984"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rsidR="00E23323" w:rsidRPr="00D539BE" w:rsidRDefault="00E23323" w:rsidP="001172EE">
            <w:pPr>
              <w:pStyle w:val="Tabletext"/>
              <w:keepNext/>
              <w:keepLines/>
              <w:rPr>
                <w:rFonts w:eastAsia="SimSun"/>
                <w:color w:val="000000" w:themeColor="text1"/>
                <w:lang w:eastAsia="en-AU"/>
              </w:rPr>
            </w:pPr>
            <w:r w:rsidRPr="00D539BE">
              <w:rPr>
                <w:rFonts w:eastAsia="SimSun"/>
                <w:color w:val="000000" w:themeColor="text1"/>
                <w:lang w:eastAsia="en-AU"/>
              </w:rPr>
              <w:t>Cost per day (AEMP)</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bottom"/>
          </w:tcPr>
          <w:p w:rsidR="00E23323" w:rsidRPr="00D539BE" w:rsidRDefault="00E23323" w:rsidP="001172EE">
            <w:pPr>
              <w:pStyle w:val="Tabletext"/>
              <w:keepNext/>
              <w:keepLines/>
              <w:jc w:val="center"/>
              <w:rPr>
                <w:rFonts w:eastAsia="SimSun"/>
                <w:color w:val="000000" w:themeColor="text1"/>
                <w:lang w:eastAsia="en-AU"/>
              </w:rPr>
            </w:pPr>
            <w:r w:rsidRPr="00D539BE">
              <w:rPr>
                <w:rFonts w:eastAsia="SimSun"/>
                <w:color w:val="000000" w:themeColor="text1"/>
                <w:lang w:eastAsia="en-AU"/>
              </w:rPr>
              <w:t>$</w:t>
            </w:r>
            <w:r w:rsidR="001D6F6D">
              <w:rPr>
                <w:rFonts w:eastAsia="SimSun"/>
                <w:noProof/>
                <w:color w:val="000000"/>
                <w:highlight w:val="black"/>
                <w:lang w:eastAsia="en-AU"/>
              </w:rPr>
              <w:t>'''''''''''''</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bottom"/>
          </w:tcPr>
          <w:p w:rsidR="00E23323" w:rsidRPr="00D539BE" w:rsidRDefault="00E23323" w:rsidP="001172EE">
            <w:pPr>
              <w:pStyle w:val="Tabletext"/>
              <w:keepNext/>
              <w:keepLines/>
              <w:jc w:val="center"/>
              <w:rPr>
                <w:rFonts w:eastAsia="SimSun"/>
                <w:color w:val="000000" w:themeColor="text1"/>
                <w:lang w:eastAsia="en-AU"/>
              </w:rPr>
            </w:pPr>
            <w:r w:rsidRPr="00D539BE">
              <w:rPr>
                <w:rFonts w:eastAsia="SimSun"/>
                <w:color w:val="000000" w:themeColor="text1"/>
                <w:lang w:eastAsia="en-AU"/>
              </w:rPr>
              <w:t>$</w:t>
            </w:r>
            <w:r w:rsidR="001D6F6D">
              <w:rPr>
                <w:rFonts w:eastAsia="SimSun"/>
                <w:noProof/>
                <w:color w:val="000000"/>
                <w:highlight w:val="black"/>
                <w:lang w:eastAsia="en-AU"/>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bottom"/>
          </w:tcPr>
          <w:p w:rsidR="00E23323" w:rsidRPr="00D539BE" w:rsidRDefault="00E23323" w:rsidP="001172EE">
            <w:pPr>
              <w:pStyle w:val="Tabletext"/>
              <w:keepNext/>
              <w:keepLines/>
              <w:jc w:val="center"/>
              <w:rPr>
                <w:rFonts w:eastAsia="SimSun"/>
                <w:color w:val="000000" w:themeColor="text1"/>
                <w:lang w:eastAsia="en-AU"/>
              </w:rPr>
            </w:pPr>
            <w:r w:rsidRPr="00D539BE">
              <w:rPr>
                <w:rFonts w:eastAsia="SimSun"/>
                <w:color w:val="000000" w:themeColor="text1"/>
                <w:lang w:eastAsia="en-AU"/>
              </w:rPr>
              <w:t>$</w:t>
            </w:r>
            <w:r w:rsidR="001D6F6D">
              <w:rPr>
                <w:rFonts w:eastAsia="SimSun"/>
                <w:noProof/>
                <w:color w:val="000000"/>
                <w:highlight w:val="black"/>
                <w:lang w:eastAsia="en-AU"/>
              </w:rPr>
              <w:t>''''''''''''''</w:t>
            </w:r>
          </w:p>
        </w:tc>
        <w:tc>
          <w:tcPr>
            <w:tcW w:w="2268" w:type="dxa"/>
            <w:gridSpan w:val="2"/>
            <w:tcBorders>
              <w:top w:val="nil"/>
              <w:left w:val="nil"/>
              <w:bottom w:val="single" w:sz="4" w:space="0" w:color="auto"/>
              <w:right w:val="single" w:sz="4" w:space="0" w:color="auto"/>
            </w:tcBorders>
            <w:shd w:val="clear" w:color="auto" w:fill="auto"/>
            <w:tcMar>
              <w:left w:w="28" w:type="dxa"/>
              <w:right w:w="28" w:type="dxa"/>
            </w:tcMar>
            <w:vAlign w:val="bottom"/>
          </w:tcPr>
          <w:p w:rsidR="00E23323" w:rsidRPr="00D539BE" w:rsidRDefault="00E23323" w:rsidP="001172EE">
            <w:pPr>
              <w:pStyle w:val="Tabletext"/>
              <w:keepNext/>
              <w:keepLines/>
              <w:jc w:val="center"/>
              <w:rPr>
                <w:rFonts w:eastAsia="SimSun"/>
                <w:color w:val="000000" w:themeColor="text1"/>
                <w:lang w:eastAsia="en-AU"/>
              </w:rPr>
            </w:pPr>
            <w:r w:rsidRPr="00D539BE">
              <w:rPr>
                <w:rFonts w:eastAsia="SimSun"/>
                <w:color w:val="000000" w:themeColor="text1"/>
                <w:lang w:eastAsia="en-AU"/>
              </w:rPr>
              <w:t>$</w:t>
            </w:r>
            <w:r w:rsidR="001D6F6D">
              <w:rPr>
                <w:rFonts w:eastAsia="SimSun"/>
                <w:noProof/>
                <w:color w:val="000000"/>
                <w:highlight w:val="black"/>
                <w:lang w:eastAsia="en-AU"/>
              </w:rPr>
              <w:t>''''''''''''''</w:t>
            </w:r>
          </w:p>
        </w:tc>
      </w:tr>
      <w:tr w:rsidR="00E23323" w:rsidRPr="00D539BE" w:rsidTr="00D03C86">
        <w:tc>
          <w:tcPr>
            <w:tcW w:w="988" w:type="dxa"/>
            <w:tcBorders>
              <w:top w:val="nil"/>
              <w:left w:val="single" w:sz="4" w:space="0" w:color="auto"/>
              <w:bottom w:val="single" w:sz="4" w:space="0" w:color="auto"/>
              <w:right w:val="single" w:sz="4" w:space="0" w:color="auto"/>
            </w:tcBorders>
            <w:tcMar>
              <w:left w:w="28" w:type="dxa"/>
              <w:right w:w="28" w:type="dxa"/>
            </w:tcMar>
            <w:vAlign w:val="center"/>
          </w:tcPr>
          <w:p w:rsidR="00E23323" w:rsidRPr="00D539BE" w:rsidRDefault="00E23323" w:rsidP="001172EE">
            <w:pPr>
              <w:pStyle w:val="Tabletext"/>
              <w:keepNext/>
              <w:keepLines/>
              <w:jc w:val="center"/>
              <w:rPr>
                <w:color w:val="000000" w:themeColor="text1"/>
              </w:rPr>
            </w:pPr>
            <w:r w:rsidRPr="00D539BE">
              <w:rPr>
                <w:color w:val="000000" w:themeColor="text1"/>
              </w:rPr>
              <w:t>G</w:t>
            </w:r>
            <w:r w:rsidR="000F7FDA" w:rsidRPr="00D539BE">
              <w:rPr>
                <w:color w:val="000000" w:themeColor="text1"/>
              </w:rPr>
              <w:t xml:space="preserve"> </w:t>
            </w:r>
            <w:r w:rsidRPr="00D539BE">
              <w:rPr>
                <w:color w:val="000000" w:themeColor="text1"/>
              </w:rPr>
              <w:t>= C x E</w:t>
            </w:r>
          </w:p>
        </w:tc>
        <w:tc>
          <w:tcPr>
            <w:tcW w:w="198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E23323" w:rsidRPr="00D539BE" w:rsidRDefault="00E23323" w:rsidP="001172EE">
            <w:pPr>
              <w:pStyle w:val="Tabletext"/>
              <w:keepNext/>
              <w:keepLines/>
              <w:rPr>
                <w:rFonts w:eastAsia="SimSun"/>
                <w:color w:val="000000" w:themeColor="text1"/>
                <w:lang w:eastAsia="en-AU"/>
              </w:rPr>
            </w:pPr>
            <w:r w:rsidRPr="00D539BE">
              <w:rPr>
                <w:rFonts w:eastAsia="SimSun"/>
                <w:color w:val="000000" w:themeColor="text1"/>
                <w:lang w:eastAsia="en-AU"/>
              </w:rPr>
              <w:t>Ex-manufacturer prices</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bottom"/>
          </w:tcPr>
          <w:p w:rsidR="00E23323" w:rsidRPr="00D539BE" w:rsidRDefault="00E23323" w:rsidP="001172EE">
            <w:pPr>
              <w:pStyle w:val="Tabletext"/>
              <w:keepNext/>
              <w:keepLines/>
              <w:jc w:val="center"/>
              <w:rPr>
                <w:rFonts w:eastAsia="SimSun"/>
                <w:color w:val="000000" w:themeColor="text1"/>
                <w:lang w:eastAsia="en-AU"/>
              </w:rPr>
            </w:pPr>
            <w:r w:rsidRPr="00D539BE">
              <w:rPr>
                <w:rFonts w:eastAsia="SimSun"/>
                <w:color w:val="000000" w:themeColor="text1"/>
                <w:lang w:eastAsia="en-AU"/>
              </w:rPr>
              <w:t>$</w:t>
            </w:r>
            <w:r w:rsidR="001D6F6D">
              <w:rPr>
                <w:rFonts w:eastAsia="SimSun"/>
                <w:noProof/>
                <w:color w:val="000000"/>
                <w:highlight w:val="black"/>
                <w:lang w:eastAsia="en-AU"/>
              </w:rPr>
              <w:t>'''''''''''''''''</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bottom"/>
          </w:tcPr>
          <w:p w:rsidR="00E23323" w:rsidRPr="00D539BE" w:rsidRDefault="00E23323" w:rsidP="001172EE">
            <w:pPr>
              <w:pStyle w:val="Tabletext"/>
              <w:keepNext/>
              <w:keepLines/>
              <w:jc w:val="center"/>
              <w:rPr>
                <w:rFonts w:eastAsia="SimSun"/>
                <w:color w:val="000000" w:themeColor="text1"/>
                <w:lang w:eastAsia="en-AU"/>
              </w:rPr>
            </w:pPr>
            <w:r w:rsidRPr="00D539BE">
              <w:rPr>
                <w:rFonts w:eastAsia="SimSun"/>
                <w:color w:val="000000" w:themeColor="text1"/>
                <w:lang w:eastAsia="en-AU"/>
              </w:rPr>
              <w:t>$</w:t>
            </w:r>
            <w:r w:rsidR="001D6F6D">
              <w:rPr>
                <w:rFonts w:eastAsia="SimSun"/>
                <w:noProof/>
                <w:color w:val="000000"/>
                <w:highlight w:val="black"/>
                <w:lang w:eastAsia="en-AU"/>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bottom"/>
          </w:tcPr>
          <w:p w:rsidR="00E23323" w:rsidRPr="00D539BE" w:rsidRDefault="00E23323" w:rsidP="001172EE">
            <w:pPr>
              <w:pStyle w:val="Tabletext"/>
              <w:keepNext/>
              <w:keepLines/>
              <w:jc w:val="center"/>
              <w:rPr>
                <w:rFonts w:eastAsia="SimSun"/>
                <w:color w:val="000000" w:themeColor="text1"/>
                <w:lang w:eastAsia="en-AU"/>
              </w:rPr>
            </w:pPr>
            <w:r w:rsidRPr="00D539BE">
              <w:rPr>
                <w:rFonts w:eastAsia="SimSun"/>
                <w:color w:val="000000" w:themeColor="text1"/>
                <w:lang w:eastAsia="en-AU"/>
              </w:rPr>
              <w:t>$</w:t>
            </w:r>
            <w:r w:rsidR="001D6F6D">
              <w:rPr>
                <w:rFonts w:eastAsia="SimSun"/>
                <w:noProof/>
                <w:color w:val="000000"/>
                <w:highlight w:val="black"/>
                <w:lang w:eastAsia="en-AU"/>
              </w:rPr>
              <w:t>'''''''''''''''''''</w:t>
            </w:r>
          </w:p>
        </w:tc>
        <w:tc>
          <w:tcPr>
            <w:tcW w:w="2268" w:type="dxa"/>
            <w:gridSpan w:val="2"/>
            <w:tcBorders>
              <w:top w:val="nil"/>
              <w:left w:val="nil"/>
              <w:bottom w:val="single" w:sz="4" w:space="0" w:color="auto"/>
              <w:right w:val="single" w:sz="4" w:space="0" w:color="auto"/>
            </w:tcBorders>
            <w:shd w:val="clear" w:color="auto" w:fill="auto"/>
            <w:tcMar>
              <w:left w:w="28" w:type="dxa"/>
              <w:right w:w="28" w:type="dxa"/>
            </w:tcMar>
            <w:vAlign w:val="bottom"/>
          </w:tcPr>
          <w:p w:rsidR="00E23323" w:rsidRPr="00D539BE" w:rsidRDefault="00310F15" w:rsidP="001172EE">
            <w:pPr>
              <w:pStyle w:val="Tabletext"/>
              <w:keepNext/>
              <w:keepLines/>
              <w:jc w:val="center"/>
              <w:rPr>
                <w:rFonts w:eastAsia="SimSun"/>
                <w:color w:val="000000" w:themeColor="text1"/>
                <w:lang w:eastAsia="en-AU"/>
              </w:rPr>
            </w:pPr>
            <w:r w:rsidRPr="00310F15">
              <w:rPr>
                <w:rFonts w:eastAsia="SimSun"/>
                <w:color w:val="000000" w:themeColor="text1"/>
                <w:lang w:eastAsia="en-AU"/>
              </w:rPr>
              <w:t>$</w:t>
            </w:r>
            <w:r w:rsidR="001D6F6D">
              <w:rPr>
                <w:rFonts w:eastAsia="SimSun"/>
                <w:noProof/>
                <w:color w:val="000000"/>
                <w:highlight w:val="black"/>
                <w:lang w:eastAsia="en-AU"/>
              </w:rPr>
              <w:t>'''''''''''''''''''</w:t>
            </w:r>
          </w:p>
        </w:tc>
      </w:tr>
    </w:tbl>
    <w:p w:rsidR="00E23323" w:rsidRPr="00D539BE" w:rsidRDefault="00E23323" w:rsidP="001172EE">
      <w:pPr>
        <w:pStyle w:val="PBACHeading1"/>
        <w:keepLines/>
        <w:numPr>
          <w:ilvl w:val="0"/>
          <w:numId w:val="0"/>
        </w:numPr>
        <w:spacing w:after="0"/>
        <w:ind w:left="720" w:hanging="720"/>
        <w:rPr>
          <w:rFonts w:ascii="Arial Narrow" w:hAnsi="Arial Narrow"/>
          <w:b w:val="0"/>
          <w:sz w:val="18"/>
          <w:szCs w:val="18"/>
        </w:rPr>
      </w:pPr>
      <w:r w:rsidRPr="00D539BE">
        <w:rPr>
          <w:rFonts w:ascii="Arial Narrow" w:hAnsi="Arial Narrow"/>
          <w:b w:val="0"/>
          <w:sz w:val="18"/>
          <w:szCs w:val="18"/>
        </w:rPr>
        <w:t>AEMP = approved ex-manufacturer price.</w:t>
      </w:r>
    </w:p>
    <w:p w:rsidR="00E23323" w:rsidRPr="00D539BE" w:rsidRDefault="00E23323" w:rsidP="001172EE">
      <w:pPr>
        <w:pStyle w:val="PBACHeading1"/>
        <w:keepLines/>
        <w:numPr>
          <w:ilvl w:val="0"/>
          <w:numId w:val="0"/>
        </w:numPr>
        <w:spacing w:after="0"/>
        <w:ind w:left="720" w:hanging="720"/>
        <w:rPr>
          <w:rFonts w:ascii="Arial Narrow" w:hAnsi="Arial Narrow"/>
          <w:b w:val="0"/>
          <w:sz w:val="18"/>
          <w:szCs w:val="18"/>
        </w:rPr>
      </w:pPr>
      <w:r w:rsidRPr="00D539BE">
        <w:rPr>
          <w:rFonts w:ascii="Arial Narrow" w:hAnsi="Arial Narrow"/>
          <w:b w:val="0"/>
          <w:sz w:val="18"/>
          <w:szCs w:val="18"/>
        </w:rPr>
        <w:t>Source: Table 3.33, p89 of the resubmission.</w:t>
      </w:r>
    </w:p>
    <w:p w:rsidR="00F62BCF" w:rsidRPr="00D539BE" w:rsidRDefault="00217057" w:rsidP="0023263B">
      <w:pPr>
        <w:pStyle w:val="ListParagraph"/>
        <w:widowControl/>
        <w:numPr>
          <w:ilvl w:val="1"/>
          <w:numId w:val="2"/>
        </w:numPr>
        <w:spacing w:before="120"/>
      </w:pPr>
      <w:r w:rsidRPr="00D539BE">
        <w:t xml:space="preserve">The ESC noted that the assumed daily doses for </w:t>
      </w:r>
      <w:proofErr w:type="spellStart"/>
      <w:r w:rsidRPr="00D539BE">
        <w:t>lenalidomide</w:t>
      </w:r>
      <w:proofErr w:type="spellEnd"/>
      <w:r w:rsidRPr="00D539BE">
        <w:t xml:space="preserve"> and thalidomide </w:t>
      </w:r>
      <w:proofErr w:type="gramStart"/>
      <w:r w:rsidR="00AE18A4" w:rsidRPr="00D539BE">
        <w:t>were not based</w:t>
      </w:r>
      <w:proofErr w:type="gramEnd"/>
      <w:r w:rsidR="00AE18A4" w:rsidRPr="00D539BE">
        <w:t xml:space="preserve"> on any of the included trials and </w:t>
      </w:r>
      <w:r w:rsidR="00E32DDA" w:rsidRPr="00D539BE">
        <w:t xml:space="preserve">therefore </w:t>
      </w:r>
      <w:r w:rsidRPr="00D539BE">
        <w:t>did not take into account observed dose interruptions, dose escalations or dose reductions</w:t>
      </w:r>
      <w:r w:rsidR="00AE18A4" w:rsidRPr="00D539BE">
        <w:t xml:space="preserve">. </w:t>
      </w:r>
      <w:r w:rsidR="00334903" w:rsidRPr="00D539BE">
        <w:t xml:space="preserve">However, ESC considered that the assumed </w:t>
      </w:r>
      <w:proofErr w:type="spellStart"/>
      <w:r w:rsidR="00334903" w:rsidRPr="00D539BE">
        <w:t>equi</w:t>
      </w:r>
      <w:proofErr w:type="spellEnd"/>
      <w:r w:rsidR="00334903" w:rsidRPr="00D539BE">
        <w:t xml:space="preserve">-effective doses </w:t>
      </w:r>
      <w:r w:rsidR="00F62BCF" w:rsidRPr="00D539BE">
        <w:t>might be conservative as the m</w:t>
      </w:r>
      <w:r w:rsidR="00334903" w:rsidRPr="00D539BE">
        <w:t xml:space="preserve">ean dose </w:t>
      </w:r>
      <w:r w:rsidR="00F62BCF" w:rsidRPr="00D539BE">
        <w:t xml:space="preserve">of </w:t>
      </w:r>
      <w:proofErr w:type="spellStart"/>
      <w:r w:rsidR="00334903" w:rsidRPr="00D539BE">
        <w:t>lenalidomide</w:t>
      </w:r>
      <w:proofErr w:type="spellEnd"/>
      <w:r w:rsidR="00334903" w:rsidRPr="00D539BE">
        <w:t xml:space="preserve"> </w:t>
      </w:r>
      <w:r w:rsidR="00F62BCF" w:rsidRPr="00D539BE">
        <w:t>in</w:t>
      </w:r>
      <w:r w:rsidR="00310F15">
        <w:t xml:space="preserve"> IFM2005-02</w:t>
      </w:r>
      <w:r w:rsidR="00F62BCF" w:rsidRPr="00D539BE">
        <w:t xml:space="preserve"> </w:t>
      </w:r>
      <w:r w:rsidR="00F62BCF" w:rsidRPr="001172EE">
        <w:t xml:space="preserve">was </w:t>
      </w:r>
      <w:r w:rsidR="001D6F6D">
        <w:rPr>
          <w:noProof/>
          <w:color w:val="000000"/>
          <w:highlight w:val="black"/>
        </w:rPr>
        <w:t>''''''''</w:t>
      </w:r>
      <w:r w:rsidR="00310F15" w:rsidRPr="00D539BE">
        <w:t xml:space="preserve"> </w:t>
      </w:r>
      <w:r w:rsidR="00334903" w:rsidRPr="00D539BE">
        <w:t>mg/day</w:t>
      </w:r>
      <w:r w:rsidR="00F62BCF" w:rsidRPr="00D539BE">
        <w:t xml:space="preserve"> and the mean dose of thalidomide in MM6 was </w:t>
      </w:r>
      <w:r w:rsidR="001D6F6D">
        <w:rPr>
          <w:noProof/>
          <w:color w:val="000000"/>
          <w:highlight w:val="black"/>
        </w:rPr>
        <w:t xml:space="preserve">''''''' </w:t>
      </w:r>
      <w:r w:rsidR="00F62BCF" w:rsidRPr="00D539BE">
        <w:t xml:space="preserve">mg/day. </w:t>
      </w:r>
      <w:r w:rsidR="00F015DC">
        <w:t xml:space="preserve">The PBAC considered that the </w:t>
      </w:r>
      <w:r w:rsidR="000C44D4">
        <w:t xml:space="preserve">proposed </w:t>
      </w:r>
      <w:proofErr w:type="spellStart"/>
      <w:r w:rsidR="00F015DC">
        <w:t>equi</w:t>
      </w:r>
      <w:proofErr w:type="spellEnd"/>
      <w:r w:rsidR="00F015DC">
        <w:t>-effective doses were reasonable.</w:t>
      </w:r>
    </w:p>
    <w:p w:rsidR="000F7FDA" w:rsidRPr="000F7FDA" w:rsidRDefault="006E231F" w:rsidP="0023263B">
      <w:pPr>
        <w:pStyle w:val="ListParagraph"/>
        <w:widowControl/>
        <w:numPr>
          <w:ilvl w:val="1"/>
          <w:numId w:val="2"/>
        </w:numPr>
        <w:spacing w:before="120"/>
      </w:pPr>
      <w:r>
        <w:t>T</w:t>
      </w:r>
      <w:r w:rsidRPr="000F7FDA">
        <w:t xml:space="preserve">he </w:t>
      </w:r>
      <w:r w:rsidR="005E7102" w:rsidRPr="000F7FDA">
        <w:t xml:space="preserve">impact on the CMA of using the mean doses </w:t>
      </w:r>
      <w:r w:rsidR="00E27EF9" w:rsidRPr="000F7FDA">
        <w:t xml:space="preserve">(no durations were available) </w:t>
      </w:r>
      <w:r w:rsidR="005E7102" w:rsidRPr="000F7FDA">
        <w:t xml:space="preserve">from IFM2005-02 and MM6 was tested in a sensitivity analysis </w:t>
      </w:r>
      <w:r w:rsidR="000F7FDA" w:rsidRPr="000F7FDA">
        <w:t xml:space="preserve">(see Table </w:t>
      </w:r>
      <w:r w:rsidR="00097671">
        <w:t>27</w:t>
      </w:r>
      <w:r w:rsidR="000F7FDA" w:rsidRPr="000F7FDA">
        <w:t xml:space="preserve"> below) </w:t>
      </w:r>
      <w:r w:rsidR="005E7102" w:rsidRPr="000F7FDA">
        <w:t xml:space="preserve">and resulted in higher ex-manufacturer’s price for </w:t>
      </w:r>
      <w:proofErr w:type="spellStart"/>
      <w:r w:rsidR="005E7102" w:rsidRPr="000F7FDA">
        <w:t>lenalidomide</w:t>
      </w:r>
      <w:proofErr w:type="spellEnd"/>
      <w:r w:rsidR="000F7FDA" w:rsidRPr="000F7FDA">
        <w:t xml:space="preserve"> 10 mg of $</w:t>
      </w:r>
      <w:r w:rsidR="001D6F6D">
        <w:rPr>
          <w:noProof/>
          <w:color w:val="000000"/>
          <w:highlight w:val="black"/>
        </w:rPr>
        <w:t>'''''''''''''''</w:t>
      </w:r>
      <w:r w:rsidR="005E7102" w:rsidRPr="000F7FDA">
        <w:t>.</w:t>
      </w:r>
      <w:r w:rsidR="00817E71" w:rsidRPr="000F7FDA">
        <w:t xml:space="preserve"> </w:t>
      </w:r>
    </w:p>
    <w:p w:rsidR="000F7FDA" w:rsidRPr="00D539BE" w:rsidRDefault="000F7FDA" w:rsidP="00476EE6">
      <w:pPr>
        <w:pStyle w:val="PBACHeading1"/>
        <w:numPr>
          <w:ilvl w:val="0"/>
          <w:numId w:val="0"/>
        </w:numPr>
        <w:spacing w:after="0"/>
        <w:rPr>
          <w:rStyle w:val="CommentReference"/>
          <w:b/>
          <w:color w:val="000000" w:themeColor="text1"/>
        </w:rPr>
      </w:pPr>
      <w:r w:rsidRPr="00D539BE">
        <w:rPr>
          <w:rStyle w:val="CommentReference"/>
          <w:b/>
          <w:color w:val="000000" w:themeColor="text1"/>
        </w:rPr>
        <w:t xml:space="preserve">Table </w:t>
      </w:r>
      <w:r w:rsidR="00097671">
        <w:rPr>
          <w:rStyle w:val="CommentReference"/>
          <w:b/>
          <w:color w:val="000000" w:themeColor="text1"/>
        </w:rPr>
        <w:t>27</w:t>
      </w:r>
      <w:r w:rsidRPr="00D539BE">
        <w:rPr>
          <w:rStyle w:val="CommentReference"/>
          <w:b/>
          <w:color w:val="000000" w:themeColor="text1"/>
        </w:rPr>
        <w:t>: Results of the cost-minimisation analysis (</w:t>
      </w:r>
      <w:r w:rsidR="00041521" w:rsidRPr="00D539BE">
        <w:rPr>
          <w:rStyle w:val="CommentReference"/>
          <w:b/>
          <w:color w:val="000000" w:themeColor="text1"/>
        </w:rPr>
        <w:t>m</w:t>
      </w:r>
      <w:r w:rsidR="00C60F2C">
        <w:rPr>
          <w:rStyle w:val="CommentReference"/>
          <w:b/>
          <w:color w:val="000000" w:themeColor="text1"/>
        </w:rPr>
        <w:t>ean dose) based on IFM</w:t>
      </w:r>
      <w:r w:rsidRPr="00D539BE">
        <w:rPr>
          <w:rStyle w:val="CommentReference"/>
          <w:b/>
          <w:color w:val="000000" w:themeColor="text1"/>
        </w:rPr>
        <w:t>2005-02 and MM6.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7: Results of the cost-minimisation analysis (mean dose) based on IFM2005-02 and MM6"/>
      </w:tblPr>
      <w:tblGrid>
        <w:gridCol w:w="988"/>
        <w:gridCol w:w="2409"/>
        <w:gridCol w:w="2835"/>
        <w:gridCol w:w="2785"/>
      </w:tblGrid>
      <w:tr w:rsidR="00D03C86" w:rsidRPr="00D539BE" w:rsidTr="00D03C86">
        <w:tc>
          <w:tcPr>
            <w:tcW w:w="988" w:type="dxa"/>
            <w:vMerge w:val="restart"/>
            <w:tcMar>
              <w:left w:w="28" w:type="dxa"/>
              <w:right w:w="28" w:type="dxa"/>
            </w:tcMar>
          </w:tcPr>
          <w:p w:rsidR="00D03C86" w:rsidRPr="00D539BE" w:rsidRDefault="00D03C86" w:rsidP="00476EE6">
            <w:pPr>
              <w:pStyle w:val="Tabletext"/>
              <w:keepNext/>
              <w:rPr>
                <w:b/>
                <w:color w:val="000000" w:themeColor="text1"/>
              </w:rPr>
            </w:pPr>
          </w:p>
        </w:tc>
        <w:tc>
          <w:tcPr>
            <w:tcW w:w="2409" w:type="dxa"/>
            <w:tcMar>
              <w:left w:w="28" w:type="dxa"/>
              <w:right w:w="28" w:type="dxa"/>
            </w:tcMar>
          </w:tcPr>
          <w:p w:rsidR="00D03C86" w:rsidRPr="00D539BE" w:rsidRDefault="00D03C86" w:rsidP="00476EE6">
            <w:pPr>
              <w:pStyle w:val="Tabletext"/>
              <w:keepNext/>
              <w:rPr>
                <w:b/>
                <w:color w:val="000000" w:themeColor="text1"/>
              </w:rPr>
            </w:pPr>
            <w:r w:rsidRPr="00D539BE">
              <w:rPr>
                <w:b/>
                <w:color w:val="000000" w:themeColor="text1"/>
              </w:rPr>
              <w:t>Component</w:t>
            </w:r>
          </w:p>
        </w:tc>
        <w:tc>
          <w:tcPr>
            <w:tcW w:w="2835" w:type="dxa"/>
            <w:tcMar>
              <w:left w:w="28" w:type="dxa"/>
              <w:right w:w="28" w:type="dxa"/>
            </w:tcMar>
          </w:tcPr>
          <w:p w:rsidR="00D03C86" w:rsidRPr="00D539BE" w:rsidRDefault="00D03C86" w:rsidP="00476EE6">
            <w:pPr>
              <w:pStyle w:val="Tabletext"/>
              <w:keepNext/>
              <w:jc w:val="center"/>
              <w:rPr>
                <w:b/>
                <w:color w:val="000000" w:themeColor="text1"/>
              </w:rPr>
            </w:pPr>
            <w:proofErr w:type="spellStart"/>
            <w:r w:rsidRPr="00D539BE">
              <w:rPr>
                <w:b/>
                <w:color w:val="000000" w:themeColor="text1"/>
              </w:rPr>
              <w:t>Lenalidomide</w:t>
            </w:r>
            <w:proofErr w:type="spellEnd"/>
          </w:p>
        </w:tc>
        <w:tc>
          <w:tcPr>
            <w:tcW w:w="2785" w:type="dxa"/>
            <w:tcMar>
              <w:left w:w="28" w:type="dxa"/>
              <w:right w:w="28" w:type="dxa"/>
            </w:tcMar>
          </w:tcPr>
          <w:p w:rsidR="00D03C86" w:rsidRPr="00D539BE" w:rsidRDefault="00D03C86" w:rsidP="00476EE6">
            <w:pPr>
              <w:pStyle w:val="Tabletext"/>
              <w:keepNext/>
              <w:jc w:val="center"/>
              <w:rPr>
                <w:b/>
                <w:color w:val="000000" w:themeColor="text1"/>
              </w:rPr>
            </w:pPr>
            <w:r w:rsidRPr="00D539BE">
              <w:rPr>
                <w:b/>
                <w:color w:val="000000" w:themeColor="text1"/>
              </w:rPr>
              <w:t>Thalidomide</w:t>
            </w:r>
          </w:p>
        </w:tc>
      </w:tr>
      <w:tr w:rsidR="00D03C86" w:rsidRPr="00D539BE" w:rsidTr="00D03C86">
        <w:tc>
          <w:tcPr>
            <w:tcW w:w="988" w:type="dxa"/>
            <w:vMerge/>
            <w:tcBorders>
              <w:bottom w:val="single" w:sz="4" w:space="0" w:color="auto"/>
            </w:tcBorders>
            <w:tcMar>
              <w:left w:w="28" w:type="dxa"/>
              <w:right w:w="28" w:type="dxa"/>
            </w:tcMar>
          </w:tcPr>
          <w:p w:rsidR="00D03C86" w:rsidRPr="00D539BE" w:rsidRDefault="00D03C86" w:rsidP="00476EE6">
            <w:pPr>
              <w:pStyle w:val="Tabletext"/>
              <w:keepNext/>
              <w:jc w:val="center"/>
              <w:rPr>
                <w:rFonts w:eastAsia="SimSun"/>
                <w:color w:val="000000" w:themeColor="text1"/>
                <w:lang w:eastAsia="en-AU"/>
              </w:rPr>
            </w:pPr>
          </w:p>
        </w:tc>
        <w:tc>
          <w:tcPr>
            <w:tcW w:w="2409" w:type="dxa"/>
            <w:tcBorders>
              <w:top w:val="single" w:sz="4" w:space="0" w:color="auto"/>
              <w:bottom w:val="single" w:sz="4" w:space="0" w:color="auto"/>
              <w:right w:val="single" w:sz="4" w:space="0" w:color="auto"/>
            </w:tcBorders>
            <w:shd w:val="clear" w:color="auto" w:fill="auto"/>
            <w:tcMar>
              <w:left w:w="28" w:type="dxa"/>
              <w:right w:w="28" w:type="dxa"/>
            </w:tcMar>
            <w:vAlign w:val="bottom"/>
          </w:tcPr>
          <w:p w:rsidR="00D03C86" w:rsidRPr="00D539BE" w:rsidRDefault="00D03C86" w:rsidP="00476EE6">
            <w:pPr>
              <w:pStyle w:val="Tabletext"/>
              <w:keepNext/>
              <w:rPr>
                <w:b/>
                <w:color w:val="000000" w:themeColor="text1"/>
              </w:rPr>
            </w:pPr>
            <w:r w:rsidRPr="00D539BE">
              <w:rPr>
                <w:rFonts w:eastAsia="SimSun"/>
                <w:color w:val="000000" w:themeColor="text1"/>
                <w:lang w:eastAsia="en-AU"/>
              </w:rPr>
              <w:t>Presentation</w:t>
            </w:r>
          </w:p>
        </w:tc>
        <w:tc>
          <w:tcPr>
            <w:tcW w:w="2835"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D03C86" w:rsidRPr="00D539BE" w:rsidRDefault="00D03C86" w:rsidP="00476EE6">
            <w:pPr>
              <w:pStyle w:val="Tabletext"/>
              <w:keepNext/>
              <w:jc w:val="center"/>
              <w:rPr>
                <w:b/>
                <w:color w:val="000000" w:themeColor="text1"/>
              </w:rPr>
            </w:pPr>
            <w:r w:rsidRPr="00D539BE">
              <w:rPr>
                <w:rFonts w:eastAsia="SimSun"/>
                <w:color w:val="000000" w:themeColor="text1"/>
                <w:lang w:eastAsia="en-AU"/>
              </w:rPr>
              <w:t>28 x 10 mg</w:t>
            </w:r>
          </w:p>
        </w:tc>
        <w:tc>
          <w:tcPr>
            <w:tcW w:w="2785" w:type="dxa"/>
            <w:tcMar>
              <w:left w:w="28" w:type="dxa"/>
              <w:right w:w="28" w:type="dxa"/>
            </w:tcMar>
            <w:vAlign w:val="bottom"/>
          </w:tcPr>
          <w:p w:rsidR="00D03C86" w:rsidRPr="00D539BE" w:rsidRDefault="00D03C86" w:rsidP="00476EE6">
            <w:pPr>
              <w:pStyle w:val="Tabletext"/>
              <w:keepNext/>
              <w:jc w:val="center"/>
              <w:rPr>
                <w:b/>
                <w:color w:val="000000" w:themeColor="text1"/>
              </w:rPr>
            </w:pPr>
            <w:r w:rsidRPr="00D539BE">
              <w:rPr>
                <w:rFonts w:eastAsia="SimSun"/>
                <w:color w:val="000000" w:themeColor="text1"/>
                <w:lang w:eastAsia="en-AU"/>
              </w:rPr>
              <w:t>56 x 100 mg</w:t>
            </w:r>
          </w:p>
        </w:tc>
      </w:tr>
      <w:tr w:rsidR="000F7FDA" w:rsidRPr="00D539BE" w:rsidTr="00D03C86">
        <w:tc>
          <w:tcPr>
            <w:tcW w:w="988" w:type="dxa"/>
            <w:tcBorders>
              <w:top w:val="nil"/>
              <w:left w:val="single" w:sz="4" w:space="0" w:color="auto"/>
              <w:bottom w:val="single" w:sz="4" w:space="0" w:color="auto"/>
              <w:right w:val="single" w:sz="4" w:space="0" w:color="auto"/>
            </w:tcBorders>
            <w:tcMar>
              <w:left w:w="28" w:type="dxa"/>
              <w:right w:w="28" w:type="dxa"/>
            </w:tcMar>
          </w:tcPr>
          <w:p w:rsidR="000F7FDA" w:rsidRPr="00D539BE" w:rsidRDefault="000F7FDA" w:rsidP="00476EE6">
            <w:pPr>
              <w:pStyle w:val="Tabletext"/>
              <w:keepNext/>
              <w:jc w:val="center"/>
              <w:rPr>
                <w:rFonts w:eastAsia="SimSun"/>
                <w:color w:val="000000" w:themeColor="text1"/>
                <w:lang w:eastAsia="en-AU"/>
              </w:rPr>
            </w:pPr>
            <w:r w:rsidRPr="00D539BE">
              <w:rPr>
                <w:rFonts w:eastAsia="SimSun"/>
                <w:color w:val="000000" w:themeColor="text1"/>
                <w:lang w:eastAsia="en-AU"/>
              </w:rPr>
              <w:t>A</w:t>
            </w: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rsidR="000F7FDA" w:rsidRPr="00D539BE" w:rsidRDefault="000F7FDA" w:rsidP="00476EE6">
            <w:pPr>
              <w:pStyle w:val="Tabletext"/>
              <w:keepNext/>
              <w:rPr>
                <w:b/>
                <w:color w:val="000000" w:themeColor="text1"/>
              </w:rPr>
            </w:pPr>
            <w:r w:rsidRPr="00D539BE">
              <w:rPr>
                <w:rFonts w:eastAsia="SimSun"/>
                <w:color w:val="000000" w:themeColor="text1"/>
                <w:lang w:eastAsia="en-AU"/>
              </w:rPr>
              <w:t>Strength</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bottom"/>
          </w:tcPr>
          <w:p w:rsidR="000F7FDA" w:rsidRPr="00D539BE" w:rsidRDefault="000F7FDA" w:rsidP="00476EE6">
            <w:pPr>
              <w:pStyle w:val="Tabletext"/>
              <w:keepNext/>
              <w:jc w:val="center"/>
              <w:rPr>
                <w:b/>
                <w:color w:val="000000" w:themeColor="text1"/>
              </w:rPr>
            </w:pPr>
            <w:r w:rsidRPr="00D539BE">
              <w:rPr>
                <w:rFonts w:eastAsia="SimSun"/>
                <w:color w:val="000000" w:themeColor="text1"/>
                <w:lang w:eastAsia="en-AU"/>
              </w:rPr>
              <w:t>10</w:t>
            </w:r>
          </w:p>
        </w:tc>
        <w:tc>
          <w:tcPr>
            <w:tcW w:w="2785" w:type="dxa"/>
            <w:tcMar>
              <w:left w:w="28" w:type="dxa"/>
              <w:right w:w="28" w:type="dxa"/>
            </w:tcMar>
            <w:vAlign w:val="bottom"/>
          </w:tcPr>
          <w:p w:rsidR="000F7FDA" w:rsidRPr="00D539BE" w:rsidRDefault="000F7FDA" w:rsidP="00476EE6">
            <w:pPr>
              <w:pStyle w:val="Tabletext"/>
              <w:keepNext/>
              <w:jc w:val="center"/>
              <w:rPr>
                <w:b/>
                <w:color w:val="000000" w:themeColor="text1"/>
              </w:rPr>
            </w:pPr>
            <w:r w:rsidRPr="00D539BE">
              <w:rPr>
                <w:rFonts w:eastAsia="SimSun"/>
                <w:color w:val="000000" w:themeColor="text1"/>
                <w:lang w:eastAsia="en-AU"/>
              </w:rPr>
              <w:t>100</w:t>
            </w:r>
          </w:p>
        </w:tc>
      </w:tr>
      <w:tr w:rsidR="000F7FDA" w:rsidRPr="00D539BE" w:rsidTr="00D03C86">
        <w:tc>
          <w:tcPr>
            <w:tcW w:w="988" w:type="dxa"/>
            <w:tcBorders>
              <w:top w:val="nil"/>
              <w:left w:val="single" w:sz="4" w:space="0" w:color="auto"/>
              <w:bottom w:val="single" w:sz="4" w:space="0" w:color="auto"/>
              <w:right w:val="single" w:sz="4" w:space="0" w:color="auto"/>
            </w:tcBorders>
            <w:tcMar>
              <w:left w:w="28" w:type="dxa"/>
              <w:right w:w="28" w:type="dxa"/>
            </w:tcMar>
          </w:tcPr>
          <w:p w:rsidR="000F7FDA" w:rsidRPr="00D539BE" w:rsidRDefault="000F7FDA" w:rsidP="00476EE6">
            <w:pPr>
              <w:pStyle w:val="Tabletext"/>
              <w:keepNext/>
              <w:jc w:val="center"/>
              <w:rPr>
                <w:rFonts w:eastAsia="SimSun"/>
                <w:color w:val="000000" w:themeColor="text1"/>
                <w:lang w:eastAsia="en-AU"/>
              </w:rPr>
            </w:pPr>
            <w:r w:rsidRPr="00D539BE">
              <w:rPr>
                <w:rFonts w:eastAsia="SimSun"/>
                <w:color w:val="000000" w:themeColor="text1"/>
                <w:lang w:eastAsia="en-AU"/>
              </w:rPr>
              <w:t>B</w:t>
            </w: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rsidR="000F7FDA" w:rsidRPr="00D539BE" w:rsidRDefault="000F7FDA" w:rsidP="00476EE6">
            <w:pPr>
              <w:pStyle w:val="Tabletext"/>
              <w:keepNext/>
              <w:rPr>
                <w:b/>
                <w:color w:val="000000" w:themeColor="text1"/>
              </w:rPr>
            </w:pPr>
            <w:r w:rsidRPr="00D539BE">
              <w:rPr>
                <w:rFonts w:eastAsia="SimSun"/>
                <w:color w:val="000000" w:themeColor="text1"/>
                <w:lang w:eastAsia="en-AU"/>
              </w:rPr>
              <w:t>Quantity</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bottom"/>
          </w:tcPr>
          <w:p w:rsidR="000F7FDA" w:rsidRPr="00D539BE" w:rsidRDefault="000F7FDA" w:rsidP="00476EE6">
            <w:pPr>
              <w:pStyle w:val="Tabletext"/>
              <w:keepNext/>
              <w:jc w:val="center"/>
              <w:rPr>
                <w:b/>
                <w:color w:val="000000" w:themeColor="text1"/>
              </w:rPr>
            </w:pPr>
            <w:r w:rsidRPr="00D539BE">
              <w:rPr>
                <w:rFonts w:eastAsia="SimSun"/>
                <w:color w:val="000000" w:themeColor="text1"/>
                <w:lang w:eastAsia="en-AU"/>
              </w:rPr>
              <w:t>28</w:t>
            </w:r>
          </w:p>
        </w:tc>
        <w:tc>
          <w:tcPr>
            <w:tcW w:w="2785" w:type="dxa"/>
            <w:tcMar>
              <w:left w:w="28" w:type="dxa"/>
              <w:right w:w="28" w:type="dxa"/>
            </w:tcMar>
            <w:vAlign w:val="bottom"/>
          </w:tcPr>
          <w:p w:rsidR="000F7FDA" w:rsidRPr="00D539BE" w:rsidRDefault="000F7FDA" w:rsidP="00476EE6">
            <w:pPr>
              <w:pStyle w:val="Tabletext"/>
              <w:keepNext/>
              <w:jc w:val="center"/>
              <w:rPr>
                <w:b/>
                <w:color w:val="000000" w:themeColor="text1"/>
              </w:rPr>
            </w:pPr>
            <w:r w:rsidRPr="00D539BE">
              <w:rPr>
                <w:rFonts w:eastAsia="SimSun"/>
                <w:color w:val="000000" w:themeColor="text1"/>
                <w:lang w:eastAsia="en-AU"/>
              </w:rPr>
              <w:t>56</w:t>
            </w:r>
          </w:p>
        </w:tc>
      </w:tr>
      <w:tr w:rsidR="000F7FDA" w:rsidRPr="00D539BE" w:rsidTr="00D03C86">
        <w:tc>
          <w:tcPr>
            <w:tcW w:w="988" w:type="dxa"/>
            <w:tcBorders>
              <w:top w:val="nil"/>
              <w:left w:val="single" w:sz="4" w:space="0" w:color="auto"/>
              <w:bottom w:val="single" w:sz="4" w:space="0" w:color="auto"/>
              <w:right w:val="single" w:sz="4" w:space="0" w:color="auto"/>
            </w:tcBorders>
            <w:tcMar>
              <w:left w:w="28" w:type="dxa"/>
              <w:right w:w="28" w:type="dxa"/>
            </w:tcMar>
          </w:tcPr>
          <w:p w:rsidR="000F7FDA" w:rsidRPr="00D539BE" w:rsidRDefault="000F7FDA" w:rsidP="00476EE6">
            <w:pPr>
              <w:pStyle w:val="Tabletext"/>
              <w:keepNext/>
              <w:jc w:val="center"/>
              <w:rPr>
                <w:rFonts w:eastAsia="SimSun"/>
                <w:color w:val="000000" w:themeColor="text1"/>
                <w:lang w:eastAsia="en-AU"/>
              </w:rPr>
            </w:pPr>
            <w:r w:rsidRPr="00D539BE">
              <w:rPr>
                <w:rFonts w:eastAsia="SimSun"/>
                <w:color w:val="000000" w:themeColor="text1"/>
                <w:lang w:eastAsia="en-AU"/>
              </w:rPr>
              <w:t>C = A x B</w:t>
            </w: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0F7FDA" w:rsidRPr="00D539BE" w:rsidRDefault="000F7FDA" w:rsidP="00476EE6">
            <w:pPr>
              <w:pStyle w:val="Tabletext"/>
              <w:keepNext/>
              <w:rPr>
                <w:rFonts w:eastAsia="SimSun"/>
                <w:color w:val="000000" w:themeColor="text1"/>
                <w:lang w:eastAsia="en-AU"/>
              </w:rPr>
            </w:pPr>
            <w:r w:rsidRPr="00D539BE">
              <w:rPr>
                <w:rFonts w:eastAsia="SimSun"/>
                <w:color w:val="000000" w:themeColor="text1"/>
                <w:lang w:eastAsia="en-AU"/>
              </w:rPr>
              <w:t>Pack quantity (mg)</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bottom"/>
          </w:tcPr>
          <w:p w:rsidR="000F7FDA" w:rsidRPr="00D539BE" w:rsidRDefault="000F7FDA" w:rsidP="00476EE6">
            <w:pPr>
              <w:pStyle w:val="Tabletext"/>
              <w:keepNext/>
              <w:jc w:val="center"/>
              <w:rPr>
                <w:rFonts w:eastAsia="SimSun"/>
                <w:color w:val="000000" w:themeColor="text1"/>
                <w:lang w:eastAsia="en-AU"/>
              </w:rPr>
            </w:pPr>
            <w:r w:rsidRPr="00D539BE">
              <w:rPr>
                <w:rFonts w:eastAsia="SimSun"/>
                <w:color w:val="000000" w:themeColor="text1"/>
                <w:lang w:eastAsia="en-AU"/>
              </w:rPr>
              <w:t>280</w:t>
            </w:r>
          </w:p>
        </w:tc>
        <w:tc>
          <w:tcPr>
            <w:tcW w:w="2785" w:type="dxa"/>
            <w:tcMar>
              <w:left w:w="28" w:type="dxa"/>
              <w:right w:w="28" w:type="dxa"/>
            </w:tcMar>
            <w:vAlign w:val="bottom"/>
          </w:tcPr>
          <w:p w:rsidR="000F7FDA" w:rsidRPr="00D539BE" w:rsidRDefault="000F7FDA" w:rsidP="00476EE6">
            <w:pPr>
              <w:pStyle w:val="Tabletext"/>
              <w:keepNext/>
              <w:jc w:val="center"/>
              <w:rPr>
                <w:rFonts w:eastAsia="SimSun"/>
                <w:color w:val="000000" w:themeColor="text1"/>
                <w:lang w:eastAsia="en-AU"/>
              </w:rPr>
            </w:pPr>
            <w:r w:rsidRPr="00D539BE">
              <w:rPr>
                <w:rFonts w:eastAsia="SimSun"/>
                <w:color w:val="000000" w:themeColor="text1"/>
                <w:lang w:eastAsia="en-AU"/>
              </w:rPr>
              <w:t>5,600</w:t>
            </w:r>
          </w:p>
        </w:tc>
      </w:tr>
      <w:tr w:rsidR="000F7FDA" w:rsidRPr="00D539BE" w:rsidTr="00D03C86">
        <w:tc>
          <w:tcPr>
            <w:tcW w:w="988" w:type="dxa"/>
            <w:tcBorders>
              <w:top w:val="nil"/>
              <w:left w:val="single" w:sz="4" w:space="0" w:color="auto"/>
              <w:bottom w:val="single" w:sz="4" w:space="0" w:color="auto"/>
              <w:right w:val="single" w:sz="4" w:space="0" w:color="auto"/>
            </w:tcBorders>
            <w:tcMar>
              <w:left w:w="28" w:type="dxa"/>
              <w:right w:w="28" w:type="dxa"/>
            </w:tcMar>
          </w:tcPr>
          <w:p w:rsidR="000F7FDA" w:rsidRPr="00D539BE" w:rsidRDefault="000F7FDA" w:rsidP="00476EE6">
            <w:pPr>
              <w:pStyle w:val="Tabletext"/>
              <w:keepNext/>
              <w:jc w:val="center"/>
              <w:rPr>
                <w:rFonts w:eastAsia="SimSun"/>
                <w:color w:val="000000" w:themeColor="text1"/>
                <w:lang w:eastAsia="en-AU"/>
              </w:rPr>
            </w:pPr>
            <w:r w:rsidRPr="00D539BE">
              <w:rPr>
                <w:rFonts w:eastAsia="SimSun"/>
                <w:color w:val="000000" w:themeColor="text1"/>
                <w:lang w:eastAsia="en-AU"/>
              </w:rPr>
              <w:t>D</w:t>
            </w: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0F7FDA" w:rsidRPr="00D539BE" w:rsidRDefault="000F7FDA" w:rsidP="00476EE6">
            <w:pPr>
              <w:pStyle w:val="Tabletext"/>
              <w:keepNext/>
              <w:rPr>
                <w:rFonts w:eastAsia="SimSun"/>
                <w:color w:val="000000" w:themeColor="text1"/>
                <w:lang w:eastAsia="en-AU"/>
              </w:rPr>
            </w:pPr>
            <w:proofErr w:type="spellStart"/>
            <w:r w:rsidRPr="00D539BE">
              <w:rPr>
                <w:rFonts w:eastAsia="SimSun"/>
                <w:color w:val="000000" w:themeColor="text1"/>
                <w:lang w:eastAsia="en-AU"/>
              </w:rPr>
              <w:t>Equi</w:t>
            </w:r>
            <w:proofErr w:type="spellEnd"/>
            <w:r w:rsidRPr="00D539BE">
              <w:rPr>
                <w:rFonts w:eastAsia="SimSun"/>
                <w:color w:val="000000" w:themeColor="text1"/>
                <w:lang w:eastAsia="en-AU"/>
              </w:rPr>
              <w:t>-effective daily doses</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bottom"/>
          </w:tcPr>
          <w:p w:rsidR="000F7FDA" w:rsidRPr="001D6F6D" w:rsidRDefault="001D6F6D" w:rsidP="00476EE6">
            <w:pPr>
              <w:pStyle w:val="Tabletext"/>
              <w:keepNext/>
              <w:jc w:val="center"/>
              <w:rPr>
                <w:rFonts w:eastAsia="SimSun"/>
                <w:color w:val="000000" w:themeColor="text1"/>
                <w:highlight w:val="black"/>
                <w:lang w:eastAsia="en-AU"/>
              </w:rPr>
            </w:pPr>
            <w:r>
              <w:rPr>
                <w:rFonts w:eastAsia="SimSun"/>
                <w:noProof/>
                <w:color w:val="000000"/>
                <w:highlight w:val="black"/>
                <w:lang w:eastAsia="en-AU"/>
              </w:rPr>
              <w:t>'''''''''''</w:t>
            </w:r>
          </w:p>
        </w:tc>
        <w:tc>
          <w:tcPr>
            <w:tcW w:w="2785" w:type="dxa"/>
            <w:tcMar>
              <w:left w:w="28" w:type="dxa"/>
              <w:right w:w="28" w:type="dxa"/>
            </w:tcMar>
            <w:vAlign w:val="bottom"/>
          </w:tcPr>
          <w:p w:rsidR="000F7FDA" w:rsidRPr="001D6F6D" w:rsidRDefault="001D6F6D" w:rsidP="00476EE6">
            <w:pPr>
              <w:pStyle w:val="Tabletext"/>
              <w:keepNext/>
              <w:jc w:val="center"/>
              <w:rPr>
                <w:rFonts w:eastAsia="SimSun"/>
                <w:color w:val="000000" w:themeColor="text1"/>
                <w:highlight w:val="black"/>
                <w:lang w:eastAsia="en-AU"/>
              </w:rPr>
            </w:pPr>
            <w:r>
              <w:rPr>
                <w:rFonts w:eastAsia="SimSun"/>
                <w:noProof/>
                <w:color w:val="000000"/>
                <w:highlight w:val="black"/>
                <w:lang w:eastAsia="en-AU"/>
              </w:rPr>
              <w:t>'''''''''</w:t>
            </w:r>
          </w:p>
        </w:tc>
      </w:tr>
      <w:tr w:rsidR="000F7FDA" w:rsidRPr="00D539BE" w:rsidTr="005F6F01">
        <w:tc>
          <w:tcPr>
            <w:tcW w:w="988" w:type="dxa"/>
            <w:tcBorders>
              <w:top w:val="nil"/>
              <w:left w:val="single" w:sz="4" w:space="0" w:color="auto"/>
              <w:bottom w:val="single" w:sz="4" w:space="0" w:color="auto"/>
              <w:right w:val="single" w:sz="4" w:space="0" w:color="auto"/>
            </w:tcBorders>
            <w:tcMar>
              <w:left w:w="28" w:type="dxa"/>
              <w:right w:w="28" w:type="dxa"/>
            </w:tcMar>
            <w:vAlign w:val="center"/>
          </w:tcPr>
          <w:p w:rsidR="000F7FDA" w:rsidRPr="00D539BE" w:rsidRDefault="000F7FDA" w:rsidP="00476EE6">
            <w:pPr>
              <w:pStyle w:val="Tabletext"/>
              <w:keepNext/>
              <w:jc w:val="center"/>
              <w:rPr>
                <w:rFonts w:eastAsia="SimSun"/>
                <w:color w:val="000000" w:themeColor="text1"/>
                <w:lang w:eastAsia="en-AU"/>
              </w:rPr>
            </w:pPr>
            <w:r w:rsidRPr="00D539BE">
              <w:rPr>
                <w:rFonts w:eastAsia="SimSun"/>
                <w:color w:val="000000" w:themeColor="text1"/>
                <w:lang w:eastAsia="en-AU"/>
              </w:rPr>
              <w:t>E</w:t>
            </w: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0F7FDA" w:rsidRPr="00D539BE" w:rsidRDefault="000F7FDA" w:rsidP="00476EE6">
            <w:pPr>
              <w:pStyle w:val="Tabletext"/>
              <w:keepNext/>
              <w:rPr>
                <w:rFonts w:eastAsia="SimSun"/>
                <w:color w:val="000000" w:themeColor="text1"/>
                <w:lang w:eastAsia="en-AU"/>
              </w:rPr>
            </w:pPr>
            <w:r w:rsidRPr="00D539BE">
              <w:rPr>
                <w:rFonts w:eastAsia="SimSun"/>
                <w:color w:val="000000" w:themeColor="text1"/>
                <w:lang w:eastAsia="en-AU"/>
              </w:rPr>
              <w:t>Cost per mg (AEMP)</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tcPr>
          <w:p w:rsidR="000F7FDA" w:rsidRPr="00D539BE" w:rsidRDefault="000F7FDA" w:rsidP="00476EE6">
            <w:pPr>
              <w:pStyle w:val="Tabletext"/>
              <w:keepNext/>
              <w:jc w:val="center"/>
              <w:rPr>
                <w:rFonts w:eastAsia="SimSun"/>
                <w:color w:val="000000" w:themeColor="text1"/>
                <w:lang w:eastAsia="en-AU"/>
              </w:rPr>
            </w:pPr>
            <w:r w:rsidRPr="00D539BE">
              <w:rPr>
                <w:rFonts w:eastAsia="SimSun"/>
                <w:color w:val="000000" w:themeColor="text1"/>
                <w:lang w:eastAsia="en-AU"/>
              </w:rPr>
              <w:t>$</w:t>
            </w:r>
            <w:r w:rsidR="001D6F6D">
              <w:rPr>
                <w:rFonts w:eastAsia="SimSun"/>
                <w:noProof/>
                <w:color w:val="000000"/>
                <w:highlight w:val="black"/>
                <w:lang w:eastAsia="en-AU"/>
              </w:rPr>
              <w:t xml:space="preserve">'''''''''' </w:t>
            </w:r>
            <w:r w:rsidRPr="00D539BE">
              <w:rPr>
                <w:rFonts w:eastAsia="SimSun"/>
                <w:color w:val="000000" w:themeColor="text1"/>
                <w:lang w:eastAsia="en-AU"/>
              </w:rPr>
              <w:t>( = $</w:t>
            </w:r>
            <w:r w:rsidR="001D6F6D">
              <w:rPr>
                <w:rFonts w:eastAsia="SimSun"/>
                <w:noProof/>
                <w:color w:val="000000"/>
                <w:highlight w:val="black"/>
                <w:lang w:eastAsia="en-AU"/>
              </w:rPr>
              <w:t xml:space="preserve">''''''''''''' </w:t>
            </w:r>
            <w:r w:rsidRPr="00D539BE">
              <w:rPr>
                <w:rFonts w:eastAsia="SimSun"/>
                <w:color w:val="000000" w:themeColor="text1"/>
                <w:lang w:eastAsia="en-AU"/>
              </w:rPr>
              <w:t>/ 1</w:t>
            </w:r>
            <w:r w:rsidR="001D6F6D">
              <w:rPr>
                <w:rFonts w:eastAsia="SimSun"/>
                <w:noProof/>
                <w:color w:val="000000"/>
                <w:highlight w:val="black"/>
                <w:lang w:eastAsia="en-AU"/>
              </w:rPr>
              <w:t>''''''''</w:t>
            </w:r>
            <w:r w:rsidR="005F6F01" w:rsidRPr="00D539BE">
              <w:rPr>
                <w:rFonts w:eastAsia="SimSun"/>
                <w:color w:val="000000" w:themeColor="text1"/>
                <w:lang w:eastAsia="en-AU"/>
              </w:rPr>
              <w:t xml:space="preserve"> </w:t>
            </w:r>
            <w:r w:rsidRPr="00D539BE">
              <w:rPr>
                <w:rFonts w:eastAsia="SimSun"/>
                <w:color w:val="000000" w:themeColor="text1"/>
                <w:lang w:eastAsia="en-AU"/>
              </w:rPr>
              <w:t>mg)</w:t>
            </w:r>
          </w:p>
        </w:tc>
        <w:tc>
          <w:tcPr>
            <w:tcW w:w="2785" w:type="dxa"/>
            <w:tcMar>
              <w:left w:w="28" w:type="dxa"/>
              <w:right w:w="28" w:type="dxa"/>
            </w:tcMar>
            <w:vAlign w:val="bottom"/>
          </w:tcPr>
          <w:p w:rsidR="000F7FDA" w:rsidRPr="00D539BE" w:rsidRDefault="000F7FDA" w:rsidP="00476EE6">
            <w:pPr>
              <w:pStyle w:val="Tabletext"/>
              <w:keepNext/>
              <w:jc w:val="center"/>
              <w:rPr>
                <w:rFonts w:eastAsia="SimSun"/>
                <w:color w:val="000000" w:themeColor="text1"/>
                <w:lang w:eastAsia="en-AU"/>
              </w:rPr>
            </w:pPr>
            <w:r w:rsidRPr="00D539BE">
              <w:rPr>
                <w:rFonts w:eastAsia="SimSun"/>
                <w:color w:val="000000" w:themeColor="text1"/>
                <w:lang w:eastAsia="en-AU"/>
              </w:rPr>
              <w:t>$</w:t>
            </w:r>
            <w:r w:rsidR="001D6F6D">
              <w:rPr>
                <w:rFonts w:eastAsia="SimSun"/>
                <w:noProof/>
                <w:color w:val="000000"/>
                <w:highlight w:val="black"/>
                <w:lang w:eastAsia="en-AU"/>
              </w:rPr>
              <w:t xml:space="preserve">'''''''''''''''' </w:t>
            </w:r>
          </w:p>
          <w:p w:rsidR="000F7FDA" w:rsidRPr="00D539BE" w:rsidRDefault="000F7FDA" w:rsidP="00476EE6">
            <w:pPr>
              <w:pStyle w:val="Tabletext"/>
              <w:keepNext/>
              <w:jc w:val="center"/>
              <w:rPr>
                <w:rFonts w:eastAsia="SimSun"/>
                <w:color w:val="000000" w:themeColor="text1"/>
                <w:lang w:eastAsia="en-AU"/>
              </w:rPr>
            </w:pPr>
            <w:r w:rsidRPr="00D539BE">
              <w:rPr>
                <w:rFonts w:eastAsia="SimSun"/>
                <w:color w:val="000000" w:themeColor="text1"/>
                <w:lang w:eastAsia="en-AU"/>
              </w:rPr>
              <w:t>(=</w:t>
            </w:r>
            <w:r w:rsidR="00FB1E26" w:rsidRPr="00D539BE">
              <w:rPr>
                <w:rFonts w:eastAsia="SimSun"/>
                <w:color w:val="000000" w:themeColor="text1"/>
                <w:lang w:eastAsia="en-AU"/>
              </w:rPr>
              <w:t xml:space="preserve"> </w:t>
            </w:r>
            <w:r w:rsidRPr="00D539BE">
              <w:rPr>
                <w:rFonts w:eastAsia="SimSun"/>
                <w:color w:val="000000" w:themeColor="text1"/>
                <w:lang w:eastAsia="en-AU"/>
              </w:rPr>
              <w:t>$</w:t>
            </w:r>
            <w:r w:rsidR="001D6F6D">
              <w:rPr>
                <w:rFonts w:eastAsia="SimSun"/>
                <w:noProof/>
                <w:color w:val="000000"/>
                <w:highlight w:val="black"/>
                <w:lang w:eastAsia="en-AU"/>
              </w:rPr>
              <w:t xml:space="preserve">''''''''''''''''''' </w:t>
            </w:r>
            <w:r w:rsidRPr="00D539BE">
              <w:rPr>
                <w:rFonts w:eastAsia="SimSun"/>
                <w:color w:val="000000" w:themeColor="text1"/>
                <w:lang w:eastAsia="en-AU"/>
              </w:rPr>
              <w:t>/ 5,600 mg)</w:t>
            </w:r>
          </w:p>
        </w:tc>
      </w:tr>
      <w:tr w:rsidR="000F7FDA" w:rsidRPr="00D539BE" w:rsidTr="00D03C86">
        <w:tc>
          <w:tcPr>
            <w:tcW w:w="988" w:type="dxa"/>
            <w:tcBorders>
              <w:top w:val="nil"/>
              <w:left w:val="single" w:sz="4" w:space="0" w:color="auto"/>
              <w:bottom w:val="single" w:sz="4" w:space="0" w:color="auto"/>
              <w:right w:val="single" w:sz="4" w:space="0" w:color="auto"/>
            </w:tcBorders>
            <w:tcMar>
              <w:left w:w="28" w:type="dxa"/>
              <w:right w:w="28" w:type="dxa"/>
            </w:tcMar>
          </w:tcPr>
          <w:p w:rsidR="000F7FDA" w:rsidRPr="00D539BE" w:rsidRDefault="000F7FDA" w:rsidP="00476EE6">
            <w:pPr>
              <w:pStyle w:val="Tabletext"/>
              <w:keepNext/>
              <w:jc w:val="center"/>
              <w:rPr>
                <w:rFonts w:eastAsia="SimSun"/>
                <w:color w:val="000000" w:themeColor="text1"/>
                <w:lang w:eastAsia="en-AU"/>
              </w:rPr>
            </w:pPr>
            <w:r w:rsidRPr="00D539BE">
              <w:rPr>
                <w:rFonts w:eastAsia="SimSun"/>
                <w:color w:val="000000" w:themeColor="text1"/>
                <w:lang w:eastAsia="en-AU"/>
              </w:rPr>
              <w:t>F = D x E</w:t>
            </w: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rsidR="000F7FDA" w:rsidRPr="00D539BE" w:rsidRDefault="000F7FDA" w:rsidP="00476EE6">
            <w:pPr>
              <w:pStyle w:val="Tabletext"/>
              <w:keepNext/>
              <w:rPr>
                <w:rFonts w:eastAsia="SimSun"/>
                <w:color w:val="000000" w:themeColor="text1"/>
                <w:lang w:eastAsia="en-AU"/>
              </w:rPr>
            </w:pPr>
            <w:r w:rsidRPr="00D539BE">
              <w:rPr>
                <w:rFonts w:eastAsia="SimSun"/>
                <w:color w:val="000000" w:themeColor="text1"/>
                <w:lang w:eastAsia="en-AU"/>
              </w:rPr>
              <w:t>Cost per day (AEMP)</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bottom"/>
          </w:tcPr>
          <w:p w:rsidR="000F7FDA" w:rsidRPr="00D539BE" w:rsidRDefault="000F7FDA" w:rsidP="00476EE6">
            <w:pPr>
              <w:pStyle w:val="Tabletext"/>
              <w:keepNext/>
              <w:jc w:val="center"/>
              <w:rPr>
                <w:rFonts w:eastAsia="SimSun"/>
                <w:color w:val="000000" w:themeColor="text1"/>
                <w:lang w:eastAsia="en-AU"/>
              </w:rPr>
            </w:pPr>
            <w:r w:rsidRPr="00D539BE">
              <w:rPr>
                <w:rFonts w:eastAsia="SimSun"/>
                <w:color w:val="000000" w:themeColor="text1"/>
                <w:lang w:eastAsia="en-AU"/>
              </w:rPr>
              <w:t>$</w:t>
            </w:r>
            <w:r w:rsidR="001D6F6D">
              <w:rPr>
                <w:rFonts w:eastAsia="SimSun"/>
                <w:noProof/>
                <w:color w:val="000000"/>
                <w:highlight w:val="black"/>
                <w:lang w:eastAsia="en-AU"/>
              </w:rPr>
              <w:t>'''''''''''''</w:t>
            </w:r>
          </w:p>
        </w:tc>
        <w:tc>
          <w:tcPr>
            <w:tcW w:w="2785" w:type="dxa"/>
            <w:tcMar>
              <w:left w:w="28" w:type="dxa"/>
              <w:right w:w="28" w:type="dxa"/>
            </w:tcMar>
            <w:vAlign w:val="bottom"/>
          </w:tcPr>
          <w:p w:rsidR="000F7FDA" w:rsidRPr="00D539BE" w:rsidRDefault="000F7FDA" w:rsidP="00476EE6">
            <w:pPr>
              <w:pStyle w:val="Tabletext"/>
              <w:keepNext/>
              <w:jc w:val="center"/>
              <w:rPr>
                <w:rFonts w:eastAsia="SimSun"/>
                <w:color w:val="000000" w:themeColor="text1"/>
                <w:lang w:eastAsia="en-AU"/>
              </w:rPr>
            </w:pPr>
            <w:r w:rsidRPr="00D539BE">
              <w:rPr>
                <w:rFonts w:eastAsia="SimSun"/>
                <w:color w:val="000000" w:themeColor="text1"/>
                <w:lang w:eastAsia="en-AU"/>
              </w:rPr>
              <w:t>$</w:t>
            </w:r>
            <w:r w:rsidR="001D6F6D">
              <w:rPr>
                <w:rFonts w:eastAsia="SimSun"/>
                <w:noProof/>
                <w:color w:val="000000"/>
                <w:highlight w:val="black"/>
                <w:lang w:eastAsia="en-AU"/>
              </w:rPr>
              <w:t xml:space="preserve">'''''''''''' </w:t>
            </w:r>
            <w:r w:rsidRPr="00D539BE">
              <w:rPr>
                <w:rFonts w:eastAsia="SimSun"/>
                <w:color w:val="000000" w:themeColor="text1"/>
                <w:lang w:eastAsia="en-AU"/>
              </w:rPr>
              <w:t xml:space="preserve">(= </w:t>
            </w:r>
            <w:r w:rsidR="001D6F6D">
              <w:rPr>
                <w:rFonts w:eastAsia="SimSun"/>
                <w:noProof/>
                <w:color w:val="000000"/>
                <w:highlight w:val="black"/>
                <w:lang w:eastAsia="en-AU"/>
              </w:rPr>
              <w:t xml:space="preserve">'''''''''''''''' </w:t>
            </w:r>
            <w:r w:rsidRPr="00D539BE">
              <w:rPr>
                <w:rFonts w:eastAsia="SimSun"/>
                <w:color w:val="000000" w:themeColor="text1"/>
                <w:lang w:eastAsia="en-AU"/>
              </w:rPr>
              <w:t xml:space="preserve">* </w:t>
            </w:r>
            <w:r w:rsidR="001D6F6D">
              <w:rPr>
                <w:rFonts w:eastAsia="SimSun"/>
                <w:noProof/>
                <w:color w:val="000000"/>
                <w:highlight w:val="black"/>
                <w:lang w:eastAsia="en-AU"/>
              </w:rPr>
              <w:t>'''''''''</w:t>
            </w:r>
            <w:r w:rsidRPr="00D539BE">
              <w:rPr>
                <w:rFonts w:eastAsia="SimSun"/>
                <w:color w:val="000000" w:themeColor="text1"/>
                <w:lang w:eastAsia="en-AU"/>
              </w:rPr>
              <w:t xml:space="preserve"> mg)</w:t>
            </w:r>
          </w:p>
        </w:tc>
      </w:tr>
      <w:tr w:rsidR="000F7FDA" w:rsidRPr="00D539BE" w:rsidTr="00D03C86">
        <w:tc>
          <w:tcPr>
            <w:tcW w:w="988" w:type="dxa"/>
            <w:tcBorders>
              <w:top w:val="nil"/>
              <w:left w:val="single" w:sz="4" w:space="0" w:color="auto"/>
              <w:bottom w:val="single" w:sz="4" w:space="0" w:color="auto"/>
              <w:right w:val="single" w:sz="4" w:space="0" w:color="auto"/>
            </w:tcBorders>
            <w:tcMar>
              <w:left w:w="28" w:type="dxa"/>
              <w:right w:w="28" w:type="dxa"/>
            </w:tcMar>
          </w:tcPr>
          <w:p w:rsidR="000F7FDA" w:rsidRPr="00D539BE" w:rsidRDefault="000F7FDA" w:rsidP="00476EE6">
            <w:pPr>
              <w:pStyle w:val="Tabletext"/>
              <w:keepNext/>
              <w:jc w:val="center"/>
              <w:rPr>
                <w:rFonts w:eastAsia="SimSun"/>
                <w:color w:val="000000" w:themeColor="text1"/>
                <w:lang w:eastAsia="en-AU"/>
              </w:rPr>
            </w:pPr>
            <w:r w:rsidRPr="00D539BE">
              <w:rPr>
                <w:color w:val="000000" w:themeColor="text1"/>
              </w:rPr>
              <w:t>G = C x E</w:t>
            </w: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0F7FDA" w:rsidRPr="00D539BE" w:rsidRDefault="000F7FDA" w:rsidP="00476EE6">
            <w:pPr>
              <w:pStyle w:val="Tabletext"/>
              <w:keepNext/>
              <w:rPr>
                <w:rFonts w:eastAsia="SimSun"/>
                <w:color w:val="000000" w:themeColor="text1"/>
                <w:lang w:eastAsia="en-AU"/>
              </w:rPr>
            </w:pPr>
            <w:r w:rsidRPr="00D539BE">
              <w:rPr>
                <w:rFonts w:eastAsia="SimSun"/>
                <w:color w:val="000000" w:themeColor="text1"/>
                <w:lang w:eastAsia="en-AU"/>
              </w:rPr>
              <w:t>Ex-manufacturer prices</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bottom"/>
          </w:tcPr>
          <w:p w:rsidR="000F7FDA" w:rsidRPr="00D539BE" w:rsidRDefault="000F7FDA" w:rsidP="00476EE6">
            <w:pPr>
              <w:pStyle w:val="Tabletext"/>
              <w:keepNext/>
              <w:jc w:val="center"/>
              <w:rPr>
                <w:rFonts w:eastAsia="SimSun"/>
                <w:color w:val="000000" w:themeColor="text1"/>
                <w:lang w:eastAsia="en-AU"/>
              </w:rPr>
            </w:pPr>
            <w:r w:rsidRPr="00D539BE">
              <w:rPr>
                <w:rFonts w:eastAsia="SimSun"/>
                <w:color w:val="000000" w:themeColor="text1"/>
                <w:lang w:eastAsia="en-AU"/>
              </w:rPr>
              <w:t>$</w:t>
            </w:r>
            <w:r w:rsidR="001D6F6D">
              <w:rPr>
                <w:rFonts w:eastAsia="SimSun"/>
                <w:noProof/>
                <w:color w:val="000000"/>
                <w:highlight w:val="black"/>
                <w:lang w:eastAsia="en-AU"/>
              </w:rPr>
              <w:t>''''''''''''''''''''</w:t>
            </w:r>
          </w:p>
        </w:tc>
        <w:tc>
          <w:tcPr>
            <w:tcW w:w="2785" w:type="dxa"/>
            <w:tcMar>
              <w:left w:w="28" w:type="dxa"/>
              <w:right w:w="28" w:type="dxa"/>
            </w:tcMar>
            <w:vAlign w:val="bottom"/>
          </w:tcPr>
          <w:p w:rsidR="000F7FDA" w:rsidRPr="00D539BE" w:rsidRDefault="000F7FDA" w:rsidP="00476EE6">
            <w:pPr>
              <w:pStyle w:val="Tabletext"/>
              <w:keepNext/>
              <w:jc w:val="center"/>
              <w:rPr>
                <w:rFonts w:eastAsia="SimSun"/>
                <w:color w:val="000000" w:themeColor="text1"/>
                <w:lang w:eastAsia="en-AU"/>
              </w:rPr>
            </w:pPr>
            <w:r w:rsidRPr="00D539BE">
              <w:rPr>
                <w:rFonts w:eastAsia="SimSun"/>
                <w:color w:val="000000" w:themeColor="text1"/>
                <w:lang w:eastAsia="en-AU"/>
              </w:rPr>
              <w:t>$</w:t>
            </w:r>
            <w:r w:rsidR="001D6F6D">
              <w:rPr>
                <w:rFonts w:eastAsia="SimSun"/>
                <w:noProof/>
                <w:color w:val="000000"/>
                <w:highlight w:val="black"/>
                <w:lang w:eastAsia="en-AU"/>
              </w:rPr>
              <w:t>'''''''''''''''''''''</w:t>
            </w:r>
          </w:p>
        </w:tc>
      </w:tr>
    </w:tbl>
    <w:p w:rsidR="000F7FDA" w:rsidRPr="00D539BE" w:rsidRDefault="000F7FDA" w:rsidP="00476EE6">
      <w:pPr>
        <w:pStyle w:val="TableFooter"/>
        <w:keepNext/>
        <w:widowControl/>
      </w:pPr>
      <w:r w:rsidRPr="00D539BE">
        <w:t>AEMP = approved ex-manufacturer price.</w:t>
      </w:r>
    </w:p>
    <w:p w:rsidR="000F7FDA" w:rsidRPr="00D539BE" w:rsidRDefault="000F7FDA" w:rsidP="00476EE6">
      <w:pPr>
        <w:pStyle w:val="TableFooter"/>
        <w:widowControl/>
        <w:rPr>
          <w:rStyle w:val="CommentReference"/>
          <w:b w:val="0"/>
          <w:color w:val="000000" w:themeColor="text1"/>
        </w:rPr>
      </w:pPr>
      <w:r w:rsidRPr="00D539BE">
        <w:t xml:space="preserve">Source: Table 3.33, p89 of the resubmission; for thalidomide </w:t>
      </w:r>
      <w:proofErr w:type="spellStart"/>
      <w:r w:rsidRPr="00D539BE">
        <w:t>Kalf</w:t>
      </w:r>
      <w:proofErr w:type="spellEnd"/>
      <w:r w:rsidRPr="00D539BE">
        <w:t xml:space="preserve"> 2014 (p 3116); for </w:t>
      </w:r>
      <w:proofErr w:type="spellStart"/>
      <w:r w:rsidRPr="00D539BE">
        <w:t>lenalidomide</w:t>
      </w:r>
      <w:proofErr w:type="spellEnd"/>
      <w:r w:rsidRPr="00D539BE">
        <w:t xml:space="preserve"> Table 3.1, p47 of the resubmission. </w:t>
      </w:r>
    </w:p>
    <w:p w:rsidR="005E7102" w:rsidRPr="00D539BE" w:rsidRDefault="00817E71" w:rsidP="0023263B">
      <w:pPr>
        <w:pStyle w:val="ListParagraph"/>
        <w:widowControl/>
        <w:numPr>
          <w:ilvl w:val="1"/>
          <w:numId w:val="2"/>
        </w:numPr>
        <w:spacing w:before="120"/>
      </w:pPr>
      <w:r w:rsidRPr="00D539BE">
        <w:t xml:space="preserve">The estimated ex-manufacturer price based on </w:t>
      </w:r>
      <w:r w:rsidR="001D6F6D">
        <w:rPr>
          <w:noProof/>
          <w:color w:val="000000"/>
          <w:highlight w:val="black"/>
        </w:rPr>
        <w:t>''''''''</w:t>
      </w:r>
      <w:r w:rsidRPr="00D539BE">
        <w:t xml:space="preserve"> mg/day over </w:t>
      </w:r>
      <w:r w:rsidR="001D6F6D">
        <w:rPr>
          <w:noProof/>
          <w:color w:val="000000"/>
          <w:highlight w:val="black"/>
        </w:rPr>
        <w:t>''''''''</w:t>
      </w:r>
      <w:r w:rsidRPr="00D539BE">
        <w:t xml:space="preserve"> months for </w:t>
      </w:r>
      <w:proofErr w:type="spellStart"/>
      <w:r w:rsidRPr="00D539BE">
        <w:t>lenalidomide</w:t>
      </w:r>
      <w:proofErr w:type="spellEnd"/>
      <w:r w:rsidRPr="00D539BE">
        <w:t xml:space="preserve"> and </w:t>
      </w:r>
      <w:r w:rsidR="001D6F6D">
        <w:rPr>
          <w:noProof/>
          <w:color w:val="000000"/>
          <w:highlight w:val="black"/>
        </w:rPr>
        <w:t>'''''''</w:t>
      </w:r>
      <w:r w:rsidRPr="00D539BE">
        <w:t xml:space="preserve"> mg/day over </w:t>
      </w:r>
      <w:r w:rsidR="001D6F6D">
        <w:rPr>
          <w:noProof/>
          <w:color w:val="000000"/>
          <w:highlight w:val="black"/>
        </w:rPr>
        <w:t>'''''</w:t>
      </w:r>
      <w:r w:rsidRPr="00D539BE">
        <w:t xml:space="preserve"> months for thalidomide resulted in a lower price of </w:t>
      </w:r>
      <w:proofErr w:type="spellStart"/>
      <w:r w:rsidRPr="00D539BE">
        <w:t>lenalidomide</w:t>
      </w:r>
      <w:proofErr w:type="spellEnd"/>
      <w:r w:rsidRPr="00D539BE">
        <w:t xml:space="preserve"> per 10 mg pack of $</w:t>
      </w:r>
      <w:r w:rsidR="001D6F6D">
        <w:rPr>
          <w:noProof/>
          <w:color w:val="000000"/>
          <w:highlight w:val="black"/>
        </w:rPr>
        <w:t>'''''''''''''</w:t>
      </w:r>
      <w:r w:rsidR="000F7FDA" w:rsidRPr="00D539BE">
        <w:t xml:space="preserve"> – see Table </w:t>
      </w:r>
      <w:r w:rsidR="00097671">
        <w:t>28</w:t>
      </w:r>
      <w:r w:rsidRPr="00D539BE">
        <w:t>.</w:t>
      </w:r>
    </w:p>
    <w:p w:rsidR="000F7FDA" w:rsidRPr="00D539BE" w:rsidRDefault="000F7FDA" w:rsidP="00F94978">
      <w:pPr>
        <w:pStyle w:val="PBACHeading1"/>
        <w:numPr>
          <w:ilvl w:val="0"/>
          <w:numId w:val="0"/>
        </w:numPr>
        <w:spacing w:after="0"/>
        <w:rPr>
          <w:rStyle w:val="CommentReference"/>
          <w:b/>
          <w:color w:val="000000" w:themeColor="text1"/>
        </w:rPr>
      </w:pPr>
      <w:r w:rsidRPr="00D539BE">
        <w:rPr>
          <w:rStyle w:val="CommentReference"/>
          <w:b/>
          <w:color w:val="000000" w:themeColor="text1"/>
        </w:rPr>
        <w:lastRenderedPageBreak/>
        <w:t xml:space="preserve">Table </w:t>
      </w:r>
      <w:r w:rsidR="00097671">
        <w:rPr>
          <w:rStyle w:val="CommentReference"/>
          <w:b/>
          <w:color w:val="000000" w:themeColor="text1"/>
        </w:rPr>
        <w:t>28</w:t>
      </w:r>
      <w:r w:rsidRPr="00D539BE">
        <w:rPr>
          <w:rStyle w:val="CommentReference"/>
          <w:b/>
          <w:color w:val="000000" w:themeColor="text1"/>
        </w:rPr>
        <w:t>: Results of the cost-minimisation analysis based on mean dose and treatment duration for thalidomide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8: Results of the cost-minimisation analysis based on mean dose and treatment duration for thalidomide"/>
      </w:tblPr>
      <w:tblGrid>
        <w:gridCol w:w="3397"/>
        <w:gridCol w:w="2835"/>
        <w:gridCol w:w="2785"/>
      </w:tblGrid>
      <w:tr w:rsidR="000F7FDA" w:rsidRPr="00D539BE" w:rsidTr="00D03C86">
        <w:tc>
          <w:tcPr>
            <w:tcW w:w="3397" w:type="dxa"/>
            <w:tcMar>
              <w:left w:w="28" w:type="dxa"/>
              <w:right w:w="28" w:type="dxa"/>
            </w:tcMar>
          </w:tcPr>
          <w:p w:rsidR="000F7FDA" w:rsidRPr="00D539BE" w:rsidRDefault="000F7FDA" w:rsidP="00F94978">
            <w:pPr>
              <w:pStyle w:val="Tabletext"/>
              <w:keepNext/>
              <w:rPr>
                <w:b/>
              </w:rPr>
            </w:pPr>
            <w:r w:rsidRPr="00D539BE">
              <w:rPr>
                <w:b/>
              </w:rPr>
              <w:t>Component</w:t>
            </w:r>
          </w:p>
        </w:tc>
        <w:tc>
          <w:tcPr>
            <w:tcW w:w="2835" w:type="dxa"/>
            <w:tcMar>
              <w:left w:w="28" w:type="dxa"/>
              <w:right w:w="28" w:type="dxa"/>
            </w:tcMar>
          </w:tcPr>
          <w:p w:rsidR="000F7FDA" w:rsidRPr="00D539BE" w:rsidRDefault="000F7FDA" w:rsidP="00F94978">
            <w:pPr>
              <w:pStyle w:val="Tabletext"/>
              <w:keepNext/>
              <w:jc w:val="center"/>
              <w:rPr>
                <w:b/>
              </w:rPr>
            </w:pPr>
            <w:proofErr w:type="spellStart"/>
            <w:r w:rsidRPr="00D539BE">
              <w:rPr>
                <w:b/>
              </w:rPr>
              <w:t>Lenalidomide</w:t>
            </w:r>
            <w:proofErr w:type="spellEnd"/>
          </w:p>
        </w:tc>
        <w:tc>
          <w:tcPr>
            <w:tcW w:w="2785" w:type="dxa"/>
            <w:tcMar>
              <w:left w:w="28" w:type="dxa"/>
              <w:right w:w="28" w:type="dxa"/>
            </w:tcMar>
          </w:tcPr>
          <w:p w:rsidR="000F7FDA" w:rsidRPr="00D539BE" w:rsidRDefault="000F7FDA" w:rsidP="00F94978">
            <w:pPr>
              <w:pStyle w:val="Tabletext"/>
              <w:keepNext/>
              <w:jc w:val="center"/>
              <w:rPr>
                <w:b/>
              </w:rPr>
            </w:pPr>
            <w:r w:rsidRPr="00D539BE">
              <w:rPr>
                <w:b/>
              </w:rPr>
              <w:t>Thalidomide</w:t>
            </w:r>
          </w:p>
        </w:tc>
      </w:tr>
      <w:tr w:rsidR="000F7FDA" w:rsidRPr="00D539BE" w:rsidTr="00D03C86">
        <w:tc>
          <w:tcPr>
            <w:tcW w:w="3397" w:type="dxa"/>
            <w:tcMar>
              <w:left w:w="28" w:type="dxa"/>
              <w:right w:w="28" w:type="dxa"/>
            </w:tcMar>
          </w:tcPr>
          <w:p w:rsidR="000F7FDA" w:rsidRPr="00D539BE" w:rsidRDefault="000F7FDA" w:rsidP="00F94978">
            <w:pPr>
              <w:pStyle w:val="Tabletext"/>
              <w:keepNext/>
            </w:pPr>
            <w:r w:rsidRPr="00D539BE">
              <w:t>Strength (mg)</w:t>
            </w:r>
          </w:p>
        </w:tc>
        <w:tc>
          <w:tcPr>
            <w:tcW w:w="2835" w:type="dxa"/>
            <w:tcMar>
              <w:left w:w="28" w:type="dxa"/>
              <w:right w:w="28" w:type="dxa"/>
            </w:tcMar>
          </w:tcPr>
          <w:p w:rsidR="000F7FDA" w:rsidRPr="00D539BE" w:rsidRDefault="000F7FDA" w:rsidP="00F94978">
            <w:pPr>
              <w:pStyle w:val="Tabletext"/>
              <w:keepNext/>
              <w:jc w:val="center"/>
            </w:pPr>
            <w:r w:rsidRPr="00D539BE">
              <w:t>10 mg</w:t>
            </w:r>
          </w:p>
        </w:tc>
        <w:tc>
          <w:tcPr>
            <w:tcW w:w="2785" w:type="dxa"/>
            <w:tcMar>
              <w:left w:w="28" w:type="dxa"/>
              <w:right w:w="28" w:type="dxa"/>
            </w:tcMar>
          </w:tcPr>
          <w:p w:rsidR="000F7FDA" w:rsidRPr="00D539BE" w:rsidRDefault="000F7FDA" w:rsidP="00F94978">
            <w:pPr>
              <w:pStyle w:val="Tabletext"/>
              <w:keepNext/>
              <w:jc w:val="center"/>
            </w:pPr>
            <w:r w:rsidRPr="00D539BE">
              <w:t>100 mg</w:t>
            </w:r>
          </w:p>
        </w:tc>
      </w:tr>
      <w:tr w:rsidR="000F7FDA" w:rsidRPr="00D539BE" w:rsidTr="00D03C86">
        <w:tc>
          <w:tcPr>
            <w:tcW w:w="3397" w:type="dxa"/>
            <w:tcMar>
              <w:left w:w="28" w:type="dxa"/>
              <w:right w:w="28" w:type="dxa"/>
            </w:tcMar>
          </w:tcPr>
          <w:p w:rsidR="000F7FDA" w:rsidRPr="00D539BE" w:rsidRDefault="000F7FDA" w:rsidP="00F94978">
            <w:pPr>
              <w:pStyle w:val="Tabletext"/>
              <w:keepNext/>
            </w:pPr>
            <w:r w:rsidRPr="00D539BE">
              <w:t>Pack quantity</w:t>
            </w:r>
          </w:p>
        </w:tc>
        <w:tc>
          <w:tcPr>
            <w:tcW w:w="2835" w:type="dxa"/>
            <w:tcMar>
              <w:left w:w="28" w:type="dxa"/>
              <w:right w:w="28" w:type="dxa"/>
            </w:tcMar>
          </w:tcPr>
          <w:p w:rsidR="000F7FDA" w:rsidRPr="00D539BE" w:rsidRDefault="000F7FDA" w:rsidP="00F94978">
            <w:pPr>
              <w:pStyle w:val="Tabletext"/>
              <w:keepNext/>
              <w:jc w:val="center"/>
            </w:pPr>
            <w:r w:rsidRPr="00D539BE">
              <w:t>28</w:t>
            </w:r>
          </w:p>
        </w:tc>
        <w:tc>
          <w:tcPr>
            <w:tcW w:w="2785" w:type="dxa"/>
            <w:tcMar>
              <w:left w:w="28" w:type="dxa"/>
              <w:right w:w="28" w:type="dxa"/>
            </w:tcMar>
          </w:tcPr>
          <w:p w:rsidR="000F7FDA" w:rsidRPr="00D539BE" w:rsidRDefault="000F7FDA" w:rsidP="00F94978">
            <w:pPr>
              <w:pStyle w:val="Tabletext"/>
              <w:keepNext/>
              <w:jc w:val="center"/>
            </w:pPr>
            <w:r w:rsidRPr="00D539BE">
              <w:t>56</w:t>
            </w:r>
          </w:p>
        </w:tc>
      </w:tr>
      <w:tr w:rsidR="000F7FDA" w:rsidRPr="00D539BE" w:rsidTr="00D03C86">
        <w:tc>
          <w:tcPr>
            <w:tcW w:w="3397" w:type="dxa"/>
            <w:tcMar>
              <w:left w:w="28" w:type="dxa"/>
              <w:right w:w="28" w:type="dxa"/>
            </w:tcMar>
          </w:tcPr>
          <w:p w:rsidR="000F7FDA" w:rsidRPr="00D539BE" w:rsidRDefault="000F7FDA" w:rsidP="00F94978">
            <w:pPr>
              <w:pStyle w:val="Tabletext"/>
              <w:keepNext/>
            </w:pPr>
            <w:r w:rsidRPr="00D539BE">
              <w:t>Total mg/ pack</w:t>
            </w:r>
          </w:p>
        </w:tc>
        <w:tc>
          <w:tcPr>
            <w:tcW w:w="2835" w:type="dxa"/>
            <w:tcMar>
              <w:left w:w="28" w:type="dxa"/>
              <w:right w:w="28" w:type="dxa"/>
            </w:tcMar>
          </w:tcPr>
          <w:p w:rsidR="000F7FDA" w:rsidRPr="00D539BE" w:rsidRDefault="000F7FDA" w:rsidP="00F94978">
            <w:pPr>
              <w:pStyle w:val="Tabletext"/>
              <w:keepNext/>
              <w:jc w:val="center"/>
            </w:pPr>
            <w:r w:rsidRPr="00D539BE">
              <w:t>280</w:t>
            </w:r>
          </w:p>
        </w:tc>
        <w:tc>
          <w:tcPr>
            <w:tcW w:w="2785" w:type="dxa"/>
            <w:tcMar>
              <w:left w:w="28" w:type="dxa"/>
              <w:right w:w="28" w:type="dxa"/>
            </w:tcMar>
          </w:tcPr>
          <w:p w:rsidR="000F7FDA" w:rsidRPr="00D539BE" w:rsidRDefault="000F7FDA" w:rsidP="00F94978">
            <w:pPr>
              <w:pStyle w:val="Tabletext"/>
              <w:keepNext/>
              <w:jc w:val="center"/>
            </w:pPr>
            <w:r w:rsidRPr="00D539BE">
              <w:t>5,600</w:t>
            </w:r>
          </w:p>
        </w:tc>
      </w:tr>
      <w:tr w:rsidR="000F7FDA" w:rsidRPr="00D539BE" w:rsidTr="00D03C86">
        <w:tc>
          <w:tcPr>
            <w:tcW w:w="3397" w:type="dxa"/>
            <w:tcMar>
              <w:left w:w="28" w:type="dxa"/>
              <w:right w:w="28" w:type="dxa"/>
            </w:tcMar>
          </w:tcPr>
          <w:p w:rsidR="000F7FDA" w:rsidRPr="00D539BE" w:rsidRDefault="000F7FDA" w:rsidP="00F94978">
            <w:pPr>
              <w:pStyle w:val="Tabletext"/>
              <w:keepNext/>
            </w:pPr>
            <w:r w:rsidRPr="00D539BE">
              <w:t>Max quantity packs</w:t>
            </w:r>
          </w:p>
        </w:tc>
        <w:tc>
          <w:tcPr>
            <w:tcW w:w="2835" w:type="dxa"/>
            <w:tcMar>
              <w:left w:w="28" w:type="dxa"/>
              <w:right w:w="28" w:type="dxa"/>
            </w:tcMar>
          </w:tcPr>
          <w:p w:rsidR="000F7FDA" w:rsidRPr="00D539BE" w:rsidRDefault="000F7FDA" w:rsidP="00F94978">
            <w:pPr>
              <w:pStyle w:val="Tabletext"/>
              <w:keepNext/>
              <w:jc w:val="center"/>
            </w:pPr>
            <w:r w:rsidRPr="00D539BE">
              <w:t>1 pack</w:t>
            </w:r>
          </w:p>
        </w:tc>
        <w:tc>
          <w:tcPr>
            <w:tcW w:w="2785" w:type="dxa"/>
            <w:tcMar>
              <w:left w:w="28" w:type="dxa"/>
              <w:right w:w="28" w:type="dxa"/>
            </w:tcMar>
          </w:tcPr>
          <w:p w:rsidR="000F7FDA" w:rsidRPr="00D539BE" w:rsidRDefault="000F7FDA" w:rsidP="00F94978">
            <w:pPr>
              <w:pStyle w:val="Tabletext"/>
              <w:keepNext/>
              <w:jc w:val="center"/>
            </w:pPr>
            <w:r w:rsidRPr="00D539BE">
              <w:t>1 pack</w:t>
            </w:r>
          </w:p>
        </w:tc>
      </w:tr>
      <w:tr w:rsidR="000F7FDA" w:rsidRPr="00D539BE" w:rsidTr="00D03C86">
        <w:tc>
          <w:tcPr>
            <w:tcW w:w="3397" w:type="dxa"/>
            <w:tcMar>
              <w:left w:w="28" w:type="dxa"/>
              <w:right w:w="28" w:type="dxa"/>
            </w:tcMar>
          </w:tcPr>
          <w:p w:rsidR="000F7FDA" w:rsidRPr="00D539BE" w:rsidRDefault="000F7FDA" w:rsidP="00F94978">
            <w:pPr>
              <w:pStyle w:val="Tabletext"/>
              <w:keepNext/>
            </w:pPr>
            <w:r w:rsidRPr="00D539BE">
              <w:t>Dose (mg/day)</w:t>
            </w:r>
          </w:p>
        </w:tc>
        <w:tc>
          <w:tcPr>
            <w:tcW w:w="2835" w:type="dxa"/>
            <w:tcMar>
              <w:left w:w="28" w:type="dxa"/>
              <w:right w:w="28" w:type="dxa"/>
            </w:tcMar>
          </w:tcPr>
          <w:p w:rsidR="000F7FDA" w:rsidRPr="001D6F6D" w:rsidRDefault="001D6F6D" w:rsidP="00F94978">
            <w:pPr>
              <w:pStyle w:val="Tabletext"/>
              <w:keepNext/>
              <w:jc w:val="center"/>
              <w:rPr>
                <w:highlight w:val="black"/>
              </w:rPr>
            </w:pPr>
            <w:r>
              <w:rPr>
                <w:noProof/>
                <w:color w:val="000000"/>
                <w:highlight w:val="black"/>
              </w:rPr>
              <w:t>'''''''''''</w:t>
            </w:r>
          </w:p>
        </w:tc>
        <w:tc>
          <w:tcPr>
            <w:tcW w:w="2785" w:type="dxa"/>
            <w:tcMar>
              <w:left w:w="28" w:type="dxa"/>
              <w:right w:w="28" w:type="dxa"/>
            </w:tcMar>
          </w:tcPr>
          <w:p w:rsidR="000F7FDA" w:rsidRPr="001D6F6D" w:rsidRDefault="001D6F6D" w:rsidP="00F94978">
            <w:pPr>
              <w:pStyle w:val="Tabletext"/>
              <w:keepNext/>
              <w:jc w:val="center"/>
              <w:rPr>
                <w:highlight w:val="black"/>
              </w:rPr>
            </w:pPr>
            <w:r>
              <w:rPr>
                <w:noProof/>
                <w:color w:val="000000"/>
                <w:highlight w:val="black"/>
              </w:rPr>
              <w:t>''''''''''</w:t>
            </w:r>
          </w:p>
        </w:tc>
      </w:tr>
      <w:tr w:rsidR="000F7FDA" w:rsidRPr="00D539BE" w:rsidTr="00D03C86">
        <w:tc>
          <w:tcPr>
            <w:tcW w:w="3397" w:type="dxa"/>
            <w:tcMar>
              <w:left w:w="28" w:type="dxa"/>
              <w:right w:w="28" w:type="dxa"/>
            </w:tcMar>
          </w:tcPr>
          <w:p w:rsidR="000F7FDA" w:rsidRPr="00D539BE" w:rsidRDefault="000F7FDA" w:rsidP="00F94978">
            <w:pPr>
              <w:pStyle w:val="Tabletext"/>
              <w:keepNext/>
            </w:pPr>
            <w:r w:rsidRPr="00D539BE">
              <w:t>Treatment duration (months)</w:t>
            </w:r>
          </w:p>
        </w:tc>
        <w:tc>
          <w:tcPr>
            <w:tcW w:w="2835" w:type="dxa"/>
            <w:tcMar>
              <w:left w:w="28" w:type="dxa"/>
              <w:right w:w="28" w:type="dxa"/>
            </w:tcMar>
          </w:tcPr>
          <w:p w:rsidR="000F7FDA" w:rsidRPr="001D6F6D" w:rsidRDefault="001D6F6D" w:rsidP="00F94978">
            <w:pPr>
              <w:pStyle w:val="Tabletext"/>
              <w:keepNext/>
              <w:jc w:val="center"/>
              <w:rPr>
                <w:highlight w:val="black"/>
              </w:rPr>
            </w:pPr>
            <w:r>
              <w:rPr>
                <w:noProof/>
                <w:color w:val="000000"/>
                <w:highlight w:val="black"/>
              </w:rPr>
              <w:t>''''''''''</w:t>
            </w:r>
          </w:p>
        </w:tc>
        <w:tc>
          <w:tcPr>
            <w:tcW w:w="2785" w:type="dxa"/>
            <w:tcMar>
              <w:left w:w="28" w:type="dxa"/>
              <w:right w:w="28" w:type="dxa"/>
            </w:tcMar>
          </w:tcPr>
          <w:p w:rsidR="000F7FDA" w:rsidRPr="001D6F6D" w:rsidRDefault="001D6F6D" w:rsidP="00F94978">
            <w:pPr>
              <w:pStyle w:val="Tabletext"/>
              <w:keepNext/>
              <w:jc w:val="center"/>
              <w:rPr>
                <w:highlight w:val="black"/>
              </w:rPr>
            </w:pPr>
            <w:r>
              <w:rPr>
                <w:noProof/>
                <w:color w:val="000000"/>
                <w:highlight w:val="black"/>
              </w:rPr>
              <w:t>'''''</w:t>
            </w:r>
          </w:p>
        </w:tc>
      </w:tr>
      <w:tr w:rsidR="000F7FDA" w:rsidRPr="00D539BE" w:rsidTr="00D03C86">
        <w:tc>
          <w:tcPr>
            <w:tcW w:w="3397" w:type="dxa"/>
            <w:tcMar>
              <w:left w:w="28" w:type="dxa"/>
              <w:right w:w="28" w:type="dxa"/>
            </w:tcMar>
          </w:tcPr>
          <w:p w:rsidR="000F7FDA" w:rsidRPr="00D539BE" w:rsidRDefault="000F7FDA" w:rsidP="00F94978">
            <w:pPr>
              <w:pStyle w:val="Tabletext"/>
              <w:keepNext/>
            </w:pPr>
            <w:r w:rsidRPr="00D539BE">
              <w:t>Dose duration (days)</w:t>
            </w:r>
            <w:r w:rsidRPr="00D539BE">
              <w:rPr>
                <w:vertAlign w:val="superscript"/>
              </w:rPr>
              <w:t>a</w:t>
            </w:r>
          </w:p>
        </w:tc>
        <w:tc>
          <w:tcPr>
            <w:tcW w:w="2835" w:type="dxa"/>
            <w:tcMar>
              <w:left w:w="28" w:type="dxa"/>
              <w:right w:w="28" w:type="dxa"/>
            </w:tcMar>
          </w:tcPr>
          <w:p w:rsidR="000F7FDA" w:rsidRPr="001D6F6D" w:rsidRDefault="001D6F6D" w:rsidP="00F94978">
            <w:pPr>
              <w:pStyle w:val="Tabletext"/>
              <w:keepNext/>
              <w:jc w:val="center"/>
              <w:rPr>
                <w:highlight w:val="black"/>
              </w:rPr>
            </w:pPr>
            <w:r>
              <w:rPr>
                <w:noProof/>
                <w:color w:val="000000"/>
                <w:highlight w:val="black"/>
              </w:rPr>
              <w:t>'''''''''''''''</w:t>
            </w:r>
          </w:p>
        </w:tc>
        <w:tc>
          <w:tcPr>
            <w:tcW w:w="2785" w:type="dxa"/>
            <w:tcMar>
              <w:left w:w="28" w:type="dxa"/>
              <w:right w:w="28" w:type="dxa"/>
            </w:tcMar>
          </w:tcPr>
          <w:p w:rsidR="000F7FDA" w:rsidRPr="001D6F6D" w:rsidRDefault="001D6F6D" w:rsidP="00F94978">
            <w:pPr>
              <w:pStyle w:val="Tabletext"/>
              <w:keepNext/>
              <w:jc w:val="center"/>
              <w:rPr>
                <w:highlight w:val="black"/>
              </w:rPr>
            </w:pPr>
            <w:r>
              <w:rPr>
                <w:noProof/>
                <w:color w:val="000000"/>
                <w:highlight w:val="black"/>
              </w:rPr>
              <w:t>''''''''''''</w:t>
            </w:r>
          </w:p>
        </w:tc>
      </w:tr>
      <w:tr w:rsidR="000F7FDA" w:rsidRPr="00D539BE" w:rsidTr="00D03C86">
        <w:tc>
          <w:tcPr>
            <w:tcW w:w="3397" w:type="dxa"/>
            <w:tcMar>
              <w:left w:w="28" w:type="dxa"/>
              <w:right w:w="28" w:type="dxa"/>
            </w:tcMar>
          </w:tcPr>
          <w:p w:rsidR="000F7FDA" w:rsidRPr="00D539BE" w:rsidRDefault="000F7FDA" w:rsidP="00F94978">
            <w:pPr>
              <w:pStyle w:val="Tabletext"/>
              <w:keepNext/>
            </w:pPr>
            <w:r w:rsidRPr="00D539BE">
              <w:t xml:space="preserve">Total dose (mg) </w:t>
            </w:r>
          </w:p>
        </w:tc>
        <w:tc>
          <w:tcPr>
            <w:tcW w:w="2835" w:type="dxa"/>
            <w:tcMar>
              <w:left w:w="28" w:type="dxa"/>
              <w:right w:w="28" w:type="dxa"/>
            </w:tcMar>
          </w:tcPr>
          <w:p w:rsidR="000F7FDA" w:rsidRPr="001D6F6D" w:rsidRDefault="001D6F6D" w:rsidP="00F94978">
            <w:pPr>
              <w:pStyle w:val="Tabletext"/>
              <w:keepNext/>
              <w:jc w:val="center"/>
              <w:rPr>
                <w:highlight w:val="black"/>
              </w:rPr>
            </w:pPr>
            <w:r>
              <w:rPr>
                <w:noProof/>
                <w:color w:val="000000"/>
                <w:highlight w:val="black"/>
              </w:rPr>
              <w:t>'''''''''''''''''''''</w:t>
            </w:r>
          </w:p>
        </w:tc>
        <w:tc>
          <w:tcPr>
            <w:tcW w:w="2785" w:type="dxa"/>
            <w:tcMar>
              <w:left w:w="28" w:type="dxa"/>
              <w:right w:w="28" w:type="dxa"/>
            </w:tcMar>
          </w:tcPr>
          <w:p w:rsidR="000F7FDA" w:rsidRPr="001D6F6D" w:rsidRDefault="001D6F6D" w:rsidP="00F94978">
            <w:pPr>
              <w:pStyle w:val="Tabletext"/>
              <w:keepNext/>
              <w:jc w:val="center"/>
              <w:rPr>
                <w:highlight w:val="black"/>
              </w:rPr>
            </w:pPr>
            <w:r>
              <w:rPr>
                <w:noProof/>
                <w:color w:val="000000"/>
                <w:highlight w:val="black"/>
              </w:rPr>
              <w:t>'''''''''''''''''</w:t>
            </w:r>
          </w:p>
        </w:tc>
      </w:tr>
      <w:tr w:rsidR="000F7FDA" w:rsidRPr="00D539BE" w:rsidTr="00D03C86">
        <w:tc>
          <w:tcPr>
            <w:tcW w:w="3397" w:type="dxa"/>
            <w:tcMar>
              <w:left w:w="28" w:type="dxa"/>
              <w:right w:w="28" w:type="dxa"/>
            </w:tcMar>
          </w:tcPr>
          <w:p w:rsidR="000F7FDA" w:rsidRPr="00D539BE" w:rsidRDefault="000F7FDA" w:rsidP="00F94978">
            <w:pPr>
              <w:pStyle w:val="Tabletext"/>
              <w:keepNext/>
            </w:pPr>
            <w:r w:rsidRPr="00D539BE">
              <w:t xml:space="preserve">Total </w:t>
            </w:r>
            <w:proofErr w:type="spellStart"/>
            <w:r w:rsidRPr="00D539BE">
              <w:t>packs</w:t>
            </w:r>
            <w:r w:rsidRPr="00D539BE">
              <w:rPr>
                <w:vertAlign w:val="superscript"/>
              </w:rPr>
              <w:t>b</w:t>
            </w:r>
            <w:proofErr w:type="spellEnd"/>
          </w:p>
        </w:tc>
        <w:tc>
          <w:tcPr>
            <w:tcW w:w="2835" w:type="dxa"/>
            <w:tcMar>
              <w:left w:w="28" w:type="dxa"/>
              <w:right w:w="28" w:type="dxa"/>
            </w:tcMar>
          </w:tcPr>
          <w:p w:rsidR="000F7FDA" w:rsidRPr="001D6F6D" w:rsidRDefault="001D6F6D" w:rsidP="00F94978">
            <w:pPr>
              <w:pStyle w:val="Tabletext"/>
              <w:keepNext/>
              <w:jc w:val="center"/>
              <w:rPr>
                <w:highlight w:val="black"/>
              </w:rPr>
            </w:pPr>
            <w:r>
              <w:rPr>
                <w:noProof/>
                <w:color w:val="000000"/>
                <w:highlight w:val="black"/>
              </w:rPr>
              <w:t>'''''''''''</w:t>
            </w:r>
          </w:p>
        </w:tc>
        <w:tc>
          <w:tcPr>
            <w:tcW w:w="2785" w:type="dxa"/>
            <w:tcMar>
              <w:left w:w="28" w:type="dxa"/>
              <w:right w:w="28" w:type="dxa"/>
            </w:tcMar>
          </w:tcPr>
          <w:p w:rsidR="000F7FDA" w:rsidRPr="001D6F6D" w:rsidRDefault="001D6F6D" w:rsidP="00F94978">
            <w:pPr>
              <w:pStyle w:val="Tabletext"/>
              <w:keepNext/>
              <w:jc w:val="center"/>
              <w:rPr>
                <w:highlight w:val="black"/>
              </w:rPr>
            </w:pPr>
            <w:r>
              <w:rPr>
                <w:noProof/>
                <w:color w:val="000000"/>
                <w:highlight w:val="black"/>
              </w:rPr>
              <w:t>''''''''''</w:t>
            </w:r>
          </w:p>
        </w:tc>
      </w:tr>
      <w:tr w:rsidR="000F7FDA" w:rsidRPr="00D539BE" w:rsidTr="00D03C86">
        <w:tc>
          <w:tcPr>
            <w:tcW w:w="3397" w:type="dxa"/>
            <w:tcMar>
              <w:left w:w="28" w:type="dxa"/>
              <w:right w:w="28" w:type="dxa"/>
            </w:tcMar>
          </w:tcPr>
          <w:p w:rsidR="000F7FDA" w:rsidRPr="00D539BE" w:rsidRDefault="000F7FDA" w:rsidP="00F94978">
            <w:pPr>
              <w:pStyle w:val="Tabletext"/>
              <w:keepNext/>
            </w:pPr>
            <w:r w:rsidRPr="00D539BE">
              <w:t xml:space="preserve">AEMP per pack </w:t>
            </w:r>
          </w:p>
        </w:tc>
        <w:tc>
          <w:tcPr>
            <w:tcW w:w="2835" w:type="dxa"/>
            <w:tcMar>
              <w:left w:w="28" w:type="dxa"/>
              <w:right w:w="28" w:type="dxa"/>
            </w:tcMar>
          </w:tcPr>
          <w:p w:rsidR="000F7FDA" w:rsidRPr="00D539BE" w:rsidRDefault="00763E42" w:rsidP="00F94978">
            <w:pPr>
              <w:pStyle w:val="Tabletext"/>
              <w:keepNext/>
              <w:jc w:val="center"/>
            </w:pPr>
            <w:r w:rsidRPr="00D539BE">
              <w:t>$</w:t>
            </w:r>
            <w:r w:rsidR="001D6F6D">
              <w:rPr>
                <w:noProof/>
                <w:color w:val="000000"/>
                <w:highlight w:val="black"/>
              </w:rPr>
              <w:t>'''''''''''''''</w:t>
            </w:r>
          </w:p>
        </w:tc>
        <w:tc>
          <w:tcPr>
            <w:tcW w:w="2785" w:type="dxa"/>
            <w:tcMar>
              <w:left w:w="28" w:type="dxa"/>
              <w:right w:w="28" w:type="dxa"/>
            </w:tcMar>
          </w:tcPr>
          <w:p w:rsidR="000F7FDA" w:rsidRPr="00D539BE" w:rsidRDefault="000F7FDA" w:rsidP="00F94978">
            <w:pPr>
              <w:pStyle w:val="Tabletext"/>
              <w:keepNext/>
              <w:jc w:val="center"/>
            </w:pPr>
            <w:r w:rsidRPr="00D539BE">
              <w:t>$</w:t>
            </w:r>
            <w:r w:rsidR="001D6F6D">
              <w:rPr>
                <w:noProof/>
                <w:color w:val="000000"/>
                <w:highlight w:val="black"/>
              </w:rPr>
              <w:t>'''''''''''''''''''</w:t>
            </w:r>
          </w:p>
        </w:tc>
      </w:tr>
      <w:tr w:rsidR="000F7FDA" w:rsidRPr="00D539BE" w:rsidTr="00D03C86">
        <w:tc>
          <w:tcPr>
            <w:tcW w:w="3397" w:type="dxa"/>
            <w:tcMar>
              <w:left w:w="28" w:type="dxa"/>
              <w:right w:w="28" w:type="dxa"/>
            </w:tcMar>
          </w:tcPr>
          <w:p w:rsidR="000F7FDA" w:rsidRPr="00D539BE" w:rsidRDefault="000F7FDA" w:rsidP="00F94978">
            <w:pPr>
              <w:pStyle w:val="Tabletext"/>
              <w:keepNext/>
            </w:pPr>
            <w:r w:rsidRPr="00D539BE">
              <w:t>Cost per course of treatment</w:t>
            </w:r>
          </w:p>
        </w:tc>
        <w:tc>
          <w:tcPr>
            <w:tcW w:w="2835" w:type="dxa"/>
            <w:tcMar>
              <w:left w:w="28" w:type="dxa"/>
              <w:right w:w="28" w:type="dxa"/>
            </w:tcMar>
          </w:tcPr>
          <w:p w:rsidR="000F7FDA" w:rsidRPr="00D539BE" w:rsidRDefault="000F7FDA" w:rsidP="00F94978">
            <w:pPr>
              <w:pStyle w:val="Tabletext"/>
              <w:keepNext/>
              <w:jc w:val="center"/>
            </w:pPr>
            <w:r w:rsidRPr="00D539BE">
              <w:t>$</w:t>
            </w:r>
            <w:r w:rsidR="001D6F6D">
              <w:rPr>
                <w:noProof/>
                <w:color w:val="000000"/>
                <w:highlight w:val="black"/>
              </w:rPr>
              <w:t>''''''''''''''''''''''</w:t>
            </w:r>
          </w:p>
        </w:tc>
        <w:tc>
          <w:tcPr>
            <w:tcW w:w="2785" w:type="dxa"/>
            <w:tcMar>
              <w:left w:w="28" w:type="dxa"/>
              <w:right w:w="28" w:type="dxa"/>
            </w:tcMar>
          </w:tcPr>
          <w:p w:rsidR="000F7FDA" w:rsidRPr="00D539BE" w:rsidRDefault="000F7FDA" w:rsidP="00F94978">
            <w:pPr>
              <w:pStyle w:val="Tabletext"/>
              <w:keepNext/>
              <w:jc w:val="center"/>
            </w:pPr>
            <w:r w:rsidRPr="00D539BE">
              <w:t>$</w:t>
            </w:r>
            <w:r w:rsidR="001D6F6D">
              <w:rPr>
                <w:noProof/>
                <w:color w:val="000000"/>
                <w:highlight w:val="black"/>
              </w:rPr>
              <w:t>''''''''''''''''''''''''</w:t>
            </w:r>
          </w:p>
        </w:tc>
      </w:tr>
    </w:tbl>
    <w:p w:rsidR="000F7FDA" w:rsidRPr="00D539BE" w:rsidRDefault="000F7FDA" w:rsidP="00476EE6">
      <w:pPr>
        <w:pStyle w:val="TableFooter"/>
        <w:widowControl/>
      </w:pPr>
      <w:r w:rsidRPr="00D539BE">
        <w:t>AEMP = approved ex-manufacturer price.</w:t>
      </w:r>
    </w:p>
    <w:p w:rsidR="00D03C86" w:rsidRPr="00D539BE" w:rsidRDefault="000F7FDA" w:rsidP="00476EE6">
      <w:pPr>
        <w:pStyle w:val="TableFooter"/>
        <w:widowControl/>
      </w:pPr>
      <w:proofErr w:type="spellStart"/>
      <w:proofErr w:type="gramStart"/>
      <w:r w:rsidRPr="00D539BE">
        <w:t>a</w:t>
      </w:r>
      <w:proofErr w:type="spellEnd"/>
      <w:proofErr w:type="gramEnd"/>
      <w:r w:rsidRPr="00D539BE">
        <w:t xml:space="preserve"> estimated as the product of treatment duration (months) x </w:t>
      </w:r>
      <w:r w:rsidR="001D6F6D">
        <w:rPr>
          <w:noProof/>
          <w:color w:val="000000"/>
          <w:highlight w:val="black"/>
        </w:rPr>
        <w:t>''''''''''</w:t>
      </w:r>
      <w:r w:rsidRPr="00D539BE">
        <w:t xml:space="preserve">; </w:t>
      </w:r>
    </w:p>
    <w:p w:rsidR="000F7FDA" w:rsidRPr="00D539BE" w:rsidRDefault="000F7FDA" w:rsidP="00476EE6">
      <w:pPr>
        <w:pStyle w:val="TableFooter"/>
        <w:widowControl/>
      </w:pPr>
      <w:proofErr w:type="gramStart"/>
      <w:r w:rsidRPr="00D539BE">
        <w:t>b</w:t>
      </w:r>
      <w:proofErr w:type="gramEnd"/>
      <w:r w:rsidRPr="00D539BE">
        <w:t xml:space="preserve"> estimated as total dose (mg) / total mg per pack.</w:t>
      </w:r>
    </w:p>
    <w:p w:rsidR="00B920A8" w:rsidRPr="00D539BE" w:rsidRDefault="000F7FDA" w:rsidP="00476EE6">
      <w:pPr>
        <w:pStyle w:val="TableFooter"/>
        <w:widowControl/>
      </w:pPr>
      <w:r w:rsidRPr="00D539BE">
        <w:t>Source:  Calculated during evaluation.</w:t>
      </w:r>
    </w:p>
    <w:p w:rsidR="00EC38C1" w:rsidRDefault="00B920A8" w:rsidP="0023263B">
      <w:pPr>
        <w:pStyle w:val="ListParagraph"/>
        <w:widowControl/>
        <w:numPr>
          <w:ilvl w:val="1"/>
          <w:numId w:val="2"/>
        </w:numPr>
        <w:spacing w:before="120"/>
      </w:pPr>
      <w:r w:rsidRPr="00D539BE">
        <w:t>The ESC noted the large differences in AEMP</w:t>
      </w:r>
      <w:r w:rsidR="00763E42" w:rsidRPr="00D539BE">
        <w:t>s when</w:t>
      </w:r>
      <w:r w:rsidRPr="00D539BE">
        <w:t xml:space="preserve"> using the submission</w:t>
      </w:r>
      <w:r w:rsidR="00763E42" w:rsidRPr="00D539BE">
        <w:t>’s</w:t>
      </w:r>
      <w:r w:rsidRPr="00D539BE">
        <w:t xml:space="preserve"> approach </w:t>
      </w:r>
      <w:r w:rsidRPr="001172EE">
        <w:t>of the recommended doses for each of the medicines</w:t>
      </w:r>
      <w:r w:rsidRPr="00D539BE">
        <w:t xml:space="preserve"> (</w:t>
      </w:r>
      <w:r w:rsidRPr="00D539BE">
        <w:rPr>
          <w:rFonts w:eastAsia="SimSun"/>
          <w:color w:val="000000" w:themeColor="text1"/>
          <w:lang w:eastAsia="en-AU"/>
        </w:rPr>
        <w:t>$</w:t>
      </w:r>
      <w:r w:rsidR="001D6F6D">
        <w:rPr>
          <w:rFonts w:eastAsia="SimSun"/>
          <w:noProof/>
          <w:color w:val="000000"/>
          <w:highlight w:val="black"/>
          <w:lang w:eastAsia="en-AU"/>
        </w:rPr>
        <w:t>'''''''''''''</w:t>
      </w:r>
      <w:r w:rsidRPr="00D539BE">
        <w:rPr>
          <w:rFonts w:eastAsia="SimSun"/>
          <w:color w:val="000000" w:themeColor="text1"/>
          <w:lang w:eastAsia="en-AU"/>
        </w:rPr>
        <w:t>), the average trial doses ($</w:t>
      </w:r>
      <w:r w:rsidR="001D6F6D">
        <w:rPr>
          <w:rFonts w:eastAsia="SimSun"/>
          <w:noProof/>
          <w:color w:val="000000"/>
          <w:highlight w:val="black"/>
          <w:lang w:eastAsia="en-AU"/>
        </w:rPr>
        <w:t>'''''''''''''''''</w:t>
      </w:r>
      <w:r w:rsidRPr="00D539BE">
        <w:rPr>
          <w:rFonts w:eastAsia="SimSun"/>
          <w:color w:val="000000" w:themeColor="text1"/>
          <w:lang w:eastAsia="en-AU"/>
        </w:rPr>
        <w:t>) and mean dose and treatment duration (</w:t>
      </w:r>
      <w:r w:rsidRPr="00D539BE">
        <w:t>$</w:t>
      </w:r>
      <w:r w:rsidR="001D6F6D">
        <w:rPr>
          <w:noProof/>
          <w:color w:val="000000"/>
          <w:highlight w:val="black"/>
        </w:rPr>
        <w:t>''''''''''''''</w:t>
      </w:r>
      <w:r w:rsidRPr="00D539BE">
        <w:t xml:space="preserve">). </w:t>
      </w:r>
    </w:p>
    <w:p w:rsidR="00B920A8" w:rsidRPr="00D539BE" w:rsidRDefault="00B920A8" w:rsidP="0023263B">
      <w:pPr>
        <w:pStyle w:val="ListParagraph"/>
        <w:widowControl/>
        <w:numPr>
          <w:ilvl w:val="1"/>
          <w:numId w:val="2"/>
        </w:numPr>
        <w:spacing w:before="120"/>
      </w:pPr>
      <w:r w:rsidRPr="00D539BE">
        <w:t xml:space="preserve">The ESC noted the transitivity issues between the trials and that the fixed duration of thalidomide treatment made it difficult to estimate the treatment exposure of </w:t>
      </w:r>
      <w:proofErr w:type="spellStart"/>
      <w:r w:rsidRPr="00D539BE">
        <w:t>lenalidomide</w:t>
      </w:r>
      <w:proofErr w:type="spellEnd"/>
      <w:r w:rsidRPr="00D539BE">
        <w:t xml:space="preserve"> that resulted in equivalent clinical outcomes. The </w:t>
      </w:r>
      <w:r w:rsidR="000C44D4">
        <w:t xml:space="preserve">PBAC agreed with the </w:t>
      </w:r>
      <w:r w:rsidRPr="00D539BE">
        <w:t xml:space="preserve">ESC </w:t>
      </w:r>
      <w:r w:rsidR="000C44D4">
        <w:t>that</w:t>
      </w:r>
      <w:r w:rsidR="000C44D4" w:rsidRPr="00D539BE">
        <w:t xml:space="preserve"> </w:t>
      </w:r>
      <w:r w:rsidRPr="00D539BE">
        <w:t xml:space="preserve">given this uncertainty and the variable results in the </w:t>
      </w:r>
      <w:r w:rsidRPr="001172EE">
        <w:t xml:space="preserve">sensitivity analyses that the cost-minimisation approach used in the resubmission </w:t>
      </w:r>
      <w:r w:rsidR="000C44D4" w:rsidRPr="001172EE">
        <w:t>based on the recommended doses for each of the medicines</w:t>
      </w:r>
      <w:r w:rsidR="000C44D4" w:rsidRPr="00D539BE">
        <w:t xml:space="preserve"> </w:t>
      </w:r>
      <w:r w:rsidR="000C44D4">
        <w:t>was</w:t>
      </w:r>
      <w:r w:rsidRPr="00D539BE">
        <w:t xml:space="preserve"> reasonable</w:t>
      </w:r>
      <w:r w:rsidR="00003C69" w:rsidRPr="00D539BE">
        <w:t xml:space="preserve"> (AEMP $</w:t>
      </w:r>
      <w:r w:rsidR="001D6F6D">
        <w:rPr>
          <w:noProof/>
          <w:color w:val="000000"/>
          <w:highlight w:val="black"/>
        </w:rPr>
        <w:t>'''''''''''''</w:t>
      </w:r>
      <w:r w:rsidR="00003C69" w:rsidRPr="00D539BE">
        <w:t>)</w:t>
      </w:r>
      <w:r w:rsidRPr="00D539BE">
        <w:t>.</w:t>
      </w:r>
    </w:p>
    <w:p w:rsidR="00E7049A" w:rsidRPr="003A3555" w:rsidRDefault="00E7049A" w:rsidP="0023263B">
      <w:pPr>
        <w:pStyle w:val="Heading2"/>
        <w:widowControl/>
        <w:spacing w:before="120"/>
        <w:rPr>
          <w:color w:val="000000" w:themeColor="text1"/>
        </w:rPr>
      </w:pPr>
      <w:r w:rsidRPr="003A3555">
        <w:rPr>
          <w:color w:val="000000" w:themeColor="text1"/>
        </w:rPr>
        <w:t xml:space="preserve">Drug cost/patient/year: </w:t>
      </w:r>
      <w:r w:rsidRPr="003A3555">
        <w:rPr>
          <w:rFonts w:cs="Calibri"/>
          <w:snapToGrid/>
          <w:color w:val="000000" w:themeColor="text1"/>
          <w:szCs w:val="24"/>
          <w:lang w:eastAsia="en-AU"/>
        </w:rPr>
        <w:t>$</w:t>
      </w:r>
      <w:r w:rsidR="001D6F6D">
        <w:rPr>
          <w:rFonts w:cs="Calibri"/>
          <w:noProof/>
          <w:snapToGrid/>
          <w:color w:val="000000"/>
          <w:szCs w:val="24"/>
          <w:highlight w:val="black"/>
          <w:lang w:eastAsia="en-AU"/>
        </w:rPr>
        <w:t>''''''''''''</w:t>
      </w:r>
    </w:p>
    <w:p w:rsidR="005E7102" w:rsidRPr="003A3555" w:rsidRDefault="009B4062" w:rsidP="0023263B">
      <w:pPr>
        <w:pStyle w:val="ListParagraph"/>
        <w:keepNext/>
        <w:widowControl/>
        <w:numPr>
          <w:ilvl w:val="1"/>
          <w:numId w:val="2"/>
        </w:numPr>
        <w:spacing w:before="120"/>
        <w:rPr>
          <w:rFonts w:cs="Calibri"/>
          <w:snapToGrid/>
          <w:color w:val="000000" w:themeColor="text1"/>
          <w:szCs w:val="24"/>
          <w:lang w:eastAsia="en-AU"/>
        </w:rPr>
      </w:pPr>
      <w:r w:rsidRPr="003A3555">
        <w:rPr>
          <w:rFonts w:cs="Calibri"/>
          <w:snapToGrid/>
          <w:color w:val="000000" w:themeColor="text1"/>
          <w:szCs w:val="24"/>
          <w:lang w:eastAsia="en-AU"/>
        </w:rPr>
        <w:t>The resubmission proposed price</w:t>
      </w:r>
      <w:r w:rsidR="00163FDD">
        <w:rPr>
          <w:rFonts w:cs="Calibri"/>
          <w:snapToGrid/>
          <w:color w:val="000000" w:themeColor="text1"/>
          <w:szCs w:val="24"/>
          <w:lang w:eastAsia="en-AU"/>
        </w:rPr>
        <w:t>s</w:t>
      </w:r>
      <w:r w:rsidRPr="003A3555">
        <w:rPr>
          <w:rFonts w:cs="Calibri"/>
          <w:snapToGrid/>
          <w:color w:val="000000" w:themeColor="text1"/>
          <w:szCs w:val="24"/>
          <w:lang w:eastAsia="en-AU"/>
        </w:rPr>
        <w:t xml:space="preserve"> for </w:t>
      </w:r>
      <w:proofErr w:type="spellStart"/>
      <w:r w:rsidRPr="003A3555">
        <w:rPr>
          <w:rFonts w:cs="Calibri"/>
          <w:snapToGrid/>
          <w:color w:val="000000" w:themeColor="text1"/>
          <w:szCs w:val="24"/>
          <w:lang w:eastAsia="en-AU"/>
        </w:rPr>
        <w:t>lenalidomide</w:t>
      </w:r>
      <w:proofErr w:type="spellEnd"/>
      <w:r w:rsidRPr="003A3555">
        <w:rPr>
          <w:rFonts w:cs="Calibri"/>
          <w:snapToGrid/>
          <w:color w:val="000000" w:themeColor="text1"/>
          <w:szCs w:val="24"/>
          <w:lang w:eastAsia="en-AU"/>
        </w:rPr>
        <w:t xml:space="preserve"> </w:t>
      </w:r>
      <w:r w:rsidR="00163FDD">
        <w:rPr>
          <w:rFonts w:cs="Calibri"/>
          <w:snapToGrid/>
          <w:color w:val="000000" w:themeColor="text1"/>
          <w:szCs w:val="24"/>
          <w:lang w:eastAsia="en-AU"/>
        </w:rPr>
        <w:t>5 mg, 10</w:t>
      </w:r>
      <w:r w:rsidR="003A1670">
        <w:rPr>
          <w:rFonts w:cs="Calibri"/>
          <w:snapToGrid/>
          <w:color w:val="000000" w:themeColor="text1"/>
          <w:szCs w:val="24"/>
          <w:lang w:eastAsia="en-AU"/>
        </w:rPr>
        <w:t xml:space="preserve"> </w:t>
      </w:r>
      <w:r w:rsidR="00163FDD">
        <w:rPr>
          <w:rFonts w:cs="Calibri"/>
          <w:snapToGrid/>
          <w:color w:val="000000" w:themeColor="text1"/>
          <w:szCs w:val="24"/>
          <w:lang w:eastAsia="en-AU"/>
        </w:rPr>
        <w:t xml:space="preserve">mg and 25 mg </w:t>
      </w:r>
      <w:r w:rsidRPr="003A3555">
        <w:rPr>
          <w:rFonts w:cs="Calibri"/>
          <w:snapToGrid/>
          <w:color w:val="000000" w:themeColor="text1"/>
          <w:szCs w:val="24"/>
          <w:lang w:eastAsia="en-AU"/>
        </w:rPr>
        <w:t xml:space="preserve">based on </w:t>
      </w:r>
      <w:r w:rsidR="00E32DDA">
        <w:rPr>
          <w:rFonts w:cs="Calibri"/>
          <w:snapToGrid/>
          <w:color w:val="000000" w:themeColor="text1"/>
          <w:szCs w:val="24"/>
          <w:lang w:eastAsia="en-AU"/>
        </w:rPr>
        <w:t xml:space="preserve">a </w:t>
      </w:r>
      <w:r w:rsidRPr="003A3555">
        <w:rPr>
          <w:rFonts w:cs="Calibri"/>
          <w:snapToGrid/>
          <w:color w:val="000000" w:themeColor="text1"/>
          <w:szCs w:val="24"/>
          <w:lang w:eastAsia="en-AU"/>
        </w:rPr>
        <w:t xml:space="preserve">weighted </w:t>
      </w:r>
      <w:r w:rsidR="00E32DDA">
        <w:rPr>
          <w:rFonts w:cs="Calibri"/>
          <w:snapToGrid/>
          <w:color w:val="000000" w:themeColor="text1"/>
          <w:szCs w:val="24"/>
          <w:lang w:eastAsia="en-AU"/>
        </w:rPr>
        <w:t xml:space="preserve">analysis of the prices used in </w:t>
      </w:r>
      <w:r w:rsidRPr="003A3555">
        <w:rPr>
          <w:rFonts w:cs="Calibri"/>
          <w:snapToGrid/>
          <w:color w:val="000000" w:themeColor="text1"/>
          <w:szCs w:val="24"/>
          <w:lang w:eastAsia="en-AU"/>
        </w:rPr>
        <w:t xml:space="preserve">the </w:t>
      </w:r>
      <w:r w:rsidR="00E32DDA">
        <w:rPr>
          <w:rFonts w:cs="Calibri"/>
          <w:snapToGrid/>
          <w:color w:val="000000" w:themeColor="text1"/>
          <w:szCs w:val="24"/>
          <w:lang w:eastAsia="en-AU"/>
        </w:rPr>
        <w:t>cost-utility analysis</w:t>
      </w:r>
      <w:r w:rsidRPr="003A3555">
        <w:rPr>
          <w:rFonts w:cs="Calibri"/>
          <w:snapToGrid/>
          <w:color w:val="000000" w:themeColor="text1"/>
          <w:szCs w:val="24"/>
          <w:lang w:eastAsia="en-AU"/>
        </w:rPr>
        <w:t xml:space="preserve"> (</w:t>
      </w:r>
      <w:proofErr w:type="spellStart"/>
      <w:r w:rsidRPr="003A3555">
        <w:rPr>
          <w:rFonts w:cs="Calibri"/>
          <w:snapToGrid/>
          <w:color w:val="000000" w:themeColor="text1"/>
          <w:szCs w:val="24"/>
          <w:lang w:eastAsia="en-AU"/>
        </w:rPr>
        <w:t>lenalidomide</w:t>
      </w:r>
      <w:proofErr w:type="spellEnd"/>
      <w:r w:rsidRPr="003A3555">
        <w:rPr>
          <w:rFonts w:cs="Calibri"/>
          <w:snapToGrid/>
          <w:color w:val="000000" w:themeColor="text1"/>
          <w:szCs w:val="24"/>
          <w:lang w:eastAsia="en-AU"/>
        </w:rPr>
        <w:t xml:space="preserve"> v</w:t>
      </w:r>
      <w:r w:rsidR="00E32DDA">
        <w:rPr>
          <w:rFonts w:cs="Calibri"/>
          <w:snapToGrid/>
          <w:color w:val="000000" w:themeColor="text1"/>
          <w:szCs w:val="24"/>
          <w:lang w:eastAsia="en-AU"/>
        </w:rPr>
        <w:t>ersu</w:t>
      </w:r>
      <w:r w:rsidRPr="003A3555">
        <w:rPr>
          <w:rFonts w:cs="Calibri"/>
          <w:snapToGrid/>
          <w:color w:val="000000" w:themeColor="text1"/>
          <w:szCs w:val="24"/>
          <w:lang w:eastAsia="en-AU"/>
        </w:rPr>
        <w:t xml:space="preserve">s BSC) and </w:t>
      </w:r>
      <w:r w:rsidR="00E32DDA">
        <w:rPr>
          <w:rFonts w:cs="Calibri"/>
          <w:snapToGrid/>
          <w:color w:val="000000" w:themeColor="text1"/>
          <w:szCs w:val="24"/>
          <w:lang w:eastAsia="en-AU"/>
        </w:rPr>
        <w:t>the prices determined from the cost-minimisation analysis</w:t>
      </w:r>
      <w:r w:rsidRPr="003A3555">
        <w:rPr>
          <w:rFonts w:cs="Calibri"/>
          <w:snapToGrid/>
          <w:color w:val="000000" w:themeColor="text1"/>
          <w:szCs w:val="24"/>
          <w:lang w:eastAsia="en-AU"/>
        </w:rPr>
        <w:t xml:space="preserve"> (</w:t>
      </w:r>
      <w:proofErr w:type="spellStart"/>
      <w:r w:rsidRPr="003A3555">
        <w:rPr>
          <w:rFonts w:cs="Calibri"/>
          <w:snapToGrid/>
          <w:color w:val="000000" w:themeColor="text1"/>
          <w:szCs w:val="24"/>
          <w:lang w:eastAsia="en-AU"/>
        </w:rPr>
        <w:t>lenalidomide</w:t>
      </w:r>
      <w:proofErr w:type="spellEnd"/>
      <w:r w:rsidRPr="003A3555">
        <w:rPr>
          <w:rFonts w:cs="Calibri"/>
          <w:snapToGrid/>
          <w:color w:val="000000" w:themeColor="text1"/>
          <w:szCs w:val="24"/>
          <w:lang w:eastAsia="en-AU"/>
        </w:rPr>
        <w:t xml:space="preserve"> v</w:t>
      </w:r>
      <w:r w:rsidR="00E32DDA">
        <w:rPr>
          <w:rFonts w:cs="Calibri"/>
          <w:snapToGrid/>
          <w:color w:val="000000" w:themeColor="text1"/>
          <w:szCs w:val="24"/>
          <w:lang w:eastAsia="en-AU"/>
        </w:rPr>
        <w:t>ersu</w:t>
      </w:r>
      <w:r w:rsidRPr="003A3555">
        <w:rPr>
          <w:rFonts w:cs="Calibri"/>
          <w:snapToGrid/>
          <w:color w:val="000000" w:themeColor="text1"/>
          <w:szCs w:val="24"/>
          <w:lang w:eastAsia="en-AU"/>
        </w:rPr>
        <w:t xml:space="preserve">s thalidomide). The </w:t>
      </w:r>
      <w:r w:rsidR="00163FDD">
        <w:rPr>
          <w:rFonts w:cs="Calibri"/>
          <w:snapToGrid/>
          <w:color w:val="000000" w:themeColor="text1"/>
          <w:szCs w:val="24"/>
          <w:lang w:eastAsia="en-AU"/>
        </w:rPr>
        <w:t xml:space="preserve">weighted price in the </w:t>
      </w:r>
      <w:r w:rsidRPr="003A3555">
        <w:rPr>
          <w:rFonts w:cs="Calibri"/>
          <w:snapToGrid/>
          <w:color w:val="000000" w:themeColor="text1"/>
          <w:szCs w:val="24"/>
          <w:lang w:eastAsia="en-AU"/>
        </w:rPr>
        <w:t xml:space="preserve">resubmission </w:t>
      </w:r>
      <w:r w:rsidR="00163FDD">
        <w:rPr>
          <w:rFonts w:cs="Calibri"/>
          <w:snapToGrid/>
          <w:color w:val="000000" w:themeColor="text1"/>
          <w:szCs w:val="24"/>
          <w:lang w:eastAsia="en-AU"/>
        </w:rPr>
        <w:t xml:space="preserve">assumed the following comparator mix: </w:t>
      </w:r>
      <w:r w:rsidR="001D6F6D">
        <w:rPr>
          <w:rFonts w:cs="Calibri"/>
          <w:noProof/>
          <w:snapToGrid/>
          <w:color w:val="000000"/>
          <w:szCs w:val="24"/>
          <w:highlight w:val="black"/>
          <w:lang w:eastAsia="en-AU"/>
        </w:rPr>
        <w:t>''''''''</w:t>
      </w:r>
      <w:r w:rsidRPr="003A3555">
        <w:rPr>
          <w:rFonts w:cs="Calibri"/>
          <w:snapToGrid/>
          <w:color w:val="000000" w:themeColor="text1"/>
          <w:szCs w:val="24"/>
          <w:lang w:eastAsia="en-AU"/>
        </w:rPr>
        <w:t xml:space="preserve">% of patients </w:t>
      </w:r>
      <w:r w:rsidR="00163FDD">
        <w:rPr>
          <w:rFonts w:cs="Calibri"/>
          <w:snapToGrid/>
          <w:color w:val="000000" w:themeColor="text1"/>
          <w:szCs w:val="24"/>
          <w:lang w:eastAsia="en-AU"/>
        </w:rPr>
        <w:t xml:space="preserve">would be treated </w:t>
      </w:r>
      <w:r w:rsidRPr="003A3555">
        <w:rPr>
          <w:rFonts w:cs="Calibri"/>
          <w:snapToGrid/>
          <w:color w:val="000000" w:themeColor="text1"/>
          <w:szCs w:val="24"/>
          <w:lang w:eastAsia="en-AU"/>
        </w:rPr>
        <w:t xml:space="preserve">with </w:t>
      </w:r>
      <w:r w:rsidRPr="001172EE">
        <w:rPr>
          <w:rFonts w:cs="Calibri"/>
          <w:snapToGrid/>
          <w:color w:val="000000" w:themeColor="text1"/>
          <w:szCs w:val="24"/>
          <w:lang w:eastAsia="en-AU"/>
        </w:rPr>
        <w:t xml:space="preserve">BSC and </w:t>
      </w:r>
      <w:proofErr w:type="gramStart"/>
      <w:r w:rsidR="001D6F6D">
        <w:rPr>
          <w:rFonts w:cs="Calibri"/>
          <w:noProof/>
          <w:snapToGrid/>
          <w:color w:val="000000"/>
          <w:szCs w:val="24"/>
          <w:highlight w:val="black"/>
          <w:lang w:eastAsia="en-AU"/>
        </w:rPr>
        <w:t>''''''''</w:t>
      </w:r>
      <w:r w:rsidRPr="001172EE">
        <w:rPr>
          <w:rFonts w:cs="Calibri"/>
          <w:snapToGrid/>
          <w:color w:val="000000" w:themeColor="text1"/>
          <w:szCs w:val="24"/>
          <w:lang w:eastAsia="en-AU"/>
        </w:rPr>
        <w:t>%</w:t>
      </w:r>
      <w:proofErr w:type="gramEnd"/>
      <w:r w:rsidRPr="001172EE">
        <w:rPr>
          <w:rFonts w:cs="Calibri"/>
          <w:snapToGrid/>
          <w:color w:val="000000" w:themeColor="text1"/>
          <w:szCs w:val="24"/>
          <w:lang w:eastAsia="en-AU"/>
        </w:rPr>
        <w:t xml:space="preserve"> of patients</w:t>
      </w:r>
      <w:r w:rsidRPr="003A3555">
        <w:rPr>
          <w:rFonts w:cs="Calibri"/>
          <w:snapToGrid/>
          <w:color w:val="000000" w:themeColor="text1"/>
          <w:szCs w:val="24"/>
          <w:lang w:eastAsia="en-AU"/>
        </w:rPr>
        <w:t xml:space="preserve"> </w:t>
      </w:r>
      <w:r w:rsidR="00163FDD">
        <w:rPr>
          <w:rFonts w:cs="Calibri"/>
          <w:snapToGrid/>
          <w:color w:val="000000" w:themeColor="text1"/>
          <w:szCs w:val="24"/>
          <w:lang w:eastAsia="en-AU"/>
        </w:rPr>
        <w:t xml:space="preserve">would be </w:t>
      </w:r>
      <w:r w:rsidRPr="003A3555">
        <w:rPr>
          <w:rFonts w:cs="Calibri"/>
          <w:snapToGrid/>
          <w:color w:val="000000" w:themeColor="text1"/>
          <w:szCs w:val="24"/>
          <w:lang w:eastAsia="en-AU"/>
        </w:rPr>
        <w:t>treated with thalidomide</w:t>
      </w:r>
      <w:r w:rsidR="006B10D4">
        <w:rPr>
          <w:rFonts w:cs="Calibri"/>
          <w:snapToGrid/>
          <w:color w:val="000000" w:themeColor="text1"/>
          <w:szCs w:val="24"/>
          <w:lang w:eastAsia="en-AU"/>
        </w:rPr>
        <w:t xml:space="preserve"> (see Table </w:t>
      </w:r>
      <w:r w:rsidR="00097671">
        <w:rPr>
          <w:rFonts w:cs="Calibri"/>
          <w:snapToGrid/>
          <w:color w:val="000000" w:themeColor="text1"/>
          <w:szCs w:val="24"/>
          <w:lang w:eastAsia="en-AU"/>
        </w:rPr>
        <w:t>29</w:t>
      </w:r>
      <w:r w:rsidR="006B10D4">
        <w:rPr>
          <w:rFonts w:cs="Calibri"/>
          <w:snapToGrid/>
          <w:color w:val="000000" w:themeColor="text1"/>
          <w:szCs w:val="24"/>
          <w:lang w:eastAsia="en-AU"/>
        </w:rPr>
        <w:t>)</w:t>
      </w:r>
      <w:r w:rsidRPr="003A3555">
        <w:rPr>
          <w:rFonts w:cs="Calibri"/>
          <w:snapToGrid/>
          <w:color w:val="000000" w:themeColor="text1"/>
          <w:szCs w:val="24"/>
          <w:lang w:eastAsia="en-AU"/>
        </w:rPr>
        <w:t xml:space="preserve">. </w:t>
      </w:r>
      <w:r w:rsidR="00163FDD">
        <w:rPr>
          <w:rFonts w:cs="Calibri"/>
          <w:snapToGrid/>
          <w:color w:val="000000" w:themeColor="text1"/>
          <w:szCs w:val="24"/>
          <w:lang w:eastAsia="en-AU"/>
        </w:rPr>
        <w:t xml:space="preserve">The weightings were based an </w:t>
      </w:r>
      <w:r w:rsidR="00163FDD">
        <w:rPr>
          <w:rFonts w:cs="Calibri"/>
          <w:snapToGrid/>
          <w:color w:val="000000" w:themeColor="text1"/>
          <w:szCs w:val="24"/>
          <w:lang w:eastAsia="en-AU"/>
        </w:rPr>
        <w:lastRenderedPageBreak/>
        <w:t>analysis of post-ASCT treatment patterns provided by the MRDR.</w:t>
      </w:r>
      <w:r w:rsidR="00CD0010">
        <w:rPr>
          <w:rFonts w:cs="Calibri"/>
          <w:snapToGrid/>
          <w:color w:val="000000" w:themeColor="text1"/>
          <w:szCs w:val="24"/>
          <w:lang w:eastAsia="en-AU"/>
        </w:rPr>
        <w:t xml:space="preserve"> The PBAC </w:t>
      </w:r>
      <w:r w:rsidR="003A1670">
        <w:rPr>
          <w:rFonts w:cs="Calibri"/>
          <w:snapToGrid/>
          <w:color w:val="000000" w:themeColor="text1"/>
          <w:szCs w:val="24"/>
          <w:lang w:eastAsia="en-AU"/>
        </w:rPr>
        <w:t xml:space="preserve">considered </w:t>
      </w:r>
      <w:r w:rsidR="00CD0010">
        <w:rPr>
          <w:rFonts w:cs="Calibri"/>
          <w:snapToGrid/>
          <w:color w:val="000000" w:themeColor="text1"/>
          <w:szCs w:val="24"/>
          <w:lang w:eastAsia="en-AU"/>
        </w:rPr>
        <w:t xml:space="preserve">that a weighting of </w:t>
      </w:r>
      <w:r w:rsidR="001D6F6D">
        <w:rPr>
          <w:rFonts w:cs="Calibri"/>
          <w:noProof/>
          <w:snapToGrid/>
          <w:color w:val="000000"/>
          <w:szCs w:val="24"/>
          <w:highlight w:val="black"/>
          <w:lang w:eastAsia="en-AU"/>
        </w:rPr>
        <w:t>'''''''''</w:t>
      </w:r>
      <w:r w:rsidR="00CD0010">
        <w:rPr>
          <w:rFonts w:cs="Calibri"/>
          <w:snapToGrid/>
          <w:color w:val="000000" w:themeColor="text1"/>
          <w:szCs w:val="24"/>
          <w:lang w:eastAsia="en-AU"/>
        </w:rPr>
        <w:t xml:space="preserve">% BSC and </w:t>
      </w:r>
      <w:proofErr w:type="gramStart"/>
      <w:r w:rsidR="001D6F6D">
        <w:rPr>
          <w:rFonts w:cs="Calibri"/>
          <w:noProof/>
          <w:snapToGrid/>
          <w:color w:val="000000"/>
          <w:szCs w:val="24"/>
          <w:highlight w:val="black"/>
          <w:lang w:eastAsia="en-AU"/>
        </w:rPr>
        <w:t>'''''''''</w:t>
      </w:r>
      <w:r w:rsidR="00CD0010" w:rsidRPr="001172EE">
        <w:rPr>
          <w:rFonts w:cs="Calibri"/>
          <w:snapToGrid/>
          <w:color w:val="000000" w:themeColor="text1"/>
          <w:szCs w:val="24"/>
          <w:lang w:eastAsia="en-AU"/>
        </w:rPr>
        <w:t>%</w:t>
      </w:r>
      <w:proofErr w:type="gramEnd"/>
      <w:r w:rsidR="00CD0010" w:rsidRPr="001172EE">
        <w:rPr>
          <w:rFonts w:cs="Calibri"/>
          <w:snapToGrid/>
          <w:color w:val="000000" w:themeColor="text1"/>
          <w:szCs w:val="24"/>
          <w:lang w:eastAsia="en-AU"/>
        </w:rPr>
        <w:t xml:space="preserve"> thalidomide</w:t>
      </w:r>
      <w:r w:rsidR="00CD0010">
        <w:rPr>
          <w:rFonts w:cs="Calibri"/>
          <w:snapToGrid/>
          <w:color w:val="000000" w:themeColor="text1"/>
          <w:szCs w:val="24"/>
          <w:lang w:eastAsia="en-AU"/>
        </w:rPr>
        <w:t xml:space="preserve"> would be more </w:t>
      </w:r>
      <w:r w:rsidR="00F94978">
        <w:rPr>
          <w:rFonts w:cs="Calibri"/>
          <w:snapToGrid/>
          <w:color w:val="000000" w:themeColor="text1"/>
          <w:szCs w:val="24"/>
          <w:lang w:eastAsia="en-AU"/>
        </w:rPr>
        <w:t>reasonable</w:t>
      </w:r>
      <w:r w:rsidR="00CD0010">
        <w:rPr>
          <w:rFonts w:cs="Calibri"/>
          <w:snapToGrid/>
          <w:color w:val="000000" w:themeColor="text1"/>
          <w:szCs w:val="24"/>
          <w:lang w:eastAsia="en-AU"/>
        </w:rPr>
        <w:t>.</w:t>
      </w:r>
    </w:p>
    <w:p w:rsidR="00F74EC0" w:rsidRPr="003A3555" w:rsidRDefault="00097671" w:rsidP="00C56C56">
      <w:pPr>
        <w:keepNext/>
        <w:widowControl/>
        <w:rPr>
          <w:rFonts w:ascii="Arial Narrow" w:hAnsi="Arial Narrow" w:cs="Calibri"/>
          <w:b/>
          <w:snapToGrid/>
          <w:color w:val="000000" w:themeColor="text1"/>
          <w:sz w:val="20"/>
          <w:szCs w:val="20"/>
          <w:lang w:eastAsia="en-AU"/>
        </w:rPr>
      </w:pPr>
      <w:r>
        <w:rPr>
          <w:rFonts w:ascii="Arial Narrow" w:hAnsi="Arial Narrow" w:cs="Calibri"/>
          <w:b/>
          <w:snapToGrid/>
          <w:color w:val="000000" w:themeColor="text1"/>
          <w:sz w:val="20"/>
          <w:szCs w:val="20"/>
          <w:lang w:eastAsia="en-AU"/>
        </w:rPr>
        <w:t>Table 29</w:t>
      </w:r>
      <w:r w:rsidR="00F74EC0" w:rsidRPr="003A3555">
        <w:rPr>
          <w:rFonts w:ascii="Arial Narrow" w:hAnsi="Arial Narrow" w:cs="Calibri"/>
          <w:b/>
          <w:snapToGrid/>
          <w:color w:val="000000" w:themeColor="text1"/>
          <w:sz w:val="20"/>
          <w:szCs w:val="20"/>
          <w:lang w:eastAsia="en-AU"/>
        </w:rPr>
        <w:t>: Estimate cost per patient (</w:t>
      </w:r>
      <w:proofErr w:type="spellStart"/>
      <w:r w:rsidR="00F74EC0" w:rsidRPr="003A3555">
        <w:rPr>
          <w:rFonts w:ascii="Arial Narrow" w:hAnsi="Arial Narrow" w:cs="Calibri"/>
          <w:b/>
          <w:snapToGrid/>
          <w:color w:val="000000" w:themeColor="text1"/>
          <w:sz w:val="20"/>
          <w:szCs w:val="20"/>
          <w:lang w:eastAsia="en-AU"/>
        </w:rPr>
        <w:t>lenalidomide</w:t>
      </w:r>
      <w:proofErr w:type="spellEnd"/>
      <w:r w:rsidR="00F74EC0" w:rsidRPr="003A3555">
        <w:rPr>
          <w:rFonts w:ascii="Arial Narrow" w:hAnsi="Arial Narrow" w:cs="Calibri"/>
          <w:b/>
          <w:snapToGrid/>
          <w:color w:val="000000" w:themeColor="text1"/>
          <w:sz w:val="20"/>
          <w:szCs w:val="20"/>
          <w:lang w:eastAsia="en-A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9: Estimate cost per patient (lenalidomide)"/>
      </w:tblPr>
      <w:tblGrid>
        <w:gridCol w:w="2689"/>
        <w:gridCol w:w="1417"/>
        <w:gridCol w:w="1560"/>
        <w:gridCol w:w="1558"/>
        <w:gridCol w:w="1793"/>
      </w:tblGrid>
      <w:tr w:rsidR="0087553A" w:rsidRPr="003A3555" w:rsidTr="00D03C86">
        <w:trPr>
          <w:trHeight w:val="300"/>
        </w:trPr>
        <w:tc>
          <w:tcPr>
            <w:tcW w:w="1491" w:type="pct"/>
            <w:shd w:val="clear" w:color="auto" w:fill="auto"/>
            <w:noWrap/>
            <w:tcMar>
              <w:left w:w="28" w:type="dxa"/>
              <w:right w:w="28" w:type="dxa"/>
            </w:tcMar>
            <w:hideMark/>
          </w:tcPr>
          <w:p w:rsidR="0087553A" w:rsidRPr="003A3555" w:rsidRDefault="0087553A" w:rsidP="00C56C56">
            <w:pPr>
              <w:pStyle w:val="Tabletext"/>
              <w:keepNext/>
              <w:adjustRightInd w:val="0"/>
              <w:snapToGrid w:val="0"/>
              <w:rPr>
                <w:rFonts w:eastAsia="SimSun"/>
                <w:b/>
                <w:color w:val="000000" w:themeColor="text1"/>
                <w:szCs w:val="20"/>
                <w:lang w:eastAsia="en-AU"/>
              </w:rPr>
            </w:pPr>
          </w:p>
        </w:tc>
        <w:tc>
          <w:tcPr>
            <w:tcW w:w="786" w:type="pct"/>
            <w:shd w:val="clear" w:color="auto" w:fill="auto"/>
            <w:noWrap/>
            <w:tcMar>
              <w:left w:w="28" w:type="dxa"/>
              <w:right w:w="28" w:type="dxa"/>
            </w:tcMar>
            <w:hideMark/>
          </w:tcPr>
          <w:p w:rsidR="0087553A" w:rsidRPr="003A3555" w:rsidRDefault="0087553A" w:rsidP="00C56C56">
            <w:pPr>
              <w:pStyle w:val="Tabletext"/>
              <w:keepNext/>
              <w:adjustRightInd w:val="0"/>
              <w:snapToGrid w:val="0"/>
              <w:jc w:val="center"/>
              <w:rPr>
                <w:rFonts w:eastAsia="SimSun"/>
                <w:b/>
                <w:color w:val="000000" w:themeColor="text1"/>
                <w:szCs w:val="20"/>
                <w:lang w:eastAsia="en-AU"/>
              </w:rPr>
            </w:pPr>
            <w:r w:rsidRPr="003A3555">
              <w:rPr>
                <w:rFonts w:eastAsia="SimSun"/>
                <w:b/>
                <w:color w:val="000000" w:themeColor="text1"/>
                <w:szCs w:val="20"/>
                <w:lang w:eastAsia="en-AU"/>
              </w:rPr>
              <w:t>LEN 28 x 5 mg</w:t>
            </w:r>
          </w:p>
        </w:tc>
        <w:tc>
          <w:tcPr>
            <w:tcW w:w="865" w:type="pct"/>
            <w:shd w:val="clear" w:color="auto" w:fill="auto"/>
            <w:noWrap/>
            <w:tcMar>
              <w:left w:w="28" w:type="dxa"/>
              <w:right w:w="28" w:type="dxa"/>
            </w:tcMar>
            <w:hideMark/>
          </w:tcPr>
          <w:p w:rsidR="0087553A" w:rsidRPr="003A3555" w:rsidRDefault="0087553A" w:rsidP="00C56C56">
            <w:pPr>
              <w:pStyle w:val="Tabletext"/>
              <w:keepNext/>
              <w:adjustRightInd w:val="0"/>
              <w:snapToGrid w:val="0"/>
              <w:jc w:val="center"/>
              <w:rPr>
                <w:rFonts w:eastAsia="SimSun"/>
                <w:b/>
                <w:color w:val="000000" w:themeColor="text1"/>
                <w:szCs w:val="20"/>
                <w:lang w:eastAsia="en-AU"/>
              </w:rPr>
            </w:pPr>
            <w:r w:rsidRPr="003A3555">
              <w:rPr>
                <w:rFonts w:eastAsia="SimSun"/>
                <w:b/>
                <w:color w:val="000000" w:themeColor="text1"/>
                <w:szCs w:val="20"/>
                <w:lang w:eastAsia="en-AU"/>
              </w:rPr>
              <w:t>LEN 28 x 10 mg</w:t>
            </w:r>
          </w:p>
        </w:tc>
        <w:tc>
          <w:tcPr>
            <w:tcW w:w="864" w:type="pct"/>
            <w:shd w:val="clear" w:color="auto" w:fill="auto"/>
            <w:noWrap/>
            <w:tcMar>
              <w:left w:w="28" w:type="dxa"/>
              <w:right w:w="28" w:type="dxa"/>
            </w:tcMar>
            <w:hideMark/>
          </w:tcPr>
          <w:p w:rsidR="0087553A" w:rsidRPr="003A3555" w:rsidRDefault="0087553A" w:rsidP="00C56C56">
            <w:pPr>
              <w:pStyle w:val="Tabletext"/>
              <w:keepNext/>
              <w:adjustRightInd w:val="0"/>
              <w:snapToGrid w:val="0"/>
              <w:jc w:val="center"/>
              <w:rPr>
                <w:rFonts w:eastAsia="SimSun"/>
                <w:b/>
                <w:color w:val="000000" w:themeColor="text1"/>
                <w:szCs w:val="20"/>
                <w:lang w:eastAsia="en-AU"/>
              </w:rPr>
            </w:pPr>
            <w:r w:rsidRPr="003A3555">
              <w:rPr>
                <w:rFonts w:eastAsia="SimSun"/>
                <w:b/>
                <w:color w:val="000000" w:themeColor="text1"/>
                <w:szCs w:val="20"/>
                <w:lang w:eastAsia="en-AU"/>
              </w:rPr>
              <w:t>LEN 28 x 15 mg</w:t>
            </w:r>
          </w:p>
        </w:tc>
        <w:tc>
          <w:tcPr>
            <w:tcW w:w="994" w:type="pct"/>
            <w:shd w:val="clear" w:color="auto" w:fill="auto"/>
            <w:noWrap/>
            <w:tcMar>
              <w:left w:w="28" w:type="dxa"/>
              <w:right w:w="28" w:type="dxa"/>
            </w:tcMar>
            <w:hideMark/>
          </w:tcPr>
          <w:p w:rsidR="0087553A" w:rsidRPr="003A3555" w:rsidRDefault="006B10D4" w:rsidP="00C56C56">
            <w:pPr>
              <w:pStyle w:val="Tabletext"/>
              <w:keepNext/>
              <w:adjustRightInd w:val="0"/>
              <w:snapToGrid w:val="0"/>
              <w:jc w:val="center"/>
              <w:rPr>
                <w:rFonts w:eastAsia="SimSun"/>
                <w:b/>
                <w:color w:val="000000" w:themeColor="text1"/>
                <w:szCs w:val="20"/>
                <w:lang w:eastAsia="en-AU"/>
              </w:rPr>
            </w:pPr>
            <w:r>
              <w:rPr>
                <w:rFonts w:eastAsia="SimSun"/>
                <w:b/>
                <w:color w:val="000000" w:themeColor="text1"/>
                <w:szCs w:val="20"/>
                <w:lang w:eastAsia="en-AU"/>
              </w:rPr>
              <w:t>Weight</w:t>
            </w:r>
          </w:p>
        </w:tc>
      </w:tr>
      <w:tr w:rsidR="00163FDD" w:rsidRPr="00D539BE" w:rsidTr="00D03C86">
        <w:trPr>
          <w:trHeight w:val="300"/>
        </w:trPr>
        <w:tc>
          <w:tcPr>
            <w:tcW w:w="1491" w:type="pct"/>
            <w:shd w:val="clear" w:color="auto" w:fill="auto"/>
            <w:noWrap/>
            <w:tcMar>
              <w:left w:w="28" w:type="dxa"/>
              <w:right w:w="28" w:type="dxa"/>
            </w:tcMar>
          </w:tcPr>
          <w:p w:rsidR="00163FDD" w:rsidRPr="00D539BE" w:rsidRDefault="0047134E" w:rsidP="00C56C56">
            <w:pPr>
              <w:pStyle w:val="Tabletext"/>
              <w:keepNext/>
              <w:adjustRightInd w:val="0"/>
              <w:snapToGrid w:val="0"/>
              <w:rPr>
                <w:rFonts w:eastAsia="SimSun"/>
                <w:color w:val="000000" w:themeColor="text1"/>
                <w:szCs w:val="20"/>
                <w:lang w:eastAsia="en-AU"/>
              </w:rPr>
            </w:pPr>
            <w:r w:rsidRPr="00D539BE">
              <w:rPr>
                <w:rFonts w:eastAsia="SimSun"/>
                <w:color w:val="000000" w:themeColor="text1"/>
                <w:szCs w:val="20"/>
                <w:lang w:eastAsia="en-AU"/>
              </w:rPr>
              <w:t>CU</w:t>
            </w:r>
            <w:r w:rsidR="00163FDD" w:rsidRPr="00D539BE">
              <w:rPr>
                <w:rFonts w:eastAsia="SimSun"/>
                <w:color w:val="000000" w:themeColor="text1"/>
                <w:szCs w:val="20"/>
                <w:lang w:eastAsia="en-AU"/>
              </w:rPr>
              <w:t>A price versus BSC (AEMP)</w:t>
            </w:r>
          </w:p>
        </w:tc>
        <w:tc>
          <w:tcPr>
            <w:tcW w:w="786" w:type="pct"/>
            <w:shd w:val="clear" w:color="auto" w:fill="auto"/>
            <w:noWrap/>
            <w:tcMar>
              <w:left w:w="28" w:type="dxa"/>
              <w:right w:w="28" w:type="dxa"/>
            </w:tcMar>
            <w:vAlign w:val="center"/>
          </w:tcPr>
          <w:p w:rsidR="00163FDD" w:rsidRPr="001D6F6D" w:rsidRDefault="001D6F6D" w:rsidP="00C56C56">
            <w:pPr>
              <w:pStyle w:val="Tabletext"/>
              <w:keepNext/>
              <w:adjustRightInd w:val="0"/>
              <w:snapToGrid w:val="0"/>
              <w:jc w:val="center"/>
              <w:rPr>
                <w:rFonts w:eastAsia="SimSun"/>
                <w:color w:val="000000" w:themeColor="text1"/>
                <w:szCs w:val="20"/>
                <w:highlight w:val="black"/>
                <w:lang w:eastAsia="en-AU"/>
              </w:rPr>
            </w:pPr>
            <w:r>
              <w:rPr>
                <w:rFonts w:eastAsia="SimSun"/>
                <w:noProof/>
                <w:color w:val="000000"/>
                <w:szCs w:val="20"/>
                <w:highlight w:val="black"/>
                <w:lang w:eastAsia="en-AU"/>
              </w:rPr>
              <w:t>''''''''''''''''''''''</w:t>
            </w:r>
          </w:p>
        </w:tc>
        <w:tc>
          <w:tcPr>
            <w:tcW w:w="865" w:type="pct"/>
            <w:shd w:val="clear" w:color="auto" w:fill="auto"/>
            <w:noWrap/>
            <w:tcMar>
              <w:left w:w="28" w:type="dxa"/>
              <w:right w:w="28" w:type="dxa"/>
            </w:tcMar>
            <w:vAlign w:val="center"/>
          </w:tcPr>
          <w:p w:rsidR="00163FDD" w:rsidRPr="001D6F6D" w:rsidRDefault="001D6F6D" w:rsidP="00C56C56">
            <w:pPr>
              <w:pStyle w:val="Tabletext"/>
              <w:keepNext/>
              <w:adjustRightInd w:val="0"/>
              <w:snapToGrid w:val="0"/>
              <w:jc w:val="center"/>
              <w:rPr>
                <w:rFonts w:eastAsia="SimSun"/>
                <w:color w:val="000000" w:themeColor="text1"/>
                <w:szCs w:val="20"/>
                <w:highlight w:val="black"/>
                <w:lang w:eastAsia="en-AU"/>
              </w:rPr>
            </w:pPr>
            <w:r>
              <w:rPr>
                <w:rFonts w:eastAsia="SimSun"/>
                <w:noProof/>
                <w:color w:val="000000"/>
                <w:szCs w:val="20"/>
                <w:highlight w:val="black"/>
                <w:lang w:eastAsia="en-AU"/>
              </w:rPr>
              <w:t>''''''''''''''''''''''''''</w:t>
            </w:r>
          </w:p>
        </w:tc>
        <w:tc>
          <w:tcPr>
            <w:tcW w:w="864" w:type="pct"/>
            <w:shd w:val="clear" w:color="auto" w:fill="auto"/>
            <w:noWrap/>
            <w:tcMar>
              <w:left w:w="28" w:type="dxa"/>
              <w:right w:w="28" w:type="dxa"/>
            </w:tcMar>
            <w:vAlign w:val="center"/>
          </w:tcPr>
          <w:p w:rsidR="00163FDD" w:rsidRPr="001D6F6D" w:rsidRDefault="001D6F6D" w:rsidP="00C56C56">
            <w:pPr>
              <w:pStyle w:val="Tabletext"/>
              <w:keepNext/>
              <w:adjustRightInd w:val="0"/>
              <w:snapToGrid w:val="0"/>
              <w:jc w:val="center"/>
              <w:rPr>
                <w:rFonts w:eastAsia="SimSun"/>
                <w:color w:val="000000" w:themeColor="text1"/>
                <w:szCs w:val="20"/>
                <w:highlight w:val="black"/>
                <w:lang w:eastAsia="en-AU"/>
              </w:rPr>
            </w:pPr>
            <w:r>
              <w:rPr>
                <w:rFonts w:eastAsia="SimSun"/>
                <w:noProof/>
                <w:color w:val="000000"/>
                <w:szCs w:val="20"/>
                <w:highlight w:val="black"/>
                <w:lang w:eastAsia="en-AU"/>
              </w:rPr>
              <w:t>''''''''''''''''''''''</w:t>
            </w:r>
          </w:p>
        </w:tc>
        <w:tc>
          <w:tcPr>
            <w:tcW w:w="994" w:type="pct"/>
            <w:shd w:val="clear" w:color="auto" w:fill="auto"/>
            <w:noWrap/>
            <w:tcMar>
              <w:left w:w="28" w:type="dxa"/>
              <w:right w:w="28" w:type="dxa"/>
            </w:tcMar>
            <w:vAlign w:val="center"/>
          </w:tcPr>
          <w:p w:rsidR="00163FDD" w:rsidRPr="00D539BE" w:rsidRDefault="001D6F6D" w:rsidP="00C56C56">
            <w:pPr>
              <w:pStyle w:val="Tabletext"/>
              <w:keepNext/>
              <w:adjustRightInd w:val="0"/>
              <w:snapToGrid w:val="0"/>
              <w:jc w:val="center"/>
              <w:rPr>
                <w:rFonts w:eastAsia="SimSun"/>
                <w:color w:val="000000" w:themeColor="text1"/>
                <w:szCs w:val="20"/>
                <w:lang w:eastAsia="en-AU"/>
              </w:rPr>
            </w:pPr>
            <w:r>
              <w:rPr>
                <w:rFonts w:eastAsia="SimSun"/>
                <w:noProof/>
                <w:color w:val="000000"/>
                <w:szCs w:val="20"/>
                <w:highlight w:val="black"/>
                <w:lang w:eastAsia="en-AU"/>
              </w:rPr>
              <w:t>''''''''''</w:t>
            </w:r>
            <w:r w:rsidR="00163FDD" w:rsidRPr="00D539BE">
              <w:rPr>
                <w:rFonts w:eastAsia="SimSun"/>
                <w:color w:val="000000" w:themeColor="text1"/>
                <w:szCs w:val="20"/>
                <w:lang w:eastAsia="en-AU"/>
              </w:rPr>
              <w:t>%</w:t>
            </w:r>
          </w:p>
        </w:tc>
      </w:tr>
      <w:tr w:rsidR="00163FDD" w:rsidRPr="00D539BE" w:rsidTr="00D03C86">
        <w:trPr>
          <w:trHeight w:val="300"/>
        </w:trPr>
        <w:tc>
          <w:tcPr>
            <w:tcW w:w="1491" w:type="pct"/>
            <w:shd w:val="clear" w:color="auto" w:fill="auto"/>
            <w:noWrap/>
            <w:tcMar>
              <w:left w:w="28" w:type="dxa"/>
              <w:right w:w="28" w:type="dxa"/>
            </w:tcMar>
          </w:tcPr>
          <w:p w:rsidR="00163FDD" w:rsidRPr="00D539BE" w:rsidRDefault="006B10D4" w:rsidP="00C56C56">
            <w:pPr>
              <w:pStyle w:val="Tabletext"/>
              <w:keepNext/>
              <w:adjustRightInd w:val="0"/>
              <w:snapToGrid w:val="0"/>
              <w:rPr>
                <w:rFonts w:eastAsia="SimSun"/>
                <w:color w:val="000000" w:themeColor="text1"/>
                <w:szCs w:val="20"/>
                <w:lang w:eastAsia="en-AU"/>
              </w:rPr>
            </w:pPr>
            <w:r w:rsidRPr="00D539BE">
              <w:rPr>
                <w:rFonts w:eastAsia="SimSun"/>
                <w:color w:val="000000" w:themeColor="text1"/>
                <w:szCs w:val="20"/>
                <w:lang w:eastAsia="en-AU"/>
              </w:rPr>
              <w:t>CMA price versus THAL (AEMP)</w:t>
            </w:r>
          </w:p>
        </w:tc>
        <w:tc>
          <w:tcPr>
            <w:tcW w:w="786" w:type="pct"/>
            <w:shd w:val="clear" w:color="auto" w:fill="auto"/>
            <w:noWrap/>
            <w:tcMar>
              <w:left w:w="28" w:type="dxa"/>
              <w:right w:w="28" w:type="dxa"/>
            </w:tcMar>
            <w:vAlign w:val="center"/>
          </w:tcPr>
          <w:p w:rsidR="00163FDD" w:rsidRPr="001D6F6D" w:rsidRDefault="001D6F6D" w:rsidP="00C56C56">
            <w:pPr>
              <w:pStyle w:val="Tabletext"/>
              <w:keepNext/>
              <w:adjustRightInd w:val="0"/>
              <w:snapToGrid w:val="0"/>
              <w:jc w:val="center"/>
              <w:rPr>
                <w:rFonts w:eastAsia="SimSun"/>
                <w:color w:val="000000" w:themeColor="text1"/>
                <w:szCs w:val="20"/>
                <w:highlight w:val="black"/>
                <w:lang w:eastAsia="en-AU"/>
              </w:rPr>
            </w:pPr>
            <w:r>
              <w:rPr>
                <w:rFonts w:eastAsia="SimSun"/>
                <w:noProof/>
                <w:color w:val="000000"/>
                <w:szCs w:val="20"/>
                <w:highlight w:val="black"/>
                <w:lang w:eastAsia="en-AU"/>
              </w:rPr>
              <w:t>''''''''''''''''''</w:t>
            </w:r>
          </w:p>
        </w:tc>
        <w:tc>
          <w:tcPr>
            <w:tcW w:w="865" w:type="pct"/>
            <w:shd w:val="clear" w:color="auto" w:fill="auto"/>
            <w:noWrap/>
            <w:tcMar>
              <w:left w:w="28" w:type="dxa"/>
              <w:right w:w="28" w:type="dxa"/>
            </w:tcMar>
            <w:vAlign w:val="center"/>
          </w:tcPr>
          <w:p w:rsidR="00163FDD" w:rsidRPr="001D6F6D" w:rsidRDefault="001D6F6D" w:rsidP="00C56C56">
            <w:pPr>
              <w:pStyle w:val="Tabletext"/>
              <w:keepNext/>
              <w:adjustRightInd w:val="0"/>
              <w:snapToGrid w:val="0"/>
              <w:jc w:val="center"/>
              <w:rPr>
                <w:rFonts w:eastAsia="SimSun"/>
                <w:color w:val="000000" w:themeColor="text1"/>
                <w:szCs w:val="20"/>
                <w:highlight w:val="black"/>
                <w:lang w:eastAsia="en-AU"/>
              </w:rPr>
            </w:pPr>
            <w:r>
              <w:rPr>
                <w:rFonts w:eastAsia="SimSun"/>
                <w:noProof/>
                <w:color w:val="000000"/>
                <w:szCs w:val="20"/>
                <w:highlight w:val="black"/>
                <w:lang w:eastAsia="en-AU"/>
              </w:rPr>
              <w:t>'''''''''''''''''</w:t>
            </w:r>
          </w:p>
        </w:tc>
        <w:tc>
          <w:tcPr>
            <w:tcW w:w="864" w:type="pct"/>
            <w:shd w:val="clear" w:color="auto" w:fill="auto"/>
            <w:noWrap/>
            <w:tcMar>
              <w:left w:w="28" w:type="dxa"/>
              <w:right w:w="28" w:type="dxa"/>
            </w:tcMar>
            <w:vAlign w:val="center"/>
          </w:tcPr>
          <w:p w:rsidR="00163FDD" w:rsidRPr="001D6F6D" w:rsidRDefault="001D6F6D" w:rsidP="00C56C56">
            <w:pPr>
              <w:pStyle w:val="Tabletext"/>
              <w:keepNext/>
              <w:adjustRightInd w:val="0"/>
              <w:snapToGrid w:val="0"/>
              <w:jc w:val="center"/>
              <w:rPr>
                <w:rFonts w:eastAsia="SimSun"/>
                <w:color w:val="000000" w:themeColor="text1"/>
                <w:szCs w:val="20"/>
                <w:highlight w:val="black"/>
                <w:lang w:eastAsia="en-AU"/>
              </w:rPr>
            </w:pPr>
            <w:r>
              <w:rPr>
                <w:rFonts w:eastAsia="SimSun"/>
                <w:noProof/>
                <w:color w:val="000000"/>
                <w:szCs w:val="20"/>
                <w:highlight w:val="black"/>
                <w:lang w:eastAsia="en-AU"/>
              </w:rPr>
              <w:t>''''''''''''''''''''''''''</w:t>
            </w:r>
          </w:p>
        </w:tc>
        <w:tc>
          <w:tcPr>
            <w:tcW w:w="994" w:type="pct"/>
            <w:shd w:val="clear" w:color="auto" w:fill="auto"/>
            <w:noWrap/>
            <w:tcMar>
              <w:left w:w="28" w:type="dxa"/>
              <w:right w:w="28" w:type="dxa"/>
            </w:tcMar>
            <w:vAlign w:val="center"/>
          </w:tcPr>
          <w:p w:rsidR="00163FDD" w:rsidRPr="00D539BE" w:rsidRDefault="001D6F6D" w:rsidP="00C56C56">
            <w:pPr>
              <w:pStyle w:val="Tabletext"/>
              <w:keepNext/>
              <w:adjustRightInd w:val="0"/>
              <w:snapToGrid w:val="0"/>
              <w:jc w:val="center"/>
              <w:rPr>
                <w:rFonts w:eastAsia="SimSun"/>
                <w:color w:val="000000" w:themeColor="text1"/>
                <w:szCs w:val="20"/>
                <w:lang w:eastAsia="en-AU"/>
              </w:rPr>
            </w:pPr>
            <w:r>
              <w:rPr>
                <w:rFonts w:eastAsia="SimSun"/>
                <w:noProof/>
                <w:color w:val="000000"/>
                <w:szCs w:val="20"/>
                <w:highlight w:val="black"/>
                <w:lang w:eastAsia="en-AU"/>
              </w:rPr>
              <w:t>''''''''''</w:t>
            </w:r>
            <w:r w:rsidR="006B10D4" w:rsidRPr="00D539BE">
              <w:rPr>
                <w:rFonts w:eastAsia="SimSun"/>
                <w:color w:val="000000" w:themeColor="text1"/>
                <w:szCs w:val="20"/>
                <w:lang w:eastAsia="en-AU"/>
              </w:rPr>
              <w:t>%</w:t>
            </w:r>
          </w:p>
        </w:tc>
      </w:tr>
      <w:tr w:rsidR="00F74EC0" w:rsidRPr="00D539BE" w:rsidTr="00D03C86">
        <w:trPr>
          <w:trHeight w:val="300"/>
        </w:trPr>
        <w:tc>
          <w:tcPr>
            <w:tcW w:w="1491" w:type="pct"/>
            <w:shd w:val="clear" w:color="auto" w:fill="auto"/>
            <w:noWrap/>
            <w:tcMar>
              <w:left w:w="28" w:type="dxa"/>
              <w:right w:w="28" w:type="dxa"/>
            </w:tcMar>
          </w:tcPr>
          <w:p w:rsidR="00F74EC0" w:rsidRPr="00D539BE" w:rsidRDefault="006B10D4" w:rsidP="00C56C56">
            <w:pPr>
              <w:pStyle w:val="Tabletext"/>
              <w:keepNext/>
              <w:adjustRightInd w:val="0"/>
              <w:snapToGrid w:val="0"/>
              <w:rPr>
                <w:rFonts w:eastAsia="SimSun"/>
                <w:b/>
                <w:color w:val="000000" w:themeColor="text1"/>
                <w:szCs w:val="20"/>
                <w:lang w:eastAsia="en-AU"/>
              </w:rPr>
            </w:pPr>
            <w:r w:rsidRPr="00D539BE">
              <w:rPr>
                <w:rFonts w:eastAsia="SimSun"/>
                <w:b/>
                <w:color w:val="000000" w:themeColor="text1"/>
                <w:szCs w:val="20"/>
                <w:lang w:eastAsia="en-AU"/>
              </w:rPr>
              <w:t xml:space="preserve">Weighted effective price (AEMP) </w:t>
            </w:r>
          </w:p>
        </w:tc>
        <w:tc>
          <w:tcPr>
            <w:tcW w:w="786" w:type="pct"/>
            <w:shd w:val="clear" w:color="auto" w:fill="auto"/>
            <w:noWrap/>
            <w:tcMar>
              <w:left w:w="28" w:type="dxa"/>
              <w:right w:w="28" w:type="dxa"/>
            </w:tcMar>
            <w:vAlign w:val="center"/>
          </w:tcPr>
          <w:p w:rsidR="00F74EC0" w:rsidRPr="001D6F6D" w:rsidRDefault="001D6F6D" w:rsidP="00C56C56">
            <w:pPr>
              <w:pStyle w:val="Tabletext"/>
              <w:keepNext/>
              <w:adjustRightInd w:val="0"/>
              <w:snapToGrid w:val="0"/>
              <w:jc w:val="center"/>
              <w:rPr>
                <w:rFonts w:eastAsia="SimSun"/>
                <w:b/>
                <w:color w:val="000000" w:themeColor="text1"/>
                <w:szCs w:val="20"/>
                <w:highlight w:val="black"/>
                <w:lang w:eastAsia="en-AU"/>
              </w:rPr>
            </w:pPr>
            <w:r>
              <w:rPr>
                <w:rFonts w:eastAsia="SimSun"/>
                <w:b/>
                <w:noProof/>
                <w:color w:val="000000"/>
                <w:szCs w:val="20"/>
                <w:highlight w:val="black"/>
                <w:lang w:eastAsia="en-AU"/>
              </w:rPr>
              <w:t>''''''''''''''''''</w:t>
            </w:r>
          </w:p>
        </w:tc>
        <w:tc>
          <w:tcPr>
            <w:tcW w:w="865" w:type="pct"/>
            <w:shd w:val="clear" w:color="auto" w:fill="auto"/>
            <w:noWrap/>
            <w:tcMar>
              <w:left w:w="28" w:type="dxa"/>
              <w:right w:w="28" w:type="dxa"/>
            </w:tcMar>
            <w:vAlign w:val="center"/>
          </w:tcPr>
          <w:p w:rsidR="00F74EC0" w:rsidRPr="001D6F6D" w:rsidRDefault="001D6F6D" w:rsidP="00C56C56">
            <w:pPr>
              <w:pStyle w:val="Tabletext"/>
              <w:keepNext/>
              <w:adjustRightInd w:val="0"/>
              <w:snapToGrid w:val="0"/>
              <w:jc w:val="center"/>
              <w:rPr>
                <w:rFonts w:eastAsia="SimSun"/>
                <w:b/>
                <w:color w:val="000000" w:themeColor="text1"/>
                <w:szCs w:val="20"/>
                <w:highlight w:val="black"/>
                <w:lang w:eastAsia="en-AU"/>
              </w:rPr>
            </w:pPr>
            <w:r>
              <w:rPr>
                <w:rFonts w:eastAsia="SimSun"/>
                <w:b/>
                <w:noProof/>
                <w:color w:val="000000"/>
                <w:szCs w:val="20"/>
                <w:highlight w:val="black"/>
                <w:lang w:eastAsia="en-AU"/>
              </w:rPr>
              <w:t>'''''''''''''''''''''</w:t>
            </w:r>
          </w:p>
        </w:tc>
        <w:tc>
          <w:tcPr>
            <w:tcW w:w="864" w:type="pct"/>
            <w:shd w:val="clear" w:color="auto" w:fill="auto"/>
            <w:noWrap/>
            <w:tcMar>
              <w:left w:w="28" w:type="dxa"/>
              <w:right w:w="28" w:type="dxa"/>
            </w:tcMar>
            <w:vAlign w:val="center"/>
          </w:tcPr>
          <w:p w:rsidR="00F74EC0" w:rsidRPr="001D6F6D" w:rsidRDefault="001D6F6D" w:rsidP="00C56C56">
            <w:pPr>
              <w:pStyle w:val="Tabletext"/>
              <w:keepNext/>
              <w:adjustRightInd w:val="0"/>
              <w:snapToGrid w:val="0"/>
              <w:jc w:val="center"/>
              <w:rPr>
                <w:rFonts w:eastAsia="SimSun"/>
                <w:b/>
                <w:color w:val="000000" w:themeColor="text1"/>
                <w:szCs w:val="20"/>
                <w:highlight w:val="black"/>
                <w:lang w:eastAsia="en-AU"/>
              </w:rPr>
            </w:pPr>
            <w:r>
              <w:rPr>
                <w:rFonts w:eastAsia="SimSun"/>
                <w:b/>
                <w:noProof/>
                <w:color w:val="000000"/>
                <w:szCs w:val="20"/>
                <w:highlight w:val="black"/>
                <w:lang w:eastAsia="en-AU"/>
              </w:rPr>
              <w:t>'''''''''''''''''''</w:t>
            </w:r>
          </w:p>
        </w:tc>
        <w:tc>
          <w:tcPr>
            <w:tcW w:w="994" w:type="pct"/>
            <w:vMerge w:val="restart"/>
            <w:shd w:val="clear" w:color="auto" w:fill="auto"/>
            <w:noWrap/>
            <w:tcMar>
              <w:left w:w="28" w:type="dxa"/>
              <w:right w:w="28" w:type="dxa"/>
            </w:tcMar>
            <w:vAlign w:val="center"/>
          </w:tcPr>
          <w:p w:rsidR="00F74EC0" w:rsidRPr="00D539BE" w:rsidRDefault="006B10D4" w:rsidP="00C56C56">
            <w:pPr>
              <w:pStyle w:val="Tabletext"/>
              <w:keepNext/>
              <w:adjustRightInd w:val="0"/>
              <w:snapToGrid w:val="0"/>
              <w:jc w:val="center"/>
              <w:rPr>
                <w:rFonts w:eastAsia="SimSun"/>
                <w:color w:val="000000" w:themeColor="text1"/>
                <w:szCs w:val="20"/>
                <w:lang w:eastAsia="en-AU"/>
              </w:rPr>
            </w:pPr>
            <w:r w:rsidRPr="00D539BE">
              <w:rPr>
                <w:rFonts w:eastAsia="SimSun"/>
                <w:color w:val="000000" w:themeColor="text1"/>
                <w:szCs w:val="20"/>
                <w:lang w:eastAsia="en-AU"/>
              </w:rPr>
              <w:t>-</w:t>
            </w:r>
          </w:p>
        </w:tc>
      </w:tr>
      <w:tr w:rsidR="00F74EC0" w:rsidRPr="00D539BE" w:rsidTr="00D03C86">
        <w:trPr>
          <w:trHeight w:val="300"/>
        </w:trPr>
        <w:tc>
          <w:tcPr>
            <w:tcW w:w="1491" w:type="pct"/>
            <w:shd w:val="clear" w:color="auto" w:fill="auto"/>
            <w:noWrap/>
            <w:tcMar>
              <w:left w:w="28" w:type="dxa"/>
              <w:right w:w="28" w:type="dxa"/>
            </w:tcMar>
          </w:tcPr>
          <w:p w:rsidR="00F74EC0" w:rsidRPr="00D539BE" w:rsidRDefault="00F74EC0" w:rsidP="00C56C56">
            <w:pPr>
              <w:pStyle w:val="Tabletext"/>
              <w:keepNext/>
              <w:adjustRightInd w:val="0"/>
              <w:snapToGrid w:val="0"/>
              <w:rPr>
                <w:rFonts w:eastAsia="SimSun"/>
                <w:color w:val="000000" w:themeColor="text1"/>
                <w:szCs w:val="20"/>
                <w:lang w:eastAsia="en-AU"/>
              </w:rPr>
            </w:pPr>
            <w:r w:rsidRPr="00D539BE">
              <w:rPr>
                <w:rFonts w:eastAsia="SimSun"/>
                <w:color w:val="000000" w:themeColor="text1"/>
                <w:szCs w:val="20"/>
                <w:lang w:eastAsia="en-AU"/>
              </w:rPr>
              <w:t>Dose distribution</w:t>
            </w:r>
            <w:r w:rsidR="0047134E" w:rsidRPr="00D539BE">
              <w:rPr>
                <w:rFonts w:eastAsia="SimSun"/>
                <w:color w:val="000000" w:themeColor="text1"/>
                <w:szCs w:val="20"/>
                <w:lang w:eastAsia="en-AU"/>
              </w:rPr>
              <w:t>*</w:t>
            </w:r>
          </w:p>
        </w:tc>
        <w:tc>
          <w:tcPr>
            <w:tcW w:w="786" w:type="pct"/>
            <w:shd w:val="clear" w:color="auto" w:fill="auto"/>
            <w:noWrap/>
            <w:tcMar>
              <w:left w:w="28" w:type="dxa"/>
              <w:right w:w="28" w:type="dxa"/>
            </w:tcMar>
            <w:vAlign w:val="center"/>
          </w:tcPr>
          <w:p w:rsidR="00F74EC0" w:rsidRPr="00D539BE" w:rsidRDefault="00F74EC0" w:rsidP="00C56C56">
            <w:pPr>
              <w:pStyle w:val="Tabletext"/>
              <w:keepNext/>
              <w:adjustRightInd w:val="0"/>
              <w:snapToGrid w:val="0"/>
              <w:jc w:val="center"/>
              <w:rPr>
                <w:rFonts w:eastAsia="SimSun"/>
                <w:color w:val="000000" w:themeColor="text1"/>
                <w:szCs w:val="20"/>
                <w:lang w:eastAsia="en-AU"/>
              </w:rPr>
            </w:pPr>
            <w:r w:rsidRPr="00D539BE">
              <w:rPr>
                <w:rFonts w:eastAsia="SimSun"/>
                <w:color w:val="000000" w:themeColor="text1"/>
                <w:szCs w:val="20"/>
                <w:lang w:eastAsia="en-AU"/>
              </w:rPr>
              <w:t>22.2%</w:t>
            </w:r>
          </w:p>
        </w:tc>
        <w:tc>
          <w:tcPr>
            <w:tcW w:w="865" w:type="pct"/>
            <w:shd w:val="clear" w:color="auto" w:fill="auto"/>
            <w:noWrap/>
            <w:tcMar>
              <w:left w:w="28" w:type="dxa"/>
              <w:right w:w="28" w:type="dxa"/>
            </w:tcMar>
            <w:vAlign w:val="center"/>
          </w:tcPr>
          <w:p w:rsidR="00F74EC0" w:rsidRPr="00D539BE" w:rsidRDefault="00F74EC0" w:rsidP="00C56C56">
            <w:pPr>
              <w:pStyle w:val="Tabletext"/>
              <w:keepNext/>
              <w:adjustRightInd w:val="0"/>
              <w:snapToGrid w:val="0"/>
              <w:jc w:val="center"/>
              <w:rPr>
                <w:rFonts w:eastAsia="SimSun"/>
                <w:color w:val="000000" w:themeColor="text1"/>
                <w:szCs w:val="20"/>
                <w:lang w:eastAsia="en-AU"/>
              </w:rPr>
            </w:pPr>
            <w:r w:rsidRPr="00D539BE">
              <w:rPr>
                <w:rFonts w:eastAsia="SimSun"/>
                <w:color w:val="000000" w:themeColor="text1"/>
                <w:szCs w:val="20"/>
                <w:lang w:eastAsia="en-AU"/>
              </w:rPr>
              <w:t>33.5%</w:t>
            </w:r>
          </w:p>
        </w:tc>
        <w:tc>
          <w:tcPr>
            <w:tcW w:w="864" w:type="pct"/>
            <w:shd w:val="clear" w:color="auto" w:fill="auto"/>
            <w:noWrap/>
            <w:tcMar>
              <w:left w:w="28" w:type="dxa"/>
              <w:right w:w="28" w:type="dxa"/>
            </w:tcMar>
            <w:vAlign w:val="center"/>
          </w:tcPr>
          <w:p w:rsidR="00F74EC0" w:rsidRPr="00D539BE" w:rsidRDefault="00F74EC0" w:rsidP="00C56C56">
            <w:pPr>
              <w:pStyle w:val="Tabletext"/>
              <w:keepNext/>
              <w:adjustRightInd w:val="0"/>
              <w:snapToGrid w:val="0"/>
              <w:jc w:val="center"/>
              <w:rPr>
                <w:rFonts w:eastAsia="SimSun"/>
                <w:color w:val="000000" w:themeColor="text1"/>
                <w:szCs w:val="20"/>
                <w:lang w:eastAsia="en-AU"/>
              </w:rPr>
            </w:pPr>
            <w:r w:rsidRPr="00D539BE">
              <w:rPr>
                <w:rFonts w:eastAsia="SimSun"/>
                <w:color w:val="000000" w:themeColor="text1"/>
                <w:szCs w:val="20"/>
                <w:lang w:eastAsia="en-AU"/>
              </w:rPr>
              <w:t>44.3%</w:t>
            </w:r>
          </w:p>
        </w:tc>
        <w:tc>
          <w:tcPr>
            <w:tcW w:w="994" w:type="pct"/>
            <w:vMerge/>
            <w:shd w:val="clear" w:color="auto" w:fill="auto"/>
            <w:noWrap/>
          </w:tcPr>
          <w:p w:rsidR="00F74EC0" w:rsidRPr="00D539BE" w:rsidRDefault="00F74EC0" w:rsidP="00C56C56">
            <w:pPr>
              <w:pStyle w:val="Tabletext"/>
              <w:keepNext/>
              <w:adjustRightInd w:val="0"/>
              <w:snapToGrid w:val="0"/>
              <w:jc w:val="center"/>
              <w:rPr>
                <w:rFonts w:eastAsia="SimSun"/>
                <w:color w:val="000000" w:themeColor="text1"/>
                <w:szCs w:val="20"/>
                <w:lang w:eastAsia="en-AU"/>
              </w:rPr>
            </w:pPr>
          </w:p>
        </w:tc>
      </w:tr>
      <w:tr w:rsidR="006B10D4" w:rsidRPr="00D539BE" w:rsidTr="006B10D4">
        <w:trPr>
          <w:trHeight w:val="300"/>
        </w:trPr>
        <w:tc>
          <w:tcPr>
            <w:tcW w:w="1491" w:type="pct"/>
            <w:shd w:val="clear" w:color="auto" w:fill="auto"/>
            <w:noWrap/>
            <w:tcMar>
              <w:left w:w="28" w:type="dxa"/>
              <w:right w:w="28" w:type="dxa"/>
            </w:tcMar>
          </w:tcPr>
          <w:p w:rsidR="006B10D4" w:rsidRPr="00D539BE" w:rsidRDefault="006B10D4" w:rsidP="00C56C56">
            <w:pPr>
              <w:pStyle w:val="Tabletext"/>
              <w:keepNext/>
              <w:adjustRightInd w:val="0"/>
              <w:snapToGrid w:val="0"/>
              <w:rPr>
                <w:rFonts w:eastAsia="SimSun"/>
                <w:color w:val="000000" w:themeColor="text1"/>
                <w:szCs w:val="20"/>
                <w:lang w:eastAsia="en-AU"/>
              </w:rPr>
            </w:pPr>
            <w:r w:rsidRPr="00D539BE">
              <w:rPr>
                <w:rFonts w:eastAsia="SimSun"/>
                <w:color w:val="000000" w:themeColor="text1"/>
                <w:szCs w:val="20"/>
                <w:lang w:eastAsia="en-AU"/>
              </w:rPr>
              <w:t>Cost per patient per 28 day cycle</w:t>
            </w:r>
          </w:p>
        </w:tc>
        <w:tc>
          <w:tcPr>
            <w:tcW w:w="2515" w:type="pct"/>
            <w:gridSpan w:val="3"/>
            <w:shd w:val="clear" w:color="auto" w:fill="auto"/>
            <w:noWrap/>
            <w:tcMar>
              <w:left w:w="28" w:type="dxa"/>
              <w:right w:w="28" w:type="dxa"/>
            </w:tcMar>
            <w:vAlign w:val="center"/>
          </w:tcPr>
          <w:p w:rsidR="006B10D4" w:rsidRPr="001D6F6D" w:rsidRDefault="001D6F6D" w:rsidP="00C56C56">
            <w:pPr>
              <w:pStyle w:val="Tabletext"/>
              <w:keepNext/>
              <w:adjustRightInd w:val="0"/>
              <w:snapToGrid w:val="0"/>
              <w:jc w:val="center"/>
              <w:rPr>
                <w:rFonts w:eastAsia="SimSun"/>
                <w:color w:val="000000" w:themeColor="text1"/>
                <w:szCs w:val="20"/>
                <w:highlight w:val="black"/>
                <w:lang w:eastAsia="en-AU"/>
              </w:rPr>
            </w:pPr>
            <w:r>
              <w:rPr>
                <w:rFonts w:eastAsia="SimSun"/>
                <w:noProof/>
                <w:color w:val="000000"/>
                <w:szCs w:val="20"/>
                <w:highlight w:val="black"/>
                <w:lang w:eastAsia="en-AU"/>
              </w:rPr>
              <w:t>''''''''''''''''''</w:t>
            </w:r>
          </w:p>
        </w:tc>
        <w:tc>
          <w:tcPr>
            <w:tcW w:w="994" w:type="pct"/>
            <w:shd w:val="clear" w:color="auto" w:fill="auto"/>
            <w:noWrap/>
          </w:tcPr>
          <w:p w:rsidR="006B10D4" w:rsidRPr="00D539BE" w:rsidRDefault="006B10D4" w:rsidP="00C56C56">
            <w:pPr>
              <w:pStyle w:val="Tabletext"/>
              <w:keepNext/>
              <w:adjustRightInd w:val="0"/>
              <w:snapToGrid w:val="0"/>
              <w:jc w:val="center"/>
              <w:rPr>
                <w:rFonts w:eastAsia="SimSun"/>
                <w:color w:val="000000" w:themeColor="text1"/>
                <w:szCs w:val="20"/>
                <w:lang w:eastAsia="en-AU"/>
              </w:rPr>
            </w:pPr>
            <w:r w:rsidRPr="00D539BE">
              <w:rPr>
                <w:rFonts w:eastAsia="SimSun"/>
                <w:color w:val="000000" w:themeColor="text1"/>
                <w:szCs w:val="20"/>
                <w:lang w:eastAsia="en-AU"/>
              </w:rPr>
              <w:t>-</w:t>
            </w:r>
          </w:p>
        </w:tc>
      </w:tr>
    </w:tbl>
    <w:p w:rsidR="0087553A" w:rsidRPr="003A3555" w:rsidRDefault="00E133C6" w:rsidP="00C56C56">
      <w:pPr>
        <w:keepNext/>
        <w:widowControl/>
        <w:rPr>
          <w:rFonts w:ascii="Arial Narrow" w:hAnsi="Arial Narrow" w:cs="Calibri"/>
          <w:snapToGrid/>
          <w:color w:val="000000" w:themeColor="text1"/>
          <w:sz w:val="18"/>
          <w:szCs w:val="18"/>
          <w:lang w:eastAsia="en-AU"/>
        </w:rPr>
      </w:pPr>
      <w:r w:rsidRPr="003A3555">
        <w:rPr>
          <w:rFonts w:ascii="Arial Narrow" w:hAnsi="Arial Narrow" w:cs="Calibri"/>
          <w:snapToGrid/>
          <w:color w:val="000000" w:themeColor="text1"/>
          <w:sz w:val="18"/>
          <w:szCs w:val="18"/>
          <w:lang w:eastAsia="en-AU"/>
        </w:rPr>
        <w:t xml:space="preserve">AEMP = </w:t>
      </w:r>
      <w:r w:rsidRPr="003A3555">
        <w:rPr>
          <w:rFonts w:ascii="Arial Narrow" w:hAnsi="Arial Narrow"/>
          <w:color w:val="000000" w:themeColor="text1"/>
          <w:sz w:val="18"/>
          <w:szCs w:val="18"/>
          <w:lang w:eastAsia="zh-CN"/>
        </w:rPr>
        <w:t>approved ex-manufacturer price</w:t>
      </w:r>
      <w:r w:rsidRPr="003A3555">
        <w:rPr>
          <w:rFonts w:ascii="Arial Narrow" w:hAnsi="Arial Narrow" w:cs="Calibri"/>
          <w:snapToGrid/>
          <w:color w:val="000000" w:themeColor="text1"/>
          <w:sz w:val="18"/>
          <w:szCs w:val="18"/>
          <w:lang w:eastAsia="en-AU"/>
        </w:rPr>
        <w:t xml:space="preserve">; </w:t>
      </w:r>
      <w:r w:rsidR="006B10D4">
        <w:rPr>
          <w:rFonts w:ascii="Arial Narrow" w:hAnsi="Arial Narrow" w:cs="Calibri"/>
          <w:snapToGrid/>
          <w:color w:val="000000" w:themeColor="text1"/>
          <w:sz w:val="18"/>
          <w:szCs w:val="18"/>
          <w:lang w:eastAsia="en-AU"/>
        </w:rPr>
        <w:t xml:space="preserve">BSC = best supportive care; </w:t>
      </w:r>
      <w:r w:rsidR="0047134E">
        <w:rPr>
          <w:rFonts w:ascii="Arial Narrow" w:hAnsi="Arial Narrow" w:cs="Calibri"/>
          <w:snapToGrid/>
          <w:color w:val="000000" w:themeColor="text1"/>
          <w:sz w:val="18"/>
          <w:szCs w:val="18"/>
          <w:lang w:eastAsia="en-AU"/>
        </w:rPr>
        <w:t xml:space="preserve">CMA = cost-minimisation analysis; CUA = cost-utility analysis; </w:t>
      </w:r>
      <w:r w:rsidR="0087553A" w:rsidRPr="003A3555">
        <w:rPr>
          <w:rFonts w:ascii="Arial Narrow" w:hAnsi="Arial Narrow" w:cs="Calibri"/>
          <w:snapToGrid/>
          <w:color w:val="000000" w:themeColor="text1"/>
          <w:sz w:val="18"/>
          <w:szCs w:val="18"/>
          <w:lang w:eastAsia="en-AU"/>
        </w:rPr>
        <w:t xml:space="preserve">LEN = </w:t>
      </w:r>
      <w:proofErr w:type="spellStart"/>
      <w:r w:rsidR="0087553A" w:rsidRPr="003A3555">
        <w:rPr>
          <w:rFonts w:ascii="Arial Narrow" w:hAnsi="Arial Narrow" w:cs="Calibri"/>
          <w:snapToGrid/>
          <w:color w:val="000000" w:themeColor="text1"/>
          <w:sz w:val="18"/>
          <w:szCs w:val="18"/>
          <w:lang w:eastAsia="en-AU"/>
        </w:rPr>
        <w:t>lenalidomide</w:t>
      </w:r>
      <w:proofErr w:type="spellEnd"/>
      <w:r w:rsidR="006B10D4">
        <w:rPr>
          <w:rFonts w:ascii="Arial Narrow" w:hAnsi="Arial Narrow" w:cs="Calibri"/>
          <w:snapToGrid/>
          <w:color w:val="000000" w:themeColor="text1"/>
          <w:sz w:val="18"/>
          <w:szCs w:val="18"/>
          <w:lang w:eastAsia="en-AU"/>
        </w:rPr>
        <w:t xml:space="preserve">; </w:t>
      </w:r>
      <w:r w:rsidR="0047134E">
        <w:rPr>
          <w:rFonts w:ascii="Arial Narrow" w:hAnsi="Arial Narrow" w:cs="Calibri"/>
          <w:snapToGrid/>
          <w:color w:val="000000" w:themeColor="text1"/>
          <w:sz w:val="18"/>
          <w:szCs w:val="18"/>
          <w:lang w:eastAsia="en-AU"/>
        </w:rPr>
        <w:t xml:space="preserve">PBS = Pharmaceutical Benefits Scheme; </w:t>
      </w:r>
      <w:r w:rsidR="006B10D4">
        <w:rPr>
          <w:rFonts w:ascii="Arial Narrow" w:hAnsi="Arial Narrow" w:cs="Calibri"/>
          <w:snapToGrid/>
          <w:color w:val="000000" w:themeColor="text1"/>
          <w:sz w:val="18"/>
          <w:szCs w:val="18"/>
          <w:lang w:eastAsia="en-AU"/>
        </w:rPr>
        <w:t>THAL = thalidomide</w:t>
      </w:r>
    </w:p>
    <w:p w:rsidR="0047134E" w:rsidRDefault="0047134E" w:rsidP="00C56C56">
      <w:pPr>
        <w:keepNext/>
        <w:widowControl/>
        <w:rPr>
          <w:rFonts w:ascii="Arial Narrow" w:hAnsi="Arial Narrow" w:cs="Calibri"/>
          <w:snapToGrid/>
          <w:color w:val="000000" w:themeColor="text1"/>
          <w:sz w:val="18"/>
          <w:szCs w:val="18"/>
          <w:lang w:eastAsia="en-AU"/>
        </w:rPr>
      </w:pPr>
      <w:r>
        <w:rPr>
          <w:rFonts w:ascii="Arial Narrow" w:hAnsi="Arial Narrow" w:cs="Calibri"/>
          <w:snapToGrid/>
          <w:color w:val="000000" w:themeColor="text1"/>
          <w:sz w:val="18"/>
          <w:szCs w:val="18"/>
          <w:lang w:eastAsia="en-AU"/>
        </w:rPr>
        <w:t xml:space="preserve">* Dose distribution as used in the CUA model and based on </w:t>
      </w:r>
      <w:proofErr w:type="spellStart"/>
      <w:r>
        <w:rPr>
          <w:rFonts w:ascii="Arial Narrow" w:hAnsi="Arial Narrow" w:cs="Calibri"/>
          <w:snapToGrid/>
          <w:color w:val="000000" w:themeColor="text1"/>
          <w:sz w:val="18"/>
          <w:szCs w:val="18"/>
          <w:lang w:eastAsia="en-AU"/>
        </w:rPr>
        <w:t>lenalidomide</w:t>
      </w:r>
      <w:proofErr w:type="spellEnd"/>
      <w:r>
        <w:rPr>
          <w:rFonts w:ascii="Arial Narrow" w:hAnsi="Arial Narrow" w:cs="Calibri"/>
          <w:snapToGrid/>
          <w:color w:val="000000" w:themeColor="text1"/>
          <w:sz w:val="18"/>
          <w:szCs w:val="18"/>
          <w:lang w:eastAsia="en-AU"/>
        </w:rPr>
        <w:t xml:space="preserve"> in multiple myeloma PBS usage data from August 2017 to July 2018</w:t>
      </w:r>
    </w:p>
    <w:p w:rsidR="0087553A" w:rsidRPr="003A3555" w:rsidRDefault="0087553A" w:rsidP="00C56C56">
      <w:pPr>
        <w:keepNext/>
        <w:widowControl/>
        <w:rPr>
          <w:rFonts w:ascii="Arial Narrow" w:hAnsi="Arial Narrow" w:cs="Calibri"/>
          <w:snapToGrid/>
          <w:color w:val="000000" w:themeColor="text1"/>
          <w:sz w:val="18"/>
          <w:szCs w:val="18"/>
          <w:lang w:eastAsia="en-AU"/>
        </w:rPr>
      </w:pPr>
      <w:r w:rsidRPr="003A3555">
        <w:rPr>
          <w:rFonts w:ascii="Arial Narrow" w:hAnsi="Arial Narrow" w:cs="Calibri"/>
          <w:snapToGrid/>
          <w:color w:val="000000" w:themeColor="text1"/>
          <w:sz w:val="18"/>
          <w:szCs w:val="18"/>
          <w:lang w:eastAsia="en-AU"/>
        </w:rPr>
        <w:t>Source: Table 3.34, p89</w:t>
      </w:r>
      <w:r w:rsidR="00586D60" w:rsidRPr="003A3555">
        <w:rPr>
          <w:rFonts w:ascii="Arial Narrow" w:hAnsi="Arial Narrow" w:cs="Calibri"/>
          <w:snapToGrid/>
          <w:color w:val="000000" w:themeColor="text1"/>
          <w:sz w:val="18"/>
          <w:szCs w:val="18"/>
          <w:lang w:eastAsia="en-AU"/>
        </w:rPr>
        <w:t>, and</w:t>
      </w:r>
      <w:r w:rsidR="00F74EC0" w:rsidRPr="003A3555">
        <w:rPr>
          <w:rFonts w:ascii="Arial Narrow" w:hAnsi="Arial Narrow" w:cs="Calibri"/>
          <w:snapToGrid/>
          <w:color w:val="000000" w:themeColor="text1"/>
          <w:sz w:val="18"/>
          <w:szCs w:val="18"/>
          <w:lang w:eastAsia="en-AU"/>
        </w:rPr>
        <w:t xml:space="preserve"> Section 4.1.2.6, p99, </w:t>
      </w:r>
      <w:r w:rsidRPr="003A3555">
        <w:rPr>
          <w:rFonts w:ascii="Arial Narrow" w:hAnsi="Arial Narrow" w:cs="Calibri"/>
          <w:snapToGrid/>
          <w:color w:val="000000" w:themeColor="text1"/>
          <w:sz w:val="18"/>
          <w:szCs w:val="18"/>
          <w:lang w:eastAsia="en-AU"/>
        </w:rPr>
        <w:t>of the resubmission</w:t>
      </w:r>
      <w:r w:rsidR="00F74EC0" w:rsidRPr="003A3555">
        <w:rPr>
          <w:rFonts w:ascii="Arial Narrow" w:hAnsi="Arial Narrow" w:cs="Calibri"/>
          <w:snapToGrid/>
          <w:color w:val="000000" w:themeColor="text1"/>
          <w:sz w:val="18"/>
          <w:szCs w:val="18"/>
          <w:lang w:eastAsia="en-AU"/>
        </w:rPr>
        <w:t xml:space="preserve"> </w:t>
      </w:r>
    </w:p>
    <w:p w:rsidR="006B10D4" w:rsidRPr="003A3555" w:rsidRDefault="006B10D4" w:rsidP="0023263B">
      <w:pPr>
        <w:pStyle w:val="ListParagraph"/>
        <w:keepNext/>
        <w:widowControl/>
        <w:numPr>
          <w:ilvl w:val="1"/>
          <w:numId w:val="2"/>
        </w:numPr>
        <w:spacing w:before="120"/>
        <w:rPr>
          <w:rFonts w:cs="Calibri"/>
          <w:snapToGrid/>
          <w:color w:val="000000" w:themeColor="text1"/>
          <w:szCs w:val="24"/>
          <w:lang w:eastAsia="en-AU"/>
        </w:rPr>
      </w:pPr>
      <w:r w:rsidRPr="003A3555">
        <w:rPr>
          <w:rFonts w:cs="Calibri"/>
          <w:snapToGrid/>
          <w:color w:val="000000" w:themeColor="text1"/>
          <w:szCs w:val="24"/>
          <w:lang w:eastAsia="en-AU"/>
        </w:rPr>
        <w:t xml:space="preserve">The average cost of </w:t>
      </w:r>
      <w:proofErr w:type="spellStart"/>
      <w:r w:rsidRPr="003A3555">
        <w:rPr>
          <w:rFonts w:cs="Calibri"/>
          <w:snapToGrid/>
          <w:color w:val="000000" w:themeColor="text1"/>
          <w:szCs w:val="24"/>
          <w:lang w:eastAsia="en-AU"/>
        </w:rPr>
        <w:t>lenalidomide</w:t>
      </w:r>
      <w:proofErr w:type="spellEnd"/>
      <w:r w:rsidRPr="003A3555">
        <w:rPr>
          <w:rFonts w:cs="Calibri"/>
          <w:snapToGrid/>
          <w:color w:val="000000" w:themeColor="text1"/>
          <w:szCs w:val="24"/>
          <w:lang w:eastAsia="en-AU"/>
        </w:rPr>
        <w:t xml:space="preserve"> per patient per 28-day cycle was estimated to be $</w:t>
      </w:r>
      <w:r w:rsidR="001D6F6D">
        <w:rPr>
          <w:rFonts w:cs="Calibri"/>
          <w:noProof/>
          <w:snapToGrid/>
          <w:color w:val="000000"/>
          <w:szCs w:val="24"/>
          <w:highlight w:val="black"/>
          <w:lang w:eastAsia="en-AU"/>
        </w:rPr>
        <w:t>'''''''''''</w:t>
      </w:r>
      <w:r w:rsidRPr="003A3555">
        <w:rPr>
          <w:rFonts w:cs="Calibri"/>
          <w:snapToGrid/>
          <w:color w:val="000000" w:themeColor="text1"/>
          <w:szCs w:val="24"/>
          <w:lang w:eastAsia="en-AU"/>
        </w:rPr>
        <w:t xml:space="preserve"> based on the proposed </w:t>
      </w:r>
      <w:r>
        <w:rPr>
          <w:rFonts w:cs="Calibri"/>
          <w:snapToGrid/>
          <w:color w:val="000000" w:themeColor="text1"/>
          <w:szCs w:val="24"/>
          <w:lang w:eastAsia="en-AU"/>
        </w:rPr>
        <w:t>weighted</w:t>
      </w:r>
      <w:r w:rsidRPr="003A3555">
        <w:rPr>
          <w:rFonts w:cs="Calibri"/>
          <w:snapToGrid/>
          <w:color w:val="000000" w:themeColor="text1"/>
          <w:szCs w:val="24"/>
          <w:lang w:eastAsia="en-AU"/>
        </w:rPr>
        <w:t xml:space="preserve"> effective pack prices </w:t>
      </w:r>
      <w:r>
        <w:rPr>
          <w:rFonts w:cs="Calibri"/>
          <w:snapToGrid/>
          <w:color w:val="000000" w:themeColor="text1"/>
          <w:szCs w:val="24"/>
          <w:lang w:eastAsia="en-AU"/>
        </w:rPr>
        <w:t>and dose distributions</w:t>
      </w:r>
      <w:r w:rsidRPr="003A3555">
        <w:rPr>
          <w:rFonts w:cs="Calibri"/>
          <w:snapToGrid/>
          <w:color w:val="000000" w:themeColor="text1"/>
          <w:szCs w:val="24"/>
          <w:lang w:eastAsia="en-AU"/>
        </w:rPr>
        <w:t xml:space="preserve">. The resulting average cost of </w:t>
      </w:r>
      <w:proofErr w:type="spellStart"/>
      <w:r w:rsidRPr="003A3555">
        <w:rPr>
          <w:rFonts w:cs="Calibri"/>
          <w:snapToGrid/>
          <w:color w:val="000000" w:themeColor="text1"/>
          <w:szCs w:val="24"/>
          <w:lang w:eastAsia="en-AU"/>
        </w:rPr>
        <w:t>lenalidomide</w:t>
      </w:r>
      <w:proofErr w:type="spellEnd"/>
      <w:r w:rsidRPr="003A3555">
        <w:rPr>
          <w:rFonts w:cs="Calibri"/>
          <w:snapToGrid/>
          <w:color w:val="000000" w:themeColor="text1"/>
          <w:szCs w:val="24"/>
          <w:lang w:eastAsia="en-AU"/>
        </w:rPr>
        <w:t xml:space="preserve"> per patient per year was $</w:t>
      </w:r>
      <w:r w:rsidR="001D6F6D">
        <w:rPr>
          <w:rFonts w:cs="Calibri"/>
          <w:noProof/>
          <w:snapToGrid/>
          <w:color w:val="000000"/>
          <w:szCs w:val="24"/>
          <w:highlight w:val="black"/>
          <w:lang w:eastAsia="en-AU"/>
        </w:rPr>
        <w:t>''''''''''''''</w:t>
      </w:r>
      <w:r w:rsidRPr="003A3555">
        <w:rPr>
          <w:rFonts w:cs="Calibri"/>
          <w:snapToGrid/>
          <w:color w:val="000000" w:themeColor="text1"/>
          <w:szCs w:val="24"/>
          <w:lang w:eastAsia="en-AU"/>
        </w:rPr>
        <w:t xml:space="preserve"> ($</w:t>
      </w:r>
      <w:r w:rsidR="001D6F6D">
        <w:rPr>
          <w:rFonts w:cs="Calibri"/>
          <w:noProof/>
          <w:snapToGrid/>
          <w:color w:val="000000"/>
          <w:szCs w:val="24"/>
          <w:highlight w:val="black"/>
          <w:lang w:eastAsia="en-AU"/>
        </w:rPr>
        <w:t>''''''''''</w:t>
      </w:r>
      <w:r w:rsidRPr="003A3555">
        <w:rPr>
          <w:rFonts w:cs="Calibri"/>
          <w:snapToGrid/>
          <w:color w:val="000000" w:themeColor="text1"/>
          <w:szCs w:val="24"/>
          <w:lang w:eastAsia="en-AU"/>
        </w:rPr>
        <w:t xml:space="preserve"> x 365.25/28).</w:t>
      </w:r>
    </w:p>
    <w:p w:rsidR="005E7102" w:rsidRDefault="005E7102" w:rsidP="0023263B">
      <w:pPr>
        <w:pStyle w:val="Heading2"/>
        <w:widowControl/>
        <w:spacing w:before="120"/>
        <w:rPr>
          <w:color w:val="000000" w:themeColor="text1"/>
        </w:rPr>
      </w:pPr>
      <w:bookmarkStart w:id="45" w:name="_Toc532805612"/>
      <w:bookmarkStart w:id="46" w:name="_Toc533163402"/>
      <w:r w:rsidRPr="003A3555">
        <w:rPr>
          <w:color w:val="000000" w:themeColor="text1"/>
        </w:rPr>
        <w:t>Estimated PBS usage &amp; financial implications</w:t>
      </w:r>
      <w:bookmarkEnd w:id="45"/>
      <w:bookmarkEnd w:id="46"/>
    </w:p>
    <w:p w:rsidR="00117900" w:rsidRPr="00117900" w:rsidRDefault="00117900" w:rsidP="0023263B">
      <w:pPr>
        <w:pStyle w:val="ListParagraph"/>
        <w:widowControl/>
        <w:numPr>
          <w:ilvl w:val="1"/>
          <w:numId w:val="2"/>
        </w:numPr>
        <w:spacing w:before="120"/>
      </w:pPr>
      <w:r w:rsidRPr="00117900">
        <w:t xml:space="preserve">The resubmission </w:t>
      </w:r>
      <w:proofErr w:type="gramStart"/>
      <w:r w:rsidRPr="00117900">
        <w:t>was considered</w:t>
      </w:r>
      <w:proofErr w:type="gramEnd"/>
      <w:r w:rsidRPr="00117900">
        <w:t xml:space="preserve"> by DUSC.</w:t>
      </w:r>
    </w:p>
    <w:p w:rsidR="00117900" w:rsidRPr="00117900" w:rsidRDefault="00117900" w:rsidP="0023263B">
      <w:pPr>
        <w:pStyle w:val="ListParagraph"/>
        <w:widowControl/>
        <w:numPr>
          <w:ilvl w:val="1"/>
          <w:numId w:val="2"/>
        </w:numPr>
        <w:spacing w:before="120"/>
        <w:rPr>
          <w:i/>
        </w:rPr>
      </w:pPr>
      <w:r w:rsidRPr="00C11835">
        <w:t xml:space="preserve">The March 2018 submission presented an epidemiological </w:t>
      </w:r>
      <w:proofErr w:type="gramStart"/>
      <w:r w:rsidRPr="00C11835">
        <w:t>approach which</w:t>
      </w:r>
      <w:proofErr w:type="gramEnd"/>
      <w:r w:rsidRPr="00C11835">
        <w:t xml:space="preserve"> assumed </w:t>
      </w:r>
      <w:proofErr w:type="spellStart"/>
      <w:r w:rsidRPr="00C11835">
        <w:t>lenalidomide</w:t>
      </w:r>
      <w:proofErr w:type="spellEnd"/>
      <w:r w:rsidRPr="00C11835">
        <w:t xml:space="preserve"> uptake for all patients who ha</w:t>
      </w:r>
      <w:r>
        <w:t xml:space="preserve">d </w:t>
      </w:r>
      <w:r w:rsidRPr="00C11835">
        <w:t xml:space="preserve">received </w:t>
      </w:r>
      <w:r>
        <w:t>an ASCT</w:t>
      </w:r>
      <w:r w:rsidRPr="00C11835">
        <w:t xml:space="preserve">. The March 2018 submission used a standard patient estimation model following the financial estimates template. </w:t>
      </w:r>
    </w:p>
    <w:p w:rsidR="00117900" w:rsidRDefault="00117900" w:rsidP="0023263B">
      <w:pPr>
        <w:pStyle w:val="ListParagraph"/>
        <w:widowControl/>
        <w:numPr>
          <w:ilvl w:val="1"/>
          <w:numId w:val="2"/>
        </w:numPr>
        <w:spacing w:before="120"/>
      </w:pPr>
      <w:r w:rsidRPr="00C11835">
        <w:t xml:space="preserve">The resubmission used a dynamic individual patient level simulation of the entire MM treatment algorithm, implemented using a model in </w:t>
      </w:r>
      <w:proofErr w:type="spellStart"/>
      <w:r w:rsidRPr="00C11835">
        <w:t>TreeAge</w:t>
      </w:r>
      <w:proofErr w:type="spellEnd"/>
      <w:r w:rsidRPr="00C11835">
        <w:t xml:space="preserve"> Pro software. The lack of consistency in </w:t>
      </w:r>
      <w:r w:rsidR="00A352F7">
        <w:t xml:space="preserve">the </w:t>
      </w:r>
      <w:r w:rsidRPr="00C11835">
        <w:t>simulation mode</w:t>
      </w:r>
      <w:r w:rsidR="008A0C18">
        <w:t>l wa</w:t>
      </w:r>
      <w:r w:rsidRPr="00C11835">
        <w:t xml:space="preserve">s problematic in the context of producing financial estimates that </w:t>
      </w:r>
      <w:proofErr w:type="gramStart"/>
      <w:r w:rsidR="00A352F7">
        <w:t>c</w:t>
      </w:r>
      <w:r w:rsidR="00875CD1">
        <w:t>ould</w:t>
      </w:r>
      <w:r w:rsidR="00A352F7">
        <w:t xml:space="preserve"> be</w:t>
      </w:r>
      <w:r w:rsidR="00A352F7" w:rsidRPr="00C11835">
        <w:t xml:space="preserve"> </w:t>
      </w:r>
      <w:r w:rsidRPr="00C11835">
        <w:t>used</w:t>
      </w:r>
      <w:proofErr w:type="gramEnd"/>
      <w:r w:rsidRPr="00C11835">
        <w:t xml:space="preserve"> to inform Government deliberations and which may form the basis of subsequent risk-sharing agreements. The reliance on starting “seeds” therefore introduce</w:t>
      </w:r>
      <w:r w:rsidR="00A352F7">
        <w:t>d</w:t>
      </w:r>
      <w:r w:rsidRPr="00C11835">
        <w:t xml:space="preserve"> a crucial element for agreement that underpins the consistency and reliability of </w:t>
      </w:r>
      <w:r w:rsidR="00A352F7">
        <w:t xml:space="preserve">the </w:t>
      </w:r>
      <w:r w:rsidRPr="00C11835">
        <w:t>forward estimates.</w:t>
      </w:r>
      <w:r w:rsidRPr="00117900">
        <w:rPr>
          <w:i/>
        </w:rPr>
        <w:t xml:space="preserve"> </w:t>
      </w:r>
      <w:r w:rsidRPr="00117900">
        <w:t xml:space="preserve">The PSCR acknowledged that the approach used in the resubmission to derive the financial estimates may have been overcomplicated and was associated with several structural and parameter uncertainties. As the reliability and validity of the simulation model presented in </w:t>
      </w:r>
      <w:proofErr w:type="spellStart"/>
      <w:r w:rsidRPr="00117900">
        <w:t>TreeAge</w:t>
      </w:r>
      <w:proofErr w:type="spellEnd"/>
      <w:r w:rsidRPr="00117900">
        <w:t xml:space="preserve"> could not be directly assessed by DUSC, considerations </w:t>
      </w:r>
      <w:r>
        <w:t xml:space="preserve">were based </w:t>
      </w:r>
      <w:r w:rsidRPr="00117900">
        <w:t xml:space="preserve">on </w:t>
      </w:r>
      <w:r>
        <w:t xml:space="preserve">a summary of </w:t>
      </w:r>
      <w:r w:rsidRPr="00117900">
        <w:t xml:space="preserve">the financial </w:t>
      </w:r>
      <w:proofErr w:type="gramStart"/>
      <w:r w:rsidRPr="00117900">
        <w:t>estimates which</w:t>
      </w:r>
      <w:proofErr w:type="gramEnd"/>
      <w:r w:rsidRPr="00117900">
        <w:t xml:space="preserve"> detailed the assumptions of the financial modelling used in the dynamic model and also the conversion of patient-months to numbers of patients.</w:t>
      </w:r>
    </w:p>
    <w:p w:rsidR="004761DF" w:rsidRPr="008A0C18" w:rsidRDefault="00A5228B" w:rsidP="0023263B">
      <w:pPr>
        <w:pStyle w:val="ListParagraph"/>
        <w:widowControl/>
        <w:numPr>
          <w:ilvl w:val="1"/>
          <w:numId w:val="2"/>
        </w:numPr>
        <w:spacing w:before="120"/>
        <w:rPr>
          <w:i/>
        </w:rPr>
      </w:pPr>
      <w:r>
        <w:t xml:space="preserve"> </w:t>
      </w:r>
      <w:r w:rsidR="009B5014" w:rsidRPr="008A0C18">
        <w:rPr>
          <w:rFonts w:asciiTheme="minorHAnsi" w:hAnsiTheme="minorHAnsi" w:cstheme="minorHAnsi"/>
        </w:rPr>
        <w:t xml:space="preserve">The annual incidence rate was estimated based on Cancer Australia statistics, using 2013 </w:t>
      </w:r>
      <w:proofErr w:type="gramStart"/>
      <w:r w:rsidR="009B5014" w:rsidRPr="008A0C18">
        <w:rPr>
          <w:rFonts w:asciiTheme="minorHAnsi" w:hAnsiTheme="minorHAnsi" w:cstheme="minorHAnsi"/>
        </w:rPr>
        <w:t>data which</w:t>
      </w:r>
      <w:proofErr w:type="gramEnd"/>
      <w:r w:rsidR="009B5014" w:rsidRPr="008A0C18">
        <w:rPr>
          <w:rFonts w:asciiTheme="minorHAnsi" w:hAnsiTheme="minorHAnsi" w:cstheme="minorHAnsi"/>
        </w:rPr>
        <w:t xml:space="preserve"> showed an incidence of 1,637 MM patients. The resubmission estimated an annual average growth rate of </w:t>
      </w:r>
      <w:r w:rsidR="001D6F6D">
        <w:rPr>
          <w:rFonts w:asciiTheme="minorHAnsi" w:hAnsiTheme="minorHAnsi" w:cstheme="minorHAnsi"/>
          <w:noProof/>
          <w:color w:val="000000"/>
          <w:highlight w:val="black"/>
        </w:rPr>
        <w:t>'''''''</w:t>
      </w:r>
      <w:r w:rsidR="009B5014" w:rsidRPr="008A0C18">
        <w:rPr>
          <w:rFonts w:asciiTheme="minorHAnsi" w:hAnsiTheme="minorHAnsi" w:cstheme="minorHAnsi"/>
        </w:rPr>
        <w:t xml:space="preserve">% applied to the 2013 incident patient estimate and thereafter in order to estimate incidence in the forward years of the </w:t>
      </w:r>
      <w:r w:rsidR="009B5014" w:rsidRPr="008A0C18">
        <w:rPr>
          <w:rFonts w:asciiTheme="minorHAnsi" w:hAnsiTheme="minorHAnsi" w:cstheme="minorHAnsi"/>
        </w:rPr>
        <w:lastRenderedPageBreak/>
        <w:t xml:space="preserve">estimates. The derivation of the annual growth rate of </w:t>
      </w:r>
      <w:proofErr w:type="gramStart"/>
      <w:r w:rsidR="001D6F6D">
        <w:rPr>
          <w:rFonts w:asciiTheme="minorHAnsi" w:hAnsiTheme="minorHAnsi" w:cstheme="minorHAnsi"/>
          <w:noProof/>
          <w:color w:val="000000"/>
          <w:highlight w:val="black"/>
        </w:rPr>
        <w:t>''''''</w:t>
      </w:r>
      <w:r w:rsidR="009B5014" w:rsidRPr="008A0C18">
        <w:rPr>
          <w:rFonts w:asciiTheme="minorHAnsi" w:hAnsiTheme="minorHAnsi" w:cstheme="minorHAnsi"/>
        </w:rPr>
        <w:t>%</w:t>
      </w:r>
      <w:proofErr w:type="gramEnd"/>
      <w:r w:rsidR="009B5014" w:rsidRPr="008A0C18">
        <w:rPr>
          <w:rFonts w:asciiTheme="minorHAnsi" w:hAnsiTheme="minorHAnsi" w:cstheme="minorHAnsi"/>
        </w:rPr>
        <w:t xml:space="preserve"> could not be verified. DUSC noted in the previous submission, the annual growth rate for the treated population was assumed to be </w:t>
      </w:r>
      <w:proofErr w:type="gramStart"/>
      <w:r w:rsidR="001D6F6D">
        <w:rPr>
          <w:rFonts w:asciiTheme="minorHAnsi" w:hAnsiTheme="minorHAnsi" w:cstheme="minorHAnsi"/>
          <w:noProof/>
          <w:color w:val="000000"/>
          <w:highlight w:val="black"/>
        </w:rPr>
        <w:t>'''''''</w:t>
      </w:r>
      <w:r w:rsidR="009B5014" w:rsidRPr="008A0C18">
        <w:rPr>
          <w:rFonts w:asciiTheme="minorHAnsi" w:hAnsiTheme="minorHAnsi" w:cstheme="minorHAnsi"/>
        </w:rPr>
        <w:t>%</w:t>
      </w:r>
      <w:proofErr w:type="gramEnd"/>
      <w:r w:rsidR="009B5014" w:rsidRPr="008A0C18">
        <w:rPr>
          <w:rFonts w:asciiTheme="minorHAnsi" w:hAnsiTheme="minorHAnsi" w:cstheme="minorHAnsi"/>
        </w:rPr>
        <w:t xml:space="preserve"> based on data derived from the Australasian Bone Marrow Transplant Recipient Registry (6.03.DUSC ADV.6, March 2018). DUSC further noted that the Global Burden of Disease Study reported that the incident growth rate for MM in the Asia Pacific region was around 5.8%</w:t>
      </w:r>
      <w:r w:rsidR="009B5014" w:rsidRPr="004761DF">
        <w:rPr>
          <w:rStyle w:val="FootnoteReference"/>
          <w:rFonts w:asciiTheme="minorHAnsi" w:hAnsiTheme="minorHAnsi" w:cstheme="minorHAnsi"/>
        </w:rPr>
        <w:footnoteReference w:id="2"/>
      </w:r>
      <w:r w:rsidR="009B5014" w:rsidRPr="008A0C18">
        <w:rPr>
          <w:rFonts w:asciiTheme="minorHAnsi" w:hAnsiTheme="minorHAnsi" w:cstheme="minorHAnsi"/>
        </w:rPr>
        <w:t xml:space="preserve">. For the March 2018 submission, DUSC considered that the growth rate of </w:t>
      </w:r>
      <w:proofErr w:type="gramStart"/>
      <w:r w:rsidR="001D6F6D">
        <w:rPr>
          <w:rFonts w:asciiTheme="minorHAnsi" w:hAnsiTheme="minorHAnsi" w:cstheme="minorHAnsi"/>
          <w:noProof/>
          <w:color w:val="000000"/>
          <w:highlight w:val="black"/>
        </w:rPr>
        <w:t>''''''</w:t>
      </w:r>
      <w:r w:rsidR="009B5014" w:rsidRPr="008A0C18">
        <w:rPr>
          <w:rFonts w:asciiTheme="minorHAnsi" w:hAnsiTheme="minorHAnsi" w:cstheme="minorHAnsi"/>
        </w:rPr>
        <w:t>%</w:t>
      </w:r>
      <w:proofErr w:type="gramEnd"/>
      <w:r w:rsidR="009B5014" w:rsidRPr="008A0C18">
        <w:rPr>
          <w:rFonts w:asciiTheme="minorHAnsi" w:hAnsiTheme="minorHAnsi" w:cstheme="minorHAnsi"/>
        </w:rPr>
        <w:t xml:space="preserve"> was a potential </w:t>
      </w:r>
      <w:r w:rsidR="009B5014" w:rsidRPr="008A0C18">
        <w:rPr>
          <w:rFonts w:asciiTheme="minorHAnsi" w:hAnsiTheme="minorHAnsi"/>
          <w:szCs w:val="24"/>
        </w:rPr>
        <w:t xml:space="preserve">overestimate as it was high relative to the growth in the general population. DUSC commented that the annual incident growth rate was likely to be higher than </w:t>
      </w:r>
      <w:proofErr w:type="gramStart"/>
      <w:r w:rsidR="001D6F6D">
        <w:rPr>
          <w:rFonts w:asciiTheme="minorHAnsi" w:hAnsiTheme="minorHAnsi"/>
          <w:noProof/>
          <w:color w:val="000000"/>
          <w:szCs w:val="24"/>
          <w:highlight w:val="black"/>
        </w:rPr>
        <w:t>''''''</w:t>
      </w:r>
      <w:r w:rsidR="009B5014" w:rsidRPr="008A0C18">
        <w:rPr>
          <w:rFonts w:asciiTheme="minorHAnsi" w:hAnsiTheme="minorHAnsi"/>
          <w:szCs w:val="24"/>
        </w:rPr>
        <w:t>%</w:t>
      </w:r>
      <w:proofErr w:type="gramEnd"/>
      <w:r w:rsidR="009B5014" w:rsidRPr="008A0C18">
        <w:rPr>
          <w:rFonts w:asciiTheme="minorHAnsi" w:hAnsiTheme="minorHAnsi"/>
          <w:szCs w:val="24"/>
        </w:rPr>
        <w:t xml:space="preserve"> but it was uncertain if the growth rate would be as high as that reported in the Global Burden of Disease Study</w:t>
      </w:r>
      <w:r w:rsidR="006D772C" w:rsidRPr="004761DF">
        <w:t>.</w:t>
      </w:r>
      <w:r w:rsidR="004761DF">
        <w:t xml:space="preserve"> </w:t>
      </w:r>
    </w:p>
    <w:p w:rsidR="004761DF" w:rsidRPr="004761DF" w:rsidRDefault="004761DF" w:rsidP="0023263B">
      <w:pPr>
        <w:pStyle w:val="ListParagraph"/>
        <w:widowControl/>
        <w:numPr>
          <w:ilvl w:val="1"/>
          <w:numId w:val="2"/>
        </w:numPr>
        <w:spacing w:before="120"/>
        <w:rPr>
          <w:rFonts w:asciiTheme="minorHAnsi" w:hAnsiTheme="minorHAnsi"/>
          <w:szCs w:val="24"/>
        </w:rPr>
      </w:pPr>
      <w:r w:rsidRPr="004761DF">
        <w:rPr>
          <w:rFonts w:asciiTheme="minorHAnsi" w:hAnsiTheme="minorHAnsi"/>
          <w:szCs w:val="24"/>
        </w:rPr>
        <w:t>DUSC considered that the assumptions for the proportion of patients who were symptomatic (</w:t>
      </w:r>
      <w:r w:rsidR="001D6F6D">
        <w:rPr>
          <w:rFonts w:asciiTheme="minorHAnsi" w:hAnsiTheme="minorHAnsi"/>
          <w:noProof/>
          <w:color w:val="000000"/>
          <w:szCs w:val="24"/>
          <w:highlight w:val="black"/>
        </w:rPr>
        <w:t>'''''</w:t>
      </w:r>
      <w:r w:rsidRPr="004761DF">
        <w:rPr>
          <w:rFonts w:asciiTheme="minorHAnsi" w:hAnsiTheme="minorHAnsi"/>
          <w:szCs w:val="24"/>
        </w:rPr>
        <w:t>%) and proportion of patients’ responsive to ASCT (</w:t>
      </w:r>
      <w:proofErr w:type="gramStart"/>
      <w:r w:rsidR="001D6F6D">
        <w:rPr>
          <w:rFonts w:asciiTheme="minorHAnsi" w:hAnsiTheme="minorHAnsi"/>
          <w:noProof/>
          <w:color w:val="000000"/>
          <w:szCs w:val="24"/>
          <w:highlight w:val="black"/>
        </w:rPr>
        <w:t>''''''</w:t>
      </w:r>
      <w:r w:rsidRPr="004761DF">
        <w:rPr>
          <w:rFonts w:asciiTheme="minorHAnsi" w:hAnsiTheme="minorHAnsi"/>
          <w:szCs w:val="24"/>
        </w:rPr>
        <w:t>%</w:t>
      </w:r>
      <w:proofErr w:type="gramEnd"/>
      <w:r w:rsidRPr="004761DF">
        <w:rPr>
          <w:rFonts w:asciiTheme="minorHAnsi" w:hAnsiTheme="minorHAnsi"/>
          <w:szCs w:val="24"/>
        </w:rPr>
        <w:t>) were reasonable.</w:t>
      </w:r>
    </w:p>
    <w:p w:rsidR="006D772C" w:rsidRPr="004761DF" w:rsidRDefault="004761DF" w:rsidP="0023263B">
      <w:pPr>
        <w:pStyle w:val="ListParagraph"/>
        <w:widowControl/>
        <w:numPr>
          <w:ilvl w:val="1"/>
          <w:numId w:val="2"/>
        </w:numPr>
        <w:spacing w:before="120"/>
      </w:pPr>
      <w:r w:rsidRPr="00C11835">
        <w:rPr>
          <w:rFonts w:asciiTheme="minorHAnsi" w:hAnsiTheme="minorHAnsi" w:cstheme="minorHAnsi"/>
        </w:rPr>
        <w:t xml:space="preserve">The prevalence numbers used at the start of the model incorporated 500 patients receiving induction therapy consisting of </w:t>
      </w:r>
      <w:proofErr w:type="spellStart"/>
      <w:r w:rsidRPr="00C11835">
        <w:rPr>
          <w:rFonts w:asciiTheme="minorHAnsi" w:hAnsiTheme="minorHAnsi" w:cstheme="minorHAnsi"/>
        </w:rPr>
        <w:t>bortezomib</w:t>
      </w:r>
      <w:proofErr w:type="spellEnd"/>
      <w:r w:rsidRPr="00C11835">
        <w:rPr>
          <w:rFonts w:asciiTheme="minorHAnsi" w:hAnsiTheme="minorHAnsi" w:cstheme="minorHAnsi"/>
        </w:rPr>
        <w:t xml:space="preserve"> or thalidomide, or ASCT. The prevalent population for the maintenance treatment consisted of 1,100 patients at the start of the </w:t>
      </w:r>
      <w:proofErr w:type="gramStart"/>
      <w:r w:rsidRPr="00C11835">
        <w:rPr>
          <w:rFonts w:asciiTheme="minorHAnsi" w:hAnsiTheme="minorHAnsi" w:cstheme="minorHAnsi"/>
        </w:rPr>
        <w:t>model which</w:t>
      </w:r>
      <w:proofErr w:type="gramEnd"/>
      <w:r w:rsidRPr="00C11835">
        <w:rPr>
          <w:rFonts w:asciiTheme="minorHAnsi" w:hAnsiTheme="minorHAnsi" w:cstheme="minorHAnsi"/>
        </w:rPr>
        <w:t xml:space="preserve"> was split between the different treatment options of </w:t>
      </w:r>
      <w:proofErr w:type="spellStart"/>
      <w:r w:rsidRPr="00C11835">
        <w:rPr>
          <w:rFonts w:asciiTheme="minorHAnsi" w:hAnsiTheme="minorHAnsi" w:cstheme="minorHAnsi"/>
        </w:rPr>
        <w:t>lenalidomide</w:t>
      </w:r>
      <w:proofErr w:type="spellEnd"/>
      <w:r w:rsidRPr="00C11835">
        <w:rPr>
          <w:rFonts w:asciiTheme="minorHAnsi" w:hAnsiTheme="minorHAnsi" w:cstheme="minorHAnsi"/>
        </w:rPr>
        <w:t xml:space="preserve">, thalidomide or BSC. The estimates for the prevalent population were based on what the resubmission called an “an intuitive analysis” of the 10% Medicare Australia sample data, as well as triangulation against incidence and 5-year prevalence estimates of MM from the Cancer Australia statistics website, internal sales data and expert clinical opinion. </w:t>
      </w:r>
      <w:r w:rsidRPr="004761DF">
        <w:rPr>
          <w:rFonts w:asciiTheme="minorHAnsi" w:hAnsiTheme="minorHAnsi" w:cstheme="minorHAnsi"/>
        </w:rPr>
        <w:t xml:space="preserve">DUSC noted that the estimates of prevalent patients </w:t>
      </w:r>
      <w:proofErr w:type="gramStart"/>
      <w:r w:rsidRPr="004761DF">
        <w:rPr>
          <w:rFonts w:asciiTheme="minorHAnsi" w:hAnsiTheme="minorHAnsi" w:cstheme="minorHAnsi"/>
        </w:rPr>
        <w:t>could not be verified</w:t>
      </w:r>
      <w:proofErr w:type="gramEnd"/>
      <w:r w:rsidRPr="004761DF">
        <w:rPr>
          <w:rFonts w:asciiTheme="minorHAnsi" w:hAnsiTheme="minorHAnsi" w:cstheme="minorHAnsi"/>
        </w:rPr>
        <w:t xml:space="preserve"> from the information presented in the resubmission</w:t>
      </w:r>
      <w:r w:rsidR="00B70AB2">
        <w:rPr>
          <w:rFonts w:asciiTheme="minorHAnsi" w:hAnsiTheme="minorHAnsi" w:cstheme="minorHAnsi"/>
        </w:rPr>
        <w:t>.</w:t>
      </w:r>
      <w:r w:rsidRPr="004761DF">
        <w:rPr>
          <w:rFonts w:asciiTheme="minorHAnsi" w:hAnsiTheme="minorHAnsi" w:cstheme="minorHAnsi"/>
        </w:rPr>
        <w:t xml:space="preserve"> </w:t>
      </w:r>
    </w:p>
    <w:p w:rsidR="004761DF" w:rsidRPr="004761DF" w:rsidRDefault="004761DF" w:rsidP="0023263B">
      <w:pPr>
        <w:pStyle w:val="ListParagraph"/>
        <w:widowControl/>
        <w:numPr>
          <w:ilvl w:val="1"/>
          <w:numId w:val="2"/>
        </w:numPr>
        <w:spacing w:before="120"/>
      </w:pPr>
      <w:r w:rsidRPr="004761DF">
        <w:rPr>
          <w:rFonts w:asciiTheme="minorHAnsi" w:hAnsiTheme="minorHAnsi" w:cstheme="minorHAnsi"/>
        </w:rPr>
        <w:t xml:space="preserve">In terms of patients continuing on therapy after initiation, DUSC noted that the rate of survival for MM is </w:t>
      </w:r>
      <w:r w:rsidR="0094315F">
        <w:rPr>
          <w:rFonts w:asciiTheme="minorHAnsi" w:hAnsiTheme="minorHAnsi" w:cstheme="minorHAnsi"/>
        </w:rPr>
        <w:t xml:space="preserve">slowly </w:t>
      </w:r>
      <w:r w:rsidRPr="004761DF">
        <w:rPr>
          <w:rFonts w:asciiTheme="minorHAnsi" w:hAnsiTheme="minorHAnsi" w:cstheme="minorHAnsi"/>
        </w:rPr>
        <w:t>increasing over time.</w:t>
      </w:r>
      <w:r w:rsidRPr="004761DF">
        <w:rPr>
          <w:rStyle w:val="FootnoteReference"/>
          <w:rFonts w:asciiTheme="minorHAnsi" w:hAnsiTheme="minorHAnsi" w:cstheme="minorHAnsi"/>
        </w:rPr>
        <w:footnoteReference w:id="3"/>
      </w:r>
      <w:r w:rsidRPr="004761DF">
        <w:rPr>
          <w:rFonts w:asciiTheme="minorHAnsi" w:hAnsiTheme="minorHAnsi" w:cstheme="minorHAnsi"/>
        </w:rPr>
        <w:t xml:space="preserve"> DUSC further noted that the incidence of MM was also increasing. As such, DUSC considered that there was the potential for </w:t>
      </w:r>
      <w:proofErr w:type="spellStart"/>
      <w:r w:rsidRPr="004761DF">
        <w:rPr>
          <w:rFonts w:asciiTheme="minorHAnsi" w:hAnsiTheme="minorHAnsi" w:cstheme="minorHAnsi"/>
        </w:rPr>
        <w:t>lenalidomide</w:t>
      </w:r>
      <w:proofErr w:type="spellEnd"/>
      <w:r w:rsidRPr="004761DF">
        <w:rPr>
          <w:rFonts w:asciiTheme="minorHAnsi" w:hAnsiTheme="minorHAnsi" w:cstheme="minorHAnsi"/>
        </w:rPr>
        <w:t xml:space="preserve"> to </w:t>
      </w:r>
      <w:proofErr w:type="gramStart"/>
      <w:r w:rsidRPr="004761DF">
        <w:rPr>
          <w:rFonts w:asciiTheme="minorHAnsi" w:hAnsiTheme="minorHAnsi" w:cstheme="minorHAnsi"/>
        </w:rPr>
        <w:t>be accessed</w:t>
      </w:r>
      <w:proofErr w:type="gramEnd"/>
      <w:r w:rsidRPr="004761DF">
        <w:rPr>
          <w:rFonts w:asciiTheme="minorHAnsi" w:hAnsiTheme="minorHAnsi" w:cstheme="minorHAnsi"/>
        </w:rPr>
        <w:t xml:space="preserve"> by a large number of patients. It was likely that the resubmission had underestimated the size of the treated population.</w:t>
      </w:r>
    </w:p>
    <w:p w:rsidR="004761DF" w:rsidRPr="004761DF" w:rsidRDefault="004761DF" w:rsidP="0023263B">
      <w:pPr>
        <w:pStyle w:val="ListParagraph"/>
        <w:widowControl/>
        <w:numPr>
          <w:ilvl w:val="1"/>
          <w:numId w:val="2"/>
        </w:numPr>
        <w:spacing w:before="120"/>
      </w:pPr>
      <w:r w:rsidRPr="004761DF">
        <w:t xml:space="preserve">The resubmission based the estimates for the uptake of </w:t>
      </w:r>
      <w:proofErr w:type="spellStart"/>
      <w:r w:rsidRPr="004761DF">
        <w:t>lenalidomide</w:t>
      </w:r>
      <w:proofErr w:type="spellEnd"/>
      <w:r w:rsidRPr="004761DF">
        <w:t xml:space="preserve"> and replaced medicines on expert opinion (survey of 44 haematologists, conducted in July-August 2018). The current scenario ‘status quo’ market share assumption was divided between BSC (</w:t>
      </w:r>
      <w:r w:rsidR="001D6F6D">
        <w:rPr>
          <w:noProof/>
          <w:color w:val="000000"/>
          <w:highlight w:val="black"/>
        </w:rPr>
        <w:t>'''''''''</w:t>
      </w:r>
      <w:r w:rsidRPr="004761DF">
        <w:t>%) and thalidomide (</w:t>
      </w:r>
      <w:proofErr w:type="gramStart"/>
      <w:r w:rsidR="001D6F6D">
        <w:rPr>
          <w:noProof/>
          <w:color w:val="000000"/>
          <w:highlight w:val="black"/>
        </w:rPr>
        <w:t>''''''''</w:t>
      </w:r>
      <w:r w:rsidRPr="004761DF">
        <w:t>%</w:t>
      </w:r>
      <w:proofErr w:type="gramEnd"/>
      <w:r w:rsidRPr="004761DF">
        <w:t xml:space="preserve">), based on data from the MRDR, which reflected the ratios used to estimate the blended effective price. </w:t>
      </w:r>
      <w:r w:rsidR="006346BE">
        <w:t>T</w:t>
      </w:r>
      <w:r w:rsidR="00DB203B">
        <w:t xml:space="preserve">he PBAC considered that a </w:t>
      </w:r>
      <w:r w:rsidR="001D6F6D">
        <w:rPr>
          <w:noProof/>
          <w:color w:val="000000"/>
          <w:highlight w:val="black"/>
        </w:rPr>
        <w:t>'''''''''</w:t>
      </w:r>
      <w:r w:rsidR="00DB203B">
        <w:t xml:space="preserve">% BSC </w:t>
      </w:r>
      <w:r w:rsidR="00DB203B" w:rsidRPr="001172EE">
        <w:t xml:space="preserve">and </w:t>
      </w:r>
      <w:proofErr w:type="gramStart"/>
      <w:r w:rsidR="001D6F6D">
        <w:rPr>
          <w:noProof/>
          <w:color w:val="000000"/>
          <w:highlight w:val="black"/>
        </w:rPr>
        <w:t>''''''''</w:t>
      </w:r>
      <w:r w:rsidR="00DB203B" w:rsidRPr="001172EE">
        <w:t>%</w:t>
      </w:r>
      <w:proofErr w:type="gramEnd"/>
      <w:r w:rsidR="00DB203B" w:rsidRPr="001172EE">
        <w:t xml:space="preserve"> thalidomide</w:t>
      </w:r>
      <w:r w:rsidR="00DB203B">
        <w:t xml:space="preserve"> split would be </w:t>
      </w:r>
      <w:r w:rsidRPr="004761DF">
        <w:t>reasonable.</w:t>
      </w:r>
    </w:p>
    <w:p w:rsidR="004761DF" w:rsidRPr="004761DF" w:rsidRDefault="004761DF" w:rsidP="0023263B">
      <w:pPr>
        <w:pStyle w:val="ListParagraph"/>
        <w:widowControl/>
        <w:numPr>
          <w:ilvl w:val="1"/>
          <w:numId w:val="2"/>
        </w:numPr>
        <w:spacing w:before="120"/>
      </w:pPr>
      <w:r w:rsidRPr="004761DF">
        <w:rPr>
          <w:rFonts w:asciiTheme="minorHAnsi" w:hAnsiTheme="minorHAnsi" w:cstheme="minorHAnsi"/>
        </w:rPr>
        <w:t xml:space="preserve">The resubmission assumed that the expected prescriber behaviour after </w:t>
      </w:r>
      <w:proofErr w:type="spellStart"/>
      <w:r w:rsidRPr="004761DF">
        <w:rPr>
          <w:rFonts w:asciiTheme="minorHAnsi" w:hAnsiTheme="minorHAnsi" w:cstheme="minorHAnsi"/>
        </w:rPr>
        <w:t>lenalidomide</w:t>
      </w:r>
      <w:proofErr w:type="spellEnd"/>
      <w:r w:rsidRPr="004761DF">
        <w:rPr>
          <w:rFonts w:asciiTheme="minorHAnsi" w:hAnsiTheme="minorHAnsi" w:cstheme="minorHAnsi"/>
        </w:rPr>
        <w:t xml:space="preserve"> was listed would be </w:t>
      </w:r>
      <w:r w:rsidR="001D6F6D">
        <w:rPr>
          <w:rFonts w:asciiTheme="minorHAnsi" w:hAnsiTheme="minorHAnsi" w:cstheme="minorHAnsi"/>
          <w:noProof/>
          <w:color w:val="000000"/>
          <w:highlight w:val="black"/>
        </w:rPr>
        <w:t>''''''</w:t>
      </w:r>
      <w:r w:rsidRPr="004761DF">
        <w:rPr>
          <w:rFonts w:asciiTheme="minorHAnsi" w:hAnsiTheme="minorHAnsi" w:cstheme="minorHAnsi"/>
        </w:rPr>
        <w:t xml:space="preserve">% of patients would receive </w:t>
      </w:r>
      <w:proofErr w:type="spellStart"/>
      <w:r w:rsidRPr="004761DF">
        <w:rPr>
          <w:rFonts w:asciiTheme="minorHAnsi" w:hAnsiTheme="minorHAnsi" w:cstheme="minorHAnsi"/>
        </w:rPr>
        <w:t>lenalidomide</w:t>
      </w:r>
      <w:proofErr w:type="spellEnd"/>
      <w:r w:rsidRPr="004761DF">
        <w:rPr>
          <w:rFonts w:asciiTheme="minorHAnsi" w:hAnsiTheme="minorHAnsi" w:cstheme="minorHAnsi"/>
        </w:rPr>
        <w:t xml:space="preserve">, </w:t>
      </w:r>
      <w:proofErr w:type="gramStart"/>
      <w:r w:rsidR="001D6F6D">
        <w:rPr>
          <w:rFonts w:asciiTheme="minorHAnsi" w:hAnsiTheme="minorHAnsi" w:cstheme="minorHAnsi"/>
          <w:noProof/>
          <w:color w:val="000000"/>
          <w:highlight w:val="black"/>
        </w:rPr>
        <w:t>''''''</w:t>
      </w:r>
      <w:r w:rsidRPr="004761DF">
        <w:rPr>
          <w:rFonts w:asciiTheme="minorHAnsi" w:hAnsiTheme="minorHAnsi" w:cstheme="minorHAnsi"/>
        </w:rPr>
        <w:t>%</w:t>
      </w:r>
      <w:proofErr w:type="gramEnd"/>
      <w:r w:rsidRPr="004761DF">
        <w:rPr>
          <w:rFonts w:asciiTheme="minorHAnsi" w:hAnsiTheme="minorHAnsi" w:cstheme="minorHAnsi"/>
        </w:rPr>
        <w:t xml:space="preserve"> thalidomide </w:t>
      </w:r>
      <w:r w:rsidRPr="004761DF">
        <w:rPr>
          <w:rFonts w:asciiTheme="minorHAnsi" w:hAnsiTheme="minorHAnsi" w:cstheme="minorHAnsi"/>
        </w:rPr>
        <w:lastRenderedPageBreak/>
        <w:t xml:space="preserve">and </w:t>
      </w:r>
      <w:r w:rsidR="001D6F6D">
        <w:rPr>
          <w:rFonts w:asciiTheme="minorHAnsi" w:hAnsiTheme="minorHAnsi" w:cstheme="minorHAnsi"/>
          <w:noProof/>
          <w:color w:val="000000"/>
          <w:highlight w:val="black"/>
        </w:rPr>
        <w:t>'''''</w:t>
      </w:r>
      <w:r w:rsidRPr="004761DF">
        <w:rPr>
          <w:rFonts w:asciiTheme="minorHAnsi" w:hAnsiTheme="minorHAnsi" w:cstheme="minorHAnsi"/>
        </w:rPr>
        <w:t xml:space="preserve">% BSC. Upon inspecting the output of the model, it appeared that </w:t>
      </w:r>
      <w:proofErr w:type="spellStart"/>
      <w:r w:rsidRPr="004761DF">
        <w:rPr>
          <w:rFonts w:asciiTheme="minorHAnsi" w:hAnsiTheme="minorHAnsi" w:cstheme="minorHAnsi"/>
        </w:rPr>
        <w:t>lenalidomide</w:t>
      </w:r>
      <w:proofErr w:type="spellEnd"/>
      <w:r w:rsidRPr="004761DF">
        <w:rPr>
          <w:rFonts w:asciiTheme="minorHAnsi" w:hAnsiTheme="minorHAnsi" w:cstheme="minorHAnsi"/>
        </w:rPr>
        <w:t xml:space="preserve"> use would start at </w:t>
      </w:r>
      <w:r w:rsidR="001D6F6D">
        <w:rPr>
          <w:rFonts w:asciiTheme="minorHAnsi" w:hAnsiTheme="minorHAnsi" w:cstheme="minorHAnsi"/>
          <w:noProof/>
          <w:color w:val="000000"/>
          <w:highlight w:val="black"/>
        </w:rPr>
        <w:t>'''''</w:t>
      </w:r>
      <w:r w:rsidRPr="004761DF">
        <w:rPr>
          <w:rFonts w:asciiTheme="minorHAnsi" w:hAnsiTheme="minorHAnsi" w:cstheme="minorHAnsi"/>
        </w:rPr>
        <w:t xml:space="preserve">% in Year 1 and increase </w:t>
      </w:r>
      <w:r w:rsidRPr="001172EE">
        <w:rPr>
          <w:rFonts w:asciiTheme="minorHAnsi" w:hAnsiTheme="minorHAnsi" w:cstheme="minorHAnsi"/>
        </w:rPr>
        <w:t xml:space="preserve">to </w:t>
      </w:r>
      <w:proofErr w:type="gramStart"/>
      <w:r w:rsidR="001D6F6D">
        <w:rPr>
          <w:rFonts w:asciiTheme="minorHAnsi" w:hAnsiTheme="minorHAnsi" w:cstheme="minorHAnsi"/>
          <w:noProof/>
          <w:color w:val="000000"/>
          <w:highlight w:val="black"/>
        </w:rPr>
        <w:t>''''''</w:t>
      </w:r>
      <w:r w:rsidRPr="001172EE">
        <w:rPr>
          <w:rFonts w:asciiTheme="minorHAnsi" w:hAnsiTheme="minorHAnsi" w:cstheme="minorHAnsi"/>
        </w:rPr>
        <w:t>%</w:t>
      </w:r>
      <w:proofErr w:type="gramEnd"/>
      <w:r w:rsidRPr="001172EE">
        <w:rPr>
          <w:rFonts w:asciiTheme="minorHAnsi" w:hAnsiTheme="minorHAnsi" w:cstheme="minorHAnsi"/>
        </w:rPr>
        <w:t xml:space="preserve"> in</w:t>
      </w:r>
      <w:r w:rsidRPr="004761DF">
        <w:rPr>
          <w:rFonts w:asciiTheme="minorHAnsi" w:hAnsiTheme="minorHAnsi" w:cstheme="minorHAnsi"/>
        </w:rPr>
        <w:t xml:space="preserve"> Year 6. </w:t>
      </w:r>
    </w:p>
    <w:p w:rsidR="004761DF" w:rsidRPr="004761DF" w:rsidRDefault="004761DF" w:rsidP="0023263B">
      <w:pPr>
        <w:pStyle w:val="ListParagraph"/>
        <w:widowControl/>
        <w:numPr>
          <w:ilvl w:val="1"/>
          <w:numId w:val="2"/>
        </w:numPr>
        <w:spacing w:before="120"/>
      </w:pPr>
      <w:r w:rsidRPr="004761DF">
        <w:rPr>
          <w:rFonts w:asciiTheme="minorHAnsi" w:hAnsiTheme="minorHAnsi" w:cstheme="minorHAnsi"/>
        </w:rPr>
        <w:t>The</w:t>
      </w:r>
      <w:r w:rsidRPr="004761DF">
        <w:rPr>
          <w:rFonts w:asciiTheme="minorHAnsi" w:hAnsiTheme="minorHAnsi" w:cstheme="minorHAnsi"/>
          <w:i/>
        </w:rPr>
        <w:t xml:space="preserve"> </w:t>
      </w:r>
      <w:r w:rsidRPr="004761DF">
        <w:rPr>
          <w:rFonts w:asciiTheme="minorHAnsi" w:hAnsiTheme="minorHAnsi" w:cstheme="minorHAnsi"/>
        </w:rPr>
        <w:t xml:space="preserve">assumed time on therapy with </w:t>
      </w:r>
      <w:proofErr w:type="spellStart"/>
      <w:r w:rsidRPr="004761DF">
        <w:rPr>
          <w:rFonts w:asciiTheme="minorHAnsi" w:hAnsiTheme="minorHAnsi" w:cstheme="minorHAnsi"/>
        </w:rPr>
        <w:t>lenalidomide</w:t>
      </w:r>
      <w:proofErr w:type="spellEnd"/>
      <w:r w:rsidRPr="004761DF">
        <w:rPr>
          <w:rFonts w:asciiTheme="minorHAnsi" w:hAnsiTheme="minorHAnsi" w:cstheme="minorHAnsi"/>
        </w:rPr>
        <w:t xml:space="preserve"> was </w:t>
      </w:r>
      <w:r w:rsidR="001D6F6D">
        <w:rPr>
          <w:rFonts w:asciiTheme="minorHAnsi" w:hAnsiTheme="minorHAnsi" w:cstheme="minorHAnsi"/>
          <w:noProof/>
          <w:color w:val="000000"/>
          <w:highlight w:val="black"/>
        </w:rPr>
        <w:t>'''''''</w:t>
      </w:r>
      <w:r w:rsidRPr="004761DF">
        <w:rPr>
          <w:rFonts w:asciiTheme="minorHAnsi" w:hAnsiTheme="minorHAnsi" w:cstheme="minorHAnsi"/>
        </w:rPr>
        <w:t xml:space="preserve"> years based on a median duration of treatment of </w:t>
      </w:r>
      <w:r w:rsidR="001D6F6D">
        <w:rPr>
          <w:rFonts w:asciiTheme="minorHAnsi" w:hAnsiTheme="minorHAnsi" w:cstheme="minorHAnsi"/>
          <w:noProof/>
          <w:color w:val="000000"/>
          <w:highlight w:val="black"/>
        </w:rPr>
        <w:t>'''''</w:t>
      </w:r>
      <w:r w:rsidRPr="004761DF">
        <w:rPr>
          <w:rFonts w:asciiTheme="minorHAnsi" w:hAnsiTheme="minorHAnsi" w:cstheme="minorHAnsi"/>
        </w:rPr>
        <w:t xml:space="preserve"> months derived from the </w:t>
      </w:r>
      <w:proofErr w:type="spellStart"/>
      <w:r w:rsidRPr="004761DF">
        <w:rPr>
          <w:rFonts w:asciiTheme="minorHAnsi" w:hAnsiTheme="minorHAnsi" w:cstheme="minorHAnsi"/>
        </w:rPr>
        <w:t>TreeAge</w:t>
      </w:r>
      <w:proofErr w:type="spellEnd"/>
      <w:r w:rsidRPr="004761DF">
        <w:rPr>
          <w:rFonts w:asciiTheme="minorHAnsi" w:hAnsiTheme="minorHAnsi" w:cstheme="minorHAnsi"/>
        </w:rPr>
        <w:t xml:space="preserve"> model. </w:t>
      </w:r>
      <w:r w:rsidRPr="00DB203B">
        <w:rPr>
          <w:rFonts w:asciiTheme="minorHAnsi" w:hAnsiTheme="minorHAnsi" w:cstheme="minorHAnsi"/>
        </w:rPr>
        <w:t>DUSC noted that this assumption could not be verified and was longer than the median (</w:t>
      </w:r>
      <w:r w:rsidR="001D6F6D">
        <w:rPr>
          <w:rFonts w:asciiTheme="minorHAnsi" w:hAnsiTheme="minorHAnsi" w:cstheme="minorHAnsi"/>
          <w:noProof/>
          <w:color w:val="000000"/>
          <w:highlight w:val="black"/>
        </w:rPr>
        <w:t>''''''''</w:t>
      </w:r>
      <w:r w:rsidRPr="00DB203B">
        <w:rPr>
          <w:rFonts w:asciiTheme="minorHAnsi" w:hAnsiTheme="minorHAnsi" w:cstheme="minorHAnsi"/>
        </w:rPr>
        <w:t xml:space="preserve"> months) and mean (</w:t>
      </w:r>
      <w:r w:rsidR="001D6F6D">
        <w:rPr>
          <w:rFonts w:asciiTheme="minorHAnsi" w:hAnsiTheme="minorHAnsi" w:cstheme="minorHAnsi"/>
          <w:noProof/>
          <w:color w:val="000000"/>
          <w:highlight w:val="black"/>
        </w:rPr>
        <w:t>'''''''''</w:t>
      </w:r>
      <w:r w:rsidRPr="00DB203B">
        <w:rPr>
          <w:rFonts w:asciiTheme="minorHAnsi" w:hAnsiTheme="minorHAnsi" w:cstheme="minorHAnsi"/>
        </w:rPr>
        <w:t xml:space="preserve"> months) duration of treatment observed in the pivotal CALGB trial. DUSC considered that for the base case, it would be appropriate to base the treatment duration on the mean time on therapy (</w:t>
      </w:r>
      <w:r w:rsidR="001D6F6D">
        <w:rPr>
          <w:rFonts w:asciiTheme="minorHAnsi" w:hAnsiTheme="minorHAnsi" w:cstheme="minorHAnsi"/>
          <w:noProof/>
          <w:color w:val="000000"/>
          <w:highlight w:val="black"/>
        </w:rPr>
        <w:t>'''''''''</w:t>
      </w:r>
      <w:r w:rsidRPr="00DB203B">
        <w:rPr>
          <w:rFonts w:asciiTheme="minorHAnsi" w:hAnsiTheme="minorHAnsi" w:cstheme="minorHAnsi"/>
        </w:rPr>
        <w:t xml:space="preserve"> months) from the CALGB trial</w:t>
      </w:r>
      <w:r w:rsidRPr="004761DF">
        <w:rPr>
          <w:rFonts w:asciiTheme="minorHAnsi" w:hAnsiTheme="minorHAnsi" w:cstheme="minorHAnsi"/>
          <w:i/>
        </w:rPr>
        <w:t>.</w:t>
      </w:r>
    </w:p>
    <w:p w:rsidR="004761DF" w:rsidRPr="00DB203B" w:rsidRDefault="004761DF" w:rsidP="0023263B">
      <w:pPr>
        <w:pStyle w:val="ListParagraph"/>
        <w:widowControl/>
        <w:numPr>
          <w:ilvl w:val="1"/>
          <w:numId w:val="2"/>
        </w:numPr>
        <w:spacing w:before="120"/>
      </w:pPr>
      <w:r w:rsidRPr="004761DF">
        <w:rPr>
          <w:rFonts w:asciiTheme="minorHAnsi" w:hAnsiTheme="minorHAnsi" w:cstheme="minorHAnsi"/>
        </w:rPr>
        <w:t xml:space="preserve">The resubmission assumed that treatment with </w:t>
      </w:r>
      <w:proofErr w:type="spellStart"/>
      <w:r w:rsidRPr="004761DF">
        <w:rPr>
          <w:rFonts w:asciiTheme="minorHAnsi" w:hAnsiTheme="minorHAnsi" w:cstheme="minorHAnsi"/>
        </w:rPr>
        <w:t>lenalidomide</w:t>
      </w:r>
      <w:proofErr w:type="spellEnd"/>
      <w:r w:rsidRPr="004761DF">
        <w:rPr>
          <w:rFonts w:asciiTheme="minorHAnsi" w:hAnsiTheme="minorHAnsi" w:cstheme="minorHAnsi"/>
        </w:rPr>
        <w:t xml:space="preserve"> post-ASCT </w:t>
      </w:r>
      <w:proofErr w:type="gramStart"/>
      <w:r w:rsidRPr="004761DF">
        <w:rPr>
          <w:rFonts w:asciiTheme="minorHAnsi" w:hAnsiTheme="minorHAnsi" w:cstheme="minorHAnsi"/>
        </w:rPr>
        <w:t>will</w:t>
      </w:r>
      <w:proofErr w:type="gramEnd"/>
      <w:r w:rsidRPr="004761DF">
        <w:rPr>
          <w:rFonts w:asciiTheme="minorHAnsi" w:hAnsiTheme="minorHAnsi" w:cstheme="minorHAnsi"/>
        </w:rPr>
        <w:t xml:space="preserve"> displace treatment used in the RRMM setting. While an assumption of displacement is appropriate since </w:t>
      </w:r>
      <w:proofErr w:type="spellStart"/>
      <w:r w:rsidRPr="004761DF">
        <w:rPr>
          <w:rFonts w:asciiTheme="minorHAnsi" w:hAnsiTheme="minorHAnsi" w:cstheme="minorHAnsi"/>
        </w:rPr>
        <w:t>lenalidomide</w:t>
      </w:r>
      <w:proofErr w:type="spellEnd"/>
      <w:r w:rsidRPr="004761DF">
        <w:rPr>
          <w:rFonts w:asciiTheme="minorHAnsi" w:hAnsiTheme="minorHAnsi" w:cstheme="minorHAnsi"/>
        </w:rPr>
        <w:t xml:space="preserve"> will not cure MM but will delay progression to RRMM, the resubmission estimated the change as representing a reduction in use of those other therapies</w:t>
      </w:r>
      <w:r w:rsidR="009D4620">
        <w:rPr>
          <w:rFonts w:asciiTheme="minorHAnsi" w:hAnsiTheme="minorHAnsi" w:cstheme="minorHAnsi"/>
        </w:rPr>
        <w:t>.</w:t>
      </w:r>
      <w:r w:rsidRPr="00DB203B">
        <w:rPr>
          <w:rFonts w:asciiTheme="minorHAnsi" w:hAnsiTheme="minorHAnsi" w:cstheme="minorHAnsi"/>
        </w:rPr>
        <w:t xml:space="preserve">  </w:t>
      </w:r>
      <w:r w:rsidR="008B7E69">
        <w:rPr>
          <w:rFonts w:asciiTheme="minorHAnsi" w:hAnsiTheme="minorHAnsi" w:cstheme="minorHAnsi"/>
        </w:rPr>
        <w:t xml:space="preserve">DUSC </w:t>
      </w:r>
      <w:r w:rsidR="008B7E69" w:rsidRPr="008B7E69">
        <w:rPr>
          <w:rFonts w:asciiTheme="minorHAnsi" w:hAnsiTheme="minorHAnsi" w:cstheme="minorHAnsi"/>
        </w:rPr>
        <w:t xml:space="preserve">considered that the listing of </w:t>
      </w:r>
      <w:proofErr w:type="spellStart"/>
      <w:r w:rsidR="008B7E69" w:rsidRPr="008B7E69">
        <w:rPr>
          <w:rFonts w:asciiTheme="minorHAnsi" w:hAnsiTheme="minorHAnsi" w:cstheme="minorHAnsi"/>
        </w:rPr>
        <w:t>lenalidomide</w:t>
      </w:r>
      <w:proofErr w:type="spellEnd"/>
      <w:r w:rsidR="008B7E69" w:rsidRPr="008B7E69">
        <w:rPr>
          <w:rFonts w:asciiTheme="minorHAnsi" w:hAnsiTheme="minorHAnsi" w:cstheme="minorHAnsi"/>
        </w:rPr>
        <w:t xml:space="preserve"> as maintenance therapy would likely displace rather than replace </w:t>
      </w:r>
      <w:r w:rsidR="006C4E3C">
        <w:rPr>
          <w:rFonts w:asciiTheme="minorHAnsi" w:hAnsiTheme="minorHAnsi" w:cstheme="minorHAnsi"/>
        </w:rPr>
        <w:t xml:space="preserve">existing </w:t>
      </w:r>
      <w:r w:rsidR="008B7E69" w:rsidRPr="008B7E69">
        <w:rPr>
          <w:rFonts w:asciiTheme="minorHAnsi" w:hAnsiTheme="minorHAnsi" w:cstheme="minorHAnsi"/>
        </w:rPr>
        <w:t>treatment for RRMM.</w:t>
      </w:r>
      <w:r w:rsidR="008B7E69" w:rsidRPr="00C11835">
        <w:rPr>
          <w:rFonts w:asciiTheme="minorHAnsi" w:hAnsiTheme="minorHAnsi" w:cstheme="minorHAnsi"/>
        </w:rPr>
        <w:t xml:space="preserve">  </w:t>
      </w:r>
    </w:p>
    <w:p w:rsidR="004761DF" w:rsidRPr="00DB203B" w:rsidRDefault="004761DF" w:rsidP="0023263B">
      <w:pPr>
        <w:pStyle w:val="ListParagraph"/>
        <w:widowControl/>
        <w:numPr>
          <w:ilvl w:val="1"/>
          <w:numId w:val="2"/>
        </w:numPr>
        <w:spacing w:before="120"/>
      </w:pPr>
      <w:r w:rsidRPr="004761DF">
        <w:rPr>
          <w:rFonts w:asciiTheme="minorHAnsi" w:hAnsiTheme="minorHAnsi" w:cstheme="minorHAnsi"/>
        </w:rPr>
        <w:t xml:space="preserve">During the evaluation, a disaggregated estimate of the cost offsets for thalidomide maintenance and thalidomide, </w:t>
      </w:r>
      <w:proofErr w:type="spellStart"/>
      <w:r w:rsidRPr="004761DF">
        <w:rPr>
          <w:rFonts w:asciiTheme="minorHAnsi" w:hAnsiTheme="minorHAnsi" w:cstheme="minorHAnsi"/>
        </w:rPr>
        <w:t>lenalidomide</w:t>
      </w:r>
      <w:proofErr w:type="spellEnd"/>
      <w:r w:rsidRPr="004761DF">
        <w:rPr>
          <w:rFonts w:asciiTheme="minorHAnsi" w:hAnsiTheme="minorHAnsi" w:cstheme="minorHAnsi"/>
        </w:rPr>
        <w:t xml:space="preserve">, </w:t>
      </w:r>
      <w:proofErr w:type="spellStart"/>
      <w:r w:rsidRPr="004761DF">
        <w:rPr>
          <w:rFonts w:asciiTheme="minorHAnsi" w:hAnsiTheme="minorHAnsi" w:cstheme="minorHAnsi"/>
        </w:rPr>
        <w:t>bortezomib</w:t>
      </w:r>
      <w:proofErr w:type="spellEnd"/>
      <w:r w:rsidRPr="004761DF">
        <w:rPr>
          <w:rFonts w:asciiTheme="minorHAnsi" w:hAnsiTheme="minorHAnsi" w:cstheme="minorHAnsi"/>
        </w:rPr>
        <w:t xml:space="preserve">, </w:t>
      </w:r>
      <w:proofErr w:type="spellStart"/>
      <w:r w:rsidRPr="004761DF">
        <w:rPr>
          <w:rFonts w:asciiTheme="minorHAnsi" w:hAnsiTheme="minorHAnsi" w:cstheme="minorHAnsi"/>
        </w:rPr>
        <w:t>carfilzomib</w:t>
      </w:r>
      <w:proofErr w:type="spellEnd"/>
      <w:r w:rsidRPr="004761DF">
        <w:rPr>
          <w:rFonts w:asciiTheme="minorHAnsi" w:hAnsiTheme="minorHAnsi" w:cstheme="minorHAnsi"/>
        </w:rPr>
        <w:t xml:space="preserve"> and </w:t>
      </w:r>
      <w:proofErr w:type="spellStart"/>
      <w:r w:rsidRPr="004761DF">
        <w:rPr>
          <w:rFonts w:asciiTheme="minorHAnsi" w:hAnsiTheme="minorHAnsi" w:cstheme="minorHAnsi"/>
        </w:rPr>
        <w:t>pomalidomide</w:t>
      </w:r>
      <w:proofErr w:type="spellEnd"/>
      <w:r w:rsidRPr="004761DF">
        <w:rPr>
          <w:rFonts w:asciiTheme="minorHAnsi" w:hAnsiTheme="minorHAnsi" w:cstheme="minorHAnsi"/>
        </w:rPr>
        <w:t xml:space="preserve"> in the RRMM setting </w:t>
      </w:r>
      <w:proofErr w:type="gramStart"/>
      <w:r w:rsidRPr="004761DF">
        <w:rPr>
          <w:rFonts w:asciiTheme="minorHAnsi" w:hAnsiTheme="minorHAnsi" w:cstheme="minorHAnsi"/>
        </w:rPr>
        <w:t>was presented</w:t>
      </w:r>
      <w:proofErr w:type="gramEnd"/>
      <w:r w:rsidRPr="004761DF">
        <w:rPr>
          <w:rFonts w:asciiTheme="minorHAnsi" w:hAnsiTheme="minorHAnsi" w:cstheme="minorHAnsi"/>
        </w:rPr>
        <w:t xml:space="preserve">. This showed that the majority of thalidomide was replaced in the maintenance </w:t>
      </w:r>
      <w:proofErr w:type="gramStart"/>
      <w:r w:rsidRPr="004761DF">
        <w:rPr>
          <w:rFonts w:asciiTheme="minorHAnsi" w:hAnsiTheme="minorHAnsi" w:cstheme="minorHAnsi"/>
        </w:rPr>
        <w:t>setting,</w:t>
      </w:r>
      <w:proofErr w:type="gramEnd"/>
      <w:r w:rsidRPr="004761DF">
        <w:rPr>
          <w:rFonts w:asciiTheme="minorHAnsi" w:hAnsiTheme="minorHAnsi" w:cstheme="minorHAnsi"/>
        </w:rPr>
        <w:t xml:space="preserve"> there was a large decrease in the use of </w:t>
      </w:r>
      <w:proofErr w:type="spellStart"/>
      <w:r w:rsidRPr="004761DF">
        <w:rPr>
          <w:rFonts w:asciiTheme="minorHAnsi" w:hAnsiTheme="minorHAnsi" w:cstheme="minorHAnsi"/>
        </w:rPr>
        <w:t>lenalidomide</w:t>
      </w:r>
      <w:proofErr w:type="spellEnd"/>
      <w:r w:rsidRPr="004761DF">
        <w:rPr>
          <w:rFonts w:asciiTheme="minorHAnsi" w:hAnsiTheme="minorHAnsi" w:cstheme="minorHAnsi"/>
        </w:rPr>
        <w:t xml:space="preserve"> in RRMM and an increase in the use of </w:t>
      </w:r>
      <w:proofErr w:type="spellStart"/>
      <w:r w:rsidRPr="004761DF">
        <w:rPr>
          <w:rFonts w:asciiTheme="minorHAnsi" w:hAnsiTheme="minorHAnsi" w:cstheme="minorHAnsi"/>
        </w:rPr>
        <w:t>carfilzomib</w:t>
      </w:r>
      <w:proofErr w:type="spellEnd"/>
      <w:r w:rsidRPr="004761DF">
        <w:rPr>
          <w:rFonts w:asciiTheme="minorHAnsi" w:hAnsiTheme="minorHAnsi" w:cstheme="minorHAnsi"/>
        </w:rPr>
        <w:t xml:space="preserve">. However, there was a decrease in use of </w:t>
      </w:r>
      <w:proofErr w:type="spellStart"/>
      <w:r w:rsidRPr="004761DF">
        <w:rPr>
          <w:rFonts w:asciiTheme="minorHAnsi" w:hAnsiTheme="minorHAnsi" w:cstheme="minorHAnsi"/>
        </w:rPr>
        <w:t>carfilzomib</w:t>
      </w:r>
      <w:proofErr w:type="spellEnd"/>
      <w:r w:rsidRPr="004761DF">
        <w:rPr>
          <w:rFonts w:asciiTheme="minorHAnsi" w:hAnsiTheme="minorHAnsi" w:cstheme="minorHAnsi"/>
        </w:rPr>
        <w:t xml:space="preserve"> in Year 4, which </w:t>
      </w:r>
      <w:proofErr w:type="gramStart"/>
      <w:r w:rsidRPr="004761DF">
        <w:rPr>
          <w:rFonts w:asciiTheme="minorHAnsi" w:hAnsiTheme="minorHAnsi" w:cstheme="minorHAnsi"/>
        </w:rPr>
        <w:t>is not explained</w:t>
      </w:r>
      <w:proofErr w:type="gramEnd"/>
      <w:r w:rsidRPr="004761DF">
        <w:rPr>
          <w:rFonts w:asciiTheme="minorHAnsi" w:hAnsiTheme="minorHAnsi" w:cstheme="minorHAnsi"/>
        </w:rPr>
        <w:t xml:space="preserve"> by the listing of </w:t>
      </w:r>
      <w:proofErr w:type="spellStart"/>
      <w:r w:rsidRPr="004761DF">
        <w:rPr>
          <w:rFonts w:asciiTheme="minorHAnsi" w:hAnsiTheme="minorHAnsi" w:cstheme="minorHAnsi"/>
        </w:rPr>
        <w:t>lenalidomide</w:t>
      </w:r>
      <w:proofErr w:type="spellEnd"/>
      <w:r w:rsidRPr="004761DF">
        <w:rPr>
          <w:rFonts w:asciiTheme="minorHAnsi" w:hAnsiTheme="minorHAnsi" w:cstheme="minorHAnsi"/>
        </w:rPr>
        <w:t xml:space="preserve">. </w:t>
      </w:r>
      <w:r w:rsidRPr="00DB203B">
        <w:rPr>
          <w:rFonts w:asciiTheme="minorHAnsi" w:hAnsiTheme="minorHAnsi" w:cstheme="minorHAnsi"/>
        </w:rPr>
        <w:t xml:space="preserve">Given this, DUSC questioned the reliability of the modelling in estimating the impact of </w:t>
      </w:r>
      <w:proofErr w:type="spellStart"/>
      <w:r w:rsidR="000833A4" w:rsidRPr="00DB203B">
        <w:rPr>
          <w:rFonts w:asciiTheme="minorHAnsi" w:hAnsiTheme="minorHAnsi" w:cstheme="minorHAnsi"/>
        </w:rPr>
        <w:t>len</w:t>
      </w:r>
      <w:r w:rsidR="000833A4">
        <w:rPr>
          <w:rFonts w:asciiTheme="minorHAnsi" w:hAnsiTheme="minorHAnsi" w:cstheme="minorHAnsi"/>
        </w:rPr>
        <w:t>a</w:t>
      </w:r>
      <w:r w:rsidR="000833A4" w:rsidRPr="00DB203B">
        <w:rPr>
          <w:rFonts w:asciiTheme="minorHAnsi" w:hAnsiTheme="minorHAnsi" w:cstheme="minorHAnsi"/>
        </w:rPr>
        <w:t>lidomide</w:t>
      </w:r>
      <w:proofErr w:type="spellEnd"/>
      <w:r w:rsidRPr="00DB203B">
        <w:rPr>
          <w:rFonts w:asciiTheme="minorHAnsi" w:hAnsiTheme="minorHAnsi" w:cstheme="minorHAnsi"/>
        </w:rPr>
        <w:t xml:space="preserve"> listing on subsequent treatment for RRMM.</w:t>
      </w:r>
    </w:p>
    <w:p w:rsidR="00A5228B" w:rsidRDefault="00A5228B" w:rsidP="0023263B">
      <w:pPr>
        <w:pStyle w:val="ListParagraph"/>
        <w:widowControl/>
        <w:numPr>
          <w:ilvl w:val="1"/>
          <w:numId w:val="2"/>
        </w:numPr>
        <w:spacing w:before="120"/>
      </w:pPr>
      <w:r>
        <w:t>The following table summarised the estimates presented in the resubmission an adjusted during evaluation.</w:t>
      </w:r>
    </w:p>
    <w:p w:rsidR="00A5228B" w:rsidRPr="009B5014" w:rsidRDefault="00097671" w:rsidP="00F15D28">
      <w:pPr>
        <w:pStyle w:val="PBACHeading1"/>
        <w:numPr>
          <w:ilvl w:val="0"/>
          <w:numId w:val="0"/>
        </w:numPr>
        <w:spacing w:after="0"/>
        <w:rPr>
          <w:rStyle w:val="CommentReference"/>
          <w:rFonts w:cs="Calibri"/>
          <w:b/>
          <w:szCs w:val="20"/>
        </w:rPr>
      </w:pPr>
      <w:r>
        <w:rPr>
          <w:rStyle w:val="CommentReference"/>
          <w:rFonts w:cs="Calibri"/>
          <w:b/>
          <w:szCs w:val="20"/>
        </w:rPr>
        <w:lastRenderedPageBreak/>
        <w:t>Table 30</w:t>
      </w:r>
      <w:r w:rsidR="00A5228B" w:rsidRPr="009B5014">
        <w:rPr>
          <w:rStyle w:val="CommentReference"/>
          <w:rFonts w:cs="Calibri"/>
          <w:b/>
          <w:szCs w:val="20"/>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0: Estimated use and financial implications"/>
      </w:tblPr>
      <w:tblGrid>
        <w:gridCol w:w="2696"/>
        <w:gridCol w:w="914"/>
        <w:gridCol w:w="1063"/>
        <w:gridCol w:w="1070"/>
        <w:gridCol w:w="1070"/>
        <w:gridCol w:w="1063"/>
        <w:gridCol w:w="1063"/>
      </w:tblGrid>
      <w:tr w:rsidR="00A5228B" w:rsidRPr="00C11835" w:rsidTr="00C668FB">
        <w:trPr>
          <w:tblHeader/>
        </w:trPr>
        <w:tc>
          <w:tcPr>
            <w:tcW w:w="1663" w:type="pct"/>
            <w:shd w:val="clear" w:color="auto" w:fill="auto"/>
            <w:vAlign w:val="center"/>
          </w:tcPr>
          <w:p w:rsidR="00A5228B" w:rsidRPr="00C11835" w:rsidRDefault="00A5228B" w:rsidP="00F15D28">
            <w:pPr>
              <w:pStyle w:val="Tabletext"/>
              <w:keepNext/>
              <w:rPr>
                <w:rFonts w:cstheme="minorHAnsi"/>
              </w:rPr>
            </w:pPr>
          </w:p>
        </w:tc>
        <w:tc>
          <w:tcPr>
            <w:tcW w:w="556" w:type="pct"/>
            <w:shd w:val="clear" w:color="auto" w:fill="auto"/>
            <w:vAlign w:val="center"/>
          </w:tcPr>
          <w:p w:rsidR="00A5228B" w:rsidRPr="00C11835" w:rsidRDefault="00A5228B" w:rsidP="00F15D28">
            <w:pPr>
              <w:pStyle w:val="Tabletext"/>
              <w:keepNext/>
              <w:jc w:val="center"/>
              <w:rPr>
                <w:rFonts w:cstheme="minorHAnsi"/>
                <w:b/>
              </w:rPr>
            </w:pPr>
            <w:r w:rsidRPr="00C11835">
              <w:rPr>
                <w:rFonts w:cstheme="minorHAnsi"/>
                <w:b/>
              </w:rPr>
              <w:t>Year 1</w:t>
            </w:r>
          </w:p>
        </w:tc>
        <w:tc>
          <w:tcPr>
            <w:tcW w:w="555" w:type="pct"/>
            <w:shd w:val="clear" w:color="auto" w:fill="auto"/>
            <w:vAlign w:val="center"/>
          </w:tcPr>
          <w:p w:rsidR="00A5228B" w:rsidRPr="00C11835" w:rsidRDefault="00A5228B" w:rsidP="00F15D28">
            <w:pPr>
              <w:pStyle w:val="Tabletext"/>
              <w:keepNext/>
              <w:jc w:val="center"/>
              <w:rPr>
                <w:rFonts w:cstheme="minorHAnsi"/>
                <w:b/>
              </w:rPr>
            </w:pPr>
            <w:r w:rsidRPr="00C11835">
              <w:rPr>
                <w:rFonts w:cstheme="minorHAnsi"/>
                <w:b/>
              </w:rPr>
              <w:t>Year 2</w:t>
            </w:r>
          </w:p>
        </w:tc>
        <w:tc>
          <w:tcPr>
            <w:tcW w:w="555" w:type="pct"/>
            <w:shd w:val="clear" w:color="auto" w:fill="auto"/>
            <w:vAlign w:val="center"/>
          </w:tcPr>
          <w:p w:rsidR="00A5228B" w:rsidRPr="00C11835" w:rsidRDefault="00A5228B" w:rsidP="00F15D28">
            <w:pPr>
              <w:pStyle w:val="Tabletext"/>
              <w:keepNext/>
              <w:jc w:val="center"/>
              <w:rPr>
                <w:rFonts w:cstheme="minorHAnsi"/>
                <w:b/>
              </w:rPr>
            </w:pPr>
            <w:r w:rsidRPr="00C11835">
              <w:rPr>
                <w:rFonts w:cstheme="minorHAnsi"/>
                <w:b/>
              </w:rPr>
              <w:t>Year 3</w:t>
            </w:r>
          </w:p>
        </w:tc>
        <w:tc>
          <w:tcPr>
            <w:tcW w:w="554" w:type="pct"/>
            <w:shd w:val="clear" w:color="auto" w:fill="auto"/>
            <w:vAlign w:val="center"/>
          </w:tcPr>
          <w:p w:rsidR="00A5228B" w:rsidRPr="00C11835" w:rsidRDefault="00A5228B" w:rsidP="00F15D28">
            <w:pPr>
              <w:pStyle w:val="Tabletext"/>
              <w:keepNext/>
              <w:jc w:val="center"/>
              <w:rPr>
                <w:rFonts w:cstheme="minorHAnsi"/>
                <w:b/>
              </w:rPr>
            </w:pPr>
            <w:r w:rsidRPr="00C11835">
              <w:rPr>
                <w:rFonts w:cstheme="minorHAnsi"/>
                <w:b/>
              </w:rPr>
              <w:t>Year 4</w:t>
            </w:r>
          </w:p>
        </w:tc>
        <w:tc>
          <w:tcPr>
            <w:tcW w:w="555" w:type="pct"/>
            <w:shd w:val="clear" w:color="auto" w:fill="auto"/>
            <w:vAlign w:val="center"/>
          </w:tcPr>
          <w:p w:rsidR="00A5228B" w:rsidRPr="00C11835" w:rsidRDefault="00A5228B" w:rsidP="00F15D28">
            <w:pPr>
              <w:pStyle w:val="Tabletext"/>
              <w:keepNext/>
              <w:jc w:val="center"/>
              <w:rPr>
                <w:rFonts w:cstheme="minorHAnsi"/>
                <w:b/>
              </w:rPr>
            </w:pPr>
            <w:r w:rsidRPr="00C11835">
              <w:rPr>
                <w:rFonts w:cstheme="minorHAnsi"/>
                <w:b/>
              </w:rPr>
              <w:t>Year 5</w:t>
            </w:r>
          </w:p>
        </w:tc>
        <w:tc>
          <w:tcPr>
            <w:tcW w:w="563" w:type="pct"/>
            <w:shd w:val="clear" w:color="auto" w:fill="auto"/>
          </w:tcPr>
          <w:p w:rsidR="00A5228B" w:rsidRPr="00C11835" w:rsidRDefault="00A5228B" w:rsidP="00F15D28">
            <w:pPr>
              <w:pStyle w:val="Tabletext"/>
              <w:keepNext/>
              <w:jc w:val="center"/>
              <w:rPr>
                <w:rFonts w:cstheme="minorHAnsi"/>
                <w:b/>
              </w:rPr>
            </w:pPr>
            <w:r w:rsidRPr="00C11835">
              <w:rPr>
                <w:rFonts w:cstheme="minorHAnsi"/>
                <w:b/>
              </w:rPr>
              <w:t>Year 6</w:t>
            </w:r>
          </w:p>
        </w:tc>
      </w:tr>
      <w:tr w:rsidR="00A5228B" w:rsidRPr="00C11835" w:rsidTr="00C668FB">
        <w:tc>
          <w:tcPr>
            <w:tcW w:w="5000" w:type="pct"/>
            <w:gridSpan w:val="7"/>
            <w:shd w:val="clear" w:color="auto" w:fill="auto"/>
            <w:vAlign w:val="center"/>
          </w:tcPr>
          <w:p w:rsidR="00A5228B" w:rsidRPr="00C11835" w:rsidRDefault="00A5228B" w:rsidP="00F15D28">
            <w:pPr>
              <w:pStyle w:val="Tabletext"/>
              <w:keepNext/>
              <w:rPr>
                <w:rFonts w:cstheme="minorHAnsi"/>
                <w:b/>
                <w:bCs/>
              </w:rPr>
            </w:pPr>
            <w:r w:rsidRPr="00C11835">
              <w:rPr>
                <w:rFonts w:cstheme="minorHAnsi"/>
                <w:b/>
                <w:bCs/>
              </w:rPr>
              <w:t>Estimated extent of use</w:t>
            </w:r>
          </w:p>
        </w:tc>
      </w:tr>
      <w:tr w:rsidR="00A5228B" w:rsidRPr="00C11835" w:rsidTr="00C668FB">
        <w:tc>
          <w:tcPr>
            <w:tcW w:w="1663" w:type="pct"/>
            <w:shd w:val="clear" w:color="auto" w:fill="auto"/>
          </w:tcPr>
          <w:p w:rsidR="00A5228B" w:rsidRPr="00C11835" w:rsidRDefault="00A5228B" w:rsidP="00F15D28">
            <w:pPr>
              <w:pStyle w:val="Tabletext"/>
              <w:keepNext/>
              <w:rPr>
                <w:rFonts w:cstheme="minorHAnsi"/>
              </w:rPr>
            </w:pPr>
            <w:r w:rsidRPr="00C11835">
              <w:rPr>
                <w:rFonts w:cstheme="minorHAnsi"/>
              </w:rPr>
              <w:t>Eligible patient months</w:t>
            </w:r>
          </w:p>
        </w:tc>
        <w:tc>
          <w:tcPr>
            <w:tcW w:w="556" w:type="pct"/>
            <w:tcBorders>
              <w:top w:val="single" w:sz="4" w:space="0" w:color="auto"/>
              <w:left w:val="nil"/>
              <w:bottom w:val="single" w:sz="4" w:space="0" w:color="auto"/>
              <w:right w:val="single" w:sz="4" w:space="0" w:color="auto"/>
            </w:tcBorders>
            <w:shd w:val="clear" w:color="auto" w:fill="auto"/>
          </w:tcPr>
          <w:p w:rsidR="00A5228B" w:rsidRPr="001D6F6D" w:rsidRDefault="001D6F6D" w:rsidP="00F15D28">
            <w:pPr>
              <w:pStyle w:val="Tabletext"/>
              <w:keepNext/>
              <w:jc w:val="center"/>
              <w:rPr>
                <w:rFonts w:cstheme="minorHAnsi"/>
                <w:highlight w:val="black"/>
              </w:rPr>
            </w:pPr>
            <w:r>
              <w:rPr>
                <w:rFonts w:cstheme="minorHAnsi"/>
                <w:noProof/>
                <w:color w:val="000000"/>
                <w:highlight w:val="black"/>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A5228B" w:rsidRPr="001D6F6D" w:rsidRDefault="001D6F6D" w:rsidP="00F15D28">
            <w:pPr>
              <w:pStyle w:val="Tabletext"/>
              <w:keepNext/>
              <w:jc w:val="center"/>
              <w:rPr>
                <w:rFonts w:cstheme="minorHAnsi"/>
                <w:highlight w:val="black"/>
              </w:rPr>
            </w:pPr>
            <w:r>
              <w:rPr>
                <w:rFonts w:cstheme="minorHAnsi"/>
                <w:noProof/>
                <w:color w:val="000000"/>
                <w:highlight w:val="black"/>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A5228B" w:rsidRPr="001D6F6D" w:rsidRDefault="001D6F6D" w:rsidP="00F15D28">
            <w:pPr>
              <w:pStyle w:val="Tabletext"/>
              <w:keepNext/>
              <w:jc w:val="center"/>
              <w:rPr>
                <w:rFonts w:cstheme="minorHAnsi"/>
                <w:highlight w:val="black"/>
              </w:rPr>
            </w:pPr>
            <w:r>
              <w:rPr>
                <w:rFonts w:cstheme="minorHAnsi"/>
                <w:noProof/>
                <w:color w:val="000000"/>
                <w:highlight w:val="black"/>
              </w:rPr>
              <w:t>''''''''''''''''</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A5228B" w:rsidRPr="001D6F6D" w:rsidRDefault="001D6F6D" w:rsidP="00F15D28">
            <w:pPr>
              <w:pStyle w:val="Tabletext"/>
              <w:keepNext/>
              <w:jc w:val="center"/>
              <w:rPr>
                <w:rFonts w:cstheme="minorHAnsi"/>
                <w:highlight w:val="black"/>
              </w:rPr>
            </w:pPr>
            <w:r>
              <w:rPr>
                <w:rFonts w:cstheme="minorHAnsi"/>
                <w:noProof/>
                <w:color w:val="000000"/>
                <w:highlight w:val="black"/>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A5228B" w:rsidRPr="001D6F6D" w:rsidRDefault="001D6F6D" w:rsidP="00F15D28">
            <w:pPr>
              <w:pStyle w:val="Tabletext"/>
              <w:keepNext/>
              <w:jc w:val="center"/>
              <w:rPr>
                <w:rFonts w:cstheme="minorHAnsi"/>
                <w:highlight w:val="black"/>
              </w:rPr>
            </w:pPr>
            <w:r>
              <w:rPr>
                <w:rFonts w:cstheme="minorHAnsi"/>
                <w:noProof/>
                <w:color w:val="000000"/>
                <w:highlight w:val="black"/>
              </w:rPr>
              <w:t>''''''''''''''''</w:t>
            </w:r>
          </w:p>
        </w:tc>
        <w:tc>
          <w:tcPr>
            <w:tcW w:w="563" w:type="pct"/>
            <w:tcBorders>
              <w:top w:val="single" w:sz="4" w:space="0" w:color="auto"/>
              <w:left w:val="single" w:sz="4" w:space="0" w:color="auto"/>
              <w:bottom w:val="single" w:sz="4" w:space="0" w:color="auto"/>
              <w:right w:val="single" w:sz="4" w:space="0" w:color="auto"/>
            </w:tcBorders>
            <w:shd w:val="clear" w:color="auto" w:fill="auto"/>
          </w:tcPr>
          <w:p w:rsidR="00A5228B" w:rsidRPr="001D6F6D" w:rsidRDefault="001D6F6D" w:rsidP="00F15D28">
            <w:pPr>
              <w:pStyle w:val="Tabletext"/>
              <w:keepNext/>
              <w:jc w:val="center"/>
              <w:rPr>
                <w:rFonts w:cstheme="minorHAnsi"/>
                <w:highlight w:val="black"/>
              </w:rPr>
            </w:pPr>
            <w:r>
              <w:rPr>
                <w:rFonts w:cstheme="minorHAnsi"/>
                <w:noProof/>
                <w:color w:val="000000"/>
                <w:highlight w:val="black"/>
              </w:rPr>
              <w:t>'''''''''''''''''</w:t>
            </w:r>
          </w:p>
        </w:tc>
      </w:tr>
      <w:tr w:rsidR="00A5228B" w:rsidRPr="00C11835" w:rsidTr="00C668FB">
        <w:tc>
          <w:tcPr>
            <w:tcW w:w="1663" w:type="pct"/>
            <w:shd w:val="clear" w:color="auto" w:fill="auto"/>
          </w:tcPr>
          <w:p w:rsidR="00A5228B" w:rsidRPr="00C11835" w:rsidRDefault="00A5228B" w:rsidP="00F15D28">
            <w:pPr>
              <w:pStyle w:val="Tabletext"/>
              <w:keepNext/>
              <w:rPr>
                <w:rFonts w:cstheme="minorHAnsi"/>
              </w:rPr>
            </w:pPr>
            <w:r w:rsidRPr="00C11835">
              <w:rPr>
                <w:rFonts w:cstheme="minorHAnsi"/>
              </w:rPr>
              <w:t>Treated patient months</w:t>
            </w:r>
          </w:p>
        </w:tc>
        <w:tc>
          <w:tcPr>
            <w:tcW w:w="556" w:type="pct"/>
            <w:tcBorders>
              <w:top w:val="single" w:sz="4" w:space="0" w:color="auto"/>
              <w:left w:val="nil"/>
              <w:bottom w:val="single" w:sz="4" w:space="0" w:color="auto"/>
              <w:right w:val="single" w:sz="4" w:space="0" w:color="auto"/>
            </w:tcBorders>
            <w:shd w:val="clear" w:color="auto" w:fill="auto"/>
          </w:tcPr>
          <w:p w:rsidR="00A5228B" w:rsidRPr="001D6F6D" w:rsidRDefault="001D6F6D" w:rsidP="00F15D28">
            <w:pPr>
              <w:pStyle w:val="Tabletext"/>
              <w:keepNext/>
              <w:jc w:val="center"/>
              <w:rPr>
                <w:rFonts w:cstheme="minorHAnsi"/>
                <w:highlight w:val="black"/>
              </w:rPr>
            </w:pPr>
            <w:r>
              <w:rPr>
                <w:rFonts w:cstheme="minorHAnsi"/>
                <w:noProof/>
                <w:color w:val="000000"/>
                <w:highlight w:val="black"/>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A5228B" w:rsidRPr="001D6F6D" w:rsidRDefault="001D6F6D" w:rsidP="00F15D28">
            <w:pPr>
              <w:pStyle w:val="Tabletext"/>
              <w:keepNext/>
              <w:jc w:val="center"/>
              <w:rPr>
                <w:rFonts w:cstheme="minorHAnsi"/>
                <w:highlight w:val="black"/>
              </w:rPr>
            </w:pPr>
            <w:r>
              <w:rPr>
                <w:rFonts w:cstheme="minorHAnsi"/>
                <w:noProof/>
                <w:color w:val="000000"/>
                <w:highlight w:val="black"/>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A5228B" w:rsidRPr="001D6F6D" w:rsidRDefault="001D6F6D" w:rsidP="00F15D28">
            <w:pPr>
              <w:pStyle w:val="Tabletext"/>
              <w:keepNext/>
              <w:jc w:val="center"/>
              <w:rPr>
                <w:rFonts w:cstheme="minorHAnsi"/>
                <w:highlight w:val="black"/>
              </w:rPr>
            </w:pPr>
            <w:r>
              <w:rPr>
                <w:rFonts w:cstheme="minorHAnsi"/>
                <w:noProof/>
                <w:color w:val="000000"/>
                <w:highlight w:val="black"/>
              </w:rPr>
              <w:t>''''''''''''''''</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A5228B" w:rsidRPr="001D6F6D" w:rsidRDefault="001D6F6D" w:rsidP="00F15D28">
            <w:pPr>
              <w:pStyle w:val="Tabletext"/>
              <w:keepNext/>
              <w:jc w:val="center"/>
              <w:rPr>
                <w:rFonts w:cstheme="minorHAnsi"/>
                <w:highlight w:val="black"/>
              </w:rPr>
            </w:pPr>
            <w:r>
              <w:rPr>
                <w:rFonts w:cstheme="minorHAnsi"/>
                <w:noProof/>
                <w:color w:val="000000"/>
                <w:highlight w:val="black"/>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A5228B" w:rsidRPr="001D6F6D" w:rsidRDefault="001D6F6D" w:rsidP="00F15D28">
            <w:pPr>
              <w:pStyle w:val="Tabletext"/>
              <w:keepNext/>
              <w:jc w:val="center"/>
              <w:rPr>
                <w:rFonts w:cstheme="minorHAnsi"/>
                <w:highlight w:val="black"/>
              </w:rPr>
            </w:pPr>
            <w:r>
              <w:rPr>
                <w:rFonts w:cstheme="minorHAnsi"/>
                <w:noProof/>
                <w:color w:val="000000"/>
                <w:highlight w:val="black"/>
              </w:rPr>
              <w:t>'''''''''''''''</w:t>
            </w:r>
          </w:p>
        </w:tc>
        <w:tc>
          <w:tcPr>
            <w:tcW w:w="563" w:type="pct"/>
            <w:tcBorders>
              <w:top w:val="single" w:sz="4" w:space="0" w:color="auto"/>
              <w:left w:val="single" w:sz="4" w:space="0" w:color="auto"/>
              <w:bottom w:val="single" w:sz="4" w:space="0" w:color="auto"/>
              <w:right w:val="single" w:sz="4" w:space="0" w:color="auto"/>
            </w:tcBorders>
            <w:shd w:val="clear" w:color="auto" w:fill="auto"/>
          </w:tcPr>
          <w:p w:rsidR="00A5228B" w:rsidRPr="001D6F6D" w:rsidRDefault="001D6F6D" w:rsidP="00F15D28">
            <w:pPr>
              <w:pStyle w:val="Tabletext"/>
              <w:keepNext/>
              <w:jc w:val="center"/>
              <w:rPr>
                <w:rFonts w:cstheme="minorHAnsi"/>
                <w:highlight w:val="black"/>
              </w:rPr>
            </w:pPr>
            <w:r>
              <w:rPr>
                <w:rFonts w:cstheme="minorHAnsi"/>
                <w:noProof/>
                <w:color w:val="000000"/>
                <w:highlight w:val="black"/>
              </w:rPr>
              <w:t>'''''''''''''''</w:t>
            </w:r>
          </w:p>
        </w:tc>
      </w:tr>
      <w:tr w:rsidR="00A5228B" w:rsidRPr="00C11835" w:rsidTr="00C668FB">
        <w:tc>
          <w:tcPr>
            <w:tcW w:w="1663" w:type="pct"/>
            <w:shd w:val="clear" w:color="auto" w:fill="auto"/>
            <w:vAlign w:val="center"/>
          </w:tcPr>
          <w:p w:rsidR="00A5228B" w:rsidRPr="00C11835" w:rsidRDefault="00A5228B" w:rsidP="00F15D28">
            <w:pPr>
              <w:pStyle w:val="Tabletext"/>
              <w:keepNext/>
              <w:rPr>
                <w:rFonts w:cstheme="minorHAnsi"/>
              </w:rPr>
            </w:pPr>
            <w:r w:rsidRPr="00C11835">
              <w:rPr>
                <w:rFonts w:cstheme="minorHAnsi"/>
              </w:rPr>
              <w:t xml:space="preserve">Number of patients </w:t>
            </w:r>
            <w:proofErr w:type="spellStart"/>
            <w:r w:rsidRPr="00C11835">
              <w:rPr>
                <w:rFonts w:cstheme="minorHAnsi"/>
              </w:rPr>
              <w:t>treated</w:t>
            </w:r>
            <w:r w:rsidRPr="00C11835">
              <w:rPr>
                <w:rFonts w:cstheme="minorHAnsi"/>
                <w:vertAlign w:val="superscript"/>
              </w:rPr>
              <w:t>a</w:t>
            </w:r>
            <w:proofErr w:type="spellEnd"/>
          </w:p>
        </w:tc>
        <w:tc>
          <w:tcPr>
            <w:tcW w:w="556" w:type="pct"/>
            <w:tcBorders>
              <w:top w:val="single" w:sz="4" w:space="0" w:color="auto"/>
              <w:left w:val="nil"/>
              <w:bottom w:val="single" w:sz="4" w:space="0" w:color="auto"/>
              <w:right w:val="single" w:sz="4" w:space="0" w:color="auto"/>
            </w:tcBorders>
            <w:shd w:val="clear" w:color="auto" w:fill="auto"/>
          </w:tcPr>
          <w:p w:rsidR="00A5228B" w:rsidRPr="001D6F6D" w:rsidRDefault="001D6F6D" w:rsidP="00F15D28">
            <w:pPr>
              <w:pStyle w:val="Tabletext"/>
              <w:keepNext/>
              <w:jc w:val="center"/>
              <w:rPr>
                <w:rFonts w:cstheme="minorHAnsi"/>
                <w:highlight w:val="black"/>
              </w:rPr>
            </w:pPr>
            <w:r>
              <w:rPr>
                <w:rFonts w:cstheme="minorHAnsi"/>
                <w:noProof/>
                <w:color w:val="000000"/>
                <w:highlight w:val="black"/>
              </w:rPr>
              <w:t xml:space="preserve"> ''''''''' </w:t>
            </w: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A5228B" w:rsidRPr="001D6F6D" w:rsidRDefault="001D6F6D" w:rsidP="00F15D28">
            <w:pPr>
              <w:pStyle w:val="Tabletext"/>
              <w:keepNext/>
              <w:jc w:val="center"/>
              <w:rPr>
                <w:rFonts w:cstheme="minorHAnsi"/>
                <w:highlight w:val="black"/>
              </w:rPr>
            </w:pPr>
            <w:r>
              <w:rPr>
                <w:rFonts w:cstheme="minorHAnsi"/>
                <w:noProof/>
                <w:color w:val="000000"/>
                <w:highlight w:val="black"/>
              </w:rPr>
              <w:t xml:space="preserve"> '''''''' </w:t>
            </w: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A5228B" w:rsidRPr="001D6F6D" w:rsidRDefault="001D6F6D" w:rsidP="00F15D28">
            <w:pPr>
              <w:pStyle w:val="Tabletext"/>
              <w:keepNext/>
              <w:jc w:val="center"/>
              <w:rPr>
                <w:rFonts w:cstheme="minorHAnsi"/>
                <w:highlight w:val="black"/>
              </w:rPr>
            </w:pPr>
            <w:r>
              <w:rPr>
                <w:rFonts w:cstheme="minorHAnsi"/>
                <w:noProof/>
                <w:color w:val="000000"/>
                <w:highlight w:val="black"/>
              </w:rPr>
              <w:t xml:space="preserve"> '''''''''''' </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A5228B" w:rsidRPr="001D6F6D" w:rsidRDefault="001D6F6D" w:rsidP="00F15D28">
            <w:pPr>
              <w:pStyle w:val="Tabletext"/>
              <w:keepNext/>
              <w:jc w:val="center"/>
              <w:rPr>
                <w:rFonts w:cstheme="minorHAnsi"/>
                <w:highlight w:val="black"/>
              </w:rPr>
            </w:pPr>
            <w:r>
              <w:rPr>
                <w:rFonts w:cstheme="minorHAnsi"/>
                <w:noProof/>
                <w:color w:val="000000"/>
                <w:highlight w:val="black"/>
              </w:rPr>
              <w:t xml:space="preserve"> '''''''''''''' </w:t>
            </w: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A5228B" w:rsidRPr="001D6F6D" w:rsidRDefault="001D6F6D" w:rsidP="00F15D28">
            <w:pPr>
              <w:pStyle w:val="Tabletext"/>
              <w:keepNext/>
              <w:jc w:val="center"/>
              <w:rPr>
                <w:rFonts w:cstheme="minorHAnsi"/>
                <w:highlight w:val="black"/>
              </w:rPr>
            </w:pPr>
            <w:r>
              <w:rPr>
                <w:rFonts w:cstheme="minorHAnsi"/>
                <w:noProof/>
                <w:color w:val="000000"/>
                <w:highlight w:val="black"/>
              </w:rPr>
              <w:t xml:space="preserve"> '''''''''''' </w:t>
            </w:r>
          </w:p>
        </w:tc>
        <w:tc>
          <w:tcPr>
            <w:tcW w:w="563" w:type="pct"/>
            <w:tcBorders>
              <w:top w:val="single" w:sz="4" w:space="0" w:color="auto"/>
              <w:left w:val="single" w:sz="4" w:space="0" w:color="auto"/>
              <w:bottom w:val="single" w:sz="4" w:space="0" w:color="auto"/>
              <w:right w:val="single" w:sz="4" w:space="0" w:color="auto"/>
            </w:tcBorders>
            <w:shd w:val="clear" w:color="auto" w:fill="auto"/>
          </w:tcPr>
          <w:p w:rsidR="00A5228B" w:rsidRPr="001D6F6D" w:rsidRDefault="001D6F6D" w:rsidP="00F15D28">
            <w:pPr>
              <w:pStyle w:val="Tabletext"/>
              <w:keepNext/>
              <w:jc w:val="center"/>
              <w:rPr>
                <w:rFonts w:cstheme="minorHAnsi"/>
                <w:highlight w:val="black"/>
              </w:rPr>
            </w:pPr>
            <w:r>
              <w:rPr>
                <w:rFonts w:cstheme="minorHAnsi"/>
                <w:noProof/>
                <w:color w:val="000000"/>
                <w:highlight w:val="black"/>
              </w:rPr>
              <w:t xml:space="preserve"> '''''''''''''' </w:t>
            </w:r>
          </w:p>
        </w:tc>
      </w:tr>
      <w:tr w:rsidR="00A5228B" w:rsidRPr="00C11835" w:rsidTr="00C668FB">
        <w:tc>
          <w:tcPr>
            <w:tcW w:w="1663" w:type="pct"/>
            <w:shd w:val="clear" w:color="auto" w:fill="auto"/>
          </w:tcPr>
          <w:p w:rsidR="00A5228B" w:rsidRPr="00C11835" w:rsidRDefault="00A5228B" w:rsidP="00F15D28">
            <w:pPr>
              <w:pStyle w:val="Tabletext"/>
              <w:keepNext/>
              <w:rPr>
                <w:rFonts w:cstheme="minorHAnsi"/>
              </w:rPr>
            </w:pPr>
            <w:r w:rsidRPr="00C11835">
              <w:rPr>
                <w:rFonts w:cstheme="minorHAnsi"/>
              </w:rPr>
              <w:t xml:space="preserve">Number of packs </w:t>
            </w:r>
            <w:proofErr w:type="spellStart"/>
            <w:r w:rsidRPr="00C11835">
              <w:rPr>
                <w:rFonts w:cstheme="minorHAnsi"/>
              </w:rPr>
              <w:t>dispensed</w:t>
            </w:r>
            <w:r w:rsidRPr="00C11835">
              <w:rPr>
                <w:rFonts w:cstheme="minorHAnsi"/>
                <w:vertAlign w:val="superscript"/>
              </w:rPr>
              <w:t>b</w:t>
            </w:r>
            <w:proofErr w:type="spellEnd"/>
          </w:p>
        </w:tc>
        <w:tc>
          <w:tcPr>
            <w:tcW w:w="556" w:type="pct"/>
            <w:tcBorders>
              <w:top w:val="single" w:sz="4" w:space="0" w:color="auto"/>
              <w:left w:val="nil"/>
              <w:bottom w:val="single" w:sz="4" w:space="0" w:color="auto"/>
              <w:right w:val="single" w:sz="4" w:space="0" w:color="auto"/>
            </w:tcBorders>
            <w:shd w:val="clear" w:color="auto" w:fill="auto"/>
          </w:tcPr>
          <w:p w:rsidR="00A5228B" w:rsidRPr="001D6F6D" w:rsidRDefault="001D6F6D" w:rsidP="00F15D28">
            <w:pPr>
              <w:pStyle w:val="Tabletext"/>
              <w:keepNext/>
              <w:jc w:val="center"/>
              <w:rPr>
                <w:rFonts w:cstheme="minorHAnsi"/>
                <w:highlight w:val="black"/>
              </w:rPr>
            </w:pPr>
            <w:r>
              <w:rPr>
                <w:rFonts w:cstheme="minorHAnsi"/>
                <w:noProof/>
                <w:color w:val="000000"/>
                <w:highlight w:val="black"/>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A5228B" w:rsidRPr="001D6F6D" w:rsidRDefault="001D6F6D" w:rsidP="00F15D28">
            <w:pPr>
              <w:pStyle w:val="Tabletext"/>
              <w:keepNext/>
              <w:jc w:val="center"/>
              <w:rPr>
                <w:rFonts w:cstheme="minorHAnsi"/>
                <w:highlight w:val="black"/>
              </w:rPr>
            </w:pPr>
            <w:r>
              <w:rPr>
                <w:rFonts w:cstheme="minorHAnsi"/>
                <w:noProof/>
                <w:color w:val="000000"/>
                <w:highlight w:val="black"/>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A5228B" w:rsidRPr="001D6F6D" w:rsidRDefault="001D6F6D" w:rsidP="00F15D28">
            <w:pPr>
              <w:pStyle w:val="Tabletext"/>
              <w:keepNext/>
              <w:jc w:val="center"/>
              <w:rPr>
                <w:rFonts w:cstheme="minorHAnsi"/>
                <w:highlight w:val="black"/>
              </w:rPr>
            </w:pPr>
            <w:r>
              <w:rPr>
                <w:rFonts w:cstheme="minorHAnsi"/>
                <w:noProof/>
                <w:color w:val="000000"/>
                <w:highlight w:val="black"/>
              </w:rPr>
              <w:t>'''''''''''''''''</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A5228B" w:rsidRPr="001D6F6D" w:rsidRDefault="001D6F6D" w:rsidP="00F15D28">
            <w:pPr>
              <w:pStyle w:val="Tabletext"/>
              <w:keepNext/>
              <w:jc w:val="center"/>
              <w:rPr>
                <w:rFonts w:cstheme="minorHAnsi"/>
                <w:highlight w:val="black"/>
              </w:rPr>
            </w:pPr>
            <w:r>
              <w:rPr>
                <w:rFonts w:cstheme="minorHAnsi"/>
                <w:noProof/>
                <w:color w:val="000000"/>
                <w:highlight w:val="black"/>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A5228B" w:rsidRPr="001D6F6D" w:rsidRDefault="001D6F6D" w:rsidP="00F15D28">
            <w:pPr>
              <w:pStyle w:val="Tabletext"/>
              <w:keepNext/>
              <w:jc w:val="center"/>
              <w:rPr>
                <w:rFonts w:cstheme="minorHAnsi"/>
                <w:highlight w:val="black"/>
              </w:rPr>
            </w:pPr>
            <w:r>
              <w:rPr>
                <w:rFonts w:cstheme="minorHAnsi"/>
                <w:noProof/>
                <w:color w:val="000000"/>
                <w:highlight w:val="black"/>
              </w:rPr>
              <w:t>''''''''''''''''</w:t>
            </w:r>
          </w:p>
        </w:tc>
        <w:tc>
          <w:tcPr>
            <w:tcW w:w="563" w:type="pct"/>
            <w:tcBorders>
              <w:top w:val="single" w:sz="4" w:space="0" w:color="auto"/>
              <w:left w:val="single" w:sz="4" w:space="0" w:color="auto"/>
              <w:bottom w:val="single" w:sz="4" w:space="0" w:color="auto"/>
              <w:right w:val="single" w:sz="4" w:space="0" w:color="auto"/>
            </w:tcBorders>
            <w:shd w:val="clear" w:color="auto" w:fill="auto"/>
          </w:tcPr>
          <w:p w:rsidR="00A5228B" w:rsidRPr="001D6F6D" w:rsidRDefault="001D6F6D" w:rsidP="00F15D28">
            <w:pPr>
              <w:pStyle w:val="Tabletext"/>
              <w:keepNext/>
              <w:jc w:val="center"/>
              <w:rPr>
                <w:rFonts w:cstheme="minorHAnsi"/>
                <w:highlight w:val="black"/>
              </w:rPr>
            </w:pPr>
            <w:r>
              <w:rPr>
                <w:rFonts w:cstheme="minorHAnsi"/>
                <w:noProof/>
                <w:color w:val="000000"/>
                <w:highlight w:val="black"/>
              </w:rPr>
              <w:t>''''''''''''''''</w:t>
            </w:r>
          </w:p>
        </w:tc>
      </w:tr>
      <w:tr w:rsidR="00A5228B" w:rsidRPr="00C11835" w:rsidTr="00C668FB">
        <w:tc>
          <w:tcPr>
            <w:tcW w:w="5000" w:type="pct"/>
            <w:gridSpan w:val="7"/>
            <w:shd w:val="clear" w:color="auto" w:fill="auto"/>
            <w:vAlign w:val="center"/>
          </w:tcPr>
          <w:p w:rsidR="00A5228B" w:rsidRPr="00C11835" w:rsidRDefault="00A5228B" w:rsidP="00F15D28">
            <w:pPr>
              <w:pStyle w:val="Tabletext"/>
              <w:keepNext/>
              <w:rPr>
                <w:rFonts w:cstheme="minorHAnsi"/>
                <w:b/>
                <w:bCs/>
              </w:rPr>
            </w:pPr>
            <w:r w:rsidRPr="00C11835">
              <w:rPr>
                <w:rFonts w:cstheme="minorHAnsi"/>
                <w:b/>
                <w:bCs/>
              </w:rPr>
              <w:t xml:space="preserve">Estimated financial implications of </w:t>
            </w:r>
            <w:proofErr w:type="spellStart"/>
            <w:r w:rsidRPr="00C11835">
              <w:rPr>
                <w:rFonts w:cstheme="minorHAnsi"/>
                <w:b/>
                <w:bCs/>
              </w:rPr>
              <w:t>lenalidomide</w:t>
            </w:r>
            <w:r w:rsidRPr="00C11835">
              <w:rPr>
                <w:rFonts w:cstheme="minorHAnsi"/>
                <w:bCs/>
                <w:vertAlign w:val="superscript"/>
              </w:rPr>
              <w:t>c</w:t>
            </w:r>
            <w:proofErr w:type="spellEnd"/>
          </w:p>
        </w:tc>
      </w:tr>
      <w:tr w:rsidR="00A5228B" w:rsidRPr="00C11835" w:rsidTr="00C668FB">
        <w:tc>
          <w:tcPr>
            <w:tcW w:w="1663" w:type="pct"/>
            <w:shd w:val="clear" w:color="auto" w:fill="auto"/>
          </w:tcPr>
          <w:p w:rsidR="00A5228B" w:rsidRPr="00C11835" w:rsidRDefault="00A5228B" w:rsidP="00F15D28">
            <w:pPr>
              <w:pStyle w:val="Tabletext"/>
              <w:keepNext/>
              <w:rPr>
                <w:rFonts w:cstheme="minorHAnsi"/>
              </w:rPr>
            </w:pPr>
            <w:r w:rsidRPr="00C11835">
              <w:rPr>
                <w:rFonts w:cstheme="minorHAnsi"/>
              </w:rPr>
              <w:t>Cost to PBS/RPBS</w:t>
            </w:r>
          </w:p>
        </w:tc>
        <w:tc>
          <w:tcPr>
            <w:tcW w:w="556" w:type="pct"/>
            <w:shd w:val="clear" w:color="auto" w:fill="auto"/>
          </w:tcPr>
          <w:p w:rsidR="00A5228B" w:rsidRPr="001D6F6D" w:rsidRDefault="001D6F6D" w:rsidP="00F15D28">
            <w:pPr>
              <w:pStyle w:val="Tabletext"/>
              <w:keepNext/>
              <w:jc w:val="right"/>
              <w:rPr>
                <w:rFonts w:cstheme="minorHAnsi"/>
                <w:bCs/>
                <w:highlight w:val="black"/>
              </w:rPr>
            </w:pPr>
            <w:r>
              <w:rPr>
                <w:rFonts w:cstheme="minorHAnsi"/>
                <w:noProof/>
                <w:color w:val="000000"/>
                <w:highlight w:val="black"/>
              </w:rPr>
              <w:t xml:space="preserve"> '''''''''''''''''''''''' </w:t>
            </w:r>
          </w:p>
        </w:tc>
        <w:tc>
          <w:tcPr>
            <w:tcW w:w="555" w:type="pct"/>
            <w:shd w:val="clear" w:color="auto" w:fill="auto"/>
          </w:tcPr>
          <w:p w:rsidR="00A5228B" w:rsidRPr="001D6F6D" w:rsidRDefault="001D6F6D" w:rsidP="00F15D28">
            <w:pPr>
              <w:pStyle w:val="Tabletext"/>
              <w:keepNext/>
              <w:jc w:val="right"/>
              <w:rPr>
                <w:rFonts w:cstheme="minorHAnsi"/>
                <w:bCs/>
                <w:highlight w:val="black"/>
              </w:rPr>
            </w:pPr>
            <w:r>
              <w:rPr>
                <w:rFonts w:cstheme="minorHAnsi"/>
                <w:noProof/>
                <w:color w:val="000000"/>
                <w:highlight w:val="black"/>
              </w:rPr>
              <w:t xml:space="preserve">'''''''''''''''''''''''''''''''' </w:t>
            </w:r>
          </w:p>
        </w:tc>
        <w:tc>
          <w:tcPr>
            <w:tcW w:w="555" w:type="pct"/>
            <w:shd w:val="clear" w:color="auto" w:fill="auto"/>
          </w:tcPr>
          <w:p w:rsidR="00A5228B" w:rsidRPr="001D6F6D" w:rsidRDefault="001D6F6D" w:rsidP="00F15D28">
            <w:pPr>
              <w:pStyle w:val="Tabletext"/>
              <w:keepNext/>
              <w:jc w:val="right"/>
              <w:rPr>
                <w:rFonts w:cstheme="minorHAnsi"/>
                <w:bCs/>
                <w:highlight w:val="black"/>
              </w:rPr>
            </w:pPr>
            <w:r>
              <w:rPr>
                <w:rFonts w:cstheme="minorHAnsi"/>
                <w:noProof/>
                <w:color w:val="000000"/>
                <w:highlight w:val="black"/>
              </w:rPr>
              <w:t xml:space="preserve">''''''''''''''''''''''''''''' </w:t>
            </w:r>
          </w:p>
        </w:tc>
        <w:tc>
          <w:tcPr>
            <w:tcW w:w="554" w:type="pct"/>
            <w:shd w:val="clear" w:color="auto" w:fill="auto"/>
          </w:tcPr>
          <w:p w:rsidR="00A5228B" w:rsidRPr="001D6F6D" w:rsidRDefault="001D6F6D" w:rsidP="00F15D28">
            <w:pPr>
              <w:pStyle w:val="Tabletext"/>
              <w:keepNext/>
              <w:jc w:val="right"/>
              <w:rPr>
                <w:rFonts w:cstheme="minorHAnsi"/>
                <w:bCs/>
                <w:highlight w:val="black"/>
              </w:rPr>
            </w:pPr>
            <w:r>
              <w:rPr>
                <w:rFonts w:cstheme="minorHAnsi"/>
                <w:noProof/>
                <w:color w:val="000000"/>
                <w:highlight w:val="black"/>
              </w:rPr>
              <w:t xml:space="preserve">'''''''''''''''''''''''''''''''' </w:t>
            </w:r>
          </w:p>
        </w:tc>
        <w:tc>
          <w:tcPr>
            <w:tcW w:w="555" w:type="pct"/>
            <w:shd w:val="clear" w:color="auto" w:fill="auto"/>
          </w:tcPr>
          <w:p w:rsidR="00A5228B" w:rsidRPr="001D6F6D" w:rsidRDefault="001D6F6D" w:rsidP="00F15D28">
            <w:pPr>
              <w:pStyle w:val="Tabletext"/>
              <w:keepNext/>
              <w:jc w:val="right"/>
              <w:rPr>
                <w:rFonts w:cstheme="minorHAnsi"/>
                <w:bCs/>
                <w:highlight w:val="black"/>
              </w:rPr>
            </w:pPr>
            <w:r>
              <w:rPr>
                <w:rFonts w:cstheme="minorHAnsi"/>
                <w:noProof/>
                <w:color w:val="000000"/>
                <w:highlight w:val="black"/>
              </w:rPr>
              <w:t xml:space="preserve">'''''''''''''''''''''''''''''' </w:t>
            </w:r>
          </w:p>
        </w:tc>
        <w:tc>
          <w:tcPr>
            <w:tcW w:w="563" w:type="pct"/>
            <w:shd w:val="clear" w:color="auto" w:fill="auto"/>
          </w:tcPr>
          <w:p w:rsidR="00A5228B" w:rsidRPr="001D6F6D" w:rsidRDefault="001D6F6D" w:rsidP="00F15D28">
            <w:pPr>
              <w:pStyle w:val="Tabletext"/>
              <w:keepNext/>
              <w:jc w:val="right"/>
              <w:rPr>
                <w:rFonts w:cstheme="minorHAnsi"/>
                <w:bCs/>
                <w:highlight w:val="black"/>
              </w:rPr>
            </w:pPr>
            <w:r>
              <w:rPr>
                <w:rFonts w:cstheme="minorHAnsi"/>
                <w:noProof/>
                <w:color w:val="000000"/>
                <w:highlight w:val="black"/>
              </w:rPr>
              <w:t xml:space="preserve">'''''''''''''''''''''''''''''''' </w:t>
            </w:r>
          </w:p>
        </w:tc>
      </w:tr>
      <w:tr w:rsidR="00A5228B" w:rsidRPr="00C11835" w:rsidTr="00C668FB">
        <w:tc>
          <w:tcPr>
            <w:tcW w:w="1663" w:type="pct"/>
            <w:shd w:val="clear" w:color="auto" w:fill="auto"/>
          </w:tcPr>
          <w:p w:rsidR="00A5228B" w:rsidRPr="00C11835" w:rsidRDefault="00A5228B" w:rsidP="00F15D28">
            <w:pPr>
              <w:pStyle w:val="Tabletext"/>
              <w:keepNext/>
              <w:rPr>
                <w:rFonts w:cstheme="minorHAnsi"/>
              </w:rPr>
            </w:pPr>
            <w:r w:rsidRPr="00C11835">
              <w:rPr>
                <w:rFonts w:cstheme="minorHAnsi"/>
              </w:rPr>
              <w:t>Co-payments</w:t>
            </w:r>
          </w:p>
        </w:tc>
        <w:tc>
          <w:tcPr>
            <w:tcW w:w="556" w:type="pct"/>
            <w:shd w:val="clear" w:color="auto" w:fill="auto"/>
          </w:tcPr>
          <w:p w:rsidR="00A5228B" w:rsidRPr="001D6F6D" w:rsidRDefault="001D6F6D" w:rsidP="00F15D28">
            <w:pPr>
              <w:pStyle w:val="Tabletext"/>
              <w:keepNext/>
              <w:jc w:val="right"/>
              <w:rPr>
                <w:rFonts w:cstheme="minorHAnsi"/>
                <w:bCs/>
                <w:highlight w:val="black"/>
              </w:rPr>
            </w:pPr>
            <w:r>
              <w:rPr>
                <w:rFonts w:cstheme="minorHAnsi"/>
                <w:noProof/>
                <w:color w:val="000000"/>
                <w:highlight w:val="black"/>
              </w:rPr>
              <w:t>''''''''''''''''''''</w:t>
            </w:r>
          </w:p>
        </w:tc>
        <w:tc>
          <w:tcPr>
            <w:tcW w:w="555" w:type="pct"/>
            <w:shd w:val="clear" w:color="auto" w:fill="auto"/>
          </w:tcPr>
          <w:p w:rsidR="00A5228B" w:rsidRPr="001D6F6D" w:rsidRDefault="001D6F6D" w:rsidP="00F15D28">
            <w:pPr>
              <w:pStyle w:val="Tabletext"/>
              <w:keepNext/>
              <w:jc w:val="right"/>
              <w:rPr>
                <w:rFonts w:cstheme="minorHAnsi"/>
                <w:bCs/>
                <w:highlight w:val="black"/>
              </w:rPr>
            </w:pPr>
            <w:r>
              <w:rPr>
                <w:rFonts w:cstheme="minorHAnsi"/>
                <w:noProof/>
                <w:color w:val="000000"/>
                <w:highlight w:val="black"/>
              </w:rPr>
              <w:t>''''''''''''''''''''''</w:t>
            </w:r>
          </w:p>
        </w:tc>
        <w:tc>
          <w:tcPr>
            <w:tcW w:w="555" w:type="pct"/>
            <w:shd w:val="clear" w:color="auto" w:fill="auto"/>
          </w:tcPr>
          <w:p w:rsidR="00A5228B" w:rsidRPr="001D6F6D" w:rsidRDefault="001D6F6D" w:rsidP="00F15D28">
            <w:pPr>
              <w:pStyle w:val="Tabletext"/>
              <w:keepNext/>
              <w:jc w:val="right"/>
              <w:rPr>
                <w:rFonts w:cstheme="minorHAnsi"/>
                <w:bCs/>
                <w:highlight w:val="black"/>
              </w:rPr>
            </w:pPr>
            <w:r>
              <w:rPr>
                <w:rFonts w:cstheme="minorHAnsi"/>
                <w:noProof/>
                <w:color w:val="000000"/>
                <w:highlight w:val="black"/>
              </w:rPr>
              <w:t>''''''''''''''''''''''</w:t>
            </w:r>
          </w:p>
        </w:tc>
        <w:tc>
          <w:tcPr>
            <w:tcW w:w="554" w:type="pct"/>
            <w:shd w:val="clear" w:color="auto" w:fill="auto"/>
          </w:tcPr>
          <w:p w:rsidR="00A5228B" w:rsidRPr="001D6F6D" w:rsidRDefault="001D6F6D" w:rsidP="00F15D28">
            <w:pPr>
              <w:pStyle w:val="Tabletext"/>
              <w:keepNext/>
              <w:jc w:val="right"/>
              <w:rPr>
                <w:rFonts w:cstheme="minorHAnsi"/>
                <w:bCs/>
                <w:highlight w:val="black"/>
              </w:rPr>
            </w:pPr>
            <w:r>
              <w:rPr>
                <w:rFonts w:cstheme="minorHAnsi"/>
                <w:noProof/>
                <w:color w:val="000000"/>
                <w:highlight w:val="black"/>
              </w:rPr>
              <w:t>''''''''''''''''''''''''</w:t>
            </w:r>
          </w:p>
        </w:tc>
        <w:tc>
          <w:tcPr>
            <w:tcW w:w="555" w:type="pct"/>
            <w:shd w:val="clear" w:color="auto" w:fill="auto"/>
          </w:tcPr>
          <w:p w:rsidR="00A5228B" w:rsidRPr="001D6F6D" w:rsidRDefault="001D6F6D" w:rsidP="00F15D28">
            <w:pPr>
              <w:pStyle w:val="Tabletext"/>
              <w:keepNext/>
              <w:jc w:val="right"/>
              <w:rPr>
                <w:rFonts w:cstheme="minorHAnsi"/>
                <w:bCs/>
                <w:highlight w:val="black"/>
              </w:rPr>
            </w:pPr>
            <w:r>
              <w:rPr>
                <w:rFonts w:cstheme="minorHAnsi"/>
                <w:noProof/>
                <w:color w:val="000000"/>
                <w:highlight w:val="black"/>
              </w:rPr>
              <w:t>'''''''''''''''''''''''</w:t>
            </w:r>
          </w:p>
        </w:tc>
        <w:tc>
          <w:tcPr>
            <w:tcW w:w="563" w:type="pct"/>
            <w:shd w:val="clear" w:color="auto" w:fill="auto"/>
          </w:tcPr>
          <w:p w:rsidR="00A5228B" w:rsidRPr="001D6F6D" w:rsidRDefault="001D6F6D" w:rsidP="00F15D28">
            <w:pPr>
              <w:pStyle w:val="Tabletext"/>
              <w:keepNext/>
              <w:jc w:val="right"/>
              <w:rPr>
                <w:rFonts w:cstheme="minorHAnsi"/>
                <w:bCs/>
                <w:highlight w:val="black"/>
              </w:rPr>
            </w:pPr>
            <w:r>
              <w:rPr>
                <w:rFonts w:cstheme="minorHAnsi"/>
                <w:noProof/>
                <w:color w:val="000000"/>
                <w:highlight w:val="black"/>
              </w:rPr>
              <w:t>''''''''''''''''''''''''''</w:t>
            </w:r>
          </w:p>
        </w:tc>
      </w:tr>
      <w:tr w:rsidR="00A5228B" w:rsidRPr="00C50CDC" w:rsidTr="00C668FB">
        <w:tc>
          <w:tcPr>
            <w:tcW w:w="1663" w:type="pct"/>
            <w:shd w:val="clear" w:color="auto" w:fill="auto"/>
          </w:tcPr>
          <w:p w:rsidR="00A5228B" w:rsidRPr="00C50CDC" w:rsidRDefault="00A5228B" w:rsidP="00F15D28">
            <w:pPr>
              <w:pStyle w:val="Tabletext"/>
              <w:keepNext/>
              <w:rPr>
                <w:rFonts w:cstheme="minorHAnsi"/>
                <w:b/>
              </w:rPr>
            </w:pPr>
            <w:r w:rsidRPr="00C50CDC">
              <w:rPr>
                <w:rFonts w:cstheme="minorHAnsi"/>
                <w:b/>
              </w:rPr>
              <w:t>Cost to PBS/RPBS less co-payments</w:t>
            </w:r>
          </w:p>
        </w:tc>
        <w:tc>
          <w:tcPr>
            <w:tcW w:w="556" w:type="pct"/>
            <w:shd w:val="clear" w:color="auto" w:fill="auto"/>
          </w:tcPr>
          <w:p w:rsidR="00A5228B" w:rsidRPr="001D6F6D" w:rsidRDefault="001D6F6D" w:rsidP="00F15D28">
            <w:pPr>
              <w:pStyle w:val="Tabletext"/>
              <w:keepNext/>
              <w:jc w:val="right"/>
              <w:rPr>
                <w:rFonts w:cstheme="minorHAnsi"/>
                <w:b/>
                <w:bCs/>
                <w:highlight w:val="black"/>
              </w:rPr>
            </w:pPr>
            <w:r>
              <w:rPr>
                <w:rFonts w:cstheme="minorHAnsi"/>
                <w:b/>
                <w:noProof/>
                <w:color w:val="000000"/>
                <w:highlight w:val="black"/>
              </w:rPr>
              <w:t>''''''''''''''''''''''</w:t>
            </w:r>
          </w:p>
        </w:tc>
        <w:tc>
          <w:tcPr>
            <w:tcW w:w="555" w:type="pct"/>
            <w:shd w:val="clear" w:color="auto" w:fill="auto"/>
          </w:tcPr>
          <w:p w:rsidR="00A5228B" w:rsidRPr="001D6F6D" w:rsidRDefault="001D6F6D" w:rsidP="00F15D28">
            <w:pPr>
              <w:pStyle w:val="Tabletext"/>
              <w:keepNext/>
              <w:jc w:val="right"/>
              <w:rPr>
                <w:rFonts w:cstheme="minorHAnsi"/>
                <w:b/>
                <w:bCs/>
                <w:highlight w:val="black"/>
              </w:rPr>
            </w:pPr>
            <w:r>
              <w:rPr>
                <w:rFonts w:cstheme="minorHAnsi"/>
                <w:b/>
                <w:noProof/>
                <w:color w:val="000000"/>
                <w:highlight w:val="black"/>
              </w:rPr>
              <w:t>''''''''''''''''''''''''</w:t>
            </w:r>
          </w:p>
        </w:tc>
        <w:tc>
          <w:tcPr>
            <w:tcW w:w="555" w:type="pct"/>
            <w:shd w:val="clear" w:color="auto" w:fill="auto"/>
          </w:tcPr>
          <w:p w:rsidR="00A5228B" w:rsidRPr="001D6F6D" w:rsidRDefault="001D6F6D" w:rsidP="00F15D28">
            <w:pPr>
              <w:pStyle w:val="Tabletext"/>
              <w:keepNext/>
              <w:jc w:val="right"/>
              <w:rPr>
                <w:rFonts w:cstheme="minorHAnsi"/>
                <w:b/>
                <w:bCs/>
                <w:highlight w:val="black"/>
              </w:rPr>
            </w:pPr>
            <w:r>
              <w:rPr>
                <w:rFonts w:cstheme="minorHAnsi"/>
                <w:b/>
                <w:noProof/>
                <w:color w:val="000000"/>
                <w:highlight w:val="black"/>
              </w:rPr>
              <w:t>''''''''''''''''''''''</w:t>
            </w:r>
          </w:p>
        </w:tc>
        <w:tc>
          <w:tcPr>
            <w:tcW w:w="554" w:type="pct"/>
            <w:shd w:val="clear" w:color="auto" w:fill="auto"/>
          </w:tcPr>
          <w:p w:rsidR="00A5228B" w:rsidRPr="001D6F6D" w:rsidRDefault="001D6F6D" w:rsidP="00F15D28">
            <w:pPr>
              <w:pStyle w:val="Tabletext"/>
              <w:keepNext/>
              <w:jc w:val="right"/>
              <w:rPr>
                <w:rFonts w:cstheme="minorHAnsi"/>
                <w:b/>
                <w:bCs/>
                <w:highlight w:val="black"/>
              </w:rPr>
            </w:pPr>
            <w:r>
              <w:rPr>
                <w:rFonts w:cstheme="minorHAnsi"/>
                <w:b/>
                <w:noProof/>
                <w:color w:val="000000"/>
                <w:highlight w:val="black"/>
              </w:rPr>
              <w:t>''''''''''''''''''''''''''</w:t>
            </w:r>
          </w:p>
        </w:tc>
        <w:tc>
          <w:tcPr>
            <w:tcW w:w="555" w:type="pct"/>
            <w:shd w:val="clear" w:color="auto" w:fill="auto"/>
          </w:tcPr>
          <w:p w:rsidR="00A5228B" w:rsidRPr="001D6F6D" w:rsidRDefault="001D6F6D" w:rsidP="00F15D28">
            <w:pPr>
              <w:pStyle w:val="Tabletext"/>
              <w:keepNext/>
              <w:jc w:val="right"/>
              <w:rPr>
                <w:rFonts w:cstheme="minorHAnsi"/>
                <w:b/>
                <w:bCs/>
                <w:highlight w:val="black"/>
              </w:rPr>
            </w:pPr>
            <w:r>
              <w:rPr>
                <w:rFonts w:cstheme="minorHAnsi"/>
                <w:b/>
                <w:noProof/>
                <w:color w:val="000000"/>
                <w:highlight w:val="black"/>
              </w:rPr>
              <w:t>''''''''''''''''''''''</w:t>
            </w:r>
          </w:p>
        </w:tc>
        <w:tc>
          <w:tcPr>
            <w:tcW w:w="563" w:type="pct"/>
            <w:shd w:val="clear" w:color="auto" w:fill="auto"/>
          </w:tcPr>
          <w:p w:rsidR="00A5228B" w:rsidRPr="001D6F6D" w:rsidRDefault="001D6F6D" w:rsidP="00F15D28">
            <w:pPr>
              <w:pStyle w:val="Tabletext"/>
              <w:keepNext/>
              <w:jc w:val="right"/>
              <w:rPr>
                <w:rFonts w:cstheme="minorHAnsi"/>
                <w:b/>
                <w:bCs/>
                <w:highlight w:val="black"/>
              </w:rPr>
            </w:pPr>
            <w:r>
              <w:rPr>
                <w:rFonts w:cstheme="minorHAnsi"/>
                <w:b/>
                <w:noProof/>
                <w:color w:val="000000"/>
                <w:highlight w:val="black"/>
              </w:rPr>
              <w:t>''''''''''''''''''''''''</w:t>
            </w:r>
          </w:p>
        </w:tc>
      </w:tr>
      <w:tr w:rsidR="00A5228B" w:rsidRPr="00C11835" w:rsidTr="00C668FB">
        <w:tc>
          <w:tcPr>
            <w:tcW w:w="5000" w:type="pct"/>
            <w:gridSpan w:val="7"/>
            <w:shd w:val="clear" w:color="auto" w:fill="auto"/>
            <w:vAlign w:val="center"/>
          </w:tcPr>
          <w:p w:rsidR="00A5228B" w:rsidRPr="00C11835" w:rsidRDefault="00A5228B" w:rsidP="00F15D28">
            <w:pPr>
              <w:pStyle w:val="Tabletext"/>
              <w:keepNext/>
              <w:rPr>
                <w:rFonts w:cstheme="minorHAnsi"/>
                <w:bCs/>
              </w:rPr>
            </w:pPr>
            <w:r w:rsidRPr="00C11835">
              <w:rPr>
                <w:rFonts w:cstheme="minorHAnsi"/>
                <w:b/>
                <w:bCs/>
              </w:rPr>
              <w:t>Estimated financial implications for replacement of thalidomide (cost savings from substituted thalidomide)</w:t>
            </w:r>
            <w:r w:rsidRPr="00C11835">
              <w:rPr>
                <w:rFonts w:cstheme="minorHAnsi"/>
                <w:bCs/>
                <w:vertAlign w:val="superscript"/>
              </w:rPr>
              <w:t>d</w:t>
            </w:r>
          </w:p>
        </w:tc>
      </w:tr>
      <w:tr w:rsidR="00A5228B" w:rsidRPr="00C11835" w:rsidTr="00C668FB">
        <w:tc>
          <w:tcPr>
            <w:tcW w:w="1663" w:type="pct"/>
            <w:shd w:val="clear" w:color="auto" w:fill="auto"/>
            <w:vAlign w:val="center"/>
          </w:tcPr>
          <w:p w:rsidR="00A5228B" w:rsidRPr="00C11835" w:rsidRDefault="00A5228B" w:rsidP="00F15D28">
            <w:pPr>
              <w:pStyle w:val="Tabletext"/>
              <w:keepNext/>
              <w:rPr>
                <w:rFonts w:cstheme="minorHAnsi"/>
              </w:rPr>
            </w:pPr>
            <w:r w:rsidRPr="00C11835">
              <w:rPr>
                <w:rFonts w:cstheme="minorHAnsi"/>
              </w:rPr>
              <w:t>Net cost offset form substituted thalidomide</w:t>
            </w:r>
          </w:p>
        </w:tc>
        <w:tc>
          <w:tcPr>
            <w:tcW w:w="556"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5"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5"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4"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5"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63"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r>
      <w:tr w:rsidR="00A5228B" w:rsidRPr="00C11835" w:rsidTr="00C668FB">
        <w:tc>
          <w:tcPr>
            <w:tcW w:w="1663" w:type="pct"/>
            <w:shd w:val="clear" w:color="auto" w:fill="auto"/>
            <w:vAlign w:val="center"/>
          </w:tcPr>
          <w:p w:rsidR="00A5228B" w:rsidRPr="00C11835" w:rsidRDefault="00A5228B" w:rsidP="00F15D28">
            <w:pPr>
              <w:pStyle w:val="Tabletext"/>
              <w:keepNext/>
              <w:rPr>
                <w:rFonts w:cstheme="minorHAnsi"/>
              </w:rPr>
            </w:pPr>
            <w:r w:rsidRPr="00C11835">
              <w:rPr>
                <w:rFonts w:cstheme="minorHAnsi"/>
              </w:rPr>
              <w:t>Net cost offset attributed to displaced thalidomide (RRMM)</w:t>
            </w:r>
          </w:p>
        </w:tc>
        <w:tc>
          <w:tcPr>
            <w:tcW w:w="556"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5"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5"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4"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5"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63"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r>
      <w:tr w:rsidR="00A5228B" w:rsidRPr="00C11835" w:rsidTr="00C668FB">
        <w:tc>
          <w:tcPr>
            <w:tcW w:w="1663" w:type="pct"/>
            <w:shd w:val="clear" w:color="auto" w:fill="auto"/>
            <w:vAlign w:val="center"/>
          </w:tcPr>
          <w:p w:rsidR="00A5228B" w:rsidRPr="00C11835" w:rsidRDefault="00A5228B" w:rsidP="00F15D28">
            <w:pPr>
              <w:pStyle w:val="Tabletext"/>
              <w:keepNext/>
              <w:rPr>
                <w:rFonts w:cstheme="minorHAnsi"/>
              </w:rPr>
            </w:pPr>
            <w:r w:rsidRPr="00C11835">
              <w:rPr>
                <w:rFonts w:cstheme="minorHAnsi"/>
              </w:rPr>
              <w:t xml:space="preserve">Net cost offset attributed to displaced </w:t>
            </w:r>
            <w:proofErr w:type="spellStart"/>
            <w:r w:rsidRPr="00C11835">
              <w:rPr>
                <w:rFonts w:cstheme="minorHAnsi"/>
              </w:rPr>
              <w:t>lenalidomide</w:t>
            </w:r>
            <w:proofErr w:type="spellEnd"/>
            <w:r w:rsidRPr="00C11835">
              <w:rPr>
                <w:rFonts w:cstheme="minorHAnsi"/>
              </w:rPr>
              <w:t xml:space="preserve"> (RRMM)</w:t>
            </w:r>
          </w:p>
        </w:tc>
        <w:tc>
          <w:tcPr>
            <w:tcW w:w="556"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5"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5"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4"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5"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63"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r>
      <w:tr w:rsidR="00A5228B" w:rsidRPr="00C11835" w:rsidTr="00C668FB">
        <w:tc>
          <w:tcPr>
            <w:tcW w:w="1663" w:type="pct"/>
            <w:shd w:val="clear" w:color="auto" w:fill="auto"/>
            <w:vAlign w:val="center"/>
          </w:tcPr>
          <w:p w:rsidR="00A5228B" w:rsidRPr="00C11835" w:rsidRDefault="00A5228B" w:rsidP="00F15D28">
            <w:pPr>
              <w:pStyle w:val="Tabletext"/>
              <w:keepNext/>
              <w:rPr>
                <w:rFonts w:cstheme="minorHAnsi"/>
              </w:rPr>
            </w:pPr>
            <w:r w:rsidRPr="00C11835">
              <w:rPr>
                <w:rFonts w:cstheme="minorHAnsi"/>
              </w:rPr>
              <w:t xml:space="preserve">Net cost offset attributed to displaced </w:t>
            </w:r>
            <w:proofErr w:type="spellStart"/>
            <w:r w:rsidRPr="00C11835">
              <w:rPr>
                <w:rFonts w:cstheme="minorHAnsi"/>
              </w:rPr>
              <w:t>bortezomib</w:t>
            </w:r>
            <w:proofErr w:type="spellEnd"/>
            <w:r w:rsidRPr="00C11835">
              <w:rPr>
                <w:rFonts w:cstheme="minorHAnsi"/>
              </w:rPr>
              <w:t xml:space="preserve"> (RRMM)</w:t>
            </w:r>
          </w:p>
        </w:tc>
        <w:tc>
          <w:tcPr>
            <w:tcW w:w="556"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5"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5"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4"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5"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63"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r>
      <w:tr w:rsidR="00A5228B" w:rsidRPr="00C11835" w:rsidTr="00C668FB">
        <w:tc>
          <w:tcPr>
            <w:tcW w:w="1663" w:type="pct"/>
            <w:shd w:val="clear" w:color="auto" w:fill="auto"/>
            <w:vAlign w:val="center"/>
          </w:tcPr>
          <w:p w:rsidR="00A5228B" w:rsidRPr="00C11835" w:rsidRDefault="00A5228B" w:rsidP="00F15D28">
            <w:pPr>
              <w:pStyle w:val="Tabletext"/>
              <w:keepNext/>
              <w:rPr>
                <w:rFonts w:cstheme="minorHAnsi"/>
              </w:rPr>
            </w:pPr>
            <w:r w:rsidRPr="00C11835">
              <w:rPr>
                <w:rFonts w:cstheme="minorHAnsi"/>
              </w:rPr>
              <w:t xml:space="preserve">Net cost offset attributed to displaced </w:t>
            </w:r>
            <w:proofErr w:type="spellStart"/>
            <w:r w:rsidRPr="00C11835">
              <w:rPr>
                <w:rFonts w:cstheme="minorHAnsi"/>
              </w:rPr>
              <w:t>carfilzomib</w:t>
            </w:r>
            <w:proofErr w:type="spellEnd"/>
            <w:r w:rsidRPr="00C11835">
              <w:rPr>
                <w:rFonts w:cstheme="minorHAnsi"/>
              </w:rPr>
              <w:t xml:space="preserve"> (RRMM)</w:t>
            </w:r>
          </w:p>
        </w:tc>
        <w:tc>
          <w:tcPr>
            <w:tcW w:w="556"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5"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5"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4"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5"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63"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r>
      <w:tr w:rsidR="00A5228B" w:rsidRPr="00C11835" w:rsidTr="00C668FB">
        <w:tc>
          <w:tcPr>
            <w:tcW w:w="1663" w:type="pct"/>
            <w:shd w:val="clear" w:color="auto" w:fill="auto"/>
            <w:vAlign w:val="center"/>
          </w:tcPr>
          <w:p w:rsidR="00A5228B" w:rsidRPr="00C11835" w:rsidRDefault="00A5228B" w:rsidP="00F15D28">
            <w:pPr>
              <w:pStyle w:val="Tabletext"/>
              <w:keepNext/>
              <w:rPr>
                <w:rFonts w:cstheme="minorHAnsi"/>
              </w:rPr>
            </w:pPr>
            <w:r w:rsidRPr="00C11835">
              <w:rPr>
                <w:rFonts w:cstheme="minorHAnsi"/>
              </w:rPr>
              <w:t xml:space="preserve">Net cost offset attributed to displaced </w:t>
            </w:r>
            <w:proofErr w:type="spellStart"/>
            <w:r w:rsidRPr="00C11835">
              <w:rPr>
                <w:rFonts w:cstheme="minorHAnsi"/>
              </w:rPr>
              <w:t>pomalidomide</w:t>
            </w:r>
            <w:proofErr w:type="spellEnd"/>
            <w:r w:rsidRPr="00C11835">
              <w:rPr>
                <w:rFonts w:cstheme="minorHAnsi"/>
              </w:rPr>
              <w:t xml:space="preserve"> (RRMM)</w:t>
            </w:r>
          </w:p>
        </w:tc>
        <w:tc>
          <w:tcPr>
            <w:tcW w:w="556"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5"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5"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4"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5"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63"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r>
      <w:tr w:rsidR="00A5228B" w:rsidRPr="00C11835" w:rsidTr="00C668FB">
        <w:tc>
          <w:tcPr>
            <w:tcW w:w="1663" w:type="pct"/>
            <w:shd w:val="clear" w:color="auto" w:fill="auto"/>
            <w:vAlign w:val="center"/>
          </w:tcPr>
          <w:p w:rsidR="00A5228B" w:rsidRPr="00C11835" w:rsidRDefault="00A5228B" w:rsidP="00F15D28">
            <w:pPr>
              <w:pStyle w:val="Tabletext"/>
              <w:keepNext/>
              <w:rPr>
                <w:rFonts w:cstheme="minorHAnsi"/>
              </w:rPr>
            </w:pPr>
            <w:r w:rsidRPr="00C11835">
              <w:rPr>
                <w:rFonts w:cstheme="minorHAnsi"/>
              </w:rPr>
              <w:t>Total Net PBS/RPBS savings</w:t>
            </w:r>
          </w:p>
        </w:tc>
        <w:tc>
          <w:tcPr>
            <w:tcW w:w="556"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5"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5"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4"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55"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c>
          <w:tcPr>
            <w:tcW w:w="563" w:type="pct"/>
            <w:shd w:val="clear" w:color="auto" w:fill="auto"/>
            <w:vAlign w:val="center"/>
          </w:tcPr>
          <w:p w:rsidR="00A5228B" w:rsidRPr="001D6F6D" w:rsidRDefault="001D6F6D" w:rsidP="00F15D28">
            <w:pPr>
              <w:pStyle w:val="Tabletext"/>
              <w:keepNext/>
              <w:jc w:val="right"/>
              <w:rPr>
                <w:rFonts w:cstheme="minorHAnsi"/>
                <w:bCs/>
                <w:szCs w:val="20"/>
                <w:highlight w:val="black"/>
              </w:rPr>
            </w:pPr>
            <w:r>
              <w:rPr>
                <w:rFonts w:cstheme="minorHAnsi"/>
                <w:noProof/>
                <w:color w:val="000000"/>
                <w:szCs w:val="20"/>
                <w:highlight w:val="black"/>
              </w:rPr>
              <w:t>'''''''''''''''''''''''''''''</w:t>
            </w:r>
          </w:p>
        </w:tc>
      </w:tr>
      <w:tr w:rsidR="00A5228B" w:rsidRPr="00C11835" w:rsidTr="00C668FB">
        <w:tc>
          <w:tcPr>
            <w:tcW w:w="5000" w:type="pct"/>
            <w:gridSpan w:val="7"/>
            <w:shd w:val="clear" w:color="auto" w:fill="auto"/>
            <w:vAlign w:val="center"/>
          </w:tcPr>
          <w:p w:rsidR="00A5228B" w:rsidRPr="00C11835" w:rsidRDefault="00A5228B" w:rsidP="00F15D28">
            <w:pPr>
              <w:pStyle w:val="Tabletext"/>
              <w:keepNext/>
              <w:rPr>
                <w:rFonts w:cstheme="minorHAnsi"/>
                <w:b/>
                <w:bCs/>
              </w:rPr>
            </w:pPr>
            <w:r w:rsidRPr="00C11835">
              <w:rPr>
                <w:rFonts w:cstheme="minorHAnsi"/>
                <w:b/>
                <w:bCs/>
              </w:rPr>
              <w:t>Net financial implications</w:t>
            </w:r>
          </w:p>
        </w:tc>
      </w:tr>
      <w:tr w:rsidR="00A5228B" w:rsidRPr="00C11835" w:rsidTr="00C668FB">
        <w:tc>
          <w:tcPr>
            <w:tcW w:w="1663" w:type="pct"/>
            <w:shd w:val="clear" w:color="auto" w:fill="auto"/>
            <w:vAlign w:val="center"/>
          </w:tcPr>
          <w:p w:rsidR="00A5228B" w:rsidRPr="00C11835" w:rsidRDefault="00A5228B" w:rsidP="00F15D28">
            <w:pPr>
              <w:pStyle w:val="Tabletext"/>
              <w:keepNext/>
              <w:rPr>
                <w:rFonts w:cstheme="minorHAnsi"/>
                <w:b/>
              </w:rPr>
            </w:pPr>
            <w:r w:rsidRPr="00C11835">
              <w:rPr>
                <w:rFonts w:cstheme="minorHAnsi"/>
                <w:b/>
              </w:rPr>
              <w:t>Net cost to PBS/</w:t>
            </w:r>
            <w:proofErr w:type="spellStart"/>
            <w:r w:rsidRPr="00C11835">
              <w:rPr>
                <w:rFonts w:cstheme="minorHAnsi"/>
                <w:b/>
              </w:rPr>
              <w:t>RPBS</w:t>
            </w:r>
            <w:r w:rsidRPr="00C11835">
              <w:rPr>
                <w:rFonts w:cstheme="minorHAnsi"/>
                <w:b/>
                <w:vertAlign w:val="superscript"/>
              </w:rPr>
              <w:t>e</w:t>
            </w:r>
            <w:proofErr w:type="spellEnd"/>
          </w:p>
        </w:tc>
        <w:tc>
          <w:tcPr>
            <w:tcW w:w="556" w:type="pct"/>
            <w:shd w:val="clear" w:color="auto" w:fill="auto"/>
          </w:tcPr>
          <w:p w:rsidR="00A5228B" w:rsidRPr="001D6F6D" w:rsidRDefault="001D6F6D" w:rsidP="00F15D28">
            <w:pPr>
              <w:pStyle w:val="Tabletext"/>
              <w:keepNext/>
              <w:jc w:val="right"/>
              <w:rPr>
                <w:rFonts w:cstheme="minorHAnsi"/>
                <w:b/>
                <w:bCs/>
                <w:highlight w:val="black"/>
              </w:rPr>
            </w:pPr>
            <w:r>
              <w:rPr>
                <w:rFonts w:cstheme="minorHAnsi"/>
                <w:b/>
                <w:noProof/>
                <w:color w:val="000000"/>
                <w:highlight w:val="black"/>
              </w:rPr>
              <w:t>'''''''''''''''''''</w:t>
            </w:r>
          </w:p>
        </w:tc>
        <w:tc>
          <w:tcPr>
            <w:tcW w:w="555" w:type="pct"/>
            <w:shd w:val="clear" w:color="auto" w:fill="auto"/>
          </w:tcPr>
          <w:p w:rsidR="00A5228B" w:rsidRPr="001D6F6D" w:rsidRDefault="001D6F6D" w:rsidP="00F15D28">
            <w:pPr>
              <w:pStyle w:val="Tabletext"/>
              <w:keepNext/>
              <w:jc w:val="right"/>
              <w:rPr>
                <w:rFonts w:cstheme="minorHAnsi"/>
                <w:b/>
                <w:bCs/>
                <w:highlight w:val="black"/>
              </w:rPr>
            </w:pPr>
            <w:r>
              <w:rPr>
                <w:rFonts w:cstheme="minorHAnsi"/>
                <w:b/>
                <w:noProof/>
                <w:color w:val="000000"/>
                <w:highlight w:val="black"/>
              </w:rPr>
              <w:t>'''''''''''''''''''''</w:t>
            </w:r>
          </w:p>
        </w:tc>
        <w:tc>
          <w:tcPr>
            <w:tcW w:w="555" w:type="pct"/>
            <w:shd w:val="clear" w:color="auto" w:fill="auto"/>
          </w:tcPr>
          <w:p w:rsidR="00A5228B" w:rsidRPr="001D6F6D" w:rsidRDefault="001D6F6D" w:rsidP="00F15D28">
            <w:pPr>
              <w:pStyle w:val="Tabletext"/>
              <w:keepNext/>
              <w:jc w:val="right"/>
              <w:rPr>
                <w:rFonts w:cstheme="minorHAnsi"/>
                <w:b/>
                <w:bCs/>
                <w:highlight w:val="black"/>
              </w:rPr>
            </w:pPr>
            <w:r>
              <w:rPr>
                <w:rFonts w:cstheme="minorHAnsi"/>
                <w:b/>
                <w:noProof/>
                <w:color w:val="000000"/>
                <w:highlight w:val="black"/>
              </w:rPr>
              <w:t>''''''''''''''''''''''''''</w:t>
            </w:r>
          </w:p>
        </w:tc>
        <w:tc>
          <w:tcPr>
            <w:tcW w:w="554" w:type="pct"/>
            <w:shd w:val="clear" w:color="auto" w:fill="auto"/>
          </w:tcPr>
          <w:p w:rsidR="00A5228B" w:rsidRPr="001D6F6D" w:rsidRDefault="001D6F6D" w:rsidP="00F15D28">
            <w:pPr>
              <w:pStyle w:val="Tabletext"/>
              <w:keepNext/>
              <w:jc w:val="right"/>
              <w:rPr>
                <w:rFonts w:cstheme="minorHAnsi"/>
                <w:b/>
                <w:bCs/>
                <w:highlight w:val="black"/>
              </w:rPr>
            </w:pPr>
            <w:r>
              <w:rPr>
                <w:rFonts w:cstheme="minorHAnsi"/>
                <w:b/>
                <w:noProof/>
                <w:color w:val="000000"/>
                <w:highlight w:val="black"/>
              </w:rPr>
              <w:t>''''''''''''''''''''''</w:t>
            </w:r>
          </w:p>
        </w:tc>
        <w:tc>
          <w:tcPr>
            <w:tcW w:w="555" w:type="pct"/>
            <w:shd w:val="clear" w:color="auto" w:fill="auto"/>
          </w:tcPr>
          <w:p w:rsidR="00A5228B" w:rsidRPr="001D6F6D" w:rsidRDefault="001D6F6D" w:rsidP="00F15D28">
            <w:pPr>
              <w:pStyle w:val="Tabletext"/>
              <w:keepNext/>
              <w:jc w:val="right"/>
              <w:rPr>
                <w:rFonts w:cstheme="minorHAnsi"/>
                <w:b/>
                <w:bCs/>
                <w:highlight w:val="black"/>
              </w:rPr>
            </w:pPr>
            <w:r>
              <w:rPr>
                <w:rFonts w:cstheme="minorHAnsi"/>
                <w:b/>
                <w:noProof/>
                <w:color w:val="000000"/>
                <w:highlight w:val="black"/>
              </w:rPr>
              <w:t>''''''''''''''''''''''</w:t>
            </w:r>
          </w:p>
        </w:tc>
        <w:tc>
          <w:tcPr>
            <w:tcW w:w="563" w:type="pct"/>
            <w:shd w:val="clear" w:color="auto" w:fill="auto"/>
          </w:tcPr>
          <w:p w:rsidR="00A5228B" w:rsidRPr="001D6F6D" w:rsidRDefault="001D6F6D" w:rsidP="00F15D28">
            <w:pPr>
              <w:pStyle w:val="Tabletext"/>
              <w:keepNext/>
              <w:jc w:val="right"/>
              <w:rPr>
                <w:rFonts w:cstheme="minorHAnsi"/>
                <w:b/>
                <w:bCs/>
                <w:highlight w:val="black"/>
              </w:rPr>
            </w:pPr>
            <w:r>
              <w:rPr>
                <w:rFonts w:cstheme="minorHAnsi"/>
                <w:b/>
                <w:noProof/>
                <w:color w:val="000000"/>
                <w:highlight w:val="black"/>
              </w:rPr>
              <w:t>''''''''''''''''''''''</w:t>
            </w:r>
          </w:p>
        </w:tc>
      </w:tr>
    </w:tbl>
    <w:p w:rsidR="00A5228B" w:rsidRPr="009B5014" w:rsidRDefault="00A5228B" w:rsidP="00F15D28">
      <w:pPr>
        <w:pStyle w:val="PBACHeading1"/>
        <w:numPr>
          <w:ilvl w:val="0"/>
          <w:numId w:val="0"/>
        </w:numPr>
        <w:spacing w:after="0"/>
        <w:rPr>
          <w:rFonts w:ascii="Arial Narrow" w:hAnsi="Arial Narrow"/>
          <w:b w:val="0"/>
          <w:sz w:val="18"/>
          <w:szCs w:val="18"/>
        </w:rPr>
      </w:pPr>
      <w:r w:rsidRPr="009B5014">
        <w:rPr>
          <w:rFonts w:ascii="Arial Narrow" w:hAnsi="Arial Narrow"/>
          <w:b w:val="0"/>
          <w:sz w:val="18"/>
          <w:szCs w:val="18"/>
        </w:rPr>
        <w:t>PBS</w:t>
      </w:r>
      <w:r>
        <w:rPr>
          <w:rFonts w:ascii="Arial Narrow" w:hAnsi="Arial Narrow"/>
          <w:b w:val="0"/>
          <w:sz w:val="18"/>
          <w:szCs w:val="18"/>
        </w:rPr>
        <w:t xml:space="preserve"> </w:t>
      </w:r>
      <w:r w:rsidRPr="009B5014">
        <w:rPr>
          <w:rFonts w:ascii="Arial Narrow" w:hAnsi="Arial Narrow"/>
          <w:b w:val="0"/>
          <w:sz w:val="18"/>
          <w:szCs w:val="18"/>
        </w:rPr>
        <w:t>=</w:t>
      </w:r>
      <w:r>
        <w:rPr>
          <w:rFonts w:ascii="Arial Narrow" w:hAnsi="Arial Narrow"/>
          <w:b w:val="0"/>
          <w:sz w:val="18"/>
          <w:szCs w:val="18"/>
        </w:rPr>
        <w:t xml:space="preserve"> </w:t>
      </w:r>
      <w:r w:rsidRPr="009B5014">
        <w:rPr>
          <w:rFonts w:ascii="Arial Narrow" w:hAnsi="Arial Narrow"/>
          <w:b w:val="0"/>
          <w:sz w:val="18"/>
          <w:szCs w:val="18"/>
        </w:rPr>
        <w:t>Pharmaceutical Benefits Scheme; RPBS</w:t>
      </w:r>
      <w:r>
        <w:rPr>
          <w:rFonts w:ascii="Arial Narrow" w:hAnsi="Arial Narrow"/>
          <w:b w:val="0"/>
          <w:sz w:val="18"/>
          <w:szCs w:val="18"/>
        </w:rPr>
        <w:t xml:space="preserve"> </w:t>
      </w:r>
      <w:r w:rsidRPr="009B5014">
        <w:rPr>
          <w:rFonts w:ascii="Arial Narrow" w:hAnsi="Arial Narrow"/>
          <w:b w:val="0"/>
          <w:sz w:val="18"/>
          <w:szCs w:val="18"/>
        </w:rPr>
        <w:t>=</w:t>
      </w:r>
      <w:r>
        <w:rPr>
          <w:rFonts w:ascii="Arial Narrow" w:hAnsi="Arial Narrow"/>
          <w:b w:val="0"/>
          <w:sz w:val="18"/>
          <w:szCs w:val="18"/>
        </w:rPr>
        <w:t xml:space="preserve"> </w:t>
      </w:r>
      <w:r w:rsidRPr="009B5014">
        <w:rPr>
          <w:rFonts w:ascii="Arial Narrow" w:hAnsi="Arial Narrow"/>
          <w:b w:val="0"/>
          <w:sz w:val="18"/>
          <w:szCs w:val="18"/>
        </w:rPr>
        <w:t>Repatriation</w:t>
      </w:r>
      <w:r>
        <w:rPr>
          <w:rFonts w:ascii="Arial Narrow" w:hAnsi="Arial Narrow"/>
          <w:b w:val="0"/>
          <w:sz w:val="18"/>
          <w:szCs w:val="18"/>
        </w:rPr>
        <w:t xml:space="preserve"> Pharmaceutical Benefits Scheme; RRMM = relapsed and refractory multiple myeloma</w:t>
      </w:r>
    </w:p>
    <w:p w:rsidR="00A5228B" w:rsidRPr="009B5014" w:rsidRDefault="00A5228B" w:rsidP="00F15D28">
      <w:pPr>
        <w:pStyle w:val="PBACHeading1"/>
        <w:numPr>
          <w:ilvl w:val="0"/>
          <w:numId w:val="0"/>
        </w:numPr>
        <w:spacing w:after="0"/>
        <w:rPr>
          <w:rFonts w:ascii="Arial Narrow" w:hAnsi="Arial Narrow"/>
          <w:b w:val="0"/>
          <w:snapToGrid/>
          <w:sz w:val="18"/>
          <w:szCs w:val="18"/>
          <w:lang w:val="en-US" w:eastAsia="en-AU"/>
        </w:rPr>
      </w:pPr>
      <w:r w:rsidRPr="009B5014">
        <w:rPr>
          <w:rFonts w:ascii="Arial Narrow" w:hAnsi="Arial Narrow"/>
          <w:b w:val="0"/>
          <w:snapToGrid/>
          <w:sz w:val="18"/>
          <w:szCs w:val="18"/>
          <w:lang w:val="en-US" w:eastAsia="en-AU"/>
        </w:rPr>
        <w:t xml:space="preserve">Source: Table 4-5, p101, of the resubmission and Excel Workbook ‘Section 4 Workbook’, Sheets “3c. Impact – EFF”, “4c. Displaced – EFF” and “Summary”; </w:t>
      </w:r>
      <w:r w:rsidRPr="009B5014">
        <w:rPr>
          <w:rFonts w:ascii="Arial Narrow" w:hAnsi="Arial Narrow"/>
          <w:b w:val="0"/>
          <w:sz w:val="18"/>
          <w:szCs w:val="18"/>
        </w:rPr>
        <w:t>Excel workbook “</w:t>
      </w:r>
      <w:proofErr w:type="spellStart"/>
      <w:r w:rsidRPr="009B5014">
        <w:rPr>
          <w:rFonts w:ascii="Arial Narrow" w:hAnsi="Arial Narrow"/>
          <w:b w:val="0"/>
          <w:sz w:val="18"/>
          <w:szCs w:val="18"/>
        </w:rPr>
        <w:t>Lenalidomide_Sec</w:t>
      </w:r>
      <w:proofErr w:type="spellEnd"/>
      <w:r w:rsidRPr="009B5014">
        <w:rPr>
          <w:rFonts w:ascii="Arial Narrow" w:hAnsi="Arial Narrow"/>
          <w:b w:val="0"/>
          <w:sz w:val="18"/>
          <w:szCs w:val="18"/>
        </w:rPr>
        <w:t xml:space="preserve"> 4_DUSCTable”, Sheet “Sheet 1”.</w:t>
      </w:r>
    </w:p>
    <w:p w:rsidR="00A5228B" w:rsidRPr="009B5014" w:rsidRDefault="00A5228B" w:rsidP="00F15D28">
      <w:pPr>
        <w:pStyle w:val="PBACHeading1"/>
        <w:numPr>
          <w:ilvl w:val="0"/>
          <w:numId w:val="0"/>
        </w:numPr>
        <w:spacing w:after="0"/>
        <w:rPr>
          <w:rFonts w:ascii="Arial Narrow" w:hAnsi="Arial Narrow"/>
          <w:b w:val="0"/>
          <w:sz w:val="18"/>
          <w:szCs w:val="18"/>
        </w:rPr>
      </w:pPr>
      <w:proofErr w:type="gramStart"/>
      <w:r w:rsidRPr="009B5014">
        <w:rPr>
          <w:rFonts w:ascii="Arial Narrow" w:hAnsi="Arial Narrow"/>
          <w:b w:val="0"/>
          <w:sz w:val="18"/>
          <w:szCs w:val="18"/>
          <w:vertAlign w:val="superscript"/>
        </w:rPr>
        <w:t>a</w:t>
      </w:r>
      <w:proofErr w:type="gramEnd"/>
      <w:r w:rsidRPr="009B5014">
        <w:rPr>
          <w:rFonts w:ascii="Arial Narrow" w:hAnsi="Arial Narrow"/>
          <w:b w:val="0"/>
          <w:sz w:val="18"/>
          <w:szCs w:val="18"/>
        </w:rPr>
        <w:t xml:space="preserve"> Revised during the evaluation. Based on the sponsor’s assumptions for </w:t>
      </w:r>
      <w:proofErr w:type="spellStart"/>
      <w:r w:rsidRPr="009B5014">
        <w:rPr>
          <w:rFonts w:ascii="Arial Narrow" w:hAnsi="Arial Narrow"/>
          <w:b w:val="0"/>
          <w:sz w:val="18"/>
          <w:szCs w:val="18"/>
        </w:rPr>
        <w:t>lenalidomide</w:t>
      </w:r>
      <w:proofErr w:type="spellEnd"/>
      <w:r w:rsidRPr="009B5014">
        <w:rPr>
          <w:rFonts w:ascii="Arial Narrow" w:hAnsi="Arial Narrow"/>
          <w:b w:val="0"/>
          <w:sz w:val="18"/>
          <w:szCs w:val="18"/>
        </w:rPr>
        <w:t xml:space="preserve"> median duration of treatment of </w:t>
      </w:r>
      <w:r w:rsidR="001D6F6D">
        <w:rPr>
          <w:rFonts w:ascii="Arial Narrow" w:hAnsi="Arial Narrow"/>
          <w:b w:val="0"/>
          <w:noProof/>
          <w:color w:val="000000"/>
          <w:sz w:val="18"/>
          <w:szCs w:val="18"/>
          <w:highlight w:val="black"/>
        </w:rPr>
        <w:t>''''''</w:t>
      </w:r>
      <w:r w:rsidRPr="009B5014">
        <w:rPr>
          <w:rFonts w:ascii="Arial Narrow" w:hAnsi="Arial Narrow"/>
          <w:b w:val="0"/>
          <w:sz w:val="18"/>
          <w:szCs w:val="18"/>
        </w:rPr>
        <w:t xml:space="preserve"> months, based on total patient-months divided by the mean duration of treatment over 6  years (11.7 months) estimated during evaluation.</w:t>
      </w:r>
    </w:p>
    <w:p w:rsidR="00A5228B" w:rsidRPr="009B5014" w:rsidRDefault="00A5228B" w:rsidP="00F15D28">
      <w:pPr>
        <w:pStyle w:val="PBACHeading1"/>
        <w:numPr>
          <w:ilvl w:val="0"/>
          <w:numId w:val="0"/>
        </w:numPr>
        <w:spacing w:after="0"/>
        <w:rPr>
          <w:rFonts w:ascii="Arial Narrow" w:hAnsi="Arial Narrow"/>
          <w:b w:val="0"/>
          <w:sz w:val="18"/>
          <w:szCs w:val="18"/>
        </w:rPr>
      </w:pPr>
      <w:proofErr w:type="gramStart"/>
      <w:r w:rsidRPr="009B5014">
        <w:rPr>
          <w:rFonts w:ascii="Arial Narrow" w:hAnsi="Arial Narrow"/>
          <w:b w:val="0"/>
          <w:sz w:val="18"/>
          <w:szCs w:val="18"/>
          <w:vertAlign w:val="superscript"/>
        </w:rPr>
        <w:t>b</w:t>
      </w:r>
      <w:proofErr w:type="gramEnd"/>
      <w:r w:rsidRPr="009B5014">
        <w:rPr>
          <w:rFonts w:ascii="Arial Narrow" w:hAnsi="Arial Narrow"/>
          <w:b w:val="0"/>
          <w:sz w:val="18"/>
          <w:szCs w:val="18"/>
        </w:rPr>
        <w:t xml:space="preserve"> Based on the </w:t>
      </w:r>
      <w:r w:rsidRPr="001172EE">
        <w:rPr>
          <w:rFonts w:ascii="Arial Narrow" w:hAnsi="Arial Narrow"/>
          <w:b w:val="0"/>
          <w:sz w:val="18"/>
          <w:szCs w:val="18"/>
        </w:rPr>
        <w:t xml:space="preserve">assumption of </w:t>
      </w:r>
      <w:r w:rsidR="001D6F6D">
        <w:rPr>
          <w:rFonts w:ascii="Arial Narrow" w:hAnsi="Arial Narrow"/>
          <w:b w:val="0"/>
          <w:noProof/>
          <w:color w:val="000000"/>
          <w:sz w:val="18"/>
          <w:szCs w:val="18"/>
          <w:highlight w:val="black"/>
        </w:rPr>
        <w:t>'''''''''</w:t>
      </w:r>
      <w:r w:rsidR="001B1549" w:rsidRPr="001172EE">
        <w:rPr>
          <w:rFonts w:ascii="Arial Narrow" w:hAnsi="Arial Narrow"/>
          <w:b w:val="0"/>
          <w:sz w:val="18"/>
          <w:szCs w:val="18"/>
        </w:rPr>
        <w:t xml:space="preserve"> </w:t>
      </w:r>
      <w:r w:rsidRPr="001172EE">
        <w:rPr>
          <w:rFonts w:ascii="Arial Narrow" w:hAnsi="Arial Narrow"/>
          <w:b w:val="0"/>
          <w:sz w:val="18"/>
          <w:szCs w:val="18"/>
        </w:rPr>
        <w:t xml:space="preserve"> scripts per month</w:t>
      </w:r>
      <w:r w:rsidRPr="009B5014">
        <w:rPr>
          <w:rFonts w:ascii="Arial Narrow" w:hAnsi="Arial Narrow"/>
          <w:b w:val="0"/>
          <w:sz w:val="18"/>
          <w:szCs w:val="18"/>
        </w:rPr>
        <w:t>.</w:t>
      </w:r>
    </w:p>
    <w:p w:rsidR="00A5228B" w:rsidRPr="009B5014" w:rsidRDefault="00A5228B" w:rsidP="00F15D28">
      <w:pPr>
        <w:pStyle w:val="PBACHeading1"/>
        <w:numPr>
          <w:ilvl w:val="0"/>
          <w:numId w:val="0"/>
        </w:numPr>
        <w:spacing w:after="0"/>
        <w:rPr>
          <w:rFonts w:ascii="Arial Narrow" w:hAnsi="Arial Narrow"/>
          <w:b w:val="0"/>
          <w:sz w:val="18"/>
          <w:szCs w:val="18"/>
        </w:rPr>
      </w:pPr>
      <w:proofErr w:type="gramStart"/>
      <w:r w:rsidRPr="009B5014">
        <w:rPr>
          <w:rFonts w:ascii="Arial Narrow" w:hAnsi="Arial Narrow"/>
          <w:b w:val="0"/>
          <w:sz w:val="18"/>
          <w:szCs w:val="18"/>
          <w:vertAlign w:val="superscript"/>
        </w:rPr>
        <w:t>c</w:t>
      </w:r>
      <w:proofErr w:type="gramEnd"/>
      <w:r w:rsidRPr="009B5014">
        <w:rPr>
          <w:rFonts w:ascii="Arial Narrow" w:hAnsi="Arial Narrow"/>
          <w:b w:val="0"/>
          <w:sz w:val="18"/>
          <w:szCs w:val="18"/>
        </w:rPr>
        <w:t xml:space="preserve"> Based on proposed effective prices for </w:t>
      </w:r>
      <w:proofErr w:type="spellStart"/>
      <w:r w:rsidRPr="009B5014">
        <w:rPr>
          <w:rFonts w:ascii="Arial Narrow" w:hAnsi="Arial Narrow"/>
          <w:b w:val="0"/>
          <w:sz w:val="18"/>
          <w:szCs w:val="18"/>
        </w:rPr>
        <w:t>lenalidomide</w:t>
      </w:r>
      <w:proofErr w:type="spellEnd"/>
      <w:r w:rsidRPr="009B5014">
        <w:rPr>
          <w:rFonts w:ascii="Arial Narrow" w:hAnsi="Arial Narrow"/>
          <w:b w:val="0"/>
          <w:sz w:val="18"/>
          <w:szCs w:val="18"/>
        </w:rPr>
        <w:t>.</w:t>
      </w:r>
    </w:p>
    <w:p w:rsidR="00A5228B" w:rsidRPr="009B5014" w:rsidRDefault="00A5228B" w:rsidP="00F15D28">
      <w:pPr>
        <w:pStyle w:val="PBACHeading1"/>
        <w:numPr>
          <w:ilvl w:val="0"/>
          <w:numId w:val="0"/>
        </w:numPr>
        <w:spacing w:after="0"/>
        <w:rPr>
          <w:rFonts w:ascii="Arial Narrow" w:hAnsi="Arial Narrow"/>
          <w:b w:val="0"/>
          <w:sz w:val="18"/>
          <w:szCs w:val="18"/>
        </w:rPr>
      </w:pPr>
      <w:proofErr w:type="gramStart"/>
      <w:r w:rsidRPr="009B5014">
        <w:rPr>
          <w:rFonts w:ascii="Arial Narrow" w:hAnsi="Arial Narrow"/>
          <w:b w:val="0"/>
          <w:sz w:val="18"/>
          <w:szCs w:val="18"/>
          <w:vertAlign w:val="superscript"/>
        </w:rPr>
        <w:t>d</w:t>
      </w:r>
      <w:proofErr w:type="gramEnd"/>
      <w:r w:rsidRPr="009B5014">
        <w:rPr>
          <w:rFonts w:ascii="Arial Narrow" w:hAnsi="Arial Narrow"/>
          <w:b w:val="0"/>
          <w:sz w:val="18"/>
          <w:szCs w:val="18"/>
          <w:vertAlign w:val="superscript"/>
        </w:rPr>
        <w:t xml:space="preserve"> </w:t>
      </w:r>
      <w:r w:rsidRPr="009B5014">
        <w:rPr>
          <w:rFonts w:ascii="Arial Narrow" w:hAnsi="Arial Narrow"/>
          <w:b w:val="0"/>
          <w:sz w:val="18"/>
          <w:szCs w:val="18"/>
        </w:rPr>
        <w:t>Revised during the evaluation. The estimated net cost for replaced thalidomide is based on maintenance treatment estimates from the model, the relapsed of refractory estimates were excluded during evaluation.</w:t>
      </w:r>
    </w:p>
    <w:p w:rsidR="00A5228B" w:rsidRPr="009B5014" w:rsidRDefault="00A5228B" w:rsidP="00F15D28">
      <w:pPr>
        <w:pStyle w:val="PBACHeading1"/>
        <w:numPr>
          <w:ilvl w:val="0"/>
          <w:numId w:val="0"/>
        </w:numPr>
        <w:spacing w:after="0"/>
        <w:rPr>
          <w:rFonts w:ascii="Arial Narrow" w:hAnsi="Arial Narrow"/>
          <w:b w:val="0"/>
          <w:sz w:val="18"/>
          <w:szCs w:val="18"/>
        </w:rPr>
      </w:pPr>
      <w:proofErr w:type="gramStart"/>
      <w:r w:rsidRPr="009B5014">
        <w:rPr>
          <w:rFonts w:ascii="Arial Narrow" w:hAnsi="Arial Narrow"/>
          <w:b w:val="0"/>
          <w:sz w:val="18"/>
          <w:szCs w:val="18"/>
          <w:vertAlign w:val="superscript"/>
        </w:rPr>
        <w:t>e</w:t>
      </w:r>
      <w:proofErr w:type="gramEnd"/>
      <w:r w:rsidRPr="009B5014">
        <w:rPr>
          <w:rFonts w:ascii="Arial Narrow" w:hAnsi="Arial Narrow"/>
          <w:b w:val="0"/>
          <w:sz w:val="18"/>
          <w:szCs w:val="18"/>
        </w:rPr>
        <w:t xml:space="preserve"> Revised during the evaluation. The net cost presented in the resubmission did not include the co-payments associated with listing of </w:t>
      </w:r>
      <w:proofErr w:type="spellStart"/>
      <w:r w:rsidRPr="009B5014">
        <w:rPr>
          <w:rFonts w:ascii="Arial Narrow" w:hAnsi="Arial Narrow"/>
          <w:b w:val="0"/>
          <w:sz w:val="18"/>
          <w:szCs w:val="18"/>
        </w:rPr>
        <w:t>lenalidomide</w:t>
      </w:r>
      <w:proofErr w:type="spellEnd"/>
      <w:r w:rsidRPr="009B5014">
        <w:rPr>
          <w:rFonts w:ascii="Arial Narrow" w:hAnsi="Arial Narrow"/>
          <w:b w:val="0"/>
          <w:sz w:val="18"/>
          <w:szCs w:val="18"/>
        </w:rPr>
        <w:t xml:space="preserve"> and foregone co-payments due to replacement/displacement of other medicines. </w:t>
      </w:r>
    </w:p>
    <w:p w:rsidR="00A5228B" w:rsidRDefault="00A5228B" w:rsidP="0023263B">
      <w:pPr>
        <w:keepNext/>
        <w:widowControl/>
        <w:spacing w:before="120" w:after="120"/>
      </w:pPr>
    </w:p>
    <w:p w:rsidR="006E49EC" w:rsidRDefault="00A5228B" w:rsidP="0023263B">
      <w:pPr>
        <w:pStyle w:val="ListParagraph"/>
        <w:widowControl/>
        <w:numPr>
          <w:ilvl w:val="1"/>
          <w:numId w:val="2"/>
        </w:numPr>
        <w:spacing w:before="120"/>
      </w:pPr>
      <w:r>
        <w:t xml:space="preserve">The estimated net cost to the PBS/RPBS over the first six years </w:t>
      </w:r>
      <w:proofErr w:type="gramStart"/>
      <w:r>
        <w:t>was estimated</w:t>
      </w:r>
      <w:proofErr w:type="gramEnd"/>
      <w:r>
        <w:t xml:space="preserve"> to be </w:t>
      </w:r>
      <w:r w:rsidR="00C504E3">
        <w:t>$60 - $100</w:t>
      </w:r>
      <w:r>
        <w:t xml:space="preserve"> million. </w:t>
      </w:r>
    </w:p>
    <w:p w:rsidR="001A1703" w:rsidRPr="001A1703" w:rsidRDefault="001A1703" w:rsidP="0023263B">
      <w:pPr>
        <w:pStyle w:val="ListParagraph"/>
        <w:widowControl/>
        <w:numPr>
          <w:ilvl w:val="1"/>
          <w:numId w:val="2"/>
        </w:numPr>
        <w:spacing w:before="120"/>
      </w:pPr>
      <w:r w:rsidRPr="001A1703">
        <w:rPr>
          <w:rFonts w:asciiTheme="minorHAnsi" w:hAnsiTheme="minorHAnsi"/>
          <w:szCs w:val="24"/>
        </w:rPr>
        <w:t xml:space="preserve">DUSC considered that </w:t>
      </w:r>
      <w:proofErr w:type="gramStart"/>
      <w:r w:rsidRPr="001A1703">
        <w:rPr>
          <w:rFonts w:asciiTheme="minorHAnsi" w:hAnsiTheme="minorHAnsi"/>
          <w:szCs w:val="24"/>
        </w:rPr>
        <w:t>overall,</w:t>
      </w:r>
      <w:proofErr w:type="gramEnd"/>
      <w:r w:rsidRPr="001A1703">
        <w:rPr>
          <w:rFonts w:asciiTheme="minorHAnsi" w:hAnsiTheme="minorHAnsi"/>
          <w:szCs w:val="24"/>
        </w:rPr>
        <w:t xml:space="preserve"> the estimates presented in the submission were highly uncertain and likely to be underestimated. The main issues were:</w:t>
      </w:r>
    </w:p>
    <w:p w:rsidR="001A1703" w:rsidRPr="001A1703" w:rsidRDefault="001A1703" w:rsidP="0023263B">
      <w:pPr>
        <w:pStyle w:val="BodyText"/>
        <w:numPr>
          <w:ilvl w:val="0"/>
          <w:numId w:val="7"/>
        </w:numPr>
        <w:spacing w:before="120" w:after="120"/>
        <w:ind w:left="1077" w:hanging="357"/>
        <w:jc w:val="both"/>
        <w:rPr>
          <w:rFonts w:asciiTheme="minorHAnsi" w:hAnsiTheme="minorHAnsi"/>
          <w:b/>
          <w:szCs w:val="24"/>
        </w:rPr>
      </w:pPr>
      <w:r w:rsidRPr="001A1703">
        <w:rPr>
          <w:rFonts w:asciiTheme="minorHAnsi" w:hAnsiTheme="minorHAnsi"/>
          <w:szCs w:val="24"/>
        </w:rPr>
        <w:t xml:space="preserve">DUSC could not directly evaluate the financial estimates because they </w:t>
      </w:r>
      <w:proofErr w:type="gramStart"/>
      <w:r w:rsidRPr="001A1703">
        <w:rPr>
          <w:rFonts w:asciiTheme="minorHAnsi" w:hAnsiTheme="minorHAnsi"/>
          <w:szCs w:val="24"/>
        </w:rPr>
        <w:t>were developed</w:t>
      </w:r>
      <w:proofErr w:type="gramEnd"/>
      <w:r w:rsidRPr="001A1703">
        <w:rPr>
          <w:rFonts w:asciiTheme="minorHAnsi" w:hAnsiTheme="minorHAnsi"/>
          <w:szCs w:val="24"/>
        </w:rPr>
        <w:t xml:space="preserve"> in specialised software (</w:t>
      </w:r>
      <w:proofErr w:type="spellStart"/>
      <w:r w:rsidRPr="001A1703">
        <w:rPr>
          <w:rFonts w:asciiTheme="minorHAnsi" w:hAnsiTheme="minorHAnsi"/>
          <w:szCs w:val="24"/>
        </w:rPr>
        <w:t>TreeAge</w:t>
      </w:r>
      <w:proofErr w:type="spellEnd"/>
      <w:r w:rsidRPr="001A1703">
        <w:rPr>
          <w:rFonts w:asciiTheme="minorHAnsi" w:hAnsiTheme="minorHAnsi"/>
          <w:szCs w:val="24"/>
        </w:rPr>
        <w:t xml:space="preserve"> Pro) which could not be readily accessed. As acknowledged in </w:t>
      </w:r>
      <w:r w:rsidR="00DB203B">
        <w:rPr>
          <w:rFonts w:asciiTheme="minorHAnsi" w:hAnsiTheme="minorHAnsi"/>
          <w:szCs w:val="24"/>
        </w:rPr>
        <w:t>the PSCR</w:t>
      </w:r>
      <w:r w:rsidRPr="001A1703">
        <w:rPr>
          <w:rFonts w:asciiTheme="minorHAnsi" w:hAnsiTheme="minorHAnsi"/>
          <w:szCs w:val="24"/>
        </w:rPr>
        <w:t xml:space="preserve">, the modelling approach was overly complicated and the structure and parameters informing the model </w:t>
      </w:r>
      <w:proofErr w:type="gramStart"/>
      <w:r w:rsidRPr="001A1703">
        <w:rPr>
          <w:rFonts w:asciiTheme="minorHAnsi" w:hAnsiTheme="minorHAnsi"/>
          <w:szCs w:val="24"/>
        </w:rPr>
        <w:t>could not be fully verified</w:t>
      </w:r>
      <w:proofErr w:type="gramEnd"/>
      <w:r w:rsidRPr="001A1703">
        <w:rPr>
          <w:rFonts w:asciiTheme="minorHAnsi" w:hAnsiTheme="minorHAnsi"/>
          <w:szCs w:val="24"/>
        </w:rPr>
        <w:t xml:space="preserve">. DUSC considered there was a high degree of uncertainty in the utilisation estimates presented in the resubmission due to the lack of transparency </w:t>
      </w:r>
      <w:r w:rsidRPr="001A1703">
        <w:rPr>
          <w:rFonts w:asciiTheme="minorHAnsi" w:hAnsiTheme="minorHAnsi"/>
          <w:szCs w:val="24"/>
        </w:rPr>
        <w:lastRenderedPageBreak/>
        <w:t xml:space="preserve">of the financial estimates model. </w:t>
      </w:r>
    </w:p>
    <w:p w:rsidR="001A1703" w:rsidRPr="006E49EC" w:rsidRDefault="001A1703" w:rsidP="0023263B">
      <w:pPr>
        <w:pStyle w:val="BodyText"/>
        <w:numPr>
          <w:ilvl w:val="0"/>
          <w:numId w:val="7"/>
        </w:numPr>
        <w:spacing w:before="120" w:after="120"/>
        <w:ind w:left="1077" w:hanging="357"/>
        <w:jc w:val="both"/>
        <w:rPr>
          <w:i/>
        </w:rPr>
      </w:pPr>
      <w:r w:rsidRPr="001A1703">
        <w:rPr>
          <w:rFonts w:asciiTheme="minorHAnsi" w:hAnsiTheme="minorHAnsi"/>
          <w:szCs w:val="24"/>
        </w:rPr>
        <w:t>The current scenario ‘status quo’ market share assumption was divided between BSC (</w:t>
      </w:r>
      <w:r w:rsidR="001D6F6D">
        <w:rPr>
          <w:rFonts w:asciiTheme="minorHAnsi" w:hAnsiTheme="minorHAnsi"/>
          <w:noProof/>
          <w:color w:val="000000"/>
          <w:szCs w:val="24"/>
          <w:highlight w:val="black"/>
        </w:rPr>
        <w:t>'''''''''</w:t>
      </w:r>
      <w:r w:rsidRPr="001A1703">
        <w:rPr>
          <w:rFonts w:asciiTheme="minorHAnsi" w:hAnsiTheme="minorHAnsi"/>
          <w:szCs w:val="24"/>
        </w:rPr>
        <w:t xml:space="preserve">%) and </w:t>
      </w:r>
      <w:r w:rsidRPr="00132D0C">
        <w:rPr>
          <w:rFonts w:asciiTheme="minorHAnsi" w:hAnsiTheme="minorHAnsi"/>
          <w:szCs w:val="24"/>
        </w:rPr>
        <w:t>thalidomide (</w:t>
      </w:r>
      <w:proofErr w:type="gramStart"/>
      <w:r w:rsidR="001D6F6D">
        <w:rPr>
          <w:rFonts w:asciiTheme="minorHAnsi" w:hAnsiTheme="minorHAnsi"/>
          <w:noProof/>
          <w:color w:val="000000"/>
          <w:szCs w:val="24"/>
          <w:highlight w:val="black"/>
        </w:rPr>
        <w:t>''''''''</w:t>
      </w:r>
      <w:r w:rsidRPr="00132D0C">
        <w:rPr>
          <w:rFonts w:asciiTheme="minorHAnsi" w:hAnsiTheme="minorHAnsi"/>
          <w:szCs w:val="24"/>
        </w:rPr>
        <w:t>%</w:t>
      </w:r>
      <w:proofErr w:type="gramEnd"/>
      <w:r w:rsidRPr="00132D0C">
        <w:rPr>
          <w:rFonts w:asciiTheme="minorHAnsi" w:hAnsiTheme="minorHAnsi"/>
          <w:szCs w:val="24"/>
        </w:rPr>
        <w:t>). DUSC considered</w:t>
      </w:r>
      <w:r w:rsidRPr="001A1703">
        <w:rPr>
          <w:rFonts w:asciiTheme="minorHAnsi" w:hAnsiTheme="minorHAnsi"/>
          <w:szCs w:val="24"/>
        </w:rPr>
        <w:t xml:space="preserve"> there was uncertainty basing these assumptions on the analysis of </w:t>
      </w:r>
      <w:r w:rsidR="00DB203B">
        <w:rPr>
          <w:rFonts w:asciiTheme="minorHAnsi" w:hAnsiTheme="minorHAnsi"/>
          <w:szCs w:val="24"/>
        </w:rPr>
        <w:t>MRDR</w:t>
      </w:r>
      <w:r w:rsidRPr="001A1703">
        <w:rPr>
          <w:rFonts w:asciiTheme="minorHAnsi" w:hAnsiTheme="minorHAnsi"/>
          <w:szCs w:val="24"/>
        </w:rPr>
        <w:t xml:space="preserve"> data presented in the submission.</w:t>
      </w:r>
      <w:r w:rsidR="00DB203B">
        <w:rPr>
          <w:rFonts w:asciiTheme="minorHAnsi" w:hAnsiTheme="minorHAnsi"/>
          <w:szCs w:val="24"/>
        </w:rPr>
        <w:t xml:space="preserve"> </w:t>
      </w:r>
      <w:r w:rsidRPr="00DB203B">
        <w:rPr>
          <w:rFonts w:asciiTheme="minorHAnsi" w:hAnsiTheme="minorHAnsi"/>
          <w:szCs w:val="24"/>
        </w:rPr>
        <w:t xml:space="preserve">The utilisation of </w:t>
      </w:r>
      <w:proofErr w:type="spellStart"/>
      <w:r w:rsidRPr="00DB203B">
        <w:rPr>
          <w:rFonts w:asciiTheme="minorHAnsi" w:hAnsiTheme="minorHAnsi"/>
          <w:szCs w:val="24"/>
        </w:rPr>
        <w:t>lenalidomide</w:t>
      </w:r>
      <w:proofErr w:type="spellEnd"/>
      <w:r w:rsidRPr="00DB203B">
        <w:rPr>
          <w:rFonts w:asciiTheme="minorHAnsi" w:hAnsiTheme="minorHAnsi"/>
          <w:szCs w:val="24"/>
        </w:rPr>
        <w:t xml:space="preserve"> for maintenance therapy post </w:t>
      </w:r>
      <w:r w:rsidR="00DB203B">
        <w:rPr>
          <w:rFonts w:asciiTheme="minorHAnsi" w:hAnsiTheme="minorHAnsi"/>
          <w:szCs w:val="24"/>
        </w:rPr>
        <w:t>ASCT</w:t>
      </w:r>
      <w:r w:rsidRPr="00DB203B">
        <w:rPr>
          <w:rFonts w:asciiTheme="minorHAnsi" w:hAnsiTheme="minorHAnsi"/>
          <w:szCs w:val="24"/>
        </w:rPr>
        <w:t xml:space="preserve"> was likely to be greater than estimated by the resubmission. DUSC noted that the incidence and rate of survival for MM was increasing over time. These factors </w:t>
      </w:r>
      <w:proofErr w:type="gramStart"/>
      <w:r w:rsidRPr="00DB203B">
        <w:rPr>
          <w:rFonts w:asciiTheme="minorHAnsi" w:hAnsiTheme="minorHAnsi"/>
          <w:szCs w:val="24"/>
        </w:rPr>
        <w:t>were considered</w:t>
      </w:r>
      <w:proofErr w:type="gramEnd"/>
      <w:r w:rsidRPr="00DB203B">
        <w:rPr>
          <w:rFonts w:asciiTheme="minorHAnsi" w:hAnsiTheme="minorHAnsi"/>
          <w:szCs w:val="24"/>
        </w:rPr>
        <w:t xml:space="preserve"> likely to further increase the utilisation of MM therapies beyond growth in the current treated PBS population over the forward estimates period. DUSC further considered that all new patients would commence </w:t>
      </w:r>
      <w:proofErr w:type="spellStart"/>
      <w:r w:rsidRPr="00DB203B">
        <w:rPr>
          <w:rFonts w:asciiTheme="minorHAnsi" w:hAnsiTheme="minorHAnsi"/>
          <w:szCs w:val="24"/>
        </w:rPr>
        <w:t>lenalidomide</w:t>
      </w:r>
      <w:proofErr w:type="spellEnd"/>
      <w:r w:rsidRPr="00DB203B">
        <w:rPr>
          <w:rFonts w:asciiTheme="minorHAnsi" w:hAnsiTheme="minorHAnsi"/>
          <w:szCs w:val="24"/>
        </w:rPr>
        <w:t xml:space="preserve"> and that patients on thalidomide would transition</w:t>
      </w:r>
      <w:r w:rsidRPr="00DB203B">
        <w:rPr>
          <w:rFonts w:asciiTheme="minorHAnsi" w:hAnsiTheme="minorHAnsi"/>
          <w:i/>
          <w:szCs w:val="24"/>
        </w:rPr>
        <w:t xml:space="preserve"> </w:t>
      </w:r>
      <w:proofErr w:type="gramStart"/>
      <w:r w:rsidRPr="00DB203B">
        <w:rPr>
          <w:rFonts w:asciiTheme="minorHAnsi" w:hAnsiTheme="minorHAnsi"/>
          <w:szCs w:val="24"/>
        </w:rPr>
        <w:t>fairly rapidly</w:t>
      </w:r>
      <w:proofErr w:type="gramEnd"/>
      <w:r w:rsidRPr="00DB203B">
        <w:rPr>
          <w:rFonts w:asciiTheme="minorHAnsi" w:hAnsiTheme="minorHAnsi"/>
          <w:szCs w:val="24"/>
        </w:rPr>
        <w:t xml:space="preserve"> so use would be greater than estimated by the resubmission.</w:t>
      </w:r>
    </w:p>
    <w:p w:rsidR="006E49EC" w:rsidRDefault="006E49EC" w:rsidP="0023263B">
      <w:pPr>
        <w:pStyle w:val="ListParagraph"/>
        <w:widowControl/>
        <w:numPr>
          <w:ilvl w:val="1"/>
          <w:numId w:val="2"/>
        </w:numPr>
        <w:spacing w:before="120"/>
      </w:pPr>
      <w:r>
        <w:t xml:space="preserve">The PBAC considered that any revised estimates would </w:t>
      </w:r>
      <w:r w:rsidR="00C5561F">
        <w:t xml:space="preserve">need to </w:t>
      </w:r>
      <w:r>
        <w:t>be presented using the standard utilisation and cost model spreadsheet and make only the following changes:</w:t>
      </w:r>
    </w:p>
    <w:p w:rsidR="006E49EC" w:rsidRDefault="006E49EC" w:rsidP="0023263B">
      <w:pPr>
        <w:pStyle w:val="ListParagraph"/>
        <w:widowControl/>
        <w:numPr>
          <w:ilvl w:val="1"/>
          <w:numId w:val="13"/>
        </w:numPr>
        <w:spacing w:before="120"/>
        <w:ind w:left="1077" w:hanging="357"/>
      </w:pPr>
      <w:r>
        <w:t xml:space="preserve">Incorporate the revised price of </w:t>
      </w:r>
      <w:proofErr w:type="spellStart"/>
      <w:r>
        <w:t>lenalidomide</w:t>
      </w:r>
      <w:proofErr w:type="spellEnd"/>
      <w:r>
        <w:t>;</w:t>
      </w:r>
    </w:p>
    <w:p w:rsidR="006E49EC" w:rsidRDefault="006E49EC" w:rsidP="0023263B">
      <w:pPr>
        <w:pStyle w:val="ListParagraph"/>
        <w:widowControl/>
        <w:numPr>
          <w:ilvl w:val="1"/>
          <w:numId w:val="13"/>
        </w:numPr>
        <w:spacing w:before="120"/>
        <w:ind w:left="1077" w:hanging="357"/>
      </w:pPr>
      <w:r>
        <w:t xml:space="preserve">Utilise a </w:t>
      </w:r>
      <w:r w:rsidR="001D6F6D">
        <w:rPr>
          <w:noProof/>
          <w:color w:val="000000"/>
          <w:highlight w:val="black"/>
        </w:rPr>
        <w:t>'''''''''</w:t>
      </w:r>
      <w:r>
        <w:t xml:space="preserve">% BSC and </w:t>
      </w:r>
      <w:r w:rsidR="001D6F6D">
        <w:rPr>
          <w:noProof/>
          <w:color w:val="000000"/>
          <w:highlight w:val="black"/>
        </w:rPr>
        <w:t>''''''''</w:t>
      </w:r>
      <w:r>
        <w:t>% thalidomide weighting; and</w:t>
      </w:r>
    </w:p>
    <w:p w:rsidR="006E49EC" w:rsidRPr="00DB203B" w:rsidRDefault="006E49EC" w:rsidP="0023263B">
      <w:pPr>
        <w:pStyle w:val="BodyText"/>
        <w:numPr>
          <w:ilvl w:val="1"/>
          <w:numId w:val="13"/>
        </w:numPr>
        <w:spacing w:before="120" w:after="120"/>
        <w:ind w:left="1077" w:hanging="357"/>
        <w:jc w:val="both"/>
        <w:rPr>
          <w:i/>
        </w:rPr>
      </w:pPr>
      <w:r>
        <w:t>Use the mean time on therapy (</w:t>
      </w:r>
      <w:r w:rsidR="00FB5909">
        <w:rPr>
          <w:noProof/>
          <w:color w:val="000000"/>
          <w:highlight w:val="black"/>
        </w:rPr>
        <w:t>''''''''</w:t>
      </w:r>
      <w:r>
        <w:t xml:space="preserve"> months) from the CALGB trial.</w:t>
      </w:r>
    </w:p>
    <w:p w:rsidR="006346BE" w:rsidRPr="00C11835" w:rsidRDefault="006346BE" w:rsidP="0023263B">
      <w:pPr>
        <w:pStyle w:val="Heading2"/>
        <w:spacing w:before="120"/>
      </w:pPr>
      <w:r w:rsidRPr="00C11835">
        <w:t>Financial Management – Risk Sharing Arrangement</w:t>
      </w:r>
    </w:p>
    <w:p w:rsidR="00DB203B" w:rsidRPr="00AC5692" w:rsidRDefault="006346BE" w:rsidP="0023263B">
      <w:pPr>
        <w:pStyle w:val="ListParagraph"/>
        <w:widowControl/>
        <w:numPr>
          <w:ilvl w:val="1"/>
          <w:numId w:val="2"/>
        </w:numPr>
        <w:spacing w:before="120"/>
      </w:pPr>
      <w:r w:rsidRPr="00C11835">
        <w:rPr>
          <w:rFonts w:asciiTheme="minorHAnsi" w:hAnsiTheme="minorHAnsi" w:cstheme="minorHAnsi"/>
        </w:rPr>
        <w:t xml:space="preserve">The resubmission proposed that the extension of the indication </w:t>
      </w:r>
      <w:proofErr w:type="gramStart"/>
      <w:r w:rsidRPr="00C11835">
        <w:rPr>
          <w:rFonts w:asciiTheme="minorHAnsi" w:hAnsiTheme="minorHAnsi" w:cstheme="minorHAnsi"/>
        </w:rPr>
        <w:t>be incorporated</w:t>
      </w:r>
      <w:proofErr w:type="gramEnd"/>
      <w:r w:rsidRPr="00C11835">
        <w:rPr>
          <w:rFonts w:asciiTheme="minorHAnsi" w:hAnsiTheme="minorHAnsi" w:cstheme="minorHAnsi"/>
        </w:rPr>
        <w:t xml:space="preserve"> into the existing </w:t>
      </w:r>
      <w:r w:rsidR="00AC5692">
        <w:rPr>
          <w:rFonts w:asciiTheme="minorHAnsi" w:hAnsiTheme="minorHAnsi" w:cstheme="minorHAnsi"/>
        </w:rPr>
        <w:t>R</w:t>
      </w:r>
      <w:r w:rsidRPr="00C11835">
        <w:rPr>
          <w:rFonts w:asciiTheme="minorHAnsi" w:hAnsiTheme="minorHAnsi" w:cstheme="minorHAnsi"/>
        </w:rPr>
        <w:t>isk</w:t>
      </w:r>
      <w:r w:rsidR="00AC5692">
        <w:rPr>
          <w:rFonts w:asciiTheme="minorHAnsi" w:hAnsiTheme="minorHAnsi" w:cstheme="minorHAnsi"/>
        </w:rPr>
        <w:t xml:space="preserve"> S</w:t>
      </w:r>
      <w:r w:rsidRPr="00C11835">
        <w:rPr>
          <w:rFonts w:asciiTheme="minorHAnsi" w:hAnsiTheme="minorHAnsi" w:cstheme="minorHAnsi"/>
        </w:rPr>
        <w:t xml:space="preserve">haring </w:t>
      </w:r>
      <w:r w:rsidR="00AC5692">
        <w:rPr>
          <w:rFonts w:asciiTheme="minorHAnsi" w:hAnsiTheme="minorHAnsi" w:cstheme="minorHAnsi"/>
        </w:rPr>
        <w:t>A</w:t>
      </w:r>
      <w:r w:rsidRPr="00C11835">
        <w:rPr>
          <w:rFonts w:asciiTheme="minorHAnsi" w:hAnsiTheme="minorHAnsi" w:cstheme="minorHAnsi"/>
        </w:rPr>
        <w:t>rrangement</w:t>
      </w:r>
      <w:r w:rsidR="00AC5692">
        <w:rPr>
          <w:rFonts w:asciiTheme="minorHAnsi" w:hAnsiTheme="minorHAnsi" w:cstheme="minorHAnsi"/>
        </w:rPr>
        <w:t xml:space="preserve"> (RSA)</w:t>
      </w:r>
      <w:r w:rsidRPr="00C11835">
        <w:rPr>
          <w:rFonts w:asciiTheme="minorHAnsi" w:hAnsiTheme="minorHAnsi" w:cstheme="minorHAnsi"/>
        </w:rPr>
        <w:t xml:space="preserve"> for </w:t>
      </w:r>
      <w:proofErr w:type="spellStart"/>
      <w:r w:rsidRPr="00C11835">
        <w:rPr>
          <w:rFonts w:asciiTheme="minorHAnsi" w:hAnsiTheme="minorHAnsi" w:cstheme="minorHAnsi"/>
        </w:rPr>
        <w:t>lenalidomide</w:t>
      </w:r>
      <w:proofErr w:type="spellEnd"/>
      <w:r w:rsidRPr="00C11835">
        <w:rPr>
          <w:rFonts w:asciiTheme="minorHAnsi" w:hAnsiTheme="minorHAnsi" w:cstheme="minorHAnsi"/>
        </w:rPr>
        <w:t xml:space="preserve">. The resubmission did not provide details of how the existing </w:t>
      </w:r>
      <w:r w:rsidR="00AC5692">
        <w:rPr>
          <w:rFonts w:asciiTheme="minorHAnsi" w:hAnsiTheme="minorHAnsi" w:cstheme="minorHAnsi"/>
        </w:rPr>
        <w:t>RSA</w:t>
      </w:r>
      <w:r w:rsidRPr="00C11835">
        <w:rPr>
          <w:rFonts w:asciiTheme="minorHAnsi" w:hAnsiTheme="minorHAnsi" w:cstheme="minorHAnsi"/>
        </w:rPr>
        <w:t xml:space="preserve"> might be extended to incorporate the expansion of the indication, or to allow for potential displacement of </w:t>
      </w:r>
      <w:proofErr w:type="spellStart"/>
      <w:r w:rsidRPr="00C11835">
        <w:rPr>
          <w:rFonts w:asciiTheme="minorHAnsi" w:hAnsiTheme="minorHAnsi" w:cstheme="minorHAnsi"/>
        </w:rPr>
        <w:t>lenalidomide</w:t>
      </w:r>
      <w:proofErr w:type="spellEnd"/>
      <w:r w:rsidRPr="00C11835">
        <w:rPr>
          <w:rFonts w:asciiTheme="minorHAnsi" w:hAnsiTheme="minorHAnsi" w:cstheme="minorHAnsi"/>
        </w:rPr>
        <w:t xml:space="preserve"> in the RRMM setting</w:t>
      </w:r>
    </w:p>
    <w:p w:rsidR="00AC5692" w:rsidRPr="006346BE" w:rsidRDefault="00AC5692" w:rsidP="0023263B">
      <w:pPr>
        <w:pStyle w:val="ListParagraph"/>
        <w:widowControl/>
        <w:numPr>
          <w:ilvl w:val="1"/>
          <w:numId w:val="2"/>
        </w:numPr>
        <w:spacing w:before="120"/>
      </w:pPr>
      <w:r>
        <w:t xml:space="preserve">The PBAC considered that </w:t>
      </w:r>
      <w:r w:rsidR="003749EC">
        <w:t xml:space="preserve">an </w:t>
      </w:r>
      <w:r>
        <w:t xml:space="preserve">RSA was required. The financial estimates, as acknowledged in the pre-PBAC response, are complex and the MM market is dynamic. To mitigate the uncertainty in the estimated overall increased use of </w:t>
      </w:r>
      <w:proofErr w:type="spellStart"/>
      <w:r>
        <w:t>lenalidomide</w:t>
      </w:r>
      <w:proofErr w:type="spellEnd"/>
      <w:r>
        <w:t xml:space="preserve"> and to address some of the DUSC concerns, </w:t>
      </w:r>
      <w:r w:rsidR="00E84FB4">
        <w:t xml:space="preserve">the PBAC considered that </w:t>
      </w:r>
      <w:r>
        <w:t xml:space="preserve">a new deed </w:t>
      </w:r>
      <w:proofErr w:type="gramStart"/>
      <w:r>
        <w:t>should be negotiated</w:t>
      </w:r>
      <w:proofErr w:type="gramEnd"/>
      <w:r>
        <w:t xml:space="preserve"> </w:t>
      </w:r>
      <w:r w:rsidRPr="00132D0C">
        <w:t>that combines caps across the current PBS indications in NDMM and RRMM</w:t>
      </w:r>
      <w:r w:rsidR="003749EC" w:rsidRPr="00132D0C">
        <w:t>,</w:t>
      </w:r>
      <w:r w:rsidRPr="00132D0C">
        <w:t xml:space="preserve"> with the maintenance post-ASCT estimates</w:t>
      </w:r>
      <w:r w:rsidR="003749EC" w:rsidRPr="00132D0C">
        <w:t xml:space="preserve"> revised as recommended </w:t>
      </w:r>
      <w:r w:rsidR="003C7DAA" w:rsidRPr="00132D0C">
        <w:t>in paragraph 6.7</w:t>
      </w:r>
      <w:r w:rsidR="00C5561F" w:rsidRPr="00132D0C">
        <w:t>2</w:t>
      </w:r>
      <w:r w:rsidR="003C7DAA" w:rsidRPr="00132D0C">
        <w:t xml:space="preserve"> </w:t>
      </w:r>
      <w:r w:rsidR="001B1549" w:rsidRPr="00132D0C">
        <w:t>above</w:t>
      </w:r>
      <w:r w:rsidRPr="00132D0C">
        <w:t xml:space="preserve">. </w:t>
      </w:r>
      <w:r w:rsidR="00726E12" w:rsidRPr="00132D0C">
        <w:t>The</w:t>
      </w:r>
      <w:r w:rsidR="00726E12">
        <w:t xml:space="preserve"> PBAC recalled that the initial recommendation for RRMM was based on a sponsor proposed RSA, </w:t>
      </w:r>
      <w:r w:rsidR="001D6F6D">
        <w:rPr>
          <w:noProof/>
          <w:color w:val="000000"/>
          <w:highlight w:val="black"/>
        </w:rPr>
        <w:t>''''''''' '' ''''''''''' ''''''''''''''' ''''' ''''''''''''''''''''' ''''''''''''''''''''' '''''' ''''''''''''''''''''''''' '''''' '''''''''' ''''''''''''' '''''''''' '''''''' ''''''''''''''' '''' '''''''''''''''''''''</w:t>
      </w:r>
      <w:r w:rsidR="00726E12">
        <w:t xml:space="preserve">. The PBAC recalled that </w:t>
      </w:r>
      <w:r w:rsidR="00347F7E">
        <w:t>i</w:t>
      </w:r>
      <w:r w:rsidR="006B69FD">
        <w:t>t</w:t>
      </w:r>
      <w:r w:rsidR="00347F7E">
        <w:t xml:space="preserve"> considered that use of </w:t>
      </w:r>
      <w:proofErr w:type="spellStart"/>
      <w:r w:rsidR="00347F7E">
        <w:t>lenalidomide</w:t>
      </w:r>
      <w:proofErr w:type="spellEnd"/>
      <w:r w:rsidR="00347F7E">
        <w:t xml:space="preserve"> for the treatment of RRMM </w:t>
      </w:r>
      <w:r w:rsidR="001D6F6D">
        <w:rPr>
          <w:noProof/>
          <w:color w:val="000000"/>
          <w:highlight w:val="black"/>
        </w:rPr>
        <w:t>''''''''''''' ''''' '''''''''''''' ''''' '''''''' ''''''''''''''' ''''''''''' ''''''' ''''' '''''''' ''''''''''''''''' ''''''''''''''''''''' '''''''' '''''''''''''''''''''''' '''''''''''''''' '''''''''''''''''''''' '''''''''''</w:t>
      </w:r>
      <w:r w:rsidR="00347F7E">
        <w:t xml:space="preserve">. </w:t>
      </w:r>
      <w:r w:rsidR="00726E12">
        <w:t xml:space="preserve">As such, the PBAC noted that for RRMM, </w:t>
      </w:r>
      <w:r w:rsidR="001D6F6D">
        <w:rPr>
          <w:noProof/>
          <w:color w:val="000000"/>
          <w:highlight w:val="black"/>
        </w:rPr>
        <w:t>'''''' ''''''''''''''' ''''''' ''''''''''''' '''''' ''''''''''''''''</w:t>
      </w:r>
      <w:r w:rsidR="00726E12">
        <w:t xml:space="preserve">; </w:t>
      </w:r>
      <w:r w:rsidR="00347F7E">
        <w:t xml:space="preserve">and </w:t>
      </w:r>
      <w:r w:rsidR="00726E12">
        <w:t>for NDMM</w:t>
      </w:r>
      <w:r w:rsidR="00347F7E">
        <w:t xml:space="preserve"> in patients ineligible for ASCT,</w:t>
      </w:r>
      <w:r w:rsidR="00726E12">
        <w:t xml:space="preserve"> </w:t>
      </w:r>
      <w:r w:rsidR="001D6F6D">
        <w:rPr>
          <w:noProof/>
          <w:color w:val="000000"/>
          <w:highlight w:val="black"/>
        </w:rPr>
        <w:t>''''''''''' '''''''''''' ''''''''''''' ''''' ''''''''''' '''''''''' '''''' '''''''''''''''''''''''''''''''' ''''' ''''''' '''' ''''''''''''' '''' '''''' '''''''' '''''''' '''''''''' '''' ''''''''''''</w:t>
      </w:r>
      <w:r w:rsidR="00347F7E">
        <w:t xml:space="preserve">. </w:t>
      </w:r>
      <w:r w:rsidR="00726E12">
        <w:t xml:space="preserve">Further, the PBAC considered that the new deed should include </w:t>
      </w:r>
      <w:r w:rsidR="001D6F6D">
        <w:rPr>
          <w:noProof/>
          <w:color w:val="000000"/>
          <w:highlight w:val="black"/>
        </w:rPr>
        <w:t>'''''''''' ''''''''</w:t>
      </w:r>
      <w:r w:rsidR="00726E12">
        <w:t xml:space="preserve">, i.e. any PBS expenditure beyond these caps would result in a </w:t>
      </w:r>
      <w:r w:rsidR="001D6F6D">
        <w:rPr>
          <w:noProof/>
          <w:color w:val="000000"/>
          <w:highlight w:val="black"/>
        </w:rPr>
        <w:t>''''''''</w:t>
      </w:r>
      <w:r w:rsidR="00726E12">
        <w:t>% reba</w:t>
      </w:r>
      <w:r w:rsidR="006E49EC">
        <w:t>t</w:t>
      </w:r>
      <w:r w:rsidR="00726E12">
        <w:t xml:space="preserve">e, rather than the current </w:t>
      </w:r>
      <w:r w:rsidR="001D6F6D">
        <w:rPr>
          <w:noProof/>
          <w:color w:val="000000"/>
          <w:highlight w:val="black"/>
        </w:rPr>
        <w:t>'''''</w:t>
      </w:r>
      <w:r w:rsidR="00726E12">
        <w:t xml:space="preserve">% rebate for NDMM and RRMM. </w:t>
      </w:r>
    </w:p>
    <w:p w:rsidR="006346BE" w:rsidRDefault="006346BE" w:rsidP="0023263B">
      <w:pPr>
        <w:pStyle w:val="Heading2"/>
        <w:spacing w:before="120"/>
        <w:rPr>
          <w:color w:val="000000" w:themeColor="text1"/>
        </w:rPr>
      </w:pPr>
      <w:r w:rsidRPr="007B703F">
        <w:rPr>
          <w:color w:val="000000" w:themeColor="text1"/>
        </w:rPr>
        <w:lastRenderedPageBreak/>
        <w:t>Quality Use of Medicines</w:t>
      </w:r>
    </w:p>
    <w:p w:rsidR="006D772C" w:rsidRPr="00D539BE" w:rsidRDefault="006D772C" w:rsidP="0023263B">
      <w:pPr>
        <w:pStyle w:val="ListParagraph"/>
        <w:widowControl/>
        <w:numPr>
          <w:ilvl w:val="1"/>
          <w:numId w:val="2"/>
        </w:numPr>
        <w:spacing w:before="120"/>
      </w:pPr>
      <w:r>
        <w:t xml:space="preserve">As noted for the March 2018 submission, the risk of Second Primary Malignancy (SPM) should be considered before initiating on </w:t>
      </w:r>
      <w:proofErr w:type="spellStart"/>
      <w:r>
        <w:t>lenalidomide</w:t>
      </w:r>
      <w:proofErr w:type="spellEnd"/>
      <w:r>
        <w:t xml:space="preserve"> (6.03.DUSC ADV.2, March 2018).</w:t>
      </w:r>
    </w:p>
    <w:p w:rsidR="00600AD1" w:rsidRPr="00600AD1" w:rsidRDefault="00D539BE" w:rsidP="0023263B">
      <w:pPr>
        <w:widowControl/>
        <w:spacing w:before="120" w:after="120"/>
        <w:ind w:left="720"/>
        <w:rPr>
          <w:i/>
        </w:rPr>
      </w:pPr>
      <w:r w:rsidRPr="00D539BE">
        <w:rPr>
          <w:i/>
        </w:rPr>
        <w:t>For more detail on PBAC’s vi</w:t>
      </w:r>
      <w:r w:rsidR="00132D0C">
        <w:rPr>
          <w:i/>
        </w:rPr>
        <w:t>ew, see Section 7 PBAC outcome.</w:t>
      </w:r>
    </w:p>
    <w:p w:rsidR="006D772C" w:rsidRPr="008E7EC4" w:rsidRDefault="006D772C" w:rsidP="0023263B">
      <w:pPr>
        <w:pStyle w:val="Heading1"/>
        <w:keepLines/>
        <w:widowControl/>
        <w:numPr>
          <w:ilvl w:val="0"/>
          <w:numId w:val="2"/>
        </w:numPr>
        <w:spacing w:before="120"/>
        <w:ind w:left="709" w:hanging="709"/>
        <w:rPr>
          <w:rFonts w:asciiTheme="minorHAnsi" w:eastAsiaTheme="majorEastAsia" w:hAnsiTheme="minorHAnsi" w:cstheme="majorBidi"/>
          <w:caps w:val="0"/>
          <w:snapToGrid/>
          <w:szCs w:val="28"/>
        </w:rPr>
      </w:pPr>
      <w:r w:rsidRPr="008E7EC4">
        <w:rPr>
          <w:rFonts w:asciiTheme="minorHAnsi" w:eastAsiaTheme="majorEastAsia" w:hAnsiTheme="minorHAnsi" w:cstheme="majorBidi"/>
          <w:caps w:val="0"/>
          <w:snapToGrid/>
          <w:szCs w:val="28"/>
        </w:rPr>
        <w:t>PBAC Outcome</w:t>
      </w:r>
    </w:p>
    <w:p w:rsidR="006D772C" w:rsidRDefault="006D772C" w:rsidP="0023263B">
      <w:pPr>
        <w:numPr>
          <w:ilvl w:val="1"/>
          <w:numId w:val="2"/>
        </w:numPr>
        <w:spacing w:before="120" w:after="120"/>
        <w:rPr>
          <w:rFonts w:asciiTheme="minorHAnsi" w:hAnsiTheme="minorHAnsi"/>
          <w:bCs/>
          <w:lang w:val="en-GB"/>
        </w:rPr>
      </w:pPr>
      <w:r w:rsidRPr="00525B39">
        <w:rPr>
          <w:rFonts w:asciiTheme="minorHAnsi" w:hAnsiTheme="minorHAnsi"/>
          <w:bCs/>
          <w:lang w:val="en-GB"/>
        </w:rPr>
        <w:t xml:space="preserve">The PBAC </w:t>
      </w:r>
      <w:r w:rsidR="007777D1">
        <w:rPr>
          <w:rFonts w:asciiTheme="minorHAnsi" w:hAnsiTheme="minorHAnsi"/>
          <w:bCs/>
          <w:lang w:val="en-GB"/>
        </w:rPr>
        <w:t>decided to defer th</w:t>
      </w:r>
      <w:r w:rsidRPr="00525B39">
        <w:rPr>
          <w:rFonts w:asciiTheme="minorHAnsi" w:hAnsiTheme="minorHAnsi"/>
          <w:bCs/>
          <w:lang w:val="en-GB"/>
        </w:rPr>
        <w:t xml:space="preserve">e listing of </w:t>
      </w:r>
      <w:proofErr w:type="spellStart"/>
      <w:r w:rsidR="007777D1">
        <w:rPr>
          <w:rFonts w:asciiTheme="minorHAnsi" w:hAnsiTheme="minorHAnsi"/>
          <w:bCs/>
          <w:lang w:val="en-GB"/>
        </w:rPr>
        <w:t>lenalidomide</w:t>
      </w:r>
      <w:proofErr w:type="spellEnd"/>
      <w:r w:rsidR="00765302">
        <w:rPr>
          <w:rFonts w:asciiTheme="minorHAnsi" w:hAnsiTheme="minorHAnsi"/>
          <w:bCs/>
          <w:lang w:val="en-GB"/>
        </w:rPr>
        <w:t xml:space="preserve"> for the maintenance treatment of patients with multiple myeloma following an autologous stem cell transplant (ASCT</w:t>
      </w:r>
      <w:r w:rsidR="008E7EC4">
        <w:rPr>
          <w:rFonts w:asciiTheme="minorHAnsi" w:hAnsiTheme="minorHAnsi"/>
          <w:bCs/>
          <w:lang w:val="en-GB"/>
        </w:rPr>
        <w:t>)</w:t>
      </w:r>
      <w:r w:rsidRPr="00525B39">
        <w:rPr>
          <w:rFonts w:asciiTheme="minorHAnsi" w:hAnsiTheme="minorHAnsi"/>
          <w:bCs/>
          <w:lang w:val="en-GB"/>
        </w:rPr>
        <w:t xml:space="preserve">. </w:t>
      </w:r>
      <w:proofErr w:type="gramStart"/>
      <w:r w:rsidR="00765302" w:rsidRPr="00765302">
        <w:rPr>
          <w:rFonts w:asciiTheme="minorHAnsi" w:hAnsiTheme="minorHAnsi"/>
          <w:bCs/>
          <w:lang w:val="en-GB"/>
        </w:rPr>
        <w:t xml:space="preserve">The PBAC was satisfied that </w:t>
      </w:r>
      <w:proofErr w:type="spellStart"/>
      <w:r w:rsidR="00765302" w:rsidRPr="00765302">
        <w:rPr>
          <w:rFonts w:asciiTheme="minorHAnsi" w:hAnsiTheme="minorHAnsi"/>
          <w:bCs/>
          <w:lang w:val="en-GB"/>
        </w:rPr>
        <w:t>lenalidomide</w:t>
      </w:r>
      <w:proofErr w:type="spellEnd"/>
      <w:r w:rsidRPr="00765302">
        <w:rPr>
          <w:rFonts w:asciiTheme="minorHAnsi" w:hAnsiTheme="minorHAnsi"/>
          <w:bCs/>
          <w:lang w:val="en-GB"/>
        </w:rPr>
        <w:t xml:space="preserve"> provides, for some patients, a significant improvement in efficacy </w:t>
      </w:r>
      <w:r w:rsidR="00765302" w:rsidRPr="00765302">
        <w:rPr>
          <w:rFonts w:asciiTheme="minorHAnsi" w:hAnsiTheme="minorHAnsi"/>
          <w:bCs/>
          <w:lang w:val="en-GB"/>
        </w:rPr>
        <w:t>over placebo</w:t>
      </w:r>
      <w:r w:rsidR="003D54DE">
        <w:rPr>
          <w:rFonts w:asciiTheme="minorHAnsi" w:hAnsiTheme="minorHAnsi"/>
          <w:bCs/>
          <w:lang w:val="en-GB"/>
        </w:rPr>
        <w:t>,</w:t>
      </w:r>
      <w:r w:rsidR="00765302" w:rsidRPr="00765302">
        <w:rPr>
          <w:rFonts w:asciiTheme="minorHAnsi" w:hAnsiTheme="minorHAnsi"/>
          <w:bCs/>
          <w:lang w:val="en-GB"/>
        </w:rPr>
        <w:t xml:space="preserve"> and a </w:t>
      </w:r>
      <w:r w:rsidR="00E37C53">
        <w:rPr>
          <w:rFonts w:asciiTheme="minorHAnsi" w:hAnsiTheme="minorHAnsi"/>
          <w:bCs/>
          <w:lang w:val="en-GB"/>
        </w:rPr>
        <w:t xml:space="preserve">different toxicity profile, with notably lower rates of peripheral neuropathy, compared to </w:t>
      </w:r>
      <w:r w:rsidR="00765302" w:rsidRPr="00765302">
        <w:rPr>
          <w:rFonts w:asciiTheme="minorHAnsi" w:hAnsiTheme="minorHAnsi"/>
          <w:bCs/>
          <w:lang w:val="en-GB"/>
        </w:rPr>
        <w:t>thalidomide</w:t>
      </w:r>
      <w:r w:rsidR="00765302">
        <w:rPr>
          <w:rFonts w:asciiTheme="minorHAnsi" w:hAnsiTheme="minorHAnsi"/>
          <w:bCs/>
          <w:lang w:val="en-GB"/>
        </w:rPr>
        <w:t xml:space="preserve">; however, the PBAC considered that </w:t>
      </w:r>
      <w:r w:rsidR="00B70E55">
        <w:rPr>
          <w:rFonts w:asciiTheme="minorHAnsi" w:hAnsiTheme="minorHAnsi"/>
          <w:bCs/>
          <w:lang w:val="en-GB"/>
        </w:rPr>
        <w:t>at the proposed price the incremental cost-effectiveness ratio (ICER) was too high given the level of uncertainty surrounding the economic analyses</w:t>
      </w:r>
      <w:r w:rsidR="00387D59">
        <w:rPr>
          <w:rFonts w:asciiTheme="minorHAnsi" w:hAnsiTheme="minorHAnsi"/>
          <w:bCs/>
          <w:lang w:val="en-GB"/>
        </w:rPr>
        <w:t>,</w:t>
      </w:r>
      <w:r w:rsidR="00B70E55">
        <w:rPr>
          <w:rFonts w:asciiTheme="minorHAnsi" w:hAnsiTheme="minorHAnsi"/>
          <w:bCs/>
          <w:lang w:val="en-GB"/>
        </w:rPr>
        <w:t xml:space="preserve"> and that the estimates of overall cost were uncertain.</w:t>
      </w:r>
      <w:proofErr w:type="gramEnd"/>
    </w:p>
    <w:p w:rsidR="005221D6" w:rsidRDefault="00B70E55" w:rsidP="0023263B">
      <w:pPr>
        <w:numPr>
          <w:ilvl w:val="1"/>
          <w:numId w:val="2"/>
        </w:numPr>
        <w:spacing w:before="120" w:after="120"/>
        <w:rPr>
          <w:rFonts w:asciiTheme="minorHAnsi" w:hAnsiTheme="minorHAnsi"/>
          <w:bCs/>
          <w:lang w:val="en-GB"/>
        </w:rPr>
      </w:pPr>
      <w:r>
        <w:rPr>
          <w:rFonts w:asciiTheme="minorHAnsi" w:hAnsiTheme="minorHAnsi"/>
          <w:bCs/>
          <w:lang w:val="en-GB"/>
        </w:rPr>
        <w:t xml:space="preserve">The PBAC acknowledged </w:t>
      </w:r>
      <w:r w:rsidR="008E7EC4">
        <w:rPr>
          <w:rFonts w:asciiTheme="minorHAnsi" w:hAnsiTheme="minorHAnsi"/>
          <w:bCs/>
          <w:lang w:val="en-GB"/>
        </w:rPr>
        <w:t xml:space="preserve">the high clinical need for effective and tolerable treatment in the maintenance setting following ASCT. This </w:t>
      </w:r>
      <w:proofErr w:type="gramStart"/>
      <w:r w:rsidR="008E7EC4">
        <w:rPr>
          <w:rFonts w:asciiTheme="minorHAnsi" w:hAnsiTheme="minorHAnsi"/>
          <w:bCs/>
          <w:lang w:val="en-GB"/>
        </w:rPr>
        <w:t>was strongly supported</w:t>
      </w:r>
      <w:proofErr w:type="gramEnd"/>
      <w:r w:rsidR="008E7EC4">
        <w:rPr>
          <w:rFonts w:asciiTheme="minorHAnsi" w:hAnsiTheme="minorHAnsi"/>
          <w:bCs/>
          <w:lang w:val="en-GB"/>
        </w:rPr>
        <w:t xml:space="preserve"> by </w:t>
      </w:r>
      <w:r>
        <w:rPr>
          <w:rFonts w:asciiTheme="minorHAnsi" w:hAnsiTheme="minorHAnsi"/>
          <w:bCs/>
          <w:lang w:val="en-GB"/>
        </w:rPr>
        <w:t>the consumer comments received, noting that they</w:t>
      </w:r>
      <w:r w:rsidR="005221D6">
        <w:rPr>
          <w:rFonts w:asciiTheme="minorHAnsi" w:hAnsiTheme="minorHAnsi"/>
          <w:bCs/>
          <w:lang w:val="en-GB"/>
        </w:rPr>
        <w:t xml:space="preserve"> described a range of benefits for </w:t>
      </w:r>
      <w:proofErr w:type="spellStart"/>
      <w:r w:rsidR="005221D6">
        <w:rPr>
          <w:rFonts w:asciiTheme="minorHAnsi" w:hAnsiTheme="minorHAnsi"/>
          <w:bCs/>
          <w:lang w:val="en-GB"/>
        </w:rPr>
        <w:t>lenalidomide</w:t>
      </w:r>
      <w:proofErr w:type="spellEnd"/>
      <w:r w:rsidR="005221D6">
        <w:rPr>
          <w:rFonts w:asciiTheme="minorHAnsi" w:hAnsiTheme="minorHAnsi"/>
          <w:bCs/>
          <w:lang w:val="en-GB"/>
        </w:rPr>
        <w:t>, including improved survival and quality of life and an improved toxicity profile compared to thalidomide.</w:t>
      </w:r>
    </w:p>
    <w:p w:rsidR="005221D6" w:rsidRDefault="005221D6" w:rsidP="0023263B">
      <w:pPr>
        <w:numPr>
          <w:ilvl w:val="1"/>
          <w:numId w:val="2"/>
        </w:numPr>
        <w:spacing w:before="120" w:after="120"/>
        <w:rPr>
          <w:rFonts w:asciiTheme="minorHAnsi" w:hAnsiTheme="minorHAnsi"/>
          <w:bCs/>
          <w:lang w:val="en-GB"/>
        </w:rPr>
      </w:pPr>
      <w:r>
        <w:rPr>
          <w:rFonts w:asciiTheme="minorHAnsi" w:hAnsiTheme="minorHAnsi"/>
          <w:bCs/>
          <w:lang w:val="en-GB"/>
        </w:rPr>
        <w:t xml:space="preserve">The PBAC noted that the resubmission </w:t>
      </w:r>
      <w:r w:rsidR="00BA65BC">
        <w:rPr>
          <w:rFonts w:asciiTheme="minorHAnsi" w:hAnsiTheme="minorHAnsi"/>
          <w:bCs/>
          <w:lang w:val="en-GB"/>
        </w:rPr>
        <w:t xml:space="preserve">appropriately </w:t>
      </w:r>
      <w:r>
        <w:rPr>
          <w:rFonts w:asciiTheme="minorHAnsi" w:hAnsiTheme="minorHAnsi"/>
          <w:bCs/>
          <w:lang w:val="en-GB"/>
        </w:rPr>
        <w:t>presented a mixed comparator of thalidomide and best supportive care (BSC), as recommended at the March 2018 consideration.</w:t>
      </w:r>
    </w:p>
    <w:p w:rsidR="00B70E55" w:rsidRDefault="005221D6" w:rsidP="0023263B">
      <w:pPr>
        <w:numPr>
          <w:ilvl w:val="1"/>
          <w:numId w:val="2"/>
        </w:numPr>
        <w:spacing w:before="120" w:after="120"/>
        <w:rPr>
          <w:rFonts w:asciiTheme="minorHAnsi" w:hAnsiTheme="minorHAnsi"/>
          <w:bCs/>
          <w:lang w:val="en-GB"/>
        </w:rPr>
      </w:pPr>
      <w:r>
        <w:rPr>
          <w:rFonts w:asciiTheme="minorHAnsi" w:hAnsiTheme="minorHAnsi"/>
          <w:bCs/>
          <w:lang w:val="en-GB"/>
        </w:rPr>
        <w:t xml:space="preserve">The PBAC noted that the </w:t>
      </w:r>
      <w:r w:rsidR="004F6003">
        <w:rPr>
          <w:rFonts w:asciiTheme="minorHAnsi" w:hAnsiTheme="minorHAnsi"/>
          <w:bCs/>
          <w:lang w:val="en-GB"/>
        </w:rPr>
        <w:t xml:space="preserve">resubmission proposed relative weights for the mixed comparator of </w:t>
      </w:r>
      <w:r w:rsidR="001D6F6D">
        <w:rPr>
          <w:rFonts w:asciiTheme="minorHAnsi" w:hAnsiTheme="minorHAnsi"/>
          <w:bCs/>
          <w:noProof/>
          <w:color w:val="000000"/>
          <w:highlight w:val="black"/>
          <w:lang w:val="en-GB"/>
        </w:rPr>
        <w:t>''''''''</w:t>
      </w:r>
      <w:r w:rsidR="004F6003">
        <w:rPr>
          <w:rFonts w:asciiTheme="minorHAnsi" w:hAnsiTheme="minorHAnsi"/>
          <w:bCs/>
          <w:lang w:val="en-GB"/>
        </w:rPr>
        <w:t xml:space="preserve">% BSC </w:t>
      </w:r>
      <w:r w:rsidR="004F6003" w:rsidRPr="00132D0C">
        <w:rPr>
          <w:rFonts w:asciiTheme="minorHAnsi" w:hAnsiTheme="minorHAnsi"/>
          <w:bCs/>
          <w:lang w:val="en-GB"/>
        </w:rPr>
        <w:t xml:space="preserve">and </w:t>
      </w:r>
      <w:proofErr w:type="gramStart"/>
      <w:r w:rsidR="001D6F6D">
        <w:rPr>
          <w:rFonts w:asciiTheme="minorHAnsi" w:hAnsiTheme="minorHAnsi"/>
          <w:bCs/>
          <w:noProof/>
          <w:color w:val="000000"/>
          <w:highlight w:val="black"/>
          <w:lang w:val="en-GB"/>
        </w:rPr>
        <w:t>''''''''</w:t>
      </w:r>
      <w:r w:rsidR="004F6003" w:rsidRPr="00132D0C">
        <w:rPr>
          <w:rFonts w:asciiTheme="minorHAnsi" w:hAnsiTheme="minorHAnsi"/>
          <w:bCs/>
          <w:lang w:val="en-GB"/>
        </w:rPr>
        <w:t>%</w:t>
      </w:r>
      <w:proofErr w:type="gramEnd"/>
      <w:r w:rsidR="004F6003" w:rsidRPr="00132D0C">
        <w:rPr>
          <w:rFonts w:asciiTheme="minorHAnsi" w:hAnsiTheme="minorHAnsi"/>
          <w:bCs/>
          <w:lang w:val="en-GB"/>
        </w:rPr>
        <w:t xml:space="preserve"> thalidomide</w:t>
      </w:r>
      <w:r w:rsidR="004F6003">
        <w:rPr>
          <w:rFonts w:asciiTheme="minorHAnsi" w:hAnsiTheme="minorHAnsi"/>
          <w:bCs/>
          <w:lang w:val="en-GB"/>
        </w:rPr>
        <w:t xml:space="preserve"> use, based on data from the Myeloma and Related Diseases Registry (MRDR). The PBAC recalled that it had previously considered that there were limitations with the MRDR data and that the proportion of patients receiving thalidomide post-ASCT was likely to be higher than the MRDR analysis. The PBAC recalled that it has previously agreed with the DUSC that an analysis of the MRDR data by Bergin, 2017, which resulted in weightings of 53.0% BSC and 47.0% </w:t>
      </w:r>
      <w:proofErr w:type="gramStart"/>
      <w:r w:rsidR="004F6003">
        <w:rPr>
          <w:rFonts w:asciiTheme="minorHAnsi" w:hAnsiTheme="minorHAnsi"/>
          <w:bCs/>
          <w:lang w:val="en-GB"/>
        </w:rPr>
        <w:t>thalidomide</w:t>
      </w:r>
      <w:proofErr w:type="gramEnd"/>
      <w:r w:rsidR="004F6003">
        <w:rPr>
          <w:rFonts w:asciiTheme="minorHAnsi" w:hAnsiTheme="minorHAnsi"/>
          <w:bCs/>
          <w:lang w:val="en-GB"/>
        </w:rPr>
        <w:t xml:space="preserve"> would be more appropriate. </w:t>
      </w:r>
      <w:r w:rsidR="00067B8D">
        <w:rPr>
          <w:rFonts w:asciiTheme="minorHAnsi" w:hAnsiTheme="minorHAnsi"/>
          <w:bCs/>
          <w:lang w:val="en-GB"/>
        </w:rPr>
        <w:t>However</w:t>
      </w:r>
      <w:r w:rsidR="0071664B">
        <w:rPr>
          <w:rFonts w:asciiTheme="minorHAnsi" w:hAnsiTheme="minorHAnsi"/>
          <w:bCs/>
          <w:lang w:val="en-GB"/>
        </w:rPr>
        <w:t>,</w:t>
      </w:r>
      <w:r w:rsidR="00067B8D">
        <w:rPr>
          <w:rFonts w:asciiTheme="minorHAnsi" w:hAnsiTheme="minorHAnsi"/>
          <w:bCs/>
          <w:lang w:val="en-GB"/>
        </w:rPr>
        <w:t xml:space="preserve"> at the March 2019 meeting, the PBAC, noting the pre-PBAC response, considered that post-ASCT thalidomide use was likely to be lower than that estimated in Bergin</w:t>
      </w:r>
      <w:r w:rsidR="00010EEE">
        <w:rPr>
          <w:rFonts w:asciiTheme="minorHAnsi" w:hAnsiTheme="minorHAnsi"/>
          <w:bCs/>
          <w:lang w:val="en-GB"/>
        </w:rPr>
        <w:t xml:space="preserve"> (</w:t>
      </w:r>
      <w:r w:rsidR="00067B8D">
        <w:rPr>
          <w:rFonts w:asciiTheme="minorHAnsi" w:hAnsiTheme="minorHAnsi"/>
          <w:bCs/>
          <w:lang w:val="en-GB"/>
        </w:rPr>
        <w:t>2017</w:t>
      </w:r>
      <w:r w:rsidR="00010EEE">
        <w:rPr>
          <w:rFonts w:asciiTheme="minorHAnsi" w:hAnsiTheme="minorHAnsi"/>
          <w:bCs/>
          <w:lang w:val="en-GB"/>
        </w:rPr>
        <w:t>)</w:t>
      </w:r>
      <w:r w:rsidR="00BA65BC">
        <w:rPr>
          <w:rFonts w:asciiTheme="minorHAnsi" w:hAnsiTheme="minorHAnsi"/>
          <w:bCs/>
          <w:lang w:val="en-GB"/>
        </w:rPr>
        <w:t xml:space="preserve"> and that </w:t>
      </w:r>
      <w:proofErr w:type="gramStart"/>
      <w:r w:rsidR="00BA65BC">
        <w:rPr>
          <w:rFonts w:asciiTheme="minorHAnsi" w:hAnsiTheme="minorHAnsi"/>
          <w:bCs/>
          <w:lang w:val="en-GB"/>
        </w:rPr>
        <w:t>this was supported by a number of</w:t>
      </w:r>
      <w:proofErr w:type="gramEnd"/>
      <w:r w:rsidR="00BA65BC">
        <w:rPr>
          <w:rFonts w:asciiTheme="minorHAnsi" w:hAnsiTheme="minorHAnsi"/>
          <w:bCs/>
          <w:lang w:val="en-GB"/>
        </w:rPr>
        <w:t xml:space="preserve"> sources (see paragraph 5.4).</w:t>
      </w:r>
      <w:r w:rsidR="00067B8D">
        <w:rPr>
          <w:rFonts w:asciiTheme="minorHAnsi" w:hAnsiTheme="minorHAnsi"/>
          <w:bCs/>
          <w:lang w:val="en-GB"/>
        </w:rPr>
        <w:t xml:space="preserve"> </w:t>
      </w:r>
      <w:r w:rsidR="00BA65BC">
        <w:rPr>
          <w:rFonts w:asciiTheme="minorHAnsi" w:hAnsiTheme="minorHAnsi"/>
          <w:bCs/>
          <w:lang w:val="en-GB"/>
        </w:rPr>
        <w:t>The PBAC considered a</w:t>
      </w:r>
      <w:r w:rsidR="00067B8D">
        <w:rPr>
          <w:rFonts w:asciiTheme="minorHAnsi" w:hAnsiTheme="minorHAnsi"/>
          <w:bCs/>
          <w:lang w:val="en-GB"/>
        </w:rPr>
        <w:t xml:space="preserve"> more reason</w:t>
      </w:r>
      <w:r w:rsidR="00F324AE">
        <w:rPr>
          <w:rFonts w:asciiTheme="minorHAnsi" w:hAnsiTheme="minorHAnsi"/>
          <w:bCs/>
          <w:lang w:val="en-GB"/>
        </w:rPr>
        <w:t xml:space="preserve">able weighting would be </w:t>
      </w:r>
      <w:r w:rsidR="001D6F6D">
        <w:rPr>
          <w:rFonts w:asciiTheme="minorHAnsi" w:hAnsiTheme="minorHAnsi"/>
          <w:bCs/>
          <w:noProof/>
          <w:color w:val="000000"/>
          <w:highlight w:val="black"/>
          <w:lang w:val="en-GB"/>
        </w:rPr>
        <w:t>'''''''''</w:t>
      </w:r>
      <w:r w:rsidR="00F324AE">
        <w:rPr>
          <w:rFonts w:asciiTheme="minorHAnsi" w:hAnsiTheme="minorHAnsi"/>
          <w:bCs/>
          <w:lang w:val="en-GB"/>
        </w:rPr>
        <w:t xml:space="preserve">% BSC and </w:t>
      </w:r>
      <w:r w:rsidR="001D6F6D">
        <w:rPr>
          <w:rFonts w:asciiTheme="minorHAnsi" w:hAnsiTheme="minorHAnsi"/>
          <w:bCs/>
          <w:noProof/>
          <w:color w:val="000000"/>
          <w:highlight w:val="black"/>
          <w:lang w:val="en-GB"/>
        </w:rPr>
        <w:t>'''''''''</w:t>
      </w:r>
      <w:r w:rsidR="00F324AE">
        <w:rPr>
          <w:rFonts w:asciiTheme="minorHAnsi" w:hAnsiTheme="minorHAnsi"/>
          <w:bCs/>
          <w:lang w:val="en-GB"/>
        </w:rPr>
        <w:t>%</w:t>
      </w:r>
      <w:r w:rsidR="00067B8D">
        <w:rPr>
          <w:rFonts w:asciiTheme="minorHAnsi" w:hAnsiTheme="minorHAnsi"/>
          <w:bCs/>
          <w:lang w:val="en-GB"/>
        </w:rPr>
        <w:t xml:space="preserve"> thalidomide</w:t>
      </w:r>
      <w:r w:rsidR="00F324AE">
        <w:rPr>
          <w:rFonts w:asciiTheme="minorHAnsi" w:hAnsiTheme="minorHAnsi"/>
          <w:bCs/>
          <w:lang w:val="en-GB"/>
        </w:rPr>
        <w:t xml:space="preserve">, which was calculated by excluding </w:t>
      </w:r>
      <w:r w:rsidR="001D6F6D">
        <w:rPr>
          <w:rFonts w:asciiTheme="minorHAnsi" w:hAnsiTheme="minorHAnsi"/>
          <w:bCs/>
          <w:noProof/>
          <w:color w:val="000000"/>
          <w:highlight w:val="black"/>
          <w:lang w:val="en-GB"/>
        </w:rPr>
        <w:t>'''''</w:t>
      </w:r>
      <w:r w:rsidR="00F324AE">
        <w:rPr>
          <w:rFonts w:asciiTheme="minorHAnsi" w:hAnsiTheme="minorHAnsi"/>
          <w:bCs/>
          <w:lang w:val="en-GB"/>
        </w:rPr>
        <w:t xml:space="preserve"> BSC patients who were considered to be receiving active therapy from the MRDR analysis</w:t>
      </w:r>
      <w:r w:rsidR="000E4796">
        <w:rPr>
          <w:rFonts w:asciiTheme="minorHAnsi" w:hAnsiTheme="minorHAnsi"/>
          <w:bCs/>
          <w:lang w:val="en-GB"/>
        </w:rPr>
        <w:t xml:space="preserve"> (the resubmission defined BSC as patients who were receiving no maintenance therapy or maintenance therapy other than </w:t>
      </w:r>
      <w:proofErr w:type="spellStart"/>
      <w:r w:rsidR="000E4796">
        <w:rPr>
          <w:rFonts w:asciiTheme="minorHAnsi" w:hAnsiTheme="minorHAnsi"/>
          <w:bCs/>
          <w:lang w:val="en-GB"/>
        </w:rPr>
        <w:t>lenalidomide</w:t>
      </w:r>
      <w:proofErr w:type="spellEnd"/>
      <w:r w:rsidR="000E4796">
        <w:rPr>
          <w:rFonts w:asciiTheme="minorHAnsi" w:hAnsiTheme="minorHAnsi"/>
          <w:bCs/>
          <w:lang w:val="en-GB"/>
        </w:rPr>
        <w:t xml:space="preserve"> or thalidomide)</w:t>
      </w:r>
      <w:r w:rsidR="00F324AE">
        <w:rPr>
          <w:rFonts w:asciiTheme="minorHAnsi" w:hAnsiTheme="minorHAnsi"/>
          <w:bCs/>
          <w:lang w:val="en-GB"/>
        </w:rPr>
        <w:t>.</w:t>
      </w:r>
      <w:r w:rsidR="00067B8D">
        <w:rPr>
          <w:rFonts w:asciiTheme="minorHAnsi" w:hAnsiTheme="minorHAnsi"/>
          <w:bCs/>
          <w:lang w:val="en-GB"/>
        </w:rPr>
        <w:t xml:space="preserve">  </w:t>
      </w:r>
    </w:p>
    <w:p w:rsidR="009429A9" w:rsidRDefault="002E7047" w:rsidP="0023263B">
      <w:pPr>
        <w:numPr>
          <w:ilvl w:val="1"/>
          <w:numId w:val="2"/>
        </w:numPr>
        <w:spacing w:before="120" w:after="120"/>
        <w:rPr>
          <w:rFonts w:asciiTheme="minorHAnsi" w:hAnsiTheme="minorHAnsi"/>
          <w:bCs/>
          <w:lang w:val="en-GB"/>
        </w:rPr>
      </w:pPr>
      <w:r>
        <w:rPr>
          <w:rFonts w:asciiTheme="minorHAnsi" w:hAnsiTheme="minorHAnsi"/>
          <w:bCs/>
          <w:lang w:val="en-GB"/>
        </w:rPr>
        <w:t xml:space="preserve">The PBAC noted that the resubmission presented the same four randomised trials comparing </w:t>
      </w:r>
      <w:proofErr w:type="spellStart"/>
      <w:r>
        <w:rPr>
          <w:rFonts w:asciiTheme="minorHAnsi" w:hAnsiTheme="minorHAnsi"/>
          <w:bCs/>
          <w:lang w:val="en-GB"/>
        </w:rPr>
        <w:t>lenalidomide</w:t>
      </w:r>
      <w:proofErr w:type="spellEnd"/>
      <w:r>
        <w:rPr>
          <w:rFonts w:asciiTheme="minorHAnsi" w:hAnsiTheme="minorHAnsi"/>
          <w:bCs/>
          <w:lang w:val="en-GB"/>
        </w:rPr>
        <w:t xml:space="preserve"> to BSC</w:t>
      </w:r>
      <w:r w:rsidR="00BA65BC">
        <w:rPr>
          <w:rFonts w:asciiTheme="minorHAnsi" w:hAnsiTheme="minorHAnsi"/>
          <w:bCs/>
          <w:lang w:val="en-GB"/>
        </w:rPr>
        <w:t xml:space="preserve"> as in March 2018</w:t>
      </w:r>
      <w:r w:rsidR="009429A9">
        <w:rPr>
          <w:rFonts w:asciiTheme="minorHAnsi" w:hAnsiTheme="minorHAnsi"/>
          <w:bCs/>
          <w:lang w:val="en-GB"/>
        </w:rPr>
        <w:t xml:space="preserve">, </w:t>
      </w:r>
      <w:r>
        <w:rPr>
          <w:rFonts w:asciiTheme="minorHAnsi" w:hAnsiTheme="minorHAnsi"/>
          <w:bCs/>
          <w:lang w:val="en-GB"/>
        </w:rPr>
        <w:t>not</w:t>
      </w:r>
      <w:r w:rsidR="00157D5F">
        <w:rPr>
          <w:rFonts w:asciiTheme="minorHAnsi" w:hAnsiTheme="minorHAnsi"/>
          <w:bCs/>
          <w:lang w:val="en-GB"/>
        </w:rPr>
        <w:t>ing</w:t>
      </w:r>
      <w:r>
        <w:rPr>
          <w:rFonts w:asciiTheme="minorHAnsi" w:hAnsiTheme="minorHAnsi"/>
          <w:bCs/>
          <w:lang w:val="en-GB"/>
        </w:rPr>
        <w:t xml:space="preserve"> the updated results from the </w:t>
      </w:r>
      <w:r>
        <w:rPr>
          <w:rFonts w:asciiTheme="minorHAnsi" w:hAnsiTheme="minorHAnsi"/>
          <w:bCs/>
          <w:lang w:val="en-GB"/>
        </w:rPr>
        <w:lastRenderedPageBreak/>
        <w:t>Myeloma X</w:t>
      </w:r>
      <w:r w:rsidR="009429A9">
        <w:rPr>
          <w:rFonts w:asciiTheme="minorHAnsi" w:hAnsiTheme="minorHAnsi"/>
          <w:bCs/>
          <w:lang w:val="en-GB"/>
        </w:rPr>
        <w:t>I</w:t>
      </w:r>
      <w:r>
        <w:rPr>
          <w:rFonts w:asciiTheme="minorHAnsi" w:hAnsiTheme="minorHAnsi"/>
          <w:bCs/>
          <w:lang w:val="en-GB"/>
        </w:rPr>
        <w:t xml:space="preserve"> trial</w:t>
      </w:r>
      <w:r w:rsidR="009429A9">
        <w:rPr>
          <w:rFonts w:asciiTheme="minorHAnsi" w:hAnsiTheme="minorHAnsi"/>
          <w:bCs/>
          <w:lang w:val="en-GB"/>
        </w:rPr>
        <w:t xml:space="preserve">. The PBAC </w:t>
      </w:r>
      <w:r w:rsidR="00E36CFD">
        <w:rPr>
          <w:rFonts w:asciiTheme="minorHAnsi" w:hAnsiTheme="minorHAnsi"/>
          <w:bCs/>
          <w:lang w:val="en-GB"/>
        </w:rPr>
        <w:t>c</w:t>
      </w:r>
      <w:r w:rsidR="009429A9">
        <w:rPr>
          <w:rFonts w:asciiTheme="minorHAnsi" w:hAnsiTheme="minorHAnsi"/>
          <w:bCs/>
          <w:lang w:val="en-GB"/>
        </w:rPr>
        <w:t>onsidered that the claim of superior efficacy and inferior safety</w:t>
      </w:r>
      <w:r w:rsidR="00E36CFD">
        <w:rPr>
          <w:rFonts w:asciiTheme="minorHAnsi" w:hAnsiTheme="minorHAnsi"/>
          <w:bCs/>
          <w:lang w:val="en-GB"/>
        </w:rPr>
        <w:t>, noting the potential for secondary primary malignancies,</w:t>
      </w:r>
      <w:r w:rsidR="009429A9">
        <w:rPr>
          <w:rFonts w:asciiTheme="minorHAnsi" w:hAnsiTheme="minorHAnsi"/>
          <w:bCs/>
          <w:lang w:val="en-GB"/>
        </w:rPr>
        <w:t xml:space="preserve"> for</w:t>
      </w:r>
      <w:r w:rsidR="00E36CFD">
        <w:rPr>
          <w:rFonts w:asciiTheme="minorHAnsi" w:hAnsiTheme="minorHAnsi"/>
          <w:bCs/>
          <w:lang w:val="en-GB"/>
        </w:rPr>
        <w:t xml:space="preserve"> </w:t>
      </w:r>
      <w:proofErr w:type="spellStart"/>
      <w:r w:rsidR="00E36CFD">
        <w:rPr>
          <w:rFonts w:asciiTheme="minorHAnsi" w:hAnsiTheme="minorHAnsi"/>
          <w:bCs/>
          <w:lang w:val="en-GB"/>
        </w:rPr>
        <w:t>lenalidomide</w:t>
      </w:r>
      <w:proofErr w:type="spellEnd"/>
      <w:r w:rsidR="00E36CFD">
        <w:rPr>
          <w:rFonts w:asciiTheme="minorHAnsi" w:hAnsiTheme="minorHAnsi"/>
          <w:bCs/>
          <w:lang w:val="en-GB"/>
        </w:rPr>
        <w:t xml:space="preserve"> compared to BSC </w:t>
      </w:r>
      <w:proofErr w:type="gramStart"/>
      <w:r w:rsidR="00E36CFD">
        <w:rPr>
          <w:rFonts w:asciiTheme="minorHAnsi" w:hAnsiTheme="minorHAnsi"/>
          <w:bCs/>
          <w:lang w:val="en-GB"/>
        </w:rPr>
        <w:t>were</w:t>
      </w:r>
      <w:r w:rsidR="009429A9">
        <w:rPr>
          <w:rFonts w:asciiTheme="minorHAnsi" w:hAnsiTheme="minorHAnsi"/>
          <w:bCs/>
          <w:lang w:val="en-GB"/>
        </w:rPr>
        <w:t xml:space="preserve"> adequately supported</w:t>
      </w:r>
      <w:proofErr w:type="gramEnd"/>
      <w:r w:rsidR="00BA65BC">
        <w:rPr>
          <w:rFonts w:asciiTheme="minorHAnsi" w:hAnsiTheme="minorHAnsi"/>
          <w:bCs/>
          <w:lang w:val="en-GB"/>
        </w:rPr>
        <w:t>, based primarily on the CALGB trial</w:t>
      </w:r>
      <w:r w:rsidR="009429A9">
        <w:rPr>
          <w:rFonts w:asciiTheme="minorHAnsi" w:hAnsiTheme="minorHAnsi"/>
          <w:bCs/>
          <w:lang w:val="en-GB"/>
        </w:rPr>
        <w:t>.</w:t>
      </w:r>
      <w:r>
        <w:rPr>
          <w:rFonts w:asciiTheme="minorHAnsi" w:hAnsiTheme="minorHAnsi"/>
          <w:bCs/>
          <w:lang w:val="en-GB"/>
        </w:rPr>
        <w:t xml:space="preserve"> </w:t>
      </w:r>
    </w:p>
    <w:p w:rsidR="00C74031" w:rsidRPr="00C74031" w:rsidRDefault="00BA65BC" w:rsidP="0023263B">
      <w:pPr>
        <w:numPr>
          <w:ilvl w:val="1"/>
          <w:numId w:val="2"/>
        </w:numPr>
        <w:spacing w:before="120" w:after="120"/>
        <w:rPr>
          <w:rFonts w:asciiTheme="minorHAnsi" w:hAnsiTheme="minorHAnsi"/>
          <w:bCs/>
          <w:lang w:val="en-GB"/>
        </w:rPr>
      </w:pPr>
      <w:r>
        <w:rPr>
          <w:rFonts w:asciiTheme="minorHAnsi" w:hAnsiTheme="minorHAnsi"/>
          <w:bCs/>
          <w:lang w:val="en-GB"/>
        </w:rPr>
        <w:t>For the indirect comparison with thalidomide, t</w:t>
      </w:r>
      <w:r w:rsidR="009429A9" w:rsidRPr="00C74031">
        <w:rPr>
          <w:rFonts w:asciiTheme="minorHAnsi" w:hAnsiTheme="minorHAnsi"/>
          <w:bCs/>
          <w:lang w:val="en-GB"/>
        </w:rPr>
        <w:t xml:space="preserve">he PBAC noted that the resubmission added the MM6 trial to the </w:t>
      </w:r>
      <w:r w:rsidR="00C74031" w:rsidRPr="00C74031">
        <w:rPr>
          <w:rFonts w:asciiTheme="minorHAnsi" w:hAnsiTheme="minorHAnsi"/>
          <w:bCs/>
          <w:lang w:val="en-GB"/>
        </w:rPr>
        <w:t xml:space="preserve">meta-analyses and </w:t>
      </w:r>
      <w:r w:rsidR="009429A9" w:rsidRPr="00C74031">
        <w:rPr>
          <w:rFonts w:asciiTheme="minorHAnsi" w:hAnsiTheme="minorHAnsi"/>
          <w:bCs/>
          <w:lang w:val="en-GB"/>
        </w:rPr>
        <w:t xml:space="preserve">indirect </w:t>
      </w:r>
      <w:r w:rsidR="00C74031">
        <w:rPr>
          <w:rFonts w:asciiTheme="minorHAnsi" w:hAnsiTheme="minorHAnsi"/>
          <w:bCs/>
          <w:lang w:val="en-GB"/>
        </w:rPr>
        <w:t>comparison of</w:t>
      </w:r>
      <w:r w:rsidR="009429A9" w:rsidRPr="00C74031">
        <w:rPr>
          <w:rFonts w:asciiTheme="minorHAnsi" w:hAnsiTheme="minorHAnsi"/>
          <w:bCs/>
          <w:lang w:val="en-GB"/>
        </w:rPr>
        <w:t xml:space="preserve"> </w:t>
      </w:r>
      <w:proofErr w:type="spellStart"/>
      <w:r w:rsidR="009429A9" w:rsidRPr="00C74031">
        <w:rPr>
          <w:rFonts w:asciiTheme="minorHAnsi" w:hAnsiTheme="minorHAnsi"/>
          <w:bCs/>
          <w:lang w:val="en-GB"/>
        </w:rPr>
        <w:t>lenalidomide</w:t>
      </w:r>
      <w:proofErr w:type="spellEnd"/>
      <w:r w:rsidR="009429A9" w:rsidRPr="00C74031">
        <w:rPr>
          <w:rFonts w:asciiTheme="minorHAnsi" w:hAnsiTheme="minorHAnsi"/>
          <w:bCs/>
          <w:lang w:val="en-GB"/>
        </w:rPr>
        <w:t xml:space="preserve"> to thalidomide</w:t>
      </w:r>
      <w:r w:rsidR="00C74031" w:rsidRPr="00C74031">
        <w:rPr>
          <w:rFonts w:asciiTheme="minorHAnsi" w:hAnsiTheme="minorHAnsi"/>
          <w:bCs/>
          <w:lang w:val="en-GB"/>
        </w:rPr>
        <w:t xml:space="preserve"> as sensitivity </w:t>
      </w:r>
      <w:r w:rsidR="00C74031">
        <w:rPr>
          <w:rFonts w:asciiTheme="minorHAnsi" w:hAnsiTheme="minorHAnsi"/>
          <w:bCs/>
          <w:lang w:val="en-GB"/>
        </w:rPr>
        <w:t>analyses. Th</w:t>
      </w:r>
      <w:r w:rsidR="00157D5F" w:rsidRPr="00C74031">
        <w:rPr>
          <w:rFonts w:asciiTheme="minorHAnsi" w:hAnsiTheme="minorHAnsi"/>
          <w:bCs/>
          <w:lang w:val="en-GB"/>
        </w:rPr>
        <w:t xml:space="preserve">e </w:t>
      </w:r>
      <w:r w:rsidR="00AB6F50">
        <w:rPr>
          <w:rFonts w:asciiTheme="minorHAnsi" w:hAnsiTheme="minorHAnsi"/>
          <w:bCs/>
          <w:lang w:val="en-GB"/>
        </w:rPr>
        <w:t xml:space="preserve">PBAC </w:t>
      </w:r>
      <w:r w:rsidR="00C74031">
        <w:rPr>
          <w:rFonts w:asciiTheme="minorHAnsi" w:hAnsiTheme="minorHAnsi"/>
          <w:bCs/>
          <w:lang w:val="en-GB"/>
        </w:rPr>
        <w:t>considered this was reasonable, noting</w:t>
      </w:r>
      <w:r w:rsidR="00157D5F" w:rsidRPr="00C74031">
        <w:rPr>
          <w:rFonts w:asciiTheme="minorHAnsi" w:hAnsiTheme="minorHAnsi"/>
          <w:bCs/>
          <w:lang w:val="en-GB"/>
        </w:rPr>
        <w:t xml:space="preserve"> the large differences in progression free survival (PFS) and overall survival (OS) reported in the two thalidomide versus BSC trials (Myeloma IX and MM6</w:t>
      </w:r>
      <w:r w:rsidR="001A4B56">
        <w:rPr>
          <w:rFonts w:asciiTheme="minorHAnsi" w:hAnsiTheme="minorHAnsi"/>
          <w:bCs/>
          <w:lang w:val="en-GB"/>
        </w:rPr>
        <w:t>)</w:t>
      </w:r>
      <w:r w:rsidR="00C74031">
        <w:rPr>
          <w:rFonts w:asciiTheme="minorHAnsi" w:hAnsiTheme="minorHAnsi"/>
          <w:bCs/>
          <w:lang w:val="en-GB"/>
        </w:rPr>
        <w:t xml:space="preserve"> and the potential statistical errors in the analysis of MM6</w:t>
      </w:r>
      <w:r w:rsidR="00157D5F" w:rsidRPr="00C74031">
        <w:rPr>
          <w:rFonts w:asciiTheme="minorHAnsi" w:hAnsiTheme="minorHAnsi"/>
          <w:bCs/>
          <w:lang w:val="en-GB"/>
        </w:rPr>
        <w:t xml:space="preserve">, which made it difficult to determine the true effectiveness </w:t>
      </w:r>
      <w:r w:rsidR="00387D59">
        <w:rPr>
          <w:rFonts w:asciiTheme="minorHAnsi" w:hAnsiTheme="minorHAnsi"/>
          <w:bCs/>
          <w:lang w:val="en-GB"/>
        </w:rPr>
        <w:t>of</w:t>
      </w:r>
      <w:r w:rsidR="00387D59" w:rsidRPr="00C74031">
        <w:rPr>
          <w:rFonts w:asciiTheme="minorHAnsi" w:hAnsiTheme="minorHAnsi"/>
          <w:bCs/>
          <w:lang w:val="en-GB"/>
        </w:rPr>
        <w:t xml:space="preserve"> </w:t>
      </w:r>
      <w:r w:rsidR="00157D5F" w:rsidRPr="00C74031">
        <w:rPr>
          <w:rFonts w:asciiTheme="minorHAnsi" w:hAnsiTheme="minorHAnsi"/>
          <w:bCs/>
          <w:lang w:val="en-GB"/>
        </w:rPr>
        <w:t xml:space="preserve">thalidomide </w:t>
      </w:r>
      <w:r w:rsidR="00387D59">
        <w:rPr>
          <w:rFonts w:asciiTheme="minorHAnsi" w:hAnsiTheme="minorHAnsi"/>
          <w:bCs/>
          <w:lang w:val="en-GB"/>
        </w:rPr>
        <w:t>versus</w:t>
      </w:r>
      <w:r w:rsidR="00387D59" w:rsidRPr="00C74031">
        <w:rPr>
          <w:rFonts w:asciiTheme="minorHAnsi" w:hAnsiTheme="minorHAnsi"/>
          <w:bCs/>
          <w:lang w:val="en-GB"/>
        </w:rPr>
        <w:t xml:space="preserve"> </w:t>
      </w:r>
      <w:r w:rsidR="00157D5F" w:rsidRPr="00C74031">
        <w:rPr>
          <w:rFonts w:asciiTheme="minorHAnsi" w:hAnsiTheme="minorHAnsi"/>
          <w:bCs/>
          <w:lang w:val="en-GB"/>
        </w:rPr>
        <w:t xml:space="preserve">BSC. </w:t>
      </w:r>
    </w:p>
    <w:p w:rsidR="00AB6F50" w:rsidRDefault="00157D5F" w:rsidP="0023263B">
      <w:pPr>
        <w:numPr>
          <w:ilvl w:val="1"/>
          <w:numId w:val="2"/>
        </w:numPr>
        <w:spacing w:before="120" w:after="120"/>
        <w:rPr>
          <w:rFonts w:asciiTheme="minorHAnsi" w:hAnsiTheme="minorHAnsi"/>
          <w:bCs/>
          <w:lang w:val="en-GB"/>
        </w:rPr>
      </w:pPr>
      <w:r>
        <w:rPr>
          <w:rFonts w:asciiTheme="minorHAnsi" w:hAnsiTheme="minorHAnsi"/>
          <w:bCs/>
          <w:lang w:val="en-GB"/>
        </w:rPr>
        <w:t xml:space="preserve">The PBAC </w:t>
      </w:r>
      <w:r w:rsidR="004443D6">
        <w:rPr>
          <w:rFonts w:asciiTheme="minorHAnsi" w:hAnsiTheme="minorHAnsi"/>
          <w:bCs/>
          <w:lang w:val="en-GB"/>
        </w:rPr>
        <w:t xml:space="preserve">again noted that the base case indirect comparison between </w:t>
      </w:r>
      <w:proofErr w:type="spellStart"/>
      <w:r w:rsidR="001A4B56">
        <w:rPr>
          <w:rFonts w:asciiTheme="minorHAnsi" w:hAnsiTheme="minorHAnsi"/>
          <w:bCs/>
          <w:lang w:val="en-GB"/>
        </w:rPr>
        <w:t>lenalidomide</w:t>
      </w:r>
      <w:proofErr w:type="spellEnd"/>
      <w:r w:rsidR="001A4B56">
        <w:rPr>
          <w:rFonts w:asciiTheme="minorHAnsi" w:hAnsiTheme="minorHAnsi"/>
          <w:bCs/>
          <w:lang w:val="en-GB"/>
        </w:rPr>
        <w:t xml:space="preserve"> (using </w:t>
      </w:r>
      <w:r w:rsidR="004443D6">
        <w:rPr>
          <w:rFonts w:asciiTheme="minorHAnsi" w:hAnsiTheme="minorHAnsi"/>
          <w:bCs/>
          <w:lang w:val="en-GB"/>
        </w:rPr>
        <w:t xml:space="preserve">the CALGB </w:t>
      </w:r>
      <w:r w:rsidR="001A4B56">
        <w:rPr>
          <w:rFonts w:asciiTheme="minorHAnsi" w:hAnsiTheme="minorHAnsi"/>
          <w:bCs/>
          <w:lang w:val="en-GB"/>
        </w:rPr>
        <w:t xml:space="preserve">trial) </w:t>
      </w:r>
      <w:r w:rsidR="004443D6">
        <w:rPr>
          <w:rFonts w:asciiTheme="minorHAnsi" w:hAnsiTheme="minorHAnsi"/>
          <w:bCs/>
          <w:lang w:val="en-GB"/>
        </w:rPr>
        <w:t xml:space="preserve">and </w:t>
      </w:r>
      <w:r w:rsidR="001A4B56">
        <w:rPr>
          <w:rFonts w:asciiTheme="minorHAnsi" w:hAnsiTheme="minorHAnsi"/>
          <w:bCs/>
          <w:lang w:val="en-GB"/>
        </w:rPr>
        <w:t xml:space="preserve">thalidomide (using the </w:t>
      </w:r>
      <w:r w:rsidR="004443D6">
        <w:rPr>
          <w:rFonts w:asciiTheme="minorHAnsi" w:hAnsiTheme="minorHAnsi"/>
          <w:bCs/>
          <w:lang w:val="en-GB"/>
        </w:rPr>
        <w:t>Myeloma XI trial</w:t>
      </w:r>
      <w:r w:rsidR="001A4B56">
        <w:rPr>
          <w:rFonts w:asciiTheme="minorHAnsi" w:hAnsiTheme="minorHAnsi"/>
          <w:bCs/>
          <w:lang w:val="en-GB"/>
        </w:rPr>
        <w:t>)</w:t>
      </w:r>
      <w:r w:rsidR="004443D6">
        <w:rPr>
          <w:rFonts w:asciiTheme="minorHAnsi" w:hAnsiTheme="minorHAnsi"/>
          <w:bCs/>
          <w:lang w:val="en-GB"/>
        </w:rPr>
        <w:t xml:space="preserve"> </w:t>
      </w:r>
      <w:r w:rsidR="001A4B56">
        <w:rPr>
          <w:rFonts w:asciiTheme="minorHAnsi" w:hAnsiTheme="minorHAnsi"/>
          <w:bCs/>
          <w:lang w:val="en-GB"/>
        </w:rPr>
        <w:t xml:space="preserve">in post-ASCT patients </w:t>
      </w:r>
      <w:r w:rsidR="004443D6">
        <w:rPr>
          <w:rFonts w:asciiTheme="minorHAnsi" w:hAnsiTheme="minorHAnsi"/>
          <w:bCs/>
          <w:lang w:val="en-GB"/>
        </w:rPr>
        <w:t xml:space="preserve">resulted in a statistically significant improvement in OS </w:t>
      </w:r>
      <w:r w:rsidR="001A4B56">
        <w:rPr>
          <w:rFonts w:asciiTheme="minorHAnsi" w:hAnsiTheme="minorHAnsi"/>
          <w:bCs/>
          <w:lang w:val="en-GB"/>
        </w:rPr>
        <w:t xml:space="preserve">for </w:t>
      </w:r>
      <w:proofErr w:type="spellStart"/>
      <w:r w:rsidR="004443D6">
        <w:rPr>
          <w:rFonts w:asciiTheme="minorHAnsi" w:hAnsiTheme="minorHAnsi"/>
          <w:bCs/>
          <w:lang w:val="en-GB"/>
        </w:rPr>
        <w:t>lenalidomide</w:t>
      </w:r>
      <w:proofErr w:type="spellEnd"/>
      <w:r w:rsidR="004443D6">
        <w:rPr>
          <w:rFonts w:asciiTheme="minorHAnsi" w:hAnsiTheme="minorHAnsi"/>
          <w:bCs/>
          <w:lang w:val="en-GB"/>
        </w:rPr>
        <w:t xml:space="preserve">, but no </w:t>
      </w:r>
      <w:r w:rsidR="001A4B56">
        <w:rPr>
          <w:rFonts w:asciiTheme="minorHAnsi" w:hAnsiTheme="minorHAnsi"/>
          <w:bCs/>
          <w:lang w:val="en-GB"/>
        </w:rPr>
        <w:t>statistically significant difference in</w:t>
      </w:r>
      <w:r w:rsidR="004443D6">
        <w:rPr>
          <w:rFonts w:asciiTheme="minorHAnsi" w:hAnsiTheme="minorHAnsi"/>
          <w:bCs/>
          <w:lang w:val="en-GB"/>
        </w:rPr>
        <w:t xml:space="preserve"> PFS</w:t>
      </w:r>
      <w:r w:rsidR="001A4B56">
        <w:rPr>
          <w:rFonts w:asciiTheme="minorHAnsi" w:hAnsiTheme="minorHAnsi"/>
          <w:bCs/>
          <w:lang w:val="en-GB"/>
        </w:rPr>
        <w:t>. The PBAC had previously considered this</w:t>
      </w:r>
      <w:r w:rsidR="004443D6">
        <w:rPr>
          <w:rFonts w:asciiTheme="minorHAnsi" w:hAnsiTheme="minorHAnsi"/>
          <w:bCs/>
          <w:lang w:val="en-GB"/>
        </w:rPr>
        <w:t xml:space="preserve"> </w:t>
      </w:r>
      <w:proofErr w:type="gramStart"/>
      <w:r w:rsidR="004443D6">
        <w:rPr>
          <w:rFonts w:asciiTheme="minorHAnsi" w:hAnsiTheme="minorHAnsi"/>
          <w:bCs/>
          <w:lang w:val="en-GB"/>
        </w:rPr>
        <w:t>to be implausible</w:t>
      </w:r>
      <w:proofErr w:type="gramEnd"/>
      <w:r w:rsidR="00AB6F50">
        <w:rPr>
          <w:rFonts w:asciiTheme="minorHAnsi" w:hAnsiTheme="minorHAnsi"/>
          <w:bCs/>
          <w:lang w:val="en-GB"/>
        </w:rPr>
        <w:t>, especially in the context of maintenance therapy where the aim of treatment is to extend the period of time in the progression free state</w:t>
      </w:r>
      <w:r w:rsidR="004443D6">
        <w:rPr>
          <w:rFonts w:asciiTheme="minorHAnsi" w:hAnsiTheme="minorHAnsi"/>
          <w:bCs/>
          <w:lang w:val="en-GB"/>
        </w:rPr>
        <w:t xml:space="preserve">. The PBAC </w:t>
      </w:r>
      <w:r w:rsidR="0059372A">
        <w:rPr>
          <w:rFonts w:asciiTheme="minorHAnsi" w:hAnsiTheme="minorHAnsi"/>
          <w:bCs/>
          <w:lang w:val="en-GB"/>
        </w:rPr>
        <w:t>noted that results of the pooled analyses indicated that the differences in PFS and OS were not statistically significant</w:t>
      </w:r>
      <w:r w:rsidR="004443D6">
        <w:rPr>
          <w:rFonts w:asciiTheme="minorHAnsi" w:hAnsiTheme="minorHAnsi"/>
          <w:bCs/>
          <w:lang w:val="en-GB"/>
        </w:rPr>
        <w:t xml:space="preserve">. The PBAC considered that the significant heterogeneity and transitivity issues between the </w:t>
      </w:r>
      <w:proofErr w:type="spellStart"/>
      <w:r w:rsidR="004443D6">
        <w:rPr>
          <w:rFonts w:asciiTheme="minorHAnsi" w:hAnsiTheme="minorHAnsi"/>
          <w:bCs/>
          <w:lang w:val="en-GB"/>
        </w:rPr>
        <w:t>lenalidomide</w:t>
      </w:r>
      <w:proofErr w:type="spellEnd"/>
      <w:r w:rsidR="004443D6">
        <w:rPr>
          <w:rFonts w:asciiTheme="minorHAnsi" w:hAnsiTheme="minorHAnsi"/>
          <w:bCs/>
          <w:lang w:val="en-GB"/>
        </w:rPr>
        <w:t xml:space="preserve"> and thalidomide trials made it difficult to determine the true </w:t>
      </w:r>
      <w:r w:rsidR="001A4B56">
        <w:rPr>
          <w:rFonts w:asciiTheme="minorHAnsi" w:hAnsiTheme="minorHAnsi"/>
          <w:bCs/>
          <w:lang w:val="en-GB"/>
        </w:rPr>
        <w:t xml:space="preserve">comparative </w:t>
      </w:r>
      <w:r w:rsidR="004443D6">
        <w:rPr>
          <w:rFonts w:asciiTheme="minorHAnsi" w:hAnsiTheme="minorHAnsi"/>
          <w:bCs/>
          <w:lang w:val="en-GB"/>
        </w:rPr>
        <w:t xml:space="preserve">effectiveness between </w:t>
      </w:r>
      <w:proofErr w:type="spellStart"/>
      <w:r w:rsidR="004443D6">
        <w:rPr>
          <w:rFonts w:asciiTheme="minorHAnsi" w:hAnsiTheme="minorHAnsi"/>
          <w:bCs/>
          <w:lang w:val="en-GB"/>
        </w:rPr>
        <w:t>lenalidomide</w:t>
      </w:r>
      <w:proofErr w:type="spellEnd"/>
      <w:r w:rsidR="004443D6">
        <w:rPr>
          <w:rFonts w:asciiTheme="minorHAnsi" w:hAnsiTheme="minorHAnsi"/>
          <w:bCs/>
          <w:lang w:val="en-GB"/>
        </w:rPr>
        <w:t xml:space="preserve"> and thalidomide. </w:t>
      </w:r>
      <w:r w:rsidR="00AB6F50">
        <w:rPr>
          <w:rFonts w:asciiTheme="minorHAnsi" w:hAnsiTheme="minorHAnsi"/>
          <w:bCs/>
          <w:lang w:val="en-GB"/>
        </w:rPr>
        <w:t>The PBAC</w:t>
      </w:r>
      <w:r w:rsidR="0059372A">
        <w:rPr>
          <w:rFonts w:asciiTheme="minorHAnsi" w:hAnsiTheme="minorHAnsi"/>
          <w:bCs/>
          <w:lang w:val="en-GB"/>
        </w:rPr>
        <w:t xml:space="preserve"> </w:t>
      </w:r>
      <w:r>
        <w:rPr>
          <w:rFonts w:asciiTheme="minorHAnsi" w:hAnsiTheme="minorHAnsi"/>
          <w:bCs/>
          <w:lang w:val="en-GB"/>
        </w:rPr>
        <w:t>consider</w:t>
      </w:r>
      <w:r w:rsidR="0059372A">
        <w:rPr>
          <w:rFonts w:asciiTheme="minorHAnsi" w:hAnsiTheme="minorHAnsi"/>
          <w:bCs/>
          <w:lang w:val="en-GB"/>
        </w:rPr>
        <w:t>ed</w:t>
      </w:r>
      <w:r>
        <w:rPr>
          <w:rFonts w:asciiTheme="minorHAnsi" w:hAnsiTheme="minorHAnsi"/>
          <w:bCs/>
          <w:lang w:val="en-GB"/>
        </w:rPr>
        <w:t xml:space="preserve"> that the claim</w:t>
      </w:r>
      <w:r w:rsidR="001A4B56">
        <w:rPr>
          <w:rFonts w:asciiTheme="minorHAnsi" w:hAnsiTheme="minorHAnsi"/>
          <w:bCs/>
          <w:lang w:val="en-GB"/>
        </w:rPr>
        <w:t>s</w:t>
      </w:r>
      <w:r>
        <w:rPr>
          <w:rFonts w:asciiTheme="minorHAnsi" w:hAnsiTheme="minorHAnsi"/>
          <w:bCs/>
          <w:lang w:val="en-GB"/>
        </w:rPr>
        <w:t xml:space="preserve"> of non-inferior efficacy </w:t>
      </w:r>
      <w:r w:rsidR="001A4B56">
        <w:rPr>
          <w:rFonts w:asciiTheme="minorHAnsi" w:hAnsiTheme="minorHAnsi"/>
          <w:bCs/>
          <w:lang w:val="en-GB"/>
        </w:rPr>
        <w:t xml:space="preserve">and different comparative safety </w:t>
      </w:r>
      <w:r>
        <w:rPr>
          <w:rFonts w:asciiTheme="minorHAnsi" w:hAnsiTheme="minorHAnsi"/>
          <w:bCs/>
          <w:lang w:val="en-GB"/>
        </w:rPr>
        <w:t xml:space="preserve">of </w:t>
      </w:r>
      <w:proofErr w:type="spellStart"/>
      <w:r>
        <w:rPr>
          <w:rFonts w:asciiTheme="minorHAnsi" w:hAnsiTheme="minorHAnsi"/>
          <w:bCs/>
          <w:lang w:val="en-GB"/>
        </w:rPr>
        <w:t>lenalidomide</w:t>
      </w:r>
      <w:proofErr w:type="spellEnd"/>
      <w:r>
        <w:rPr>
          <w:rFonts w:asciiTheme="minorHAnsi" w:hAnsiTheme="minorHAnsi"/>
          <w:bCs/>
          <w:lang w:val="en-GB"/>
        </w:rPr>
        <w:t xml:space="preserve"> compared to thalidomide </w:t>
      </w:r>
      <w:r w:rsidR="001A4B56">
        <w:rPr>
          <w:rFonts w:asciiTheme="minorHAnsi" w:hAnsiTheme="minorHAnsi"/>
          <w:bCs/>
          <w:lang w:val="en-GB"/>
        </w:rPr>
        <w:t>were</w:t>
      </w:r>
      <w:r>
        <w:rPr>
          <w:rFonts w:asciiTheme="minorHAnsi" w:hAnsiTheme="minorHAnsi"/>
          <w:bCs/>
          <w:lang w:val="en-GB"/>
        </w:rPr>
        <w:t xml:space="preserve"> reasonable. </w:t>
      </w:r>
    </w:p>
    <w:p w:rsidR="003E62A9" w:rsidRDefault="003E62A9" w:rsidP="0023263B">
      <w:pPr>
        <w:numPr>
          <w:ilvl w:val="1"/>
          <w:numId w:val="2"/>
        </w:numPr>
        <w:spacing w:before="120" w:after="120"/>
        <w:rPr>
          <w:rFonts w:asciiTheme="minorHAnsi" w:hAnsiTheme="minorHAnsi"/>
          <w:bCs/>
          <w:lang w:val="en-GB"/>
        </w:rPr>
      </w:pPr>
      <w:r>
        <w:rPr>
          <w:rFonts w:asciiTheme="minorHAnsi" w:hAnsiTheme="minorHAnsi"/>
          <w:bCs/>
          <w:lang w:val="en-GB"/>
        </w:rPr>
        <w:t>The PBAC noted that the economic analysis presented in the resubmission incorporated a number of the requests made previously by the PBAC. These requests included amending the time horizon from 25 to 15 years, incorporation of Kaplan-Meier data up to the median duration of follow-up and the application of the same pre-progression utility values to both arms of the cost-</w:t>
      </w:r>
      <w:r w:rsidR="00FC14E2">
        <w:rPr>
          <w:rFonts w:asciiTheme="minorHAnsi" w:hAnsiTheme="minorHAnsi"/>
          <w:bCs/>
          <w:lang w:val="en-GB"/>
        </w:rPr>
        <w:t>utility</w:t>
      </w:r>
      <w:r>
        <w:rPr>
          <w:rFonts w:asciiTheme="minorHAnsi" w:hAnsiTheme="minorHAnsi"/>
          <w:bCs/>
          <w:lang w:val="en-GB"/>
        </w:rPr>
        <w:t xml:space="preserve"> analysis with BSC</w:t>
      </w:r>
      <w:r w:rsidR="00BD7CC5">
        <w:rPr>
          <w:rFonts w:asciiTheme="minorHAnsi" w:hAnsiTheme="minorHAnsi"/>
          <w:bCs/>
          <w:lang w:val="en-GB"/>
        </w:rPr>
        <w:t>.</w:t>
      </w:r>
      <w:r>
        <w:rPr>
          <w:rFonts w:asciiTheme="minorHAnsi" w:hAnsiTheme="minorHAnsi"/>
          <w:bCs/>
          <w:lang w:val="en-GB"/>
        </w:rPr>
        <w:t xml:space="preserve"> </w:t>
      </w:r>
      <w:r w:rsidR="00BD7CC5">
        <w:rPr>
          <w:rFonts w:asciiTheme="minorHAnsi" w:hAnsiTheme="minorHAnsi"/>
          <w:bCs/>
          <w:lang w:val="en-GB"/>
        </w:rPr>
        <w:t>The resubmission also appropriately presented</w:t>
      </w:r>
      <w:r>
        <w:rPr>
          <w:rFonts w:asciiTheme="minorHAnsi" w:hAnsiTheme="minorHAnsi"/>
          <w:bCs/>
          <w:lang w:val="en-GB"/>
        </w:rPr>
        <w:t xml:space="preserve"> a cost-minimisation analysis, based on the indirect comparison of </w:t>
      </w:r>
      <w:proofErr w:type="spellStart"/>
      <w:r>
        <w:rPr>
          <w:rFonts w:asciiTheme="minorHAnsi" w:hAnsiTheme="minorHAnsi"/>
          <w:bCs/>
          <w:lang w:val="en-GB"/>
        </w:rPr>
        <w:t>lenalidomide</w:t>
      </w:r>
      <w:proofErr w:type="spellEnd"/>
      <w:r>
        <w:rPr>
          <w:rFonts w:asciiTheme="minorHAnsi" w:hAnsiTheme="minorHAnsi"/>
          <w:bCs/>
          <w:lang w:val="en-GB"/>
        </w:rPr>
        <w:t xml:space="preserve"> and thalidomide. </w:t>
      </w:r>
    </w:p>
    <w:p w:rsidR="00FC14E2" w:rsidRPr="007708C9" w:rsidRDefault="00FC14E2" w:rsidP="0023263B">
      <w:pPr>
        <w:pStyle w:val="ListParagraph"/>
        <w:widowControl/>
        <w:numPr>
          <w:ilvl w:val="1"/>
          <w:numId w:val="2"/>
        </w:numPr>
        <w:spacing w:before="120"/>
        <w:rPr>
          <w:rFonts w:asciiTheme="minorHAnsi" w:hAnsiTheme="minorHAnsi"/>
          <w:bCs/>
          <w:lang w:val="en-GB"/>
        </w:rPr>
      </w:pPr>
      <w:r w:rsidRPr="007708C9">
        <w:rPr>
          <w:rFonts w:asciiTheme="minorHAnsi" w:hAnsiTheme="minorHAnsi"/>
          <w:bCs/>
          <w:lang w:val="en-GB"/>
        </w:rPr>
        <w:t xml:space="preserve">The PBAC noted that the base case result of the stepped cost-utility analysis was </w:t>
      </w:r>
      <w:r w:rsidR="00154ECA">
        <w:rPr>
          <w:rFonts w:asciiTheme="minorHAnsi" w:hAnsiTheme="minorHAnsi"/>
          <w:bCs/>
          <w:lang w:val="en-GB"/>
        </w:rPr>
        <w:t>$15,000/QALY - $45,000/</w:t>
      </w:r>
      <w:r w:rsidRPr="007708C9">
        <w:rPr>
          <w:rFonts w:asciiTheme="minorHAnsi" w:hAnsiTheme="minorHAnsi"/>
          <w:bCs/>
          <w:lang w:val="en-GB"/>
        </w:rPr>
        <w:t>QALY.</w:t>
      </w:r>
      <w:r w:rsidR="00E84FB4" w:rsidRPr="007708C9">
        <w:rPr>
          <w:rFonts w:asciiTheme="minorHAnsi" w:hAnsiTheme="minorHAnsi"/>
          <w:bCs/>
          <w:lang w:val="en-GB"/>
        </w:rPr>
        <w:t xml:space="preserve"> The PBAC </w:t>
      </w:r>
      <w:r w:rsidR="00556656" w:rsidRPr="007708C9">
        <w:rPr>
          <w:rFonts w:asciiTheme="minorHAnsi" w:hAnsiTheme="minorHAnsi"/>
          <w:bCs/>
          <w:lang w:val="en-GB"/>
        </w:rPr>
        <w:t>considered</w:t>
      </w:r>
      <w:r w:rsidR="00E84FB4" w:rsidRPr="007708C9">
        <w:rPr>
          <w:rFonts w:asciiTheme="minorHAnsi" w:hAnsiTheme="minorHAnsi"/>
          <w:bCs/>
          <w:lang w:val="en-GB"/>
        </w:rPr>
        <w:t xml:space="preserve"> that the ICER was </w:t>
      </w:r>
      <w:proofErr w:type="gramStart"/>
      <w:r w:rsidR="00EA63FE" w:rsidRPr="007708C9">
        <w:rPr>
          <w:rFonts w:asciiTheme="minorHAnsi" w:hAnsiTheme="minorHAnsi"/>
          <w:bCs/>
          <w:lang w:val="en-GB"/>
        </w:rPr>
        <w:t>uncertain,</w:t>
      </w:r>
      <w:proofErr w:type="gramEnd"/>
      <w:r w:rsidR="00EA63FE" w:rsidRPr="007708C9">
        <w:rPr>
          <w:rFonts w:asciiTheme="minorHAnsi" w:hAnsiTheme="minorHAnsi"/>
          <w:bCs/>
          <w:lang w:val="en-GB"/>
        </w:rPr>
        <w:t xml:space="preserve"> noting that changes to the dataset used and </w:t>
      </w:r>
      <w:r w:rsidR="00366AF4">
        <w:rPr>
          <w:rFonts w:asciiTheme="minorHAnsi" w:hAnsiTheme="minorHAnsi"/>
          <w:bCs/>
          <w:lang w:val="en-GB"/>
        </w:rPr>
        <w:t xml:space="preserve">removing the </w:t>
      </w:r>
      <w:r w:rsidR="00EA63FE" w:rsidRPr="007708C9">
        <w:rPr>
          <w:rFonts w:asciiTheme="minorHAnsi" w:hAnsiTheme="minorHAnsi"/>
          <w:bCs/>
          <w:lang w:val="en-GB"/>
        </w:rPr>
        <w:t>crossover adjustment res</w:t>
      </w:r>
      <w:r w:rsidR="0071664B">
        <w:rPr>
          <w:rFonts w:asciiTheme="minorHAnsi" w:hAnsiTheme="minorHAnsi"/>
          <w:bCs/>
          <w:lang w:val="en-GB"/>
        </w:rPr>
        <w:t>ulted in considerable increases</w:t>
      </w:r>
      <w:r w:rsidR="00EA63FE" w:rsidRPr="007708C9">
        <w:rPr>
          <w:rFonts w:asciiTheme="minorHAnsi" w:hAnsiTheme="minorHAnsi"/>
          <w:bCs/>
          <w:lang w:val="en-GB"/>
        </w:rPr>
        <w:t xml:space="preserve">. </w:t>
      </w:r>
      <w:r w:rsidR="007708C9">
        <w:rPr>
          <w:rFonts w:asciiTheme="minorHAnsi" w:hAnsiTheme="minorHAnsi"/>
          <w:bCs/>
          <w:lang w:val="en-GB"/>
        </w:rPr>
        <w:t xml:space="preserve">The clinical plausibility of the model </w:t>
      </w:r>
      <w:proofErr w:type="gramStart"/>
      <w:r w:rsidR="007708C9">
        <w:rPr>
          <w:rFonts w:asciiTheme="minorHAnsi" w:hAnsiTheme="minorHAnsi"/>
          <w:bCs/>
          <w:lang w:val="en-GB"/>
        </w:rPr>
        <w:t>was also questioned</w:t>
      </w:r>
      <w:proofErr w:type="gramEnd"/>
      <w:r w:rsidR="007708C9">
        <w:rPr>
          <w:rFonts w:asciiTheme="minorHAnsi" w:hAnsiTheme="minorHAnsi"/>
          <w:bCs/>
          <w:lang w:val="en-GB"/>
        </w:rPr>
        <w:t xml:space="preserve"> given </w:t>
      </w:r>
      <w:r w:rsidR="0071664B">
        <w:rPr>
          <w:rFonts w:asciiTheme="minorHAnsi" w:hAnsiTheme="minorHAnsi"/>
          <w:bCs/>
          <w:lang w:val="en-GB"/>
        </w:rPr>
        <w:t xml:space="preserve">the </w:t>
      </w:r>
      <w:r w:rsidR="007708C9">
        <w:rPr>
          <w:rFonts w:asciiTheme="minorHAnsi" w:hAnsiTheme="minorHAnsi"/>
          <w:bCs/>
          <w:lang w:val="en-GB"/>
        </w:rPr>
        <w:t>PFS and OS arms crossed over</w:t>
      </w:r>
      <w:r w:rsidR="007708C9" w:rsidRPr="007708C9">
        <w:rPr>
          <w:rFonts w:asciiTheme="minorHAnsi" w:hAnsiTheme="minorHAnsi"/>
          <w:bCs/>
          <w:lang w:val="en-GB"/>
        </w:rPr>
        <w:t xml:space="preserve"> </w:t>
      </w:r>
      <w:r w:rsidR="007708C9">
        <w:rPr>
          <w:rFonts w:asciiTheme="minorHAnsi" w:hAnsiTheme="minorHAnsi"/>
          <w:bCs/>
          <w:lang w:val="en-GB"/>
        </w:rPr>
        <w:t xml:space="preserve">in the extrapolation period. </w:t>
      </w:r>
      <w:r w:rsidR="00EA63FE" w:rsidRPr="007708C9">
        <w:rPr>
          <w:rFonts w:asciiTheme="minorHAnsi" w:hAnsiTheme="minorHAnsi"/>
          <w:bCs/>
          <w:lang w:val="en-GB"/>
        </w:rPr>
        <w:t xml:space="preserve">The PBAC considered </w:t>
      </w:r>
      <w:r w:rsidR="00C2043A" w:rsidRPr="007708C9">
        <w:rPr>
          <w:rFonts w:asciiTheme="minorHAnsi" w:hAnsiTheme="minorHAnsi"/>
          <w:bCs/>
          <w:lang w:val="en-GB"/>
        </w:rPr>
        <w:t xml:space="preserve">a </w:t>
      </w:r>
      <w:proofErr w:type="spellStart"/>
      <w:r w:rsidR="00C2043A" w:rsidRPr="007708C9">
        <w:rPr>
          <w:rFonts w:asciiTheme="minorHAnsi" w:hAnsiTheme="minorHAnsi"/>
          <w:bCs/>
          <w:lang w:val="en-GB"/>
        </w:rPr>
        <w:t>lenalidomide</w:t>
      </w:r>
      <w:proofErr w:type="spellEnd"/>
      <w:r w:rsidR="00C2043A" w:rsidRPr="007708C9">
        <w:rPr>
          <w:rFonts w:asciiTheme="minorHAnsi" w:hAnsiTheme="minorHAnsi"/>
          <w:bCs/>
          <w:lang w:val="en-GB"/>
        </w:rPr>
        <w:t xml:space="preserve"> price that resulted in a </w:t>
      </w:r>
      <w:r w:rsidRPr="007708C9">
        <w:rPr>
          <w:rFonts w:asciiTheme="minorHAnsi" w:hAnsiTheme="minorHAnsi"/>
          <w:bCs/>
          <w:lang w:val="en-GB"/>
        </w:rPr>
        <w:t xml:space="preserve">base case </w:t>
      </w:r>
      <w:r w:rsidR="00EA63FE" w:rsidRPr="007708C9">
        <w:rPr>
          <w:rFonts w:asciiTheme="minorHAnsi" w:hAnsiTheme="minorHAnsi"/>
          <w:bCs/>
          <w:lang w:val="en-GB"/>
        </w:rPr>
        <w:t xml:space="preserve">ICER </w:t>
      </w:r>
      <w:proofErr w:type="gramStart"/>
      <w:r w:rsidRPr="007708C9">
        <w:rPr>
          <w:rFonts w:asciiTheme="minorHAnsi" w:hAnsiTheme="minorHAnsi"/>
          <w:bCs/>
          <w:lang w:val="en-GB"/>
        </w:rPr>
        <w:t xml:space="preserve">in the vicinity </w:t>
      </w:r>
      <w:r w:rsidR="00C2043A" w:rsidRPr="007708C9">
        <w:rPr>
          <w:rFonts w:asciiTheme="minorHAnsi" w:hAnsiTheme="minorHAnsi"/>
          <w:bCs/>
          <w:lang w:val="en-GB"/>
        </w:rPr>
        <w:t>of</w:t>
      </w:r>
      <w:proofErr w:type="gramEnd"/>
      <w:r w:rsidR="00C2043A" w:rsidRPr="007708C9">
        <w:rPr>
          <w:rFonts w:asciiTheme="minorHAnsi" w:hAnsiTheme="minorHAnsi"/>
          <w:bCs/>
          <w:lang w:val="en-GB"/>
        </w:rPr>
        <w:t xml:space="preserve"> that proposed in the</w:t>
      </w:r>
      <w:r w:rsidRPr="007708C9">
        <w:rPr>
          <w:rFonts w:asciiTheme="minorHAnsi" w:hAnsiTheme="minorHAnsi"/>
          <w:bCs/>
          <w:lang w:val="en-GB"/>
        </w:rPr>
        <w:t xml:space="preserve"> March 2018 s</w:t>
      </w:r>
      <w:r w:rsidR="00EA63FE" w:rsidRPr="007708C9">
        <w:rPr>
          <w:rFonts w:asciiTheme="minorHAnsi" w:hAnsiTheme="minorHAnsi"/>
          <w:bCs/>
          <w:lang w:val="en-GB"/>
        </w:rPr>
        <w:t>ubmission (</w:t>
      </w:r>
      <w:r w:rsidR="00120A2D">
        <w:rPr>
          <w:rFonts w:asciiTheme="minorHAnsi" w:hAnsiTheme="minorHAnsi"/>
          <w:bCs/>
          <w:lang w:val="en-GB"/>
        </w:rPr>
        <w:t>$15,000/QALY - $45,000/</w:t>
      </w:r>
      <w:r w:rsidR="00EA63FE" w:rsidRPr="007708C9">
        <w:rPr>
          <w:rFonts w:asciiTheme="minorHAnsi" w:hAnsiTheme="minorHAnsi"/>
          <w:bCs/>
          <w:lang w:val="en-GB"/>
        </w:rPr>
        <w:t>QALY) would be</w:t>
      </w:r>
      <w:r w:rsidRPr="007708C9">
        <w:rPr>
          <w:rFonts w:asciiTheme="minorHAnsi" w:hAnsiTheme="minorHAnsi"/>
          <w:bCs/>
          <w:lang w:val="en-GB"/>
        </w:rPr>
        <w:t xml:space="preserve"> more reasonable</w:t>
      </w:r>
      <w:r w:rsidR="007708C9">
        <w:rPr>
          <w:rFonts w:asciiTheme="minorHAnsi" w:hAnsiTheme="minorHAnsi"/>
          <w:bCs/>
          <w:lang w:val="en-GB"/>
        </w:rPr>
        <w:t xml:space="preserve"> given these uncertainties</w:t>
      </w:r>
      <w:r w:rsidRPr="007708C9">
        <w:rPr>
          <w:rFonts w:asciiTheme="minorHAnsi" w:hAnsiTheme="minorHAnsi"/>
          <w:bCs/>
          <w:lang w:val="en-GB"/>
        </w:rPr>
        <w:t xml:space="preserve">. </w:t>
      </w:r>
    </w:p>
    <w:p w:rsidR="00C2043A" w:rsidRDefault="0015616E" w:rsidP="0023263B">
      <w:pPr>
        <w:numPr>
          <w:ilvl w:val="1"/>
          <w:numId w:val="2"/>
        </w:numPr>
        <w:spacing w:before="120" w:after="120"/>
        <w:rPr>
          <w:rFonts w:asciiTheme="minorHAnsi" w:hAnsiTheme="minorHAnsi"/>
          <w:bCs/>
          <w:lang w:val="en-GB"/>
        </w:rPr>
      </w:pPr>
      <w:r>
        <w:rPr>
          <w:rFonts w:asciiTheme="minorHAnsi" w:hAnsiTheme="minorHAnsi"/>
          <w:bCs/>
          <w:lang w:val="en-GB"/>
        </w:rPr>
        <w:t xml:space="preserve">Given the claim of non-inferior efficacy, the PBAC noted that the resubmission appropriately presented a cost-minimisation analysis for </w:t>
      </w:r>
      <w:proofErr w:type="spellStart"/>
      <w:r>
        <w:rPr>
          <w:rFonts w:asciiTheme="minorHAnsi" w:hAnsiTheme="minorHAnsi"/>
          <w:bCs/>
          <w:lang w:val="en-GB"/>
        </w:rPr>
        <w:t>lenalidomide</w:t>
      </w:r>
      <w:proofErr w:type="spellEnd"/>
      <w:r>
        <w:rPr>
          <w:rFonts w:asciiTheme="minorHAnsi" w:hAnsiTheme="minorHAnsi"/>
          <w:bCs/>
          <w:lang w:val="en-GB"/>
        </w:rPr>
        <w:t xml:space="preserve"> </w:t>
      </w:r>
      <w:r w:rsidR="001A4B56">
        <w:rPr>
          <w:rFonts w:asciiTheme="minorHAnsi" w:hAnsiTheme="minorHAnsi"/>
          <w:bCs/>
          <w:lang w:val="en-GB"/>
        </w:rPr>
        <w:t xml:space="preserve">versus </w:t>
      </w:r>
      <w:r w:rsidRPr="00132D0C">
        <w:rPr>
          <w:rFonts w:asciiTheme="minorHAnsi" w:hAnsiTheme="minorHAnsi"/>
          <w:bCs/>
          <w:lang w:val="en-GB"/>
        </w:rPr>
        <w:t xml:space="preserve">thalidomide. </w:t>
      </w:r>
      <w:r w:rsidR="003E62A9" w:rsidRPr="00132D0C">
        <w:rPr>
          <w:rFonts w:asciiTheme="minorHAnsi" w:hAnsiTheme="minorHAnsi"/>
          <w:bCs/>
          <w:lang w:val="en-GB"/>
        </w:rPr>
        <w:t xml:space="preserve">The </w:t>
      </w:r>
      <w:proofErr w:type="spellStart"/>
      <w:r w:rsidR="003E62A9" w:rsidRPr="00132D0C">
        <w:rPr>
          <w:rFonts w:asciiTheme="minorHAnsi" w:hAnsiTheme="minorHAnsi"/>
          <w:bCs/>
          <w:lang w:val="en-GB"/>
        </w:rPr>
        <w:t>equi</w:t>
      </w:r>
      <w:proofErr w:type="spellEnd"/>
      <w:r w:rsidR="003E62A9" w:rsidRPr="00132D0C">
        <w:rPr>
          <w:rFonts w:asciiTheme="minorHAnsi" w:hAnsiTheme="minorHAnsi"/>
          <w:bCs/>
          <w:lang w:val="en-GB"/>
        </w:rPr>
        <w:t xml:space="preserve">-effective doses proposed in the cost-minimisation analysis </w:t>
      </w:r>
      <w:proofErr w:type="gramStart"/>
      <w:r w:rsidR="003E62A9" w:rsidRPr="00132D0C">
        <w:rPr>
          <w:rFonts w:asciiTheme="minorHAnsi" w:hAnsiTheme="minorHAnsi"/>
          <w:bCs/>
          <w:lang w:val="en-GB"/>
        </w:rPr>
        <w:t>were</w:t>
      </w:r>
      <w:r w:rsidR="001A4B56" w:rsidRPr="00132D0C">
        <w:rPr>
          <w:rFonts w:asciiTheme="minorHAnsi" w:hAnsiTheme="minorHAnsi"/>
          <w:bCs/>
          <w:lang w:val="en-GB"/>
        </w:rPr>
        <w:t>:</w:t>
      </w:r>
      <w:proofErr w:type="gramEnd"/>
      <w:r w:rsidR="003E62A9" w:rsidRPr="00132D0C">
        <w:rPr>
          <w:rFonts w:asciiTheme="minorHAnsi" w:hAnsiTheme="minorHAnsi"/>
          <w:bCs/>
          <w:lang w:val="en-GB"/>
        </w:rPr>
        <w:t xml:space="preserve"> </w:t>
      </w:r>
      <w:proofErr w:type="spellStart"/>
      <w:r w:rsidR="003E62A9" w:rsidRPr="00132D0C">
        <w:rPr>
          <w:rFonts w:asciiTheme="minorHAnsi" w:hAnsiTheme="minorHAnsi"/>
          <w:bCs/>
          <w:lang w:val="en-GB"/>
        </w:rPr>
        <w:t>lenalidomide</w:t>
      </w:r>
      <w:proofErr w:type="spellEnd"/>
      <w:r w:rsidR="003E62A9" w:rsidRPr="00132D0C">
        <w:rPr>
          <w:rFonts w:asciiTheme="minorHAnsi" w:hAnsiTheme="minorHAnsi"/>
          <w:bCs/>
          <w:lang w:val="en-GB"/>
        </w:rPr>
        <w:t xml:space="preserve"> 10 mg daily was equivalent to thalidomide 100 mg daily</w:t>
      </w:r>
      <w:r w:rsidR="003E62A9">
        <w:rPr>
          <w:rFonts w:asciiTheme="minorHAnsi" w:hAnsiTheme="minorHAnsi"/>
          <w:bCs/>
          <w:lang w:val="en-GB"/>
        </w:rPr>
        <w:t xml:space="preserve">. The PBAC </w:t>
      </w:r>
      <w:r w:rsidR="003E62A9">
        <w:rPr>
          <w:rFonts w:asciiTheme="minorHAnsi" w:hAnsiTheme="minorHAnsi"/>
          <w:bCs/>
          <w:lang w:val="en-GB"/>
        </w:rPr>
        <w:lastRenderedPageBreak/>
        <w:t xml:space="preserve">recalled that although the recommended daily dose of </w:t>
      </w:r>
      <w:proofErr w:type="spellStart"/>
      <w:r w:rsidR="003E62A9">
        <w:rPr>
          <w:rFonts w:asciiTheme="minorHAnsi" w:hAnsiTheme="minorHAnsi"/>
          <w:bCs/>
          <w:lang w:val="en-GB"/>
        </w:rPr>
        <w:t>lenalidomide</w:t>
      </w:r>
      <w:proofErr w:type="spellEnd"/>
      <w:r w:rsidR="003E62A9">
        <w:rPr>
          <w:rFonts w:asciiTheme="minorHAnsi" w:hAnsiTheme="minorHAnsi"/>
          <w:bCs/>
          <w:lang w:val="en-GB"/>
        </w:rPr>
        <w:t xml:space="preserve"> was 10 mg, increasing to 15 mg after three months, it had previously considered that the</w:t>
      </w:r>
      <w:r w:rsidR="004E581B">
        <w:rPr>
          <w:rFonts w:asciiTheme="minorHAnsi" w:hAnsiTheme="minorHAnsi"/>
          <w:bCs/>
          <w:lang w:val="en-GB"/>
        </w:rPr>
        <w:t xml:space="preserve"> dose </w:t>
      </w:r>
      <w:proofErr w:type="gramStart"/>
      <w:r w:rsidR="004E581B">
        <w:rPr>
          <w:rFonts w:asciiTheme="minorHAnsi" w:hAnsiTheme="minorHAnsi"/>
          <w:bCs/>
          <w:lang w:val="en-GB"/>
        </w:rPr>
        <w:t>would not be increased</w:t>
      </w:r>
      <w:proofErr w:type="gramEnd"/>
      <w:r w:rsidR="004E581B">
        <w:rPr>
          <w:rFonts w:asciiTheme="minorHAnsi" w:hAnsiTheme="minorHAnsi"/>
          <w:bCs/>
          <w:lang w:val="en-GB"/>
        </w:rPr>
        <w:t xml:space="preserve"> in the</w:t>
      </w:r>
      <w:r w:rsidR="003E62A9">
        <w:rPr>
          <w:rFonts w:asciiTheme="minorHAnsi" w:hAnsiTheme="minorHAnsi"/>
          <w:bCs/>
          <w:lang w:val="en-GB"/>
        </w:rPr>
        <w:t xml:space="preserve"> majority of patients. </w:t>
      </w:r>
      <w:proofErr w:type="gramStart"/>
      <w:r w:rsidR="003E62A9">
        <w:rPr>
          <w:rFonts w:asciiTheme="minorHAnsi" w:hAnsiTheme="minorHAnsi"/>
          <w:bCs/>
          <w:lang w:val="en-GB"/>
        </w:rPr>
        <w:t xml:space="preserve">The PBAC noted that </w:t>
      </w:r>
      <w:r w:rsidR="00AD3B01">
        <w:rPr>
          <w:rFonts w:asciiTheme="minorHAnsi" w:hAnsiTheme="minorHAnsi"/>
          <w:bCs/>
          <w:lang w:val="en-GB"/>
        </w:rPr>
        <w:t xml:space="preserve">the </w:t>
      </w:r>
      <w:proofErr w:type="spellStart"/>
      <w:r w:rsidR="00AD3B01">
        <w:rPr>
          <w:rFonts w:asciiTheme="minorHAnsi" w:hAnsiTheme="minorHAnsi"/>
          <w:bCs/>
          <w:lang w:val="en-GB"/>
        </w:rPr>
        <w:t>equi</w:t>
      </w:r>
      <w:proofErr w:type="spellEnd"/>
      <w:r w:rsidR="00AD3B01">
        <w:rPr>
          <w:rFonts w:asciiTheme="minorHAnsi" w:hAnsiTheme="minorHAnsi"/>
          <w:bCs/>
          <w:lang w:val="en-GB"/>
        </w:rPr>
        <w:t>-effecti</w:t>
      </w:r>
      <w:r w:rsidR="003E62A9">
        <w:rPr>
          <w:rFonts w:asciiTheme="minorHAnsi" w:hAnsiTheme="minorHAnsi"/>
          <w:bCs/>
          <w:lang w:val="en-GB"/>
        </w:rPr>
        <w:t>ve dose estimates did not consider treatment exposure</w:t>
      </w:r>
      <w:r w:rsidR="00AD3B01">
        <w:rPr>
          <w:rFonts w:asciiTheme="minorHAnsi" w:hAnsiTheme="minorHAnsi"/>
          <w:bCs/>
          <w:lang w:val="en-GB"/>
        </w:rPr>
        <w:t xml:space="preserve"> (dose or duration) from the clinical trials; however, considered that due to the transitivity issues between the trials</w:t>
      </w:r>
      <w:r w:rsidR="004E581B">
        <w:rPr>
          <w:rFonts w:asciiTheme="minorHAnsi" w:hAnsiTheme="minorHAnsi"/>
          <w:bCs/>
          <w:lang w:val="en-GB"/>
        </w:rPr>
        <w:t>,</w:t>
      </w:r>
      <w:r w:rsidR="00AD3B01">
        <w:rPr>
          <w:rFonts w:asciiTheme="minorHAnsi" w:hAnsiTheme="minorHAnsi"/>
          <w:bCs/>
          <w:lang w:val="en-GB"/>
        </w:rPr>
        <w:t xml:space="preserve"> and as the fixed duration of thalidomide treatment made it difficult to estimate the treatment exposure of </w:t>
      </w:r>
      <w:proofErr w:type="spellStart"/>
      <w:r w:rsidR="00AD3B01">
        <w:rPr>
          <w:rFonts w:asciiTheme="minorHAnsi" w:hAnsiTheme="minorHAnsi"/>
          <w:bCs/>
          <w:lang w:val="en-GB"/>
        </w:rPr>
        <w:t>lenalidomide</w:t>
      </w:r>
      <w:proofErr w:type="spellEnd"/>
      <w:r w:rsidR="00AD3B01">
        <w:rPr>
          <w:rFonts w:asciiTheme="minorHAnsi" w:hAnsiTheme="minorHAnsi"/>
          <w:bCs/>
          <w:lang w:val="en-GB"/>
        </w:rPr>
        <w:t xml:space="preserve"> that would result in equivalent clinical outcomes, the nominated </w:t>
      </w:r>
      <w:proofErr w:type="spellStart"/>
      <w:r w:rsidR="00AD3B01">
        <w:rPr>
          <w:rFonts w:asciiTheme="minorHAnsi" w:hAnsiTheme="minorHAnsi"/>
          <w:bCs/>
          <w:lang w:val="en-GB"/>
        </w:rPr>
        <w:t>equi</w:t>
      </w:r>
      <w:proofErr w:type="spellEnd"/>
      <w:r w:rsidR="00AD3B01">
        <w:rPr>
          <w:rFonts w:asciiTheme="minorHAnsi" w:hAnsiTheme="minorHAnsi"/>
          <w:bCs/>
          <w:lang w:val="en-GB"/>
        </w:rPr>
        <w:t>-effective doses were reasonable.</w:t>
      </w:r>
      <w:proofErr w:type="gramEnd"/>
      <w:r w:rsidR="00AD3B01">
        <w:rPr>
          <w:rFonts w:asciiTheme="minorHAnsi" w:hAnsiTheme="minorHAnsi"/>
          <w:bCs/>
          <w:lang w:val="en-GB"/>
        </w:rPr>
        <w:t xml:space="preserve"> </w:t>
      </w:r>
    </w:p>
    <w:p w:rsidR="00C2043A" w:rsidRDefault="00C2043A" w:rsidP="0023263B">
      <w:pPr>
        <w:numPr>
          <w:ilvl w:val="1"/>
          <w:numId w:val="2"/>
        </w:numPr>
        <w:spacing w:before="120" w:after="120"/>
        <w:rPr>
          <w:rFonts w:asciiTheme="minorHAnsi" w:hAnsiTheme="minorHAnsi"/>
          <w:bCs/>
          <w:lang w:val="en-GB"/>
        </w:rPr>
      </w:pPr>
      <w:r>
        <w:rPr>
          <w:rFonts w:asciiTheme="minorHAnsi" w:hAnsiTheme="minorHAnsi"/>
          <w:bCs/>
          <w:lang w:val="en-GB"/>
        </w:rPr>
        <w:t xml:space="preserve">The PBAC reiterated that it considered a more reasonable weighting for the mixed comparator to be </w:t>
      </w:r>
      <w:r w:rsidR="001D6F6D">
        <w:rPr>
          <w:rFonts w:asciiTheme="minorHAnsi" w:hAnsiTheme="minorHAnsi"/>
          <w:bCs/>
          <w:noProof/>
          <w:color w:val="000000"/>
          <w:highlight w:val="black"/>
          <w:lang w:val="en-GB"/>
        </w:rPr>
        <w:t>'''''''''</w:t>
      </w:r>
      <w:r>
        <w:rPr>
          <w:rFonts w:asciiTheme="minorHAnsi" w:hAnsiTheme="minorHAnsi"/>
          <w:bCs/>
          <w:lang w:val="en-GB"/>
        </w:rPr>
        <w:t xml:space="preserve">% BSC and </w:t>
      </w:r>
      <w:proofErr w:type="gramStart"/>
      <w:r w:rsidR="001D6F6D">
        <w:rPr>
          <w:rFonts w:asciiTheme="minorHAnsi" w:hAnsiTheme="minorHAnsi"/>
          <w:bCs/>
          <w:noProof/>
          <w:color w:val="000000"/>
          <w:highlight w:val="black"/>
          <w:lang w:val="en-GB"/>
        </w:rPr>
        <w:t>'''''''''</w:t>
      </w:r>
      <w:r>
        <w:rPr>
          <w:rFonts w:asciiTheme="minorHAnsi" w:hAnsiTheme="minorHAnsi"/>
          <w:bCs/>
          <w:lang w:val="en-GB"/>
        </w:rPr>
        <w:t>%</w:t>
      </w:r>
      <w:proofErr w:type="gramEnd"/>
      <w:r>
        <w:rPr>
          <w:rFonts w:asciiTheme="minorHAnsi" w:hAnsiTheme="minorHAnsi"/>
          <w:bCs/>
          <w:lang w:val="en-GB"/>
        </w:rPr>
        <w:t xml:space="preserve"> thalidomide and that this should be used in </w:t>
      </w:r>
      <w:r w:rsidR="00556656">
        <w:rPr>
          <w:rFonts w:asciiTheme="minorHAnsi" w:hAnsiTheme="minorHAnsi"/>
          <w:bCs/>
          <w:lang w:val="en-GB"/>
        </w:rPr>
        <w:t>future</w:t>
      </w:r>
      <w:r>
        <w:rPr>
          <w:rFonts w:asciiTheme="minorHAnsi" w:hAnsiTheme="minorHAnsi"/>
          <w:bCs/>
          <w:lang w:val="en-GB"/>
        </w:rPr>
        <w:t xml:space="preserve"> </w:t>
      </w:r>
      <w:proofErr w:type="spellStart"/>
      <w:r>
        <w:rPr>
          <w:rFonts w:asciiTheme="minorHAnsi" w:hAnsiTheme="minorHAnsi"/>
          <w:bCs/>
          <w:lang w:val="en-GB"/>
        </w:rPr>
        <w:t>lenalidomide</w:t>
      </w:r>
      <w:proofErr w:type="spellEnd"/>
      <w:r>
        <w:rPr>
          <w:rFonts w:asciiTheme="minorHAnsi" w:hAnsiTheme="minorHAnsi"/>
          <w:bCs/>
          <w:lang w:val="en-GB"/>
        </w:rPr>
        <w:t xml:space="preserve"> price calculations.</w:t>
      </w:r>
    </w:p>
    <w:p w:rsidR="00CD0010" w:rsidRDefault="00C2043A" w:rsidP="0023263B">
      <w:pPr>
        <w:numPr>
          <w:ilvl w:val="1"/>
          <w:numId w:val="2"/>
        </w:numPr>
        <w:spacing w:before="120" w:after="120"/>
        <w:rPr>
          <w:rFonts w:asciiTheme="minorHAnsi" w:hAnsiTheme="minorHAnsi"/>
          <w:bCs/>
          <w:lang w:val="en-GB"/>
        </w:rPr>
      </w:pPr>
      <w:r>
        <w:rPr>
          <w:rFonts w:asciiTheme="minorHAnsi" w:hAnsiTheme="minorHAnsi"/>
          <w:bCs/>
          <w:lang w:val="en-GB"/>
        </w:rPr>
        <w:t>The PBAC noted that the</w:t>
      </w:r>
      <w:r w:rsidR="00556656">
        <w:rPr>
          <w:rFonts w:asciiTheme="minorHAnsi" w:hAnsiTheme="minorHAnsi"/>
          <w:bCs/>
          <w:lang w:val="en-GB"/>
        </w:rPr>
        <w:t xml:space="preserve"> </w:t>
      </w:r>
      <w:r w:rsidR="001A2ACF">
        <w:rPr>
          <w:rFonts w:asciiTheme="minorHAnsi" w:hAnsiTheme="minorHAnsi"/>
          <w:bCs/>
          <w:lang w:val="en-GB"/>
        </w:rPr>
        <w:t xml:space="preserve">financial implications of listing </w:t>
      </w:r>
      <w:proofErr w:type="spellStart"/>
      <w:r w:rsidR="001A2ACF">
        <w:rPr>
          <w:rFonts w:asciiTheme="minorHAnsi" w:hAnsiTheme="minorHAnsi"/>
          <w:bCs/>
          <w:lang w:val="en-GB"/>
        </w:rPr>
        <w:t>lenalidomide</w:t>
      </w:r>
      <w:proofErr w:type="spellEnd"/>
      <w:r w:rsidR="001A2ACF">
        <w:rPr>
          <w:rFonts w:asciiTheme="minorHAnsi" w:hAnsiTheme="minorHAnsi"/>
          <w:bCs/>
          <w:lang w:val="en-GB"/>
        </w:rPr>
        <w:t xml:space="preserve"> on the PBS/RPBS for maintenance treatment following an ASCT</w:t>
      </w:r>
      <w:r>
        <w:rPr>
          <w:rFonts w:asciiTheme="minorHAnsi" w:hAnsiTheme="minorHAnsi"/>
          <w:bCs/>
          <w:lang w:val="en-GB"/>
        </w:rPr>
        <w:t xml:space="preserve"> </w:t>
      </w:r>
      <w:r w:rsidR="001A2ACF">
        <w:rPr>
          <w:rFonts w:asciiTheme="minorHAnsi" w:hAnsiTheme="minorHAnsi"/>
          <w:bCs/>
          <w:lang w:val="en-GB"/>
        </w:rPr>
        <w:t xml:space="preserve">were </w:t>
      </w:r>
      <w:r w:rsidR="00B67C49">
        <w:rPr>
          <w:rFonts w:asciiTheme="minorHAnsi" w:hAnsiTheme="minorHAnsi"/>
          <w:bCs/>
          <w:lang w:val="en-GB"/>
        </w:rPr>
        <w:t xml:space="preserve">high, </w:t>
      </w:r>
      <w:r w:rsidR="001A2ACF">
        <w:rPr>
          <w:rFonts w:asciiTheme="minorHAnsi" w:hAnsiTheme="minorHAnsi"/>
          <w:bCs/>
          <w:lang w:val="en-GB"/>
        </w:rPr>
        <w:t>uncertain</w:t>
      </w:r>
      <w:r w:rsidR="00CD0010">
        <w:rPr>
          <w:rFonts w:asciiTheme="minorHAnsi" w:hAnsiTheme="minorHAnsi"/>
          <w:bCs/>
          <w:lang w:val="en-GB"/>
        </w:rPr>
        <w:t xml:space="preserve"> and likely to be underestimated</w:t>
      </w:r>
      <w:r w:rsidR="001A2ACF">
        <w:rPr>
          <w:rFonts w:asciiTheme="minorHAnsi" w:hAnsiTheme="minorHAnsi"/>
          <w:bCs/>
          <w:lang w:val="en-GB"/>
        </w:rPr>
        <w:t xml:space="preserve">. </w:t>
      </w:r>
      <w:r w:rsidR="004D51C4">
        <w:rPr>
          <w:rFonts w:asciiTheme="minorHAnsi" w:hAnsiTheme="minorHAnsi"/>
          <w:bCs/>
          <w:lang w:val="en-GB"/>
        </w:rPr>
        <w:t>The PBAC considered that any revised estimations would</w:t>
      </w:r>
      <w:r w:rsidR="003C7DAA">
        <w:rPr>
          <w:rFonts w:asciiTheme="minorHAnsi" w:hAnsiTheme="minorHAnsi"/>
          <w:bCs/>
          <w:lang w:val="en-GB"/>
        </w:rPr>
        <w:t xml:space="preserve"> make only the following changes</w:t>
      </w:r>
      <w:r w:rsidR="004D51C4">
        <w:rPr>
          <w:rFonts w:asciiTheme="minorHAnsi" w:hAnsiTheme="minorHAnsi"/>
          <w:bCs/>
          <w:lang w:val="en-GB"/>
        </w:rPr>
        <w:t>:</w:t>
      </w:r>
    </w:p>
    <w:p w:rsidR="004A603B" w:rsidRDefault="004A603B" w:rsidP="0023263B">
      <w:pPr>
        <w:numPr>
          <w:ilvl w:val="1"/>
          <w:numId w:val="10"/>
        </w:numPr>
        <w:spacing w:before="120" w:after="120"/>
        <w:ind w:left="1077" w:hanging="357"/>
        <w:rPr>
          <w:rFonts w:asciiTheme="minorHAnsi" w:hAnsiTheme="minorHAnsi"/>
          <w:bCs/>
          <w:lang w:val="en-GB"/>
        </w:rPr>
      </w:pPr>
      <w:r>
        <w:rPr>
          <w:rFonts w:asciiTheme="minorHAnsi" w:hAnsiTheme="minorHAnsi"/>
          <w:bCs/>
          <w:lang w:val="en-GB"/>
        </w:rPr>
        <w:t xml:space="preserve">Incorporate the revised price of </w:t>
      </w:r>
      <w:proofErr w:type="spellStart"/>
      <w:r>
        <w:rPr>
          <w:rFonts w:asciiTheme="minorHAnsi" w:hAnsiTheme="minorHAnsi"/>
          <w:bCs/>
          <w:lang w:val="en-GB"/>
        </w:rPr>
        <w:t>lenalidomide</w:t>
      </w:r>
      <w:proofErr w:type="spellEnd"/>
      <w:r>
        <w:rPr>
          <w:rFonts w:asciiTheme="minorHAnsi" w:hAnsiTheme="minorHAnsi"/>
          <w:bCs/>
          <w:lang w:val="en-GB"/>
        </w:rPr>
        <w:t>;</w:t>
      </w:r>
    </w:p>
    <w:p w:rsidR="004A603B" w:rsidRDefault="004A603B" w:rsidP="0023263B">
      <w:pPr>
        <w:numPr>
          <w:ilvl w:val="1"/>
          <w:numId w:val="10"/>
        </w:numPr>
        <w:spacing w:before="120" w:after="120"/>
        <w:ind w:left="1077" w:hanging="357"/>
        <w:rPr>
          <w:rFonts w:asciiTheme="minorHAnsi" w:hAnsiTheme="minorHAnsi"/>
          <w:bCs/>
          <w:lang w:val="en-GB"/>
        </w:rPr>
      </w:pPr>
      <w:r>
        <w:rPr>
          <w:rFonts w:asciiTheme="minorHAnsi" w:hAnsiTheme="minorHAnsi"/>
          <w:bCs/>
          <w:lang w:val="en-GB"/>
        </w:rPr>
        <w:t xml:space="preserve">Utilise a </w:t>
      </w:r>
      <w:r w:rsidR="001D6F6D">
        <w:rPr>
          <w:rFonts w:asciiTheme="minorHAnsi" w:hAnsiTheme="minorHAnsi"/>
          <w:bCs/>
          <w:noProof/>
          <w:color w:val="000000"/>
          <w:highlight w:val="black"/>
          <w:lang w:val="en-GB"/>
        </w:rPr>
        <w:t>''''''''</w:t>
      </w:r>
      <w:r>
        <w:rPr>
          <w:rFonts w:asciiTheme="minorHAnsi" w:hAnsiTheme="minorHAnsi"/>
          <w:bCs/>
          <w:lang w:val="en-GB"/>
        </w:rPr>
        <w:t xml:space="preserve">% BSC and </w:t>
      </w:r>
      <w:r w:rsidR="001D6F6D">
        <w:rPr>
          <w:rFonts w:asciiTheme="minorHAnsi" w:hAnsiTheme="minorHAnsi"/>
          <w:bCs/>
          <w:noProof/>
          <w:color w:val="000000"/>
          <w:highlight w:val="black"/>
          <w:lang w:val="en-GB"/>
        </w:rPr>
        <w:t>''''''''</w:t>
      </w:r>
      <w:r>
        <w:rPr>
          <w:rFonts w:asciiTheme="minorHAnsi" w:hAnsiTheme="minorHAnsi"/>
          <w:bCs/>
          <w:lang w:val="en-GB"/>
        </w:rPr>
        <w:t>% thalidomide split;</w:t>
      </w:r>
      <w:r w:rsidR="003C7DAA">
        <w:rPr>
          <w:rFonts w:asciiTheme="minorHAnsi" w:hAnsiTheme="minorHAnsi"/>
          <w:bCs/>
          <w:lang w:val="en-GB"/>
        </w:rPr>
        <w:t xml:space="preserve"> and</w:t>
      </w:r>
    </w:p>
    <w:p w:rsidR="004A603B" w:rsidRPr="001F009A" w:rsidRDefault="004D51C4" w:rsidP="0023263B">
      <w:pPr>
        <w:numPr>
          <w:ilvl w:val="1"/>
          <w:numId w:val="10"/>
        </w:numPr>
        <w:spacing w:before="120" w:after="120"/>
        <w:ind w:left="1077" w:hanging="357"/>
        <w:rPr>
          <w:rFonts w:asciiTheme="minorHAnsi" w:hAnsiTheme="minorHAnsi"/>
          <w:bCs/>
          <w:lang w:val="en-GB"/>
        </w:rPr>
      </w:pPr>
      <w:r>
        <w:rPr>
          <w:rFonts w:asciiTheme="minorHAnsi" w:hAnsiTheme="minorHAnsi"/>
          <w:bCs/>
          <w:lang w:val="en-GB"/>
        </w:rPr>
        <w:t>Use the mean time on therapy (</w:t>
      </w:r>
      <w:r w:rsidR="001D6F6D">
        <w:rPr>
          <w:rFonts w:asciiTheme="minorHAnsi" w:hAnsiTheme="minorHAnsi"/>
          <w:bCs/>
          <w:noProof/>
          <w:color w:val="000000"/>
          <w:highlight w:val="black"/>
          <w:lang w:val="en-GB"/>
        </w:rPr>
        <w:t>''''''''</w:t>
      </w:r>
      <w:r>
        <w:rPr>
          <w:rFonts w:asciiTheme="minorHAnsi" w:hAnsiTheme="minorHAnsi"/>
          <w:bCs/>
          <w:lang w:val="en-GB"/>
        </w:rPr>
        <w:t xml:space="preserve"> months) from the CALGB trial</w:t>
      </w:r>
      <w:r w:rsidR="003C7DAA">
        <w:rPr>
          <w:rFonts w:asciiTheme="minorHAnsi" w:hAnsiTheme="minorHAnsi"/>
          <w:bCs/>
          <w:lang w:val="en-GB"/>
        </w:rPr>
        <w:t>.</w:t>
      </w:r>
    </w:p>
    <w:p w:rsidR="001A2ACF" w:rsidRDefault="001A2ACF" w:rsidP="0023263B">
      <w:pPr>
        <w:numPr>
          <w:ilvl w:val="1"/>
          <w:numId w:val="2"/>
        </w:numPr>
        <w:spacing w:before="120" w:after="120"/>
        <w:rPr>
          <w:rFonts w:asciiTheme="minorHAnsi" w:hAnsiTheme="minorHAnsi"/>
          <w:bCs/>
          <w:lang w:val="en-GB"/>
        </w:rPr>
      </w:pPr>
      <w:r>
        <w:rPr>
          <w:rFonts w:asciiTheme="minorHAnsi" w:hAnsiTheme="minorHAnsi"/>
          <w:bCs/>
          <w:lang w:val="en-GB"/>
        </w:rPr>
        <w:t xml:space="preserve">The PBAC considered that in the context of the high and uncertain potential cost, a Risk Sharing Arrangement (RSA) would be appropriate. The PBAC considered that any RSA should also include the current </w:t>
      </w:r>
      <w:proofErr w:type="spellStart"/>
      <w:r>
        <w:rPr>
          <w:rFonts w:asciiTheme="minorHAnsi" w:hAnsiTheme="minorHAnsi"/>
          <w:bCs/>
          <w:lang w:val="en-GB"/>
        </w:rPr>
        <w:t>lenalidomide</w:t>
      </w:r>
      <w:proofErr w:type="spellEnd"/>
      <w:r>
        <w:rPr>
          <w:rFonts w:asciiTheme="minorHAnsi" w:hAnsiTheme="minorHAnsi"/>
          <w:bCs/>
          <w:lang w:val="en-GB"/>
        </w:rPr>
        <w:t xml:space="preserve"> PBS indications</w:t>
      </w:r>
      <w:r w:rsidR="00D505DE">
        <w:rPr>
          <w:rFonts w:asciiTheme="minorHAnsi" w:hAnsiTheme="minorHAnsi"/>
          <w:bCs/>
          <w:lang w:val="en-GB"/>
        </w:rPr>
        <w:t xml:space="preserve"> </w:t>
      </w:r>
      <w:r>
        <w:rPr>
          <w:rFonts w:asciiTheme="minorHAnsi" w:hAnsiTheme="minorHAnsi"/>
          <w:bCs/>
          <w:lang w:val="en-GB"/>
        </w:rPr>
        <w:t xml:space="preserve">and include </w:t>
      </w:r>
      <w:r w:rsidR="001D6F6D">
        <w:rPr>
          <w:rFonts w:asciiTheme="minorHAnsi" w:hAnsiTheme="minorHAnsi"/>
          <w:bCs/>
          <w:noProof/>
          <w:color w:val="000000"/>
          <w:highlight w:val="black"/>
          <w:lang w:val="en-GB"/>
        </w:rPr>
        <w:t xml:space="preserve">'''''''''' ''''''''' </w:t>
      </w:r>
      <w:r w:rsidR="00D61D10">
        <w:rPr>
          <w:rFonts w:asciiTheme="minorHAnsi" w:hAnsiTheme="minorHAnsi"/>
          <w:bCs/>
          <w:lang w:val="en-GB"/>
        </w:rPr>
        <w:t xml:space="preserve">such that </w:t>
      </w:r>
      <w:r w:rsidR="00D61D10" w:rsidRPr="00D61D10">
        <w:rPr>
          <w:rFonts w:asciiTheme="minorHAnsi" w:hAnsiTheme="minorHAnsi"/>
          <w:bCs/>
          <w:lang w:val="en-GB"/>
        </w:rPr>
        <w:t xml:space="preserve">any PBS expenditures beyond these caps would result in a </w:t>
      </w:r>
      <w:proofErr w:type="gramStart"/>
      <w:r w:rsidR="001D6F6D">
        <w:rPr>
          <w:rFonts w:asciiTheme="minorHAnsi" w:hAnsiTheme="minorHAnsi"/>
          <w:bCs/>
          <w:noProof/>
          <w:color w:val="000000"/>
          <w:highlight w:val="black"/>
          <w:lang w:val="en-GB"/>
        </w:rPr>
        <w:t>''''''''</w:t>
      </w:r>
      <w:r w:rsidR="00D61D10" w:rsidRPr="00D61D10">
        <w:rPr>
          <w:rFonts w:asciiTheme="minorHAnsi" w:hAnsiTheme="minorHAnsi"/>
          <w:bCs/>
          <w:lang w:val="en-GB"/>
        </w:rPr>
        <w:t>%</w:t>
      </w:r>
      <w:proofErr w:type="gramEnd"/>
      <w:r w:rsidR="00D61D10" w:rsidRPr="00D61D10">
        <w:rPr>
          <w:rFonts w:asciiTheme="minorHAnsi" w:hAnsiTheme="minorHAnsi"/>
          <w:bCs/>
          <w:lang w:val="en-GB"/>
        </w:rPr>
        <w:t xml:space="preserve"> rebate</w:t>
      </w:r>
      <w:r w:rsidR="00C96706">
        <w:rPr>
          <w:rFonts w:asciiTheme="minorHAnsi" w:hAnsiTheme="minorHAnsi"/>
          <w:bCs/>
          <w:lang w:val="en-GB"/>
        </w:rPr>
        <w:t xml:space="preserve">, as outlined in </w:t>
      </w:r>
      <w:r w:rsidR="008F4A5D">
        <w:rPr>
          <w:rFonts w:asciiTheme="minorHAnsi" w:hAnsiTheme="minorHAnsi"/>
          <w:bCs/>
          <w:lang w:val="en-GB"/>
        </w:rPr>
        <w:t>paragraph 6.7</w:t>
      </w:r>
      <w:r w:rsidR="00FD23F4">
        <w:rPr>
          <w:rFonts w:asciiTheme="minorHAnsi" w:hAnsiTheme="minorHAnsi"/>
          <w:bCs/>
          <w:lang w:val="en-GB"/>
        </w:rPr>
        <w:t>4</w:t>
      </w:r>
      <w:r>
        <w:rPr>
          <w:rFonts w:asciiTheme="minorHAnsi" w:hAnsiTheme="minorHAnsi"/>
          <w:bCs/>
          <w:lang w:val="en-GB"/>
        </w:rPr>
        <w:t xml:space="preserve">. </w:t>
      </w:r>
    </w:p>
    <w:p w:rsidR="00F1485C" w:rsidRDefault="00F1485C" w:rsidP="0023263B">
      <w:pPr>
        <w:numPr>
          <w:ilvl w:val="1"/>
          <w:numId w:val="2"/>
        </w:numPr>
        <w:spacing w:before="120" w:after="120"/>
        <w:rPr>
          <w:rFonts w:asciiTheme="minorHAnsi" w:hAnsiTheme="minorHAnsi"/>
          <w:bCs/>
          <w:lang w:val="en-GB"/>
        </w:rPr>
      </w:pPr>
      <w:r>
        <w:rPr>
          <w:rFonts w:asciiTheme="minorHAnsi" w:hAnsiTheme="minorHAnsi"/>
          <w:bCs/>
          <w:lang w:val="en-GB"/>
        </w:rPr>
        <w:t xml:space="preserve">The PBAC advised that a </w:t>
      </w:r>
      <w:r w:rsidRPr="00C96706">
        <w:rPr>
          <w:rFonts w:asciiTheme="minorHAnsi" w:hAnsiTheme="minorHAnsi"/>
          <w:bCs/>
          <w:lang w:val="en-GB"/>
        </w:rPr>
        <w:t>minor</w:t>
      </w:r>
      <w:r w:rsidR="00AC4F72">
        <w:rPr>
          <w:rFonts w:asciiTheme="minorHAnsi" w:hAnsiTheme="minorHAnsi"/>
          <w:bCs/>
          <w:lang w:val="en-GB"/>
        </w:rPr>
        <w:t xml:space="preserve"> </w:t>
      </w:r>
      <w:r w:rsidR="00D505DE">
        <w:rPr>
          <w:rFonts w:asciiTheme="minorHAnsi" w:hAnsiTheme="minorHAnsi"/>
          <w:bCs/>
          <w:lang w:val="en-GB"/>
        </w:rPr>
        <w:t xml:space="preserve">submission </w:t>
      </w:r>
      <w:r w:rsidR="00AC4F72">
        <w:rPr>
          <w:rFonts w:asciiTheme="minorHAnsi" w:hAnsiTheme="minorHAnsi"/>
          <w:bCs/>
          <w:lang w:val="en-GB"/>
        </w:rPr>
        <w:t>would be required to</w:t>
      </w:r>
      <w:r w:rsidR="008F4A5D">
        <w:rPr>
          <w:rFonts w:asciiTheme="minorHAnsi" w:hAnsiTheme="minorHAnsi"/>
          <w:bCs/>
          <w:lang w:val="en-GB"/>
        </w:rPr>
        <w:t xml:space="preserve"> </w:t>
      </w:r>
      <w:r w:rsidR="00CE7B8C">
        <w:rPr>
          <w:rFonts w:asciiTheme="minorHAnsi" w:hAnsiTheme="minorHAnsi"/>
          <w:bCs/>
          <w:lang w:val="en-GB"/>
        </w:rPr>
        <w:t>address the uncertainty in the ICER</w:t>
      </w:r>
      <w:r w:rsidR="00AC4F72">
        <w:rPr>
          <w:rFonts w:asciiTheme="minorHAnsi" w:hAnsiTheme="minorHAnsi"/>
          <w:bCs/>
          <w:lang w:val="en-GB"/>
        </w:rPr>
        <w:t xml:space="preserve"> and financial estimates </w:t>
      </w:r>
      <w:r w:rsidR="008F4A5D">
        <w:rPr>
          <w:rFonts w:asciiTheme="minorHAnsi" w:hAnsiTheme="minorHAnsi"/>
          <w:bCs/>
          <w:lang w:val="en-GB"/>
        </w:rPr>
        <w:t xml:space="preserve">and </w:t>
      </w:r>
      <w:r w:rsidR="00AC4F72">
        <w:rPr>
          <w:rFonts w:asciiTheme="minorHAnsi" w:hAnsiTheme="minorHAnsi"/>
          <w:bCs/>
          <w:lang w:val="en-GB"/>
        </w:rPr>
        <w:t>to provide a</w:t>
      </w:r>
      <w:r w:rsidR="00C96706">
        <w:rPr>
          <w:rFonts w:asciiTheme="minorHAnsi" w:hAnsiTheme="minorHAnsi"/>
          <w:bCs/>
          <w:lang w:val="en-GB"/>
        </w:rPr>
        <w:t xml:space="preserve">n </w:t>
      </w:r>
      <w:r w:rsidR="008F4A5D">
        <w:rPr>
          <w:rFonts w:asciiTheme="minorHAnsi" w:hAnsiTheme="minorHAnsi"/>
          <w:bCs/>
          <w:lang w:val="en-GB"/>
        </w:rPr>
        <w:t>RSA proposal</w:t>
      </w:r>
      <w:r w:rsidR="00CE7B8C">
        <w:rPr>
          <w:rFonts w:asciiTheme="minorHAnsi" w:hAnsiTheme="minorHAnsi"/>
          <w:bCs/>
          <w:lang w:val="en-GB"/>
        </w:rPr>
        <w:t>.</w:t>
      </w:r>
      <w:r w:rsidR="008F4A5D">
        <w:rPr>
          <w:rFonts w:asciiTheme="minorHAnsi" w:hAnsiTheme="minorHAnsi"/>
          <w:bCs/>
          <w:lang w:val="en-GB"/>
        </w:rPr>
        <w:t xml:space="preserve"> </w:t>
      </w:r>
      <w:r w:rsidR="00633BA0">
        <w:rPr>
          <w:rFonts w:asciiTheme="minorHAnsi" w:hAnsiTheme="minorHAnsi"/>
          <w:bCs/>
          <w:lang w:val="en-GB"/>
        </w:rPr>
        <w:t>A</w:t>
      </w:r>
      <w:r w:rsidR="00C954A3">
        <w:rPr>
          <w:rFonts w:asciiTheme="minorHAnsi" w:hAnsiTheme="minorHAnsi"/>
          <w:bCs/>
          <w:lang w:val="en-GB"/>
        </w:rPr>
        <w:t>ny</w:t>
      </w:r>
      <w:r w:rsidR="00633BA0">
        <w:rPr>
          <w:rFonts w:asciiTheme="minorHAnsi" w:hAnsiTheme="minorHAnsi"/>
          <w:bCs/>
          <w:lang w:val="en-GB"/>
        </w:rPr>
        <w:t xml:space="preserve"> revised financial estimates model </w:t>
      </w:r>
      <w:proofErr w:type="gramStart"/>
      <w:r w:rsidR="00C954A3">
        <w:rPr>
          <w:rFonts w:asciiTheme="minorHAnsi" w:hAnsiTheme="minorHAnsi"/>
          <w:bCs/>
          <w:lang w:val="en-GB"/>
        </w:rPr>
        <w:t>must be</w:t>
      </w:r>
      <w:r w:rsidR="00633BA0">
        <w:rPr>
          <w:rFonts w:asciiTheme="minorHAnsi" w:hAnsiTheme="minorHAnsi"/>
          <w:bCs/>
          <w:lang w:val="en-GB"/>
        </w:rPr>
        <w:t xml:space="preserve"> presented</w:t>
      </w:r>
      <w:proofErr w:type="gramEnd"/>
      <w:r w:rsidR="00633BA0">
        <w:rPr>
          <w:rFonts w:asciiTheme="minorHAnsi" w:hAnsiTheme="minorHAnsi"/>
          <w:bCs/>
          <w:lang w:val="en-GB"/>
        </w:rPr>
        <w:t xml:space="preserve"> in a conventional way using the standard utilisation and cost model spreadsheet for PBAC submissions. </w:t>
      </w:r>
    </w:p>
    <w:p w:rsidR="00E26DED" w:rsidRPr="000A0808" w:rsidRDefault="00E26DED" w:rsidP="0023263B">
      <w:pPr>
        <w:numPr>
          <w:ilvl w:val="1"/>
          <w:numId w:val="2"/>
        </w:numPr>
        <w:spacing w:before="120" w:after="120"/>
        <w:rPr>
          <w:rFonts w:asciiTheme="minorHAnsi" w:hAnsiTheme="minorHAnsi"/>
          <w:bCs/>
          <w:sz w:val="22"/>
          <w:lang w:val="en-GB"/>
        </w:rPr>
      </w:pPr>
      <w:r w:rsidRPr="00403738">
        <w:rPr>
          <w:rFonts w:asciiTheme="minorHAnsi" w:hAnsiTheme="minorHAnsi"/>
          <w:bCs/>
          <w:lang w:val="en-GB"/>
        </w:rPr>
        <w:t xml:space="preserve">The PBAC noted that this submission is not eligible for an Independent Review, as the submission </w:t>
      </w:r>
      <w:proofErr w:type="gramStart"/>
      <w:r w:rsidRPr="00403738">
        <w:rPr>
          <w:rFonts w:asciiTheme="minorHAnsi" w:hAnsiTheme="minorHAnsi"/>
          <w:bCs/>
          <w:lang w:val="en-GB"/>
        </w:rPr>
        <w:t>was not rejected</w:t>
      </w:r>
      <w:proofErr w:type="gramEnd"/>
      <w:r w:rsidRPr="000A0808">
        <w:rPr>
          <w:rFonts w:asciiTheme="minorHAnsi" w:hAnsiTheme="minorHAnsi"/>
          <w:bCs/>
          <w:sz w:val="22"/>
          <w:lang w:val="en-GB"/>
        </w:rPr>
        <w:t xml:space="preserve">. </w:t>
      </w:r>
    </w:p>
    <w:p w:rsidR="006D772C" w:rsidRPr="00525B39" w:rsidRDefault="006D772C" w:rsidP="0023263B">
      <w:pPr>
        <w:spacing w:before="120" w:after="120"/>
        <w:rPr>
          <w:rFonts w:asciiTheme="minorHAnsi" w:hAnsiTheme="minorHAnsi"/>
          <w:b/>
          <w:bCs/>
          <w:lang w:val="en-GB"/>
        </w:rPr>
      </w:pPr>
      <w:r w:rsidRPr="00525B39">
        <w:rPr>
          <w:rFonts w:asciiTheme="minorHAnsi" w:hAnsiTheme="minorHAnsi"/>
          <w:b/>
          <w:bCs/>
          <w:lang w:val="en-GB"/>
        </w:rPr>
        <w:t>Outcome:</w:t>
      </w:r>
    </w:p>
    <w:p w:rsidR="007941D5" w:rsidRDefault="006D772C" w:rsidP="0023263B">
      <w:pPr>
        <w:spacing w:before="120" w:after="120"/>
        <w:rPr>
          <w:rFonts w:asciiTheme="minorHAnsi" w:hAnsiTheme="minorHAnsi"/>
          <w:bCs/>
          <w:lang w:val="en-GB"/>
        </w:rPr>
      </w:pPr>
      <w:r w:rsidRPr="00525B39">
        <w:rPr>
          <w:rFonts w:asciiTheme="minorHAnsi" w:hAnsiTheme="minorHAnsi"/>
          <w:bCs/>
          <w:lang w:val="en-GB"/>
        </w:rPr>
        <w:t xml:space="preserve">Deferred </w:t>
      </w:r>
      <w:bookmarkEnd w:id="0"/>
      <w:bookmarkEnd w:id="1"/>
      <w:bookmarkEnd w:id="2"/>
      <w:bookmarkEnd w:id="3"/>
      <w:bookmarkEnd w:id="4"/>
      <w:bookmarkEnd w:id="5"/>
    </w:p>
    <w:p w:rsidR="007941D5" w:rsidRPr="00132D0C" w:rsidRDefault="007941D5" w:rsidP="0023263B">
      <w:pPr>
        <w:pStyle w:val="Heading1"/>
        <w:keepLines/>
        <w:widowControl/>
        <w:numPr>
          <w:ilvl w:val="0"/>
          <w:numId w:val="2"/>
        </w:numPr>
        <w:spacing w:before="120"/>
        <w:ind w:left="709" w:hanging="709"/>
        <w:rPr>
          <w:rFonts w:asciiTheme="minorHAnsi" w:eastAsiaTheme="majorEastAsia" w:hAnsiTheme="minorHAnsi" w:cstheme="majorBidi"/>
          <w:caps w:val="0"/>
          <w:snapToGrid/>
          <w:szCs w:val="28"/>
        </w:rPr>
      </w:pPr>
      <w:r w:rsidRPr="00132D0C">
        <w:rPr>
          <w:rFonts w:asciiTheme="minorHAnsi" w:eastAsiaTheme="majorEastAsia" w:hAnsiTheme="minorHAnsi" w:cstheme="majorBidi"/>
          <w:caps w:val="0"/>
          <w:snapToGrid/>
          <w:szCs w:val="28"/>
        </w:rPr>
        <w:t>Context for decision</w:t>
      </w:r>
    </w:p>
    <w:p w:rsidR="007941D5" w:rsidRPr="00C07617" w:rsidRDefault="007941D5" w:rsidP="0023263B">
      <w:pPr>
        <w:spacing w:before="120" w:after="120"/>
        <w:ind w:left="709"/>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941D5" w:rsidRPr="00132D0C" w:rsidRDefault="007941D5" w:rsidP="0023263B">
      <w:pPr>
        <w:pStyle w:val="Heading1"/>
        <w:keepLines/>
        <w:widowControl/>
        <w:numPr>
          <w:ilvl w:val="0"/>
          <w:numId w:val="2"/>
        </w:numPr>
        <w:spacing w:before="120"/>
        <w:ind w:left="709" w:hanging="709"/>
        <w:rPr>
          <w:rFonts w:asciiTheme="minorHAnsi" w:eastAsiaTheme="majorEastAsia" w:hAnsiTheme="minorHAnsi" w:cstheme="majorBidi"/>
          <w:caps w:val="0"/>
          <w:snapToGrid/>
          <w:szCs w:val="28"/>
        </w:rPr>
      </w:pPr>
      <w:r w:rsidRPr="007941D5">
        <w:rPr>
          <w:rFonts w:asciiTheme="minorHAnsi" w:eastAsiaTheme="majorEastAsia" w:hAnsiTheme="minorHAnsi" w:cstheme="majorBidi"/>
          <w:caps w:val="0"/>
          <w:snapToGrid/>
          <w:szCs w:val="28"/>
        </w:rPr>
        <w:lastRenderedPageBreak/>
        <w:t>Sponsor’s</w:t>
      </w:r>
      <w:r w:rsidRPr="00132D0C">
        <w:rPr>
          <w:rFonts w:asciiTheme="minorHAnsi" w:eastAsiaTheme="majorEastAsia" w:hAnsiTheme="minorHAnsi" w:cstheme="majorBidi"/>
          <w:caps w:val="0"/>
          <w:snapToGrid/>
          <w:szCs w:val="28"/>
        </w:rPr>
        <w:t xml:space="preserve"> comment</w:t>
      </w:r>
    </w:p>
    <w:p w:rsidR="00F05A74" w:rsidRPr="00F05A74" w:rsidRDefault="00F05A74" w:rsidP="0023263B">
      <w:pPr>
        <w:spacing w:before="120" w:after="120"/>
        <w:ind w:firstLine="709"/>
        <w:rPr>
          <w:rFonts w:asciiTheme="minorHAnsi" w:hAnsiTheme="minorHAnsi"/>
          <w:bCs/>
          <w:lang w:val="en-GB"/>
        </w:rPr>
      </w:pPr>
      <w:proofErr w:type="spellStart"/>
      <w:r w:rsidRPr="00F05A74">
        <w:rPr>
          <w:rFonts w:asciiTheme="minorHAnsi" w:hAnsiTheme="minorHAnsi"/>
          <w:bCs/>
          <w:lang w:val="en-GB"/>
        </w:rPr>
        <w:t>Lenalidomide</w:t>
      </w:r>
      <w:proofErr w:type="spellEnd"/>
      <w:r w:rsidRPr="00F05A74">
        <w:rPr>
          <w:rFonts w:asciiTheme="minorHAnsi" w:hAnsiTheme="minorHAnsi"/>
          <w:bCs/>
          <w:lang w:val="en-GB"/>
        </w:rPr>
        <w:t xml:space="preserve"> is the only TGA registered therapy for maintenance in Australia. Celgene</w:t>
      </w:r>
    </w:p>
    <w:p w:rsidR="00F05A74" w:rsidRPr="00F05A74" w:rsidRDefault="00F05A74" w:rsidP="0023263B">
      <w:pPr>
        <w:spacing w:before="120" w:after="120"/>
        <w:ind w:firstLine="709"/>
        <w:rPr>
          <w:rFonts w:asciiTheme="minorHAnsi" w:hAnsiTheme="minorHAnsi"/>
          <w:bCs/>
          <w:lang w:val="en-GB"/>
        </w:rPr>
      </w:pPr>
      <w:proofErr w:type="gramStart"/>
      <w:r w:rsidRPr="00F05A74">
        <w:rPr>
          <w:rFonts w:asciiTheme="minorHAnsi" w:hAnsiTheme="minorHAnsi"/>
          <w:bCs/>
          <w:lang w:val="en-GB"/>
        </w:rPr>
        <w:t>is</w:t>
      </w:r>
      <w:proofErr w:type="gramEnd"/>
      <w:r w:rsidRPr="00F05A74">
        <w:rPr>
          <w:rFonts w:asciiTheme="minorHAnsi" w:hAnsiTheme="minorHAnsi"/>
          <w:bCs/>
          <w:lang w:val="en-GB"/>
        </w:rPr>
        <w:t xml:space="preserve"> committed to working with the PBAC and Department to make </w:t>
      </w:r>
      <w:proofErr w:type="spellStart"/>
      <w:r w:rsidRPr="00F05A74">
        <w:rPr>
          <w:rFonts w:asciiTheme="minorHAnsi" w:hAnsiTheme="minorHAnsi"/>
          <w:bCs/>
          <w:lang w:val="en-GB"/>
        </w:rPr>
        <w:t>Lenalidomide</w:t>
      </w:r>
      <w:proofErr w:type="spellEnd"/>
    </w:p>
    <w:p w:rsidR="007941D5" w:rsidRPr="007D5A10" w:rsidRDefault="00F05A74" w:rsidP="0023263B">
      <w:pPr>
        <w:spacing w:before="120" w:after="120"/>
        <w:ind w:firstLine="709"/>
        <w:rPr>
          <w:rFonts w:asciiTheme="minorHAnsi" w:hAnsiTheme="minorHAnsi"/>
          <w:bCs/>
          <w:lang w:val="en-GB"/>
        </w:rPr>
      </w:pPr>
      <w:proofErr w:type="gramStart"/>
      <w:r w:rsidRPr="00F05A74">
        <w:rPr>
          <w:rFonts w:asciiTheme="minorHAnsi" w:hAnsiTheme="minorHAnsi"/>
          <w:bCs/>
          <w:lang w:val="en-GB"/>
        </w:rPr>
        <w:t>available</w:t>
      </w:r>
      <w:proofErr w:type="gramEnd"/>
      <w:r w:rsidRPr="00F05A74">
        <w:rPr>
          <w:rFonts w:asciiTheme="minorHAnsi" w:hAnsiTheme="minorHAnsi"/>
          <w:bCs/>
          <w:lang w:val="en-GB"/>
        </w:rPr>
        <w:t xml:space="preserve"> to Australian patients post autologous stem cell transplant.</w:t>
      </w:r>
      <w:r>
        <w:rPr>
          <w:rFonts w:asciiTheme="minorHAnsi" w:hAnsiTheme="minorHAnsi"/>
          <w:bCs/>
          <w:lang w:val="en-GB"/>
        </w:rPr>
        <w:t xml:space="preserve"> </w:t>
      </w:r>
    </w:p>
    <w:sectPr w:rsidR="007941D5" w:rsidRPr="007D5A10" w:rsidSect="00910216">
      <w:headerReference w:type="default" r:id="rId15"/>
      <w:footerReference w:type="default" r:id="rId16"/>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D4238A" w16cid:durableId="1FE3086D"/>
  <w16cid:commentId w16cid:paraId="24915ABE" w16cid:durableId="1FE80B99"/>
  <w16cid:commentId w16cid:paraId="7868E7F7" w16cid:durableId="1FE3086E"/>
  <w16cid:commentId w16cid:paraId="6C122158" w16cid:durableId="1FE80DB1"/>
  <w16cid:commentId w16cid:paraId="37CCFAE5" w16cid:durableId="1FE3086F"/>
  <w16cid:commentId w16cid:paraId="0862B47C" w16cid:durableId="1FE80DAD"/>
  <w16cid:commentId w16cid:paraId="7602E56C" w16cid:durableId="1FE30870"/>
  <w16cid:commentId w16cid:paraId="1CAA4E0E" w16cid:durableId="1FE31E31"/>
  <w16cid:commentId w16cid:paraId="1085E927" w16cid:durableId="1FE80E21"/>
  <w16cid:commentId w16cid:paraId="613400F0" w16cid:durableId="1FE30871"/>
  <w16cid:commentId w16cid:paraId="0BDB9656" w16cid:durableId="1FE6DAFC"/>
  <w16cid:commentId w16cid:paraId="728B386A" w16cid:durableId="1FE30872"/>
  <w16cid:commentId w16cid:paraId="4A7EDA7C" w16cid:durableId="1FE6DE73"/>
  <w16cid:commentId w16cid:paraId="2645AE03" w16cid:durableId="1FE6DFBB"/>
  <w16cid:commentId w16cid:paraId="393B6AAC" w16cid:durableId="1FE30874"/>
  <w16cid:commentId w16cid:paraId="6C750452" w16cid:durableId="1FE80F3C"/>
  <w16cid:commentId w16cid:paraId="5ECC49DC" w16cid:durableId="1FE30875"/>
  <w16cid:commentId w16cid:paraId="2DADC524" w16cid:durableId="1FE6EEBD"/>
  <w16cid:commentId w16cid:paraId="612E5F68" w16cid:durableId="1FE6F1BE"/>
  <w16cid:commentId w16cid:paraId="080C5CF8" w16cid:durableId="1FE30878"/>
  <w16cid:commentId w16cid:paraId="6720907B" w16cid:durableId="1FE6F6A6"/>
  <w16cid:commentId w16cid:paraId="67BEA737" w16cid:durableId="1FE30879"/>
  <w16cid:commentId w16cid:paraId="1408CD05" w16cid:durableId="1FE6F6EB"/>
  <w16cid:commentId w16cid:paraId="38BD284E" w16cid:durableId="1FE3087A"/>
  <w16cid:commentId w16cid:paraId="3E038415" w16cid:durableId="1FE6F725"/>
  <w16cid:commentId w16cid:paraId="262C3945" w16cid:durableId="1FE3087B"/>
  <w16cid:commentId w16cid:paraId="3426EBA2" w16cid:durableId="1FE70FA4"/>
  <w16cid:commentId w16cid:paraId="1270966D" w16cid:durableId="1FE3087C"/>
  <w16cid:commentId w16cid:paraId="3281DE70" w16cid:durableId="1FE71092"/>
  <w16cid:commentId w16cid:paraId="566C5104" w16cid:durableId="1FE3087D"/>
  <w16cid:commentId w16cid:paraId="1335FA18" w16cid:durableId="1FE3087E"/>
  <w16cid:commentId w16cid:paraId="26A3E767" w16cid:durableId="1FE712AB"/>
  <w16cid:commentId w16cid:paraId="2A0BD8EA" w16cid:durableId="1FE3087F"/>
  <w16cid:commentId w16cid:paraId="04088C12" w16cid:durableId="1FE812A7"/>
  <w16cid:commentId w16cid:paraId="7FC1A6A2" w16cid:durableId="1FE30880"/>
  <w16cid:commentId w16cid:paraId="7CEC8621" w16cid:durableId="1FE320F2"/>
  <w16cid:commentId w16cid:paraId="2D33658F" w16cid:durableId="1FE30881"/>
  <w16cid:commentId w16cid:paraId="48532204" w16cid:durableId="1FE85354"/>
  <w16cid:commentId w16cid:paraId="18B13CE0" w16cid:durableId="1FE30882"/>
  <w16cid:commentId w16cid:paraId="5907DCDA" w16cid:durableId="1FE714F4"/>
  <w16cid:commentId w16cid:paraId="1DCE68BB" w16cid:durableId="1FE30883"/>
  <w16cid:commentId w16cid:paraId="2142A9DF" w16cid:durableId="1FE71539"/>
  <w16cid:commentId w16cid:paraId="22627C36" w16cid:durableId="1FE30884"/>
  <w16cid:commentId w16cid:paraId="4E4ABAAC" w16cid:durableId="1FE30885"/>
  <w16cid:commentId w16cid:paraId="42DA9788" w16cid:durableId="1FE30886"/>
  <w16cid:commentId w16cid:paraId="732DF7AB" w16cid:durableId="1FE822FB"/>
  <w16cid:commentId w16cid:paraId="1928736A" w16cid:durableId="1FE30887"/>
  <w16cid:commentId w16cid:paraId="4517BDCD" w16cid:durableId="1FE84A2E"/>
  <w16cid:commentId w16cid:paraId="4EEB8EA1" w16cid:durableId="1FE30888"/>
  <w16cid:commentId w16cid:paraId="1C390DAC" w16cid:durableId="1FE30889"/>
  <w16cid:commentId w16cid:paraId="4CC7A544" w16cid:durableId="1FE3088A"/>
  <w16cid:commentId w16cid:paraId="19FB6AED" w16cid:durableId="1FE83A62"/>
  <w16cid:commentId w16cid:paraId="6E5343D6" w16cid:durableId="1FE3088B"/>
  <w16cid:commentId w16cid:paraId="7AAC3250" w16cid:durableId="1FE86723"/>
  <w16cid:commentId w16cid:paraId="498469AE" w16cid:durableId="1FE3088C"/>
  <w16cid:commentId w16cid:paraId="08F86DD9" w16cid:durableId="1FE83955"/>
  <w16cid:commentId w16cid:paraId="1DCE142B" w16cid:durableId="1FE3088D"/>
  <w16cid:commentId w16cid:paraId="69E077D6" w16cid:durableId="1FE3088E"/>
  <w16cid:commentId w16cid:paraId="59ADE73D" w16cid:durableId="1FE3088F"/>
  <w16cid:commentId w16cid:paraId="0C7AD6E2" w16cid:durableId="1FE879E6"/>
  <w16cid:commentId w16cid:paraId="17261B21" w16cid:durableId="1FE6D090"/>
  <w16cid:commentId w16cid:paraId="56573793" w16cid:durableId="1FC36EF1"/>
  <w16cid:commentId w16cid:paraId="5AACD319" w16cid:durableId="1FC372B1"/>
  <w16cid:commentId w16cid:paraId="3B4E4D54" w16cid:durableId="1FE7093F"/>
  <w16cid:commentId w16cid:paraId="3731F9FC" w16cid:durableId="1FE70A0B"/>
  <w16cid:commentId w16cid:paraId="20ADA185" w16cid:durableId="1FE70A27"/>
  <w16cid:commentId w16cid:paraId="4BFFC8E6" w16cid:durableId="1FE724E1"/>
  <w16cid:commentId w16cid:paraId="35AC69C1" w16cid:durableId="1FC36EF3"/>
  <w16cid:commentId w16cid:paraId="3261F3DF" w16cid:durableId="1FC37549"/>
  <w16cid:commentId w16cid:paraId="2A5B5AC2" w16cid:durableId="1FE7258A"/>
  <w16cid:commentId w16cid:paraId="4135E526" w16cid:durableId="1FE72966"/>
  <w16cid:commentId w16cid:paraId="18278A98" w16cid:durableId="1FE72416"/>
  <w16cid:commentId w16cid:paraId="54972829" w16cid:durableId="1FE72417"/>
  <w16cid:commentId w16cid:paraId="0A380DE7" w16cid:durableId="1FE72EFB"/>
  <w16cid:commentId w16cid:paraId="49FE5CE3" w16cid:durableId="1FE72418"/>
  <w16cid:commentId w16cid:paraId="3D49DA18" w16cid:durableId="1FE7317E"/>
  <w16cid:commentId w16cid:paraId="72400487" w16cid:durableId="1FE72419"/>
  <w16cid:commentId w16cid:paraId="6A0AE554" w16cid:durableId="1FE72A54"/>
  <w16cid:commentId w16cid:paraId="702E0D10" w16cid:durableId="1FE7241A"/>
  <w16cid:commentId w16cid:paraId="6AE7210B" w16cid:durableId="1FE72F2C"/>
  <w16cid:commentId w16cid:paraId="68CC2E9B" w16cid:durableId="1FE7241B"/>
  <w16cid:commentId w16cid:paraId="2416EBF1" w16cid:durableId="1FE72F34"/>
  <w16cid:commentId w16cid:paraId="2A0FDCA1" w16cid:durableId="1FE7241C"/>
  <w16cid:commentId w16cid:paraId="13409B11" w16cid:durableId="1FE72B05"/>
  <w16cid:commentId w16cid:paraId="32CFFBEB" w16cid:durableId="1FE7241D"/>
  <w16cid:commentId w16cid:paraId="65B11DC5" w16cid:durableId="1FE72B2A"/>
  <w16cid:commentId w16cid:paraId="40493145" w16cid:durableId="1FC36EFF"/>
  <w16cid:commentId w16cid:paraId="40B2E09A" w16cid:durableId="1FE30893"/>
  <w16cid:commentId w16cid:paraId="4480F723" w16cid:durableId="1FE325BA"/>
  <w16cid:commentId w16cid:paraId="52F3F151" w16cid:durableId="1FC36F00"/>
  <w16cid:commentId w16cid:paraId="1BE62141" w16cid:durableId="1FE81905"/>
  <w16cid:commentId w16cid:paraId="0F71CF25" w16cid:durableId="1FC36F01"/>
  <w16cid:commentId w16cid:paraId="26B9DE12" w16cid:durableId="1FE7202B"/>
  <w16cid:commentId w16cid:paraId="1C247AFC" w16cid:durableId="1FC36F02"/>
  <w16cid:commentId w16cid:paraId="2563FE28" w16cid:durableId="1FE720F9"/>
  <w16cid:commentId w16cid:paraId="3E8EE665" w16cid:durableId="1FC36F03"/>
  <w16cid:commentId w16cid:paraId="71531475" w16cid:durableId="1FE72124"/>
  <w16cid:commentId w16cid:paraId="0B298A29" w16cid:durableId="1FC36F04"/>
  <w16cid:commentId w16cid:paraId="7D999866" w16cid:durableId="1FE72288"/>
  <w16cid:commentId w16cid:paraId="53A5F5B9" w16cid:durableId="1FC36F05"/>
  <w16cid:commentId w16cid:paraId="25F27B40" w16cid:durableId="1FE722D0"/>
  <w16cid:commentId w16cid:paraId="20D0A834" w16cid:durableId="1FC36F06"/>
  <w16cid:commentId w16cid:paraId="3A2AD957" w16cid:durableId="1FE819A6"/>
  <w16cid:commentId w16cid:paraId="7FD19F3D" w16cid:durableId="1FC36F07"/>
  <w16cid:commentId w16cid:paraId="6C8E3B44" w16cid:durableId="1FE326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909" w:rsidRDefault="00FB5909" w:rsidP="00124A51">
      <w:r>
        <w:separator/>
      </w:r>
    </w:p>
    <w:p w:rsidR="00FB5909" w:rsidRDefault="00FB5909"/>
  </w:endnote>
  <w:endnote w:type="continuationSeparator" w:id="0">
    <w:p w:rsidR="00FB5909" w:rsidRDefault="00FB5909" w:rsidP="00124A51">
      <w:r>
        <w:continuationSeparator/>
      </w:r>
    </w:p>
    <w:p w:rsidR="00FB5909" w:rsidRDefault="00FB5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FPEF">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2EE" w:rsidRPr="00E669AA" w:rsidRDefault="00171270" w:rsidP="00E669AA">
    <w:pPr>
      <w:pStyle w:val="Footer"/>
      <w:jc w:val="center"/>
      <w:rPr>
        <w:b/>
      </w:rPr>
    </w:pPr>
    <w:sdt>
      <w:sdtPr>
        <w:rPr>
          <w:b/>
        </w:rPr>
        <w:id w:val="616652543"/>
        <w:docPartObj>
          <w:docPartGallery w:val="Page Numbers (Bottom of Page)"/>
          <w:docPartUnique/>
        </w:docPartObj>
      </w:sdtPr>
      <w:sdtEndPr>
        <w:rPr>
          <w:noProof/>
        </w:rPr>
      </w:sdtEndPr>
      <w:sdtContent>
        <w:r w:rsidR="001172EE" w:rsidRPr="00E669AA">
          <w:rPr>
            <w:b/>
          </w:rPr>
          <w:fldChar w:fldCharType="begin"/>
        </w:r>
        <w:r w:rsidR="001172EE" w:rsidRPr="00E669AA">
          <w:rPr>
            <w:b/>
          </w:rPr>
          <w:instrText xml:space="preserve"> PAGE   \* MERGEFORMAT </w:instrText>
        </w:r>
        <w:r w:rsidR="001172EE" w:rsidRPr="00E669AA">
          <w:rPr>
            <w:b/>
          </w:rPr>
          <w:fldChar w:fldCharType="separate"/>
        </w:r>
        <w:r>
          <w:rPr>
            <w:b/>
            <w:noProof/>
          </w:rPr>
          <w:t>8</w:t>
        </w:r>
        <w:r w:rsidR="001172EE" w:rsidRPr="00E669AA">
          <w:rPr>
            <w:b/>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909" w:rsidRDefault="00FB5909" w:rsidP="00124A51">
      <w:r>
        <w:separator/>
      </w:r>
    </w:p>
    <w:p w:rsidR="00FB5909" w:rsidRDefault="00FB5909"/>
  </w:footnote>
  <w:footnote w:type="continuationSeparator" w:id="0">
    <w:p w:rsidR="00FB5909" w:rsidRDefault="00FB5909" w:rsidP="00124A51">
      <w:r>
        <w:continuationSeparator/>
      </w:r>
    </w:p>
    <w:p w:rsidR="00FB5909" w:rsidRDefault="00FB5909"/>
  </w:footnote>
  <w:footnote w:id="1">
    <w:p w:rsidR="001172EE" w:rsidRPr="00A33948" w:rsidRDefault="001172EE" w:rsidP="00A33948">
      <w:pPr>
        <w:pStyle w:val="FootnoteText"/>
        <w:spacing w:before="0" w:line="240" w:lineRule="auto"/>
        <w:rPr>
          <w:sz w:val="20"/>
          <w:lang w:val="en-AU"/>
        </w:rPr>
      </w:pPr>
      <w:r w:rsidRPr="00A33948">
        <w:rPr>
          <w:rStyle w:val="FootnoteReference"/>
          <w:sz w:val="20"/>
        </w:rPr>
        <w:footnoteRef/>
      </w:r>
      <w:r w:rsidRPr="00A33948">
        <w:rPr>
          <w:sz w:val="20"/>
        </w:rPr>
        <w:t xml:space="preserve"> </w:t>
      </w:r>
      <w:r w:rsidRPr="00A33948">
        <w:rPr>
          <w:sz w:val="20"/>
          <w:lang w:val="en-AU"/>
        </w:rPr>
        <w:t>Medical Scientific Advisory Group to the Myeloma Foundation of Australia. Clinical Practice Guideline: Multiple Myeloma. V.4 Updated March 2017. Available at: http://myeloma.org.au/wp-content/uploads/2017/10/MSAG-Clinical-Practice-Guideline-Myeloma-V4-March-2017.pdf</w:t>
      </w:r>
    </w:p>
  </w:footnote>
  <w:footnote w:id="2">
    <w:p w:rsidR="001172EE" w:rsidRPr="004761DF" w:rsidRDefault="001172EE" w:rsidP="004761DF">
      <w:pPr>
        <w:pStyle w:val="FootnoteText"/>
        <w:spacing w:before="0" w:line="240" w:lineRule="auto"/>
        <w:rPr>
          <w:rFonts w:asciiTheme="minorHAnsi" w:hAnsiTheme="minorHAnsi" w:cstheme="minorHAnsi"/>
          <w:sz w:val="20"/>
        </w:rPr>
      </w:pPr>
      <w:r w:rsidRPr="0040720A">
        <w:rPr>
          <w:rFonts w:asciiTheme="minorHAnsi" w:hAnsiTheme="minorHAnsi" w:cstheme="minorHAnsi"/>
          <w:vertAlign w:val="superscript"/>
        </w:rPr>
        <w:footnoteRef/>
      </w:r>
      <w:r w:rsidRPr="0040720A">
        <w:rPr>
          <w:rFonts w:asciiTheme="minorHAnsi" w:hAnsiTheme="minorHAnsi" w:cstheme="minorHAnsi"/>
        </w:rPr>
        <w:t xml:space="preserve"> </w:t>
      </w:r>
      <w:r w:rsidRPr="004761DF">
        <w:rPr>
          <w:rFonts w:asciiTheme="minorHAnsi" w:hAnsiTheme="minorHAnsi" w:cstheme="minorHAnsi"/>
          <w:sz w:val="20"/>
        </w:rPr>
        <w:t xml:space="preserve">Cowan, A.J., Allen, C., </w:t>
      </w:r>
      <w:proofErr w:type="spellStart"/>
      <w:r w:rsidRPr="004761DF">
        <w:rPr>
          <w:rFonts w:asciiTheme="minorHAnsi" w:hAnsiTheme="minorHAnsi" w:cstheme="minorHAnsi"/>
          <w:sz w:val="20"/>
        </w:rPr>
        <w:t>Barac</w:t>
      </w:r>
      <w:proofErr w:type="spellEnd"/>
      <w:r w:rsidRPr="004761DF">
        <w:rPr>
          <w:rFonts w:asciiTheme="minorHAnsi" w:hAnsiTheme="minorHAnsi" w:cstheme="minorHAnsi"/>
          <w:sz w:val="20"/>
        </w:rPr>
        <w:t>, A et al. (2018) Global Burden of Multiple Myeloma</w:t>
      </w:r>
      <w:r w:rsidRPr="004761DF">
        <w:rPr>
          <w:rFonts w:asciiTheme="minorHAnsi" w:hAnsiTheme="minorHAnsi" w:cstheme="minorHAnsi"/>
          <w:sz w:val="20"/>
          <w:rtl/>
        </w:rPr>
        <w:t xml:space="preserve">: </w:t>
      </w:r>
      <w:r w:rsidRPr="004761DF">
        <w:rPr>
          <w:rFonts w:asciiTheme="minorHAnsi" w:hAnsiTheme="minorHAnsi" w:cstheme="minorHAnsi"/>
          <w:sz w:val="20"/>
        </w:rPr>
        <w:t xml:space="preserve">A Systematic Analysis for the Global Burden of Disease Study 2016. JAMA </w:t>
      </w:r>
      <w:proofErr w:type="spellStart"/>
      <w:r w:rsidRPr="004761DF">
        <w:rPr>
          <w:rFonts w:asciiTheme="minorHAnsi" w:hAnsiTheme="minorHAnsi" w:cstheme="minorHAnsi"/>
          <w:sz w:val="20"/>
        </w:rPr>
        <w:t>Oncol</w:t>
      </w:r>
      <w:proofErr w:type="spellEnd"/>
      <w:r w:rsidRPr="004761DF">
        <w:rPr>
          <w:rFonts w:asciiTheme="minorHAnsi" w:hAnsiTheme="minorHAnsi" w:cstheme="minorHAnsi"/>
          <w:sz w:val="20"/>
        </w:rPr>
        <w:t xml:space="preserve"> 4(9):1221-1227.</w:t>
      </w:r>
    </w:p>
  </w:footnote>
  <w:footnote w:id="3">
    <w:p w:rsidR="001172EE" w:rsidRPr="00C40171" w:rsidRDefault="001172EE" w:rsidP="00636FE4">
      <w:pPr>
        <w:widowControl/>
        <w:autoSpaceDE w:val="0"/>
        <w:autoSpaceDN w:val="0"/>
        <w:adjustRightInd w:val="0"/>
        <w:jc w:val="left"/>
        <w:rPr>
          <w:rFonts w:asciiTheme="minorHAnsi" w:hAnsiTheme="minorHAnsi" w:cstheme="minorHAnsi"/>
          <w:snapToGrid/>
          <w:sz w:val="20"/>
          <w:lang w:eastAsia="en-AU"/>
        </w:rPr>
      </w:pPr>
      <w:r w:rsidRPr="00C40171">
        <w:rPr>
          <w:rStyle w:val="FootnoteReference"/>
          <w:rFonts w:asciiTheme="minorHAnsi" w:hAnsiTheme="minorHAnsi" w:cstheme="minorHAnsi"/>
          <w:sz w:val="20"/>
        </w:rPr>
        <w:footnoteRef/>
      </w:r>
      <w:r w:rsidRPr="00C40171">
        <w:rPr>
          <w:rFonts w:asciiTheme="minorHAnsi" w:hAnsiTheme="minorHAnsi" w:cstheme="minorHAnsi"/>
          <w:sz w:val="20"/>
        </w:rPr>
        <w:t xml:space="preserve"> </w:t>
      </w:r>
      <w:r w:rsidRPr="00C40171">
        <w:rPr>
          <w:rFonts w:asciiTheme="minorHAnsi" w:hAnsiTheme="minorHAnsi" w:cstheme="minorHAnsi"/>
          <w:snapToGrid/>
          <w:sz w:val="20"/>
          <w:lang w:eastAsia="en-AU"/>
        </w:rPr>
        <w:t>Australian Institute of Health and Welfare 2017. Cancer in Australia 2017. Cancer series no.101.</w:t>
      </w:r>
    </w:p>
    <w:p w:rsidR="001172EE" w:rsidRPr="004761DF" w:rsidRDefault="001172EE" w:rsidP="00636FE4">
      <w:pPr>
        <w:pStyle w:val="FootnoteText"/>
        <w:spacing w:before="0" w:line="240" w:lineRule="auto"/>
        <w:rPr>
          <w:sz w:val="20"/>
        </w:rPr>
      </w:pPr>
      <w:r w:rsidRPr="004761DF">
        <w:rPr>
          <w:rFonts w:asciiTheme="minorHAnsi" w:hAnsiTheme="minorHAnsi" w:cstheme="minorHAnsi"/>
          <w:sz w:val="20"/>
          <w:lang w:eastAsia="en-AU"/>
        </w:rPr>
        <w:t xml:space="preserve">Cat. </w:t>
      </w:r>
      <w:proofErr w:type="gramStart"/>
      <w:r w:rsidRPr="004761DF">
        <w:rPr>
          <w:rFonts w:asciiTheme="minorHAnsi" w:hAnsiTheme="minorHAnsi" w:cstheme="minorHAnsi"/>
          <w:sz w:val="20"/>
          <w:lang w:eastAsia="en-AU"/>
        </w:rPr>
        <w:t>no</w:t>
      </w:r>
      <w:proofErr w:type="gramEnd"/>
      <w:r w:rsidRPr="004761DF">
        <w:rPr>
          <w:rFonts w:asciiTheme="minorHAnsi" w:hAnsiTheme="minorHAnsi" w:cstheme="minorHAnsi"/>
          <w:sz w:val="20"/>
          <w:lang w:eastAsia="en-AU"/>
        </w:rPr>
        <w:t>. CAN 100. Canberra: AIHW.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2EE" w:rsidRPr="00D539BE" w:rsidRDefault="001172EE" w:rsidP="007941D5">
    <w:pPr>
      <w:pStyle w:val="Header"/>
      <w:jc w:val="center"/>
      <w:rPr>
        <w:i/>
      </w:rPr>
    </w:pPr>
    <w:r>
      <w:rPr>
        <w:i/>
      </w:rPr>
      <w:t xml:space="preserve">Public Summary Document </w:t>
    </w:r>
    <w:r w:rsidRPr="00D539BE">
      <w:rPr>
        <w:i/>
      </w:rPr>
      <w:t>– March 2019 PBAC Meeting</w:t>
    </w:r>
  </w:p>
  <w:p w:rsidR="001172EE" w:rsidRPr="00D539BE" w:rsidRDefault="001172EE" w:rsidP="00D53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EC1"/>
    <w:multiLevelType w:val="hybridMultilevel"/>
    <w:tmpl w:val="3C3C2152"/>
    <w:lvl w:ilvl="0" w:tplc="04090001">
      <w:start w:val="1"/>
      <w:numFmt w:val="bullet"/>
      <w:lvlText w:val=""/>
      <w:lvlJc w:val="left"/>
      <w:pPr>
        <w:ind w:left="720" w:hanging="360"/>
      </w:pPr>
      <w:rPr>
        <w:rFonts w:ascii="Symbol" w:hAnsi="Symbol" w:hint="default"/>
      </w:rPr>
    </w:lvl>
    <w:lvl w:ilvl="1" w:tplc="0692700A">
      <w:numFmt w:val="bullet"/>
      <w:lvlText w:val="•"/>
      <w:lvlJc w:val="left"/>
      <w:pPr>
        <w:ind w:left="1800" w:hanging="720"/>
      </w:pPr>
      <w:rPr>
        <w:rFonts w:ascii="Arial Narrow" w:eastAsia="Times New Roman" w:hAnsi="Arial Narrow"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716BF"/>
    <w:multiLevelType w:val="hybridMultilevel"/>
    <w:tmpl w:val="ADB699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A1372DD"/>
    <w:multiLevelType w:val="multilevel"/>
    <w:tmpl w:val="B752410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291BC4"/>
    <w:multiLevelType w:val="hybridMultilevel"/>
    <w:tmpl w:val="E45E907E"/>
    <w:lvl w:ilvl="0" w:tplc="FD0C52F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C91EC7"/>
    <w:multiLevelType w:val="hybridMultilevel"/>
    <w:tmpl w:val="425AFD4E"/>
    <w:lvl w:ilvl="0" w:tplc="3348994A">
      <w:start w:val="1"/>
      <w:numFmt w:val="bullet"/>
      <w:pStyle w:val="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A1A3986"/>
    <w:multiLevelType w:val="hybridMultilevel"/>
    <w:tmpl w:val="B5E8FD0C"/>
    <w:lvl w:ilvl="0" w:tplc="D168422A">
      <w:start w:val="1"/>
      <w:numFmt w:val="decimal"/>
      <w:lvlText w:val="(%1)"/>
      <w:lvlJc w:val="left"/>
      <w:pPr>
        <w:ind w:left="1095" w:hanging="37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44442297"/>
    <w:multiLevelType w:val="hybridMultilevel"/>
    <w:tmpl w:val="E6FE4E00"/>
    <w:lvl w:ilvl="0" w:tplc="C324F4FC">
      <w:start w:val="1"/>
      <w:numFmt w:val="bullet"/>
      <w:pStyle w:val="Bulletpoin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E379E5"/>
    <w:multiLevelType w:val="hybridMultilevel"/>
    <w:tmpl w:val="5AB06FCC"/>
    <w:lvl w:ilvl="0" w:tplc="D1228B1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9" w15:restartNumberingAfterBreak="0">
    <w:nsid w:val="5D8509D9"/>
    <w:multiLevelType w:val="hybridMultilevel"/>
    <w:tmpl w:val="1BE222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5EBB6494"/>
    <w:multiLevelType w:val="hybridMultilevel"/>
    <w:tmpl w:val="295CF848"/>
    <w:lvl w:ilvl="0" w:tplc="79F8A1B8">
      <w:start w:val="1"/>
      <w:numFmt w:val="bullet"/>
      <w:pStyle w:val="Normal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E8A74C2"/>
    <w:multiLevelType w:val="multilevel"/>
    <w:tmpl w:val="0BB8002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4D033C"/>
    <w:multiLevelType w:val="multilevel"/>
    <w:tmpl w:val="25940C84"/>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064A97"/>
    <w:multiLevelType w:val="multilevel"/>
    <w:tmpl w:val="9CD4F38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2"/>
  </w:num>
  <w:num w:numId="3">
    <w:abstractNumId w:val="6"/>
  </w:num>
  <w:num w:numId="4">
    <w:abstractNumId w:val="4"/>
  </w:num>
  <w:num w:numId="5">
    <w:abstractNumId w:val="10"/>
  </w:num>
  <w:num w:numId="6">
    <w:abstractNumId w:val="8"/>
  </w:num>
  <w:num w:numId="7">
    <w:abstractNumId w:val="1"/>
  </w:num>
  <w:num w:numId="8">
    <w:abstractNumId w:val="11"/>
  </w:num>
  <w:num w:numId="9">
    <w:abstractNumId w:val="5"/>
  </w:num>
  <w:num w:numId="10">
    <w:abstractNumId w:val="2"/>
  </w:num>
  <w:num w:numId="11">
    <w:abstractNumId w:val="3"/>
  </w:num>
  <w:num w:numId="12">
    <w:abstractNumId w:val="7"/>
  </w:num>
  <w:num w:numId="13">
    <w:abstractNumId w:val="13"/>
  </w:num>
  <w:num w:numId="1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ew England J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dttv2xvvfztdev0empxeadtw2z2as0tzt9&quot;&gt;lenalidomide&lt;record-ids&gt;&lt;item&gt;1509&lt;/item&gt;&lt;/record-ids&gt;&lt;/item&gt;&lt;/Libraries&gt;"/>
  </w:docVars>
  <w:rsids>
    <w:rsidRoot w:val="00E65E79"/>
    <w:rsid w:val="0000011D"/>
    <w:rsid w:val="000002F4"/>
    <w:rsid w:val="0000053B"/>
    <w:rsid w:val="000006EC"/>
    <w:rsid w:val="00000790"/>
    <w:rsid w:val="00000B91"/>
    <w:rsid w:val="00000D92"/>
    <w:rsid w:val="0000110B"/>
    <w:rsid w:val="00001620"/>
    <w:rsid w:val="000017B9"/>
    <w:rsid w:val="00002663"/>
    <w:rsid w:val="00002740"/>
    <w:rsid w:val="00003499"/>
    <w:rsid w:val="000039B7"/>
    <w:rsid w:val="00003C69"/>
    <w:rsid w:val="000047FB"/>
    <w:rsid w:val="00004975"/>
    <w:rsid w:val="0000606C"/>
    <w:rsid w:val="0000618D"/>
    <w:rsid w:val="0000624B"/>
    <w:rsid w:val="00006D9B"/>
    <w:rsid w:val="000070FD"/>
    <w:rsid w:val="000105B5"/>
    <w:rsid w:val="00010EEE"/>
    <w:rsid w:val="00011707"/>
    <w:rsid w:val="0001208E"/>
    <w:rsid w:val="0001275E"/>
    <w:rsid w:val="00013247"/>
    <w:rsid w:val="00013315"/>
    <w:rsid w:val="00014FB3"/>
    <w:rsid w:val="000152ED"/>
    <w:rsid w:val="00015886"/>
    <w:rsid w:val="000162EF"/>
    <w:rsid w:val="00016356"/>
    <w:rsid w:val="00016DFF"/>
    <w:rsid w:val="00020264"/>
    <w:rsid w:val="00020C8D"/>
    <w:rsid w:val="000214A2"/>
    <w:rsid w:val="000219FC"/>
    <w:rsid w:val="00021B98"/>
    <w:rsid w:val="0002200B"/>
    <w:rsid w:val="0002225F"/>
    <w:rsid w:val="00022974"/>
    <w:rsid w:val="00023534"/>
    <w:rsid w:val="00023763"/>
    <w:rsid w:val="00023B1E"/>
    <w:rsid w:val="00024048"/>
    <w:rsid w:val="00024532"/>
    <w:rsid w:val="00024618"/>
    <w:rsid w:val="000247CC"/>
    <w:rsid w:val="000253BB"/>
    <w:rsid w:val="000253CD"/>
    <w:rsid w:val="0002576B"/>
    <w:rsid w:val="00025BC8"/>
    <w:rsid w:val="00027B01"/>
    <w:rsid w:val="00027FA5"/>
    <w:rsid w:val="00030351"/>
    <w:rsid w:val="00030A69"/>
    <w:rsid w:val="00031251"/>
    <w:rsid w:val="00032036"/>
    <w:rsid w:val="0003272D"/>
    <w:rsid w:val="00032F58"/>
    <w:rsid w:val="00033863"/>
    <w:rsid w:val="00034085"/>
    <w:rsid w:val="00035DC0"/>
    <w:rsid w:val="00035E24"/>
    <w:rsid w:val="000362E8"/>
    <w:rsid w:val="000367E5"/>
    <w:rsid w:val="00036829"/>
    <w:rsid w:val="000377B8"/>
    <w:rsid w:val="00037B1D"/>
    <w:rsid w:val="00037D8F"/>
    <w:rsid w:val="00040895"/>
    <w:rsid w:val="00040A93"/>
    <w:rsid w:val="00040E0A"/>
    <w:rsid w:val="00040E19"/>
    <w:rsid w:val="00041521"/>
    <w:rsid w:val="0004182B"/>
    <w:rsid w:val="00041C51"/>
    <w:rsid w:val="00042890"/>
    <w:rsid w:val="00042D77"/>
    <w:rsid w:val="00043C37"/>
    <w:rsid w:val="00044CE9"/>
    <w:rsid w:val="00044D78"/>
    <w:rsid w:val="00044E11"/>
    <w:rsid w:val="00045017"/>
    <w:rsid w:val="00045A2B"/>
    <w:rsid w:val="00045C04"/>
    <w:rsid w:val="00046136"/>
    <w:rsid w:val="000467CC"/>
    <w:rsid w:val="0004698F"/>
    <w:rsid w:val="00046E47"/>
    <w:rsid w:val="00046FD0"/>
    <w:rsid w:val="00047508"/>
    <w:rsid w:val="0005033C"/>
    <w:rsid w:val="00050A2A"/>
    <w:rsid w:val="00050A9D"/>
    <w:rsid w:val="00050AA3"/>
    <w:rsid w:val="00050CD7"/>
    <w:rsid w:val="00050E4A"/>
    <w:rsid w:val="00051D2B"/>
    <w:rsid w:val="00052BF7"/>
    <w:rsid w:val="00053479"/>
    <w:rsid w:val="000539D0"/>
    <w:rsid w:val="000541C1"/>
    <w:rsid w:val="000543D1"/>
    <w:rsid w:val="000545AC"/>
    <w:rsid w:val="00054621"/>
    <w:rsid w:val="000546D7"/>
    <w:rsid w:val="0005711F"/>
    <w:rsid w:val="0005713E"/>
    <w:rsid w:val="0005724F"/>
    <w:rsid w:val="000573A0"/>
    <w:rsid w:val="00057E72"/>
    <w:rsid w:val="0006015B"/>
    <w:rsid w:val="00061022"/>
    <w:rsid w:val="0006183E"/>
    <w:rsid w:val="0006323D"/>
    <w:rsid w:val="00064BA8"/>
    <w:rsid w:val="00064C6D"/>
    <w:rsid w:val="00064EDA"/>
    <w:rsid w:val="00065553"/>
    <w:rsid w:val="000656E2"/>
    <w:rsid w:val="00065AB4"/>
    <w:rsid w:val="00066360"/>
    <w:rsid w:val="0006678F"/>
    <w:rsid w:val="000668F9"/>
    <w:rsid w:val="00066A92"/>
    <w:rsid w:val="000672F5"/>
    <w:rsid w:val="00067B8D"/>
    <w:rsid w:val="00070046"/>
    <w:rsid w:val="00070898"/>
    <w:rsid w:val="00070C87"/>
    <w:rsid w:val="00070EEB"/>
    <w:rsid w:val="00071248"/>
    <w:rsid w:val="00071474"/>
    <w:rsid w:val="00071583"/>
    <w:rsid w:val="000720B9"/>
    <w:rsid w:val="00072667"/>
    <w:rsid w:val="00072B38"/>
    <w:rsid w:val="000737F7"/>
    <w:rsid w:val="0007380D"/>
    <w:rsid w:val="0007409F"/>
    <w:rsid w:val="0007470A"/>
    <w:rsid w:val="00075F1D"/>
    <w:rsid w:val="0007672F"/>
    <w:rsid w:val="00076C68"/>
    <w:rsid w:val="0007704A"/>
    <w:rsid w:val="000774F0"/>
    <w:rsid w:val="00080285"/>
    <w:rsid w:val="000805B4"/>
    <w:rsid w:val="00080894"/>
    <w:rsid w:val="000808C9"/>
    <w:rsid w:val="00080909"/>
    <w:rsid w:val="000812CA"/>
    <w:rsid w:val="0008183D"/>
    <w:rsid w:val="00081FA9"/>
    <w:rsid w:val="0008258D"/>
    <w:rsid w:val="0008279A"/>
    <w:rsid w:val="00082811"/>
    <w:rsid w:val="000833A4"/>
    <w:rsid w:val="00083A37"/>
    <w:rsid w:val="00083E99"/>
    <w:rsid w:val="00085467"/>
    <w:rsid w:val="00085569"/>
    <w:rsid w:val="000856C5"/>
    <w:rsid w:val="00085C44"/>
    <w:rsid w:val="0008619A"/>
    <w:rsid w:val="000878A1"/>
    <w:rsid w:val="000878BB"/>
    <w:rsid w:val="00090C7E"/>
    <w:rsid w:val="00090CA3"/>
    <w:rsid w:val="00090EB1"/>
    <w:rsid w:val="000911BA"/>
    <w:rsid w:val="00091CBA"/>
    <w:rsid w:val="0009230A"/>
    <w:rsid w:val="00092600"/>
    <w:rsid w:val="0009262B"/>
    <w:rsid w:val="00093310"/>
    <w:rsid w:val="00093552"/>
    <w:rsid w:val="00093CCB"/>
    <w:rsid w:val="0009445C"/>
    <w:rsid w:val="0009448A"/>
    <w:rsid w:val="0009456A"/>
    <w:rsid w:val="000947F5"/>
    <w:rsid w:val="000955CC"/>
    <w:rsid w:val="000958E2"/>
    <w:rsid w:val="00095FE5"/>
    <w:rsid w:val="00096284"/>
    <w:rsid w:val="00096DEC"/>
    <w:rsid w:val="00097254"/>
    <w:rsid w:val="000972D6"/>
    <w:rsid w:val="00097671"/>
    <w:rsid w:val="000A0E3D"/>
    <w:rsid w:val="000A11EA"/>
    <w:rsid w:val="000A136D"/>
    <w:rsid w:val="000A1E8D"/>
    <w:rsid w:val="000A24AC"/>
    <w:rsid w:val="000A3D32"/>
    <w:rsid w:val="000A487B"/>
    <w:rsid w:val="000A557A"/>
    <w:rsid w:val="000A5D99"/>
    <w:rsid w:val="000A616C"/>
    <w:rsid w:val="000A61E1"/>
    <w:rsid w:val="000A72A6"/>
    <w:rsid w:val="000A7374"/>
    <w:rsid w:val="000A7C7D"/>
    <w:rsid w:val="000A7D08"/>
    <w:rsid w:val="000B0670"/>
    <w:rsid w:val="000B0A46"/>
    <w:rsid w:val="000B0E75"/>
    <w:rsid w:val="000B1065"/>
    <w:rsid w:val="000B1D25"/>
    <w:rsid w:val="000B1FA8"/>
    <w:rsid w:val="000B2426"/>
    <w:rsid w:val="000B2F4C"/>
    <w:rsid w:val="000B3519"/>
    <w:rsid w:val="000B37C1"/>
    <w:rsid w:val="000B38B3"/>
    <w:rsid w:val="000B40D2"/>
    <w:rsid w:val="000B4767"/>
    <w:rsid w:val="000B55A2"/>
    <w:rsid w:val="000B5940"/>
    <w:rsid w:val="000B5C11"/>
    <w:rsid w:val="000B5DC3"/>
    <w:rsid w:val="000B62B2"/>
    <w:rsid w:val="000B631B"/>
    <w:rsid w:val="000B65D5"/>
    <w:rsid w:val="000B6CAC"/>
    <w:rsid w:val="000B725F"/>
    <w:rsid w:val="000B7612"/>
    <w:rsid w:val="000C0848"/>
    <w:rsid w:val="000C15DA"/>
    <w:rsid w:val="000C2651"/>
    <w:rsid w:val="000C2C28"/>
    <w:rsid w:val="000C2D0F"/>
    <w:rsid w:val="000C2DAA"/>
    <w:rsid w:val="000C2DC6"/>
    <w:rsid w:val="000C346F"/>
    <w:rsid w:val="000C3DF9"/>
    <w:rsid w:val="000C44D4"/>
    <w:rsid w:val="000C4F6C"/>
    <w:rsid w:val="000C5447"/>
    <w:rsid w:val="000C5AB5"/>
    <w:rsid w:val="000C5F2F"/>
    <w:rsid w:val="000C6713"/>
    <w:rsid w:val="000C6848"/>
    <w:rsid w:val="000C6946"/>
    <w:rsid w:val="000C7872"/>
    <w:rsid w:val="000D03EE"/>
    <w:rsid w:val="000D0DFB"/>
    <w:rsid w:val="000D1BFC"/>
    <w:rsid w:val="000D2525"/>
    <w:rsid w:val="000D281A"/>
    <w:rsid w:val="000D285B"/>
    <w:rsid w:val="000D2ACC"/>
    <w:rsid w:val="000D2F63"/>
    <w:rsid w:val="000D2F79"/>
    <w:rsid w:val="000D3186"/>
    <w:rsid w:val="000D326A"/>
    <w:rsid w:val="000D3447"/>
    <w:rsid w:val="000D411D"/>
    <w:rsid w:val="000D4350"/>
    <w:rsid w:val="000D51FB"/>
    <w:rsid w:val="000D5433"/>
    <w:rsid w:val="000D5AAA"/>
    <w:rsid w:val="000D6575"/>
    <w:rsid w:val="000E095E"/>
    <w:rsid w:val="000E135D"/>
    <w:rsid w:val="000E20B4"/>
    <w:rsid w:val="000E2303"/>
    <w:rsid w:val="000E29E7"/>
    <w:rsid w:val="000E2E68"/>
    <w:rsid w:val="000E437C"/>
    <w:rsid w:val="000E4796"/>
    <w:rsid w:val="000E4E4B"/>
    <w:rsid w:val="000E6D96"/>
    <w:rsid w:val="000F00BA"/>
    <w:rsid w:val="000F0488"/>
    <w:rsid w:val="000F223B"/>
    <w:rsid w:val="000F2BD0"/>
    <w:rsid w:val="000F2C76"/>
    <w:rsid w:val="000F2E4D"/>
    <w:rsid w:val="000F316A"/>
    <w:rsid w:val="000F3C74"/>
    <w:rsid w:val="000F443B"/>
    <w:rsid w:val="000F453B"/>
    <w:rsid w:val="000F4BB8"/>
    <w:rsid w:val="000F50FE"/>
    <w:rsid w:val="000F5D96"/>
    <w:rsid w:val="000F5F5A"/>
    <w:rsid w:val="000F6320"/>
    <w:rsid w:val="000F7127"/>
    <w:rsid w:val="000F7832"/>
    <w:rsid w:val="000F7866"/>
    <w:rsid w:val="000F7A0F"/>
    <w:rsid w:val="000F7D64"/>
    <w:rsid w:val="000F7FDA"/>
    <w:rsid w:val="001002C1"/>
    <w:rsid w:val="0010040E"/>
    <w:rsid w:val="00100955"/>
    <w:rsid w:val="00100F8A"/>
    <w:rsid w:val="00100FEC"/>
    <w:rsid w:val="00101DA0"/>
    <w:rsid w:val="00101E8D"/>
    <w:rsid w:val="00104649"/>
    <w:rsid w:val="00105772"/>
    <w:rsid w:val="00105AE2"/>
    <w:rsid w:val="00106208"/>
    <w:rsid w:val="00106B80"/>
    <w:rsid w:val="001073B9"/>
    <w:rsid w:val="0011032E"/>
    <w:rsid w:val="0011095F"/>
    <w:rsid w:val="00110FB6"/>
    <w:rsid w:val="00111D29"/>
    <w:rsid w:val="001133CE"/>
    <w:rsid w:val="0011348B"/>
    <w:rsid w:val="00113706"/>
    <w:rsid w:val="001144B3"/>
    <w:rsid w:val="00115602"/>
    <w:rsid w:val="00115982"/>
    <w:rsid w:val="00116B97"/>
    <w:rsid w:val="00116C53"/>
    <w:rsid w:val="001170C3"/>
    <w:rsid w:val="001172EE"/>
    <w:rsid w:val="00117900"/>
    <w:rsid w:val="0012084A"/>
    <w:rsid w:val="00120A2D"/>
    <w:rsid w:val="00120AEF"/>
    <w:rsid w:val="00121563"/>
    <w:rsid w:val="00121799"/>
    <w:rsid w:val="001218E8"/>
    <w:rsid w:val="00121A3C"/>
    <w:rsid w:val="00121A55"/>
    <w:rsid w:val="001222FC"/>
    <w:rsid w:val="001231E2"/>
    <w:rsid w:val="00123508"/>
    <w:rsid w:val="00123AF4"/>
    <w:rsid w:val="00124031"/>
    <w:rsid w:val="00124A41"/>
    <w:rsid w:val="00124A51"/>
    <w:rsid w:val="00124B1E"/>
    <w:rsid w:val="00126463"/>
    <w:rsid w:val="001264AE"/>
    <w:rsid w:val="00126621"/>
    <w:rsid w:val="00126C9D"/>
    <w:rsid w:val="00127563"/>
    <w:rsid w:val="001278AB"/>
    <w:rsid w:val="00127CA9"/>
    <w:rsid w:val="001301E9"/>
    <w:rsid w:val="00130749"/>
    <w:rsid w:val="00130E55"/>
    <w:rsid w:val="0013163F"/>
    <w:rsid w:val="0013189C"/>
    <w:rsid w:val="00131D82"/>
    <w:rsid w:val="00132D0C"/>
    <w:rsid w:val="00133496"/>
    <w:rsid w:val="00133D36"/>
    <w:rsid w:val="00133FBC"/>
    <w:rsid w:val="00134063"/>
    <w:rsid w:val="001348C1"/>
    <w:rsid w:val="00135850"/>
    <w:rsid w:val="0013648E"/>
    <w:rsid w:val="00136CF8"/>
    <w:rsid w:val="00136D47"/>
    <w:rsid w:val="00137645"/>
    <w:rsid w:val="0014015A"/>
    <w:rsid w:val="00140E92"/>
    <w:rsid w:val="00140E99"/>
    <w:rsid w:val="001412F6"/>
    <w:rsid w:val="00143B26"/>
    <w:rsid w:val="00143B84"/>
    <w:rsid w:val="001447FD"/>
    <w:rsid w:val="00144BF5"/>
    <w:rsid w:val="00145540"/>
    <w:rsid w:val="001456B0"/>
    <w:rsid w:val="0014583B"/>
    <w:rsid w:val="00145CD6"/>
    <w:rsid w:val="0014627F"/>
    <w:rsid w:val="00146786"/>
    <w:rsid w:val="00147940"/>
    <w:rsid w:val="00150903"/>
    <w:rsid w:val="00152218"/>
    <w:rsid w:val="0015294E"/>
    <w:rsid w:val="001530AE"/>
    <w:rsid w:val="00153539"/>
    <w:rsid w:val="00153AEB"/>
    <w:rsid w:val="001544A2"/>
    <w:rsid w:val="00154704"/>
    <w:rsid w:val="00154ECA"/>
    <w:rsid w:val="0015616E"/>
    <w:rsid w:val="0015638C"/>
    <w:rsid w:val="001568BA"/>
    <w:rsid w:val="00157130"/>
    <w:rsid w:val="001576B1"/>
    <w:rsid w:val="00157885"/>
    <w:rsid w:val="00157A97"/>
    <w:rsid w:val="00157D5F"/>
    <w:rsid w:val="00157EBB"/>
    <w:rsid w:val="00160719"/>
    <w:rsid w:val="0016071D"/>
    <w:rsid w:val="00160A4C"/>
    <w:rsid w:val="00161376"/>
    <w:rsid w:val="001619F2"/>
    <w:rsid w:val="00161A0A"/>
    <w:rsid w:val="0016275B"/>
    <w:rsid w:val="00162913"/>
    <w:rsid w:val="001636AD"/>
    <w:rsid w:val="00163B94"/>
    <w:rsid w:val="00163EFF"/>
    <w:rsid w:val="00163FDD"/>
    <w:rsid w:val="00164EE5"/>
    <w:rsid w:val="00165004"/>
    <w:rsid w:val="0016501D"/>
    <w:rsid w:val="0016535C"/>
    <w:rsid w:val="001654B7"/>
    <w:rsid w:val="00165AB5"/>
    <w:rsid w:val="001661FB"/>
    <w:rsid w:val="001669A1"/>
    <w:rsid w:val="00167B60"/>
    <w:rsid w:val="00167B72"/>
    <w:rsid w:val="00171270"/>
    <w:rsid w:val="0017190A"/>
    <w:rsid w:val="00173565"/>
    <w:rsid w:val="00173780"/>
    <w:rsid w:val="00173B07"/>
    <w:rsid w:val="001741A2"/>
    <w:rsid w:val="00175181"/>
    <w:rsid w:val="00175292"/>
    <w:rsid w:val="001762D7"/>
    <w:rsid w:val="00176648"/>
    <w:rsid w:val="00176EDB"/>
    <w:rsid w:val="0017765F"/>
    <w:rsid w:val="00177F34"/>
    <w:rsid w:val="00180B8F"/>
    <w:rsid w:val="00181807"/>
    <w:rsid w:val="00181A76"/>
    <w:rsid w:val="00181D9C"/>
    <w:rsid w:val="0018220C"/>
    <w:rsid w:val="0018241A"/>
    <w:rsid w:val="0018259B"/>
    <w:rsid w:val="00182B2D"/>
    <w:rsid w:val="00183343"/>
    <w:rsid w:val="001838EA"/>
    <w:rsid w:val="00183E18"/>
    <w:rsid w:val="001844F5"/>
    <w:rsid w:val="001856F7"/>
    <w:rsid w:val="0018683E"/>
    <w:rsid w:val="0018752F"/>
    <w:rsid w:val="001903D8"/>
    <w:rsid w:val="00190ECB"/>
    <w:rsid w:val="0019176C"/>
    <w:rsid w:val="00193E5B"/>
    <w:rsid w:val="001948DC"/>
    <w:rsid w:val="00194D33"/>
    <w:rsid w:val="00195222"/>
    <w:rsid w:val="0019611B"/>
    <w:rsid w:val="00196998"/>
    <w:rsid w:val="00196FEB"/>
    <w:rsid w:val="00197256"/>
    <w:rsid w:val="001975D8"/>
    <w:rsid w:val="00197FD5"/>
    <w:rsid w:val="001A09C7"/>
    <w:rsid w:val="001A1703"/>
    <w:rsid w:val="001A211B"/>
    <w:rsid w:val="001A273C"/>
    <w:rsid w:val="001A2ACF"/>
    <w:rsid w:val="001A3A83"/>
    <w:rsid w:val="001A43FA"/>
    <w:rsid w:val="001A45FD"/>
    <w:rsid w:val="001A4B56"/>
    <w:rsid w:val="001A59FB"/>
    <w:rsid w:val="001A5C44"/>
    <w:rsid w:val="001A6354"/>
    <w:rsid w:val="001A708B"/>
    <w:rsid w:val="001A7A35"/>
    <w:rsid w:val="001A7AE8"/>
    <w:rsid w:val="001B02B8"/>
    <w:rsid w:val="001B1549"/>
    <w:rsid w:val="001B204E"/>
    <w:rsid w:val="001B25A9"/>
    <w:rsid w:val="001B30CE"/>
    <w:rsid w:val="001B3443"/>
    <w:rsid w:val="001B393E"/>
    <w:rsid w:val="001B4C2A"/>
    <w:rsid w:val="001B4D20"/>
    <w:rsid w:val="001B51CD"/>
    <w:rsid w:val="001B6472"/>
    <w:rsid w:val="001B7971"/>
    <w:rsid w:val="001B7985"/>
    <w:rsid w:val="001B7E90"/>
    <w:rsid w:val="001C1070"/>
    <w:rsid w:val="001C19E4"/>
    <w:rsid w:val="001C1E3E"/>
    <w:rsid w:val="001C20B8"/>
    <w:rsid w:val="001C2368"/>
    <w:rsid w:val="001C2A9B"/>
    <w:rsid w:val="001C4299"/>
    <w:rsid w:val="001C48F4"/>
    <w:rsid w:val="001C49AB"/>
    <w:rsid w:val="001C55A7"/>
    <w:rsid w:val="001C5F94"/>
    <w:rsid w:val="001C63F1"/>
    <w:rsid w:val="001C6E66"/>
    <w:rsid w:val="001C7BCD"/>
    <w:rsid w:val="001D17CA"/>
    <w:rsid w:val="001D1A9F"/>
    <w:rsid w:val="001D1CF6"/>
    <w:rsid w:val="001D252B"/>
    <w:rsid w:val="001D29F6"/>
    <w:rsid w:val="001D2F15"/>
    <w:rsid w:val="001D51C9"/>
    <w:rsid w:val="001D52B9"/>
    <w:rsid w:val="001D5582"/>
    <w:rsid w:val="001D577E"/>
    <w:rsid w:val="001D5EF5"/>
    <w:rsid w:val="001D61F5"/>
    <w:rsid w:val="001D64DB"/>
    <w:rsid w:val="001D6F6D"/>
    <w:rsid w:val="001D6FD6"/>
    <w:rsid w:val="001D7364"/>
    <w:rsid w:val="001D75C0"/>
    <w:rsid w:val="001D75EA"/>
    <w:rsid w:val="001D777E"/>
    <w:rsid w:val="001E116D"/>
    <w:rsid w:val="001E15BF"/>
    <w:rsid w:val="001E238E"/>
    <w:rsid w:val="001E2483"/>
    <w:rsid w:val="001E2B1E"/>
    <w:rsid w:val="001E30D4"/>
    <w:rsid w:val="001E3487"/>
    <w:rsid w:val="001E40CB"/>
    <w:rsid w:val="001E51D0"/>
    <w:rsid w:val="001E52EB"/>
    <w:rsid w:val="001E57A0"/>
    <w:rsid w:val="001E61D2"/>
    <w:rsid w:val="001E6310"/>
    <w:rsid w:val="001E6D42"/>
    <w:rsid w:val="001E717E"/>
    <w:rsid w:val="001E71E0"/>
    <w:rsid w:val="001E740C"/>
    <w:rsid w:val="001E7D90"/>
    <w:rsid w:val="001F009A"/>
    <w:rsid w:val="001F0B4D"/>
    <w:rsid w:val="001F0D91"/>
    <w:rsid w:val="001F1138"/>
    <w:rsid w:val="001F1235"/>
    <w:rsid w:val="001F1A31"/>
    <w:rsid w:val="001F1CB3"/>
    <w:rsid w:val="001F20C8"/>
    <w:rsid w:val="001F2A07"/>
    <w:rsid w:val="001F2B08"/>
    <w:rsid w:val="001F38B5"/>
    <w:rsid w:val="001F3C71"/>
    <w:rsid w:val="001F3E2F"/>
    <w:rsid w:val="001F5B60"/>
    <w:rsid w:val="001F5F6B"/>
    <w:rsid w:val="001F6575"/>
    <w:rsid w:val="001F7361"/>
    <w:rsid w:val="001F760D"/>
    <w:rsid w:val="001F7AD4"/>
    <w:rsid w:val="00200262"/>
    <w:rsid w:val="002002D4"/>
    <w:rsid w:val="002011B0"/>
    <w:rsid w:val="0020159A"/>
    <w:rsid w:val="0020258D"/>
    <w:rsid w:val="00202BD7"/>
    <w:rsid w:val="00203181"/>
    <w:rsid w:val="00203783"/>
    <w:rsid w:val="0020385F"/>
    <w:rsid w:val="00203B75"/>
    <w:rsid w:val="00204D87"/>
    <w:rsid w:val="00205445"/>
    <w:rsid w:val="002054A9"/>
    <w:rsid w:val="002066F0"/>
    <w:rsid w:val="00207021"/>
    <w:rsid w:val="0020732F"/>
    <w:rsid w:val="00207D00"/>
    <w:rsid w:val="002105C1"/>
    <w:rsid w:val="00210841"/>
    <w:rsid w:val="00210E3F"/>
    <w:rsid w:val="00211AF7"/>
    <w:rsid w:val="00211DAD"/>
    <w:rsid w:val="002121E5"/>
    <w:rsid w:val="00212BD0"/>
    <w:rsid w:val="00213D76"/>
    <w:rsid w:val="00213FA9"/>
    <w:rsid w:val="00214562"/>
    <w:rsid w:val="00215772"/>
    <w:rsid w:val="00215CE0"/>
    <w:rsid w:val="0021611C"/>
    <w:rsid w:val="0021620E"/>
    <w:rsid w:val="00217057"/>
    <w:rsid w:val="00217E0F"/>
    <w:rsid w:val="002204EF"/>
    <w:rsid w:val="00220922"/>
    <w:rsid w:val="00222212"/>
    <w:rsid w:val="0022280D"/>
    <w:rsid w:val="00223B49"/>
    <w:rsid w:val="0022438B"/>
    <w:rsid w:val="00224D69"/>
    <w:rsid w:val="00224DD4"/>
    <w:rsid w:val="0022504B"/>
    <w:rsid w:val="00225391"/>
    <w:rsid w:val="002256D5"/>
    <w:rsid w:val="00226A1B"/>
    <w:rsid w:val="0022738B"/>
    <w:rsid w:val="0022744F"/>
    <w:rsid w:val="00227E77"/>
    <w:rsid w:val="00227F50"/>
    <w:rsid w:val="00227FFE"/>
    <w:rsid w:val="0023045C"/>
    <w:rsid w:val="00230763"/>
    <w:rsid w:val="002309CC"/>
    <w:rsid w:val="00230C8E"/>
    <w:rsid w:val="00230CD5"/>
    <w:rsid w:val="0023142C"/>
    <w:rsid w:val="00231559"/>
    <w:rsid w:val="002315A4"/>
    <w:rsid w:val="002315C9"/>
    <w:rsid w:val="002318C7"/>
    <w:rsid w:val="0023209F"/>
    <w:rsid w:val="0023263B"/>
    <w:rsid w:val="00232A86"/>
    <w:rsid w:val="00232C81"/>
    <w:rsid w:val="00232CAB"/>
    <w:rsid w:val="00232D6A"/>
    <w:rsid w:val="002333CE"/>
    <w:rsid w:val="002336E3"/>
    <w:rsid w:val="0023399F"/>
    <w:rsid w:val="00234438"/>
    <w:rsid w:val="00234585"/>
    <w:rsid w:val="00234971"/>
    <w:rsid w:val="0023629D"/>
    <w:rsid w:val="00236C6A"/>
    <w:rsid w:val="00236D7C"/>
    <w:rsid w:val="002371F3"/>
    <w:rsid w:val="00237255"/>
    <w:rsid w:val="00237B6D"/>
    <w:rsid w:val="00237EF9"/>
    <w:rsid w:val="002407AF"/>
    <w:rsid w:val="00240A03"/>
    <w:rsid w:val="0024110B"/>
    <w:rsid w:val="00241911"/>
    <w:rsid w:val="00241937"/>
    <w:rsid w:val="00241FF5"/>
    <w:rsid w:val="00242447"/>
    <w:rsid w:val="002424AF"/>
    <w:rsid w:val="00242DA1"/>
    <w:rsid w:val="00242DDF"/>
    <w:rsid w:val="002439DC"/>
    <w:rsid w:val="0024405F"/>
    <w:rsid w:val="002445B6"/>
    <w:rsid w:val="0024486F"/>
    <w:rsid w:val="00244DC8"/>
    <w:rsid w:val="002458BA"/>
    <w:rsid w:val="00245DE7"/>
    <w:rsid w:val="0024636C"/>
    <w:rsid w:val="00246F93"/>
    <w:rsid w:val="00247073"/>
    <w:rsid w:val="002473DB"/>
    <w:rsid w:val="00247815"/>
    <w:rsid w:val="00247925"/>
    <w:rsid w:val="00250390"/>
    <w:rsid w:val="00250931"/>
    <w:rsid w:val="00250ED7"/>
    <w:rsid w:val="0025196E"/>
    <w:rsid w:val="00251E01"/>
    <w:rsid w:val="00252B63"/>
    <w:rsid w:val="002531CD"/>
    <w:rsid w:val="0025420C"/>
    <w:rsid w:val="00254C1F"/>
    <w:rsid w:val="00254DCF"/>
    <w:rsid w:val="00255045"/>
    <w:rsid w:val="0025534B"/>
    <w:rsid w:val="002554B5"/>
    <w:rsid w:val="00255BB7"/>
    <w:rsid w:val="00256C07"/>
    <w:rsid w:val="0025733F"/>
    <w:rsid w:val="00257541"/>
    <w:rsid w:val="00257B6A"/>
    <w:rsid w:val="00257E2A"/>
    <w:rsid w:val="00257F2C"/>
    <w:rsid w:val="002602D2"/>
    <w:rsid w:val="002603B1"/>
    <w:rsid w:val="002603D4"/>
    <w:rsid w:val="00260ACD"/>
    <w:rsid w:val="002612DE"/>
    <w:rsid w:val="00262A1A"/>
    <w:rsid w:val="00262A87"/>
    <w:rsid w:val="00262E7C"/>
    <w:rsid w:val="00263251"/>
    <w:rsid w:val="00263AA3"/>
    <w:rsid w:val="00263B9F"/>
    <w:rsid w:val="00264095"/>
    <w:rsid w:val="00264458"/>
    <w:rsid w:val="00264559"/>
    <w:rsid w:val="00264D26"/>
    <w:rsid w:val="002652D8"/>
    <w:rsid w:val="00265C8D"/>
    <w:rsid w:val="00265D9C"/>
    <w:rsid w:val="00266426"/>
    <w:rsid w:val="00266804"/>
    <w:rsid w:val="00266DDE"/>
    <w:rsid w:val="00266F30"/>
    <w:rsid w:val="00267642"/>
    <w:rsid w:val="00267836"/>
    <w:rsid w:val="00267AEA"/>
    <w:rsid w:val="002700E6"/>
    <w:rsid w:val="002708E3"/>
    <w:rsid w:val="00271507"/>
    <w:rsid w:val="0027294B"/>
    <w:rsid w:val="00272E69"/>
    <w:rsid w:val="00273D6C"/>
    <w:rsid w:val="002742A3"/>
    <w:rsid w:val="00275998"/>
    <w:rsid w:val="00275C5A"/>
    <w:rsid w:val="00275DE6"/>
    <w:rsid w:val="00276139"/>
    <w:rsid w:val="0027663B"/>
    <w:rsid w:val="00277258"/>
    <w:rsid w:val="00277B8B"/>
    <w:rsid w:val="00277B96"/>
    <w:rsid w:val="00277C59"/>
    <w:rsid w:val="00277DAF"/>
    <w:rsid w:val="00281014"/>
    <w:rsid w:val="00281606"/>
    <w:rsid w:val="00283152"/>
    <w:rsid w:val="002833FE"/>
    <w:rsid w:val="00283407"/>
    <w:rsid w:val="00283988"/>
    <w:rsid w:val="00283EAA"/>
    <w:rsid w:val="00284870"/>
    <w:rsid w:val="00286B56"/>
    <w:rsid w:val="00287AEF"/>
    <w:rsid w:val="00290305"/>
    <w:rsid w:val="00290EFE"/>
    <w:rsid w:val="002912EA"/>
    <w:rsid w:val="00291503"/>
    <w:rsid w:val="00291D82"/>
    <w:rsid w:val="0029216D"/>
    <w:rsid w:val="00295198"/>
    <w:rsid w:val="002951C1"/>
    <w:rsid w:val="0029581F"/>
    <w:rsid w:val="0029626C"/>
    <w:rsid w:val="00296EF7"/>
    <w:rsid w:val="00297A58"/>
    <w:rsid w:val="00297E09"/>
    <w:rsid w:val="002A04BD"/>
    <w:rsid w:val="002A04C4"/>
    <w:rsid w:val="002A0879"/>
    <w:rsid w:val="002A14AB"/>
    <w:rsid w:val="002A1AFE"/>
    <w:rsid w:val="002A24E2"/>
    <w:rsid w:val="002A2F50"/>
    <w:rsid w:val="002A35B0"/>
    <w:rsid w:val="002A3801"/>
    <w:rsid w:val="002A3B75"/>
    <w:rsid w:val="002A45F6"/>
    <w:rsid w:val="002A4B7C"/>
    <w:rsid w:val="002A51F0"/>
    <w:rsid w:val="002A5623"/>
    <w:rsid w:val="002A5654"/>
    <w:rsid w:val="002A6A1C"/>
    <w:rsid w:val="002A7264"/>
    <w:rsid w:val="002A7E68"/>
    <w:rsid w:val="002A7F46"/>
    <w:rsid w:val="002B09A4"/>
    <w:rsid w:val="002B11A4"/>
    <w:rsid w:val="002B1885"/>
    <w:rsid w:val="002B1C1F"/>
    <w:rsid w:val="002B243A"/>
    <w:rsid w:val="002B2931"/>
    <w:rsid w:val="002B2A3F"/>
    <w:rsid w:val="002B36A0"/>
    <w:rsid w:val="002B3804"/>
    <w:rsid w:val="002B3D65"/>
    <w:rsid w:val="002B432F"/>
    <w:rsid w:val="002B5DE9"/>
    <w:rsid w:val="002B62B3"/>
    <w:rsid w:val="002B6361"/>
    <w:rsid w:val="002B6754"/>
    <w:rsid w:val="002B6CCE"/>
    <w:rsid w:val="002B7B93"/>
    <w:rsid w:val="002C0033"/>
    <w:rsid w:val="002C03EE"/>
    <w:rsid w:val="002C0445"/>
    <w:rsid w:val="002C0B4A"/>
    <w:rsid w:val="002C1189"/>
    <w:rsid w:val="002C2510"/>
    <w:rsid w:val="002C2775"/>
    <w:rsid w:val="002C27C1"/>
    <w:rsid w:val="002C2A8C"/>
    <w:rsid w:val="002C354B"/>
    <w:rsid w:val="002C3953"/>
    <w:rsid w:val="002C3EA6"/>
    <w:rsid w:val="002C4618"/>
    <w:rsid w:val="002C5099"/>
    <w:rsid w:val="002C5889"/>
    <w:rsid w:val="002C5F80"/>
    <w:rsid w:val="002C71CE"/>
    <w:rsid w:val="002C7203"/>
    <w:rsid w:val="002C749D"/>
    <w:rsid w:val="002D01B7"/>
    <w:rsid w:val="002D0EB7"/>
    <w:rsid w:val="002D1086"/>
    <w:rsid w:val="002D165F"/>
    <w:rsid w:val="002D1671"/>
    <w:rsid w:val="002D1776"/>
    <w:rsid w:val="002D1906"/>
    <w:rsid w:val="002D2F06"/>
    <w:rsid w:val="002D3800"/>
    <w:rsid w:val="002D3AF3"/>
    <w:rsid w:val="002D4310"/>
    <w:rsid w:val="002D550C"/>
    <w:rsid w:val="002D577C"/>
    <w:rsid w:val="002D5AD6"/>
    <w:rsid w:val="002D645C"/>
    <w:rsid w:val="002D6855"/>
    <w:rsid w:val="002D6964"/>
    <w:rsid w:val="002D69B0"/>
    <w:rsid w:val="002D7675"/>
    <w:rsid w:val="002E15B9"/>
    <w:rsid w:val="002E15E0"/>
    <w:rsid w:val="002E1994"/>
    <w:rsid w:val="002E2158"/>
    <w:rsid w:val="002E2EA5"/>
    <w:rsid w:val="002E2F5B"/>
    <w:rsid w:val="002E3CCB"/>
    <w:rsid w:val="002E5C74"/>
    <w:rsid w:val="002E6583"/>
    <w:rsid w:val="002E6625"/>
    <w:rsid w:val="002E679F"/>
    <w:rsid w:val="002E7047"/>
    <w:rsid w:val="002E7722"/>
    <w:rsid w:val="002E7791"/>
    <w:rsid w:val="002E7CA7"/>
    <w:rsid w:val="002F07BA"/>
    <w:rsid w:val="002F0DA9"/>
    <w:rsid w:val="002F2140"/>
    <w:rsid w:val="002F377A"/>
    <w:rsid w:val="002F44DA"/>
    <w:rsid w:val="002F478C"/>
    <w:rsid w:val="002F5848"/>
    <w:rsid w:val="002F5CEA"/>
    <w:rsid w:val="002F63B4"/>
    <w:rsid w:val="002F643C"/>
    <w:rsid w:val="002F6606"/>
    <w:rsid w:val="002F6900"/>
    <w:rsid w:val="002F6C10"/>
    <w:rsid w:val="002F71C0"/>
    <w:rsid w:val="002F7B0D"/>
    <w:rsid w:val="002F7B79"/>
    <w:rsid w:val="002F7C4C"/>
    <w:rsid w:val="003000DD"/>
    <w:rsid w:val="00300E2A"/>
    <w:rsid w:val="00300F6A"/>
    <w:rsid w:val="00301017"/>
    <w:rsid w:val="0030155F"/>
    <w:rsid w:val="003018D0"/>
    <w:rsid w:val="00301D1B"/>
    <w:rsid w:val="00302DFD"/>
    <w:rsid w:val="00303334"/>
    <w:rsid w:val="0030342C"/>
    <w:rsid w:val="00303CCD"/>
    <w:rsid w:val="0030410A"/>
    <w:rsid w:val="003042CE"/>
    <w:rsid w:val="0030480F"/>
    <w:rsid w:val="00304C2C"/>
    <w:rsid w:val="0030566C"/>
    <w:rsid w:val="0030587B"/>
    <w:rsid w:val="0030631E"/>
    <w:rsid w:val="00306D98"/>
    <w:rsid w:val="003072AF"/>
    <w:rsid w:val="0030786C"/>
    <w:rsid w:val="00307A3B"/>
    <w:rsid w:val="0031031A"/>
    <w:rsid w:val="00310981"/>
    <w:rsid w:val="00310A10"/>
    <w:rsid w:val="00310F15"/>
    <w:rsid w:val="00310FDC"/>
    <w:rsid w:val="00312120"/>
    <w:rsid w:val="003131C8"/>
    <w:rsid w:val="003146AB"/>
    <w:rsid w:val="00315498"/>
    <w:rsid w:val="0031557F"/>
    <w:rsid w:val="00315CE3"/>
    <w:rsid w:val="003169EE"/>
    <w:rsid w:val="00316ACA"/>
    <w:rsid w:val="00316C25"/>
    <w:rsid w:val="00316D65"/>
    <w:rsid w:val="00317555"/>
    <w:rsid w:val="00317AAD"/>
    <w:rsid w:val="003203EE"/>
    <w:rsid w:val="003206D6"/>
    <w:rsid w:val="0032091D"/>
    <w:rsid w:val="00320B31"/>
    <w:rsid w:val="003212F3"/>
    <w:rsid w:val="003219D0"/>
    <w:rsid w:val="00322107"/>
    <w:rsid w:val="00322846"/>
    <w:rsid w:val="00323331"/>
    <w:rsid w:val="00323C5D"/>
    <w:rsid w:val="00323DA8"/>
    <w:rsid w:val="00323E9D"/>
    <w:rsid w:val="00324419"/>
    <w:rsid w:val="00324819"/>
    <w:rsid w:val="00324C00"/>
    <w:rsid w:val="00325B94"/>
    <w:rsid w:val="00326C45"/>
    <w:rsid w:val="00326DA7"/>
    <w:rsid w:val="003270E4"/>
    <w:rsid w:val="00327982"/>
    <w:rsid w:val="00330F3B"/>
    <w:rsid w:val="00330F5C"/>
    <w:rsid w:val="003331AD"/>
    <w:rsid w:val="00333BB4"/>
    <w:rsid w:val="00334042"/>
    <w:rsid w:val="003342DD"/>
    <w:rsid w:val="00334363"/>
    <w:rsid w:val="00334817"/>
    <w:rsid w:val="00334903"/>
    <w:rsid w:val="00334965"/>
    <w:rsid w:val="003349BF"/>
    <w:rsid w:val="00334A8B"/>
    <w:rsid w:val="00334E0D"/>
    <w:rsid w:val="003350AB"/>
    <w:rsid w:val="00336241"/>
    <w:rsid w:val="0033669A"/>
    <w:rsid w:val="003366C9"/>
    <w:rsid w:val="00336E8D"/>
    <w:rsid w:val="00336EF3"/>
    <w:rsid w:val="00336FAD"/>
    <w:rsid w:val="003371B0"/>
    <w:rsid w:val="00337CC6"/>
    <w:rsid w:val="003401A4"/>
    <w:rsid w:val="0034056A"/>
    <w:rsid w:val="00340A6E"/>
    <w:rsid w:val="00340DF1"/>
    <w:rsid w:val="00341BB8"/>
    <w:rsid w:val="00342548"/>
    <w:rsid w:val="003428AA"/>
    <w:rsid w:val="003429B2"/>
    <w:rsid w:val="003442AF"/>
    <w:rsid w:val="003451B4"/>
    <w:rsid w:val="00345300"/>
    <w:rsid w:val="00345CEE"/>
    <w:rsid w:val="00346CF7"/>
    <w:rsid w:val="00347140"/>
    <w:rsid w:val="00347F7E"/>
    <w:rsid w:val="0035071D"/>
    <w:rsid w:val="003509A8"/>
    <w:rsid w:val="003517F9"/>
    <w:rsid w:val="00351831"/>
    <w:rsid w:val="003518B5"/>
    <w:rsid w:val="00352B32"/>
    <w:rsid w:val="00352C66"/>
    <w:rsid w:val="00352CFF"/>
    <w:rsid w:val="00352DE3"/>
    <w:rsid w:val="00354842"/>
    <w:rsid w:val="003551F0"/>
    <w:rsid w:val="00355A74"/>
    <w:rsid w:val="0035620E"/>
    <w:rsid w:val="003568FC"/>
    <w:rsid w:val="00356CEB"/>
    <w:rsid w:val="003572C8"/>
    <w:rsid w:val="00357468"/>
    <w:rsid w:val="003579A9"/>
    <w:rsid w:val="00357BAB"/>
    <w:rsid w:val="00360282"/>
    <w:rsid w:val="00361BD0"/>
    <w:rsid w:val="003624B8"/>
    <w:rsid w:val="003624C4"/>
    <w:rsid w:val="0036284B"/>
    <w:rsid w:val="003632F4"/>
    <w:rsid w:val="00363927"/>
    <w:rsid w:val="00363E60"/>
    <w:rsid w:val="003654AC"/>
    <w:rsid w:val="00366AF4"/>
    <w:rsid w:val="00367390"/>
    <w:rsid w:val="00367A7D"/>
    <w:rsid w:val="00370F51"/>
    <w:rsid w:val="003710CF"/>
    <w:rsid w:val="0037269A"/>
    <w:rsid w:val="00372E87"/>
    <w:rsid w:val="0037358A"/>
    <w:rsid w:val="003749EC"/>
    <w:rsid w:val="00374D80"/>
    <w:rsid w:val="003750F6"/>
    <w:rsid w:val="003750FE"/>
    <w:rsid w:val="003755B1"/>
    <w:rsid w:val="00375B2C"/>
    <w:rsid w:val="003760FC"/>
    <w:rsid w:val="0037680E"/>
    <w:rsid w:val="0037685C"/>
    <w:rsid w:val="003815EA"/>
    <w:rsid w:val="00381679"/>
    <w:rsid w:val="00381EFC"/>
    <w:rsid w:val="003830D7"/>
    <w:rsid w:val="0038365C"/>
    <w:rsid w:val="0038369B"/>
    <w:rsid w:val="00383808"/>
    <w:rsid w:val="00383B78"/>
    <w:rsid w:val="003849B9"/>
    <w:rsid w:val="00385098"/>
    <w:rsid w:val="00385A9D"/>
    <w:rsid w:val="00385F9C"/>
    <w:rsid w:val="00386A4F"/>
    <w:rsid w:val="003874D5"/>
    <w:rsid w:val="00387971"/>
    <w:rsid w:val="00387D59"/>
    <w:rsid w:val="003902B1"/>
    <w:rsid w:val="00390A2E"/>
    <w:rsid w:val="00390DF0"/>
    <w:rsid w:val="0039103B"/>
    <w:rsid w:val="00391101"/>
    <w:rsid w:val="00391349"/>
    <w:rsid w:val="00391BF4"/>
    <w:rsid w:val="00391D5E"/>
    <w:rsid w:val="0039240B"/>
    <w:rsid w:val="00392D40"/>
    <w:rsid w:val="00392E1B"/>
    <w:rsid w:val="00393506"/>
    <w:rsid w:val="00393B80"/>
    <w:rsid w:val="00393C27"/>
    <w:rsid w:val="00395CFA"/>
    <w:rsid w:val="003966F7"/>
    <w:rsid w:val="00396896"/>
    <w:rsid w:val="00396BA2"/>
    <w:rsid w:val="00396FD0"/>
    <w:rsid w:val="0039792A"/>
    <w:rsid w:val="003A0CE5"/>
    <w:rsid w:val="003A1670"/>
    <w:rsid w:val="003A1A7A"/>
    <w:rsid w:val="003A2392"/>
    <w:rsid w:val="003A2831"/>
    <w:rsid w:val="003A2D0D"/>
    <w:rsid w:val="003A2DF9"/>
    <w:rsid w:val="003A3297"/>
    <w:rsid w:val="003A3555"/>
    <w:rsid w:val="003A36D2"/>
    <w:rsid w:val="003A3ED1"/>
    <w:rsid w:val="003A428D"/>
    <w:rsid w:val="003A453E"/>
    <w:rsid w:val="003A4D1D"/>
    <w:rsid w:val="003A5169"/>
    <w:rsid w:val="003A5805"/>
    <w:rsid w:val="003A5BA8"/>
    <w:rsid w:val="003A5C8C"/>
    <w:rsid w:val="003A6438"/>
    <w:rsid w:val="003A6E5C"/>
    <w:rsid w:val="003A703E"/>
    <w:rsid w:val="003A7792"/>
    <w:rsid w:val="003B0902"/>
    <w:rsid w:val="003B175B"/>
    <w:rsid w:val="003B2682"/>
    <w:rsid w:val="003B2B5E"/>
    <w:rsid w:val="003B35C2"/>
    <w:rsid w:val="003B3666"/>
    <w:rsid w:val="003B39D9"/>
    <w:rsid w:val="003B4449"/>
    <w:rsid w:val="003B49A2"/>
    <w:rsid w:val="003B5B61"/>
    <w:rsid w:val="003B5F5F"/>
    <w:rsid w:val="003B6319"/>
    <w:rsid w:val="003B6488"/>
    <w:rsid w:val="003B6C9B"/>
    <w:rsid w:val="003B75DE"/>
    <w:rsid w:val="003B7638"/>
    <w:rsid w:val="003C01E6"/>
    <w:rsid w:val="003C036D"/>
    <w:rsid w:val="003C0B25"/>
    <w:rsid w:val="003C0DA8"/>
    <w:rsid w:val="003C1029"/>
    <w:rsid w:val="003C1421"/>
    <w:rsid w:val="003C1593"/>
    <w:rsid w:val="003C1654"/>
    <w:rsid w:val="003C172F"/>
    <w:rsid w:val="003C1D63"/>
    <w:rsid w:val="003C1E41"/>
    <w:rsid w:val="003C1ED4"/>
    <w:rsid w:val="003C3584"/>
    <w:rsid w:val="003C4CCA"/>
    <w:rsid w:val="003C4E72"/>
    <w:rsid w:val="003C5379"/>
    <w:rsid w:val="003C6297"/>
    <w:rsid w:val="003C6BC9"/>
    <w:rsid w:val="003C6D74"/>
    <w:rsid w:val="003C7D19"/>
    <w:rsid w:val="003C7DAA"/>
    <w:rsid w:val="003D1828"/>
    <w:rsid w:val="003D1930"/>
    <w:rsid w:val="003D1DE4"/>
    <w:rsid w:val="003D1EAD"/>
    <w:rsid w:val="003D2422"/>
    <w:rsid w:val="003D39A1"/>
    <w:rsid w:val="003D39A7"/>
    <w:rsid w:val="003D3FBF"/>
    <w:rsid w:val="003D4A30"/>
    <w:rsid w:val="003D4D15"/>
    <w:rsid w:val="003D54DE"/>
    <w:rsid w:val="003D6427"/>
    <w:rsid w:val="003D66D2"/>
    <w:rsid w:val="003D7226"/>
    <w:rsid w:val="003D79BB"/>
    <w:rsid w:val="003D7C98"/>
    <w:rsid w:val="003D7D36"/>
    <w:rsid w:val="003E0543"/>
    <w:rsid w:val="003E1555"/>
    <w:rsid w:val="003E3ABA"/>
    <w:rsid w:val="003E47CC"/>
    <w:rsid w:val="003E4D90"/>
    <w:rsid w:val="003E58B2"/>
    <w:rsid w:val="003E62A9"/>
    <w:rsid w:val="003E6D8A"/>
    <w:rsid w:val="003E6EA4"/>
    <w:rsid w:val="003E6EE1"/>
    <w:rsid w:val="003E6FEA"/>
    <w:rsid w:val="003E71EE"/>
    <w:rsid w:val="003E76F3"/>
    <w:rsid w:val="003E77E7"/>
    <w:rsid w:val="003F0435"/>
    <w:rsid w:val="003F0724"/>
    <w:rsid w:val="003F16F3"/>
    <w:rsid w:val="003F1D1C"/>
    <w:rsid w:val="003F1DAE"/>
    <w:rsid w:val="003F2BC2"/>
    <w:rsid w:val="003F35DD"/>
    <w:rsid w:val="003F398E"/>
    <w:rsid w:val="003F4156"/>
    <w:rsid w:val="003F45C4"/>
    <w:rsid w:val="003F4B0F"/>
    <w:rsid w:val="003F5109"/>
    <w:rsid w:val="003F5E47"/>
    <w:rsid w:val="003F6301"/>
    <w:rsid w:val="003F64F9"/>
    <w:rsid w:val="003F7C11"/>
    <w:rsid w:val="00400B29"/>
    <w:rsid w:val="0040136C"/>
    <w:rsid w:val="00401CF2"/>
    <w:rsid w:val="0040235C"/>
    <w:rsid w:val="00402623"/>
    <w:rsid w:val="0040355E"/>
    <w:rsid w:val="00403E04"/>
    <w:rsid w:val="00404344"/>
    <w:rsid w:val="004043E6"/>
    <w:rsid w:val="0040478D"/>
    <w:rsid w:val="00404872"/>
    <w:rsid w:val="0040504B"/>
    <w:rsid w:val="004057C5"/>
    <w:rsid w:val="00405FE0"/>
    <w:rsid w:val="0040670B"/>
    <w:rsid w:val="004068B4"/>
    <w:rsid w:val="00406BC9"/>
    <w:rsid w:val="004070C9"/>
    <w:rsid w:val="00407CB1"/>
    <w:rsid w:val="00407D0D"/>
    <w:rsid w:val="00410098"/>
    <w:rsid w:val="00410708"/>
    <w:rsid w:val="004108C4"/>
    <w:rsid w:val="00410EC7"/>
    <w:rsid w:val="00411B39"/>
    <w:rsid w:val="0041229D"/>
    <w:rsid w:val="00412716"/>
    <w:rsid w:val="00412744"/>
    <w:rsid w:val="00412E35"/>
    <w:rsid w:val="00412F64"/>
    <w:rsid w:val="00413393"/>
    <w:rsid w:val="00413A1E"/>
    <w:rsid w:val="00414476"/>
    <w:rsid w:val="00414C2E"/>
    <w:rsid w:val="00415077"/>
    <w:rsid w:val="004151CF"/>
    <w:rsid w:val="00416167"/>
    <w:rsid w:val="00416364"/>
    <w:rsid w:val="004168BB"/>
    <w:rsid w:val="00416B8F"/>
    <w:rsid w:val="004204CE"/>
    <w:rsid w:val="00420AA6"/>
    <w:rsid w:val="00420B9F"/>
    <w:rsid w:val="00420CD6"/>
    <w:rsid w:val="00421C6A"/>
    <w:rsid w:val="00422260"/>
    <w:rsid w:val="00422296"/>
    <w:rsid w:val="004227A5"/>
    <w:rsid w:val="00422819"/>
    <w:rsid w:val="00423016"/>
    <w:rsid w:val="004238EE"/>
    <w:rsid w:val="0042413F"/>
    <w:rsid w:val="004243B5"/>
    <w:rsid w:val="00424402"/>
    <w:rsid w:val="004249FE"/>
    <w:rsid w:val="004252B5"/>
    <w:rsid w:val="00425658"/>
    <w:rsid w:val="004256A6"/>
    <w:rsid w:val="004256BC"/>
    <w:rsid w:val="00427326"/>
    <w:rsid w:val="004278F6"/>
    <w:rsid w:val="00427A9B"/>
    <w:rsid w:val="00427AE3"/>
    <w:rsid w:val="0043049F"/>
    <w:rsid w:val="00430522"/>
    <w:rsid w:val="00431493"/>
    <w:rsid w:val="004319F8"/>
    <w:rsid w:val="00431E55"/>
    <w:rsid w:val="004321F6"/>
    <w:rsid w:val="00432505"/>
    <w:rsid w:val="00433044"/>
    <w:rsid w:val="00433400"/>
    <w:rsid w:val="00433C0F"/>
    <w:rsid w:val="004340A8"/>
    <w:rsid w:val="00435D63"/>
    <w:rsid w:val="004362D6"/>
    <w:rsid w:val="00436CA1"/>
    <w:rsid w:val="004375B9"/>
    <w:rsid w:val="0044064E"/>
    <w:rsid w:val="00441393"/>
    <w:rsid w:val="004418E7"/>
    <w:rsid w:val="0044246E"/>
    <w:rsid w:val="00442681"/>
    <w:rsid w:val="004428D0"/>
    <w:rsid w:val="00442EF0"/>
    <w:rsid w:val="004431C7"/>
    <w:rsid w:val="00443FCE"/>
    <w:rsid w:val="004443A7"/>
    <w:rsid w:val="004443D6"/>
    <w:rsid w:val="0044442C"/>
    <w:rsid w:val="00445634"/>
    <w:rsid w:val="00445941"/>
    <w:rsid w:val="00445BD2"/>
    <w:rsid w:val="004464EB"/>
    <w:rsid w:val="0044660A"/>
    <w:rsid w:val="00446EDD"/>
    <w:rsid w:val="004471A7"/>
    <w:rsid w:val="00447D26"/>
    <w:rsid w:val="004507F6"/>
    <w:rsid w:val="00451235"/>
    <w:rsid w:val="00451C84"/>
    <w:rsid w:val="00451D7F"/>
    <w:rsid w:val="00453D1C"/>
    <w:rsid w:val="004545C4"/>
    <w:rsid w:val="0045482D"/>
    <w:rsid w:val="00454902"/>
    <w:rsid w:val="004559D6"/>
    <w:rsid w:val="00455D45"/>
    <w:rsid w:val="00456A37"/>
    <w:rsid w:val="00456AEA"/>
    <w:rsid w:val="00456ED7"/>
    <w:rsid w:val="00456F1B"/>
    <w:rsid w:val="0045727E"/>
    <w:rsid w:val="0045771A"/>
    <w:rsid w:val="004605B9"/>
    <w:rsid w:val="00460D6C"/>
    <w:rsid w:val="00461F87"/>
    <w:rsid w:val="004642C2"/>
    <w:rsid w:val="00464595"/>
    <w:rsid w:val="00464CC8"/>
    <w:rsid w:val="004656BD"/>
    <w:rsid w:val="00465C49"/>
    <w:rsid w:val="00465E7A"/>
    <w:rsid w:val="00466ADD"/>
    <w:rsid w:val="00466C88"/>
    <w:rsid w:val="00466F21"/>
    <w:rsid w:val="00470894"/>
    <w:rsid w:val="0047096A"/>
    <w:rsid w:val="0047134E"/>
    <w:rsid w:val="00471B9B"/>
    <w:rsid w:val="00472A79"/>
    <w:rsid w:val="004735A4"/>
    <w:rsid w:val="004738D4"/>
    <w:rsid w:val="00473A08"/>
    <w:rsid w:val="00473F19"/>
    <w:rsid w:val="0047427D"/>
    <w:rsid w:val="004742C7"/>
    <w:rsid w:val="00475E22"/>
    <w:rsid w:val="004761DF"/>
    <w:rsid w:val="0047670F"/>
    <w:rsid w:val="00476837"/>
    <w:rsid w:val="00476CB6"/>
    <w:rsid w:val="00476EE6"/>
    <w:rsid w:val="00476F22"/>
    <w:rsid w:val="00477204"/>
    <w:rsid w:val="004779BB"/>
    <w:rsid w:val="00477A1B"/>
    <w:rsid w:val="00477A65"/>
    <w:rsid w:val="00477E7E"/>
    <w:rsid w:val="00480535"/>
    <w:rsid w:val="00480601"/>
    <w:rsid w:val="004807E5"/>
    <w:rsid w:val="0048088E"/>
    <w:rsid w:val="0048093F"/>
    <w:rsid w:val="004811C5"/>
    <w:rsid w:val="00481B32"/>
    <w:rsid w:val="00481D2D"/>
    <w:rsid w:val="00481E64"/>
    <w:rsid w:val="00482720"/>
    <w:rsid w:val="00482D68"/>
    <w:rsid w:val="00483269"/>
    <w:rsid w:val="004835E7"/>
    <w:rsid w:val="004845A6"/>
    <w:rsid w:val="00484663"/>
    <w:rsid w:val="004847ED"/>
    <w:rsid w:val="00485112"/>
    <w:rsid w:val="004858C2"/>
    <w:rsid w:val="00485A0D"/>
    <w:rsid w:val="004860DE"/>
    <w:rsid w:val="004867E2"/>
    <w:rsid w:val="00486C1A"/>
    <w:rsid w:val="004872B6"/>
    <w:rsid w:val="004877AE"/>
    <w:rsid w:val="004879FB"/>
    <w:rsid w:val="00487CA4"/>
    <w:rsid w:val="00490090"/>
    <w:rsid w:val="004905AF"/>
    <w:rsid w:val="004917AD"/>
    <w:rsid w:val="004919F8"/>
    <w:rsid w:val="00491B3A"/>
    <w:rsid w:val="00491B9A"/>
    <w:rsid w:val="004928F5"/>
    <w:rsid w:val="00492B24"/>
    <w:rsid w:val="00492B92"/>
    <w:rsid w:val="00492CFD"/>
    <w:rsid w:val="00492D9C"/>
    <w:rsid w:val="00492F7E"/>
    <w:rsid w:val="00493366"/>
    <w:rsid w:val="004934D2"/>
    <w:rsid w:val="00493E04"/>
    <w:rsid w:val="004944A6"/>
    <w:rsid w:val="004946FC"/>
    <w:rsid w:val="00494B35"/>
    <w:rsid w:val="00494DD5"/>
    <w:rsid w:val="00495455"/>
    <w:rsid w:val="00495981"/>
    <w:rsid w:val="0049611D"/>
    <w:rsid w:val="004962D2"/>
    <w:rsid w:val="00496A0C"/>
    <w:rsid w:val="00497B03"/>
    <w:rsid w:val="00497F60"/>
    <w:rsid w:val="004A027E"/>
    <w:rsid w:val="004A052D"/>
    <w:rsid w:val="004A0DA1"/>
    <w:rsid w:val="004A2543"/>
    <w:rsid w:val="004A28FF"/>
    <w:rsid w:val="004A2A9D"/>
    <w:rsid w:val="004A2CF3"/>
    <w:rsid w:val="004A35AD"/>
    <w:rsid w:val="004A3626"/>
    <w:rsid w:val="004A3C3C"/>
    <w:rsid w:val="004A480D"/>
    <w:rsid w:val="004A4C3A"/>
    <w:rsid w:val="004A52E9"/>
    <w:rsid w:val="004A603B"/>
    <w:rsid w:val="004A61BA"/>
    <w:rsid w:val="004A6597"/>
    <w:rsid w:val="004A69CA"/>
    <w:rsid w:val="004A71A2"/>
    <w:rsid w:val="004A7411"/>
    <w:rsid w:val="004A744D"/>
    <w:rsid w:val="004A7848"/>
    <w:rsid w:val="004B09FC"/>
    <w:rsid w:val="004B1CB4"/>
    <w:rsid w:val="004B24EE"/>
    <w:rsid w:val="004B2BF2"/>
    <w:rsid w:val="004B2E0B"/>
    <w:rsid w:val="004B2F18"/>
    <w:rsid w:val="004B33C9"/>
    <w:rsid w:val="004B3DDB"/>
    <w:rsid w:val="004B44FD"/>
    <w:rsid w:val="004B4609"/>
    <w:rsid w:val="004B5CFC"/>
    <w:rsid w:val="004B681F"/>
    <w:rsid w:val="004B6EFF"/>
    <w:rsid w:val="004B7451"/>
    <w:rsid w:val="004B774D"/>
    <w:rsid w:val="004C1784"/>
    <w:rsid w:val="004C1807"/>
    <w:rsid w:val="004C1A35"/>
    <w:rsid w:val="004C1B47"/>
    <w:rsid w:val="004C20B6"/>
    <w:rsid w:val="004C21A1"/>
    <w:rsid w:val="004C2A44"/>
    <w:rsid w:val="004C478C"/>
    <w:rsid w:val="004C4AED"/>
    <w:rsid w:val="004C4EF4"/>
    <w:rsid w:val="004C7A35"/>
    <w:rsid w:val="004C7B71"/>
    <w:rsid w:val="004C7F8C"/>
    <w:rsid w:val="004C7F96"/>
    <w:rsid w:val="004D0958"/>
    <w:rsid w:val="004D0F5D"/>
    <w:rsid w:val="004D10E8"/>
    <w:rsid w:val="004D24C9"/>
    <w:rsid w:val="004D2C2D"/>
    <w:rsid w:val="004D2D05"/>
    <w:rsid w:val="004D3247"/>
    <w:rsid w:val="004D4407"/>
    <w:rsid w:val="004D51C4"/>
    <w:rsid w:val="004D52ED"/>
    <w:rsid w:val="004D54A5"/>
    <w:rsid w:val="004D5A84"/>
    <w:rsid w:val="004D5DD2"/>
    <w:rsid w:val="004D6B86"/>
    <w:rsid w:val="004D7034"/>
    <w:rsid w:val="004D70CC"/>
    <w:rsid w:val="004D7227"/>
    <w:rsid w:val="004E0052"/>
    <w:rsid w:val="004E07BF"/>
    <w:rsid w:val="004E0D19"/>
    <w:rsid w:val="004E0E7F"/>
    <w:rsid w:val="004E0EB8"/>
    <w:rsid w:val="004E1967"/>
    <w:rsid w:val="004E2116"/>
    <w:rsid w:val="004E251C"/>
    <w:rsid w:val="004E2A9B"/>
    <w:rsid w:val="004E2ADC"/>
    <w:rsid w:val="004E2B41"/>
    <w:rsid w:val="004E305C"/>
    <w:rsid w:val="004E3096"/>
    <w:rsid w:val="004E323D"/>
    <w:rsid w:val="004E3716"/>
    <w:rsid w:val="004E43B2"/>
    <w:rsid w:val="004E460F"/>
    <w:rsid w:val="004E4ABA"/>
    <w:rsid w:val="004E4CC5"/>
    <w:rsid w:val="004E5209"/>
    <w:rsid w:val="004E581B"/>
    <w:rsid w:val="004E5FAB"/>
    <w:rsid w:val="004E65D1"/>
    <w:rsid w:val="004E7B7A"/>
    <w:rsid w:val="004F0389"/>
    <w:rsid w:val="004F1463"/>
    <w:rsid w:val="004F1D02"/>
    <w:rsid w:val="004F2183"/>
    <w:rsid w:val="004F238B"/>
    <w:rsid w:val="004F2679"/>
    <w:rsid w:val="004F2DAB"/>
    <w:rsid w:val="004F2F21"/>
    <w:rsid w:val="004F40FF"/>
    <w:rsid w:val="004F547B"/>
    <w:rsid w:val="004F5D13"/>
    <w:rsid w:val="004F6003"/>
    <w:rsid w:val="004F6913"/>
    <w:rsid w:val="004F6D89"/>
    <w:rsid w:val="004F7234"/>
    <w:rsid w:val="004F7865"/>
    <w:rsid w:val="0050012F"/>
    <w:rsid w:val="00500138"/>
    <w:rsid w:val="00500422"/>
    <w:rsid w:val="005005E0"/>
    <w:rsid w:val="005006CD"/>
    <w:rsid w:val="005006FD"/>
    <w:rsid w:val="0050219B"/>
    <w:rsid w:val="005024BE"/>
    <w:rsid w:val="00502659"/>
    <w:rsid w:val="00502BCD"/>
    <w:rsid w:val="00502DB6"/>
    <w:rsid w:val="00502F5A"/>
    <w:rsid w:val="00503F17"/>
    <w:rsid w:val="005053DC"/>
    <w:rsid w:val="00506928"/>
    <w:rsid w:val="005073AE"/>
    <w:rsid w:val="005073B3"/>
    <w:rsid w:val="005073BC"/>
    <w:rsid w:val="0050766B"/>
    <w:rsid w:val="00511F5C"/>
    <w:rsid w:val="005121B0"/>
    <w:rsid w:val="005124D6"/>
    <w:rsid w:val="005135E6"/>
    <w:rsid w:val="00514711"/>
    <w:rsid w:val="00514880"/>
    <w:rsid w:val="005152B5"/>
    <w:rsid w:val="00515EF0"/>
    <w:rsid w:val="0051671E"/>
    <w:rsid w:val="005206F8"/>
    <w:rsid w:val="00521319"/>
    <w:rsid w:val="005221D6"/>
    <w:rsid w:val="00522BC8"/>
    <w:rsid w:val="00523A24"/>
    <w:rsid w:val="00523C28"/>
    <w:rsid w:val="0052430B"/>
    <w:rsid w:val="00524A6C"/>
    <w:rsid w:val="00525217"/>
    <w:rsid w:val="00525B4C"/>
    <w:rsid w:val="005261A5"/>
    <w:rsid w:val="005264A7"/>
    <w:rsid w:val="00526754"/>
    <w:rsid w:val="00527BD2"/>
    <w:rsid w:val="00530A4A"/>
    <w:rsid w:val="00531A4F"/>
    <w:rsid w:val="0053203C"/>
    <w:rsid w:val="00532C58"/>
    <w:rsid w:val="005338A0"/>
    <w:rsid w:val="00533D92"/>
    <w:rsid w:val="005344D1"/>
    <w:rsid w:val="0053452C"/>
    <w:rsid w:val="005345E0"/>
    <w:rsid w:val="00534650"/>
    <w:rsid w:val="00534810"/>
    <w:rsid w:val="00534B81"/>
    <w:rsid w:val="00534D0F"/>
    <w:rsid w:val="0053504F"/>
    <w:rsid w:val="00535640"/>
    <w:rsid w:val="00535AB6"/>
    <w:rsid w:val="00536451"/>
    <w:rsid w:val="005365BF"/>
    <w:rsid w:val="00536F42"/>
    <w:rsid w:val="00537182"/>
    <w:rsid w:val="00540B63"/>
    <w:rsid w:val="005412A6"/>
    <w:rsid w:val="0054193A"/>
    <w:rsid w:val="005419C8"/>
    <w:rsid w:val="00542743"/>
    <w:rsid w:val="00542A66"/>
    <w:rsid w:val="00542C2D"/>
    <w:rsid w:val="00543452"/>
    <w:rsid w:val="00544595"/>
    <w:rsid w:val="00544A2A"/>
    <w:rsid w:val="00544C98"/>
    <w:rsid w:val="005451FB"/>
    <w:rsid w:val="00545C29"/>
    <w:rsid w:val="0054674D"/>
    <w:rsid w:val="00546D0D"/>
    <w:rsid w:val="00546EC8"/>
    <w:rsid w:val="00547AA8"/>
    <w:rsid w:val="00547D2B"/>
    <w:rsid w:val="0055120A"/>
    <w:rsid w:val="00551933"/>
    <w:rsid w:val="00551985"/>
    <w:rsid w:val="00551D38"/>
    <w:rsid w:val="00552081"/>
    <w:rsid w:val="00552456"/>
    <w:rsid w:val="00552BD3"/>
    <w:rsid w:val="00552D7B"/>
    <w:rsid w:val="00553E6E"/>
    <w:rsid w:val="005543DF"/>
    <w:rsid w:val="00555109"/>
    <w:rsid w:val="00555329"/>
    <w:rsid w:val="005558AE"/>
    <w:rsid w:val="00556656"/>
    <w:rsid w:val="005567E1"/>
    <w:rsid w:val="0055746D"/>
    <w:rsid w:val="005579B2"/>
    <w:rsid w:val="005600F2"/>
    <w:rsid w:val="00560D54"/>
    <w:rsid w:val="00562CE7"/>
    <w:rsid w:val="00563A27"/>
    <w:rsid w:val="00563B73"/>
    <w:rsid w:val="00563C6A"/>
    <w:rsid w:val="005649C6"/>
    <w:rsid w:val="00564B0A"/>
    <w:rsid w:val="00564F81"/>
    <w:rsid w:val="00565979"/>
    <w:rsid w:val="00565A72"/>
    <w:rsid w:val="00565A85"/>
    <w:rsid w:val="00565F51"/>
    <w:rsid w:val="0056696F"/>
    <w:rsid w:val="00567C33"/>
    <w:rsid w:val="005706C5"/>
    <w:rsid w:val="00570954"/>
    <w:rsid w:val="0057127E"/>
    <w:rsid w:val="00572269"/>
    <w:rsid w:val="0057244A"/>
    <w:rsid w:val="00573749"/>
    <w:rsid w:val="00575D8D"/>
    <w:rsid w:val="00575FAD"/>
    <w:rsid w:val="00576972"/>
    <w:rsid w:val="00576BD7"/>
    <w:rsid w:val="00576DE2"/>
    <w:rsid w:val="005770C0"/>
    <w:rsid w:val="0057768A"/>
    <w:rsid w:val="00577C15"/>
    <w:rsid w:val="005800CA"/>
    <w:rsid w:val="005801E1"/>
    <w:rsid w:val="005808BE"/>
    <w:rsid w:val="005815AA"/>
    <w:rsid w:val="00581C82"/>
    <w:rsid w:val="0058306E"/>
    <w:rsid w:val="00583439"/>
    <w:rsid w:val="00583699"/>
    <w:rsid w:val="00583A47"/>
    <w:rsid w:val="00584823"/>
    <w:rsid w:val="00584D6E"/>
    <w:rsid w:val="00585706"/>
    <w:rsid w:val="00585A11"/>
    <w:rsid w:val="00585C36"/>
    <w:rsid w:val="00585CDD"/>
    <w:rsid w:val="00585E51"/>
    <w:rsid w:val="00586D60"/>
    <w:rsid w:val="00587058"/>
    <w:rsid w:val="00587457"/>
    <w:rsid w:val="00587463"/>
    <w:rsid w:val="005875AF"/>
    <w:rsid w:val="005907A9"/>
    <w:rsid w:val="00590C09"/>
    <w:rsid w:val="00591060"/>
    <w:rsid w:val="0059144E"/>
    <w:rsid w:val="00591957"/>
    <w:rsid w:val="00591DD8"/>
    <w:rsid w:val="005934AD"/>
    <w:rsid w:val="0059372A"/>
    <w:rsid w:val="00593E5F"/>
    <w:rsid w:val="0059759C"/>
    <w:rsid w:val="005977C5"/>
    <w:rsid w:val="00597BF9"/>
    <w:rsid w:val="00597E6C"/>
    <w:rsid w:val="005A0202"/>
    <w:rsid w:val="005A0597"/>
    <w:rsid w:val="005A101B"/>
    <w:rsid w:val="005A1D3E"/>
    <w:rsid w:val="005A373D"/>
    <w:rsid w:val="005A3880"/>
    <w:rsid w:val="005A3CC0"/>
    <w:rsid w:val="005A4F62"/>
    <w:rsid w:val="005A644F"/>
    <w:rsid w:val="005A6A72"/>
    <w:rsid w:val="005A746B"/>
    <w:rsid w:val="005A7DD2"/>
    <w:rsid w:val="005A7F3D"/>
    <w:rsid w:val="005B0056"/>
    <w:rsid w:val="005B0B1F"/>
    <w:rsid w:val="005B0F9E"/>
    <w:rsid w:val="005B140C"/>
    <w:rsid w:val="005B14C9"/>
    <w:rsid w:val="005B1A86"/>
    <w:rsid w:val="005B1BD9"/>
    <w:rsid w:val="005B251E"/>
    <w:rsid w:val="005B283A"/>
    <w:rsid w:val="005B31A1"/>
    <w:rsid w:val="005B3739"/>
    <w:rsid w:val="005B3BD2"/>
    <w:rsid w:val="005B3CFF"/>
    <w:rsid w:val="005B41A3"/>
    <w:rsid w:val="005B4655"/>
    <w:rsid w:val="005B4F08"/>
    <w:rsid w:val="005B5857"/>
    <w:rsid w:val="005B5E99"/>
    <w:rsid w:val="005B6EC3"/>
    <w:rsid w:val="005B7292"/>
    <w:rsid w:val="005B7C58"/>
    <w:rsid w:val="005B7D9A"/>
    <w:rsid w:val="005C006E"/>
    <w:rsid w:val="005C1B83"/>
    <w:rsid w:val="005C279C"/>
    <w:rsid w:val="005C2D55"/>
    <w:rsid w:val="005C346B"/>
    <w:rsid w:val="005C36DC"/>
    <w:rsid w:val="005C39FF"/>
    <w:rsid w:val="005C4E32"/>
    <w:rsid w:val="005C4FE6"/>
    <w:rsid w:val="005C518C"/>
    <w:rsid w:val="005C5BAD"/>
    <w:rsid w:val="005C603F"/>
    <w:rsid w:val="005C62F7"/>
    <w:rsid w:val="005C6A3E"/>
    <w:rsid w:val="005C6BEB"/>
    <w:rsid w:val="005C7792"/>
    <w:rsid w:val="005C795B"/>
    <w:rsid w:val="005C7A18"/>
    <w:rsid w:val="005D044D"/>
    <w:rsid w:val="005D0501"/>
    <w:rsid w:val="005D0A65"/>
    <w:rsid w:val="005D0ABD"/>
    <w:rsid w:val="005D18AD"/>
    <w:rsid w:val="005D1AF4"/>
    <w:rsid w:val="005D1F0D"/>
    <w:rsid w:val="005D22E7"/>
    <w:rsid w:val="005D26B4"/>
    <w:rsid w:val="005D27DD"/>
    <w:rsid w:val="005D2A12"/>
    <w:rsid w:val="005D2E8D"/>
    <w:rsid w:val="005D2EC2"/>
    <w:rsid w:val="005D334D"/>
    <w:rsid w:val="005D3DCD"/>
    <w:rsid w:val="005D4155"/>
    <w:rsid w:val="005D4504"/>
    <w:rsid w:val="005D57B4"/>
    <w:rsid w:val="005D5AF5"/>
    <w:rsid w:val="005D5F6B"/>
    <w:rsid w:val="005D64E7"/>
    <w:rsid w:val="005D665D"/>
    <w:rsid w:val="005D6951"/>
    <w:rsid w:val="005D6CBB"/>
    <w:rsid w:val="005D7174"/>
    <w:rsid w:val="005D7D08"/>
    <w:rsid w:val="005E04A2"/>
    <w:rsid w:val="005E1EF5"/>
    <w:rsid w:val="005E1FD3"/>
    <w:rsid w:val="005E224E"/>
    <w:rsid w:val="005E2300"/>
    <w:rsid w:val="005E2CCB"/>
    <w:rsid w:val="005E2E6A"/>
    <w:rsid w:val="005E3312"/>
    <w:rsid w:val="005E4DA4"/>
    <w:rsid w:val="005E5928"/>
    <w:rsid w:val="005E651E"/>
    <w:rsid w:val="005E6CBC"/>
    <w:rsid w:val="005E7102"/>
    <w:rsid w:val="005E73C0"/>
    <w:rsid w:val="005E76C4"/>
    <w:rsid w:val="005E7E0E"/>
    <w:rsid w:val="005F046A"/>
    <w:rsid w:val="005F1908"/>
    <w:rsid w:val="005F1ED0"/>
    <w:rsid w:val="005F1F41"/>
    <w:rsid w:val="005F2706"/>
    <w:rsid w:val="005F2C64"/>
    <w:rsid w:val="005F31C8"/>
    <w:rsid w:val="005F3B73"/>
    <w:rsid w:val="005F4A0A"/>
    <w:rsid w:val="005F61CA"/>
    <w:rsid w:val="005F6A8F"/>
    <w:rsid w:val="005F6F01"/>
    <w:rsid w:val="005F7737"/>
    <w:rsid w:val="005F7E41"/>
    <w:rsid w:val="00600AD1"/>
    <w:rsid w:val="006011AF"/>
    <w:rsid w:val="00601501"/>
    <w:rsid w:val="00601610"/>
    <w:rsid w:val="00602218"/>
    <w:rsid w:val="006037D7"/>
    <w:rsid w:val="00603DB9"/>
    <w:rsid w:val="0060531A"/>
    <w:rsid w:val="00605803"/>
    <w:rsid w:val="00605EF6"/>
    <w:rsid w:val="006060EB"/>
    <w:rsid w:val="0060632A"/>
    <w:rsid w:val="00606950"/>
    <w:rsid w:val="006070ED"/>
    <w:rsid w:val="0060711F"/>
    <w:rsid w:val="00607669"/>
    <w:rsid w:val="00607AFD"/>
    <w:rsid w:val="00610B41"/>
    <w:rsid w:val="006114F0"/>
    <w:rsid w:val="00611F82"/>
    <w:rsid w:val="00612C90"/>
    <w:rsid w:val="00612F97"/>
    <w:rsid w:val="0061345D"/>
    <w:rsid w:val="006154F2"/>
    <w:rsid w:val="00616802"/>
    <w:rsid w:val="00616CA7"/>
    <w:rsid w:val="00616EAD"/>
    <w:rsid w:val="006170BB"/>
    <w:rsid w:val="006176DE"/>
    <w:rsid w:val="00617A94"/>
    <w:rsid w:val="00617E12"/>
    <w:rsid w:val="00620F68"/>
    <w:rsid w:val="00621444"/>
    <w:rsid w:val="00621477"/>
    <w:rsid w:val="00621498"/>
    <w:rsid w:val="00621A3F"/>
    <w:rsid w:val="00621AAD"/>
    <w:rsid w:val="006224D6"/>
    <w:rsid w:val="006225CC"/>
    <w:rsid w:val="00622D1D"/>
    <w:rsid w:val="00622FD3"/>
    <w:rsid w:val="0062387F"/>
    <w:rsid w:val="006255DF"/>
    <w:rsid w:val="0062571F"/>
    <w:rsid w:val="00625EF0"/>
    <w:rsid w:val="0062611B"/>
    <w:rsid w:val="00626D08"/>
    <w:rsid w:val="00627951"/>
    <w:rsid w:val="00627A02"/>
    <w:rsid w:val="00627A6A"/>
    <w:rsid w:val="00627CD2"/>
    <w:rsid w:val="0063035D"/>
    <w:rsid w:val="0063047D"/>
    <w:rsid w:val="006305F9"/>
    <w:rsid w:val="006308CC"/>
    <w:rsid w:val="0063158F"/>
    <w:rsid w:val="00631757"/>
    <w:rsid w:val="00631B13"/>
    <w:rsid w:val="00631D6B"/>
    <w:rsid w:val="006325F4"/>
    <w:rsid w:val="00632BEA"/>
    <w:rsid w:val="006330A1"/>
    <w:rsid w:val="00633376"/>
    <w:rsid w:val="006333B9"/>
    <w:rsid w:val="0063349F"/>
    <w:rsid w:val="00633BA0"/>
    <w:rsid w:val="00634357"/>
    <w:rsid w:val="006346BE"/>
    <w:rsid w:val="0063479F"/>
    <w:rsid w:val="00634837"/>
    <w:rsid w:val="00635204"/>
    <w:rsid w:val="006353F0"/>
    <w:rsid w:val="00635630"/>
    <w:rsid w:val="00635A4C"/>
    <w:rsid w:val="00635EB7"/>
    <w:rsid w:val="006364A1"/>
    <w:rsid w:val="00636B83"/>
    <w:rsid w:val="00636FE4"/>
    <w:rsid w:val="00637AB9"/>
    <w:rsid w:val="00637BFD"/>
    <w:rsid w:val="00640B07"/>
    <w:rsid w:val="00641C4E"/>
    <w:rsid w:val="00641CE3"/>
    <w:rsid w:val="00642A3E"/>
    <w:rsid w:val="00642D14"/>
    <w:rsid w:val="00642EC5"/>
    <w:rsid w:val="00643027"/>
    <w:rsid w:val="006434A1"/>
    <w:rsid w:val="006437B5"/>
    <w:rsid w:val="0064392D"/>
    <w:rsid w:val="00644EA6"/>
    <w:rsid w:val="00644F9B"/>
    <w:rsid w:val="00646313"/>
    <w:rsid w:val="00646C07"/>
    <w:rsid w:val="006471CC"/>
    <w:rsid w:val="006476CF"/>
    <w:rsid w:val="0065079F"/>
    <w:rsid w:val="00651630"/>
    <w:rsid w:val="006531F8"/>
    <w:rsid w:val="0065379F"/>
    <w:rsid w:val="006539FD"/>
    <w:rsid w:val="00653A57"/>
    <w:rsid w:val="006547D3"/>
    <w:rsid w:val="00654A8D"/>
    <w:rsid w:val="00654D71"/>
    <w:rsid w:val="006552B5"/>
    <w:rsid w:val="0065562D"/>
    <w:rsid w:val="00655A03"/>
    <w:rsid w:val="00655A5F"/>
    <w:rsid w:val="006569DF"/>
    <w:rsid w:val="00656B23"/>
    <w:rsid w:val="00660186"/>
    <w:rsid w:val="006608E7"/>
    <w:rsid w:val="006613A5"/>
    <w:rsid w:val="00661C00"/>
    <w:rsid w:val="00661C6B"/>
    <w:rsid w:val="00661E31"/>
    <w:rsid w:val="00662149"/>
    <w:rsid w:val="006622A5"/>
    <w:rsid w:val="006623ED"/>
    <w:rsid w:val="00662436"/>
    <w:rsid w:val="00663D17"/>
    <w:rsid w:val="0066466C"/>
    <w:rsid w:val="00664859"/>
    <w:rsid w:val="00664CE0"/>
    <w:rsid w:val="00664E76"/>
    <w:rsid w:val="006651D8"/>
    <w:rsid w:val="006657B5"/>
    <w:rsid w:val="0066585D"/>
    <w:rsid w:val="00667E76"/>
    <w:rsid w:val="00670222"/>
    <w:rsid w:val="00670A3D"/>
    <w:rsid w:val="00670C16"/>
    <w:rsid w:val="00670D5D"/>
    <w:rsid w:val="006711EB"/>
    <w:rsid w:val="00671D65"/>
    <w:rsid w:val="006722C6"/>
    <w:rsid w:val="0067388B"/>
    <w:rsid w:val="0067396C"/>
    <w:rsid w:val="00673AE5"/>
    <w:rsid w:val="0067411C"/>
    <w:rsid w:val="00674748"/>
    <w:rsid w:val="00674954"/>
    <w:rsid w:val="00674E42"/>
    <w:rsid w:val="00675753"/>
    <w:rsid w:val="00676522"/>
    <w:rsid w:val="00676709"/>
    <w:rsid w:val="00676E97"/>
    <w:rsid w:val="00677D19"/>
    <w:rsid w:val="006801C1"/>
    <w:rsid w:val="00680344"/>
    <w:rsid w:val="00680E62"/>
    <w:rsid w:val="00680F10"/>
    <w:rsid w:val="00681002"/>
    <w:rsid w:val="006810AF"/>
    <w:rsid w:val="00681731"/>
    <w:rsid w:val="00682112"/>
    <w:rsid w:val="006823EF"/>
    <w:rsid w:val="0068268C"/>
    <w:rsid w:val="00682BD9"/>
    <w:rsid w:val="00682C4D"/>
    <w:rsid w:val="00684FB0"/>
    <w:rsid w:val="006854EA"/>
    <w:rsid w:val="006858D5"/>
    <w:rsid w:val="00685B5F"/>
    <w:rsid w:val="0068626B"/>
    <w:rsid w:val="006868B7"/>
    <w:rsid w:val="00686957"/>
    <w:rsid w:val="006872BA"/>
    <w:rsid w:val="006873A7"/>
    <w:rsid w:val="006879A2"/>
    <w:rsid w:val="006879B1"/>
    <w:rsid w:val="00690A07"/>
    <w:rsid w:val="00691648"/>
    <w:rsid w:val="006917D7"/>
    <w:rsid w:val="00692D1C"/>
    <w:rsid w:val="00692EEA"/>
    <w:rsid w:val="00693820"/>
    <w:rsid w:val="00693AB3"/>
    <w:rsid w:val="00694410"/>
    <w:rsid w:val="006948D5"/>
    <w:rsid w:val="00694E47"/>
    <w:rsid w:val="00694F44"/>
    <w:rsid w:val="006953FC"/>
    <w:rsid w:val="006956FD"/>
    <w:rsid w:val="00695A85"/>
    <w:rsid w:val="00695F2F"/>
    <w:rsid w:val="0069734F"/>
    <w:rsid w:val="006A07E3"/>
    <w:rsid w:val="006A0DB8"/>
    <w:rsid w:val="006A12DD"/>
    <w:rsid w:val="006A1D8B"/>
    <w:rsid w:val="006A2681"/>
    <w:rsid w:val="006A2CF3"/>
    <w:rsid w:val="006A38A8"/>
    <w:rsid w:val="006A3B02"/>
    <w:rsid w:val="006A3B31"/>
    <w:rsid w:val="006A4528"/>
    <w:rsid w:val="006A4557"/>
    <w:rsid w:val="006A45A0"/>
    <w:rsid w:val="006A460A"/>
    <w:rsid w:val="006A474C"/>
    <w:rsid w:val="006A494C"/>
    <w:rsid w:val="006A4951"/>
    <w:rsid w:val="006A4B2B"/>
    <w:rsid w:val="006A4E2E"/>
    <w:rsid w:val="006A4F21"/>
    <w:rsid w:val="006A5F66"/>
    <w:rsid w:val="006A65EC"/>
    <w:rsid w:val="006A6622"/>
    <w:rsid w:val="006A6882"/>
    <w:rsid w:val="006A6F38"/>
    <w:rsid w:val="006A717A"/>
    <w:rsid w:val="006A743F"/>
    <w:rsid w:val="006A74BD"/>
    <w:rsid w:val="006A756F"/>
    <w:rsid w:val="006A786D"/>
    <w:rsid w:val="006A7E5F"/>
    <w:rsid w:val="006B02E7"/>
    <w:rsid w:val="006B10D4"/>
    <w:rsid w:val="006B2203"/>
    <w:rsid w:val="006B261B"/>
    <w:rsid w:val="006B27E1"/>
    <w:rsid w:val="006B2C90"/>
    <w:rsid w:val="006B3C77"/>
    <w:rsid w:val="006B4087"/>
    <w:rsid w:val="006B4DC0"/>
    <w:rsid w:val="006B5AA1"/>
    <w:rsid w:val="006B5EE5"/>
    <w:rsid w:val="006B69FD"/>
    <w:rsid w:val="006B6DD0"/>
    <w:rsid w:val="006B758C"/>
    <w:rsid w:val="006B7852"/>
    <w:rsid w:val="006C083C"/>
    <w:rsid w:val="006C0C46"/>
    <w:rsid w:val="006C0DC4"/>
    <w:rsid w:val="006C0F94"/>
    <w:rsid w:val="006C2A8E"/>
    <w:rsid w:val="006C4E3C"/>
    <w:rsid w:val="006C6739"/>
    <w:rsid w:val="006C6DB6"/>
    <w:rsid w:val="006C73A8"/>
    <w:rsid w:val="006C770E"/>
    <w:rsid w:val="006C78CB"/>
    <w:rsid w:val="006D1678"/>
    <w:rsid w:val="006D18D3"/>
    <w:rsid w:val="006D18EA"/>
    <w:rsid w:val="006D1B79"/>
    <w:rsid w:val="006D1CBE"/>
    <w:rsid w:val="006D20F2"/>
    <w:rsid w:val="006D27F1"/>
    <w:rsid w:val="006D2E5D"/>
    <w:rsid w:val="006D3C7D"/>
    <w:rsid w:val="006D48DC"/>
    <w:rsid w:val="006D5094"/>
    <w:rsid w:val="006D5481"/>
    <w:rsid w:val="006D5B35"/>
    <w:rsid w:val="006D5D5F"/>
    <w:rsid w:val="006D6AB7"/>
    <w:rsid w:val="006D6B97"/>
    <w:rsid w:val="006D74D6"/>
    <w:rsid w:val="006D772C"/>
    <w:rsid w:val="006E1190"/>
    <w:rsid w:val="006E225E"/>
    <w:rsid w:val="006E231F"/>
    <w:rsid w:val="006E290A"/>
    <w:rsid w:val="006E336E"/>
    <w:rsid w:val="006E49EC"/>
    <w:rsid w:val="006E4F2B"/>
    <w:rsid w:val="006E5384"/>
    <w:rsid w:val="006E5B2D"/>
    <w:rsid w:val="006E5FCC"/>
    <w:rsid w:val="006E64AB"/>
    <w:rsid w:val="006F00BA"/>
    <w:rsid w:val="006F140D"/>
    <w:rsid w:val="006F1F4C"/>
    <w:rsid w:val="006F263F"/>
    <w:rsid w:val="006F2E19"/>
    <w:rsid w:val="006F306C"/>
    <w:rsid w:val="006F44FA"/>
    <w:rsid w:val="006F5743"/>
    <w:rsid w:val="006F63A5"/>
    <w:rsid w:val="006F6647"/>
    <w:rsid w:val="006F6D11"/>
    <w:rsid w:val="006F6F40"/>
    <w:rsid w:val="006F7767"/>
    <w:rsid w:val="007003B3"/>
    <w:rsid w:val="00700CC9"/>
    <w:rsid w:val="0070142B"/>
    <w:rsid w:val="00701BB0"/>
    <w:rsid w:val="0070276E"/>
    <w:rsid w:val="00702F45"/>
    <w:rsid w:val="00702F8F"/>
    <w:rsid w:val="00704472"/>
    <w:rsid w:val="00704BCE"/>
    <w:rsid w:val="00706835"/>
    <w:rsid w:val="00706E54"/>
    <w:rsid w:val="00707E65"/>
    <w:rsid w:val="00710207"/>
    <w:rsid w:val="007112F2"/>
    <w:rsid w:val="0071163C"/>
    <w:rsid w:val="00711A36"/>
    <w:rsid w:val="007136A6"/>
    <w:rsid w:val="00713884"/>
    <w:rsid w:val="007138E8"/>
    <w:rsid w:val="007138EA"/>
    <w:rsid w:val="00714940"/>
    <w:rsid w:val="00714E7A"/>
    <w:rsid w:val="0071502B"/>
    <w:rsid w:val="00715069"/>
    <w:rsid w:val="0071529C"/>
    <w:rsid w:val="0071664B"/>
    <w:rsid w:val="007172AD"/>
    <w:rsid w:val="00720346"/>
    <w:rsid w:val="0072052F"/>
    <w:rsid w:val="00720BC8"/>
    <w:rsid w:val="007210C8"/>
    <w:rsid w:val="007220B7"/>
    <w:rsid w:val="00722A5D"/>
    <w:rsid w:val="00722B1B"/>
    <w:rsid w:val="00722D77"/>
    <w:rsid w:val="0072416F"/>
    <w:rsid w:val="007253FD"/>
    <w:rsid w:val="007254D6"/>
    <w:rsid w:val="00726E12"/>
    <w:rsid w:val="00727073"/>
    <w:rsid w:val="00727A2B"/>
    <w:rsid w:val="00727C94"/>
    <w:rsid w:val="0073041A"/>
    <w:rsid w:val="00731EAE"/>
    <w:rsid w:val="00732399"/>
    <w:rsid w:val="007325F6"/>
    <w:rsid w:val="00732F19"/>
    <w:rsid w:val="0073326F"/>
    <w:rsid w:val="00733541"/>
    <w:rsid w:val="00733734"/>
    <w:rsid w:val="00733B4A"/>
    <w:rsid w:val="00734B2F"/>
    <w:rsid w:val="00735033"/>
    <w:rsid w:val="00735067"/>
    <w:rsid w:val="00735328"/>
    <w:rsid w:val="00735731"/>
    <w:rsid w:val="00736094"/>
    <w:rsid w:val="0073685B"/>
    <w:rsid w:val="00736A2B"/>
    <w:rsid w:val="00736E2A"/>
    <w:rsid w:val="007409A5"/>
    <w:rsid w:val="00741858"/>
    <w:rsid w:val="007427C9"/>
    <w:rsid w:val="0074527A"/>
    <w:rsid w:val="00745BC2"/>
    <w:rsid w:val="00746C4C"/>
    <w:rsid w:val="00750209"/>
    <w:rsid w:val="00750290"/>
    <w:rsid w:val="00751071"/>
    <w:rsid w:val="00751558"/>
    <w:rsid w:val="00751DC9"/>
    <w:rsid w:val="00752042"/>
    <w:rsid w:val="00752142"/>
    <w:rsid w:val="007523F9"/>
    <w:rsid w:val="0075246A"/>
    <w:rsid w:val="007525ED"/>
    <w:rsid w:val="00752AC0"/>
    <w:rsid w:val="00752EE4"/>
    <w:rsid w:val="00753656"/>
    <w:rsid w:val="00753A9A"/>
    <w:rsid w:val="00753FFD"/>
    <w:rsid w:val="00754EAF"/>
    <w:rsid w:val="007557EE"/>
    <w:rsid w:val="007559B2"/>
    <w:rsid w:val="007564FF"/>
    <w:rsid w:val="007566D1"/>
    <w:rsid w:val="007566EE"/>
    <w:rsid w:val="00756C81"/>
    <w:rsid w:val="00756D89"/>
    <w:rsid w:val="007573E8"/>
    <w:rsid w:val="00757959"/>
    <w:rsid w:val="00757D62"/>
    <w:rsid w:val="00760C4E"/>
    <w:rsid w:val="00761542"/>
    <w:rsid w:val="00761DD3"/>
    <w:rsid w:val="007623C8"/>
    <w:rsid w:val="00762A84"/>
    <w:rsid w:val="00762B3A"/>
    <w:rsid w:val="00762F9A"/>
    <w:rsid w:val="00763D3F"/>
    <w:rsid w:val="00763E42"/>
    <w:rsid w:val="00765302"/>
    <w:rsid w:val="00765915"/>
    <w:rsid w:val="00765B1A"/>
    <w:rsid w:val="00765BEA"/>
    <w:rsid w:val="007663E2"/>
    <w:rsid w:val="0076711B"/>
    <w:rsid w:val="00767F87"/>
    <w:rsid w:val="0077010D"/>
    <w:rsid w:val="00770395"/>
    <w:rsid w:val="007708C9"/>
    <w:rsid w:val="0077278D"/>
    <w:rsid w:val="00774403"/>
    <w:rsid w:val="0077465F"/>
    <w:rsid w:val="00774BE5"/>
    <w:rsid w:val="00776073"/>
    <w:rsid w:val="007767AF"/>
    <w:rsid w:val="00776903"/>
    <w:rsid w:val="00776E11"/>
    <w:rsid w:val="00776E53"/>
    <w:rsid w:val="00777010"/>
    <w:rsid w:val="0077703F"/>
    <w:rsid w:val="007777D1"/>
    <w:rsid w:val="00780161"/>
    <w:rsid w:val="00780E9F"/>
    <w:rsid w:val="00781139"/>
    <w:rsid w:val="00781A11"/>
    <w:rsid w:val="00782B24"/>
    <w:rsid w:val="00782B49"/>
    <w:rsid w:val="00782D86"/>
    <w:rsid w:val="007843F2"/>
    <w:rsid w:val="00784FAF"/>
    <w:rsid w:val="00785C2B"/>
    <w:rsid w:val="007867F9"/>
    <w:rsid w:val="00786F6F"/>
    <w:rsid w:val="007875D4"/>
    <w:rsid w:val="00787FC8"/>
    <w:rsid w:val="0079042A"/>
    <w:rsid w:val="00790481"/>
    <w:rsid w:val="00790580"/>
    <w:rsid w:val="00790616"/>
    <w:rsid w:val="00790D50"/>
    <w:rsid w:val="00791475"/>
    <w:rsid w:val="00791927"/>
    <w:rsid w:val="00791DAE"/>
    <w:rsid w:val="00792E04"/>
    <w:rsid w:val="00793099"/>
    <w:rsid w:val="0079343B"/>
    <w:rsid w:val="007941D5"/>
    <w:rsid w:val="00794A75"/>
    <w:rsid w:val="00794C71"/>
    <w:rsid w:val="0079561D"/>
    <w:rsid w:val="00796294"/>
    <w:rsid w:val="007969EF"/>
    <w:rsid w:val="00796AFF"/>
    <w:rsid w:val="00796FF6"/>
    <w:rsid w:val="00797633"/>
    <w:rsid w:val="0079772A"/>
    <w:rsid w:val="00797905"/>
    <w:rsid w:val="00797AF9"/>
    <w:rsid w:val="007A0A12"/>
    <w:rsid w:val="007A132D"/>
    <w:rsid w:val="007A16B5"/>
    <w:rsid w:val="007A17BB"/>
    <w:rsid w:val="007A1874"/>
    <w:rsid w:val="007A1C55"/>
    <w:rsid w:val="007A1E5C"/>
    <w:rsid w:val="007A4D0B"/>
    <w:rsid w:val="007A57BC"/>
    <w:rsid w:val="007A5866"/>
    <w:rsid w:val="007A5D7A"/>
    <w:rsid w:val="007A5EA0"/>
    <w:rsid w:val="007A7414"/>
    <w:rsid w:val="007B0D68"/>
    <w:rsid w:val="007B181B"/>
    <w:rsid w:val="007B195D"/>
    <w:rsid w:val="007B251D"/>
    <w:rsid w:val="007B385C"/>
    <w:rsid w:val="007B43ED"/>
    <w:rsid w:val="007B497A"/>
    <w:rsid w:val="007B4F58"/>
    <w:rsid w:val="007B528D"/>
    <w:rsid w:val="007B5427"/>
    <w:rsid w:val="007B6A4E"/>
    <w:rsid w:val="007B703F"/>
    <w:rsid w:val="007B7669"/>
    <w:rsid w:val="007B76CD"/>
    <w:rsid w:val="007B77D1"/>
    <w:rsid w:val="007B796E"/>
    <w:rsid w:val="007C009E"/>
    <w:rsid w:val="007C053E"/>
    <w:rsid w:val="007C091B"/>
    <w:rsid w:val="007C1984"/>
    <w:rsid w:val="007C1CD9"/>
    <w:rsid w:val="007C2747"/>
    <w:rsid w:val="007C2981"/>
    <w:rsid w:val="007C2F2F"/>
    <w:rsid w:val="007C361D"/>
    <w:rsid w:val="007C4B84"/>
    <w:rsid w:val="007C5237"/>
    <w:rsid w:val="007C5500"/>
    <w:rsid w:val="007C61CE"/>
    <w:rsid w:val="007C7AAD"/>
    <w:rsid w:val="007D004F"/>
    <w:rsid w:val="007D03A8"/>
    <w:rsid w:val="007D0680"/>
    <w:rsid w:val="007D0B38"/>
    <w:rsid w:val="007D1D3F"/>
    <w:rsid w:val="007D35E0"/>
    <w:rsid w:val="007D4742"/>
    <w:rsid w:val="007D4A92"/>
    <w:rsid w:val="007D50EF"/>
    <w:rsid w:val="007D5440"/>
    <w:rsid w:val="007D5A10"/>
    <w:rsid w:val="007D5F68"/>
    <w:rsid w:val="007D69C9"/>
    <w:rsid w:val="007D75DC"/>
    <w:rsid w:val="007D7A6C"/>
    <w:rsid w:val="007E0071"/>
    <w:rsid w:val="007E0865"/>
    <w:rsid w:val="007E0BFD"/>
    <w:rsid w:val="007E0C26"/>
    <w:rsid w:val="007E22CA"/>
    <w:rsid w:val="007E2637"/>
    <w:rsid w:val="007E330D"/>
    <w:rsid w:val="007E33C8"/>
    <w:rsid w:val="007E5568"/>
    <w:rsid w:val="007E68DC"/>
    <w:rsid w:val="007E6A3F"/>
    <w:rsid w:val="007E72F5"/>
    <w:rsid w:val="007E7E6B"/>
    <w:rsid w:val="007F07AC"/>
    <w:rsid w:val="007F1017"/>
    <w:rsid w:val="007F201D"/>
    <w:rsid w:val="007F37B7"/>
    <w:rsid w:val="007F4A3F"/>
    <w:rsid w:val="007F4A61"/>
    <w:rsid w:val="007F4AF7"/>
    <w:rsid w:val="007F4BFF"/>
    <w:rsid w:val="007F5842"/>
    <w:rsid w:val="007F59C1"/>
    <w:rsid w:val="007F61C2"/>
    <w:rsid w:val="007F7D7A"/>
    <w:rsid w:val="008002FA"/>
    <w:rsid w:val="0080076F"/>
    <w:rsid w:val="00800E56"/>
    <w:rsid w:val="008011FC"/>
    <w:rsid w:val="0080176D"/>
    <w:rsid w:val="0080253A"/>
    <w:rsid w:val="008027EF"/>
    <w:rsid w:val="00802A95"/>
    <w:rsid w:val="00802B0D"/>
    <w:rsid w:val="00802FB8"/>
    <w:rsid w:val="00803192"/>
    <w:rsid w:val="0080328F"/>
    <w:rsid w:val="0080346F"/>
    <w:rsid w:val="00803B5F"/>
    <w:rsid w:val="008044B8"/>
    <w:rsid w:val="00804976"/>
    <w:rsid w:val="00805142"/>
    <w:rsid w:val="00805262"/>
    <w:rsid w:val="0080539F"/>
    <w:rsid w:val="00805E10"/>
    <w:rsid w:val="0080710A"/>
    <w:rsid w:val="00807478"/>
    <w:rsid w:val="00807A8B"/>
    <w:rsid w:val="0081054A"/>
    <w:rsid w:val="00811383"/>
    <w:rsid w:val="00811EC3"/>
    <w:rsid w:val="00812149"/>
    <w:rsid w:val="008121B9"/>
    <w:rsid w:val="008127A9"/>
    <w:rsid w:val="00812B3B"/>
    <w:rsid w:val="00812C1F"/>
    <w:rsid w:val="00812CAC"/>
    <w:rsid w:val="008133C0"/>
    <w:rsid w:val="00813987"/>
    <w:rsid w:val="00813D29"/>
    <w:rsid w:val="00813F45"/>
    <w:rsid w:val="008143E5"/>
    <w:rsid w:val="008155FF"/>
    <w:rsid w:val="00815C81"/>
    <w:rsid w:val="00815E46"/>
    <w:rsid w:val="00815F96"/>
    <w:rsid w:val="008166EF"/>
    <w:rsid w:val="00816AC5"/>
    <w:rsid w:val="00816DB0"/>
    <w:rsid w:val="00817E71"/>
    <w:rsid w:val="00820A05"/>
    <w:rsid w:val="00820F26"/>
    <w:rsid w:val="008212B1"/>
    <w:rsid w:val="008216E3"/>
    <w:rsid w:val="00821EEF"/>
    <w:rsid w:val="008222FE"/>
    <w:rsid w:val="00822394"/>
    <w:rsid w:val="008227BD"/>
    <w:rsid w:val="0082344E"/>
    <w:rsid w:val="00823876"/>
    <w:rsid w:val="00823FF5"/>
    <w:rsid w:val="00824A97"/>
    <w:rsid w:val="00825751"/>
    <w:rsid w:val="00825D7B"/>
    <w:rsid w:val="00825E9D"/>
    <w:rsid w:val="008264EB"/>
    <w:rsid w:val="00826676"/>
    <w:rsid w:val="00827123"/>
    <w:rsid w:val="00827A97"/>
    <w:rsid w:val="008301F3"/>
    <w:rsid w:val="00830440"/>
    <w:rsid w:val="008312A5"/>
    <w:rsid w:val="00831357"/>
    <w:rsid w:val="00832269"/>
    <w:rsid w:val="008322DD"/>
    <w:rsid w:val="00832957"/>
    <w:rsid w:val="00833B05"/>
    <w:rsid w:val="00833F43"/>
    <w:rsid w:val="008341D1"/>
    <w:rsid w:val="00834337"/>
    <w:rsid w:val="00834338"/>
    <w:rsid w:val="0083493A"/>
    <w:rsid w:val="00834A5C"/>
    <w:rsid w:val="00834BEF"/>
    <w:rsid w:val="00834C25"/>
    <w:rsid w:val="00834C4F"/>
    <w:rsid w:val="00834D9A"/>
    <w:rsid w:val="00835CAD"/>
    <w:rsid w:val="00836006"/>
    <w:rsid w:val="008362B4"/>
    <w:rsid w:val="00836B57"/>
    <w:rsid w:val="00840CA2"/>
    <w:rsid w:val="00841574"/>
    <w:rsid w:val="008415CB"/>
    <w:rsid w:val="008429F2"/>
    <w:rsid w:val="008432E8"/>
    <w:rsid w:val="008435F0"/>
    <w:rsid w:val="0084374F"/>
    <w:rsid w:val="008439C2"/>
    <w:rsid w:val="00843AC9"/>
    <w:rsid w:val="00844BFB"/>
    <w:rsid w:val="0084507C"/>
    <w:rsid w:val="0084548D"/>
    <w:rsid w:val="0084669E"/>
    <w:rsid w:val="0084670A"/>
    <w:rsid w:val="008469AE"/>
    <w:rsid w:val="00846EAC"/>
    <w:rsid w:val="00846F2D"/>
    <w:rsid w:val="0084713E"/>
    <w:rsid w:val="00847DF5"/>
    <w:rsid w:val="00847E12"/>
    <w:rsid w:val="00847F0C"/>
    <w:rsid w:val="0085019F"/>
    <w:rsid w:val="00850470"/>
    <w:rsid w:val="0085129A"/>
    <w:rsid w:val="00852270"/>
    <w:rsid w:val="008524EC"/>
    <w:rsid w:val="00852B8F"/>
    <w:rsid w:val="0085309D"/>
    <w:rsid w:val="0085410E"/>
    <w:rsid w:val="0085432E"/>
    <w:rsid w:val="008543F2"/>
    <w:rsid w:val="00854CBE"/>
    <w:rsid w:val="00854CD2"/>
    <w:rsid w:val="00855499"/>
    <w:rsid w:val="008558AC"/>
    <w:rsid w:val="008564CF"/>
    <w:rsid w:val="00856897"/>
    <w:rsid w:val="00856E59"/>
    <w:rsid w:val="00856E9A"/>
    <w:rsid w:val="008570CA"/>
    <w:rsid w:val="00857618"/>
    <w:rsid w:val="00857895"/>
    <w:rsid w:val="00857CB2"/>
    <w:rsid w:val="0086075D"/>
    <w:rsid w:val="0086150F"/>
    <w:rsid w:val="00861515"/>
    <w:rsid w:val="008620B9"/>
    <w:rsid w:val="0086212F"/>
    <w:rsid w:val="008623BA"/>
    <w:rsid w:val="00862502"/>
    <w:rsid w:val="00862E33"/>
    <w:rsid w:val="00863CE8"/>
    <w:rsid w:val="00864557"/>
    <w:rsid w:val="00864EC4"/>
    <w:rsid w:val="0086563B"/>
    <w:rsid w:val="00865C79"/>
    <w:rsid w:val="008660D4"/>
    <w:rsid w:val="00866191"/>
    <w:rsid w:val="00867258"/>
    <w:rsid w:val="008702EE"/>
    <w:rsid w:val="00870994"/>
    <w:rsid w:val="00870D20"/>
    <w:rsid w:val="00871438"/>
    <w:rsid w:val="00871FA9"/>
    <w:rsid w:val="008728E9"/>
    <w:rsid w:val="00873068"/>
    <w:rsid w:val="00873DEE"/>
    <w:rsid w:val="0087430D"/>
    <w:rsid w:val="00874B7B"/>
    <w:rsid w:val="00874DFC"/>
    <w:rsid w:val="0087553A"/>
    <w:rsid w:val="00875CD1"/>
    <w:rsid w:val="00876C6E"/>
    <w:rsid w:val="00877557"/>
    <w:rsid w:val="008776E4"/>
    <w:rsid w:val="00880083"/>
    <w:rsid w:val="00881075"/>
    <w:rsid w:val="0088199B"/>
    <w:rsid w:val="00881D56"/>
    <w:rsid w:val="00881D9D"/>
    <w:rsid w:val="00882669"/>
    <w:rsid w:val="00882874"/>
    <w:rsid w:val="0088295C"/>
    <w:rsid w:val="00883787"/>
    <w:rsid w:val="00883989"/>
    <w:rsid w:val="00884464"/>
    <w:rsid w:val="00884A7C"/>
    <w:rsid w:val="00885E6E"/>
    <w:rsid w:val="00885EB1"/>
    <w:rsid w:val="0088617F"/>
    <w:rsid w:val="008861A4"/>
    <w:rsid w:val="00886CD2"/>
    <w:rsid w:val="00886ECF"/>
    <w:rsid w:val="00890414"/>
    <w:rsid w:val="00891868"/>
    <w:rsid w:val="008919A4"/>
    <w:rsid w:val="00891A40"/>
    <w:rsid w:val="00891F2E"/>
    <w:rsid w:val="0089205A"/>
    <w:rsid w:val="008929D2"/>
    <w:rsid w:val="00892A36"/>
    <w:rsid w:val="00893239"/>
    <w:rsid w:val="00894141"/>
    <w:rsid w:val="00894275"/>
    <w:rsid w:val="00894489"/>
    <w:rsid w:val="00895B9F"/>
    <w:rsid w:val="00895F96"/>
    <w:rsid w:val="00896115"/>
    <w:rsid w:val="008963A5"/>
    <w:rsid w:val="00896B6F"/>
    <w:rsid w:val="00896BD7"/>
    <w:rsid w:val="00896D61"/>
    <w:rsid w:val="008976FD"/>
    <w:rsid w:val="0089771A"/>
    <w:rsid w:val="008979B0"/>
    <w:rsid w:val="008A08DD"/>
    <w:rsid w:val="008A0C18"/>
    <w:rsid w:val="008A0D38"/>
    <w:rsid w:val="008A1B03"/>
    <w:rsid w:val="008A25A8"/>
    <w:rsid w:val="008A2F0A"/>
    <w:rsid w:val="008A3363"/>
    <w:rsid w:val="008A3371"/>
    <w:rsid w:val="008A3C3E"/>
    <w:rsid w:val="008A3D42"/>
    <w:rsid w:val="008A452F"/>
    <w:rsid w:val="008A4B24"/>
    <w:rsid w:val="008A4D93"/>
    <w:rsid w:val="008A5010"/>
    <w:rsid w:val="008A609F"/>
    <w:rsid w:val="008A66D0"/>
    <w:rsid w:val="008A6909"/>
    <w:rsid w:val="008A798D"/>
    <w:rsid w:val="008A79DE"/>
    <w:rsid w:val="008B09DB"/>
    <w:rsid w:val="008B0A91"/>
    <w:rsid w:val="008B0C04"/>
    <w:rsid w:val="008B1757"/>
    <w:rsid w:val="008B5362"/>
    <w:rsid w:val="008B6902"/>
    <w:rsid w:val="008B69AA"/>
    <w:rsid w:val="008B6B77"/>
    <w:rsid w:val="008B7005"/>
    <w:rsid w:val="008B7D7E"/>
    <w:rsid w:val="008B7DE5"/>
    <w:rsid w:val="008B7E69"/>
    <w:rsid w:val="008C0758"/>
    <w:rsid w:val="008C087B"/>
    <w:rsid w:val="008C0E12"/>
    <w:rsid w:val="008C1347"/>
    <w:rsid w:val="008C1388"/>
    <w:rsid w:val="008C25D3"/>
    <w:rsid w:val="008C363B"/>
    <w:rsid w:val="008C3832"/>
    <w:rsid w:val="008C3D95"/>
    <w:rsid w:val="008C4425"/>
    <w:rsid w:val="008C564E"/>
    <w:rsid w:val="008C5869"/>
    <w:rsid w:val="008C5AC2"/>
    <w:rsid w:val="008C7ECB"/>
    <w:rsid w:val="008D07A0"/>
    <w:rsid w:val="008D0E3F"/>
    <w:rsid w:val="008D0EC8"/>
    <w:rsid w:val="008D1022"/>
    <w:rsid w:val="008D1822"/>
    <w:rsid w:val="008D2FDF"/>
    <w:rsid w:val="008D3037"/>
    <w:rsid w:val="008D38C6"/>
    <w:rsid w:val="008D3AEA"/>
    <w:rsid w:val="008D3CE0"/>
    <w:rsid w:val="008D435F"/>
    <w:rsid w:val="008D460A"/>
    <w:rsid w:val="008D4666"/>
    <w:rsid w:val="008D4755"/>
    <w:rsid w:val="008D4C3D"/>
    <w:rsid w:val="008D4C7B"/>
    <w:rsid w:val="008D5BA7"/>
    <w:rsid w:val="008D603E"/>
    <w:rsid w:val="008D6F1A"/>
    <w:rsid w:val="008D7310"/>
    <w:rsid w:val="008D7AD2"/>
    <w:rsid w:val="008D7E7D"/>
    <w:rsid w:val="008E0079"/>
    <w:rsid w:val="008E0128"/>
    <w:rsid w:val="008E01F0"/>
    <w:rsid w:val="008E02CF"/>
    <w:rsid w:val="008E0333"/>
    <w:rsid w:val="008E07EE"/>
    <w:rsid w:val="008E0D3C"/>
    <w:rsid w:val="008E11B7"/>
    <w:rsid w:val="008E1B9E"/>
    <w:rsid w:val="008E2FCF"/>
    <w:rsid w:val="008E2FEC"/>
    <w:rsid w:val="008E316B"/>
    <w:rsid w:val="008E3258"/>
    <w:rsid w:val="008E3E40"/>
    <w:rsid w:val="008E55AB"/>
    <w:rsid w:val="008E5A18"/>
    <w:rsid w:val="008E5D60"/>
    <w:rsid w:val="008E653F"/>
    <w:rsid w:val="008E6CE1"/>
    <w:rsid w:val="008E6E62"/>
    <w:rsid w:val="008E77B4"/>
    <w:rsid w:val="008E77BC"/>
    <w:rsid w:val="008E7EC4"/>
    <w:rsid w:val="008F06A9"/>
    <w:rsid w:val="008F0AC5"/>
    <w:rsid w:val="008F120A"/>
    <w:rsid w:val="008F1357"/>
    <w:rsid w:val="008F16F5"/>
    <w:rsid w:val="008F1CCF"/>
    <w:rsid w:val="008F1F0D"/>
    <w:rsid w:val="008F245A"/>
    <w:rsid w:val="008F2745"/>
    <w:rsid w:val="008F27E0"/>
    <w:rsid w:val="008F2A33"/>
    <w:rsid w:val="008F2F4F"/>
    <w:rsid w:val="008F3188"/>
    <w:rsid w:val="008F48EB"/>
    <w:rsid w:val="008F4A5D"/>
    <w:rsid w:val="008F4F0B"/>
    <w:rsid w:val="008F547D"/>
    <w:rsid w:val="008F6627"/>
    <w:rsid w:val="008F6708"/>
    <w:rsid w:val="008F6822"/>
    <w:rsid w:val="008F6B95"/>
    <w:rsid w:val="008F7017"/>
    <w:rsid w:val="008F7837"/>
    <w:rsid w:val="008F7885"/>
    <w:rsid w:val="008F78F4"/>
    <w:rsid w:val="0090037A"/>
    <w:rsid w:val="0090141A"/>
    <w:rsid w:val="00901E64"/>
    <w:rsid w:val="0090230B"/>
    <w:rsid w:val="009039F4"/>
    <w:rsid w:val="009046C4"/>
    <w:rsid w:val="009047B3"/>
    <w:rsid w:val="0090520D"/>
    <w:rsid w:val="009062A5"/>
    <w:rsid w:val="009068BC"/>
    <w:rsid w:val="00906964"/>
    <w:rsid w:val="00907189"/>
    <w:rsid w:val="0090747B"/>
    <w:rsid w:val="009075E4"/>
    <w:rsid w:val="00907FE8"/>
    <w:rsid w:val="00910216"/>
    <w:rsid w:val="00910FF2"/>
    <w:rsid w:val="00911272"/>
    <w:rsid w:val="00912373"/>
    <w:rsid w:val="009126DB"/>
    <w:rsid w:val="00912B96"/>
    <w:rsid w:val="00912CC8"/>
    <w:rsid w:val="0091335C"/>
    <w:rsid w:val="009134E3"/>
    <w:rsid w:val="009134E5"/>
    <w:rsid w:val="009135D6"/>
    <w:rsid w:val="00913AB8"/>
    <w:rsid w:val="00913BC8"/>
    <w:rsid w:val="0091460B"/>
    <w:rsid w:val="00914C77"/>
    <w:rsid w:val="00914FC5"/>
    <w:rsid w:val="009151E2"/>
    <w:rsid w:val="00915E73"/>
    <w:rsid w:val="00916263"/>
    <w:rsid w:val="009163EC"/>
    <w:rsid w:val="0091675A"/>
    <w:rsid w:val="00917571"/>
    <w:rsid w:val="00917635"/>
    <w:rsid w:val="009177A7"/>
    <w:rsid w:val="00920DD2"/>
    <w:rsid w:val="00921B66"/>
    <w:rsid w:val="009223DC"/>
    <w:rsid w:val="0092369B"/>
    <w:rsid w:val="00923AC6"/>
    <w:rsid w:val="00924394"/>
    <w:rsid w:val="00924E78"/>
    <w:rsid w:val="0092569E"/>
    <w:rsid w:val="00925CF9"/>
    <w:rsid w:val="00926073"/>
    <w:rsid w:val="0092677D"/>
    <w:rsid w:val="0092687F"/>
    <w:rsid w:val="00926BFD"/>
    <w:rsid w:val="00926E7E"/>
    <w:rsid w:val="0092730F"/>
    <w:rsid w:val="009325B1"/>
    <w:rsid w:val="009327B5"/>
    <w:rsid w:val="00932B40"/>
    <w:rsid w:val="00932C99"/>
    <w:rsid w:val="00933AD1"/>
    <w:rsid w:val="009340B5"/>
    <w:rsid w:val="00934305"/>
    <w:rsid w:val="00934B93"/>
    <w:rsid w:val="00934BF9"/>
    <w:rsid w:val="00934F22"/>
    <w:rsid w:val="00935A60"/>
    <w:rsid w:val="009362BA"/>
    <w:rsid w:val="009365F0"/>
    <w:rsid w:val="00936C28"/>
    <w:rsid w:val="00937DB4"/>
    <w:rsid w:val="00940162"/>
    <w:rsid w:val="00940CDE"/>
    <w:rsid w:val="00940E79"/>
    <w:rsid w:val="009417B8"/>
    <w:rsid w:val="009421A5"/>
    <w:rsid w:val="009423D2"/>
    <w:rsid w:val="009428E5"/>
    <w:rsid w:val="009429A9"/>
    <w:rsid w:val="00942AE0"/>
    <w:rsid w:val="00942E7B"/>
    <w:rsid w:val="0094315F"/>
    <w:rsid w:val="00944F89"/>
    <w:rsid w:val="00946258"/>
    <w:rsid w:val="009465AF"/>
    <w:rsid w:val="0094694B"/>
    <w:rsid w:val="00946BFF"/>
    <w:rsid w:val="00947077"/>
    <w:rsid w:val="0094730A"/>
    <w:rsid w:val="0095018D"/>
    <w:rsid w:val="009502C4"/>
    <w:rsid w:val="00950CC1"/>
    <w:rsid w:val="00950D4C"/>
    <w:rsid w:val="009510A2"/>
    <w:rsid w:val="00953257"/>
    <w:rsid w:val="00953288"/>
    <w:rsid w:val="00953FDB"/>
    <w:rsid w:val="009546E5"/>
    <w:rsid w:val="009552F8"/>
    <w:rsid w:val="009559B3"/>
    <w:rsid w:val="00955CAB"/>
    <w:rsid w:val="0095662C"/>
    <w:rsid w:val="00957CFD"/>
    <w:rsid w:val="0096061B"/>
    <w:rsid w:val="009608F5"/>
    <w:rsid w:val="00961566"/>
    <w:rsid w:val="00961DC6"/>
    <w:rsid w:val="00962085"/>
    <w:rsid w:val="009624C6"/>
    <w:rsid w:val="0096286C"/>
    <w:rsid w:val="009628DD"/>
    <w:rsid w:val="00962CB9"/>
    <w:rsid w:val="00963064"/>
    <w:rsid w:val="009630A3"/>
    <w:rsid w:val="0096322E"/>
    <w:rsid w:val="00963642"/>
    <w:rsid w:val="00964312"/>
    <w:rsid w:val="00964DDF"/>
    <w:rsid w:val="00965B8A"/>
    <w:rsid w:val="00966AE9"/>
    <w:rsid w:val="0096707A"/>
    <w:rsid w:val="009673CD"/>
    <w:rsid w:val="00967D55"/>
    <w:rsid w:val="0097004E"/>
    <w:rsid w:val="00970A41"/>
    <w:rsid w:val="00971159"/>
    <w:rsid w:val="009717AC"/>
    <w:rsid w:val="00971F4C"/>
    <w:rsid w:val="00972DCF"/>
    <w:rsid w:val="00975601"/>
    <w:rsid w:val="00977505"/>
    <w:rsid w:val="00977E5E"/>
    <w:rsid w:val="00980686"/>
    <w:rsid w:val="009809B9"/>
    <w:rsid w:val="00980EAF"/>
    <w:rsid w:val="00981113"/>
    <w:rsid w:val="0098217E"/>
    <w:rsid w:val="009831D8"/>
    <w:rsid w:val="0098398C"/>
    <w:rsid w:val="00983E57"/>
    <w:rsid w:val="009864EB"/>
    <w:rsid w:val="009865F0"/>
    <w:rsid w:val="0098675D"/>
    <w:rsid w:val="009875A8"/>
    <w:rsid w:val="009875D9"/>
    <w:rsid w:val="00991183"/>
    <w:rsid w:val="00994D1E"/>
    <w:rsid w:val="00995CD0"/>
    <w:rsid w:val="00995E61"/>
    <w:rsid w:val="00996749"/>
    <w:rsid w:val="009967EE"/>
    <w:rsid w:val="00996B1A"/>
    <w:rsid w:val="00997036"/>
    <w:rsid w:val="00997565"/>
    <w:rsid w:val="009A0CDB"/>
    <w:rsid w:val="009A0DD4"/>
    <w:rsid w:val="009A0E99"/>
    <w:rsid w:val="009A1E28"/>
    <w:rsid w:val="009A25AF"/>
    <w:rsid w:val="009A3214"/>
    <w:rsid w:val="009A3AE0"/>
    <w:rsid w:val="009A55F4"/>
    <w:rsid w:val="009A6042"/>
    <w:rsid w:val="009A6A3D"/>
    <w:rsid w:val="009A6D78"/>
    <w:rsid w:val="009A6F2D"/>
    <w:rsid w:val="009A7F10"/>
    <w:rsid w:val="009B17C2"/>
    <w:rsid w:val="009B1C17"/>
    <w:rsid w:val="009B27E7"/>
    <w:rsid w:val="009B3E26"/>
    <w:rsid w:val="009B4062"/>
    <w:rsid w:val="009B4E5D"/>
    <w:rsid w:val="009B5014"/>
    <w:rsid w:val="009B51C7"/>
    <w:rsid w:val="009B5643"/>
    <w:rsid w:val="009B5B7B"/>
    <w:rsid w:val="009B5F58"/>
    <w:rsid w:val="009B703B"/>
    <w:rsid w:val="009B75F5"/>
    <w:rsid w:val="009B766B"/>
    <w:rsid w:val="009C0EE4"/>
    <w:rsid w:val="009C1EBB"/>
    <w:rsid w:val="009C22CD"/>
    <w:rsid w:val="009C386C"/>
    <w:rsid w:val="009C3A0B"/>
    <w:rsid w:val="009C4048"/>
    <w:rsid w:val="009C4660"/>
    <w:rsid w:val="009C4BEF"/>
    <w:rsid w:val="009C4C82"/>
    <w:rsid w:val="009C5406"/>
    <w:rsid w:val="009C5A9B"/>
    <w:rsid w:val="009C6CEA"/>
    <w:rsid w:val="009C7B85"/>
    <w:rsid w:val="009D0111"/>
    <w:rsid w:val="009D0B66"/>
    <w:rsid w:val="009D1376"/>
    <w:rsid w:val="009D1898"/>
    <w:rsid w:val="009D1DF4"/>
    <w:rsid w:val="009D233D"/>
    <w:rsid w:val="009D3300"/>
    <w:rsid w:val="009D41AF"/>
    <w:rsid w:val="009D4620"/>
    <w:rsid w:val="009D4BB5"/>
    <w:rsid w:val="009D5817"/>
    <w:rsid w:val="009D5B91"/>
    <w:rsid w:val="009D6699"/>
    <w:rsid w:val="009D7014"/>
    <w:rsid w:val="009D792E"/>
    <w:rsid w:val="009D7AAC"/>
    <w:rsid w:val="009E05FA"/>
    <w:rsid w:val="009E08ED"/>
    <w:rsid w:val="009E0DFE"/>
    <w:rsid w:val="009E2079"/>
    <w:rsid w:val="009E207B"/>
    <w:rsid w:val="009E278A"/>
    <w:rsid w:val="009E388B"/>
    <w:rsid w:val="009E3966"/>
    <w:rsid w:val="009E3F4D"/>
    <w:rsid w:val="009E418D"/>
    <w:rsid w:val="009E4615"/>
    <w:rsid w:val="009E48BD"/>
    <w:rsid w:val="009E4C07"/>
    <w:rsid w:val="009E532E"/>
    <w:rsid w:val="009E6C38"/>
    <w:rsid w:val="009E7195"/>
    <w:rsid w:val="009E7237"/>
    <w:rsid w:val="009E7296"/>
    <w:rsid w:val="009F0256"/>
    <w:rsid w:val="009F0609"/>
    <w:rsid w:val="009F074B"/>
    <w:rsid w:val="009F0EFA"/>
    <w:rsid w:val="009F2537"/>
    <w:rsid w:val="009F2FD6"/>
    <w:rsid w:val="009F39BB"/>
    <w:rsid w:val="009F3CAB"/>
    <w:rsid w:val="009F3E52"/>
    <w:rsid w:val="009F4BDF"/>
    <w:rsid w:val="009F5439"/>
    <w:rsid w:val="009F550F"/>
    <w:rsid w:val="009F7070"/>
    <w:rsid w:val="009F7331"/>
    <w:rsid w:val="009F77AC"/>
    <w:rsid w:val="00A000A9"/>
    <w:rsid w:val="00A002EF"/>
    <w:rsid w:val="00A00E01"/>
    <w:rsid w:val="00A01184"/>
    <w:rsid w:val="00A014D8"/>
    <w:rsid w:val="00A01E83"/>
    <w:rsid w:val="00A01F01"/>
    <w:rsid w:val="00A02B6B"/>
    <w:rsid w:val="00A03C3E"/>
    <w:rsid w:val="00A03CB4"/>
    <w:rsid w:val="00A03D43"/>
    <w:rsid w:val="00A03FBF"/>
    <w:rsid w:val="00A040E1"/>
    <w:rsid w:val="00A04380"/>
    <w:rsid w:val="00A05899"/>
    <w:rsid w:val="00A063C8"/>
    <w:rsid w:val="00A06CD5"/>
    <w:rsid w:val="00A07117"/>
    <w:rsid w:val="00A075AD"/>
    <w:rsid w:val="00A07CA9"/>
    <w:rsid w:val="00A10A0C"/>
    <w:rsid w:val="00A11CD0"/>
    <w:rsid w:val="00A11F4B"/>
    <w:rsid w:val="00A127F5"/>
    <w:rsid w:val="00A13316"/>
    <w:rsid w:val="00A13948"/>
    <w:rsid w:val="00A14C29"/>
    <w:rsid w:val="00A14D50"/>
    <w:rsid w:val="00A15121"/>
    <w:rsid w:val="00A1555B"/>
    <w:rsid w:val="00A155C5"/>
    <w:rsid w:val="00A157D3"/>
    <w:rsid w:val="00A15EF7"/>
    <w:rsid w:val="00A16976"/>
    <w:rsid w:val="00A16AD8"/>
    <w:rsid w:val="00A17B29"/>
    <w:rsid w:val="00A2070A"/>
    <w:rsid w:val="00A21CF3"/>
    <w:rsid w:val="00A21F6A"/>
    <w:rsid w:val="00A22436"/>
    <w:rsid w:val="00A22F25"/>
    <w:rsid w:val="00A25A64"/>
    <w:rsid w:val="00A267C0"/>
    <w:rsid w:val="00A276D7"/>
    <w:rsid w:val="00A277AD"/>
    <w:rsid w:val="00A278C9"/>
    <w:rsid w:val="00A27AEC"/>
    <w:rsid w:val="00A306D2"/>
    <w:rsid w:val="00A313F0"/>
    <w:rsid w:val="00A31B9E"/>
    <w:rsid w:val="00A320DB"/>
    <w:rsid w:val="00A32108"/>
    <w:rsid w:val="00A327FC"/>
    <w:rsid w:val="00A32BC7"/>
    <w:rsid w:val="00A32C6B"/>
    <w:rsid w:val="00A32CD4"/>
    <w:rsid w:val="00A33948"/>
    <w:rsid w:val="00A34E14"/>
    <w:rsid w:val="00A352F7"/>
    <w:rsid w:val="00A35D16"/>
    <w:rsid w:val="00A35D90"/>
    <w:rsid w:val="00A36BE5"/>
    <w:rsid w:val="00A36CBE"/>
    <w:rsid w:val="00A36DCE"/>
    <w:rsid w:val="00A37093"/>
    <w:rsid w:val="00A378BC"/>
    <w:rsid w:val="00A37BCD"/>
    <w:rsid w:val="00A40630"/>
    <w:rsid w:val="00A40882"/>
    <w:rsid w:val="00A410C9"/>
    <w:rsid w:val="00A41263"/>
    <w:rsid w:val="00A41605"/>
    <w:rsid w:val="00A42362"/>
    <w:rsid w:val="00A4276B"/>
    <w:rsid w:val="00A4288E"/>
    <w:rsid w:val="00A42A43"/>
    <w:rsid w:val="00A432F6"/>
    <w:rsid w:val="00A43C59"/>
    <w:rsid w:val="00A44E76"/>
    <w:rsid w:val="00A44FA8"/>
    <w:rsid w:val="00A5045E"/>
    <w:rsid w:val="00A50A2D"/>
    <w:rsid w:val="00A50AC9"/>
    <w:rsid w:val="00A50ECD"/>
    <w:rsid w:val="00A51754"/>
    <w:rsid w:val="00A518F3"/>
    <w:rsid w:val="00A5228B"/>
    <w:rsid w:val="00A5241F"/>
    <w:rsid w:val="00A52729"/>
    <w:rsid w:val="00A52E64"/>
    <w:rsid w:val="00A53675"/>
    <w:rsid w:val="00A54426"/>
    <w:rsid w:val="00A54523"/>
    <w:rsid w:val="00A55BA0"/>
    <w:rsid w:val="00A564D7"/>
    <w:rsid w:val="00A56A0F"/>
    <w:rsid w:val="00A56B6A"/>
    <w:rsid w:val="00A578DC"/>
    <w:rsid w:val="00A608E8"/>
    <w:rsid w:val="00A60A91"/>
    <w:rsid w:val="00A60E6B"/>
    <w:rsid w:val="00A60F7F"/>
    <w:rsid w:val="00A6122B"/>
    <w:rsid w:val="00A6197C"/>
    <w:rsid w:val="00A62551"/>
    <w:rsid w:val="00A625B2"/>
    <w:rsid w:val="00A63993"/>
    <w:rsid w:val="00A64023"/>
    <w:rsid w:val="00A64491"/>
    <w:rsid w:val="00A6453F"/>
    <w:rsid w:val="00A648C8"/>
    <w:rsid w:val="00A6508E"/>
    <w:rsid w:val="00A65380"/>
    <w:rsid w:val="00A65590"/>
    <w:rsid w:val="00A65965"/>
    <w:rsid w:val="00A6661D"/>
    <w:rsid w:val="00A6725B"/>
    <w:rsid w:val="00A67629"/>
    <w:rsid w:val="00A70605"/>
    <w:rsid w:val="00A70F77"/>
    <w:rsid w:val="00A71507"/>
    <w:rsid w:val="00A71833"/>
    <w:rsid w:val="00A73134"/>
    <w:rsid w:val="00A740CC"/>
    <w:rsid w:val="00A74941"/>
    <w:rsid w:val="00A74D60"/>
    <w:rsid w:val="00A75620"/>
    <w:rsid w:val="00A758CD"/>
    <w:rsid w:val="00A7655A"/>
    <w:rsid w:val="00A76996"/>
    <w:rsid w:val="00A76A57"/>
    <w:rsid w:val="00A76C24"/>
    <w:rsid w:val="00A777B2"/>
    <w:rsid w:val="00A8000A"/>
    <w:rsid w:val="00A8026E"/>
    <w:rsid w:val="00A8030B"/>
    <w:rsid w:val="00A808D1"/>
    <w:rsid w:val="00A80BE4"/>
    <w:rsid w:val="00A812F5"/>
    <w:rsid w:val="00A81360"/>
    <w:rsid w:val="00A81E81"/>
    <w:rsid w:val="00A823FA"/>
    <w:rsid w:val="00A82914"/>
    <w:rsid w:val="00A82BD5"/>
    <w:rsid w:val="00A8312B"/>
    <w:rsid w:val="00A839A9"/>
    <w:rsid w:val="00A84FF9"/>
    <w:rsid w:val="00A851CA"/>
    <w:rsid w:val="00A852EC"/>
    <w:rsid w:val="00A85695"/>
    <w:rsid w:val="00A86C54"/>
    <w:rsid w:val="00A86E8B"/>
    <w:rsid w:val="00A87164"/>
    <w:rsid w:val="00A87940"/>
    <w:rsid w:val="00A90512"/>
    <w:rsid w:val="00A9169E"/>
    <w:rsid w:val="00A91969"/>
    <w:rsid w:val="00A91A3D"/>
    <w:rsid w:val="00A93072"/>
    <w:rsid w:val="00A93953"/>
    <w:rsid w:val="00A9480C"/>
    <w:rsid w:val="00A951F6"/>
    <w:rsid w:val="00A959D8"/>
    <w:rsid w:val="00A9696F"/>
    <w:rsid w:val="00A96B9A"/>
    <w:rsid w:val="00A96C0C"/>
    <w:rsid w:val="00A96D9F"/>
    <w:rsid w:val="00A970BD"/>
    <w:rsid w:val="00A97F0A"/>
    <w:rsid w:val="00AA0594"/>
    <w:rsid w:val="00AA087B"/>
    <w:rsid w:val="00AA0AF2"/>
    <w:rsid w:val="00AA0EAA"/>
    <w:rsid w:val="00AA113D"/>
    <w:rsid w:val="00AA1C99"/>
    <w:rsid w:val="00AA24BE"/>
    <w:rsid w:val="00AA302D"/>
    <w:rsid w:val="00AA39C9"/>
    <w:rsid w:val="00AA3ADA"/>
    <w:rsid w:val="00AA4BF7"/>
    <w:rsid w:val="00AA56BF"/>
    <w:rsid w:val="00AA6C7D"/>
    <w:rsid w:val="00AA6D7D"/>
    <w:rsid w:val="00AA6EAF"/>
    <w:rsid w:val="00AA77FE"/>
    <w:rsid w:val="00AA79FD"/>
    <w:rsid w:val="00AA7FD6"/>
    <w:rsid w:val="00AB01E3"/>
    <w:rsid w:val="00AB042A"/>
    <w:rsid w:val="00AB07FC"/>
    <w:rsid w:val="00AB0B20"/>
    <w:rsid w:val="00AB139A"/>
    <w:rsid w:val="00AB1DF0"/>
    <w:rsid w:val="00AB2C66"/>
    <w:rsid w:val="00AB2D34"/>
    <w:rsid w:val="00AB3430"/>
    <w:rsid w:val="00AB3F1D"/>
    <w:rsid w:val="00AB403B"/>
    <w:rsid w:val="00AB4355"/>
    <w:rsid w:val="00AB4AD1"/>
    <w:rsid w:val="00AB557C"/>
    <w:rsid w:val="00AB5DCD"/>
    <w:rsid w:val="00AB6892"/>
    <w:rsid w:val="00AB6F18"/>
    <w:rsid w:val="00AB6F50"/>
    <w:rsid w:val="00AB6F80"/>
    <w:rsid w:val="00AB738A"/>
    <w:rsid w:val="00AB75A8"/>
    <w:rsid w:val="00AB7B48"/>
    <w:rsid w:val="00AB7CFA"/>
    <w:rsid w:val="00AC035C"/>
    <w:rsid w:val="00AC09D3"/>
    <w:rsid w:val="00AC0B07"/>
    <w:rsid w:val="00AC11F7"/>
    <w:rsid w:val="00AC1519"/>
    <w:rsid w:val="00AC1FC4"/>
    <w:rsid w:val="00AC203B"/>
    <w:rsid w:val="00AC392C"/>
    <w:rsid w:val="00AC44C7"/>
    <w:rsid w:val="00AC4C12"/>
    <w:rsid w:val="00AC4F72"/>
    <w:rsid w:val="00AC50E9"/>
    <w:rsid w:val="00AC5692"/>
    <w:rsid w:val="00AC5A51"/>
    <w:rsid w:val="00AC5B48"/>
    <w:rsid w:val="00AC698A"/>
    <w:rsid w:val="00AC6CBC"/>
    <w:rsid w:val="00AC7CD3"/>
    <w:rsid w:val="00AD02B5"/>
    <w:rsid w:val="00AD0593"/>
    <w:rsid w:val="00AD1F64"/>
    <w:rsid w:val="00AD3B01"/>
    <w:rsid w:val="00AD4332"/>
    <w:rsid w:val="00AD4528"/>
    <w:rsid w:val="00AD52F3"/>
    <w:rsid w:val="00AD5543"/>
    <w:rsid w:val="00AD6502"/>
    <w:rsid w:val="00AD6622"/>
    <w:rsid w:val="00AD6984"/>
    <w:rsid w:val="00AD6D61"/>
    <w:rsid w:val="00AD7780"/>
    <w:rsid w:val="00AD7B3F"/>
    <w:rsid w:val="00AE0138"/>
    <w:rsid w:val="00AE0343"/>
    <w:rsid w:val="00AE058B"/>
    <w:rsid w:val="00AE12AE"/>
    <w:rsid w:val="00AE13DA"/>
    <w:rsid w:val="00AE1442"/>
    <w:rsid w:val="00AE18A4"/>
    <w:rsid w:val="00AE1C04"/>
    <w:rsid w:val="00AE25A8"/>
    <w:rsid w:val="00AE26A5"/>
    <w:rsid w:val="00AE274F"/>
    <w:rsid w:val="00AE2931"/>
    <w:rsid w:val="00AE2A8C"/>
    <w:rsid w:val="00AE2CD7"/>
    <w:rsid w:val="00AE2F03"/>
    <w:rsid w:val="00AE339C"/>
    <w:rsid w:val="00AE3D4E"/>
    <w:rsid w:val="00AE495B"/>
    <w:rsid w:val="00AE4F90"/>
    <w:rsid w:val="00AE4FE2"/>
    <w:rsid w:val="00AE4FE3"/>
    <w:rsid w:val="00AE50EE"/>
    <w:rsid w:val="00AE53C1"/>
    <w:rsid w:val="00AE58CD"/>
    <w:rsid w:val="00AE66AF"/>
    <w:rsid w:val="00AE69EC"/>
    <w:rsid w:val="00AE6AD0"/>
    <w:rsid w:val="00AE7F64"/>
    <w:rsid w:val="00AF0686"/>
    <w:rsid w:val="00AF1315"/>
    <w:rsid w:val="00AF19B7"/>
    <w:rsid w:val="00AF19BF"/>
    <w:rsid w:val="00AF1C63"/>
    <w:rsid w:val="00AF1C83"/>
    <w:rsid w:val="00AF2CD2"/>
    <w:rsid w:val="00AF2DC3"/>
    <w:rsid w:val="00AF2F76"/>
    <w:rsid w:val="00AF35BA"/>
    <w:rsid w:val="00AF419E"/>
    <w:rsid w:val="00AF4235"/>
    <w:rsid w:val="00AF4588"/>
    <w:rsid w:val="00AF53F1"/>
    <w:rsid w:val="00AF57B7"/>
    <w:rsid w:val="00AF5A63"/>
    <w:rsid w:val="00AF5B1A"/>
    <w:rsid w:val="00AF5D09"/>
    <w:rsid w:val="00AF7029"/>
    <w:rsid w:val="00AF796B"/>
    <w:rsid w:val="00B00082"/>
    <w:rsid w:val="00B00178"/>
    <w:rsid w:val="00B00C2B"/>
    <w:rsid w:val="00B01467"/>
    <w:rsid w:val="00B01F15"/>
    <w:rsid w:val="00B0207B"/>
    <w:rsid w:val="00B0229B"/>
    <w:rsid w:val="00B033E5"/>
    <w:rsid w:val="00B03A63"/>
    <w:rsid w:val="00B04FDF"/>
    <w:rsid w:val="00B05192"/>
    <w:rsid w:val="00B067A9"/>
    <w:rsid w:val="00B06905"/>
    <w:rsid w:val="00B0731F"/>
    <w:rsid w:val="00B07ADB"/>
    <w:rsid w:val="00B07D95"/>
    <w:rsid w:val="00B11030"/>
    <w:rsid w:val="00B11343"/>
    <w:rsid w:val="00B11DC2"/>
    <w:rsid w:val="00B1292D"/>
    <w:rsid w:val="00B12ADB"/>
    <w:rsid w:val="00B12D61"/>
    <w:rsid w:val="00B12FB5"/>
    <w:rsid w:val="00B14053"/>
    <w:rsid w:val="00B14A31"/>
    <w:rsid w:val="00B167AF"/>
    <w:rsid w:val="00B167BE"/>
    <w:rsid w:val="00B168E8"/>
    <w:rsid w:val="00B16CCB"/>
    <w:rsid w:val="00B1710B"/>
    <w:rsid w:val="00B1735D"/>
    <w:rsid w:val="00B179F4"/>
    <w:rsid w:val="00B201A4"/>
    <w:rsid w:val="00B208CA"/>
    <w:rsid w:val="00B20CEB"/>
    <w:rsid w:val="00B213A6"/>
    <w:rsid w:val="00B22705"/>
    <w:rsid w:val="00B242CE"/>
    <w:rsid w:val="00B24DF6"/>
    <w:rsid w:val="00B24E6A"/>
    <w:rsid w:val="00B258D3"/>
    <w:rsid w:val="00B25C1E"/>
    <w:rsid w:val="00B25C94"/>
    <w:rsid w:val="00B268EA"/>
    <w:rsid w:val="00B275DB"/>
    <w:rsid w:val="00B27A0F"/>
    <w:rsid w:val="00B27B3E"/>
    <w:rsid w:val="00B30089"/>
    <w:rsid w:val="00B303B0"/>
    <w:rsid w:val="00B30C67"/>
    <w:rsid w:val="00B31406"/>
    <w:rsid w:val="00B31AA2"/>
    <w:rsid w:val="00B34151"/>
    <w:rsid w:val="00B3499A"/>
    <w:rsid w:val="00B34D19"/>
    <w:rsid w:val="00B34FE2"/>
    <w:rsid w:val="00B354E3"/>
    <w:rsid w:val="00B357D8"/>
    <w:rsid w:val="00B3600E"/>
    <w:rsid w:val="00B3784B"/>
    <w:rsid w:val="00B37BFC"/>
    <w:rsid w:val="00B37D3B"/>
    <w:rsid w:val="00B4001C"/>
    <w:rsid w:val="00B40099"/>
    <w:rsid w:val="00B40358"/>
    <w:rsid w:val="00B41422"/>
    <w:rsid w:val="00B41614"/>
    <w:rsid w:val="00B42851"/>
    <w:rsid w:val="00B42D37"/>
    <w:rsid w:val="00B42D3B"/>
    <w:rsid w:val="00B42E0A"/>
    <w:rsid w:val="00B42F54"/>
    <w:rsid w:val="00B42F80"/>
    <w:rsid w:val="00B43113"/>
    <w:rsid w:val="00B434CD"/>
    <w:rsid w:val="00B435CB"/>
    <w:rsid w:val="00B43BA0"/>
    <w:rsid w:val="00B44A7B"/>
    <w:rsid w:val="00B44B6F"/>
    <w:rsid w:val="00B44F7D"/>
    <w:rsid w:val="00B451EF"/>
    <w:rsid w:val="00B45868"/>
    <w:rsid w:val="00B4676E"/>
    <w:rsid w:val="00B46D29"/>
    <w:rsid w:val="00B46D5B"/>
    <w:rsid w:val="00B47FA3"/>
    <w:rsid w:val="00B500F7"/>
    <w:rsid w:val="00B502FA"/>
    <w:rsid w:val="00B50620"/>
    <w:rsid w:val="00B506F1"/>
    <w:rsid w:val="00B50DB8"/>
    <w:rsid w:val="00B5139B"/>
    <w:rsid w:val="00B51A08"/>
    <w:rsid w:val="00B52499"/>
    <w:rsid w:val="00B52A76"/>
    <w:rsid w:val="00B52C45"/>
    <w:rsid w:val="00B53654"/>
    <w:rsid w:val="00B5377F"/>
    <w:rsid w:val="00B53905"/>
    <w:rsid w:val="00B539EE"/>
    <w:rsid w:val="00B545AE"/>
    <w:rsid w:val="00B54B5B"/>
    <w:rsid w:val="00B552FC"/>
    <w:rsid w:val="00B5555A"/>
    <w:rsid w:val="00B5562E"/>
    <w:rsid w:val="00B55DE2"/>
    <w:rsid w:val="00B55F10"/>
    <w:rsid w:val="00B5618A"/>
    <w:rsid w:val="00B56C10"/>
    <w:rsid w:val="00B57000"/>
    <w:rsid w:val="00B57633"/>
    <w:rsid w:val="00B60036"/>
    <w:rsid w:val="00B60939"/>
    <w:rsid w:val="00B60AFD"/>
    <w:rsid w:val="00B60FC2"/>
    <w:rsid w:val="00B6229D"/>
    <w:rsid w:val="00B62715"/>
    <w:rsid w:val="00B62BA8"/>
    <w:rsid w:val="00B62EAC"/>
    <w:rsid w:val="00B6418E"/>
    <w:rsid w:val="00B64B92"/>
    <w:rsid w:val="00B64EFE"/>
    <w:rsid w:val="00B65148"/>
    <w:rsid w:val="00B65D8B"/>
    <w:rsid w:val="00B662E0"/>
    <w:rsid w:val="00B662E8"/>
    <w:rsid w:val="00B67B0D"/>
    <w:rsid w:val="00B67C49"/>
    <w:rsid w:val="00B704F5"/>
    <w:rsid w:val="00B70639"/>
    <w:rsid w:val="00B70AB2"/>
    <w:rsid w:val="00B70E55"/>
    <w:rsid w:val="00B70E91"/>
    <w:rsid w:val="00B71116"/>
    <w:rsid w:val="00B71A6C"/>
    <w:rsid w:val="00B71D8D"/>
    <w:rsid w:val="00B71DF6"/>
    <w:rsid w:val="00B72045"/>
    <w:rsid w:val="00B72568"/>
    <w:rsid w:val="00B739D7"/>
    <w:rsid w:val="00B73A70"/>
    <w:rsid w:val="00B7402E"/>
    <w:rsid w:val="00B75CA0"/>
    <w:rsid w:val="00B772A8"/>
    <w:rsid w:val="00B772E3"/>
    <w:rsid w:val="00B77D22"/>
    <w:rsid w:val="00B77D36"/>
    <w:rsid w:val="00B80132"/>
    <w:rsid w:val="00B8015C"/>
    <w:rsid w:val="00B80282"/>
    <w:rsid w:val="00B80C83"/>
    <w:rsid w:val="00B815B1"/>
    <w:rsid w:val="00B818A4"/>
    <w:rsid w:val="00B82E3E"/>
    <w:rsid w:val="00B836E6"/>
    <w:rsid w:val="00B84117"/>
    <w:rsid w:val="00B84258"/>
    <w:rsid w:val="00B84F89"/>
    <w:rsid w:val="00B851A2"/>
    <w:rsid w:val="00B85818"/>
    <w:rsid w:val="00B85AA2"/>
    <w:rsid w:val="00B860F7"/>
    <w:rsid w:val="00B8626F"/>
    <w:rsid w:val="00B8649C"/>
    <w:rsid w:val="00B870B6"/>
    <w:rsid w:val="00B87F0A"/>
    <w:rsid w:val="00B9026E"/>
    <w:rsid w:val="00B920A8"/>
    <w:rsid w:val="00B92BF0"/>
    <w:rsid w:val="00B92D0B"/>
    <w:rsid w:val="00B92E47"/>
    <w:rsid w:val="00B93B4D"/>
    <w:rsid w:val="00B93D45"/>
    <w:rsid w:val="00B93FED"/>
    <w:rsid w:val="00B94945"/>
    <w:rsid w:val="00B94A47"/>
    <w:rsid w:val="00B95D0E"/>
    <w:rsid w:val="00B9649A"/>
    <w:rsid w:val="00B96B33"/>
    <w:rsid w:val="00BA0F06"/>
    <w:rsid w:val="00BA19F6"/>
    <w:rsid w:val="00BA2732"/>
    <w:rsid w:val="00BA2E37"/>
    <w:rsid w:val="00BA322D"/>
    <w:rsid w:val="00BA385E"/>
    <w:rsid w:val="00BA4022"/>
    <w:rsid w:val="00BA4531"/>
    <w:rsid w:val="00BA4C8E"/>
    <w:rsid w:val="00BA4EA5"/>
    <w:rsid w:val="00BA535A"/>
    <w:rsid w:val="00BA5B0C"/>
    <w:rsid w:val="00BA5E00"/>
    <w:rsid w:val="00BA65BC"/>
    <w:rsid w:val="00BA7363"/>
    <w:rsid w:val="00BB0943"/>
    <w:rsid w:val="00BB0BDD"/>
    <w:rsid w:val="00BB1608"/>
    <w:rsid w:val="00BB1762"/>
    <w:rsid w:val="00BB2A73"/>
    <w:rsid w:val="00BB2C64"/>
    <w:rsid w:val="00BB2CDE"/>
    <w:rsid w:val="00BB3057"/>
    <w:rsid w:val="00BB3CED"/>
    <w:rsid w:val="00BB42B1"/>
    <w:rsid w:val="00BB42BD"/>
    <w:rsid w:val="00BB49AF"/>
    <w:rsid w:val="00BB4ACC"/>
    <w:rsid w:val="00BB4E2C"/>
    <w:rsid w:val="00BB4F3C"/>
    <w:rsid w:val="00BB5CF3"/>
    <w:rsid w:val="00BB6383"/>
    <w:rsid w:val="00BB6600"/>
    <w:rsid w:val="00BB68A3"/>
    <w:rsid w:val="00BB703E"/>
    <w:rsid w:val="00BB73F0"/>
    <w:rsid w:val="00BB7405"/>
    <w:rsid w:val="00BB7437"/>
    <w:rsid w:val="00BB76D2"/>
    <w:rsid w:val="00BC0A41"/>
    <w:rsid w:val="00BC204F"/>
    <w:rsid w:val="00BC26F0"/>
    <w:rsid w:val="00BC3631"/>
    <w:rsid w:val="00BC36D3"/>
    <w:rsid w:val="00BC472A"/>
    <w:rsid w:val="00BC5093"/>
    <w:rsid w:val="00BC52A5"/>
    <w:rsid w:val="00BC55C5"/>
    <w:rsid w:val="00BC6200"/>
    <w:rsid w:val="00BC6237"/>
    <w:rsid w:val="00BC63A0"/>
    <w:rsid w:val="00BC63DB"/>
    <w:rsid w:val="00BC65B4"/>
    <w:rsid w:val="00BC6BED"/>
    <w:rsid w:val="00BC7930"/>
    <w:rsid w:val="00BC7F48"/>
    <w:rsid w:val="00BD050A"/>
    <w:rsid w:val="00BD100A"/>
    <w:rsid w:val="00BD16B2"/>
    <w:rsid w:val="00BD18B0"/>
    <w:rsid w:val="00BD23EB"/>
    <w:rsid w:val="00BD246B"/>
    <w:rsid w:val="00BD319E"/>
    <w:rsid w:val="00BD3BF4"/>
    <w:rsid w:val="00BD47C0"/>
    <w:rsid w:val="00BD4A28"/>
    <w:rsid w:val="00BD64F8"/>
    <w:rsid w:val="00BD68A3"/>
    <w:rsid w:val="00BD6938"/>
    <w:rsid w:val="00BD6CF3"/>
    <w:rsid w:val="00BD6D7E"/>
    <w:rsid w:val="00BD7773"/>
    <w:rsid w:val="00BD7CC5"/>
    <w:rsid w:val="00BE016A"/>
    <w:rsid w:val="00BE0406"/>
    <w:rsid w:val="00BE1359"/>
    <w:rsid w:val="00BE15EA"/>
    <w:rsid w:val="00BE1F85"/>
    <w:rsid w:val="00BE2180"/>
    <w:rsid w:val="00BE21F2"/>
    <w:rsid w:val="00BE2333"/>
    <w:rsid w:val="00BE2912"/>
    <w:rsid w:val="00BE316F"/>
    <w:rsid w:val="00BE4275"/>
    <w:rsid w:val="00BE4499"/>
    <w:rsid w:val="00BE44B7"/>
    <w:rsid w:val="00BE5168"/>
    <w:rsid w:val="00BE6148"/>
    <w:rsid w:val="00BE6E02"/>
    <w:rsid w:val="00BE7567"/>
    <w:rsid w:val="00BE7EE7"/>
    <w:rsid w:val="00BF07EC"/>
    <w:rsid w:val="00BF0D4E"/>
    <w:rsid w:val="00BF0F95"/>
    <w:rsid w:val="00BF1002"/>
    <w:rsid w:val="00BF1B7C"/>
    <w:rsid w:val="00BF1DC3"/>
    <w:rsid w:val="00BF1FC8"/>
    <w:rsid w:val="00BF201A"/>
    <w:rsid w:val="00BF20B4"/>
    <w:rsid w:val="00BF2294"/>
    <w:rsid w:val="00BF2433"/>
    <w:rsid w:val="00BF3196"/>
    <w:rsid w:val="00BF38B9"/>
    <w:rsid w:val="00BF3C02"/>
    <w:rsid w:val="00BF3C35"/>
    <w:rsid w:val="00BF3E60"/>
    <w:rsid w:val="00BF4108"/>
    <w:rsid w:val="00BF4740"/>
    <w:rsid w:val="00BF4B5D"/>
    <w:rsid w:val="00BF4DC4"/>
    <w:rsid w:val="00BF5BD5"/>
    <w:rsid w:val="00BF5D2D"/>
    <w:rsid w:val="00BF5EC3"/>
    <w:rsid w:val="00BF61C9"/>
    <w:rsid w:val="00BF6529"/>
    <w:rsid w:val="00BF6C94"/>
    <w:rsid w:val="00BF78C8"/>
    <w:rsid w:val="00BF7991"/>
    <w:rsid w:val="00C00424"/>
    <w:rsid w:val="00C00537"/>
    <w:rsid w:val="00C00CA4"/>
    <w:rsid w:val="00C00EC5"/>
    <w:rsid w:val="00C013A0"/>
    <w:rsid w:val="00C01457"/>
    <w:rsid w:val="00C0153C"/>
    <w:rsid w:val="00C01691"/>
    <w:rsid w:val="00C021E8"/>
    <w:rsid w:val="00C02606"/>
    <w:rsid w:val="00C0273A"/>
    <w:rsid w:val="00C02B9E"/>
    <w:rsid w:val="00C02EF0"/>
    <w:rsid w:val="00C03D1D"/>
    <w:rsid w:val="00C03DF6"/>
    <w:rsid w:val="00C04221"/>
    <w:rsid w:val="00C050A0"/>
    <w:rsid w:val="00C0551A"/>
    <w:rsid w:val="00C0586A"/>
    <w:rsid w:val="00C059B4"/>
    <w:rsid w:val="00C06012"/>
    <w:rsid w:val="00C0659D"/>
    <w:rsid w:val="00C06D01"/>
    <w:rsid w:val="00C072CF"/>
    <w:rsid w:val="00C07D7D"/>
    <w:rsid w:val="00C1007D"/>
    <w:rsid w:val="00C11038"/>
    <w:rsid w:val="00C125F5"/>
    <w:rsid w:val="00C12C09"/>
    <w:rsid w:val="00C12C14"/>
    <w:rsid w:val="00C12FB7"/>
    <w:rsid w:val="00C13611"/>
    <w:rsid w:val="00C15068"/>
    <w:rsid w:val="00C16008"/>
    <w:rsid w:val="00C1636C"/>
    <w:rsid w:val="00C16856"/>
    <w:rsid w:val="00C176A4"/>
    <w:rsid w:val="00C176FD"/>
    <w:rsid w:val="00C200AA"/>
    <w:rsid w:val="00C2043A"/>
    <w:rsid w:val="00C21A1D"/>
    <w:rsid w:val="00C21AB8"/>
    <w:rsid w:val="00C2344A"/>
    <w:rsid w:val="00C237ED"/>
    <w:rsid w:val="00C24632"/>
    <w:rsid w:val="00C2464F"/>
    <w:rsid w:val="00C25418"/>
    <w:rsid w:val="00C25520"/>
    <w:rsid w:val="00C25D9C"/>
    <w:rsid w:val="00C26FA9"/>
    <w:rsid w:val="00C2778B"/>
    <w:rsid w:val="00C27855"/>
    <w:rsid w:val="00C27DA3"/>
    <w:rsid w:val="00C30446"/>
    <w:rsid w:val="00C30C59"/>
    <w:rsid w:val="00C31649"/>
    <w:rsid w:val="00C324A8"/>
    <w:rsid w:val="00C334F7"/>
    <w:rsid w:val="00C336A9"/>
    <w:rsid w:val="00C338B5"/>
    <w:rsid w:val="00C33E95"/>
    <w:rsid w:val="00C341CF"/>
    <w:rsid w:val="00C342D7"/>
    <w:rsid w:val="00C34C64"/>
    <w:rsid w:val="00C362A2"/>
    <w:rsid w:val="00C36670"/>
    <w:rsid w:val="00C36B23"/>
    <w:rsid w:val="00C36D66"/>
    <w:rsid w:val="00C40385"/>
    <w:rsid w:val="00C40503"/>
    <w:rsid w:val="00C40F69"/>
    <w:rsid w:val="00C41989"/>
    <w:rsid w:val="00C41CAA"/>
    <w:rsid w:val="00C441F4"/>
    <w:rsid w:val="00C4432E"/>
    <w:rsid w:val="00C45158"/>
    <w:rsid w:val="00C4515E"/>
    <w:rsid w:val="00C45439"/>
    <w:rsid w:val="00C4681A"/>
    <w:rsid w:val="00C46B52"/>
    <w:rsid w:val="00C46BAF"/>
    <w:rsid w:val="00C471A5"/>
    <w:rsid w:val="00C4758E"/>
    <w:rsid w:val="00C475AA"/>
    <w:rsid w:val="00C4793A"/>
    <w:rsid w:val="00C5006C"/>
    <w:rsid w:val="00C504E3"/>
    <w:rsid w:val="00C50CDC"/>
    <w:rsid w:val="00C51594"/>
    <w:rsid w:val="00C51675"/>
    <w:rsid w:val="00C51769"/>
    <w:rsid w:val="00C51B4E"/>
    <w:rsid w:val="00C531D8"/>
    <w:rsid w:val="00C53BF1"/>
    <w:rsid w:val="00C53C25"/>
    <w:rsid w:val="00C53D44"/>
    <w:rsid w:val="00C53E08"/>
    <w:rsid w:val="00C54CDF"/>
    <w:rsid w:val="00C55365"/>
    <w:rsid w:val="00C5561F"/>
    <w:rsid w:val="00C55E76"/>
    <w:rsid w:val="00C56C56"/>
    <w:rsid w:val="00C56C6B"/>
    <w:rsid w:val="00C57796"/>
    <w:rsid w:val="00C57ACE"/>
    <w:rsid w:val="00C57B25"/>
    <w:rsid w:val="00C60F2C"/>
    <w:rsid w:val="00C62190"/>
    <w:rsid w:val="00C62701"/>
    <w:rsid w:val="00C62BC3"/>
    <w:rsid w:val="00C63074"/>
    <w:rsid w:val="00C63AD8"/>
    <w:rsid w:val="00C642D1"/>
    <w:rsid w:val="00C64C81"/>
    <w:rsid w:val="00C64DE2"/>
    <w:rsid w:val="00C64F60"/>
    <w:rsid w:val="00C65576"/>
    <w:rsid w:val="00C66165"/>
    <w:rsid w:val="00C668FB"/>
    <w:rsid w:val="00C66AEC"/>
    <w:rsid w:val="00C66CD0"/>
    <w:rsid w:val="00C66D27"/>
    <w:rsid w:val="00C66DD7"/>
    <w:rsid w:val="00C67108"/>
    <w:rsid w:val="00C67B85"/>
    <w:rsid w:val="00C67C28"/>
    <w:rsid w:val="00C67E3C"/>
    <w:rsid w:val="00C7151A"/>
    <w:rsid w:val="00C717F0"/>
    <w:rsid w:val="00C71F60"/>
    <w:rsid w:val="00C72066"/>
    <w:rsid w:val="00C72241"/>
    <w:rsid w:val="00C73574"/>
    <w:rsid w:val="00C73C37"/>
    <w:rsid w:val="00C74031"/>
    <w:rsid w:val="00C743B4"/>
    <w:rsid w:val="00C7464E"/>
    <w:rsid w:val="00C74707"/>
    <w:rsid w:val="00C74837"/>
    <w:rsid w:val="00C74B15"/>
    <w:rsid w:val="00C750C8"/>
    <w:rsid w:val="00C7560F"/>
    <w:rsid w:val="00C7599F"/>
    <w:rsid w:val="00C75C03"/>
    <w:rsid w:val="00C75D47"/>
    <w:rsid w:val="00C764B8"/>
    <w:rsid w:val="00C776BB"/>
    <w:rsid w:val="00C777DF"/>
    <w:rsid w:val="00C80466"/>
    <w:rsid w:val="00C805DA"/>
    <w:rsid w:val="00C80A0E"/>
    <w:rsid w:val="00C8213F"/>
    <w:rsid w:val="00C82BF9"/>
    <w:rsid w:val="00C82C11"/>
    <w:rsid w:val="00C83098"/>
    <w:rsid w:val="00C84561"/>
    <w:rsid w:val="00C85F25"/>
    <w:rsid w:val="00C8692B"/>
    <w:rsid w:val="00C87096"/>
    <w:rsid w:val="00C8732C"/>
    <w:rsid w:val="00C8797A"/>
    <w:rsid w:val="00C87E3B"/>
    <w:rsid w:val="00C900B8"/>
    <w:rsid w:val="00C9017E"/>
    <w:rsid w:val="00C90C71"/>
    <w:rsid w:val="00C91D00"/>
    <w:rsid w:val="00C91EEC"/>
    <w:rsid w:val="00C9223D"/>
    <w:rsid w:val="00C9292F"/>
    <w:rsid w:val="00C92BB5"/>
    <w:rsid w:val="00C9309E"/>
    <w:rsid w:val="00C9318F"/>
    <w:rsid w:val="00C931CF"/>
    <w:rsid w:val="00C9326E"/>
    <w:rsid w:val="00C934C4"/>
    <w:rsid w:val="00C938CF"/>
    <w:rsid w:val="00C93917"/>
    <w:rsid w:val="00C93ECD"/>
    <w:rsid w:val="00C9425E"/>
    <w:rsid w:val="00C954A3"/>
    <w:rsid w:val="00C9555B"/>
    <w:rsid w:val="00C955A6"/>
    <w:rsid w:val="00C957B7"/>
    <w:rsid w:val="00C9624D"/>
    <w:rsid w:val="00C96296"/>
    <w:rsid w:val="00C96706"/>
    <w:rsid w:val="00C969DA"/>
    <w:rsid w:val="00C96D83"/>
    <w:rsid w:val="00C97BE1"/>
    <w:rsid w:val="00CA0D47"/>
    <w:rsid w:val="00CA157A"/>
    <w:rsid w:val="00CA1BB0"/>
    <w:rsid w:val="00CA2497"/>
    <w:rsid w:val="00CA2C77"/>
    <w:rsid w:val="00CA35B2"/>
    <w:rsid w:val="00CA444F"/>
    <w:rsid w:val="00CA5245"/>
    <w:rsid w:val="00CA63C8"/>
    <w:rsid w:val="00CA6584"/>
    <w:rsid w:val="00CA65EF"/>
    <w:rsid w:val="00CA6B74"/>
    <w:rsid w:val="00CA6BBB"/>
    <w:rsid w:val="00CA71F4"/>
    <w:rsid w:val="00CA74AD"/>
    <w:rsid w:val="00CA753D"/>
    <w:rsid w:val="00CA773A"/>
    <w:rsid w:val="00CA7A65"/>
    <w:rsid w:val="00CA7B09"/>
    <w:rsid w:val="00CB0413"/>
    <w:rsid w:val="00CB09C7"/>
    <w:rsid w:val="00CB0DD3"/>
    <w:rsid w:val="00CB135E"/>
    <w:rsid w:val="00CB1421"/>
    <w:rsid w:val="00CB1B9E"/>
    <w:rsid w:val="00CB259F"/>
    <w:rsid w:val="00CB2DFB"/>
    <w:rsid w:val="00CB2F2A"/>
    <w:rsid w:val="00CB3E0F"/>
    <w:rsid w:val="00CB4737"/>
    <w:rsid w:val="00CB5B1A"/>
    <w:rsid w:val="00CB6107"/>
    <w:rsid w:val="00CB6B22"/>
    <w:rsid w:val="00CB7C5B"/>
    <w:rsid w:val="00CB7E40"/>
    <w:rsid w:val="00CB7F5F"/>
    <w:rsid w:val="00CC03B0"/>
    <w:rsid w:val="00CC063E"/>
    <w:rsid w:val="00CC1AF6"/>
    <w:rsid w:val="00CC1B39"/>
    <w:rsid w:val="00CC1B3B"/>
    <w:rsid w:val="00CC1EFF"/>
    <w:rsid w:val="00CC2999"/>
    <w:rsid w:val="00CC2FD9"/>
    <w:rsid w:val="00CC388C"/>
    <w:rsid w:val="00CC42CF"/>
    <w:rsid w:val="00CC44CB"/>
    <w:rsid w:val="00CC47A8"/>
    <w:rsid w:val="00CC4B9C"/>
    <w:rsid w:val="00CC4C22"/>
    <w:rsid w:val="00CC4C78"/>
    <w:rsid w:val="00CC51A5"/>
    <w:rsid w:val="00CC528D"/>
    <w:rsid w:val="00CC53FB"/>
    <w:rsid w:val="00CC5B00"/>
    <w:rsid w:val="00CC5E4E"/>
    <w:rsid w:val="00CC638D"/>
    <w:rsid w:val="00CC6684"/>
    <w:rsid w:val="00CC72AF"/>
    <w:rsid w:val="00CC7837"/>
    <w:rsid w:val="00CC7F1F"/>
    <w:rsid w:val="00CD0010"/>
    <w:rsid w:val="00CD0D32"/>
    <w:rsid w:val="00CD13D0"/>
    <w:rsid w:val="00CD143A"/>
    <w:rsid w:val="00CD1B8C"/>
    <w:rsid w:val="00CD1F50"/>
    <w:rsid w:val="00CD1FAC"/>
    <w:rsid w:val="00CD25B9"/>
    <w:rsid w:val="00CD3572"/>
    <w:rsid w:val="00CD41B5"/>
    <w:rsid w:val="00CD56C6"/>
    <w:rsid w:val="00CD5707"/>
    <w:rsid w:val="00CD652E"/>
    <w:rsid w:val="00CD6931"/>
    <w:rsid w:val="00CD6ADC"/>
    <w:rsid w:val="00CE34E8"/>
    <w:rsid w:val="00CE3714"/>
    <w:rsid w:val="00CE3AFB"/>
    <w:rsid w:val="00CE3BEF"/>
    <w:rsid w:val="00CE3EE9"/>
    <w:rsid w:val="00CE43A2"/>
    <w:rsid w:val="00CE4C37"/>
    <w:rsid w:val="00CE4C72"/>
    <w:rsid w:val="00CE5FD4"/>
    <w:rsid w:val="00CE6274"/>
    <w:rsid w:val="00CE6F39"/>
    <w:rsid w:val="00CE751F"/>
    <w:rsid w:val="00CE7B8C"/>
    <w:rsid w:val="00CF15D4"/>
    <w:rsid w:val="00CF2864"/>
    <w:rsid w:val="00CF2B8D"/>
    <w:rsid w:val="00CF325F"/>
    <w:rsid w:val="00CF3B04"/>
    <w:rsid w:val="00CF3CA0"/>
    <w:rsid w:val="00CF3D3B"/>
    <w:rsid w:val="00CF3EDF"/>
    <w:rsid w:val="00CF3FFF"/>
    <w:rsid w:val="00CF4517"/>
    <w:rsid w:val="00CF456B"/>
    <w:rsid w:val="00CF4595"/>
    <w:rsid w:val="00CF551C"/>
    <w:rsid w:val="00CF5669"/>
    <w:rsid w:val="00CF5A22"/>
    <w:rsid w:val="00CF6777"/>
    <w:rsid w:val="00CF6BB2"/>
    <w:rsid w:val="00CF6C0E"/>
    <w:rsid w:val="00CF72FB"/>
    <w:rsid w:val="00D00A9F"/>
    <w:rsid w:val="00D00F64"/>
    <w:rsid w:val="00D00F6E"/>
    <w:rsid w:val="00D015E3"/>
    <w:rsid w:val="00D01A92"/>
    <w:rsid w:val="00D0262E"/>
    <w:rsid w:val="00D0316E"/>
    <w:rsid w:val="00D037AE"/>
    <w:rsid w:val="00D03C86"/>
    <w:rsid w:val="00D04612"/>
    <w:rsid w:val="00D0473C"/>
    <w:rsid w:val="00D04B59"/>
    <w:rsid w:val="00D05449"/>
    <w:rsid w:val="00D0589D"/>
    <w:rsid w:val="00D0608A"/>
    <w:rsid w:val="00D06857"/>
    <w:rsid w:val="00D06DF2"/>
    <w:rsid w:val="00D06E8B"/>
    <w:rsid w:val="00D0737E"/>
    <w:rsid w:val="00D1067C"/>
    <w:rsid w:val="00D110BD"/>
    <w:rsid w:val="00D12BE3"/>
    <w:rsid w:val="00D13245"/>
    <w:rsid w:val="00D13675"/>
    <w:rsid w:val="00D13DF2"/>
    <w:rsid w:val="00D141E1"/>
    <w:rsid w:val="00D146E0"/>
    <w:rsid w:val="00D15395"/>
    <w:rsid w:val="00D158BA"/>
    <w:rsid w:val="00D15B2F"/>
    <w:rsid w:val="00D162D8"/>
    <w:rsid w:val="00D16874"/>
    <w:rsid w:val="00D168AE"/>
    <w:rsid w:val="00D17D6C"/>
    <w:rsid w:val="00D17E1B"/>
    <w:rsid w:val="00D17FB0"/>
    <w:rsid w:val="00D20150"/>
    <w:rsid w:val="00D201FF"/>
    <w:rsid w:val="00D209CD"/>
    <w:rsid w:val="00D20DC1"/>
    <w:rsid w:val="00D21314"/>
    <w:rsid w:val="00D21DAC"/>
    <w:rsid w:val="00D22148"/>
    <w:rsid w:val="00D233CE"/>
    <w:rsid w:val="00D23DE9"/>
    <w:rsid w:val="00D23E1C"/>
    <w:rsid w:val="00D2404C"/>
    <w:rsid w:val="00D2476E"/>
    <w:rsid w:val="00D24C06"/>
    <w:rsid w:val="00D24C3D"/>
    <w:rsid w:val="00D24FAE"/>
    <w:rsid w:val="00D26678"/>
    <w:rsid w:val="00D270DA"/>
    <w:rsid w:val="00D273C5"/>
    <w:rsid w:val="00D2754D"/>
    <w:rsid w:val="00D275CB"/>
    <w:rsid w:val="00D276BB"/>
    <w:rsid w:val="00D2779A"/>
    <w:rsid w:val="00D27B27"/>
    <w:rsid w:val="00D30524"/>
    <w:rsid w:val="00D30B77"/>
    <w:rsid w:val="00D315CE"/>
    <w:rsid w:val="00D31AB6"/>
    <w:rsid w:val="00D3230D"/>
    <w:rsid w:val="00D32723"/>
    <w:rsid w:val="00D33145"/>
    <w:rsid w:val="00D336FF"/>
    <w:rsid w:val="00D33BE9"/>
    <w:rsid w:val="00D346F5"/>
    <w:rsid w:val="00D34B73"/>
    <w:rsid w:val="00D357FF"/>
    <w:rsid w:val="00D35848"/>
    <w:rsid w:val="00D359EF"/>
    <w:rsid w:val="00D35AB9"/>
    <w:rsid w:val="00D35AD7"/>
    <w:rsid w:val="00D37777"/>
    <w:rsid w:val="00D37C1B"/>
    <w:rsid w:val="00D406DC"/>
    <w:rsid w:val="00D424C7"/>
    <w:rsid w:val="00D43A66"/>
    <w:rsid w:val="00D43B2A"/>
    <w:rsid w:val="00D446B3"/>
    <w:rsid w:val="00D46DC2"/>
    <w:rsid w:val="00D47575"/>
    <w:rsid w:val="00D4766D"/>
    <w:rsid w:val="00D505DE"/>
    <w:rsid w:val="00D50D90"/>
    <w:rsid w:val="00D50E59"/>
    <w:rsid w:val="00D51725"/>
    <w:rsid w:val="00D51E7A"/>
    <w:rsid w:val="00D51F91"/>
    <w:rsid w:val="00D52053"/>
    <w:rsid w:val="00D52856"/>
    <w:rsid w:val="00D539BE"/>
    <w:rsid w:val="00D53ABB"/>
    <w:rsid w:val="00D5433C"/>
    <w:rsid w:val="00D5478D"/>
    <w:rsid w:val="00D549A7"/>
    <w:rsid w:val="00D54CDF"/>
    <w:rsid w:val="00D550A3"/>
    <w:rsid w:val="00D5520B"/>
    <w:rsid w:val="00D5555A"/>
    <w:rsid w:val="00D55852"/>
    <w:rsid w:val="00D5624C"/>
    <w:rsid w:val="00D6081F"/>
    <w:rsid w:val="00D61D10"/>
    <w:rsid w:val="00D621CA"/>
    <w:rsid w:val="00D626BC"/>
    <w:rsid w:val="00D62954"/>
    <w:rsid w:val="00D62C05"/>
    <w:rsid w:val="00D62D5E"/>
    <w:rsid w:val="00D63171"/>
    <w:rsid w:val="00D631F0"/>
    <w:rsid w:val="00D637FB"/>
    <w:rsid w:val="00D64CD8"/>
    <w:rsid w:val="00D65393"/>
    <w:rsid w:val="00D65A19"/>
    <w:rsid w:val="00D66A6E"/>
    <w:rsid w:val="00D66AB5"/>
    <w:rsid w:val="00D66EB3"/>
    <w:rsid w:val="00D70952"/>
    <w:rsid w:val="00D70EFA"/>
    <w:rsid w:val="00D70F16"/>
    <w:rsid w:val="00D71146"/>
    <w:rsid w:val="00D717AB"/>
    <w:rsid w:val="00D72250"/>
    <w:rsid w:val="00D723AE"/>
    <w:rsid w:val="00D72C37"/>
    <w:rsid w:val="00D72F17"/>
    <w:rsid w:val="00D73042"/>
    <w:rsid w:val="00D734CC"/>
    <w:rsid w:val="00D73A30"/>
    <w:rsid w:val="00D74592"/>
    <w:rsid w:val="00D75020"/>
    <w:rsid w:val="00D7587D"/>
    <w:rsid w:val="00D75904"/>
    <w:rsid w:val="00D75F0D"/>
    <w:rsid w:val="00D760C1"/>
    <w:rsid w:val="00D76747"/>
    <w:rsid w:val="00D768E4"/>
    <w:rsid w:val="00D76A44"/>
    <w:rsid w:val="00D77082"/>
    <w:rsid w:val="00D774EB"/>
    <w:rsid w:val="00D776D7"/>
    <w:rsid w:val="00D77735"/>
    <w:rsid w:val="00D77FA8"/>
    <w:rsid w:val="00D80BA3"/>
    <w:rsid w:val="00D81341"/>
    <w:rsid w:val="00D815EF"/>
    <w:rsid w:val="00D81644"/>
    <w:rsid w:val="00D82D11"/>
    <w:rsid w:val="00D835FA"/>
    <w:rsid w:val="00D83719"/>
    <w:rsid w:val="00D837D5"/>
    <w:rsid w:val="00D8390F"/>
    <w:rsid w:val="00D83D98"/>
    <w:rsid w:val="00D84279"/>
    <w:rsid w:val="00D84529"/>
    <w:rsid w:val="00D85225"/>
    <w:rsid w:val="00D859D8"/>
    <w:rsid w:val="00D85B52"/>
    <w:rsid w:val="00D85C86"/>
    <w:rsid w:val="00D8677A"/>
    <w:rsid w:val="00D87547"/>
    <w:rsid w:val="00D9097C"/>
    <w:rsid w:val="00D91923"/>
    <w:rsid w:val="00D91A95"/>
    <w:rsid w:val="00D93003"/>
    <w:rsid w:val="00D9330C"/>
    <w:rsid w:val="00D93753"/>
    <w:rsid w:val="00D937D1"/>
    <w:rsid w:val="00D93B36"/>
    <w:rsid w:val="00D93D18"/>
    <w:rsid w:val="00D944A3"/>
    <w:rsid w:val="00D94875"/>
    <w:rsid w:val="00D951D3"/>
    <w:rsid w:val="00D95C81"/>
    <w:rsid w:val="00D9603B"/>
    <w:rsid w:val="00D9644F"/>
    <w:rsid w:val="00D97A6D"/>
    <w:rsid w:val="00DA3156"/>
    <w:rsid w:val="00DA3167"/>
    <w:rsid w:val="00DA38D7"/>
    <w:rsid w:val="00DA4167"/>
    <w:rsid w:val="00DA492D"/>
    <w:rsid w:val="00DA4DC3"/>
    <w:rsid w:val="00DA549A"/>
    <w:rsid w:val="00DA552A"/>
    <w:rsid w:val="00DA5BAC"/>
    <w:rsid w:val="00DA611D"/>
    <w:rsid w:val="00DA6EF2"/>
    <w:rsid w:val="00DA77A5"/>
    <w:rsid w:val="00DB0948"/>
    <w:rsid w:val="00DB0F2F"/>
    <w:rsid w:val="00DB1050"/>
    <w:rsid w:val="00DB154E"/>
    <w:rsid w:val="00DB19F6"/>
    <w:rsid w:val="00DB203B"/>
    <w:rsid w:val="00DB2452"/>
    <w:rsid w:val="00DB245C"/>
    <w:rsid w:val="00DB2863"/>
    <w:rsid w:val="00DB336F"/>
    <w:rsid w:val="00DB3380"/>
    <w:rsid w:val="00DB484F"/>
    <w:rsid w:val="00DB48EF"/>
    <w:rsid w:val="00DB4FEB"/>
    <w:rsid w:val="00DB5F0E"/>
    <w:rsid w:val="00DB7065"/>
    <w:rsid w:val="00DB7930"/>
    <w:rsid w:val="00DB79A9"/>
    <w:rsid w:val="00DB7A1E"/>
    <w:rsid w:val="00DC013D"/>
    <w:rsid w:val="00DC04F6"/>
    <w:rsid w:val="00DC0994"/>
    <w:rsid w:val="00DC0B93"/>
    <w:rsid w:val="00DC1583"/>
    <w:rsid w:val="00DC1E65"/>
    <w:rsid w:val="00DC2CDC"/>
    <w:rsid w:val="00DC2E0C"/>
    <w:rsid w:val="00DC3747"/>
    <w:rsid w:val="00DC3C57"/>
    <w:rsid w:val="00DC42C8"/>
    <w:rsid w:val="00DC44E9"/>
    <w:rsid w:val="00DC4688"/>
    <w:rsid w:val="00DC4B97"/>
    <w:rsid w:val="00DC535A"/>
    <w:rsid w:val="00DC5501"/>
    <w:rsid w:val="00DC5E5F"/>
    <w:rsid w:val="00DC5FEF"/>
    <w:rsid w:val="00DC6537"/>
    <w:rsid w:val="00DC69AA"/>
    <w:rsid w:val="00DC7410"/>
    <w:rsid w:val="00DC76DA"/>
    <w:rsid w:val="00DD0101"/>
    <w:rsid w:val="00DD1780"/>
    <w:rsid w:val="00DD1C18"/>
    <w:rsid w:val="00DD1F80"/>
    <w:rsid w:val="00DD20E0"/>
    <w:rsid w:val="00DD273C"/>
    <w:rsid w:val="00DD3C60"/>
    <w:rsid w:val="00DD3F28"/>
    <w:rsid w:val="00DD4537"/>
    <w:rsid w:val="00DD4E15"/>
    <w:rsid w:val="00DD5571"/>
    <w:rsid w:val="00DD58F9"/>
    <w:rsid w:val="00DD6832"/>
    <w:rsid w:val="00DD6CA7"/>
    <w:rsid w:val="00DD6D93"/>
    <w:rsid w:val="00DD79F8"/>
    <w:rsid w:val="00DE10C6"/>
    <w:rsid w:val="00DE2883"/>
    <w:rsid w:val="00DE3138"/>
    <w:rsid w:val="00DE37F8"/>
    <w:rsid w:val="00DE43F5"/>
    <w:rsid w:val="00DE45B6"/>
    <w:rsid w:val="00DE4FCB"/>
    <w:rsid w:val="00DE782C"/>
    <w:rsid w:val="00DE7832"/>
    <w:rsid w:val="00DF12AE"/>
    <w:rsid w:val="00DF18FC"/>
    <w:rsid w:val="00DF1C98"/>
    <w:rsid w:val="00DF1D5A"/>
    <w:rsid w:val="00DF2048"/>
    <w:rsid w:val="00DF244D"/>
    <w:rsid w:val="00DF24B2"/>
    <w:rsid w:val="00DF2D61"/>
    <w:rsid w:val="00DF30BF"/>
    <w:rsid w:val="00DF3A1C"/>
    <w:rsid w:val="00DF4808"/>
    <w:rsid w:val="00DF4C33"/>
    <w:rsid w:val="00DF5D2B"/>
    <w:rsid w:val="00DF6943"/>
    <w:rsid w:val="00DF72D3"/>
    <w:rsid w:val="00E0041F"/>
    <w:rsid w:val="00E00DE9"/>
    <w:rsid w:val="00E00E8E"/>
    <w:rsid w:val="00E013D1"/>
    <w:rsid w:val="00E05214"/>
    <w:rsid w:val="00E0532D"/>
    <w:rsid w:val="00E05630"/>
    <w:rsid w:val="00E056D0"/>
    <w:rsid w:val="00E06DB8"/>
    <w:rsid w:val="00E06DBB"/>
    <w:rsid w:val="00E07062"/>
    <w:rsid w:val="00E07A22"/>
    <w:rsid w:val="00E07C9D"/>
    <w:rsid w:val="00E10149"/>
    <w:rsid w:val="00E10F3F"/>
    <w:rsid w:val="00E133C6"/>
    <w:rsid w:val="00E13DF9"/>
    <w:rsid w:val="00E15843"/>
    <w:rsid w:val="00E15E47"/>
    <w:rsid w:val="00E16372"/>
    <w:rsid w:val="00E16BF4"/>
    <w:rsid w:val="00E16FEC"/>
    <w:rsid w:val="00E17760"/>
    <w:rsid w:val="00E17D61"/>
    <w:rsid w:val="00E200EA"/>
    <w:rsid w:val="00E201E5"/>
    <w:rsid w:val="00E20885"/>
    <w:rsid w:val="00E20BC9"/>
    <w:rsid w:val="00E20E4D"/>
    <w:rsid w:val="00E20ED6"/>
    <w:rsid w:val="00E21358"/>
    <w:rsid w:val="00E21430"/>
    <w:rsid w:val="00E21483"/>
    <w:rsid w:val="00E2249B"/>
    <w:rsid w:val="00E225EE"/>
    <w:rsid w:val="00E22A0D"/>
    <w:rsid w:val="00E23323"/>
    <w:rsid w:val="00E2339E"/>
    <w:rsid w:val="00E243D0"/>
    <w:rsid w:val="00E24D01"/>
    <w:rsid w:val="00E24E4B"/>
    <w:rsid w:val="00E25155"/>
    <w:rsid w:val="00E25E96"/>
    <w:rsid w:val="00E26D4C"/>
    <w:rsid w:val="00E26DED"/>
    <w:rsid w:val="00E2771E"/>
    <w:rsid w:val="00E27EF9"/>
    <w:rsid w:val="00E3044F"/>
    <w:rsid w:val="00E30631"/>
    <w:rsid w:val="00E309A8"/>
    <w:rsid w:val="00E31390"/>
    <w:rsid w:val="00E31676"/>
    <w:rsid w:val="00E31AA2"/>
    <w:rsid w:val="00E327C2"/>
    <w:rsid w:val="00E32DDA"/>
    <w:rsid w:val="00E32F5F"/>
    <w:rsid w:val="00E33157"/>
    <w:rsid w:val="00E333BA"/>
    <w:rsid w:val="00E33A3A"/>
    <w:rsid w:val="00E34948"/>
    <w:rsid w:val="00E34D76"/>
    <w:rsid w:val="00E34FE9"/>
    <w:rsid w:val="00E359E3"/>
    <w:rsid w:val="00E3609B"/>
    <w:rsid w:val="00E36406"/>
    <w:rsid w:val="00E36864"/>
    <w:rsid w:val="00E36CFD"/>
    <w:rsid w:val="00E37569"/>
    <w:rsid w:val="00E37826"/>
    <w:rsid w:val="00E37C53"/>
    <w:rsid w:val="00E37C9A"/>
    <w:rsid w:val="00E37FA5"/>
    <w:rsid w:val="00E4017C"/>
    <w:rsid w:val="00E40A73"/>
    <w:rsid w:val="00E40EDA"/>
    <w:rsid w:val="00E4106B"/>
    <w:rsid w:val="00E41E30"/>
    <w:rsid w:val="00E425A6"/>
    <w:rsid w:val="00E43D70"/>
    <w:rsid w:val="00E442D5"/>
    <w:rsid w:val="00E44C6D"/>
    <w:rsid w:val="00E44CBA"/>
    <w:rsid w:val="00E44D46"/>
    <w:rsid w:val="00E44DEC"/>
    <w:rsid w:val="00E44EFE"/>
    <w:rsid w:val="00E466F3"/>
    <w:rsid w:val="00E47A80"/>
    <w:rsid w:val="00E47B2C"/>
    <w:rsid w:val="00E47BA0"/>
    <w:rsid w:val="00E50595"/>
    <w:rsid w:val="00E5066D"/>
    <w:rsid w:val="00E50D99"/>
    <w:rsid w:val="00E51560"/>
    <w:rsid w:val="00E51971"/>
    <w:rsid w:val="00E52733"/>
    <w:rsid w:val="00E52812"/>
    <w:rsid w:val="00E5368F"/>
    <w:rsid w:val="00E53F97"/>
    <w:rsid w:val="00E53FFC"/>
    <w:rsid w:val="00E54347"/>
    <w:rsid w:val="00E54C7F"/>
    <w:rsid w:val="00E55424"/>
    <w:rsid w:val="00E554F1"/>
    <w:rsid w:val="00E55BB5"/>
    <w:rsid w:val="00E55EAB"/>
    <w:rsid w:val="00E5777F"/>
    <w:rsid w:val="00E57B26"/>
    <w:rsid w:val="00E61DC2"/>
    <w:rsid w:val="00E622B5"/>
    <w:rsid w:val="00E62BDB"/>
    <w:rsid w:val="00E64459"/>
    <w:rsid w:val="00E65653"/>
    <w:rsid w:val="00E65E79"/>
    <w:rsid w:val="00E6672E"/>
    <w:rsid w:val="00E66783"/>
    <w:rsid w:val="00E669AA"/>
    <w:rsid w:val="00E66BA2"/>
    <w:rsid w:val="00E672A4"/>
    <w:rsid w:val="00E67416"/>
    <w:rsid w:val="00E70204"/>
    <w:rsid w:val="00E7049A"/>
    <w:rsid w:val="00E70EC3"/>
    <w:rsid w:val="00E71538"/>
    <w:rsid w:val="00E7166F"/>
    <w:rsid w:val="00E718B6"/>
    <w:rsid w:val="00E71BCC"/>
    <w:rsid w:val="00E71D90"/>
    <w:rsid w:val="00E723BA"/>
    <w:rsid w:val="00E734CF"/>
    <w:rsid w:val="00E73581"/>
    <w:rsid w:val="00E741D9"/>
    <w:rsid w:val="00E742C3"/>
    <w:rsid w:val="00E746F6"/>
    <w:rsid w:val="00E74997"/>
    <w:rsid w:val="00E74B51"/>
    <w:rsid w:val="00E74E46"/>
    <w:rsid w:val="00E764BD"/>
    <w:rsid w:val="00E76E66"/>
    <w:rsid w:val="00E7725A"/>
    <w:rsid w:val="00E77A40"/>
    <w:rsid w:val="00E77C66"/>
    <w:rsid w:val="00E80025"/>
    <w:rsid w:val="00E806A3"/>
    <w:rsid w:val="00E81C46"/>
    <w:rsid w:val="00E833F7"/>
    <w:rsid w:val="00E83BDF"/>
    <w:rsid w:val="00E84FB4"/>
    <w:rsid w:val="00E867A7"/>
    <w:rsid w:val="00E868FA"/>
    <w:rsid w:val="00E86DDE"/>
    <w:rsid w:val="00E86E17"/>
    <w:rsid w:val="00E87318"/>
    <w:rsid w:val="00E87509"/>
    <w:rsid w:val="00E87A1D"/>
    <w:rsid w:val="00E87ABF"/>
    <w:rsid w:val="00E9075F"/>
    <w:rsid w:val="00E90B45"/>
    <w:rsid w:val="00E914CC"/>
    <w:rsid w:val="00E926A5"/>
    <w:rsid w:val="00E9299A"/>
    <w:rsid w:val="00E93327"/>
    <w:rsid w:val="00E9333E"/>
    <w:rsid w:val="00E93594"/>
    <w:rsid w:val="00E94555"/>
    <w:rsid w:val="00E94C58"/>
    <w:rsid w:val="00E94F54"/>
    <w:rsid w:val="00E95F5E"/>
    <w:rsid w:val="00E97055"/>
    <w:rsid w:val="00E978FA"/>
    <w:rsid w:val="00EA0172"/>
    <w:rsid w:val="00EA17C3"/>
    <w:rsid w:val="00EA1941"/>
    <w:rsid w:val="00EA2CAA"/>
    <w:rsid w:val="00EA3864"/>
    <w:rsid w:val="00EA38B9"/>
    <w:rsid w:val="00EA457F"/>
    <w:rsid w:val="00EA470B"/>
    <w:rsid w:val="00EA4752"/>
    <w:rsid w:val="00EA5839"/>
    <w:rsid w:val="00EA5978"/>
    <w:rsid w:val="00EA5BEA"/>
    <w:rsid w:val="00EA63FE"/>
    <w:rsid w:val="00EA65D8"/>
    <w:rsid w:val="00EA6B60"/>
    <w:rsid w:val="00EA6B69"/>
    <w:rsid w:val="00EA6FFB"/>
    <w:rsid w:val="00EA7101"/>
    <w:rsid w:val="00EA7292"/>
    <w:rsid w:val="00EA7E8C"/>
    <w:rsid w:val="00EB0860"/>
    <w:rsid w:val="00EB0C7E"/>
    <w:rsid w:val="00EB1230"/>
    <w:rsid w:val="00EB14A4"/>
    <w:rsid w:val="00EB15B6"/>
    <w:rsid w:val="00EB1BAF"/>
    <w:rsid w:val="00EB1CC0"/>
    <w:rsid w:val="00EB21AB"/>
    <w:rsid w:val="00EB25C6"/>
    <w:rsid w:val="00EB26BA"/>
    <w:rsid w:val="00EB2C75"/>
    <w:rsid w:val="00EB3757"/>
    <w:rsid w:val="00EB3A2F"/>
    <w:rsid w:val="00EB4916"/>
    <w:rsid w:val="00EB4B1F"/>
    <w:rsid w:val="00EB4DD5"/>
    <w:rsid w:val="00EB5D99"/>
    <w:rsid w:val="00EB6224"/>
    <w:rsid w:val="00EB640F"/>
    <w:rsid w:val="00EB7813"/>
    <w:rsid w:val="00EB79D1"/>
    <w:rsid w:val="00EB7D22"/>
    <w:rsid w:val="00EC00C9"/>
    <w:rsid w:val="00EC011A"/>
    <w:rsid w:val="00EC0C5A"/>
    <w:rsid w:val="00EC13B2"/>
    <w:rsid w:val="00EC1A32"/>
    <w:rsid w:val="00EC1FCD"/>
    <w:rsid w:val="00EC2367"/>
    <w:rsid w:val="00EC2649"/>
    <w:rsid w:val="00EC2F03"/>
    <w:rsid w:val="00EC38C1"/>
    <w:rsid w:val="00EC4762"/>
    <w:rsid w:val="00EC4F5E"/>
    <w:rsid w:val="00EC50A4"/>
    <w:rsid w:val="00EC549E"/>
    <w:rsid w:val="00EC5BED"/>
    <w:rsid w:val="00EC7822"/>
    <w:rsid w:val="00ED03F5"/>
    <w:rsid w:val="00ED03F7"/>
    <w:rsid w:val="00ED06A7"/>
    <w:rsid w:val="00ED0FD5"/>
    <w:rsid w:val="00ED3B5F"/>
    <w:rsid w:val="00ED50E4"/>
    <w:rsid w:val="00ED57EA"/>
    <w:rsid w:val="00ED5DFC"/>
    <w:rsid w:val="00ED5FE8"/>
    <w:rsid w:val="00ED6FF4"/>
    <w:rsid w:val="00ED708B"/>
    <w:rsid w:val="00EE07D3"/>
    <w:rsid w:val="00EE1A64"/>
    <w:rsid w:val="00EE22AF"/>
    <w:rsid w:val="00EE330A"/>
    <w:rsid w:val="00EE42F2"/>
    <w:rsid w:val="00EE46DC"/>
    <w:rsid w:val="00EE4748"/>
    <w:rsid w:val="00EE4A34"/>
    <w:rsid w:val="00EE4C4B"/>
    <w:rsid w:val="00EE5697"/>
    <w:rsid w:val="00EE5F98"/>
    <w:rsid w:val="00EE65FD"/>
    <w:rsid w:val="00EE70EE"/>
    <w:rsid w:val="00EE7AA1"/>
    <w:rsid w:val="00EF0171"/>
    <w:rsid w:val="00EF04D4"/>
    <w:rsid w:val="00EF0C43"/>
    <w:rsid w:val="00EF1457"/>
    <w:rsid w:val="00EF1B25"/>
    <w:rsid w:val="00EF1BF4"/>
    <w:rsid w:val="00EF25C0"/>
    <w:rsid w:val="00EF28C9"/>
    <w:rsid w:val="00EF3246"/>
    <w:rsid w:val="00EF465E"/>
    <w:rsid w:val="00EF4747"/>
    <w:rsid w:val="00EF48D1"/>
    <w:rsid w:val="00EF4BF8"/>
    <w:rsid w:val="00EF509B"/>
    <w:rsid w:val="00EF51E5"/>
    <w:rsid w:val="00EF5A08"/>
    <w:rsid w:val="00EF5E42"/>
    <w:rsid w:val="00EF6674"/>
    <w:rsid w:val="00EF6CB0"/>
    <w:rsid w:val="00EF74BC"/>
    <w:rsid w:val="00F00548"/>
    <w:rsid w:val="00F00684"/>
    <w:rsid w:val="00F00FF2"/>
    <w:rsid w:val="00F015DC"/>
    <w:rsid w:val="00F01783"/>
    <w:rsid w:val="00F02253"/>
    <w:rsid w:val="00F02762"/>
    <w:rsid w:val="00F02A1F"/>
    <w:rsid w:val="00F02F2D"/>
    <w:rsid w:val="00F02FC5"/>
    <w:rsid w:val="00F03C2E"/>
    <w:rsid w:val="00F03CAC"/>
    <w:rsid w:val="00F04A66"/>
    <w:rsid w:val="00F04AEB"/>
    <w:rsid w:val="00F04D6F"/>
    <w:rsid w:val="00F0516C"/>
    <w:rsid w:val="00F0534B"/>
    <w:rsid w:val="00F0563D"/>
    <w:rsid w:val="00F0564B"/>
    <w:rsid w:val="00F05A74"/>
    <w:rsid w:val="00F05CCE"/>
    <w:rsid w:val="00F05E9C"/>
    <w:rsid w:val="00F0624A"/>
    <w:rsid w:val="00F062D1"/>
    <w:rsid w:val="00F067A2"/>
    <w:rsid w:val="00F0737D"/>
    <w:rsid w:val="00F07F46"/>
    <w:rsid w:val="00F108D4"/>
    <w:rsid w:val="00F1094E"/>
    <w:rsid w:val="00F10DF3"/>
    <w:rsid w:val="00F10FC4"/>
    <w:rsid w:val="00F1154A"/>
    <w:rsid w:val="00F11879"/>
    <w:rsid w:val="00F11E5B"/>
    <w:rsid w:val="00F11EAF"/>
    <w:rsid w:val="00F11ED2"/>
    <w:rsid w:val="00F12153"/>
    <w:rsid w:val="00F1263A"/>
    <w:rsid w:val="00F13663"/>
    <w:rsid w:val="00F13881"/>
    <w:rsid w:val="00F13FCB"/>
    <w:rsid w:val="00F143C5"/>
    <w:rsid w:val="00F143CF"/>
    <w:rsid w:val="00F1485C"/>
    <w:rsid w:val="00F14A0C"/>
    <w:rsid w:val="00F14D36"/>
    <w:rsid w:val="00F1508C"/>
    <w:rsid w:val="00F15683"/>
    <w:rsid w:val="00F15929"/>
    <w:rsid w:val="00F15D28"/>
    <w:rsid w:val="00F16D92"/>
    <w:rsid w:val="00F16EA6"/>
    <w:rsid w:val="00F1721F"/>
    <w:rsid w:val="00F17FC4"/>
    <w:rsid w:val="00F20527"/>
    <w:rsid w:val="00F206B5"/>
    <w:rsid w:val="00F2087F"/>
    <w:rsid w:val="00F22012"/>
    <w:rsid w:val="00F225B5"/>
    <w:rsid w:val="00F22825"/>
    <w:rsid w:val="00F245D4"/>
    <w:rsid w:val="00F24837"/>
    <w:rsid w:val="00F2530E"/>
    <w:rsid w:val="00F25707"/>
    <w:rsid w:val="00F2575F"/>
    <w:rsid w:val="00F26A22"/>
    <w:rsid w:val="00F272C9"/>
    <w:rsid w:val="00F27565"/>
    <w:rsid w:val="00F310D4"/>
    <w:rsid w:val="00F31D5A"/>
    <w:rsid w:val="00F32173"/>
    <w:rsid w:val="00F323EB"/>
    <w:rsid w:val="00F324AE"/>
    <w:rsid w:val="00F32A0A"/>
    <w:rsid w:val="00F33AF4"/>
    <w:rsid w:val="00F33DE9"/>
    <w:rsid w:val="00F341EB"/>
    <w:rsid w:val="00F34593"/>
    <w:rsid w:val="00F354A3"/>
    <w:rsid w:val="00F35600"/>
    <w:rsid w:val="00F358B8"/>
    <w:rsid w:val="00F35DCB"/>
    <w:rsid w:val="00F3619A"/>
    <w:rsid w:val="00F363EE"/>
    <w:rsid w:val="00F3672B"/>
    <w:rsid w:val="00F36D78"/>
    <w:rsid w:val="00F37914"/>
    <w:rsid w:val="00F40AAA"/>
    <w:rsid w:val="00F40BA7"/>
    <w:rsid w:val="00F42686"/>
    <w:rsid w:val="00F43560"/>
    <w:rsid w:val="00F44685"/>
    <w:rsid w:val="00F46201"/>
    <w:rsid w:val="00F4671E"/>
    <w:rsid w:val="00F467AF"/>
    <w:rsid w:val="00F46B4E"/>
    <w:rsid w:val="00F46C16"/>
    <w:rsid w:val="00F46CB6"/>
    <w:rsid w:val="00F47CC6"/>
    <w:rsid w:val="00F47DE8"/>
    <w:rsid w:val="00F503C7"/>
    <w:rsid w:val="00F515C0"/>
    <w:rsid w:val="00F523B5"/>
    <w:rsid w:val="00F52CA3"/>
    <w:rsid w:val="00F52CE5"/>
    <w:rsid w:val="00F542C1"/>
    <w:rsid w:val="00F54A94"/>
    <w:rsid w:val="00F54CDE"/>
    <w:rsid w:val="00F5586D"/>
    <w:rsid w:val="00F55DC5"/>
    <w:rsid w:val="00F55E73"/>
    <w:rsid w:val="00F55EDA"/>
    <w:rsid w:val="00F576EB"/>
    <w:rsid w:val="00F60092"/>
    <w:rsid w:val="00F603AA"/>
    <w:rsid w:val="00F61A5C"/>
    <w:rsid w:val="00F6226F"/>
    <w:rsid w:val="00F629E9"/>
    <w:rsid w:val="00F62BCF"/>
    <w:rsid w:val="00F62E68"/>
    <w:rsid w:val="00F62E86"/>
    <w:rsid w:val="00F62F22"/>
    <w:rsid w:val="00F63854"/>
    <w:rsid w:val="00F6495E"/>
    <w:rsid w:val="00F6572D"/>
    <w:rsid w:val="00F65F4B"/>
    <w:rsid w:val="00F662A7"/>
    <w:rsid w:val="00F668FB"/>
    <w:rsid w:val="00F67C38"/>
    <w:rsid w:val="00F67E45"/>
    <w:rsid w:val="00F70A55"/>
    <w:rsid w:val="00F70C9D"/>
    <w:rsid w:val="00F70DD0"/>
    <w:rsid w:val="00F71444"/>
    <w:rsid w:val="00F714A6"/>
    <w:rsid w:val="00F7154F"/>
    <w:rsid w:val="00F715FB"/>
    <w:rsid w:val="00F72BA5"/>
    <w:rsid w:val="00F72ED2"/>
    <w:rsid w:val="00F733C3"/>
    <w:rsid w:val="00F73C7E"/>
    <w:rsid w:val="00F73E6B"/>
    <w:rsid w:val="00F73FFE"/>
    <w:rsid w:val="00F74CD9"/>
    <w:rsid w:val="00F74EC0"/>
    <w:rsid w:val="00F75605"/>
    <w:rsid w:val="00F76432"/>
    <w:rsid w:val="00F77C14"/>
    <w:rsid w:val="00F77C2C"/>
    <w:rsid w:val="00F803A8"/>
    <w:rsid w:val="00F8049F"/>
    <w:rsid w:val="00F80A7B"/>
    <w:rsid w:val="00F80E5D"/>
    <w:rsid w:val="00F81694"/>
    <w:rsid w:val="00F8293D"/>
    <w:rsid w:val="00F830FB"/>
    <w:rsid w:val="00F8324F"/>
    <w:rsid w:val="00F84089"/>
    <w:rsid w:val="00F84E9C"/>
    <w:rsid w:val="00F851CE"/>
    <w:rsid w:val="00F857A6"/>
    <w:rsid w:val="00F85CCB"/>
    <w:rsid w:val="00F85E68"/>
    <w:rsid w:val="00F86074"/>
    <w:rsid w:val="00F862AA"/>
    <w:rsid w:val="00F8641D"/>
    <w:rsid w:val="00F866DA"/>
    <w:rsid w:val="00F878DF"/>
    <w:rsid w:val="00F90CEB"/>
    <w:rsid w:val="00F91219"/>
    <w:rsid w:val="00F91A4D"/>
    <w:rsid w:val="00F91CB6"/>
    <w:rsid w:val="00F92945"/>
    <w:rsid w:val="00F92C7F"/>
    <w:rsid w:val="00F93EDD"/>
    <w:rsid w:val="00F94461"/>
    <w:rsid w:val="00F94978"/>
    <w:rsid w:val="00F9497E"/>
    <w:rsid w:val="00F94D67"/>
    <w:rsid w:val="00F956CB"/>
    <w:rsid w:val="00F97390"/>
    <w:rsid w:val="00F97576"/>
    <w:rsid w:val="00F977D7"/>
    <w:rsid w:val="00F97A78"/>
    <w:rsid w:val="00F97C02"/>
    <w:rsid w:val="00F97D40"/>
    <w:rsid w:val="00FA050F"/>
    <w:rsid w:val="00FA0B20"/>
    <w:rsid w:val="00FA0D67"/>
    <w:rsid w:val="00FA0F1A"/>
    <w:rsid w:val="00FA138E"/>
    <w:rsid w:val="00FA19BE"/>
    <w:rsid w:val="00FA1A6E"/>
    <w:rsid w:val="00FA1CE3"/>
    <w:rsid w:val="00FA2286"/>
    <w:rsid w:val="00FA24E7"/>
    <w:rsid w:val="00FA27E6"/>
    <w:rsid w:val="00FA303D"/>
    <w:rsid w:val="00FA3C09"/>
    <w:rsid w:val="00FA4275"/>
    <w:rsid w:val="00FA4828"/>
    <w:rsid w:val="00FA709F"/>
    <w:rsid w:val="00FA711B"/>
    <w:rsid w:val="00FA7DA6"/>
    <w:rsid w:val="00FB0127"/>
    <w:rsid w:val="00FB1470"/>
    <w:rsid w:val="00FB14FD"/>
    <w:rsid w:val="00FB1DF4"/>
    <w:rsid w:val="00FB1E26"/>
    <w:rsid w:val="00FB2146"/>
    <w:rsid w:val="00FB2312"/>
    <w:rsid w:val="00FB28D9"/>
    <w:rsid w:val="00FB2D51"/>
    <w:rsid w:val="00FB2FCB"/>
    <w:rsid w:val="00FB32DB"/>
    <w:rsid w:val="00FB355A"/>
    <w:rsid w:val="00FB3760"/>
    <w:rsid w:val="00FB425B"/>
    <w:rsid w:val="00FB4A2A"/>
    <w:rsid w:val="00FB50F0"/>
    <w:rsid w:val="00FB56C2"/>
    <w:rsid w:val="00FB5909"/>
    <w:rsid w:val="00FC1074"/>
    <w:rsid w:val="00FC107B"/>
    <w:rsid w:val="00FC14E2"/>
    <w:rsid w:val="00FC1656"/>
    <w:rsid w:val="00FC1884"/>
    <w:rsid w:val="00FC289F"/>
    <w:rsid w:val="00FC32AE"/>
    <w:rsid w:val="00FC371D"/>
    <w:rsid w:val="00FC3C56"/>
    <w:rsid w:val="00FC3E01"/>
    <w:rsid w:val="00FC3F4C"/>
    <w:rsid w:val="00FC5032"/>
    <w:rsid w:val="00FC5053"/>
    <w:rsid w:val="00FC523C"/>
    <w:rsid w:val="00FC5F0B"/>
    <w:rsid w:val="00FC6018"/>
    <w:rsid w:val="00FC64D9"/>
    <w:rsid w:val="00FC6D08"/>
    <w:rsid w:val="00FC6FF8"/>
    <w:rsid w:val="00FC71B6"/>
    <w:rsid w:val="00FC72D4"/>
    <w:rsid w:val="00FC76C8"/>
    <w:rsid w:val="00FC79DC"/>
    <w:rsid w:val="00FD05C0"/>
    <w:rsid w:val="00FD0B44"/>
    <w:rsid w:val="00FD1DAF"/>
    <w:rsid w:val="00FD2100"/>
    <w:rsid w:val="00FD23F4"/>
    <w:rsid w:val="00FD2D6D"/>
    <w:rsid w:val="00FD30CF"/>
    <w:rsid w:val="00FD3364"/>
    <w:rsid w:val="00FD383B"/>
    <w:rsid w:val="00FD3C31"/>
    <w:rsid w:val="00FD436C"/>
    <w:rsid w:val="00FD446D"/>
    <w:rsid w:val="00FD4E58"/>
    <w:rsid w:val="00FD5606"/>
    <w:rsid w:val="00FD5ADE"/>
    <w:rsid w:val="00FD6394"/>
    <w:rsid w:val="00FD678A"/>
    <w:rsid w:val="00FD6B8F"/>
    <w:rsid w:val="00FD6F01"/>
    <w:rsid w:val="00FD7482"/>
    <w:rsid w:val="00FE0416"/>
    <w:rsid w:val="00FE0E6C"/>
    <w:rsid w:val="00FE13C5"/>
    <w:rsid w:val="00FE1EC0"/>
    <w:rsid w:val="00FE21D1"/>
    <w:rsid w:val="00FE2505"/>
    <w:rsid w:val="00FE303A"/>
    <w:rsid w:val="00FE3384"/>
    <w:rsid w:val="00FE3664"/>
    <w:rsid w:val="00FE3687"/>
    <w:rsid w:val="00FE394B"/>
    <w:rsid w:val="00FE5A2F"/>
    <w:rsid w:val="00FE6890"/>
    <w:rsid w:val="00FE70C3"/>
    <w:rsid w:val="00FE7E27"/>
    <w:rsid w:val="00FE7E53"/>
    <w:rsid w:val="00FE7F5B"/>
    <w:rsid w:val="00FE7FAF"/>
    <w:rsid w:val="00FF1717"/>
    <w:rsid w:val="00FF2073"/>
    <w:rsid w:val="00FF22C8"/>
    <w:rsid w:val="00FF366E"/>
    <w:rsid w:val="00FF3DCF"/>
    <w:rsid w:val="00FF4309"/>
    <w:rsid w:val="00FF448C"/>
    <w:rsid w:val="00FF492C"/>
    <w:rsid w:val="00FF4A21"/>
    <w:rsid w:val="00FF5AA3"/>
    <w:rsid w:val="00FF5AD8"/>
    <w:rsid w:val="00FF5C89"/>
    <w:rsid w:val="00FF6E06"/>
    <w:rsid w:val="00FF6E20"/>
    <w:rsid w:val="00FF71AB"/>
    <w:rsid w:val="00FF7537"/>
    <w:rsid w:val="00FF7C1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5DA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8F4"/>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0006EC"/>
    <w:pPr>
      <w:keepNext/>
      <w:spacing w:after="120"/>
      <w:ind w:left="720" w:hanging="720"/>
      <w:outlineLvl w:val="0"/>
    </w:pPr>
    <w:rPr>
      <w:b/>
      <w:caps/>
      <w:sz w:val="32"/>
    </w:rPr>
  </w:style>
  <w:style w:type="paragraph" w:styleId="Heading2">
    <w:name w:val="heading 2"/>
    <w:basedOn w:val="Normal"/>
    <w:next w:val="Normal"/>
    <w:link w:val="Heading2Char"/>
    <w:qFormat/>
    <w:rsid w:val="007B497A"/>
    <w:pPr>
      <w:keepNext/>
      <w:spacing w:after="120"/>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006EC"/>
    <w:rPr>
      <w:rFonts w:ascii="Calibri" w:hAnsi="Calibri" w:cs="Arial"/>
      <w:b/>
      <w:caps/>
      <w:snapToGrid w:val="0"/>
      <w:sz w:val="32"/>
      <w:szCs w:val="22"/>
      <w:lang w:eastAsia="en-US"/>
    </w:rPr>
  </w:style>
  <w:style w:type="character" w:customStyle="1" w:styleId="Heading2Char">
    <w:name w:val="Heading 2 Char"/>
    <w:link w:val="Heading2"/>
    <w:rsid w:val="007B497A"/>
    <w:rPr>
      <w:rFonts w:ascii="Calibri" w:hAnsi="Calibri" w:cs="Arial"/>
      <w:b/>
      <w:i/>
      <w:snapToGrid w:val="0"/>
      <w:sz w:val="28"/>
      <w:szCs w:val="22"/>
      <w:lang w:eastAsia="en-US"/>
    </w:rPr>
  </w:style>
  <w:style w:type="character" w:customStyle="1" w:styleId="Heading3Char">
    <w:name w:val="Heading 3 Char"/>
    <w:basedOn w:val="DefaultParagraphFont"/>
    <w:link w:val="Heading3"/>
    <w:rsid w:val="005E7102"/>
    <w:rPr>
      <w:rFonts w:ascii="Calibri" w:hAnsi="Calibri" w:cs="Arial"/>
      <w:snapToGrid w:val="0"/>
      <w:sz w:val="24"/>
      <w:szCs w:val="22"/>
      <w:u w:val="single"/>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Figure caption1 Char Char,IB Caption,Medical Caption,Medical Caption Char,Caption Char1 Char Char,Caption Char Char Char Char,Caption Char1 Char,Caption Char Char Char Char Char,Caption Char Char,Caption Char Char Char Char1,..."/>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Figure caption Char,Figure caption1 Char Char Char,IB Caption Char,Medical Caption Char1,Medical Caption Char Char,Caption Char1 Char Char Char,Caption Char Char Char Char Char1,Caption Char1 Char Char1,Caption Char Char Char Char Char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
    <w:basedOn w:val="Normal"/>
    <w:link w:val="ListParagraphChar"/>
    <w:uiPriority w:val="34"/>
    <w:qFormat/>
    <w:rsid w:val="005E651E"/>
    <w:pPr>
      <w:spacing w:after="120"/>
      <w:ind w:left="720"/>
    </w:pPr>
  </w:style>
  <w:style w:type="character" w:customStyle="1" w:styleId="ListParagraphChar">
    <w:name w:val="List Paragraph Char"/>
    <w:aliases w:val="Numbered para Char,BulletPoints Char,Footnote Char"/>
    <w:basedOn w:val="DefaultParagraphFont"/>
    <w:link w:val="ListParagraph"/>
    <w:uiPriority w:val="72"/>
    <w:locked/>
    <w:rsid w:val="005E651E"/>
    <w:rPr>
      <w:rFonts w:ascii="Calibri" w:hAnsi="Calibri" w:cs="Arial"/>
      <w:snapToGrid w:val="0"/>
      <w:sz w:val="24"/>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nhideWhenUsed/>
    <w:rsid w:val="00621477"/>
    <w:rPr>
      <w:color w:val="0000FF" w:themeColor="hyperlink"/>
      <w:u w:val="single"/>
    </w:rPr>
  </w:style>
  <w:style w:type="paragraph" w:styleId="TOCHeading">
    <w:name w:val="TOC Heading"/>
    <w:basedOn w:val="Heading1"/>
    <w:next w:val="Normal"/>
    <w:uiPriority w:val="39"/>
    <w:unhideWhenUsed/>
    <w:rsid w:val="00CE6274"/>
    <w:pPr>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4D24C9"/>
    <w:pPr>
      <w:keepNext/>
      <w:numPr>
        <w:numId w:val="2"/>
      </w:numPr>
      <w:spacing w:after="12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semiHidden/>
    <w:rsid w:val="0044246E"/>
    <w:pPr>
      <w:widowControl/>
      <w:spacing w:before="120" w:line="360" w:lineRule="auto"/>
      <w:jc w:val="left"/>
    </w:pPr>
    <w:rPr>
      <w:rFonts w:cs="Times New Roman"/>
      <w:snapToGrid/>
      <w:szCs w:val="20"/>
      <w:lang w:val="en-GB" w:eastAsia="zh-CN"/>
    </w:rPr>
  </w:style>
  <w:style w:type="character" w:customStyle="1" w:styleId="FootnoteTextChar">
    <w:name w:val="Footnote Text Char"/>
    <w:basedOn w:val="DefaultParagraphFont"/>
    <w:link w:val="FootnoteText"/>
    <w:semiHidden/>
    <w:rsid w:val="0044246E"/>
    <w:rPr>
      <w:rFonts w:ascii="Calibri" w:hAnsi="Calibri"/>
      <w:sz w:val="24"/>
      <w:lang w:val="en-GB" w:eastAsia="zh-CN"/>
    </w:rPr>
  </w:style>
  <w:style w:type="paragraph" w:customStyle="1" w:styleId="TableorfigureAbbreviationsandSource">
    <w:name w:val="Table or figure Abbreviations and Source"/>
    <w:next w:val="Normal"/>
    <w:qFormat/>
    <w:rsid w:val="003072AF"/>
    <w:pPr>
      <w:spacing w:after="240"/>
      <w:contextualSpacing/>
    </w:pPr>
    <w:rPr>
      <w:rFonts w:ascii="Calibri" w:eastAsia="Calibri" w:hAnsi="Calibri"/>
      <w:sz w:val="16"/>
      <w:szCs w:val="22"/>
      <w:lang w:eastAsia="zh-CN"/>
    </w:rPr>
  </w:style>
  <w:style w:type="character" w:customStyle="1" w:styleId="UnresolvedMention1">
    <w:name w:val="Unresolved Mention1"/>
    <w:basedOn w:val="DefaultParagraphFont"/>
    <w:rsid w:val="00AF1C63"/>
    <w:rPr>
      <w:color w:val="808080"/>
      <w:shd w:val="clear" w:color="auto" w:fill="E6E6E6"/>
    </w:rPr>
  </w:style>
  <w:style w:type="character" w:styleId="FootnoteReference">
    <w:name w:val="footnote reference"/>
    <w:basedOn w:val="DefaultParagraphFont"/>
    <w:semiHidden/>
    <w:unhideWhenUsed/>
    <w:rsid w:val="00FA3C09"/>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0531A"/>
    <w:pPr>
      <w:widowControl/>
      <w:spacing w:after="160" w:line="240" w:lineRule="exact"/>
      <w:jc w:val="left"/>
    </w:pPr>
    <w:rPr>
      <w:rFonts w:ascii="Verdana" w:eastAsia="MS Mincho" w:hAnsi="Verdana" w:cs="Verdana"/>
      <w:snapToGrid/>
      <w:sz w:val="20"/>
      <w:szCs w:val="20"/>
      <w:lang w:val="en-US"/>
    </w:rPr>
  </w:style>
  <w:style w:type="paragraph" w:customStyle="1" w:styleId="Default">
    <w:name w:val="Default"/>
    <w:rsid w:val="0062387F"/>
    <w:pPr>
      <w:autoSpaceDE w:val="0"/>
      <w:autoSpaceDN w:val="0"/>
      <w:adjustRightInd w:val="0"/>
    </w:pPr>
    <w:rPr>
      <w:color w:val="000000"/>
      <w:sz w:val="24"/>
      <w:szCs w:val="24"/>
      <w:lang w:val="en-US" w:eastAsia="en-US"/>
    </w:rPr>
  </w:style>
  <w:style w:type="table" w:customStyle="1" w:styleId="PlainTable22">
    <w:name w:val="Plain Table 22"/>
    <w:basedOn w:val="TableNormal"/>
    <w:rsid w:val="00BB73F0"/>
    <w:rPr>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Bullets">
    <w:name w:val="Table Bullets"/>
    <w:basedOn w:val="Normal"/>
    <w:uiPriority w:val="5"/>
    <w:qFormat/>
    <w:rsid w:val="00942AE0"/>
    <w:pPr>
      <w:widowControl/>
      <w:numPr>
        <w:numId w:val="4"/>
      </w:numPr>
      <w:adjustRightInd w:val="0"/>
      <w:snapToGrid w:val="0"/>
      <w:spacing w:line="276" w:lineRule="auto"/>
      <w:ind w:left="357" w:hanging="357"/>
      <w:jc w:val="left"/>
    </w:pPr>
    <w:rPr>
      <w:rFonts w:eastAsia="SimSun" w:cs="Times New Roman"/>
      <w:snapToGrid/>
      <w:sz w:val="18"/>
    </w:rPr>
  </w:style>
  <w:style w:type="paragraph" w:customStyle="1" w:styleId="Table">
    <w:name w:val="Table"/>
    <w:basedOn w:val="Normal"/>
    <w:link w:val="TableChar"/>
    <w:qFormat/>
    <w:rsid w:val="00942AE0"/>
    <w:pPr>
      <w:widowControl/>
      <w:spacing w:line="276" w:lineRule="auto"/>
      <w:ind w:left="102" w:right="79"/>
      <w:jc w:val="left"/>
    </w:pPr>
    <w:rPr>
      <w:rFonts w:cs="Calibri"/>
      <w:snapToGrid/>
      <w:spacing w:val="-1"/>
      <w:sz w:val="18"/>
      <w:szCs w:val="18"/>
      <w:lang w:bidi="en-US"/>
    </w:rPr>
  </w:style>
  <w:style w:type="character" w:customStyle="1" w:styleId="TableChar">
    <w:name w:val="Table Char"/>
    <w:link w:val="Table"/>
    <w:rsid w:val="00942AE0"/>
    <w:rPr>
      <w:rFonts w:ascii="Calibri" w:hAnsi="Calibri" w:cs="Calibri"/>
      <w:spacing w:val="-1"/>
      <w:sz w:val="18"/>
      <w:szCs w:val="18"/>
      <w:lang w:eastAsia="en-US" w:bidi="en-US"/>
    </w:rPr>
  </w:style>
  <w:style w:type="character" w:customStyle="1" w:styleId="Fontsmall">
    <w:name w:val="Font small"/>
    <w:uiPriority w:val="1"/>
    <w:qFormat/>
    <w:rsid w:val="007A1C55"/>
    <w:rPr>
      <w:rFonts w:ascii="Calibri" w:hAnsi="Calibri"/>
      <w:sz w:val="16"/>
    </w:rPr>
  </w:style>
  <w:style w:type="paragraph" w:customStyle="1" w:styleId="Captionfootnote">
    <w:name w:val="Caption footnote"/>
    <w:basedOn w:val="Normal"/>
    <w:link w:val="CaptionfootnoteChar"/>
    <w:uiPriority w:val="1"/>
    <w:qFormat/>
    <w:rsid w:val="007A1C55"/>
    <w:pPr>
      <w:spacing w:line="276" w:lineRule="auto"/>
      <w:jc w:val="left"/>
    </w:pPr>
    <w:rPr>
      <w:rFonts w:eastAsia="Calibri" w:cs="Times New Roman"/>
      <w:snapToGrid/>
      <w:sz w:val="16"/>
    </w:rPr>
  </w:style>
  <w:style w:type="character" w:customStyle="1" w:styleId="CaptionfootnoteChar">
    <w:name w:val="Caption footnote Char"/>
    <w:link w:val="Captionfootnote"/>
    <w:uiPriority w:val="1"/>
    <w:rsid w:val="007A1C55"/>
    <w:rPr>
      <w:rFonts w:ascii="Calibri" w:eastAsia="Calibri" w:hAnsi="Calibri"/>
      <w:sz w:val="16"/>
      <w:szCs w:val="22"/>
      <w:lang w:eastAsia="en-US"/>
    </w:rPr>
  </w:style>
  <w:style w:type="paragraph" w:customStyle="1" w:styleId="TableCentre">
    <w:name w:val="Table Centre"/>
    <w:basedOn w:val="Table"/>
    <w:uiPriority w:val="99"/>
    <w:qFormat/>
    <w:rsid w:val="001F6575"/>
    <w:pPr>
      <w:keepLines/>
      <w:ind w:left="0" w:right="0"/>
      <w:jc w:val="center"/>
    </w:pPr>
    <w:rPr>
      <w:rFonts w:cs="Times New Roman"/>
      <w:spacing w:val="0"/>
      <w:szCs w:val="22"/>
    </w:rPr>
  </w:style>
  <w:style w:type="paragraph" w:customStyle="1" w:styleId="EndNoteBibliographyTitle">
    <w:name w:val="EndNote Bibliography Title"/>
    <w:basedOn w:val="Normal"/>
    <w:link w:val="EndNoteBibliographyTitleChar"/>
    <w:rsid w:val="00157A97"/>
    <w:pPr>
      <w:jc w:val="center"/>
    </w:pPr>
    <w:rPr>
      <w:rFonts w:cs="Calibri"/>
      <w:noProof/>
      <w:lang w:val="en-US"/>
    </w:rPr>
  </w:style>
  <w:style w:type="character" w:customStyle="1" w:styleId="EndNoteBibliographyTitleChar">
    <w:name w:val="EndNote Bibliography Title Char"/>
    <w:basedOn w:val="DefaultParagraphFont"/>
    <w:link w:val="EndNoteBibliographyTitle"/>
    <w:rsid w:val="00157A97"/>
    <w:rPr>
      <w:rFonts w:ascii="Calibri" w:hAnsi="Calibri" w:cs="Calibri"/>
      <w:noProof/>
      <w:snapToGrid w:val="0"/>
      <w:sz w:val="24"/>
      <w:szCs w:val="22"/>
      <w:lang w:val="en-US" w:eastAsia="en-US"/>
    </w:rPr>
  </w:style>
  <w:style w:type="paragraph" w:customStyle="1" w:styleId="EndNoteBibliography">
    <w:name w:val="EndNote Bibliography"/>
    <w:basedOn w:val="Normal"/>
    <w:link w:val="EndNoteBibliographyChar"/>
    <w:rsid w:val="00157A97"/>
    <w:pPr>
      <w:jc w:val="left"/>
    </w:pPr>
    <w:rPr>
      <w:rFonts w:cs="Calibri"/>
      <w:noProof/>
      <w:lang w:val="en-US"/>
    </w:rPr>
  </w:style>
  <w:style w:type="character" w:customStyle="1" w:styleId="EndNoteBibliographyChar">
    <w:name w:val="EndNote Bibliography Char"/>
    <w:basedOn w:val="DefaultParagraphFont"/>
    <w:link w:val="EndNoteBibliography"/>
    <w:rsid w:val="00157A97"/>
    <w:rPr>
      <w:rFonts w:ascii="Calibri" w:hAnsi="Calibri" w:cs="Calibri"/>
      <w:noProof/>
      <w:snapToGrid w:val="0"/>
      <w:sz w:val="24"/>
      <w:szCs w:val="22"/>
      <w:lang w:val="en-US" w:eastAsia="en-US"/>
    </w:rPr>
  </w:style>
  <w:style w:type="character" w:customStyle="1" w:styleId="CaptionFootnoteChar0">
    <w:name w:val="Caption Footnote Char"/>
    <w:link w:val="CaptionFootnote0"/>
    <w:rsid w:val="002951C1"/>
    <w:rPr>
      <w:rFonts w:ascii="Calibri" w:hAnsi="Calibri"/>
      <w:kern w:val="28"/>
      <w:szCs w:val="24"/>
      <w:lang w:eastAsia="en-GB"/>
    </w:rPr>
  </w:style>
  <w:style w:type="paragraph" w:customStyle="1" w:styleId="CaptionFootnote0">
    <w:name w:val="Caption Footnote"/>
    <w:basedOn w:val="Normal"/>
    <w:link w:val="CaptionFootnoteChar0"/>
    <w:qFormat/>
    <w:rsid w:val="002951C1"/>
    <w:pPr>
      <w:widowControl/>
      <w:jc w:val="left"/>
    </w:pPr>
    <w:rPr>
      <w:rFonts w:cs="Times New Roman"/>
      <w:snapToGrid/>
      <w:kern w:val="28"/>
      <w:sz w:val="20"/>
      <w:szCs w:val="24"/>
      <w:lang w:eastAsia="en-GB"/>
    </w:rPr>
  </w:style>
  <w:style w:type="paragraph" w:customStyle="1" w:styleId="Directions">
    <w:name w:val="Directions"/>
    <w:basedOn w:val="Normal"/>
    <w:qFormat/>
    <w:rsid w:val="002951C1"/>
    <w:pPr>
      <w:widowControl/>
      <w:jc w:val="left"/>
    </w:pPr>
    <w:rPr>
      <w:rFonts w:eastAsia="Calibri"/>
      <w:i/>
      <w:snapToGrid/>
      <w:color w:val="0070C0"/>
      <w:sz w:val="20"/>
      <w:szCs w:val="20"/>
      <w:shd w:val="clear" w:color="auto" w:fill="FFFFFF"/>
    </w:rPr>
  </w:style>
  <w:style w:type="paragraph" w:customStyle="1" w:styleId="TableLeft">
    <w:name w:val="Table Left"/>
    <w:basedOn w:val="Normal"/>
    <w:link w:val="TableLeftChar"/>
    <w:uiPriority w:val="99"/>
    <w:qFormat/>
    <w:rsid w:val="002951C1"/>
    <w:pPr>
      <w:widowControl/>
      <w:jc w:val="left"/>
    </w:pPr>
    <w:rPr>
      <w:rFonts w:cs="Times New Roman"/>
      <w:snapToGrid/>
      <w:sz w:val="20"/>
      <w:lang w:bidi="en-US"/>
    </w:rPr>
  </w:style>
  <w:style w:type="character" w:customStyle="1" w:styleId="TableLeftChar">
    <w:name w:val="Table Left Char"/>
    <w:link w:val="TableLeft"/>
    <w:uiPriority w:val="99"/>
    <w:locked/>
    <w:rsid w:val="002951C1"/>
    <w:rPr>
      <w:rFonts w:ascii="Calibri" w:hAnsi="Calibri"/>
      <w:szCs w:val="22"/>
      <w:lang w:eastAsia="en-US" w:bidi="en-US"/>
    </w:rPr>
  </w:style>
  <w:style w:type="paragraph" w:customStyle="1" w:styleId="NormalBullets">
    <w:name w:val="Normal Bullets"/>
    <w:basedOn w:val="Normal"/>
    <w:uiPriority w:val="1"/>
    <w:qFormat/>
    <w:rsid w:val="002951C1"/>
    <w:pPr>
      <w:widowControl/>
      <w:numPr>
        <w:numId w:val="5"/>
      </w:numPr>
      <w:spacing w:line="360" w:lineRule="auto"/>
      <w:jc w:val="left"/>
    </w:pPr>
    <w:rPr>
      <w:rFonts w:eastAsia="Calibri" w:cs="Times New Roman"/>
      <w:snapToGrid/>
      <w:sz w:val="22"/>
      <w:lang w:eastAsia="zh-CN"/>
    </w:rPr>
  </w:style>
  <w:style w:type="paragraph" w:customStyle="1" w:styleId="TableText0">
    <w:name w:val="Table Text"/>
    <w:basedOn w:val="Normal"/>
    <w:link w:val="TableTextChar0"/>
    <w:qFormat/>
    <w:rsid w:val="005E7102"/>
    <w:pPr>
      <w:keepNext/>
      <w:widowControl/>
      <w:spacing w:before="40" w:after="40"/>
      <w:jc w:val="left"/>
    </w:pPr>
    <w:rPr>
      <w:rFonts w:ascii="Arial Narrow" w:eastAsiaTheme="minorHAnsi" w:hAnsi="Arial Narrow" w:cstheme="minorBidi"/>
      <w:snapToGrid/>
      <w:sz w:val="20"/>
    </w:rPr>
  </w:style>
  <w:style w:type="character" w:customStyle="1" w:styleId="TableTextChar0">
    <w:name w:val="Table Text Char"/>
    <w:link w:val="TableText0"/>
    <w:rsid w:val="005E7102"/>
    <w:rPr>
      <w:rFonts w:ascii="Arial Narrow" w:eastAsiaTheme="minorHAnsi" w:hAnsi="Arial Narrow" w:cstheme="minorBidi"/>
      <w:szCs w:val="22"/>
      <w:lang w:eastAsia="en-US"/>
    </w:rPr>
  </w:style>
  <w:style w:type="table" w:styleId="PlainTable2">
    <w:name w:val="Plain Table 2"/>
    <w:basedOn w:val="TableNormal"/>
    <w:rsid w:val="00046FD0"/>
    <w:rPr>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4366">
      <w:bodyDiv w:val="1"/>
      <w:marLeft w:val="0"/>
      <w:marRight w:val="0"/>
      <w:marTop w:val="0"/>
      <w:marBottom w:val="0"/>
      <w:divBdr>
        <w:top w:val="none" w:sz="0" w:space="0" w:color="auto"/>
        <w:left w:val="none" w:sz="0" w:space="0" w:color="auto"/>
        <w:bottom w:val="none" w:sz="0" w:space="0" w:color="auto"/>
        <w:right w:val="none" w:sz="0" w:space="0" w:color="auto"/>
      </w:divBdr>
    </w:div>
    <w:div w:id="383876218">
      <w:bodyDiv w:val="1"/>
      <w:marLeft w:val="0"/>
      <w:marRight w:val="0"/>
      <w:marTop w:val="0"/>
      <w:marBottom w:val="0"/>
      <w:divBdr>
        <w:top w:val="none" w:sz="0" w:space="0" w:color="auto"/>
        <w:left w:val="none" w:sz="0" w:space="0" w:color="auto"/>
        <w:bottom w:val="none" w:sz="0" w:space="0" w:color="auto"/>
        <w:right w:val="none" w:sz="0" w:space="0" w:color="auto"/>
      </w:divBdr>
    </w:div>
    <w:div w:id="588388767">
      <w:bodyDiv w:val="1"/>
      <w:marLeft w:val="0"/>
      <w:marRight w:val="0"/>
      <w:marTop w:val="0"/>
      <w:marBottom w:val="0"/>
      <w:divBdr>
        <w:top w:val="none" w:sz="0" w:space="0" w:color="auto"/>
        <w:left w:val="none" w:sz="0" w:space="0" w:color="auto"/>
        <w:bottom w:val="none" w:sz="0" w:space="0" w:color="auto"/>
        <w:right w:val="none" w:sz="0" w:space="0" w:color="auto"/>
      </w:divBdr>
    </w:div>
    <w:div w:id="753403883">
      <w:bodyDiv w:val="1"/>
      <w:marLeft w:val="0"/>
      <w:marRight w:val="0"/>
      <w:marTop w:val="0"/>
      <w:marBottom w:val="0"/>
      <w:divBdr>
        <w:top w:val="none" w:sz="0" w:space="0" w:color="auto"/>
        <w:left w:val="none" w:sz="0" w:space="0" w:color="auto"/>
        <w:bottom w:val="none" w:sz="0" w:space="0" w:color="auto"/>
        <w:right w:val="none" w:sz="0" w:space="0" w:color="auto"/>
      </w:divBdr>
    </w:div>
    <w:div w:id="935595780">
      <w:bodyDiv w:val="1"/>
      <w:marLeft w:val="0"/>
      <w:marRight w:val="0"/>
      <w:marTop w:val="0"/>
      <w:marBottom w:val="0"/>
      <w:divBdr>
        <w:top w:val="none" w:sz="0" w:space="0" w:color="auto"/>
        <w:left w:val="none" w:sz="0" w:space="0" w:color="auto"/>
        <w:bottom w:val="none" w:sz="0" w:space="0" w:color="auto"/>
        <w:right w:val="none" w:sz="0" w:space="0" w:color="auto"/>
      </w:divBdr>
    </w:div>
    <w:div w:id="1109853350">
      <w:bodyDiv w:val="1"/>
      <w:marLeft w:val="0"/>
      <w:marRight w:val="0"/>
      <w:marTop w:val="0"/>
      <w:marBottom w:val="0"/>
      <w:divBdr>
        <w:top w:val="none" w:sz="0" w:space="0" w:color="auto"/>
        <w:left w:val="none" w:sz="0" w:space="0" w:color="auto"/>
        <w:bottom w:val="none" w:sz="0" w:space="0" w:color="auto"/>
        <w:right w:val="none" w:sz="0" w:space="0" w:color="auto"/>
      </w:divBdr>
    </w:div>
    <w:div w:id="1117021426">
      <w:bodyDiv w:val="1"/>
      <w:marLeft w:val="0"/>
      <w:marRight w:val="0"/>
      <w:marTop w:val="0"/>
      <w:marBottom w:val="0"/>
      <w:divBdr>
        <w:top w:val="none" w:sz="0" w:space="0" w:color="auto"/>
        <w:left w:val="none" w:sz="0" w:space="0" w:color="auto"/>
        <w:bottom w:val="none" w:sz="0" w:space="0" w:color="auto"/>
        <w:right w:val="none" w:sz="0" w:space="0" w:color="auto"/>
      </w:divBdr>
    </w:div>
    <w:div w:id="1264807030">
      <w:bodyDiv w:val="1"/>
      <w:marLeft w:val="0"/>
      <w:marRight w:val="0"/>
      <w:marTop w:val="0"/>
      <w:marBottom w:val="0"/>
      <w:divBdr>
        <w:top w:val="none" w:sz="0" w:space="0" w:color="auto"/>
        <w:left w:val="none" w:sz="0" w:space="0" w:color="auto"/>
        <w:bottom w:val="none" w:sz="0" w:space="0" w:color="auto"/>
        <w:right w:val="none" w:sz="0" w:space="0" w:color="auto"/>
      </w:divBdr>
    </w:div>
    <w:div w:id="1531994212">
      <w:bodyDiv w:val="1"/>
      <w:marLeft w:val="0"/>
      <w:marRight w:val="0"/>
      <w:marTop w:val="0"/>
      <w:marBottom w:val="0"/>
      <w:divBdr>
        <w:top w:val="none" w:sz="0" w:space="0" w:color="auto"/>
        <w:left w:val="none" w:sz="0" w:space="0" w:color="auto"/>
        <w:bottom w:val="none" w:sz="0" w:space="0" w:color="auto"/>
        <w:right w:val="none" w:sz="0" w:space="0" w:color="auto"/>
      </w:divBdr>
    </w:div>
    <w:div w:id="1563903893">
      <w:bodyDiv w:val="1"/>
      <w:marLeft w:val="0"/>
      <w:marRight w:val="0"/>
      <w:marTop w:val="0"/>
      <w:marBottom w:val="0"/>
      <w:divBdr>
        <w:top w:val="none" w:sz="0" w:space="0" w:color="auto"/>
        <w:left w:val="none" w:sz="0" w:space="0" w:color="auto"/>
        <w:bottom w:val="none" w:sz="0" w:space="0" w:color="auto"/>
        <w:right w:val="none" w:sz="0" w:space="0" w:color="auto"/>
      </w:divBdr>
    </w:div>
    <w:div w:id="1693409396">
      <w:bodyDiv w:val="1"/>
      <w:marLeft w:val="0"/>
      <w:marRight w:val="0"/>
      <w:marTop w:val="0"/>
      <w:marBottom w:val="0"/>
      <w:divBdr>
        <w:top w:val="none" w:sz="0" w:space="0" w:color="auto"/>
        <w:left w:val="none" w:sz="0" w:space="0" w:color="auto"/>
        <w:bottom w:val="none" w:sz="0" w:space="0" w:color="auto"/>
        <w:right w:val="none" w:sz="0" w:space="0" w:color="auto"/>
      </w:divBdr>
    </w:div>
    <w:div w:id="179590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59"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XSERV\COMMON\Projects\Current\PBAC\Current%20Submissions\Lenalidomide\Submission%20Files\Main%20body\Section%203%20CEA%20model_Nov%202018_v2.0.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95285307014293"/>
          <c:y val="3.646408522520684E-2"/>
          <c:w val="0.83211519772056608"/>
          <c:h val="0.74051353021155175"/>
        </c:manualLayout>
      </c:layout>
      <c:scatterChart>
        <c:scatterStyle val="lineMarker"/>
        <c:varyColors val="0"/>
        <c:ser>
          <c:idx val="1"/>
          <c:order val="0"/>
          <c:tx>
            <c:v>LEN OS</c:v>
          </c:tx>
          <c:spPr>
            <a:ln w="19050" cap="rnd">
              <a:solidFill>
                <a:schemeClr val="accent2"/>
              </a:solidFill>
              <a:prstDash val="sysDot"/>
              <a:round/>
            </a:ln>
            <a:effectLst/>
          </c:spPr>
          <c:marker>
            <c:symbol val="none"/>
          </c:marker>
          <c:xVal>
            <c:numRef>
              <c:f>OS!$B$81:$B$602</c:f>
              <c:numCache>
                <c:formatCode>0.00</c:formatCode>
                <c:ptCount val="522"/>
                <c:pt idx="0">
                  <c:v>0</c:v>
                </c:pt>
                <c:pt idx="1">
                  <c:v>7.665982203969883E-2</c:v>
                </c:pt>
                <c:pt idx="2">
                  <c:v>0.15331964407939766</c:v>
                </c:pt>
                <c:pt idx="3">
                  <c:v>0.2299794661190965</c:v>
                </c:pt>
                <c:pt idx="4">
                  <c:v>0.30663928815879532</c:v>
                </c:pt>
                <c:pt idx="5">
                  <c:v>0.38329911019849416</c:v>
                </c:pt>
                <c:pt idx="6">
                  <c:v>0.45995893223819301</c:v>
                </c:pt>
                <c:pt idx="7">
                  <c:v>0.53661875427789185</c:v>
                </c:pt>
                <c:pt idx="8">
                  <c:v>0.61327857631759064</c:v>
                </c:pt>
                <c:pt idx="9">
                  <c:v>0.68993839835728954</c:v>
                </c:pt>
                <c:pt idx="10">
                  <c:v>0.76659822039698833</c:v>
                </c:pt>
                <c:pt idx="11">
                  <c:v>0.84325804243668723</c:v>
                </c:pt>
                <c:pt idx="12">
                  <c:v>0.91991786447638602</c:v>
                </c:pt>
                <c:pt idx="13">
                  <c:v>0.99657768651608492</c:v>
                </c:pt>
                <c:pt idx="14">
                  <c:v>1.0732375085557837</c:v>
                </c:pt>
                <c:pt idx="15">
                  <c:v>1.1498973305954825</c:v>
                </c:pt>
                <c:pt idx="16">
                  <c:v>1.2265571526351813</c:v>
                </c:pt>
                <c:pt idx="17">
                  <c:v>1.3032169746748803</c:v>
                </c:pt>
                <c:pt idx="18">
                  <c:v>1.3798767967145791</c:v>
                </c:pt>
                <c:pt idx="19">
                  <c:v>1.4565366187542779</c:v>
                </c:pt>
                <c:pt idx="20">
                  <c:v>1.5331964407939767</c:v>
                </c:pt>
                <c:pt idx="21">
                  <c:v>1.6098562628336757</c:v>
                </c:pt>
                <c:pt idx="22">
                  <c:v>1.6865160848733745</c:v>
                </c:pt>
                <c:pt idx="23">
                  <c:v>1.7631759069130732</c:v>
                </c:pt>
                <c:pt idx="24">
                  <c:v>1.839835728952772</c:v>
                </c:pt>
                <c:pt idx="25">
                  <c:v>1.9164955509924708</c:v>
                </c:pt>
                <c:pt idx="26">
                  <c:v>1.9931553730321698</c:v>
                </c:pt>
                <c:pt idx="27">
                  <c:v>2.0698151950718686</c:v>
                </c:pt>
                <c:pt idx="28">
                  <c:v>2.1464750171115674</c:v>
                </c:pt>
                <c:pt idx="29">
                  <c:v>2.2231348391512662</c:v>
                </c:pt>
                <c:pt idx="30">
                  <c:v>2.299794661190965</c:v>
                </c:pt>
                <c:pt idx="31">
                  <c:v>2.3764544832306638</c:v>
                </c:pt>
                <c:pt idx="32">
                  <c:v>2.4531143052703626</c:v>
                </c:pt>
                <c:pt idx="33">
                  <c:v>2.5297741273100618</c:v>
                </c:pt>
                <c:pt idx="34">
                  <c:v>2.6064339493497606</c:v>
                </c:pt>
                <c:pt idx="35">
                  <c:v>2.6830937713894594</c:v>
                </c:pt>
                <c:pt idx="36">
                  <c:v>2.7597535934291582</c:v>
                </c:pt>
                <c:pt idx="37">
                  <c:v>2.8364134154688569</c:v>
                </c:pt>
                <c:pt idx="38">
                  <c:v>2.9130732375085557</c:v>
                </c:pt>
                <c:pt idx="39">
                  <c:v>2.9897330595482545</c:v>
                </c:pt>
                <c:pt idx="40">
                  <c:v>3.0663928815879533</c:v>
                </c:pt>
                <c:pt idx="41">
                  <c:v>3.1430527036276521</c:v>
                </c:pt>
                <c:pt idx="42">
                  <c:v>3.2197125256673513</c:v>
                </c:pt>
                <c:pt idx="43">
                  <c:v>3.2963723477070501</c:v>
                </c:pt>
                <c:pt idx="44">
                  <c:v>3.3730321697467489</c:v>
                </c:pt>
                <c:pt idx="45">
                  <c:v>3.4496919917864477</c:v>
                </c:pt>
                <c:pt idx="46">
                  <c:v>3.5263518138261465</c:v>
                </c:pt>
                <c:pt idx="47">
                  <c:v>3.6030116358658453</c:v>
                </c:pt>
                <c:pt idx="48">
                  <c:v>3.6796714579055441</c:v>
                </c:pt>
                <c:pt idx="49">
                  <c:v>3.7563312799452429</c:v>
                </c:pt>
                <c:pt idx="50">
                  <c:v>3.8329911019849416</c:v>
                </c:pt>
                <c:pt idx="51">
                  <c:v>3.9096509240246409</c:v>
                </c:pt>
                <c:pt idx="52">
                  <c:v>3.9863107460643397</c:v>
                </c:pt>
                <c:pt idx="53">
                  <c:v>4.0629705681040384</c:v>
                </c:pt>
                <c:pt idx="54">
                  <c:v>4.1396303901437372</c:v>
                </c:pt>
                <c:pt idx="55">
                  <c:v>4.216290212183436</c:v>
                </c:pt>
                <c:pt idx="56">
                  <c:v>4.2929500342231348</c:v>
                </c:pt>
                <c:pt idx="57">
                  <c:v>4.3696098562628336</c:v>
                </c:pt>
                <c:pt idx="58">
                  <c:v>4.4462696783025324</c:v>
                </c:pt>
                <c:pt idx="59">
                  <c:v>4.5229295003422312</c:v>
                </c:pt>
                <c:pt idx="60">
                  <c:v>4.59958932238193</c:v>
                </c:pt>
                <c:pt idx="61">
                  <c:v>4.6762491444216288</c:v>
                </c:pt>
                <c:pt idx="62">
                  <c:v>4.7529089664613275</c:v>
                </c:pt>
                <c:pt idx="63">
                  <c:v>4.8295687885010263</c:v>
                </c:pt>
                <c:pt idx="64">
                  <c:v>4.9062286105407251</c:v>
                </c:pt>
                <c:pt idx="65">
                  <c:v>4.9828884325804248</c:v>
                </c:pt>
                <c:pt idx="66">
                  <c:v>5.0595482546201236</c:v>
                </c:pt>
                <c:pt idx="67">
                  <c:v>5.1362080766598224</c:v>
                </c:pt>
                <c:pt idx="68">
                  <c:v>5.2128678986995212</c:v>
                </c:pt>
                <c:pt idx="69">
                  <c:v>5.28952772073922</c:v>
                </c:pt>
                <c:pt idx="70">
                  <c:v>5.3661875427789187</c:v>
                </c:pt>
                <c:pt idx="71">
                  <c:v>5.4428473648186175</c:v>
                </c:pt>
                <c:pt idx="72">
                  <c:v>5.5195071868583163</c:v>
                </c:pt>
                <c:pt idx="73">
                  <c:v>5.5961670088980151</c:v>
                </c:pt>
                <c:pt idx="74">
                  <c:v>5.6728268309377139</c:v>
                </c:pt>
                <c:pt idx="75">
                  <c:v>5.7494866529774127</c:v>
                </c:pt>
                <c:pt idx="76">
                  <c:v>5.8261464750171115</c:v>
                </c:pt>
                <c:pt idx="77">
                  <c:v>5.9028062970568103</c:v>
                </c:pt>
                <c:pt idx="78">
                  <c:v>5.979466119096509</c:v>
                </c:pt>
                <c:pt idx="79">
                  <c:v>6.0561259411362078</c:v>
                </c:pt>
                <c:pt idx="80">
                  <c:v>6.1327857631759066</c:v>
                </c:pt>
                <c:pt idx="81">
                  <c:v>6.2094455852156054</c:v>
                </c:pt>
                <c:pt idx="82">
                  <c:v>6.2861054072553042</c:v>
                </c:pt>
                <c:pt idx="83">
                  <c:v>6.362765229295003</c:v>
                </c:pt>
                <c:pt idx="84">
                  <c:v>6.4394250513347027</c:v>
                </c:pt>
                <c:pt idx="85">
                  <c:v>6.5160848733744015</c:v>
                </c:pt>
                <c:pt idx="86">
                  <c:v>6.5927446954141002</c:v>
                </c:pt>
                <c:pt idx="87">
                  <c:v>6.669404517453799</c:v>
                </c:pt>
                <c:pt idx="88">
                  <c:v>6.7460643394934978</c:v>
                </c:pt>
                <c:pt idx="89">
                  <c:v>6.8227241615331966</c:v>
                </c:pt>
                <c:pt idx="90">
                  <c:v>6.8993839835728954</c:v>
                </c:pt>
                <c:pt idx="91">
                  <c:v>6.9760438056125942</c:v>
                </c:pt>
                <c:pt idx="92">
                  <c:v>7.052703627652293</c:v>
                </c:pt>
                <c:pt idx="93">
                  <c:v>7.1293634496919918</c:v>
                </c:pt>
                <c:pt idx="94">
                  <c:v>7.2060232717316905</c:v>
                </c:pt>
                <c:pt idx="95">
                  <c:v>7.2826830937713893</c:v>
                </c:pt>
                <c:pt idx="96">
                  <c:v>7.3593429158110881</c:v>
                </c:pt>
                <c:pt idx="97">
                  <c:v>7.4360027378507869</c:v>
                </c:pt>
                <c:pt idx="98">
                  <c:v>7.5126625598904857</c:v>
                </c:pt>
                <c:pt idx="99">
                  <c:v>7.5893223819301845</c:v>
                </c:pt>
                <c:pt idx="100">
                  <c:v>7.6659822039698833</c:v>
                </c:pt>
                <c:pt idx="101">
                  <c:v>7.7426420260095821</c:v>
                </c:pt>
                <c:pt idx="102">
                  <c:v>7.8193018480492817</c:v>
                </c:pt>
                <c:pt idx="103">
                  <c:v>7.8959616700889805</c:v>
                </c:pt>
                <c:pt idx="104">
                  <c:v>7.9726214921286793</c:v>
                </c:pt>
                <c:pt idx="105">
                  <c:v>8.0492813141683772</c:v>
                </c:pt>
                <c:pt idx="106">
                  <c:v>8.1259411362080769</c:v>
                </c:pt>
                <c:pt idx="107">
                  <c:v>8.2026009582477748</c:v>
                </c:pt>
                <c:pt idx="108">
                  <c:v>8.2792607802874745</c:v>
                </c:pt>
                <c:pt idx="109">
                  <c:v>8.3559206023271724</c:v>
                </c:pt>
                <c:pt idx="110">
                  <c:v>8.4325804243668721</c:v>
                </c:pt>
                <c:pt idx="111">
                  <c:v>8.5092402464065717</c:v>
                </c:pt>
                <c:pt idx="112">
                  <c:v>8.5859000684462696</c:v>
                </c:pt>
                <c:pt idx="113">
                  <c:v>8.6625598904859693</c:v>
                </c:pt>
                <c:pt idx="114">
                  <c:v>8.7392197125256672</c:v>
                </c:pt>
                <c:pt idx="115">
                  <c:v>8.8158795345653669</c:v>
                </c:pt>
                <c:pt idx="116">
                  <c:v>8.8925393566050648</c:v>
                </c:pt>
                <c:pt idx="117">
                  <c:v>8.9691991786447645</c:v>
                </c:pt>
                <c:pt idx="118">
                  <c:v>9.0458590006844624</c:v>
                </c:pt>
                <c:pt idx="119">
                  <c:v>9.122518822724162</c:v>
                </c:pt>
                <c:pt idx="120">
                  <c:v>9.1991786447638599</c:v>
                </c:pt>
                <c:pt idx="121">
                  <c:v>9.2758384668035596</c:v>
                </c:pt>
                <c:pt idx="122">
                  <c:v>9.3524982888432575</c:v>
                </c:pt>
                <c:pt idx="123">
                  <c:v>9.4291581108829572</c:v>
                </c:pt>
                <c:pt idx="124">
                  <c:v>9.5058179329226551</c:v>
                </c:pt>
                <c:pt idx="125">
                  <c:v>9.5824777549623548</c:v>
                </c:pt>
                <c:pt idx="126">
                  <c:v>9.6591375770020527</c:v>
                </c:pt>
                <c:pt idx="127">
                  <c:v>9.7357973990417523</c:v>
                </c:pt>
                <c:pt idx="128">
                  <c:v>9.8124572210814502</c:v>
                </c:pt>
                <c:pt idx="129">
                  <c:v>9.8891170431211499</c:v>
                </c:pt>
                <c:pt idx="130">
                  <c:v>9.9657768651608496</c:v>
                </c:pt>
                <c:pt idx="131">
                  <c:v>10.042436687200547</c:v>
                </c:pt>
                <c:pt idx="132">
                  <c:v>10.119096509240247</c:v>
                </c:pt>
                <c:pt idx="133">
                  <c:v>10.195756331279945</c:v>
                </c:pt>
                <c:pt idx="134">
                  <c:v>10.272416153319645</c:v>
                </c:pt>
                <c:pt idx="135">
                  <c:v>10.349075975359343</c:v>
                </c:pt>
                <c:pt idx="136">
                  <c:v>10.425735797399042</c:v>
                </c:pt>
                <c:pt idx="137">
                  <c:v>10.50239561943874</c:v>
                </c:pt>
                <c:pt idx="138">
                  <c:v>10.57905544147844</c:v>
                </c:pt>
                <c:pt idx="139">
                  <c:v>10.655715263518138</c:v>
                </c:pt>
                <c:pt idx="140">
                  <c:v>10.732375085557837</c:v>
                </c:pt>
                <c:pt idx="141">
                  <c:v>10.809034907597535</c:v>
                </c:pt>
                <c:pt idx="142">
                  <c:v>10.885694729637235</c:v>
                </c:pt>
                <c:pt idx="143">
                  <c:v>10.962354551676933</c:v>
                </c:pt>
                <c:pt idx="144">
                  <c:v>11.039014373716633</c:v>
                </c:pt>
                <c:pt idx="145">
                  <c:v>11.115674195756331</c:v>
                </c:pt>
                <c:pt idx="146">
                  <c:v>11.19233401779603</c:v>
                </c:pt>
                <c:pt idx="147">
                  <c:v>11.268993839835728</c:v>
                </c:pt>
                <c:pt idx="148">
                  <c:v>11.345653661875428</c:v>
                </c:pt>
                <c:pt idx="149">
                  <c:v>11.422313483915127</c:v>
                </c:pt>
                <c:pt idx="150">
                  <c:v>11.498973305954825</c:v>
                </c:pt>
                <c:pt idx="151">
                  <c:v>11.575633127994525</c:v>
                </c:pt>
                <c:pt idx="152">
                  <c:v>11.652292950034223</c:v>
                </c:pt>
                <c:pt idx="153">
                  <c:v>11.728952772073923</c:v>
                </c:pt>
                <c:pt idx="154">
                  <c:v>11.805612594113621</c:v>
                </c:pt>
                <c:pt idx="155">
                  <c:v>11.88227241615332</c:v>
                </c:pt>
                <c:pt idx="156">
                  <c:v>11.958932238193018</c:v>
                </c:pt>
                <c:pt idx="157">
                  <c:v>12.035592060232718</c:v>
                </c:pt>
                <c:pt idx="158">
                  <c:v>12.112251882272416</c:v>
                </c:pt>
                <c:pt idx="159">
                  <c:v>12.188911704312115</c:v>
                </c:pt>
                <c:pt idx="160">
                  <c:v>12.265571526351813</c:v>
                </c:pt>
                <c:pt idx="161">
                  <c:v>12.342231348391513</c:v>
                </c:pt>
                <c:pt idx="162">
                  <c:v>12.418891170431211</c:v>
                </c:pt>
                <c:pt idx="163">
                  <c:v>12.495550992470911</c:v>
                </c:pt>
                <c:pt idx="164">
                  <c:v>12.572210814510608</c:v>
                </c:pt>
                <c:pt idx="165">
                  <c:v>12.648870636550308</c:v>
                </c:pt>
                <c:pt idx="166">
                  <c:v>12.725530458590006</c:v>
                </c:pt>
                <c:pt idx="167">
                  <c:v>12.802190280629706</c:v>
                </c:pt>
                <c:pt idx="168">
                  <c:v>12.878850102669405</c:v>
                </c:pt>
                <c:pt idx="169">
                  <c:v>12.955509924709103</c:v>
                </c:pt>
                <c:pt idx="170">
                  <c:v>13.032169746748803</c:v>
                </c:pt>
                <c:pt idx="171">
                  <c:v>13.108829568788501</c:v>
                </c:pt>
                <c:pt idx="172">
                  <c:v>13.1854893908282</c:v>
                </c:pt>
                <c:pt idx="173">
                  <c:v>13.262149212867898</c:v>
                </c:pt>
                <c:pt idx="174">
                  <c:v>13.338809034907598</c:v>
                </c:pt>
                <c:pt idx="175">
                  <c:v>13.415468856947296</c:v>
                </c:pt>
                <c:pt idx="176">
                  <c:v>13.492128678986996</c:v>
                </c:pt>
                <c:pt idx="177">
                  <c:v>13.568788501026694</c:v>
                </c:pt>
                <c:pt idx="178">
                  <c:v>13.645448323066393</c:v>
                </c:pt>
                <c:pt idx="179">
                  <c:v>13.722108145106091</c:v>
                </c:pt>
                <c:pt idx="180">
                  <c:v>13.798767967145791</c:v>
                </c:pt>
                <c:pt idx="181">
                  <c:v>13.875427789185489</c:v>
                </c:pt>
                <c:pt idx="182">
                  <c:v>13.952087611225188</c:v>
                </c:pt>
                <c:pt idx="183">
                  <c:v>14.028747433264886</c:v>
                </c:pt>
                <c:pt idx="184">
                  <c:v>14.105407255304586</c:v>
                </c:pt>
                <c:pt idx="185">
                  <c:v>14.182067077344286</c:v>
                </c:pt>
                <c:pt idx="186">
                  <c:v>14.258726899383984</c:v>
                </c:pt>
                <c:pt idx="187">
                  <c:v>14.335386721423683</c:v>
                </c:pt>
                <c:pt idx="188">
                  <c:v>14.412046543463381</c:v>
                </c:pt>
                <c:pt idx="189">
                  <c:v>14.488706365503081</c:v>
                </c:pt>
                <c:pt idx="190">
                  <c:v>14.565366187542779</c:v>
                </c:pt>
                <c:pt idx="191">
                  <c:v>14.642026009582478</c:v>
                </c:pt>
                <c:pt idx="192">
                  <c:v>14.718685831622176</c:v>
                </c:pt>
                <c:pt idx="193">
                  <c:v>14.795345653661876</c:v>
                </c:pt>
                <c:pt idx="194">
                  <c:v>14.872005475701574</c:v>
                </c:pt>
                <c:pt idx="195">
                  <c:v>14.948665297741274</c:v>
                </c:pt>
                <c:pt idx="196">
                  <c:v>15.025325119780971</c:v>
                </c:pt>
                <c:pt idx="197">
                  <c:v>15.101984941820671</c:v>
                </c:pt>
                <c:pt idx="198">
                  <c:v>15.178644763860369</c:v>
                </c:pt>
                <c:pt idx="199">
                  <c:v>15.255304585900069</c:v>
                </c:pt>
                <c:pt idx="200">
                  <c:v>15.331964407939767</c:v>
                </c:pt>
                <c:pt idx="201">
                  <c:v>15.408624229979466</c:v>
                </c:pt>
                <c:pt idx="202">
                  <c:v>15.485284052019164</c:v>
                </c:pt>
                <c:pt idx="203">
                  <c:v>15.561943874058864</c:v>
                </c:pt>
                <c:pt idx="204">
                  <c:v>15.638603696098563</c:v>
                </c:pt>
                <c:pt idx="205">
                  <c:v>15.715263518138261</c:v>
                </c:pt>
                <c:pt idx="206">
                  <c:v>15.791923340177961</c:v>
                </c:pt>
                <c:pt idx="207">
                  <c:v>15.868583162217659</c:v>
                </c:pt>
                <c:pt idx="208">
                  <c:v>15.945242984257359</c:v>
                </c:pt>
                <c:pt idx="209">
                  <c:v>16.021902806297057</c:v>
                </c:pt>
                <c:pt idx="210">
                  <c:v>16.098562628336754</c:v>
                </c:pt>
                <c:pt idx="211">
                  <c:v>16.175222450376456</c:v>
                </c:pt>
                <c:pt idx="212">
                  <c:v>16.251882272416154</c:v>
                </c:pt>
                <c:pt idx="213">
                  <c:v>16.328542094455852</c:v>
                </c:pt>
                <c:pt idx="214">
                  <c:v>16.40520191649555</c:v>
                </c:pt>
                <c:pt idx="215">
                  <c:v>16.481861738535251</c:v>
                </c:pt>
                <c:pt idx="216">
                  <c:v>16.558521560574949</c:v>
                </c:pt>
                <c:pt idx="217">
                  <c:v>16.635181382614647</c:v>
                </c:pt>
                <c:pt idx="218">
                  <c:v>16.711841204654345</c:v>
                </c:pt>
                <c:pt idx="219">
                  <c:v>16.788501026694046</c:v>
                </c:pt>
                <c:pt idx="220">
                  <c:v>16.865160848733744</c:v>
                </c:pt>
                <c:pt idx="221">
                  <c:v>16.941820670773442</c:v>
                </c:pt>
                <c:pt idx="222">
                  <c:v>17.018480492813143</c:v>
                </c:pt>
                <c:pt idx="223">
                  <c:v>17.095140314852841</c:v>
                </c:pt>
                <c:pt idx="224">
                  <c:v>17.171800136892539</c:v>
                </c:pt>
                <c:pt idx="225">
                  <c:v>17.248459958932237</c:v>
                </c:pt>
                <c:pt idx="226">
                  <c:v>17.325119780971939</c:v>
                </c:pt>
                <c:pt idx="227">
                  <c:v>17.401779603011637</c:v>
                </c:pt>
                <c:pt idx="228">
                  <c:v>17.478439425051334</c:v>
                </c:pt>
                <c:pt idx="229">
                  <c:v>17.555099247091032</c:v>
                </c:pt>
                <c:pt idx="230">
                  <c:v>17.631759069130734</c:v>
                </c:pt>
                <c:pt idx="231">
                  <c:v>17.708418891170432</c:v>
                </c:pt>
                <c:pt idx="232">
                  <c:v>17.78507871321013</c:v>
                </c:pt>
                <c:pt idx="233">
                  <c:v>17.861738535249827</c:v>
                </c:pt>
                <c:pt idx="234">
                  <c:v>17.938398357289529</c:v>
                </c:pt>
                <c:pt idx="235">
                  <c:v>18.015058179329227</c:v>
                </c:pt>
                <c:pt idx="236">
                  <c:v>18.091718001368925</c:v>
                </c:pt>
                <c:pt idx="237">
                  <c:v>18.168377823408623</c:v>
                </c:pt>
                <c:pt idx="238">
                  <c:v>18.245037645448324</c:v>
                </c:pt>
                <c:pt idx="239">
                  <c:v>18.321697467488022</c:v>
                </c:pt>
                <c:pt idx="240">
                  <c:v>18.39835728952772</c:v>
                </c:pt>
                <c:pt idx="241">
                  <c:v>18.475017111567421</c:v>
                </c:pt>
                <c:pt idx="242">
                  <c:v>18.551676933607119</c:v>
                </c:pt>
                <c:pt idx="243">
                  <c:v>18.628336755646817</c:v>
                </c:pt>
                <c:pt idx="244">
                  <c:v>18.704996577686515</c:v>
                </c:pt>
                <c:pt idx="245">
                  <c:v>18.781656399726216</c:v>
                </c:pt>
                <c:pt idx="246">
                  <c:v>18.858316221765914</c:v>
                </c:pt>
                <c:pt idx="247">
                  <c:v>18.934976043805612</c:v>
                </c:pt>
                <c:pt idx="248">
                  <c:v>19.01163586584531</c:v>
                </c:pt>
                <c:pt idx="249">
                  <c:v>19.088295687885012</c:v>
                </c:pt>
                <c:pt idx="250">
                  <c:v>19.16495550992471</c:v>
                </c:pt>
                <c:pt idx="251">
                  <c:v>19.241615331964407</c:v>
                </c:pt>
                <c:pt idx="252">
                  <c:v>19.318275154004105</c:v>
                </c:pt>
                <c:pt idx="253">
                  <c:v>19.394934976043807</c:v>
                </c:pt>
                <c:pt idx="254">
                  <c:v>19.471594798083505</c:v>
                </c:pt>
                <c:pt idx="255">
                  <c:v>19.548254620123203</c:v>
                </c:pt>
                <c:pt idx="256">
                  <c:v>19.6249144421629</c:v>
                </c:pt>
                <c:pt idx="257">
                  <c:v>19.701574264202602</c:v>
                </c:pt>
                <c:pt idx="258">
                  <c:v>19.7782340862423</c:v>
                </c:pt>
                <c:pt idx="259">
                  <c:v>19.854893908281998</c:v>
                </c:pt>
                <c:pt idx="260">
                  <c:v>19.931553730321699</c:v>
                </c:pt>
                <c:pt idx="261">
                  <c:v>20.008213552361397</c:v>
                </c:pt>
                <c:pt idx="262">
                  <c:v>20.084873374401095</c:v>
                </c:pt>
                <c:pt idx="263">
                  <c:v>20.161533196440793</c:v>
                </c:pt>
                <c:pt idx="264">
                  <c:v>20.238193018480494</c:v>
                </c:pt>
                <c:pt idx="265">
                  <c:v>20.314852840520192</c:v>
                </c:pt>
                <c:pt idx="266">
                  <c:v>20.39151266255989</c:v>
                </c:pt>
                <c:pt idx="267">
                  <c:v>20.468172484599588</c:v>
                </c:pt>
                <c:pt idx="268">
                  <c:v>20.544832306639289</c:v>
                </c:pt>
                <c:pt idx="269">
                  <c:v>20.621492128678987</c:v>
                </c:pt>
                <c:pt idx="270">
                  <c:v>20.698151950718685</c:v>
                </c:pt>
                <c:pt idx="271">
                  <c:v>20.774811772758383</c:v>
                </c:pt>
                <c:pt idx="272">
                  <c:v>20.851471594798085</c:v>
                </c:pt>
                <c:pt idx="273">
                  <c:v>20.928131416837783</c:v>
                </c:pt>
                <c:pt idx="274">
                  <c:v>21.00479123887748</c:v>
                </c:pt>
                <c:pt idx="275">
                  <c:v>21.081451060917178</c:v>
                </c:pt>
                <c:pt idx="276">
                  <c:v>21.15811088295688</c:v>
                </c:pt>
                <c:pt idx="277">
                  <c:v>21.234770704996578</c:v>
                </c:pt>
                <c:pt idx="278">
                  <c:v>21.311430527036276</c:v>
                </c:pt>
                <c:pt idx="279">
                  <c:v>21.388090349075977</c:v>
                </c:pt>
                <c:pt idx="280">
                  <c:v>21.464750171115675</c:v>
                </c:pt>
                <c:pt idx="281">
                  <c:v>21.541409993155373</c:v>
                </c:pt>
                <c:pt idx="282">
                  <c:v>21.618069815195071</c:v>
                </c:pt>
                <c:pt idx="283">
                  <c:v>21.694729637234772</c:v>
                </c:pt>
                <c:pt idx="284">
                  <c:v>21.77138945927447</c:v>
                </c:pt>
                <c:pt idx="285">
                  <c:v>21.848049281314168</c:v>
                </c:pt>
                <c:pt idx="286">
                  <c:v>21.924709103353866</c:v>
                </c:pt>
                <c:pt idx="287">
                  <c:v>22.001368925393567</c:v>
                </c:pt>
                <c:pt idx="288">
                  <c:v>22.078028747433265</c:v>
                </c:pt>
                <c:pt idx="289">
                  <c:v>22.154688569472963</c:v>
                </c:pt>
                <c:pt idx="290">
                  <c:v>22.231348391512661</c:v>
                </c:pt>
                <c:pt idx="291">
                  <c:v>22.308008213552363</c:v>
                </c:pt>
                <c:pt idx="292">
                  <c:v>22.38466803559206</c:v>
                </c:pt>
                <c:pt idx="293">
                  <c:v>22.461327857631758</c:v>
                </c:pt>
                <c:pt idx="294">
                  <c:v>22.537987679671456</c:v>
                </c:pt>
                <c:pt idx="295">
                  <c:v>22.614647501711158</c:v>
                </c:pt>
                <c:pt idx="296">
                  <c:v>22.691307323750856</c:v>
                </c:pt>
                <c:pt idx="297">
                  <c:v>22.767967145790553</c:v>
                </c:pt>
                <c:pt idx="298">
                  <c:v>22.844626967830255</c:v>
                </c:pt>
                <c:pt idx="299">
                  <c:v>22.921286789869953</c:v>
                </c:pt>
                <c:pt idx="300">
                  <c:v>22.997946611909651</c:v>
                </c:pt>
                <c:pt idx="301">
                  <c:v>23.074606433949349</c:v>
                </c:pt>
                <c:pt idx="302">
                  <c:v>23.15126625598905</c:v>
                </c:pt>
                <c:pt idx="303">
                  <c:v>23.227926078028748</c:v>
                </c:pt>
                <c:pt idx="304">
                  <c:v>23.304585900068446</c:v>
                </c:pt>
                <c:pt idx="305">
                  <c:v>23.381245722108144</c:v>
                </c:pt>
                <c:pt idx="306">
                  <c:v>23.457905544147845</c:v>
                </c:pt>
                <c:pt idx="307">
                  <c:v>23.534565366187543</c:v>
                </c:pt>
                <c:pt idx="308">
                  <c:v>23.611225188227241</c:v>
                </c:pt>
                <c:pt idx="309">
                  <c:v>23.687885010266939</c:v>
                </c:pt>
                <c:pt idx="310">
                  <c:v>23.76454483230664</c:v>
                </c:pt>
                <c:pt idx="311">
                  <c:v>23.841204654346338</c:v>
                </c:pt>
                <c:pt idx="312">
                  <c:v>23.917864476386036</c:v>
                </c:pt>
                <c:pt idx="313">
                  <c:v>23.994524298425734</c:v>
                </c:pt>
                <c:pt idx="314">
                  <c:v>24.071184120465436</c:v>
                </c:pt>
                <c:pt idx="315">
                  <c:v>24.147843942505133</c:v>
                </c:pt>
                <c:pt idx="316">
                  <c:v>24.224503764544831</c:v>
                </c:pt>
                <c:pt idx="317">
                  <c:v>24.301163586584533</c:v>
                </c:pt>
                <c:pt idx="318">
                  <c:v>24.377823408624231</c:v>
                </c:pt>
                <c:pt idx="319">
                  <c:v>24.454483230663929</c:v>
                </c:pt>
                <c:pt idx="320">
                  <c:v>24.531143052703626</c:v>
                </c:pt>
                <c:pt idx="321">
                  <c:v>24.607802874743328</c:v>
                </c:pt>
                <c:pt idx="322">
                  <c:v>24.684462696783026</c:v>
                </c:pt>
                <c:pt idx="323">
                  <c:v>24.761122518822724</c:v>
                </c:pt>
                <c:pt idx="324">
                  <c:v>24.837782340862422</c:v>
                </c:pt>
                <c:pt idx="325">
                  <c:v>24.914442162902123</c:v>
                </c:pt>
                <c:pt idx="326">
                  <c:v>24.991101984941821</c:v>
                </c:pt>
                <c:pt idx="327">
                  <c:v>25.067761806981519</c:v>
                </c:pt>
                <c:pt idx="328">
                  <c:v>25.144421629021217</c:v>
                </c:pt>
                <c:pt idx="329">
                  <c:v>25.221081451060918</c:v>
                </c:pt>
                <c:pt idx="330">
                  <c:v>25.297741273100616</c:v>
                </c:pt>
                <c:pt idx="331">
                  <c:v>25.374401095140314</c:v>
                </c:pt>
                <c:pt idx="332">
                  <c:v>25.451060917180012</c:v>
                </c:pt>
                <c:pt idx="333">
                  <c:v>25.527720739219713</c:v>
                </c:pt>
                <c:pt idx="334">
                  <c:v>25.604380561259411</c:v>
                </c:pt>
                <c:pt idx="335">
                  <c:v>25.681040383299109</c:v>
                </c:pt>
                <c:pt idx="336">
                  <c:v>25.757700205338811</c:v>
                </c:pt>
                <c:pt idx="337">
                  <c:v>25.834360027378509</c:v>
                </c:pt>
                <c:pt idx="338">
                  <c:v>25.911019849418206</c:v>
                </c:pt>
                <c:pt idx="339">
                  <c:v>25.987679671457904</c:v>
                </c:pt>
                <c:pt idx="340">
                  <c:v>26.064339493497606</c:v>
                </c:pt>
                <c:pt idx="341">
                  <c:v>26.140999315537304</c:v>
                </c:pt>
                <c:pt idx="342">
                  <c:v>26.217659137577002</c:v>
                </c:pt>
                <c:pt idx="343">
                  <c:v>26.2943189596167</c:v>
                </c:pt>
                <c:pt idx="344">
                  <c:v>26.370978781656401</c:v>
                </c:pt>
                <c:pt idx="345">
                  <c:v>26.447638603696099</c:v>
                </c:pt>
                <c:pt idx="346">
                  <c:v>26.524298425735797</c:v>
                </c:pt>
                <c:pt idx="347">
                  <c:v>26.600958247775495</c:v>
                </c:pt>
                <c:pt idx="348">
                  <c:v>26.677618069815196</c:v>
                </c:pt>
                <c:pt idx="349">
                  <c:v>26.754277891854894</c:v>
                </c:pt>
                <c:pt idx="350">
                  <c:v>26.830937713894592</c:v>
                </c:pt>
                <c:pt idx="351">
                  <c:v>26.90759753593429</c:v>
                </c:pt>
                <c:pt idx="352">
                  <c:v>26.984257357973991</c:v>
                </c:pt>
                <c:pt idx="353">
                  <c:v>27.060917180013689</c:v>
                </c:pt>
                <c:pt idx="354">
                  <c:v>27.137577002053387</c:v>
                </c:pt>
                <c:pt idx="355">
                  <c:v>27.214236824093089</c:v>
                </c:pt>
                <c:pt idx="356">
                  <c:v>27.290896646132786</c:v>
                </c:pt>
                <c:pt idx="357">
                  <c:v>27.367556468172484</c:v>
                </c:pt>
                <c:pt idx="358">
                  <c:v>27.444216290212182</c:v>
                </c:pt>
                <c:pt idx="359">
                  <c:v>27.520876112251884</c:v>
                </c:pt>
                <c:pt idx="360">
                  <c:v>27.597535934291582</c:v>
                </c:pt>
                <c:pt idx="361">
                  <c:v>27.674195756331279</c:v>
                </c:pt>
                <c:pt idx="362">
                  <c:v>27.750855578370977</c:v>
                </c:pt>
                <c:pt idx="363">
                  <c:v>27.827515400410679</c:v>
                </c:pt>
                <c:pt idx="364">
                  <c:v>27.904175222450377</c:v>
                </c:pt>
                <c:pt idx="365">
                  <c:v>27.980835044490075</c:v>
                </c:pt>
                <c:pt idx="366">
                  <c:v>28.057494866529773</c:v>
                </c:pt>
                <c:pt idx="367">
                  <c:v>28.134154688569474</c:v>
                </c:pt>
                <c:pt idx="368">
                  <c:v>28.210814510609172</c:v>
                </c:pt>
                <c:pt idx="369">
                  <c:v>28.28747433264887</c:v>
                </c:pt>
                <c:pt idx="370">
                  <c:v>28.364134154688571</c:v>
                </c:pt>
                <c:pt idx="371">
                  <c:v>28.440793976728269</c:v>
                </c:pt>
                <c:pt idx="372">
                  <c:v>28.517453798767967</c:v>
                </c:pt>
                <c:pt idx="373">
                  <c:v>28.594113620807665</c:v>
                </c:pt>
                <c:pt idx="374">
                  <c:v>28.670773442847366</c:v>
                </c:pt>
                <c:pt idx="375">
                  <c:v>28.747433264887064</c:v>
                </c:pt>
                <c:pt idx="376">
                  <c:v>28.824093086926762</c:v>
                </c:pt>
                <c:pt idx="377">
                  <c:v>28.90075290896646</c:v>
                </c:pt>
                <c:pt idx="378">
                  <c:v>28.977412731006162</c:v>
                </c:pt>
                <c:pt idx="379">
                  <c:v>29.054072553045859</c:v>
                </c:pt>
                <c:pt idx="380">
                  <c:v>29.130732375085557</c:v>
                </c:pt>
                <c:pt idx="381">
                  <c:v>29.207392197125255</c:v>
                </c:pt>
                <c:pt idx="382">
                  <c:v>29.284052019164957</c:v>
                </c:pt>
                <c:pt idx="383">
                  <c:v>29.360711841204655</c:v>
                </c:pt>
                <c:pt idx="384">
                  <c:v>29.437371663244353</c:v>
                </c:pt>
                <c:pt idx="385">
                  <c:v>29.51403148528405</c:v>
                </c:pt>
                <c:pt idx="386">
                  <c:v>29.590691307323752</c:v>
                </c:pt>
                <c:pt idx="387">
                  <c:v>29.66735112936345</c:v>
                </c:pt>
                <c:pt idx="388">
                  <c:v>29.744010951403148</c:v>
                </c:pt>
                <c:pt idx="389">
                  <c:v>29.820670773442849</c:v>
                </c:pt>
                <c:pt idx="390">
                  <c:v>29.897330595482547</c:v>
                </c:pt>
                <c:pt idx="391">
                  <c:v>29.973990417522245</c:v>
                </c:pt>
                <c:pt idx="392">
                  <c:v>30.050650239561943</c:v>
                </c:pt>
                <c:pt idx="393">
                  <c:v>30.127310061601644</c:v>
                </c:pt>
                <c:pt idx="394">
                  <c:v>30.203969883641342</c:v>
                </c:pt>
                <c:pt idx="395">
                  <c:v>30.28062970568104</c:v>
                </c:pt>
                <c:pt idx="396">
                  <c:v>30.357289527720738</c:v>
                </c:pt>
                <c:pt idx="397">
                  <c:v>30.433949349760439</c:v>
                </c:pt>
                <c:pt idx="398">
                  <c:v>30.510609171800137</c:v>
                </c:pt>
                <c:pt idx="399">
                  <c:v>30.587268993839835</c:v>
                </c:pt>
                <c:pt idx="400">
                  <c:v>30.663928815879533</c:v>
                </c:pt>
                <c:pt idx="401">
                  <c:v>30.740588637919235</c:v>
                </c:pt>
                <c:pt idx="402">
                  <c:v>30.817248459958932</c:v>
                </c:pt>
                <c:pt idx="403">
                  <c:v>30.89390828199863</c:v>
                </c:pt>
                <c:pt idx="404">
                  <c:v>30.970568104038328</c:v>
                </c:pt>
                <c:pt idx="405">
                  <c:v>31.04722792607803</c:v>
                </c:pt>
                <c:pt idx="406">
                  <c:v>31.123887748117728</c:v>
                </c:pt>
                <c:pt idx="407">
                  <c:v>31.200547570157426</c:v>
                </c:pt>
                <c:pt idx="408">
                  <c:v>31.277207392197127</c:v>
                </c:pt>
                <c:pt idx="409">
                  <c:v>31.353867214236825</c:v>
                </c:pt>
                <c:pt idx="410">
                  <c:v>31.430527036276523</c:v>
                </c:pt>
                <c:pt idx="411">
                  <c:v>31.507186858316221</c:v>
                </c:pt>
                <c:pt idx="412">
                  <c:v>31.583846680355922</c:v>
                </c:pt>
                <c:pt idx="413">
                  <c:v>31.66050650239562</c:v>
                </c:pt>
                <c:pt idx="414">
                  <c:v>31.737166324435318</c:v>
                </c:pt>
                <c:pt idx="415">
                  <c:v>31.813826146475016</c:v>
                </c:pt>
                <c:pt idx="416">
                  <c:v>31.890485968514717</c:v>
                </c:pt>
                <c:pt idx="417">
                  <c:v>31.967145790554415</c:v>
                </c:pt>
                <c:pt idx="418">
                  <c:v>32.043805612594113</c:v>
                </c:pt>
                <c:pt idx="419">
                  <c:v>32.120465434633815</c:v>
                </c:pt>
                <c:pt idx="420">
                  <c:v>32.197125256673509</c:v>
                </c:pt>
                <c:pt idx="421">
                  <c:v>32.27378507871321</c:v>
                </c:pt>
                <c:pt idx="422">
                  <c:v>32.350444900752912</c:v>
                </c:pt>
                <c:pt idx="423">
                  <c:v>32.427104722792606</c:v>
                </c:pt>
                <c:pt idx="424">
                  <c:v>32.503764544832308</c:v>
                </c:pt>
                <c:pt idx="425">
                  <c:v>32.580424366872002</c:v>
                </c:pt>
                <c:pt idx="426">
                  <c:v>32.657084188911703</c:v>
                </c:pt>
                <c:pt idx="427">
                  <c:v>32.733744010951405</c:v>
                </c:pt>
                <c:pt idx="428">
                  <c:v>32.810403832991099</c:v>
                </c:pt>
                <c:pt idx="429">
                  <c:v>32.887063655030801</c:v>
                </c:pt>
                <c:pt idx="430">
                  <c:v>32.963723477070502</c:v>
                </c:pt>
                <c:pt idx="431">
                  <c:v>33.040383299110196</c:v>
                </c:pt>
                <c:pt idx="432">
                  <c:v>33.117043121149898</c:v>
                </c:pt>
                <c:pt idx="433">
                  <c:v>33.193702943189599</c:v>
                </c:pt>
                <c:pt idx="434">
                  <c:v>33.270362765229294</c:v>
                </c:pt>
                <c:pt idx="435">
                  <c:v>33.347022587268995</c:v>
                </c:pt>
                <c:pt idx="436">
                  <c:v>33.42368240930869</c:v>
                </c:pt>
                <c:pt idx="437">
                  <c:v>33.500342231348391</c:v>
                </c:pt>
                <c:pt idx="438">
                  <c:v>33.577002053388092</c:v>
                </c:pt>
                <c:pt idx="439">
                  <c:v>33.653661875427787</c:v>
                </c:pt>
                <c:pt idx="440">
                  <c:v>33.730321697467488</c:v>
                </c:pt>
                <c:pt idx="441">
                  <c:v>33.80698151950719</c:v>
                </c:pt>
                <c:pt idx="442">
                  <c:v>33.883641341546884</c:v>
                </c:pt>
                <c:pt idx="443">
                  <c:v>33.960301163586585</c:v>
                </c:pt>
                <c:pt idx="444">
                  <c:v>34.036960985626287</c:v>
                </c:pt>
                <c:pt idx="445">
                  <c:v>34.113620807665981</c:v>
                </c:pt>
                <c:pt idx="446">
                  <c:v>34.190280629705683</c:v>
                </c:pt>
                <c:pt idx="447">
                  <c:v>34.266940451745377</c:v>
                </c:pt>
                <c:pt idx="448">
                  <c:v>34.343600273785079</c:v>
                </c:pt>
                <c:pt idx="449">
                  <c:v>34.42026009582478</c:v>
                </c:pt>
                <c:pt idx="450">
                  <c:v>34.496919917864474</c:v>
                </c:pt>
                <c:pt idx="451">
                  <c:v>34.573579739904176</c:v>
                </c:pt>
                <c:pt idx="452">
                  <c:v>34.650239561943877</c:v>
                </c:pt>
                <c:pt idx="453">
                  <c:v>34.726899383983572</c:v>
                </c:pt>
                <c:pt idx="454">
                  <c:v>34.803559206023273</c:v>
                </c:pt>
                <c:pt idx="455">
                  <c:v>34.880219028062967</c:v>
                </c:pt>
                <c:pt idx="456">
                  <c:v>34.956878850102669</c:v>
                </c:pt>
                <c:pt idx="457">
                  <c:v>35.03353867214237</c:v>
                </c:pt>
                <c:pt idx="458">
                  <c:v>35.110198494182065</c:v>
                </c:pt>
                <c:pt idx="459">
                  <c:v>35.186858316221766</c:v>
                </c:pt>
                <c:pt idx="460">
                  <c:v>35.263518138261468</c:v>
                </c:pt>
                <c:pt idx="461">
                  <c:v>35.340177960301162</c:v>
                </c:pt>
                <c:pt idx="462">
                  <c:v>35.416837782340863</c:v>
                </c:pt>
                <c:pt idx="463">
                  <c:v>35.493497604380565</c:v>
                </c:pt>
                <c:pt idx="464">
                  <c:v>35.570157426420259</c:v>
                </c:pt>
                <c:pt idx="465">
                  <c:v>35.646817248459961</c:v>
                </c:pt>
                <c:pt idx="466">
                  <c:v>35.723477070499655</c:v>
                </c:pt>
                <c:pt idx="467">
                  <c:v>35.800136892539356</c:v>
                </c:pt>
                <c:pt idx="468">
                  <c:v>35.876796714579058</c:v>
                </c:pt>
                <c:pt idx="469">
                  <c:v>35.953456536618752</c:v>
                </c:pt>
                <c:pt idx="470">
                  <c:v>36.030116358658454</c:v>
                </c:pt>
                <c:pt idx="471">
                  <c:v>36.106776180698155</c:v>
                </c:pt>
                <c:pt idx="472">
                  <c:v>36.183436002737849</c:v>
                </c:pt>
                <c:pt idx="473">
                  <c:v>36.260095824777551</c:v>
                </c:pt>
                <c:pt idx="474">
                  <c:v>36.336755646817245</c:v>
                </c:pt>
                <c:pt idx="475">
                  <c:v>36.413415468856947</c:v>
                </c:pt>
                <c:pt idx="476">
                  <c:v>36.490075290896648</c:v>
                </c:pt>
                <c:pt idx="477">
                  <c:v>36.566735112936342</c:v>
                </c:pt>
                <c:pt idx="478">
                  <c:v>36.643394934976044</c:v>
                </c:pt>
                <c:pt idx="479">
                  <c:v>36.720054757015745</c:v>
                </c:pt>
                <c:pt idx="480">
                  <c:v>36.79671457905544</c:v>
                </c:pt>
                <c:pt idx="481">
                  <c:v>36.873374401095141</c:v>
                </c:pt>
                <c:pt idx="482">
                  <c:v>36.950034223134843</c:v>
                </c:pt>
                <c:pt idx="483">
                  <c:v>37.026694045174537</c:v>
                </c:pt>
                <c:pt idx="484">
                  <c:v>37.103353867214238</c:v>
                </c:pt>
                <c:pt idx="485">
                  <c:v>37.180013689253933</c:v>
                </c:pt>
                <c:pt idx="486">
                  <c:v>37.256673511293634</c:v>
                </c:pt>
                <c:pt idx="487">
                  <c:v>37.333333333333336</c:v>
                </c:pt>
                <c:pt idx="488">
                  <c:v>37.40999315537303</c:v>
                </c:pt>
                <c:pt idx="489">
                  <c:v>37.486652977412732</c:v>
                </c:pt>
                <c:pt idx="490">
                  <c:v>37.563312799452433</c:v>
                </c:pt>
                <c:pt idx="491">
                  <c:v>37.639972621492127</c:v>
                </c:pt>
                <c:pt idx="492">
                  <c:v>37.716632443531829</c:v>
                </c:pt>
                <c:pt idx="493">
                  <c:v>37.793292265571523</c:v>
                </c:pt>
                <c:pt idx="494">
                  <c:v>37.869952087611225</c:v>
                </c:pt>
                <c:pt idx="495">
                  <c:v>37.946611909650926</c:v>
                </c:pt>
                <c:pt idx="496">
                  <c:v>38.02327173169062</c:v>
                </c:pt>
                <c:pt idx="497">
                  <c:v>38.099931553730322</c:v>
                </c:pt>
                <c:pt idx="498">
                  <c:v>38.176591375770023</c:v>
                </c:pt>
                <c:pt idx="499">
                  <c:v>38.253251197809718</c:v>
                </c:pt>
                <c:pt idx="500">
                  <c:v>38.329911019849419</c:v>
                </c:pt>
                <c:pt idx="501">
                  <c:v>38.406570841889121</c:v>
                </c:pt>
                <c:pt idx="502">
                  <c:v>38.483230663928815</c:v>
                </c:pt>
                <c:pt idx="503">
                  <c:v>38.559890485968516</c:v>
                </c:pt>
                <c:pt idx="504">
                  <c:v>38.636550308008211</c:v>
                </c:pt>
                <c:pt idx="505">
                  <c:v>38.713210130047912</c:v>
                </c:pt>
                <c:pt idx="506">
                  <c:v>38.789869952087614</c:v>
                </c:pt>
                <c:pt idx="507">
                  <c:v>38.866529774127308</c:v>
                </c:pt>
                <c:pt idx="508">
                  <c:v>38.943189596167009</c:v>
                </c:pt>
                <c:pt idx="509">
                  <c:v>39.019849418206711</c:v>
                </c:pt>
                <c:pt idx="510">
                  <c:v>39.096509240246405</c:v>
                </c:pt>
                <c:pt idx="511">
                  <c:v>39.173169062286107</c:v>
                </c:pt>
                <c:pt idx="512">
                  <c:v>39.249828884325801</c:v>
                </c:pt>
                <c:pt idx="513">
                  <c:v>39.326488706365502</c:v>
                </c:pt>
                <c:pt idx="514">
                  <c:v>39.403148528405204</c:v>
                </c:pt>
                <c:pt idx="515">
                  <c:v>39.479808350444898</c:v>
                </c:pt>
                <c:pt idx="516">
                  <c:v>39.5564681724846</c:v>
                </c:pt>
                <c:pt idx="517">
                  <c:v>39.633127994524301</c:v>
                </c:pt>
                <c:pt idx="518">
                  <c:v>39.709787816563995</c:v>
                </c:pt>
                <c:pt idx="519">
                  <c:v>39.786447638603697</c:v>
                </c:pt>
                <c:pt idx="520">
                  <c:v>39.863107460643398</c:v>
                </c:pt>
                <c:pt idx="521">
                  <c:v>39.939767282683093</c:v>
                </c:pt>
              </c:numCache>
            </c:numRef>
          </c:xVal>
          <c:yVal>
            <c:numRef>
              <c:f>OS!$E$81:$E$602</c:f>
              <c:numCache>
                <c:formatCode>0%</c:formatCode>
                <c:ptCount val="522"/>
                <c:pt idx="0">
                  <c:v>1</c:v>
                </c:pt>
                <c:pt idx="1">
                  <c:v>1</c:v>
                </c:pt>
                <c:pt idx="2">
                  <c:v>0.99565217391304395</c:v>
                </c:pt>
                <c:pt idx="3">
                  <c:v>0.99565217391304395</c:v>
                </c:pt>
                <c:pt idx="4">
                  <c:v>0.99565217391304395</c:v>
                </c:pt>
                <c:pt idx="5">
                  <c:v>0.99565217391304395</c:v>
                </c:pt>
                <c:pt idx="6">
                  <c:v>0.99130434782608701</c:v>
                </c:pt>
                <c:pt idx="7">
                  <c:v>0.99130434782608701</c:v>
                </c:pt>
                <c:pt idx="8">
                  <c:v>0.99130434782608701</c:v>
                </c:pt>
                <c:pt idx="9">
                  <c:v>0.98257038881440295</c:v>
                </c:pt>
                <c:pt idx="10">
                  <c:v>0.97383642980272001</c:v>
                </c:pt>
                <c:pt idx="11">
                  <c:v>0.97383642980272001</c:v>
                </c:pt>
                <c:pt idx="12">
                  <c:v>0.97383642980272001</c:v>
                </c:pt>
                <c:pt idx="13">
                  <c:v>0.97383642980272001</c:v>
                </c:pt>
                <c:pt idx="14">
                  <c:v>0.97383642980272001</c:v>
                </c:pt>
                <c:pt idx="15">
                  <c:v>0.97383642980272001</c:v>
                </c:pt>
                <c:pt idx="16">
                  <c:v>0.97383642980272001</c:v>
                </c:pt>
                <c:pt idx="17">
                  <c:v>0.97383642980272001</c:v>
                </c:pt>
                <c:pt idx="18">
                  <c:v>0.96510247079103595</c:v>
                </c:pt>
                <c:pt idx="19">
                  <c:v>0.96073549128519398</c:v>
                </c:pt>
                <c:pt idx="20">
                  <c:v>0.96073549128519398</c:v>
                </c:pt>
                <c:pt idx="21">
                  <c:v>0.96073549128519398</c:v>
                </c:pt>
                <c:pt idx="22">
                  <c:v>0.956368511779353</c:v>
                </c:pt>
                <c:pt idx="23">
                  <c:v>0.94326757326182697</c:v>
                </c:pt>
                <c:pt idx="24">
                  <c:v>0.938900593755985</c:v>
                </c:pt>
                <c:pt idx="25">
                  <c:v>0.938900593755985</c:v>
                </c:pt>
                <c:pt idx="26">
                  <c:v>0.93016663474430195</c:v>
                </c:pt>
                <c:pt idx="27">
                  <c:v>0.93016663474430195</c:v>
                </c:pt>
                <c:pt idx="28">
                  <c:v>0.93016663474430195</c:v>
                </c:pt>
                <c:pt idx="29">
                  <c:v>0.92577905627852697</c:v>
                </c:pt>
                <c:pt idx="30">
                  <c:v>0.91700389934697701</c:v>
                </c:pt>
                <c:pt idx="31">
                  <c:v>0.91700389934697701</c:v>
                </c:pt>
                <c:pt idx="32">
                  <c:v>0.90822874241542695</c:v>
                </c:pt>
                <c:pt idx="33">
                  <c:v>0.89506600701810202</c:v>
                </c:pt>
                <c:pt idx="34">
                  <c:v>0.89067842855232704</c:v>
                </c:pt>
                <c:pt idx="35">
                  <c:v>0.88629085008655195</c:v>
                </c:pt>
                <c:pt idx="36">
                  <c:v>0.877515693155002</c:v>
                </c:pt>
                <c:pt idx="37">
                  <c:v>0.85996537929190198</c:v>
                </c:pt>
                <c:pt idx="38">
                  <c:v>0.855577800826127</c:v>
                </c:pt>
                <c:pt idx="39">
                  <c:v>0.855577800826127</c:v>
                </c:pt>
                <c:pt idx="40">
                  <c:v>0.855577800826127</c:v>
                </c:pt>
                <c:pt idx="41">
                  <c:v>0.84680264389457705</c:v>
                </c:pt>
                <c:pt idx="42">
                  <c:v>0.84239221345762605</c:v>
                </c:pt>
                <c:pt idx="43">
                  <c:v>0.84239221345762605</c:v>
                </c:pt>
                <c:pt idx="44">
                  <c:v>0.83357135258372395</c:v>
                </c:pt>
                <c:pt idx="45">
                  <c:v>0.83357135258372395</c:v>
                </c:pt>
                <c:pt idx="46">
                  <c:v>0.82916092214677295</c:v>
                </c:pt>
                <c:pt idx="47">
                  <c:v>0.80710876996201797</c:v>
                </c:pt>
                <c:pt idx="48">
                  <c:v>0.80710876996201797</c:v>
                </c:pt>
                <c:pt idx="49">
                  <c:v>0.80269833952506697</c:v>
                </c:pt>
                <c:pt idx="50">
                  <c:v>0.80269833952506697</c:v>
                </c:pt>
                <c:pt idx="51">
                  <c:v>0.79828790908811698</c:v>
                </c:pt>
                <c:pt idx="52">
                  <c:v>0.79385297625984896</c:v>
                </c:pt>
                <c:pt idx="53">
                  <c:v>0.79385297625984896</c:v>
                </c:pt>
                <c:pt idx="54">
                  <c:v>0.771553735353674</c:v>
                </c:pt>
                <c:pt idx="55">
                  <c:v>0.771553735353674</c:v>
                </c:pt>
                <c:pt idx="56">
                  <c:v>0.771553735353674</c:v>
                </c:pt>
                <c:pt idx="57">
                  <c:v>0.771553735353674</c:v>
                </c:pt>
                <c:pt idx="58">
                  <c:v>0.771553735353674</c:v>
                </c:pt>
                <c:pt idx="59">
                  <c:v>0.771553735353674</c:v>
                </c:pt>
                <c:pt idx="60">
                  <c:v>0.76252971505713896</c:v>
                </c:pt>
                <c:pt idx="61">
                  <c:v>0.75350569476060503</c:v>
                </c:pt>
                <c:pt idx="62">
                  <c:v>0.75350569476060503</c:v>
                </c:pt>
                <c:pt idx="63">
                  <c:v>0.75350569476060503</c:v>
                </c:pt>
                <c:pt idx="64">
                  <c:v>0.74888296043692104</c:v>
                </c:pt>
                <c:pt idx="65">
                  <c:v>0.74423151347768501</c:v>
                </c:pt>
                <c:pt idx="66">
                  <c:v>0.73958006651844999</c:v>
                </c:pt>
                <c:pt idx="67">
                  <c:v>0.734869365457822</c:v>
                </c:pt>
                <c:pt idx="68">
                  <c:v>0.73009748646134298</c:v>
                </c:pt>
                <c:pt idx="69">
                  <c:v>0.73009748646134298</c:v>
                </c:pt>
                <c:pt idx="70">
                  <c:v>0.73009748646134298</c:v>
                </c:pt>
                <c:pt idx="71">
                  <c:v>0.72506233138229903</c:v>
                </c:pt>
                <c:pt idx="72">
                  <c:v>0.71431947950202201</c:v>
                </c:pt>
                <c:pt idx="73">
                  <c:v>0.71431947950202201</c:v>
                </c:pt>
                <c:pt idx="74">
                  <c:v>0.70846440180118597</c:v>
                </c:pt>
                <c:pt idx="75">
                  <c:v>0.70846440180118597</c:v>
                </c:pt>
                <c:pt idx="76">
                  <c:v>0.70846440180118597</c:v>
                </c:pt>
                <c:pt idx="77">
                  <c:v>0.69421846047681801</c:v>
                </c:pt>
                <c:pt idx="78">
                  <c:v>0.69421846047681801</c:v>
                </c:pt>
                <c:pt idx="79">
                  <c:v>0.69421846047681801</c:v>
                </c:pt>
                <c:pt idx="80">
                  <c:v>0.69421846047681801</c:v>
                </c:pt>
                <c:pt idx="81">
                  <c:v>0.69421846047681801</c:v>
                </c:pt>
                <c:pt idx="82">
                  <c:v>0.69421846047681801</c:v>
                </c:pt>
                <c:pt idx="83">
                  <c:v>0.69421846047681801</c:v>
                </c:pt>
                <c:pt idx="84">
                  <c:v>0.69421846047681801</c:v>
                </c:pt>
                <c:pt idx="85">
                  <c:v>0.69421846047681801</c:v>
                </c:pt>
                <c:pt idx="86">
                  <c:v>0.69421846047681801</c:v>
                </c:pt>
                <c:pt idx="87">
                  <c:v>0.69421846047681801</c:v>
                </c:pt>
                <c:pt idx="88">
                  <c:v>0.69179360564097103</c:v>
                </c:pt>
                <c:pt idx="89">
                  <c:v>0.687821692602537</c:v>
                </c:pt>
                <c:pt idx="90">
                  <c:v>0.68385607858287578</c:v>
                </c:pt>
                <c:pt idx="91">
                  <c:v>0.67989703283366243</c:v>
                </c:pt>
                <c:pt idx="92">
                  <c:v>0.67594481853673183</c:v>
                </c:pt>
                <c:pt idx="93">
                  <c:v>0.67199969292669426</c:v>
                </c:pt>
                <c:pt idx="94">
                  <c:v>0.66806190740980353</c:v>
                </c:pt>
                <c:pt idx="95">
                  <c:v>0.66413170767925411</c:v>
                </c:pt>
                <c:pt idx="96">
                  <c:v>0.66020933382707236</c:v>
                </c:pt>
                <c:pt idx="97">
                  <c:v>0.65629502045275556</c:v>
                </c:pt>
                <c:pt idx="98">
                  <c:v>0.65238899676880791</c:v>
                </c:pt>
                <c:pt idx="99">
                  <c:v>0.64849148670330659</c:v>
                </c:pt>
                <c:pt idx="100">
                  <c:v>0.64460270899963468</c:v>
                </c:pt>
                <c:pt idx="101">
                  <c:v>0.64072287731349609</c:v>
                </c:pt>
                <c:pt idx="102">
                  <c:v>0.63685220030733458</c:v>
                </c:pt>
                <c:pt idx="103">
                  <c:v>0.63299088174226414</c:v>
                </c:pt>
                <c:pt idx="104">
                  <c:v>0.62913912056761156</c:v>
                </c:pt>
                <c:pt idx="105">
                  <c:v>0.6252971110081762</c:v>
                </c:pt>
                <c:pt idx="106">
                  <c:v>0.62146504264929092</c:v>
                </c:pt>
                <c:pt idx="107">
                  <c:v>0.61764310051978033</c:v>
                </c:pt>
                <c:pt idx="108">
                  <c:v>0.61383146517289311</c:v>
                </c:pt>
                <c:pt idx="109">
                  <c:v>0.61003031276529129</c:v>
                </c:pt>
                <c:pt idx="110">
                  <c:v>0.60623981513417036</c:v>
                </c:pt>
                <c:pt idx="111">
                  <c:v>0.60246013987257996</c:v>
                </c:pt>
                <c:pt idx="112">
                  <c:v>0.59869145040301475</c:v>
                </c:pt>
                <c:pt idx="113">
                  <c:v>0.5949339060493376</c:v>
                </c:pt>
                <c:pt idx="114">
                  <c:v>0.59118766210709761</c:v>
                </c:pt>
                <c:pt idx="115">
                  <c:v>0.5874528699122995</c:v>
                </c:pt>
                <c:pt idx="116">
                  <c:v>0.58372967690868149</c:v>
                </c:pt>
                <c:pt idx="117">
                  <c:v>0.58001822671355097</c:v>
                </c:pt>
                <c:pt idx="118">
                  <c:v>0.57631865918223102</c:v>
                </c:pt>
                <c:pt idx="119">
                  <c:v>0.57263111047116333</c:v>
                </c:pt>
                <c:pt idx="120">
                  <c:v>0.5689557130997146</c:v>
                </c:pt>
                <c:pt idx="121">
                  <c:v>0.56529259601072734</c:v>
                </c:pt>
                <c:pt idx="122">
                  <c:v>0.56164188462985909</c:v>
                </c:pt>
                <c:pt idx="123">
                  <c:v>0.55800370092374596</c:v>
                </c:pt>
                <c:pt idx="124">
                  <c:v>0.55437816345703239</c:v>
                </c:pt>
                <c:pt idx="125">
                  <c:v>0.55076538744829862</c:v>
                </c:pt>
                <c:pt idx="126">
                  <c:v>0.54716548482492366</c:v>
                </c:pt>
                <c:pt idx="127">
                  <c:v>0.54357856427691476</c:v>
                </c:pt>
                <c:pt idx="128">
                  <c:v>0.54000473130973292</c:v>
                </c:pt>
                <c:pt idx="129">
                  <c:v>0.53644408829615087</c:v>
                </c:pt>
                <c:pt idx="130">
                  <c:v>0.53289673452716335</c:v>
                </c:pt>
                <c:pt idx="131">
                  <c:v>0.52936276626198486</c:v>
                </c:pt>
                <c:pt idx="132">
                  <c:v>0.52584227677715589</c:v>
                </c:pt>
                <c:pt idx="133">
                  <c:v>0.52233535641478634</c:v>
                </c:pt>
                <c:pt idx="134">
                  <c:v>0.51884209262995795</c:v>
                </c:pt>
                <c:pt idx="135">
                  <c:v>0.51536257003731067</c:v>
                </c:pt>
                <c:pt idx="136">
                  <c:v>0.5118968704568333</c:v>
                </c:pt>
                <c:pt idx="137">
                  <c:v>0.50844507295888164</c:v>
                </c:pt>
                <c:pt idx="138">
                  <c:v>0.50500725390844359</c:v>
                </c:pt>
                <c:pt idx="139">
                  <c:v>0.50158348700867017</c:v>
                </c:pt>
                <c:pt idx="140">
                  <c:v>0.49817384334369375</c:v>
                </c:pt>
                <c:pt idx="141">
                  <c:v>0.49477839142074787</c:v>
                </c:pt>
                <c:pt idx="142">
                  <c:v>0.49139719721161079</c:v>
                </c:pt>
                <c:pt idx="143">
                  <c:v>0.48803032419338477</c:v>
                </c:pt>
                <c:pt idx="144">
                  <c:v>0.4846778333886308</c:v>
                </c:pt>
                <c:pt idx="145">
                  <c:v>0.48133978340487205</c:v>
                </c:pt>
                <c:pt idx="146">
                  <c:v>0.47801623047348341</c:v>
                </c:pt>
                <c:pt idx="147">
                  <c:v>0.47470722848797753</c:v>
                </c:pt>
                <c:pt idx="148">
                  <c:v>0.47141282904170612</c:v>
                </c:pt>
                <c:pt idx="149">
                  <c:v>0.46813308146498622</c:v>
                </c:pt>
                <c:pt idx="150">
                  <c:v>0.46486803286166511</c:v>
                </c:pt>
                <c:pt idx="151">
                  <c:v>0.46161772814513879</c:v>
                </c:pt>
                <c:pt idx="152">
                  <c:v>0.45838221007383051</c:v>
                </c:pt>
                <c:pt idx="153">
                  <c:v>0.45516151928614834</c:v>
                </c:pt>
                <c:pt idx="154">
                  <c:v>0.45195569433492544</c:v>
                </c:pt>
                <c:pt idx="155">
                  <c:v>0.44876477172135976</c:v>
                </c:pt>
                <c:pt idx="156">
                  <c:v>0.44558878592845963</c:v>
                </c:pt>
                <c:pt idx="157">
                  <c:v>0.4424277694540073</c:v>
                </c:pt>
                <c:pt idx="158">
                  <c:v>0.43928175284305127</c:v>
                </c:pt>
                <c:pt idx="159">
                  <c:v>0.43615076471993175</c:v>
                </c:pt>
                <c:pt idx="160">
                  <c:v>0.43303483181985447</c:v>
                </c:pt>
                <c:pt idx="161">
                  <c:v>0.42993397902001962</c:v>
                </c:pt>
                <c:pt idx="162">
                  <c:v>0.42684822937031108</c:v>
                </c:pt>
                <c:pt idx="163">
                  <c:v>0.42377760412355947</c:v>
                </c:pt>
                <c:pt idx="164">
                  <c:v>0.4207221227653829</c:v>
                </c:pt>
                <c:pt idx="165">
                  <c:v>0.41768180304361568</c:v>
                </c:pt>
                <c:pt idx="166">
                  <c:v>0.41465666099733178</c:v>
                </c:pt>
                <c:pt idx="167">
                  <c:v>0.4116467109854689</c:v>
                </c:pt>
                <c:pt idx="168">
                  <c:v>0.40865196571506301</c:v>
                </c:pt>
                <c:pt idx="169">
                  <c:v>0.40567243626909721</c:v>
                </c:pt>
                <c:pt idx="170">
                  <c:v>0.40270813213397416</c:v>
                </c:pt>
                <c:pt idx="171">
                  <c:v>0.3997590612266172</c:v>
                </c:pt>
                <c:pt idx="172">
                  <c:v>0.39682522992120561</c:v>
                </c:pt>
                <c:pt idx="173">
                  <c:v>0.39390664307555234</c:v>
                </c:pt>
                <c:pt idx="174">
                  <c:v>0.39100330405712869</c:v>
                </c:pt>
                <c:pt idx="175">
                  <c:v>0.38811521476874156</c:v>
                </c:pt>
                <c:pt idx="176">
                  <c:v>0.3852423756738691</c:v>
                </c:pt>
                <c:pt idx="177">
                  <c:v>0.38238478582166036</c:v>
                </c:pt>
                <c:pt idx="178">
                  <c:v>0.37954244287160543</c:v>
                </c:pt>
                <c:pt idx="179">
                  <c:v>0.37671534311787858</c:v>
                </c:pt>
                <c:pt idx="180">
                  <c:v>0.37390348151336106</c:v>
                </c:pt>
                <c:pt idx="181">
                  <c:v>0.37110685169334934</c:v>
                </c:pt>
                <c:pt idx="182">
                  <c:v>0.36832544599895078</c:v>
                </c:pt>
                <c:pt idx="183">
                  <c:v>0.36555925550017465</c:v>
                </c:pt>
                <c:pt idx="184">
                  <c:v>0.36280827001872085</c:v>
                </c:pt>
                <c:pt idx="185">
                  <c:v>0.36007247815047094</c:v>
                </c:pt>
                <c:pt idx="186">
                  <c:v>0.35735186728768698</c:v>
                </c:pt>
                <c:pt idx="187">
                  <c:v>0.35464642364092169</c:v>
                </c:pt>
                <c:pt idx="188">
                  <c:v>0.35195613226064193</c:v>
                </c:pt>
                <c:pt idx="189">
                  <c:v>0.34928097705857541</c:v>
                </c:pt>
                <c:pt idx="190">
                  <c:v>0.34662094082877704</c:v>
                </c:pt>
                <c:pt idx="191">
                  <c:v>0.34397600526842398</c:v>
                </c:pt>
                <c:pt idx="192">
                  <c:v>0.34134615099834176</c:v>
                </c:pt>
                <c:pt idx="193">
                  <c:v>0.33873135758326445</c:v>
                </c:pt>
                <c:pt idx="194">
                  <c:v>0.3361316035518328</c:v>
                </c:pt>
                <c:pt idx="195">
                  <c:v>0.3335468664163348</c:v>
                </c:pt>
                <c:pt idx="196">
                  <c:v>0.33097712269219004</c:v>
                </c:pt>
                <c:pt idx="197">
                  <c:v>0.32842234791718328</c:v>
                </c:pt>
                <c:pt idx="198">
                  <c:v>0.32588251667044932</c:v>
                </c:pt>
                <c:pt idx="199">
                  <c:v>0.32335760259121382</c:v>
                </c:pt>
                <c:pt idx="200">
                  <c:v>0.3208475783972895</c:v>
                </c:pt>
                <c:pt idx="201">
                  <c:v>0.31835241590333707</c:v>
                </c:pt>
                <c:pt idx="202">
                  <c:v>0.31587208603888661</c:v>
                </c:pt>
                <c:pt idx="203">
                  <c:v>0.31340655886612856</c:v>
                </c:pt>
                <c:pt idx="204">
                  <c:v>0.31095580359747421</c:v>
                </c:pt>
                <c:pt idx="205">
                  <c:v>0.30851978861288809</c:v>
                </c:pt>
                <c:pt idx="206">
                  <c:v>0.30609848147699692</c:v>
                </c:pt>
                <c:pt idx="207">
                  <c:v>0.30369184895597656</c:v>
                </c:pt>
                <c:pt idx="208">
                  <c:v>0.3012998570342198</c:v>
                </c:pt>
                <c:pt idx="209">
                  <c:v>0.29892247093078939</c:v>
                </c:pt>
                <c:pt idx="210">
                  <c:v>0.29655965511565419</c:v>
                </c:pt>
                <c:pt idx="211">
                  <c:v>0.2942113733257179</c:v>
                </c:pt>
                <c:pt idx="212">
                  <c:v>0.29187758858063673</c:v>
                </c:pt>
                <c:pt idx="213">
                  <c:v>0.28955826319843148</c:v>
                </c:pt>
                <c:pt idx="214">
                  <c:v>0.28725335881089631</c:v>
                </c:pt>
                <c:pt idx="215">
                  <c:v>0.28496283637880571</c:v>
                </c:pt>
                <c:pt idx="216">
                  <c:v>0.28268665620692279</c:v>
                </c:pt>
                <c:pt idx="217">
                  <c:v>0.28042477795881049</c:v>
                </c:pt>
                <c:pt idx="218">
                  <c:v>0.27817716067144893</c:v>
                </c:pt>
                <c:pt idx="219">
                  <c:v>0.27594376276965948</c:v>
                </c:pt>
                <c:pt idx="220">
                  <c:v>0.27372454208034003</c:v>
                </c:pt>
                <c:pt idx="221">
                  <c:v>0.27151945584651216</c:v>
                </c:pt>
                <c:pt idx="222">
                  <c:v>0.26932846074118189</c:v>
                </c:pt>
                <c:pt idx="223">
                  <c:v>0.26715151288101702</c:v>
                </c:pt>
                <c:pt idx="224">
                  <c:v>0.26498856783984415</c:v>
                </c:pt>
                <c:pt idx="225">
                  <c:v>0.26283958066196433</c:v>
                </c:pt>
                <c:pt idx="226">
                  <c:v>0.26070450587529226</c:v>
                </c:pt>
                <c:pt idx="227">
                  <c:v>0.2585832975043203</c:v>
                </c:pt>
                <c:pt idx="228">
                  <c:v>0.25647590908290763</c:v>
                </c:pt>
                <c:pt idx="229">
                  <c:v>0.25438229366689913</c:v>
                </c:pt>
                <c:pt idx="230">
                  <c:v>0.25230240384657354</c:v>
                </c:pt>
                <c:pt idx="231">
                  <c:v>0.25023619175892464</c:v>
                </c:pt>
                <c:pt idx="232">
                  <c:v>0.24818360909977466</c:v>
                </c:pt>
                <c:pt idx="233">
                  <c:v>0.24614460713572639</c:v>
                </c:pt>
                <c:pt idx="234">
                  <c:v>0.24411913671594954</c:v>
                </c:pt>
                <c:pt idx="235">
                  <c:v>0.24210714828380886</c:v>
                </c:pt>
                <c:pt idx="236">
                  <c:v>0.24010859188833233</c:v>
                </c:pt>
                <c:pt idx="237">
                  <c:v>0.23812341719552266</c:v>
                </c:pt>
                <c:pt idx="238">
                  <c:v>0.23615157349951255</c:v>
                </c:pt>
                <c:pt idx="239">
                  <c:v>0.2341930097335676</c:v>
                </c:pt>
                <c:pt idx="240">
                  <c:v>0.23224767448093497</c:v>
                </c:pt>
                <c:pt idx="241">
                  <c:v>0.23031551598554389</c:v>
                </c:pt>
                <c:pt idx="242">
                  <c:v>0.22839648216255604</c:v>
                </c:pt>
                <c:pt idx="243">
                  <c:v>0.22649052060876818</c:v>
                </c:pt>
                <c:pt idx="244">
                  <c:v>0.22459757861287066</c:v>
                </c:pt>
                <c:pt idx="245">
                  <c:v>0.22271760316556122</c:v>
                </c:pt>
                <c:pt idx="246">
                  <c:v>0.22085054096951495</c:v>
                </c:pt>
                <c:pt idx="247">
                  <c:v>0.21899633844921584</c:v>
                </c:pt>
                <c:pt idx="248">
                  <c:v>0.21715494176064642</c:v>
                </c:pt>
                <c:pt idx="249">
                  <c:v>0.21532629680084048</c:v>
                </c:pt>
                <c:pt idx="250">
                  <c:v>0.21351034921730017</c:v>
                </c:pt>
                <c:pt idx="251">
                  <c:v>0.21170704441727572</c:v>
                </c:pt>
                <c:pt idx="252">
                  <c:v>0.20991632757691381</c:v>
                </c:pt>
                <c:pt idx="253">
                  <c:v>0.20813814365027317</c:v>
                </c:pt>
                <c:pt idx="254">
                  <c:v>0.20637243737820843</c:v>
                </c:pt>
                <c:pt idx="255">
                  <c:v>0.20461915329712577</c:v>
                </c:pt>
                <c:pt idx="256">
                  <c:v>0.20287823574761088</c:v>
                </c:pt>
                <c:pt idx="257">
                  <c:v>0.20114962888292875</c:v>
                </c:pt>
                <c:pt idx="258">
                  <c:v>0.19943327667739985</c:v>
                </c:pt>
                <c:pt idx="259">
                  <c:v>0.19772912293465172</c:v>
                </c:pt>
                <c:pt idx="260">
                  <c:v>0.1960371112957483</c:v>
                </c:pt>
                <c:pt idx="261">
                  <c:v>0.19435718524719758</c:v>
                </c:pt>
                <c:pt idx="262">
                  <c:v>0.1926892881288399</c:v>
                </c:pt>
                <c:pt idx="263">
                  <c:v>0.19103336314161745</c:v>
                </c:pt>
                <c:pt idx="264">
                  <c:v>0.18938935335522578</c:v>
                </c:pt>
                <c:pt idx="265">
                  <c:v>0.18775720171565091</c:v>
                </c:pt>
                <c:pt idx="266">
                  <c:v>0.18613685105258937</c:v>
                </c:pt>
                <c:pt idx="267">
                  <c:v>0.1845282440867565</c:v>
                </c:pt>
                <c:pt idx="268">
                  <c:v>0.18293132343708152</c:v>
                </c:pt>
                <c:pt idx="269">
                  <c:v>0.18134603162779206</c:v>
                </c:pt>
                <c:pt idx="270">
                  <c:v>0.17977231109538727</c:v>
                </c:pt>
                <c:pt idx="271">
                  <c:v>0.17821010419550465</c:v>
                </c:pt>
                <c:pt idx="272">
                  <c:v>0.17665935320967718</c:v>
                </c:pt>
                <c:pt idx="273">
                  <c:v>0.17512000035198483</c:v>
                </c:pt>
                <c:pt idx="274">
                  <c:v>0.17359198777560125</c:v>
                </c:pt>
                <c:pt idx="275">
                  <c:v>0.17207525757923592</c:v>
                </c:pt>
                <c:pt idx="276">
                  <c:v>0.17056975181347322</c:v>
                </c:pt>
                <c:pt idx="277">
                  <c:v>0.1690754124870103</c:v>
                </c:pt>
                <c:pt idx="278">
                  <c:v>0.16759218157279376</c:v>
                </c:pt>
                <c:pt idx="279">
                  <c:v>0.16612000101405699</c:v>
                </c:pt>
                <c:pt idx="280">
                  <c:v>0.16465881273025862</c:v>
                </c:pt>
                <c:pt idx="281">
                  <c:v>0.16320855862292438</c:v>
                </c:pt>
                <c:pt idx="282">
                  <c:v>0.16176918058139189</c:v>
                </c:pt>
                <c:pt idx="283">
                  <c:v>0.16034062048846076</c:v>
                </c:pt>
                <c:pt idx="284">
                  <c:v>0.15892282022594784</c:v>
                </c:pt>
                <c:pt idx="285">
                  <c:v>0.15751572168015004</c:v>
                </c:pt>
                <c:pt idx="286">
                  <c:v>0.15611926674721466</c:v>
                </c:pt>
                <c:pt idx="287">
                  <c:v>0.15473339733841873</c:v>
                </c:pt>
                <c:pt idx="288">
                  <c:v>0.15335805538535785</c:v>
                </c:pt>
                <c:pt idx="289">
                  <c:v>0.15199318284504748</c:v>
                </c:pt>
                <c:pt idx="290">
                  <c:v>0.15063872170493386</c:v>
                </c:pt>
                <c:pt idx="291">
                  <c:v>0.14929461398782029</c:v>
                </c:pt>
                <c:pt idx="292">
                  <c:v>0.14796080175670512</c:v>
                </c:pt>
                <c:pt idx="293">
                  <c:v>0.14663722711953697</c:v>
                </c:pt>
                <c:pt idx="294">
                  <c:v>0.14532383223388345</c:v>
                </c:pt>
                <c:pt idx="295">
                  <c:v>0.14402055931151858</c:v>
                </c:pt>
                <c:pt idx="296">
                  <c:v>0.14272735062292718</c:v>
                </c:pt>
                <c:pt idx="297">
                  <c:v>0.14144414850172804</c:v>
                </c:pt>
                <c:pt idx="298">
                  <c:v>0.14017089534901661</c:v>
                </c:pt>
                <c:pt idx="299">
                  <c:v>0.13890753363762887</c:v>
                </c:pt>
                <c:pt idx="300">
                  <c:v>0.13765400591632615</c:v>
                </c:pt>
                <c:pt idx="301">
                  <c:v>0.13641025481390223</c:v>
                </c:pt>
                <c:pt idx="302">
                  <c:v>0.13517622304321464</c:v>
                </c:pt>
                <c:pt idx="303">
                  <c:v>0.13395185340513893</c:v>
                </c:pt>
                <c:pt idx="304">
                  <c:v>0.1327370887924495</c:v>
                </c:pt>
                <c:pt idx="305">
                  <c:v>0.13153187219362439</c:v>
                </c:pt>
                <c:pt idx="306">
                  <c:v>0.13033614669657922</c:v>
                </c:pt>
                <c:pt idx="307">
                  <c:v>0.12914985549232694</c:v>
                </c:pt>
                <c:pt idx="308">
                  <c:v>0.127972941878567</c:v>
                </c:pt>
                <c:pt idx="309">
                  <c:v>0.12680534926320441</c:v>
                </c:pt>
                <c:pt idx="310">
                  <c:v>0.12564702116779758</c:v>
                </c:pt>
                <c:pt idx="311">
                  <c:v>0.12449790123093818</c:v>
                </c:pt>
                <c:pt idx="312">
                  <c:v>0.1233579332115633</c:v>
                </c:pt>
                <c:pt idx="313">
                  <c:v>0.12222706099219938</c:v>
                </c:pt>
                <c:pt idx="314">
                  <c:v>0.1211052285821399</c:v>
                </c:pt>
                <c:pt idx="315">
                  <c:v>0.11999238012055813</c:v>
                </c:pt>
                <c:pt idx="316">
                  <c:v>0.11888845987955343</c:v>
                </c:pt>
                <c:pt idx="317">
                  <c:v>0.11779341226713569</c:v>
                </c:pt>
                <c:pt idx="318">
                  <c:v>0.11670718183014395</c:v>
                </c:pt>
                <c:pt idx="319">
                  <c:v>0.11562971325710436</c:v>
                </c:pt>
                <c:pt idx="320">
                  <c:v>0.11456095138102595</c:v>
                </c:pt>
                <c:pt idx="321">
                  <c:v>0.11350084118213433</c:v>
                </c:pt>
                <c:pt idx="322">
                  <c:v>0.1124493277905465</c:v>
                </c:pt>
                <c:pt idx="323">
                  <c:v>0.11140635648888586</c:v>
                </c:pt>
                <c:pt idx="324">
                  <c:v>0.11037187271483728</c:v>
                </c:pt>
                <c:pt idx="325">
                  <c:v>0.10934582206364551</c:v>
                </c:pt>
                <c:pt idx="326">
                  <c:v>0.1083281502905562</c:v>
                </c:pt>
                <c:pt idx="327">
                  <c:v>0.10731880331319887</c:v>
                </c:pt>
                <c:pt idx="328">
                  <c:v>0.10631772721391597</c:v>
                </c:pt>
                <c:pt idx="329">
                  <c:v>0.10532486824203546</c:v>
                </c:pt>
                <c:pt idx="330">
                  <c:v>0.10434017281608898</c:v>
                </c:pt>
                <c:pt idx="331">
                  <c:v>0.10336358752597696</c:v>
                </c:pt>
                <c:pt idx="332">
                  <c:v>0.10239505913507996</c:v>
                </c:pt>
                <c:pt idx="333">
                  <c:v>0.10143453458231799</c:v>
                </c:pt>
                <c:pt idx="334">
                  <c:v>0.10048196098415774</c:v>
                </c:pt>
                <c:pt idx="335">
                  <c:v>9.9537285636569384E-2</c:v>
                </c:pt>
                <c:pt idx="336">
                  <c:v>9.8600456016932014E-2</c:v>
                </c:pt>
                <c:pt idx="337">
                  <c:v>9.7671419785890112E-2</c:v>
                </c:pt>
                <c:pt idx="338">
                  <c:v>9.6750124789161007E-2</c:v>
                </c:pt>
                <c:pt idx="339">
                  <c:v>9.5836519059292691E-2</c:v>
                </c:pt>
                <c:pt idx="340">
                  <c:v>9.493055081737567E-2</c:v>
                </c:pt>
                <c:pt idx="341">
                  <c:v>9.4032168474706301E-2</c:v>
                </c:pt>
                <c:pt idx="342">
                  <c:v>9.3141320634403835E-2</c:v>
                </c:pt>
                <c:pt idx="343">
                  <c:v>9.2257956092981597E-2</c:v>
                </c:pt>
                <c:pt idx="344">
                  <c:v>9.1382023841873217E-2</c:v>
                </c:pt>
                <c:pt idx="345">
                  <c:v>9.051347306891333E-2</c:v>
                </c:pt>
                <c:pt idx="346">
                  <c:v>8.9652253159775541E-2</c:v>
                </c:pt>
                <c:pt idx="347">
                  <c:v>8.8798313699365194E-2</c:v>
                </c:pt>
                <c:pt idx="348">
                  <c:v>8.795160447317063E-2</c:v>
                </c:pt>
                <c:pt idx="349">
                  <c:v>8.7112075468571248E-2</c:v>
                </c:pt>
                <c:pt idx="350">
                  <c:v>8.6279676876104494E-2</c:v>
                </c:pt>
                <c:pt idx="351">
                  <c:v>8.5454359090691212E-2</c:v>
                </c:pt>
                <c:pt idx="352">
                  <c:v>8.4636072712820476E-2</c:v>
                </c:pt>
                <c:pt idx="353">
                  <c:v>8.3824768549694784E-2</c:v>
                </c:pt>
                <c:pt idx="354">
                  <c:v>8.3020397616335062E-2</c:v>
                </c:pt>
                <c:pt idx="355">
                  <c:v>8.2222911136647259E-2</c:v>
                </c:pt>
                <c:pt idx="356">
                  <c:v>8.1432260544451407E-2</c:v>
                </c:pt>
                <c:pt idx="357">
                  <c:v>8.0648397484470502E-2</c:v>
                </c:pt>
                <c:pt idx="358">
                  <c:v>7.9871273813284738E-2</c:v>
                </c:pt>
                <c:pt idx="359">
                  <c:v>7.9100841600246996E-2</c:v>
                </c:pt>
                <c:pt idx="360">
                  <c:v>7.8337053128363809E-2</c:v>
                </c:pt>
                <c:pt idx="361">
                  <c:v>7.7579860895139019E-2</c:v>
                </c:pt>
                <c:pt idx="362">
                  <c:v>7.682921761338346E-2</c:v>
                </c:pt>
                <c:pt idx="363">
                  <c:v>7.6085076211989455E-2</c:v>
                </c:pt>
                <c:pt idx="364">
                  <c:v>7.5347389836670886E-2</c:v>
                </c:pt>
                <c:pt idx="365">
                  <c:v>7.461611185067063E-2</c:v>
                </c:pt>
                <c:pt idx="366">
                  <c:v>7.3891195835433354E-2</c:v>
                </c:pt>
                <c:pt idx="367">
                  <c:v>7.3172595591247003E-2</c:v>
                </c:pt>
                <c:pt idx="368">
                  <c:v>7.2460265137851865E-2</c:v>
                </c:pt>
                <c:pt idx="369">
                  <c:v>7.1754158715016336E-2</c:v>
                </c:pt>
                <c:pt idx="370">
                  <c:v>7.1054230783084593E-2</c:v>
                </c:pt>
                <c:pt idx="371">
                  <c:v>7.0360436023489736E-2</c:v>
                </c:pt>
                <c:pt idx="372">
                  <c:v>6.9672729339240513E-2</c:v>
                </c:pt>
                <c:pt idx="373">
                  <c:v>6.8991065855374956E-2</c:v>
                </c:pt>
                <c:pt idx="374">
                  <c:v>6.8315400919386815E-2</c:v>
                </c:pt>
                <c:pt idx="375">
                  <c:v>6.764569010162147E-2</c:v>
                </c:pt>
                <c:pt idx="376">
                  <c:v>6.6981889195645627E-2</c:v>
                </c:pt>
                <c:pt idx="377">
                  <c:v>6.6323954218586056E-2</c:v>
                </c:pt>
                <c:pt idx="378">
                  <c:v>6.5671841411443777E-2</c:v>
                </c:pt>
                <c:pt idx="379">
                  <c:v>6.5025507239378166E-2</c:v>
                </c:pt>
                <c:pt idx="380">
                  <c:v>6.4384908391967643E-2</c:v>
                </c:pt>
                <c:pt idx="381">
                  <c:v>6.3750001783440258E-2</c:v>
                </c:pt>
                <c:pt idx="382">
                  <c:v>6.3120744552882413E-2</c:v>
                </c:pt>
                <c:pt idx="383">
                  <c:v>6.2497094064418945E-2</c:v>
                </c:pt>
                <c:pt idx="384">
                  <c:v>6.1879007907369776E-2</c:v>
                </c:pt>
                <c:pt idx="385">
                  <c:v>6.1266443896381806E-2</c:v>
                </c:pt>
                <c:pt idx="386">
                  <c:v>6.0659360071536383E-2</c:v>
                </c:pt>
                <c:pt idx="387">
                  <c:v>6.0057714698432685E-2</c:v>
                </c:pt>
                <c:pt idx="388">
                  <c:v>5.9461466268248331E-2</c:v>
                </c:pt>
                <c:pt idx="389">
                  <c:v>5.8870573497776801E-2</c:v>
                </c:pt>
                <c:pt idx="390">
                  <c:v>5.8284995329440981E-2</c:v>
                </c:pt>
                <c:pt idx="391">
                  <c:v>5.7704690931287272E-2</c:v>
                </c:pt>
                <c:pt idx="392">
                  <c:v>5.7129619696954514E-2</c:v>
                </c:pt>
                <c:pt idx="393">
                  <c:v>5.6559741245623685E-2</c:v>
                </c:pt>
                <c:pt idx="394">
                  <c:v>5.5995015421946071E-2</c:v>
                </c:pt>
                <c:pt idx="395">
                  <c:v>5.5435402295949454E-2</c:v>
                </c:pt>
                <c:pt idx="396">
                  <c:v>5.4880862162925648E-2</c:v>
                </c:pt>
                <c:pt idx="397">
                  <c:v>5.4331355543296822E-2</c:v>
                </c:pt>
                <c:pt idx="398">
                  <c:v>5.3786843182462629E-2</c:v>
                </c:pt>
                <c:pt idx="399">
                  <c:v>5.3247286050627451E-2</c:v>
                </c:pt>
                <c:pt idx="400">
                  <c:v>5.2712645342609665E-2</c:v>
                </c:pt>
                <c:pt idx="401">
                  <c:v>5.2182882477631032E-2</c:v>
                </c:pt>
                <c:pt idx="402">
                  <c:v>5.165795909908899E-2</c:v>
                </c:pt>
                <c:pt idx="403">
                  <c:v>5.1137837074309744E-2</c:v>
                </c:pt>
                <c:pt idx="404">
                  <c:v>5.0622478494285028E-2</c:v>
                </c:pt>
                <c:pt idx="405">
                  <c:v>5.0111845673390221E-2</c:v>
                </c:pt>
                <c:pt idx="406">
                  <c:v>4.9605901149086473E-2</c:v>
                </c:pt>
                <c:pt idx="407">
                  <c:v>4.9104607681605961E-2</c:v>
                </c:pt>
                <c:pt idx="408">
                  <c:v>4.8607928253620258E-2</c:v>
                </c:pt>
                <c:pt idx="409">
                  <c:v>4.8115826069893286E-2</c:v>
                </c:pt>
                <c:pt idx="410">
                  <c:v>4.7628264556918154E-2</c:v>
                </c:pt>
                <c:pt idx="411">
                  <c:v>4.7145207362538799E-2</c:v>
                </c:pt>
                <c:pt idx="412">
                  <c:v>4.6666618355556411E-2</c:v>
                </c:pt>
                <c:pt idx="413">
                  <c:v>4.619246162532098E-2</c:v>
                </c:pt>
                <c:pt idx="414">
                  <c:v>4.5722701481308192E-2</c:v>
                </c:pt>
                <c:pt idx="415">
                  <c:v>4.5257302452682779E-2</c:v>
                </c:pt>
                <c:pt idx="416">
                  <c:v>4.4796229287846767E-2</c:v>
                </c:pt>
                <c:pt idx="417">
                  <c:v>4.4339446953974848E-2</c:v>
                </c:pt>
                <c:pt idx="418">
                  <c:v>4.3886920636536209E-2</c:v>
                </c:pt>
                <c:pt idx="419">
                  <c:v>4.3438615738803588E-2</c:v>
                </c:pt>
                <c:pt idx="420">
                  <c:v>4.2994497881348348E-2</c:v>
                </c:pt>
                <c:pt idx="421">
                  <c:v>4.2554532901524555E-2</c:v>
                </c:pt>
                <c:pt idx="422">
                  <c:v>4.2118686852939291E-2</c:v>
                </c:pt>
                <c:pt idx="423">
                  <c:v>4.1686926004911973E-2</c:v>
                </c:pt>
                <c:pt idx="424">
                  <c:v>4.1259216841921575E-2</c:v>
                </c:pt>
                <c:pt idx="425">
                  <c:v>4.0835526063042193E-2</c:v>
                </c:pt>
                <c:pt idx="426">
                  <c:v>4.0415820581367168E-2</c:v>
                </c:pt>
                <c:pt idx="427">
                  <c:v>4.0000067523422889E-2</c:v>
                </c:pt>
                <c:pt idx="428">
                  <c:v>3.9588234228571051E-2</c:v>
                </c:pt>
                <c:pt idx="429">
                  <c:v>3.9180288248401141E-2</c:v>
                </c:pt>
                <c:pt idx="430">
                  <c:v>3.877619734611204E-2</c:v>
                </c:pt>
                <c:pt idx="431">
                  <c:v>3.8375929495883532E-2</c:v>
                </c:pt>
                <c:pt idx="432">
                  <c:v>3.7979452882239029E-2</c:v>
                </c:pt>
                <c:pt idx="433">
                  <c:v>3.7586735899397095E-2</c:v>
                </c:pt>
                <c:pt idx="434">
                  <c:v>3.7197747150615412E-2</c:v>
                </c:pt>
                <c:pt idx="435">
                  <c:v>3.6812455447523984E-2</c:v>
                </c:pt>
                <c:pt idx="436">
                  <c:v>3.6430829809450893E-2</c:v>
                </c:pt>
                <c:pt idx="437">
                  <c:v>3.6052839462738073E-2</c:v>
                </c:pt>
                <c:pt idx="438">
                  <c:v>3.5678453840050084E-2</c:v>
                </c:pt>
                <c:pt idx="439">
                  <c:v>3.5307642579672782E-2</c:v>
                </c:pt>
                <c:pt idx="440">
                  <c:v>3.4940375524806333E-2</c:v>
                </c:pt>
                <c:pt idx="441">
                  <c:v>3.4576622722848116E-2</c:v>
                </c:pt>
                <c:pt idx="442">
                  <c:v>3.4216354424669304E-2</c:v>
                </c:pt>
                <c:pt idx="443">
                  <c:v>3.3859541083884226E-2</c:v>
                </c:pt>
                <c:pt idx="444">
                  <c:v>3.3506153356111512E-2</c:v>
                </c:pt>
                <c:pt idx="445">
                  <c:v>3.3156162098229247E-2</c:v>
                </c:pt>
                <c:pt idx="446">
                  <c:v>3.2809538367622681E-2</c:v>
                </c:pt>
                <c:pt idx="447">
                  <c:v>3.2466253421425617E-2</c:v>
                </c:pt>
                <c:pt idx="448">
                  <c:v>3.2126278715755241E-2</c:v>
                </c:pt>
                <c:pt idx="449">
                  <c:v>3.1789585904941298E-2</c:v>
                </c:pt>
                <c:pt idx="450">
                  <c:v>3.1456146840747712E-2</c:v>
                </c:pt>
                <c:pt idx="451">
                  <c:v>3.1125933571590547E-2</c:v>
                </c:pt>
                <c:pt idx="452">
                  <c:v>3.0798918341748416E-2</c:v>
                </c:pt>
                <c:pt idx="453">
                  <c:v>3.0475073590568225E-2</c:v>
                </c:pt>
                <c:pt idx="454">
                  <c:v>3.0154371951665704E-2</c:v>
                </c:pt>
                <c:pt idx="455">
                  <c:v>2.9836786252120051E-2</c:v>
                </c:pt>
                <c:pt idx="456">
                  <c:v>2.9522289511664579E-2</c:v>
                </c:pt>
                <c:pt idx="457">
                  <c:v>2.9210854941872033E-2</c:v>
                </c:pt>
                <c:pt idx="458">
                  <c:v>2.8902455945335026E-2</c:v>
                </c:pt>
                <c:pt idx="459">
                  <c:v>2.8597066114842362E-2</c:v>
                </c:pt>
                <c:pt idx="460">
                  <c:v>2.8294659232551145E-2</c:v>
                </c:pt>
                <c:pt idx="461">
                  <c:v>2.7995209269154331E-2</c:v>
                </c:pt>
                <c:pt idx="462">
                  <c:v>2.7698690383044511E-2</c:v>
                </c:pt>
                <c:pt idx="463">
                  <c:v>2.7405076919473914E-2</c:v>
                </c:pt>
                <c:pt idx="464">
                  <c:v>2.7114343409710417E-2</c:v>
                </c:pt>
                <c:pt idx="465">
                  <c:v>2.6826464570190556E-2</c:v>
                </c:pt>
                <c:pt idx="466">
                  <c:v>2.6541415301668314E-2</c:v>
                </c:pt>
                <c:pt idx="467">
                  <c:v>2.6259170688361477E-2</c:v>
                </c:pt>
                <c:pt idx="468">
                  <c:v>2.5979705997094316E-2</c:v>
                </c:pt>
                <c:pt idx="469">
                  <c:v>2.5702996676437828E-2</c:v>
                </c:pt>
                <c:pt idx="470">
                  <c:v>2.5429018355846433E-2</c:v>
                </c:pt>
                <c:pt idx="471">
                  <c:v>2.5157746844792439E-2</c:v>
                </c:pt>
                <c:pt idx="472">
                  <c:v>2.4889158131898403E-2</c:v>
                </c:pt>
                <c:pt idx="473">
                  <c:v>2.4623228384065832E-2</c:v>
                </c:pt>
                <c:pt idx="474">
                  <c:v>2.4359933945602874E-2</c:v>
                </c:pt>
                <c:pt idx="475">
                  <c:v>2.4099251337348582E-2</c:v>
                </c:pt>
                <c:pt idx="476">
                  <c:v>2.3841157255796941E-2</c:v>
                </c:pt>
                <c:pt idx="477">
                  <c:v>2.3585628572216799E-2</c:v>
                </c:pt>
                <c:pt idx="478">
                  <c:v>2.3332642331771458E-2</c:v>
                </c:pt>
                <c:pt idx="479">
                  <c:v>2.3082175752636713E-2</c:v>
                </c:pt>
                <c:pt idx="480">
                  <c:v>2.2834206225115894E-2</c:v>
                </c:pt>
                <c:pt idx="481">
                  <c:v>2.2588711310755349E-2</c:v>
                </c:pt>
                <c:pt idx="482">
                  <c:v>2.2345668741456826E-2</c:v>
                </c:pt>
                <c:pt idx="483">
                  <c:v>2.2105056418590618E-2</c:v>
                </c:pt>
                <c:pt idx="484">
                  <c:v>2.1866852412105175E-2</c:v>
                </c:pt>
                <c:pt idx="485">
                  <c:v>2.1631034959638251E-2</c:v>
                </c:pt>
                <c:pt idx="486">
                  <c:v>2.1397582465625176E-2</c:v>
                </c:pt>
                <c:pt idx="487">
                  <c:v>2.1166473500407457E-2</c:v>
                </c:pt>
                <c:pt idx="488">
                  <c:v>2.0937686799340716E-2</c:v>
                </c:pt>
                <c:pt idx="489">
                  <c:v>2.0711201261901069E-2</c:v>
                </c:pt>
                <c:pt idx="490">
                  <c:v>2.048699595079273E-2</c:v>
                </c:pt>
                <c:pt idx="491">
                  <c:v>2.0265050091053061E-2</c:v>
                </c:pt>
                <c:pt idx="492">
                  <c:v>2.0045343069159616E-2</c:v>
                </c:pt>
                <c:pt idx="493">
                  <c:v>1.9827854432135528E-2</c:v>
                </c:pt>
                <c:pt idx="494">
                  <c:v>1.961256388665511E-2</c:v>
                </c:pt>
                <c:pt idx="495">
                  <c:v>1.9399451298149906E-2</c:v>
                </c:pt>
                <c:pt idx="496">
                  <c:v>1.9188496689914292E-2</c:v>
                </c:pt>
                <c:pt idx="497">
                  <c:v>1.8979680242212082E-2</c:v>
                </c:pt>
                <c:pt idx="498">
                  <c:v>1.8772982291381912E-2</c:v>
                </c:pt>
                <c:pt idx="499">
                  <c:v>1.8568383328945059E-2</c:v>
                </c:pt>
                <c:pt idx="500">
                  <c:v>1.8365864000711718E-2</c:v>
                </c:pt>
                <c:pt idx="501">
                  <c:v>1.8165405105889376E-2</c:v>
                </c:pt>
                <c:pt idx="502">
                  <c:v>1.7966987596190753E-2</c:v>
                </c:pt>
                <c:pt idx="503">
                  <c:v>1.7770592574942845E-2</c:v>
                </c:pt>
                <c:pt idx="504">
                  <c:v>1.7576201296196969E-2</c:v>
                </c:pt>
                <c:pt idx="505">
                  <c:v>1.7383795163839588E-2</c:v>
                </c:pt>
                <c:pt idx="506">
                  <c:v>1.719335573070313E-2</c:v>
                </c:pt>
                <c:pt idx="507">
                  <c:v>1.7004864697679589E-2</c:v>
                </c:pt>
                <c:pt idx="508">
                  <c:v>1.6818303912833343E-2</c:v>
                </c:pt>
                <c:pt idx="509">
                  <c:v>1.6633655370516864E-2</c:v>
                </c:pt>
                <c:pt idx="510">
                  <c:v>1.645090121048598E-2</c:v>
                </c:pt>
                <c:pt idx="511">
                  <c:v>1.6270023717017801E-2</c:v>
                </c:pt>
                <c:pt idx="512">
                  <c:v>1.6091005318028873E-2</c:v>
                </c:pt>
                <c:pt idx="513">
                  <c:v>1.591382858419621E-2</c:v>
                </c:pt>
                <c:pt idx="514">
                  <c:v>1.573847622807778E-2</c:v>
                </c:pt>
                <c:pt idx="515">
                  <c:v>1.5564931103236535E-2</c:v>
                </c:pt>
                <c:pt idx="516">
                  <c:v>1.5393176203365E-2</c:v>
                </c:pt>
                <c:pt idx="517">
                  <c:v>1.5223194661411643E-2</c:v>
                </c:pt>
                <c:pt idx="518">
                  <c:v>1.5054969748708902E-2</c:v>
                </c:pt>
                <c:pt idx="519">
                  <c:v>1.4888484874103658E-2</c:v>
                </c:pt>
                <c:pt idx="520">
                  <c:v>1.4723723583088599E-2</c:v>
                </c:pt>
                <c:pt idx="521">
                  <c:v>1.4560669556936356E-2</c:v>
                </c:pt>
              </c:numCache>
            </c:numRef>
          </c:yVal>
          <c:smooth val="0"/>
          <c:extLst>
            <c:ext xmlns:c16="http://schemas.microsoft.com/office/drawing/2014/chart" uri="{C3380CC4-5D6E-409C-BE32-E72D297353CC}">
              <c16:uniqueId val="{00000000-F12F-4844-BEC0-77590D58AD11}"/>
            </c:ext>
          </c:extLst>
        </c:ser>
        <c:ser>
          <c:idx val="0"/>
          <c:order val="1"/>
          <c:tx>
            <c:v>LEN PFS</c:v>
          </c:tx>
          <c:spPr>
            <a:ln w="19050" cap="rnd">
              <a:solidFill>
                <a:schemeClr val="accent1"/>
              </a:solidFill>
              <a:prstDash val="dash"/>
              <a:round/>
            </a:ln>
            <a:effectLst/>
          </c:spPr>
          <c:marker>
            <c:symbol val="none"/>
          </c:marker>
          <c:xVal>
            <c:numRef>
              <c:f>OS!$B$81:$B$602</c:f>
              <c:numCache>
                <c:formatCode>0.00</c:formatCode>
                <c:ptCount val="522"/>
                <c:pt idx="0">
                  <c:v>0</c:v>
                </c:pt>
                <c:pt idx="1">
                  <c:v>7.665982203969883E-2</c:v>
                </c:pt>
                <c:pt idx="2">
                  <c:v>0.15331964407939766</c:v>
                </c:pt>
                <c:pt idx="3">
                  <c:v>0.2299794661190965</c:v>
                </c:pt>
                <c:pt idx="4">
                  <c:v>0.30663928815879532</c:v>
                </c:pt>
                <c:pt idx="5">
                  <c:v>0.38329911019849416</c:v>
                </c:pt>
                <c:pt idx="6">
                  <c:v>0.45995893223819301</c:v>
                </c:pt>
                <c:pt idx="7">
                  <c:v>0.53661875427789185</c:v>
                </c:pt>
                <c:pt idx="8">
                  <c:v>0.61327857631759064</c:v>
                </c:pt>
                <c:pt idx="9">
                  <c:v>0.68993839835728954</c:v>
                </c:pt>
                <c:pt idx="10">
                  <c:v>0.76659822039698833</c:v>
                </c:pt>
                <c:pt idx="11">
                  <c:v>0.84325804243668723</c:v>
                </c:pt>
                <c:pt idx="12">
                  <c:v>0.91991786447638602</c:v>
                </c:pt>
                <c:pt idx="13">
                  <c:v>0.99657768651608492</c:v>
                </c:pt>
                <c:pt idx="14">
                  <c:v>1.0732375085557837</c:v>
                </c:pt>
                <c:pt idx="15">
                  <c:v>1.1498973305954825</c:v>
                </c:pt>
                <c:pt idx="16">
                  <c:v>1.2265571526351813</c:v>
                </c:pt>
                <c:pt idx="17">
                  <c:v>1.3032169746748803</c:v>
                </c:pt>
                <c:pt idx="18">
                  <c:v>1.3798767967145791</c:v>
                </c:pt>
                <c:pt idx="19">
                  <c:v>1.4565366187542779</c:v>
                </c:pt>
                <c:pt idx="20">
                  <c:v>1.5331964407939767</c:v>
                </c:pt>
                <c:pt idx="21">
                  <c:v>1.6098562628336757</c:v>
                </c:pt>
                <c:pt idx="22">
                  <c:v>1.6865160848733745</c:v>
                </c:pt>
                <c:pt idx="23">
                  <c:v>1.7631759069130732</c:v>
                </c:pt>
                <c:pt idx="24">
                  <c:v>1.839835728952772</c:v>
                </c:pt>
                <c:pt idx="25">
                  <c:v>1.9164955509924708</c:v>
                </c:pt>
                <c:pt idx="26">
                  <c:v>1.9931553730321698</c:v>
                </c:pt>
                <c:pt idx="27">
                  <c:v>2.0698151950718686</c:v>
                </c:pt>
                <c:pt idx="28">
                  <c:v>2.1464750171115674</c:v>
                </c:pt>
                <c:pt idx="29">
                  <c:v>2.2231348391512662</c:v>
                </c:pt>
                <c:pt idx="30">
                  <c:v>2.299794661190965</c:v>
                </c:pt>
                <c:pt idx="31">
                  <c:v>2.3764544832306638</c:v>
                </c:pt>
                <c:pt idx="32">
                  <c:v>2.4531143052703626</c:v>
                </c:pt>
                <c:pt idx="33">
                  <c:v>2.5297741273100618</c:v>
                </c:pt>
                <c:pt idx="34">
                  <c:v>2.6064339493497606</c:v>
                </c:pt>
                <c:pt idx="35">
                  <c:v>2.6830937713894594</c:v>
                </c:pt>
                <c:pt idx="36">
                  <c:v>2.7597535934291582</c:v>
                </c:pt>
                <c:pt idx="37">
                  <c:v>2.8364134154688569</c:v>
                </c:pt>
                <c:pt idx="38">
                  <c:v>2.9130732375085557</c:v>
                </c:pt>
                <c:pt idx="39">
                  <c:v>2.9897330595482545</c:v>
                </c:pt>
                <c:pt idx="40">
                  <c:v>3.0663928815879533</c:v>
                </c:pt>
                <c:pt idx="41">
                  <c:v>3.1430527036276521</c:v>
                </c:pt>
                <c:pt idx="42">
                  <c:v>3.2197125256673513</c:v>
                </c:pt>
                <c:pt idx="43">
                  <c:v>3.2963723477070501</c:v>
                </c:pt>
                <c:pt idx="44">
                  <c:v>3.3730321697467489</c:v>
                </c:pt>
                <c:pt idx="45">
                  <c:v>3.4496919917864477</c:v>
                </c:pt>
                <c:pt idx="46">
                  <c:v>3.5263518138261465</c:v>
                </c:pt>
                <c:pt idx="47">
                  <c:v>3.6030116358658453</c:v>
                </c:pt>
                <c:pt idx="48">
                  <c:v>3.6796714579055441</c:v>
                </c:pt>
                <c:pt idx="49">
                  <c:v>3.7563312799452429</c:v>
                </c:pt>
                <c:pt idx="50">
                  <c:v>3.8329911019849416</c:v>
                </c:pt>
                <c:pt idx="51">
                  <c:v>3.9096509240246409</c:v>
                </c:pt>
                <c:pt idx="52">
                  <c:v>3.9863107460643397</c:v>
                </c:pt>
                <c:pt idx="53">
                  <c:v>4.0629705681040384</c:v>
                </c:pt>
                <c:pt idx="54">
                  <c:v>4.1396303901437372</c:v>
                </c:pt>
                <c:pt idx="55">
                  <c:v>4.216290212183436</c:v>
                </c:pt>
                <c:pt idx="56">
                  <c:v>4.2929500342231348</c:v>
                </c:pt>
                <c:pt idx="57">
                  <c:v>4.3696098562628336</c:v>
                </c:pt>
                <c:pt idx="58">
                  <c:v>4.4462696783025324</c:v>
                </c:pt>
                <c:pt idx="59">
                  <c:v>4.5229295003422312</c:v>
                </c:pt>
                <c:pt idx="60">
                  <c:v>4.59958932238193</c:v>
                </c:pt>
                <c:pt idx="61">
                  <c:v>4.6762491444216288</c:v>
                </c:pt>
                <c:pt idx="62">
                  <c:v>4.7529089664613275</c:v>
                </c:pt>
                <c:pt idx="63">
                  <c:v>4.8295687885010263</c:v>
                </c:pt>
                <c:pt idx="64">
                  <c:v>4.9062286105407251</c:v>
                </c:pt>
                <c:pt idx="65">
                  <c:v>4.9828884325804248</c:v>
                </c:pt>
                <c:pt idx="66">
                  <c:v>5.0595482546201236</c:v>
                </c:pt>
                <c:pt idx="67">
                  <c:v>5.1362080766598224</c:v>
                </c:pt>
                <c:pt idx="68">
                  <c:v>5.2128678986995212</c:v>
                </c:pt>
                <c:pt idx="69">
                  <c:v>5.28952772073922</c:v>
                </c:pt>
                <c:pt idx="70">
                  <c:v>5.3661875427789187</c:v>
                </c:pt>
                <c:pt idx="71">
                  <c:v>5.4428473648186175</c:v>
                </c:pt>
                <c:pt idx="72">
                  <c:v>5.5195071868583163</c:v>
                </c:pt>
                <c:pt idx="73">
                  <c:v>5.5961670088980151</c:v>
                </c:pt>
                <c:pt idx="74">
                  <c:v>5.6728268309377139</c:v>
                </c:pt>
                <c:pt idx="75">
                  <c:v>5.7494866529774127</c:v>
                </c:pt>
                <c:pt idx="76">
                  <c:v>5.8261464750171115</c:v>
                </c:pt>
                <c:pt idx="77">
                  <c:v>5.9028062970568103</c:v>
                </c:pt>
                <c:pt idx="78">
                  <c:v>5.979466119096509</c:v>
                </c:pt>
                <c:pt idx="79">
                  <c:v>6.0561259411362078</c:v>
                </c:pt>
                <c:pt idx="80">
                  <c:v>6.1327857631759066</c:v>
                </c:pt>
                <c:pt idx="81">
                  <c:v>6.2094455852156054</c:v>
                </c:pt>
                <c:pt idx="82">
                  <c:v>6.2861054072553042</c:v>
                </c:pt>
                <c:pt idx="83">
                  <c:v>6.362765229295003</c:v>
                </c:pt>
                <c:pt idx="84">
                  <c:v>6.4394250513347027</c:v>
                </c:pt>
                <c:pt idx="85">
                  <c:v>6.5160848733744015</c:v>
                </c:pt>
                <c:pt idx="86">
                  <c:v>6.5927446954141002</c:v>
                </c:pt>
                <c:pt idx="87">
                  <c:v>6.669404517453799</c:v>
                </c:pt>
                <c:pt idx="88">
                  <c:v>6.7460643394934978</c:v>
                </c:pt>
                <c:pt idx="89">
                  <c:v>6.8227241615331966</c:v>
                </c:pt>
                <c:pt idx="90">
                  <c:v>6.8993839835728954</c:v>
                </c:pt>
                <c:pt idx="91">
                  <c:v>6.9760438056125942</c:v>
                </c:pt>
                <c:pt idx="92">
                  <c:v>7.052703627652293</c:v>
                </c:pt>
                <c:pt idx="93">
                  <c:v>7.1293634496919918</c:v>
                </c:pt>
                <c:pt idx="94">
                  <c:v>7.2060232717316905</c:v>
                </c:pt>
                <c:pt idx="95">
                  <c:v>7.2826830937713893</c:v>
                </c:pt>
                <c:pt idx="96">
                  <c:v>7.3593429158110881</c:v>
                </c:pt>
                <c:pt idx="97">
                  <c:v>7.4360027378507869</c:v>
                </c:pt>
                <c:pt idx="98">
                  <c:v>7.5126625598904857</c:v>
                </c:pt>
                <c:pt idx="99">
                  <c:v>7.5893223819301845</c:v>
                </c:pt>
                <c:pt idx="100">
                  <c:v>7.6659822039698833</c:v>
                </c:pt>
                <c:pt idx="101">
                  <c:v>7.7426420260095821</c:v>
                </c:pt>
                <c:pt idx="102">
                  <c:v>7.8193018480492817</c:v>
                </c:pt>
                <c:pt idx="103">
                  <c:v>7.8959616700889805</c:v>
                </c:pt>
                <c:pt idx="104">
                  <c:v>7.9726214921286793</c:v>
                </c:pt>
                <c:pt idx="105">
                  <c:v>8.0492813141683772</c:v>
                </c:pt>
                <c:pt idx="106">
                  <c:v>8.1259411362080769</c:v>
                </c:pt>
                <c:pt idx="107">
                  <c:v>8.2026009582477748</c:v>
                </c:pt>
                <c:pt idx="108">
                  <c:v>8.2792607802874745</c:v>
                </c:pt>
                <c:pt idx="109">
                  <c:v>8.3559206023271724</c:v>
                </c:pt>
                <c:pt idx="110">
                  <c:v>8.4325804243668721</c:v>
                </c:pt>
                <c:pt idx="111">
                  <c:v>8.5092402464065717</c:v>
                </c:pt>
                <c:pt idx="112">
                  <c:v>8.5859000684462696</c:v>
                </c:pt>
                <c:pt idx="113">
                  <c:v>8.6625598904859693</c:v>
                </c:pt>
                <c:pt idx="114">
                  <c:v>8.7392197125256672</c:v>
                </c:pt>
                <c:pt idx="115">
                  <c:v>8.8158795345653669</c:v>
                </c:pt>
                <c:pt idx="116">
                  <c:v>8.8925393566050648</c:v>
                </c:pt>
                <c:pt idx="117">
                  <c:v>8.9691991786447645</c:v>
                </c:pt>
                <c:pt idx="118">
                  <c:v>9.0458590006844624</c:v>
                </c:pt>
                <c:pt idx="119">
                  <c:v>9.122518822724162</c:v>
                </c:pt>
                <c:pt idx="120">
                  <c:v>9.1991786447638599</c:v>
                </c:pt>
                <c:pt idx="121">
                  <c:v>9.2758384668035596</c:v>
                </c:pt>
                <c:pt idx="122">
                  <c:v>9.3524982888432575</c:v>
                </c:pt>
                <c:pt idx="123">
                  <c:v>9.4291581108829572</c:v>
                </c:pt>
                <c:pt idx="124">
                  <c:v>9.5058179329226551</c:v>
                </c:pt>
                <c:pt idx="125">
                  <c:v>9.5824777549623548</c:v>
                </c:pt>
                <c:pt idx="126">
                  <c:v>9.6591375770020527</c:v>
                </c:pt>
                <c:pt idx="127">
                  <c:v>9.7357973990417523</c:v>
                </c:pt>
                <c:pt idx="128">
                  <c:v>9.8124572210814502</c:v>
                </c:pt>
                <c:pt idx="129">
                  <c:v>9.8891170431211499</c:v>
                </c:pt>
                <c:pt idx="130">
                  <c:v>9.9657768651608496</c:v>
                </c:pt>
                <c:pt idx="131">
                  <c:v>10.042436687200547</c:v>
                </c:pt>
                <c:pt idx="132">
                  <c:v>10.119096509240247</c:v>
                </c:pt>
                <c:pt idx="133">
                  <c:v>10.195756331279945</c:v>
                </c:pt>
                <c:pt idx="134">
                  <c:v>10.272416153319645</c:v>
                </c:pt>
                <c:pt idx="135">
                  <c:v>10.349075975359343</c:v>
                </c:pt>
                <c:pt idx="136">
                  <c:v>10.425735797399042</c:v>
                </c:pt>
                <c:pt idx="137">
                  <c:v>10.50239561943874</c:v>
                </c:pt>
                <c:pt idx="138">
                  <c:v>10.57905544147844</c:v>
                </c:pt>
                <c:pt idx="139">
                  <c:v>10.655715263518138</c:v>
                </c:pt>
                <c:pt idx="140">
                  <c:v>10.732375085557837</c:v>
                </c:pt>
                <c:pt idx="141">
                  <c:v>10.809034907597535</c:v>
                </c:pt>
                <c:pt idx="142">
                  <c:v>10.885694729637235</c:v>
                </c:pt>
                <c:pt idx="143">
                  <c:v>10.962354551676933</c:v>
                </c:pt>
                <c:pt idx="144">
                  <c:v>11.039014373716633</c:v>
                </c:pt>
                <c:pt idx="145">
                  <c:v>11.115674195756331</c:v>
                </c:pt>
                <c:pt idx="146">
                  <c:v>11.19233401779603</c:v>
                </c:pt>
                <c:pt idx="147">
                  <c:v>11.268993839835728</c:v>
                </c:pt>
                <c:pt idx="148">
                  <c:v>11.345653661875428</c:v>
                </c:pt>
                <c:pt idx="149">
                  <c:v>11.422313483915127</c:v>
                </c:pt>
                <c:pt idx="150">
                  <c:v>11.498973305954825</c:v>
                </c:pt>
                <c:pt idx="151">
                  <c:v>11.575633127994525</c:v>
                </c:pt>
                <c:pt idx="152">
                  <c:v>11.652292950034223</c:v>
                </c:pt>
                <c:pt idx="153">
                  <c:v>11.728952772073923</c:v>
                </c:pt>
                <c:pt idx="154">
                  <c:v>11.805612594113621</c:v>
                </c:pt>
                <c:pt idx="155">
                  <c:v>11.88227241615332</c:v>
                </c:pt>
                <c:pt idx="156">
                  <c:v>11.958932238193018</c:v>
                </c:pt>
                <c:pt idx="157">
                  <c:v>12.035592060232718</c:v>
                </c:pt>
                <c:pt idx="158">
                  <c:v>12.112251882272416</c:v>
                </c:pt>
                <c:pt idx="159">
                  <c:v>12.188911704312115</c:v>
                </c:pt>
                <c:pt idx="160">
                  <c:v>12.265571526351813</c:v>
                </c:pt>
                <c:pt idx="161">
                  <c:v>12.342231348391513</c:v>
                </c:pt>
                <c:pt idx="162">
                  <c:v>12.418891170431211</c:v>
                </c:pt>
                <c:pt idx="163">
                  <c:v>12.495550992470911</c:v>
                </c:pt>
                <c:pt idx="164">
                  <c:v>12.572210814510608</c:v>
                </c:pt>
                <c:pt idx="165">
                  <c:v>12.648870636550308</c:v>
                </c:pt>
                <c:pt idx="166">
                  <c:v>12.725530458590006</c:v>
                </c:pt>
                <c:pt idx="167">
                  <c:v>12.802190280629706</c:v>
                </c:pt>
                <c:pt idx="168">
                  <c:v>12.878850102669405</c:v>
                </c:pt>
                <c:pt idx="169">
                  <c:v>12.955509924709103</c:v>
                </c:pt>
                <c:pt idx="170">
                  <c:v>13.032169746748803</c:v>
                </c:pt>
                <c:pt idx="171">
                  <c:v>13.108829568788501</c:v>
                </c:pt>
                <c:pt idx="172">
                  <c:v>13.1854893908282</c:v>
                </c:pt>
                <c:pt idx="173">
                  <c:v>13.262149212867898</c:v>
                </c:pt>
                <c:pt idx="174">
                  <c:v>13.338809034907598</c:v>
                </c:pt>
                <c:pt idx="175">
                  <c:v>13.415468856947296</c:v>
                </c:pt>
                <c:pt idx="176">
                  <c:v>13.492128678986996</c:v>
                </c:pt>
                <c:pt idx="177">
                  <c:v>13.568788501026694</c:v>
                </c:pt>
                <c:pt idx="178">
                  <c:v>13.645448323066393</c:v>
                </c:pt>
                <c:pt idx="179">
                  <c:v>13.722108145106091</c:v>
                </c:pt>
                <c:pt idx="180">
                  <c:v>13.798767967145791</c:v>
                </c:pt>
                <c:pt idx="181">
                  <c:v>13.875427789185489</c:v>
                </c:pt>
                <c:pt idx="182">
                  <c:v>13.952087611225188</c:v>
                </c:pt>
                <c:pt idx="183">
                  <c:v>14.028747433264886</c:v>
                </c:pt>
                <c:pt idx="184">
                  <c:v>14.105407255304586</c:v>
                </c:pt>
                <c:pt idx="185">
                  <c:v>14.182067077344286</c:v>
                </c:pt>
                <c:pt idx="186">
                  <c:v>14.258726899383984</c:v>
                </c:pt>
                <c:pt idx="187">
                  <c:v>14.335386721423683</c:v>
                </c:pt>
                <c:pt idx="188">
                  <c:v>14.412046543463381</c:v>
                </c:pt>
                <c:pt idx="189">
                  <c:v>14.488706365503081</c:v>
                </c:pt>
                <c:pt idx="190">
                  <c:v>14.565366187542779</c:v>
                </c:pt>
                <c:pt idx="191">
                  <c:v>14.642026009582478</c:v>
                </c:pt>
                <c:pt idx="192">
                  <c:v>14.718685831622176</c:v>
                </c:pt>
                <c:pt idx="193">
                  <c:v>14.795345653661876</c:v>
                </c:pt>
                <c:pt idx="194">
                  <c:v>14.872005475701574</c:v>
                </c:pt>
                <c:pt idx="195">
                  <c:v>14.948665297741274</c:v>
                </c:pt>
                <c:pt idx="196">
                  <c:v>15.025325119780971</c:v>
                </c:pt>
                <c:pt idx="197">
                  <c:v>15.101984941820671</c:v>
                </c:pt>
                <c:pt idx="198">
                  <c:v>15.178644763860369</c:v>
                </c:pt>
                <c:pt idx="199">
                  <c:v>15.255304585900069</c:v>
                </c:pt>
                <c:pt idx="200">
                  <c:v>15.331964407939767</c:v>
                </c:pt>
                <c:pt idx="201">
                  <c:v>15.408624229979466</c:v>
                </c:pt>
                <c:pt idx="202">
                  <c:v>15.485284052019164</c:v>
                </c:pt>
                <c:pt idx="203">
                  <c:v>15.561943874058864</c:v>
                </c:pt>
                <c:pt idx="204">
                  <c:v>15.638603696098563</c:v>
                </c:pt>
                <c:pt idx="205">
                  <c:v>15.715263518138261</c:v>
                </c:pt>
                <c:pt idx="206">
                  <c:v>15.791923340177961</c:v>
                </c:pt>
                <c:pt idx="207">
                  <c:v>15.868583162217659</c:v>
                </c:pt>
                <c:pt idx="208">
                  <c:v>15.945242984257359</c:v>
                </c:pt>
                <c:pt idx="209">
                  <c:v>16.021902806297057</c:v>
                </c:pt>
                <c:pt idx="210">
                  <c:v>16.098562628336754</c:v>
                </c:pt>
                <c:pt idx="211">
                  <c:v>16.175222450376456</c:v>
                </c:pt>
                <c:pt idx="212">
                  <c:v>16.251882272416154</c:v>
                </c:pt>
                <c:pt idx="213">
                  <c:v>16.328542094455852</c:v>
                </c:pt>
                <c:pt idx="214">
                  <c:v>16.40520191649555</c:v>
                </c:pt>
                <c:pt idx="215">
                  <c:v>16.481861738535251</c:v>
                </c:pt>
                <c:pt idx="216">
                  <c:v>16.558521560574949</c:v>
                </c:pt>
                <c:pt idx="217">
                  <c:v>16.635181382614647</c:v>
                </c:pt>
                <c:pt idx="218">
                  <c:v>16.711841204654345</c:v>
                </c:pt>
                <c:pt idx="219">
                  <c:v>16.788501026694046</c:v>
                </c:pt>
                <c:pt idx="220">
                  <c:v>16.865160848733744</c:v>
                </c:pt>
                <c:pt idx="221">
                  <c:v>16.941820670773442</c:v>
                </c:pt>
                <c:pt idx="222">
                  <c:v>17.018480492813143</c:v>
                </c:pt>
                <c:pt idx="223">
                  <c:v>17.095140314852841</c:v>
                </c:pt>
                <c:pt idx="224">
                  <c:v>17.171800136892539</c:v>
                </c:pt>
                <c:pt idx="225">
                  <c:v>17.248459958932237</c:v>
                </c:pt>
                <c:pt idx="226">
                  <c:v>17.325119780971939</c:v>
                </c:pt>
                <c:pt idx="227">
                  <c:v>17.401779603011637</c:v>
                </c:pt>
                <c:pt idx="228">
                  <c:v>17.478439425051334</c:v>
                </c:pt>
                <c:pt idx="229">
                  <c:v>17.555099247091032</c:v>
                </c:pt>
                <c:pt idx="230">
                  <c:v>17.631759069130734</c:v>
                </c:pt>
                <c:pt idx="231">
                  <c:v>17.708418891170432</c:v>
                </c:pt>
                <c:pt idx="232">
                  <c:v>17.78507871321013</c:v>
                </c:pt>
                <c:pt idx="233">
                  <c:v>17.861738535249827</c:v>
                </c:pt>
                <c:pt idx="234">
                  <c:v>17.938398357289529</c:v>
                </c:pt>
                <c:pt idx="235">
                  <c:v>18.015058179329227</c:v>
                </c:pt>
                <c:pt idx="236">
                  <c:v>18.091718001368925</c:v>
                </c:pt>
                <c:pt idx="237">
                  <c:v>18.168377823408623</c:v>
                </c:pt>
                <c:pt idx="238">
                  <c:v>18.245037645448324</c:v>
                </c:pt>
                <c:pt idx="239">
                  <c:v>18.321697467488022</c:v>
                </c:pt>
                <c:pt idx="240">
                  <c:v>18.39835728952772</c:v>
                </c:pt>
                <c:pt idx="241">
                  <c:v>18.475017111567421</c:v>
                </c:pt>
                <c:pt idx="242">
                  <c:v>18.551676933607119</c:v>
                </c:pt>
                <c:pt idx="243">
                  <c:v>18.628336755646817</c:v>
                </c:pt>
                <c:pt idx="244">
                  <c:v>18.704996577686515</c:v>
                </c:pt>
                <c:pt idx="245">
                  <c:v>18.781656399726216</c:v>
                </c:pt>
                <c:pt idx="246">
                  <c:v>18.858316221765914</c:v>
                </c:pt>
                <c:pt idx="247">
                  <c:v>18.934976043805612</c:v>
                </c:pt>
                <c:pt idx="248">
                  <c:v>19.01163586584531</c:v>
                </c:pt>
                <c:pt idx="249">
                  <c:v>19.088295687885012</c:v>
                </c:pt>
                <c:pt idx="250">
                  <c:v>19.16495550992471</c:v>
                </c:pt>
                <c:pt idx="251">
                  <c:v>19.241615331964407</c:v>
                </c:pt>
                <c:pt idx="252">
                  <c:v>19.318275154004105</c:v>
                </c:pt>
                <c:pt idx="253">
                  <c:v>19.394934976043807</c:v>
                </c:pt>
                <c:pt idx="254">
                  <c:v>19.471594798083505</c:v>
                </c:pt>
                <c:pt idx="255">
                  <c:v>19.548254620123203</c:v>
                </c:pt>
                <c:pt idx="256">
                  <c:v>19.6249144421629</c:v>
                </c:pt>
                <c:pt idx="257">
                  <c:v>19.701574264202602</c:v>
                </c:pt>
                <c:pt idx="258">
                  <c:v>19.7782340862423</c:v>
                </c:pt>
                <c:pt idx="259">
                  <c:v>19.854893908281998</c:v>
                </c:pt>
                <c:pt idx="260">
                  <c:v>19.931553730321699</c:v>
                </c:pt>
                <c:pt idx="261">
                  <c:v>20.008213552361397</c:v>
                </c:pt>
                <c:pt idx="262">
                  <c:v>20.084873374401095</c:v>
                </c:pt>
                <c:pt idx="263">
                  <c:v>20.161533196440793</c:v>
                </c:pt>
                <c:pt idx="264">
                  <c:v>20.238193018480494</c:v>
                </c:pt>
                <c:pt idx="265">
                  <c:v>20.314852840520192</c:v>
                </c:pt>
                <c:pt idx="266">
                  <c:v>20.39151266255989</c:v>
                </c:pt>
                <c:pt idx="267">
                  <c:v>20.468172484599588</c:v>
                </c:pt>
                <c:pt idx="268">
                  <c:v>20.544832306639289</c:v>
                </c:pt>
                <c:pt idx="269">
                  <c:v>20.621492128678987</c:v>
                </c:pt>
                <c:pt idx="270">
                  <c:v>20.698151950718685</c:v>
                </c:pt>
                <c:pt idx="271">
                  <c:v>20.774811772758383</c:v>
                </c:pt>
                <c:pt idx="272">
                  <c:v>20.851471594798085</c:v>
                </c:pt>
                <c:pt idx="273">
                  <c:v>20.928131416837783</c:v>
                </c:pt>
                <c:pt idx="274">
                  <c:v>21.00479123887748</c:v>
                </c:pt>
                <c:pt idx="275">
                  <c:v>21.081451060917178</c:v>
                </c:pt>
                <c:pt idx="276">
                  <c:v>21.15811088295688</c:v>
                </c:pt>
                <c:pt idx="277">
                  <c:v>21.234770704996578</c:v>
                </c:pt>
                <c:pt idx="278">
                  <c:v>21.311430527036276</c:v>
                </c:pt>
                <c:pt idx="279">
                  <c:v>21.388090349075977</c:v>
                </c:pt>
                <c:pt idx="280">
                  <c:v>21.464750171115675</c:v>
                </c:pt>
                <c:pt idx="281">
                  <c:v>21.541409993155373</c:v>
                </c:pt>
                <c:pt idx="282">
                  <c:v>21.618069815195071</c:v>
                </c:pt>
                <c:pt idx="283">
                  <c:v>21.694729637234772</c:v>
                </c:pt>
                <c:pt idx="284">
                  <c:v>21.77138945927447</c:v>
                </c:pt>
                <c:pt idx="285">
                  <c:v>21.848049281314168</c:v>
                </c:pt>
                <c:pt idx="286">
                  <c:v>21.924709103353866</c:v>
                </c:pt>
                <c:pt idx="287">
                  <c:v>22.001368925393567</c:v>
                </c:pt>
                <c:pt idx="288">
                  <c:v>22.078028747433265</c:v>
                </c:pt>
                <c:pt idx="289">
                  <c:v>22.154688569472963</c:v>
                </c:pt>
                <c:pt idx="290">
                  <c:v>22.231348391512661</c:v>
                </c:pt>
                <c:pt idx="291">
                  <c:v>22.308008213552363</c:v>
                </c:pt>
                <c:pt idx="292">
                  <c:v>22.38466803559206</c:v>
                </c:pt>
                <c:pt idx="293">
                  <c:v>22.461327857631758</c:v>
                </c:pt>
                <c:pt idx="294">
                  <c:v>22.537987679671456</c:v>
                </c:pt>
                <c:pt idx="295">
                  <c:v>22.614647501711158</c:v>
                </c:pt>
                <c:pt idx="296">
                  <c:v>22.691307323750856</c:v>
                </c:pt>
                <c:pt idx="297">
                  <c:v>22.767967145790553</c:v>
                </c:pt>
                <c:pt idx="298">
                  <c:v>22.844626967830255</c:v>
                </c:pt>
                <c:pt idx="299">
                  <c:v>22.921286789869953</c:v>
                </c:pt>
                <c:pt idx="300">
                  <c:v>22.997946611909651</c:v>
                </c:pt>
                <c:pt idx="301">
                  <c:v>23.074606433949349</c:v>
                </c:pt>
                <c:pt idx="302">
                  <c:v>23.15126625598905</c:v>
                </c:pt>
                <c:pt idx="303">
                  <c:v>23.227926078028748</c:v>
                </c:pt>
                <c:pt idx="304">
                  <c:v>23.304585900068446</c:v>
                </c:pt>
                <c:pt idx="305">
                  <c:v>23.381245722108144</c:v>
                </c:pt>
                <c:pt idx="306">
                  <c:v>23.457905544147845</c:v>
                </c:pt>
                <c:pt idx="307">
                  <c:v>23.534565366187543</c:v>
                </c:pt>
                <c:pt idx="308">
                  <c:v>23.611225188227241</c:v>
                </c:pt>
                <c:pt idx="309">
                  <c:v>23.687885010266939</c:v>
                </c:pt>
                <c:pt idx="310">
                  <c:v>23.76454483230664</c:v>
                </c:pt>
                <c:pt idx="311">
                  <c:v>23.841204654346338</c:v>
                </c:pt>
                <c:pt idx="312">
                  <c:v>23.917864476386036</c:v>
                </c:pt>
                <c:pt idx="313">
                  <c:v>23.994524298425734</c:v>
                </c:pt>
                <c:pt idx="314">
                  <c:v>24.071184120465436</c:v>
                </c:pt>
                <c:pt idx="315">
                  <c:v>24.147843942505133</c:v>
                </c:pt>
                <c:pt idx="316">
                  <c:v>24.224503764544831</c:v>
                </c:pt>
                <c:pt idx="317">
                  <c:v>24.301163586584533</c:v>
                </c:pt>
                <c:pt idx="318">
                  <c:v>24.377823408624231</c:v>
                </c:pt>
                <c:pt idx="319">
                  <c:v>24.454483230663929</c:v>
                </c:pt>
                <c:pt idx="320">
                  <c:v>24.531143052703626</c:v>
                </c:pt>
                <c:pt idx="321">
                  <c:v>24.607802874743328</c:v>
                </c:pt>
                <c:pt idx="322">
                  <c:v>24.684462696783026</c:v>
                </c:pt>
                <c:pt idx="323">
                  <c:v>24.761122518822724</c:v>
                </c:pt>
                <c:pt idx="324">
                  <c:v>24.837782340862422</c:v>
                </c:pt>
                <c:pt idx="325">
                  <c:v>24.914442162902123</c:v>
                </c:pt>
                <c:pt idx="326">
                  <c:v>24.991101984941821</c:v>
                </c:pt>
                <c:pt idx="327">
                  <c:v>25.067761806981519</c:v>
                </c:pt>
                <c:pt idx="328">
                  <c:v>25.144421629021217</c:v>
                </c:pt>
                <c:pt idx="329">
                  <c:v>25.221081451060918</c:v>
                </c:pt>
                <c:pt idx="330">
                  <c:v>25.297741273100616</c:v>
                </c:pt>
                <c:pt idx="331">
                  <c:v>25.374401095140314</c:v>
                </c:pt>
                <c:pt idx="332">
                  <c:v>25.451060917180012</c:v>
                </c:pt>
                <c:pt idx="333">
                  <c:v>25.527720739219713</c:v>
                </c:pt>
                <c:pt idx="334">
                  <c:v>25.604380561259411</c:v>
                </c:pt>
                <c:pt idx="335">
                  <c:v>25.681040383299109</c:v>
                </c:pt>
                <c:pt idx="336">
                  <c:v>25.757700205338811</c:v>
                </c:pt>
                <c:pt idx="337">
                  <c:v>25.834360027378509</c:v>
                </c:pt>
                <c:pt idx="338">
                  <c:v>25.911019849418206</c:v>
                </c:pt>
                <c:pt idx="339">
                  <c:v>25.987679671457904</c:v>
                </c:pt>
                <c:pt idx="340">
                  <c:v>26.064339493497606</c:v>
                </c:pt>
                <c:pt idx="341">
                  <c:v>26.140999315537304</c:v>
                </c:pt>
                <c:pt idx="342">
                  <c:v>26.217659137577002</c:v>
                </c:pt>
                <c:pt idx="343">
                  <c:v>26.2943189596167</c:v>
                </c:pt>
                <c:pt idx="344">
                  <c:v>26.370978781656401</c:v>
                </c:pt>
                <c:pt idx="345">
                  <c:v>26.447638603696099</c:v>
                </c:pt>
                <c:pt idx="346">
                  <c:v>26.524298425735797</c:v>
                </c:pt>
                <c:pt idx="347">
                  <c:v>26.600958247775495</c:v>
                </c:pt>
                <c:pt idx="348">
                  <c:v>26.677618069815196</c:v>
                </c:pt>
                <c:pt idx="349">
                  <c:v>26.754277891854894</c:v>
                </c:pt>
                <c:pt idx="350">
                  <c:v>26.830937713894592</c:v>
                </c:pt>
                <c:pt idx="351">
                  <c:v>26.90759753593429</c:v>
                </c:pt>
                <c:pt idx="352">
                  <c:v>26.984257357973991</c:v>
                </c:pt>
                <c:pt idx="353">
                  <c:v>27.060917180013689</c:v>
                </c:pt>
                <c:pt idx="354">
                  <c:v>27.137577002053387</c:v>
                </c:pt>
                <c:pt idx="355">
                  <c:v>27.214236824093089</c:v>
                </c:pt>
                <c:pt idx="356">
                  <c:v>27.290896646132786</c:v>
                </c:pt>
                <c:pt idx="357">
                  <c:v>27.367556468172484</c:v>
                </c:pt>
                <c:pt idx="358">
                  <c:v>27.444216290212182</c:v>
                </c:pt>
                <c:pt idx="359">
                  <c:v>27.520876112251884</c:v>
                </c:pt>
                <c:pt idx="360">
                  <c:v>27.597535934291582</c:v>
                </c:pt>
                <c:pt idx="361">
                  <c:v>27.674195756331279</c:v>
                </c:pt>
                <c:pt idx="362">
                  <c:v>27.750855578370977</c:v>
                </c:pt>
                <c:pt idx="363">
                  <c:v>27.827515400410679</c:v>
                </c:pt>
                <c:pt idx="364">
                  <c:v>27.904175222450377</c:v>
                </c:pt>
                <c:pt idx="365">
                  <c:v>27.980835044490075</c:v>
                </c:pt>
                <c:pt idx="366">
                  <c:v>28.057494866529773</c:v>
                </c:pt>
                <c:pt idx="367">
                  <c:v>28.134154688569474</c:v>
                </c:pt>
                <c:pt idx="368">
                  <c:v>28.210814510609172</c:v>
                </c:pt>
                <c:pt idx="369">
                  <c:v>28.28747433264887</c:v>
                </c:pt>
                <c:pt idx="370">
                  <c:v>28.364134154688571</c:v>
                </c:pt>
                <c:pt idx="371">
                  <c:v>28.440793976728269</c:v>
                </c:pt>
                <c:pt idx="372">
                  <c:v>28.517453798767967</c:v>
                </c:pt>
                <c:pt idx="373">
                  <c:v>28.594113620807665</c:v>
                </c:pt>
                <c:pt idx="374">
                  <c:v>28.670773442847366</c:v>
                </c:pt>
                <c:pt idx="375">
                  <c:v>28.747433264887064</c:v>
                </c:pt>
                <c:pt idx="376">
                  <c:v>28.824093086926762</c:v>
                </c:pt>
                <c:pt idx="377">
                  <c:v>28.90075290896646</c:v>
                </c:pt>
                <c:pt idx="378">
                  <c:v>28.977412731006162</c:v>
                </c:pt>
                <c:pt idx="379">
                  <c:v>29.054072553045859</c:v>
                </c:pt>
                <c:pt idx="380">
                  <c:v>29.130732375085557</c:v>
                </c:pt>
                <c:pt idx="381">
                  <c:v>29.207392197125255</c:v>
                </c:pt>
                <c:pt idx="382">
                  <c:v>29.284052019164957</c:v>
                </c:pt>
                <c:pt idx="383">
                  <c:v>29.360711841204655</c:v>
                </c:pt>
                <c:pt idx="384">
                  <c:v>29.437371663244353</c:v>
                </c:pt>
                <c:pt idx="385">
                  <c:v>29.51403148528405</c:v>
                </c:pt>
                <c:pt idx="386">
                  <c:v>29.590691307323752</c:v>
                </c:pt>
                <c:pt idx="387">
                  <c:v>29.66735112936345</c:v>
                </c:pt>
                <c:pt idx="388">
                  <c:v>29.744010951403148</c:v>
                </c:pt>
                <c:pt idx="389">
                  <c:v>29.820670773442849</c:v>
                </c:pt>
                <c:pt idx="390">
                  <c:v>29.897330595482547</c:v>
                </c:pt>
                <c:pt idx="391">
                  <c:v>29.973990417522245</c:v>
                </c:pt>
                <c:pt idx="392">
                  <c:v>30.050650239561943</c:v>
                </c:pt>
                <c:pt idx="393">
                  <c:v>30.127310061601644</c:v>
                </c:pt>
                <c:pt idx="394">
                  <c:v>30.203969883641342</c:v>
                </c:pt>
                <c:pt idx="395">
                  <c:v>30.28062970568104</c:v>
                </c:pt>
                <c:pt idx="396">
                  <c:v>30.357289527720738</c:v>
                </c:pt>
                <c:pt idx="397">
                  <c:v>30.433949349760439</c:v>
                </c:pt>
                <c:pt idx="398">
                  <c:v>30.510609171800137</c:v>
                </c:pt>
                <c:pt idx="399">
                  <c:v>30.587268993839835</c:v>
                </c:pt>
                <c:pt idx="400">
                  <c:v>30.663928815879533</c:v>
                </c:pt>
                <c:pt idx="401">
                  <c:v>30.740588637919235</c:v>
                </c:pt>
                <c:pt idx="402">
                  <c:v>30.817248459958932</c:v>
                </c:pt>
                <c:pt idx="403">
                  <c:v>30.89390828199863</c:v>
                </c:pt>
                <c:pt idx="404">
                  <c:v>30.970568104038328</c:v>
                </c:pt>
                <c:pt idx="405">
                  <c:v>31.04722792607803</c:v>
                </c:pt>
                <c:pt idx="406">
                  <c:v>31.123887748117728</c:v>
                </c:pt>
                <c:pt idx="407">
                  <c:v>31.200547570157426</c:v>
                </c:pt>
                <c:pt idx="408">
                  <c:v>31.277207392197127</c:v>
                </c:pt>
                <c:pt idx="409">
                  <c:v>31.353867214236825</c:v>
                </c:pt>
                <c:pt idx="410">
                  <c:v>31.430527036276523</c:v>
                </c:pt>
                <c:pt idx="411">
                  <c:v>31.507186858316221</c:v>
                </c:pt>
                <c:pt idx="412">
                  <c:v>31.583846680355922</c:v>
                </c:pt>
                <c:pt idx="413">
                  <c:v>31.66050650239562</c:v>
                </c:pt>
                <c:pt idx="414">
                  <c:v>31.737166324435318</c:v>
                </c:pt>
                <c:pt idx="415">
                  <c:v>31.813826146475016</c:v>
                </c:pt>
                <c:pt idx="416">
                  <c:v>31.890485968514717</c:v>
                </c:pt>
                <c:pt idx="417">
                  <c:v>31.967145790554415</c:v>
                </c:pt>
                <c:pt idx="418">
                  <c:v>32.043805612594113</c:v>
                </c:pt>
                <c:pt idx="419">
                  <c:v>32.120465434633815</c:v>
                </c:pt>
                <c:pt idx="420">
                  <c:v>32.197125256673509</c:v>
                </c:pt>
                <c:pt idx="421">
                  <c:v>32.27378507871321</c:v>
                </c:pt>
                <c:pt idx="422">
                  <c:v>32.350444900752912</c:v>
                </c:pt>
                <c:pt idx="423">
                  <c:v>32.427104722792606</c:v>
                </c:pt>
                <c:pt idx="424">
                  <c:v>32.503764544832308</c:v>
                </c:pt>
                <c:pt idx="425">
                  <c:v>32.580424366872002</c:v>
                </c:pt>
                <c:pt idx="426">
                  <c:v>32.657084188911703</c:v>
                </c:pt>
                <c:pt idx="427">
                  <c:v>32.733744010951405</c:v>
                </c:pt>
                <c:pt idx="428">
                  <c:v>32.810403832991099</c:v>
                </c:pt>
                <c:pt idx="429">
                  <c:v>32.887063655030801</c:v>
                </c:pt>
                <c:pt idx="430">
                  <c:v>32.963723477070502</c:v>
                </c:pt>
                <c:pt idx="431">
                  <c:v>33.040383299110196</c:v>
                </c:pt>
                <c:pt idx="432">
                  <c:v>33.117043121149898</c:v>
                </c:pt>
                <c:pt idx="433">
                  <c:v>33.193702943189599</c:v>
                </c:pt>
                <c:pt idx="434">
                  <c:v>33.270362765229294</c:v>
                </c:pt>
                <c:pt idx="435">
                  <c:v>33.347022587268995</c:v>
                </c:pt>
                <c:pt idx="436">
                  <c:v>33.42368240930869</c:v>
                </c:pt>
                <c:pt idx="437">
                  <c:v>33.500342231348391</c:v>
                </c:pt>
                <c:pt idx="438">
                  <c:v>33.577002053388092</c:v>
                </c:pt>
                <c:pt idx="439">
                  <c:v>33.653661875427787</c:v>
                </c:pt>
                <c:pt idx="440">
                  <c:v>33.730321697467488</c:v>
                </c:pt>
                <c:pt idx="441">
                  <c:v>33.80698151950719</c:v>
                </c:pt>
                <c:pt idx="442">
                  <c:v>33.883641341546884</c:v>
                </c:pt>
                <c:pt idx="443">
                  <c:v>33.960301163586585</c:v>
                </c:pt>
                <c:pt idx="444">
                  <c:v>34.036960985626287</c:v>
                </c:pt>
                <c:pt idx="445">
                  <c:v>34.113620807665981</c:v>
                </c:pt>
                <c:pt idx="446">
                  <c:v>34.190280629705683</c:v>
                </c:pt>
                <c:pt idx="447">
                  <c:v>34.266940451745377</c:v>
                </c:pt>
                <c:pt idx="448">
                  <c:v>34.343600273785079</c:v>
                </c:pt>
                <c:pt idx="449">
                  <c:v>34.42026009582478</c:v>
                </c:pt>
                <c:pt idx="450">
                  <c:v>34.496919917864474</c:v>
                </c:pt>
                <c:pt idx="451">
                  <c:v>34.573579739904176</c:v>
                </c:pt>
                <c:pt idx="452">
                  <c:v>34.650239561943877</c:v>
                </c:pt>
                <c:pt idx="453">
                  <c:v>34.726899383983572</c:v>
                </c:pt>
                <c:pt idx="454">
                  <c:v>34.803559206023273</c:v>
                </c:pt>
                <c:pt idx="455">
                  <c:v>34.880219028062967</c:v>
                </c:pt>
                <c:pt idx="456">
                  <c:v>34.956878850102669</c:v>
                </c:pt>
                <c:pt idx="457">
                  <c:v>35.03353867214237</c:v>
                </c:pt>
                <c:pt idx="458">
                  <c:v>35.110198494182065</c:v>
                </c:pt>
                <c:pt idx="459">
                  <c:v>35.186858316221766</c:v>
                </c:pt>
                <c:pt idx="460">
                  <c:v>35.263518138261468</c:v>
                </c:pt>
                <c:pt idx="461">
                  <c:v>35.340177960301162</c:v>
                </c:pt>
                <c:pt idx="462">
                  <c:v>35.416837782340863</c:v>
                </c:pt>
                <c:pt idx="463">
                  <c:v>35.493497604380565</c:v>
                </c:pt>
                <c:pt idx="464">
                  <c:v>35.570157426420259</c:v>
                </c:pt>
                <c:pt idx="465">
                  <c:v>35.646817248459961</c:v>
                </c:pt>
                <c:pt idx="466">
                  <c:v>35.723477070499655</c:v>
                </c:pt>
                <c:pt idx="467">
                  <c:v>35.800136892539356</c:v>
                </c:pt>
                <c:pt idx="468">
                  <c:v>35.876796714579058</c:v>
                </c:pt>
                <c:pt idx="469">
                  <c:v>35.953456536618752</c:v>
                </c:pt>
                <c:pt idx="470">
                  <c:v>36.030116358658454</c:v>
                </c:pt>
                <c:pt idx="471">
                  <c:v>36.106776180698155</c:v>
                </c:pt>
                <c:pt idx="472">
                  <c:v>36.183436002737849</c:v>
                </c:pt>
                <c:pt idx="473">
                  <c:v>36.260095824777551</c:v>
                </c:pt>
                <c:pt idx="474">
                  <c:v>36.336755646817245</c:v>
                </c:pt>
                <c:pt idx="475">
                  <c:v>36.413415468856947</c:v>
                </c:pt>
                <c:pt idx="476">
                  <c:v>36.490075290896648</c:v>
                </c:pt>
                <c:pt idx="477">
                  <c:v>36.566735112936342</c:v>
                </c:pt>
                <c:pt idx="478">
                  <c:v>36.643394934976044</c:v>
                </c:pt>
                <c:pt idx="479">
                  <c:v>36.720054757015745</c:v>
                </c:pt>
                <c:pt idx="480">
                  <c:v>36.79671457905544</c:v>
                </c:pt>
                <c:pt idx="481">
                  <c:v>36.873374401095141</c:v>
                </c:pt>
                <c:pt idx="482">
                  <c:v>36.950034223134843</c:v>
                </c:pt>
                <c:pt idx="483">
                  <c:v>37.026694045174537</c:v>
                </c:pt>
                <c:pt idx="484">
                  <c:v>37.103353867214238</c:v>
                </c:pt>
                <c:pt idx="485">
                  <c:v>37.180013689253933</c:v>
                </c:pt>
                <c:pt idx="486">
                  <c:v>37.256673511293634</c:v>
                </c:pt>
                <c:pt idx="487">
                  <c:v>37.333333333333336</c:v>
                </c:pt>
                <c:pt idx="488">
                  <c:v>37.40999315537303</c:v>
                </c:pt>
                <c:pt idx="489">
                  <c:v>37.486652977412732</c:v>
                </c:pt>
                <c:pt idx="490">
                  <c:v>37.563312799452433</c:v>
                </c:pt>
                <c:pt idx="491">
                  <c:v>37.639972621492127</c:v>
                </c:pt>
                <c:pt idx="492">
                  <c:v>37.716632443531829</c:v>
                </c:pt>
                <c:pt idx="493">
                  <c:v>37.793292265571523</c:v>
                </c:pt>
                <c:pt idx="494">
                  <c:v>37.869952087611225</c:v>
                </c:pt>
                <c:pt idx="495">
                  <c:v>37.946611909650926</c:v>
                </c:pt>
                <c:pt idx="496">
                  <c:v>38.02327173169062</c:v>
                </c:pt>
                <c:pt idx="497">
                  <c:v>38.099931553730322</c:v>
                </c:pt>
                <c:pt idx="498">
                  <c:v>38.176591375770023</c:v>
                </c:pt>
                <c:pt idx="499">
                  <c:v>38.253251197809718</c:v>
                </c:pt>
                <c:pt idx="500">
                  <c:v>38.329911019849419</c:v>
                </c:pt>
                <c:pt idx="501">
                  <c:v>38.406570841889121</c:v>
                </c:pt>
                <c:pt idx="502">
                  <c:v>38.483230663928815</c:v>
                </c:pt>
                <c:pt idx="503">
                  <c:v>38.559890485968516</c:v>
                </c:pt>
                <c:pt idx="504">
                  <c:v>38.636550308008211</c:v>
                </c:pt>
                <c:pt idx="505">
                  <c:v>38.713210130047912</c:v>
                </c:pt>
                <c:pt idx="506">
                  <c:v>38.789869952087614</c:v>
                </c:pt>
                <c:pt idx="507">
                  <c:v>38.866529774127308</c:v>
                </c:pt>
                <c:pt idx="508">
                  <c:v>38.943189596167009</c:v>
                </c:pt>
                <c:pt idx="509">
                  <c:v>39.019849418206711</c:v>
                </c:pt>
                <c:pt idx="510">
                  <c:v>39.096509240246405</c:v>
                </c:pt>
                <c:pt idx="511">
                  <c:v>39.173169062286107</c:v>
                </c:pt>
                <c:pt idx="512">
                  <c:v>39.249828884325801</c:v>
                </c:pt>
                <c:pt idx="513">
                  <c:v>39.326488706365502</c:v>
                </c:pt>
                <c:pt idx="514">
                  <c:v>39.403148528405204</c:v>
                </c:pt>
                <c:pt idx="515">
                  <c:v>39.479808350444898</c:v>
                </c:pt>
                <c:pt idx="516">
                  <c:v>39.5564681724846</c:v>
                </c:pt>
                <c:pt idx="517">
                  <c:v>39.633127994524301</c:v>
                </c:pt>
                <c:pt idx="518">
                  <c:v>39.709787816563995</c:v>
                </c:pt>
                <c:pt idx="519">
                  <c:v>39.786447638603697</c:v>
                </c:pt>
                <c:pt idx="520">
                  <c:v>39.863107460643398</c:v>
                </c:pt>
                <c:pt idx="521">
                  <c:v>39.939767282683093</c:v>
                </c:pt>
              </c:numCache>
            </c:numRef>
          </c:xVal>
          <c:yVal>
            <c:numRef>
              <c:f>PFS!$E$57:$E$578</c:f>
              <c:numCache>
                <c:formatCode>0%</c:formatCode>
                <c:ptCount val="522"/>
                <c:pt idx="0">
                  <c:v>1</c:v>
                </c:pt>
                <c:pt idx="1">
                  <c:v>1</c:v>
                </c:pt>
                <c:pt idx="2">
                  <c:v>0.99130434782608701</c:v>
                </c:pt>
                <c:pt idx="3">
                  <c:v>0.98693736832024503</c:v>
                </c:pt>
                <c:pt idx="4">
                  <c:v>0.96510247079103595</c:v>
                </c:pt>
                <c:pt idx="5">
                  <c:v>0.96510247079103595</c:v>
                </c:pt>
                <c:pt idx="6">
                  <c:v>0.956368511779353</c:v>
                </c:pt>
                <c:pt idx="7">
                  <c:v>0.93451320780385505</c:v>
                </c:pt>
                <c:pt idx="8">
                  <c:v>0.93012582185172399</c:v>
                </c:pt>
                <c:pt idx="9">
                  <c:v>0.92573843589959304</c:v>
                </c:pt>
                <c:pt idx="10">
                  <c:v>0.91696366399533202</c:v>
                </c:pt>
                <c:pt idx="11">
                  <c:v>0.91696366399533202</c:v>
                </c:pt>
                <c:pt idx="12">
                  <c:v>0.899414120186809</c:v>
                </c:pt>
                <c:pt idx="13">
                  <c:v>0.89063934828254698</c:v>
                </c:pt>
                <c:pt idx="14">
                  <c:v>0.87747719042615502</c:v>
                </c:pt>
                <c:pt idx="15">
                  <c:v>0.87747719042615502</c:v>
                </c:pt>
                <c:pt idx="16">
                  <c:v>0.86870241852189301</c:v>
                </c:pt>
                <c:pt idx="17">
                  <c:v>0.86431503256976205</c:v>
                </c:pt>
                <c:pt idx="18">
                  <c:v>0.84676548876123903</c:v>
                </c:pt>
                <c:pt idx="19">
                  <c:v>0.82482855900058505</c:v>
                </c:pt>
                <c:pt idx="20">
                  <c:v>0.80727901519206202</c:v>
                </c:pt>
                <c:pt idx="21">
                  <c:v>0.80289162923993096</c:v>
                </c:pt>
                <c:pt idx="22">
                  <c:v>0.78534208543140804</c:v>
                </c:pt>
                <c:pt idx="23">
                  <c:v>0.76779254162288502</c:v>
                </c:pt>
                <c:pt idx="24">
                  <c:v>0.75024299781436199</c:v>
                </c:pt>
                <c:pt idx="25">
                  <c:v>0.75024299781436199</c:v>
                </c:pt>
                <c:pt idx="26">
                  <c:v>0.74585561186223104</c:v>
                </c:pt>
                <c:pt idx="27">
                  <c:v>0.74585561186223104</c:v>
                </c:pt>
                <c:pt idx="28">
                  <c:v>0.73702891823072603</c:v>
                </c:pt>
                <c:pt idx="29">
                  <c:v>0.72378887778346701</c:v>
                </c:pt>
                <c:pt idx="30">
                  <c:v>0.71937553096771401</c:v>
                </c:pt>
                <c:pt idx="31">
                  <c:v>0.71054883733620799</c:v>
                </c:pt>
                <c:pt idx="32">
                  <c:v>0.69289545007319697</c:v>
                </c:pt>
                <c:pt idx="33">
                  <c:v>0.68406875644169096</c:v>
                </c:pt>
                <c:pt idx="34">
                  <c:v>0.67965540962593896</c:v>
                </c:pt>
                <c:pt idx="35">
                  <c:v>0.66200202236292705</c:v>
                </c:pt>
                <c:pt idx="36">
                  <c:v>0.64876198191566903</c:v>
                </c:pt>
                <c:pt idx="37">
                  <c:v>0.61786855420539899</c:v>
                </c:pt>
                <c:pt idx="38">
                  <c:v>0.604533261668592</c:v>
                </c:pt>
                <c:pt idx="39">
                  <c:v>0.60008816415632205</c:v>
                </c:pt>
                <c:pt idx="40">
                  <c:v>0.59564306664405298</c:v>
                </c:pt>
                <c:pt idx="41">
                  <c:v>0.59119796913178402</c:v>
                </c:pt>
                <c:pt idx="42">
                  <c:v>0.58675287161951495</c:v>
                </c:pt>
                <c:pt idx="43">
                  <c:v>0.58230777410724599</c:v>
                </c:pt>
                <c:pt idx="44">
                  <c:v>0.57786267659497703</c:v>
                </c:pt>
                <c:pt idx="45">
                  <c:v>0.57341757908270796</c:v>
                </c:pt>
                <c:pt idx="46">
                  <c:v>0.568972481570439</c:v>
                </c:pt>
                <c:pt idx="47">
                  <c:v>0.56008228654590098</c:v>
                </c:pt>
                <c:pt idx="48">
                  <c:v>0.55560162825353399</c:v>
                </c:pt>
                <c:pt idx="49">
                  <c:v>0.54205036902783799</c:v>
                </c:pt>
                <c:pt idx="50">
                  <c:v>0.54205036902783799</c:v>
                </c:pt>
                <c:pt idx="51">
                  <c:v>0.53753328261927202</c:v>
                </c:pt>
                <c:pt idx="52">
                  <c:v>0.53301619621070695</c:v>
                </c:pt>
                <c:pt idx="53">
                  <c:v>0.53301619621070695</c:v>
                </c:pt>
                <c:pt idx="54">
                  <c:v>0.52849910980214199</c:v>
                </c:pt>
                <c:pt idx="55">
                  <c:v>0.52849910980214199</c:v>
                </c:pt>
                <c:pt idx="56">
                  <c:v>0.52849910980214199</c:v>
                </c:pt>
                <c:pt idx="57">
                  <c:v>0.52849910980214199</c:v>
                </c:pt>
                <c:pt idx="58">
                  <c:v>0.52382212652955695</c:v>
                </c:pt>
                <c:pt idx="59">
                  <c:v>0.51914514325697103</c:v>
                </c:pt>
                <c:pt idx="60">
                  <c:v>0.50966244156616602</c:v>
                </c:pt>
                <c:pt idx="61">
                  <c:v>0.50966244156616602</c:v>
                </c:pt>
                <c:pt idx="62">
                  <c:v>0.50013604078922902</c:v>
                </c:pt>
                <c:pt idx="63">
                  <c:v>0.50013604078922902</c:v>
                </c:pt>
                <c:pt idx="64">
                  <c:v>0.490329451754146</c:v>
                </c:pt>
                <c:pt idx="65">
                  <c:v>0.490329451754146</c:v>
                </c:pt>
                <c:pt idx="66">
                  <c:v>0.490329451754146</c:v>
                </c:pt>
                <c:pt idx="67">
                  <c:v>0.490329451754146</c:v>
                </c:pt>
                <c:pt idx="68">
                  <c:v>0.48505709205786501</c:v>
                </c:pt>
                <c:pt idx="69">
                  <c:v>0.47941689331300602</c:v>
                </c:pt>
                <c:pt idx="70">
                  <c:v>0.47349816623506702</c:v>
                </c:pt>
                <c:pt idx="71">
                  <c:v>0.47349816623506702</c:v>
                </c:pt>
                <c:pt idx="72">
                  <c:v>0.46692180281513601</c:v>
                </c:pt>
                <c:pt idx="73">
                  <c:v>0.46692180281513601</c:v>
                </c:pt>
                <c:pt idx="74">
                  <c:v>0.46692180281513601</c:v>
                </c:pt>
                <c:pt idx="75">
                  <c:v>0.45286694156311802</c:v>
                </c:pt>
                <c:pt idx="76">
                  <c:v>0.45286694156311802</c:v>
                </c:pt>
                <c:pt idx="77">
                  <c:v>0.4439871976109</c:v>
                </c:pt>
                <c:pt idx="78">
                  <c:v>0.4439871976109</c:v>
                </c:pt>
                <c:pt idx="79">
                  <c:v>0.4439871976109</c:v>
                </c:pt>
                <c:pt idx="80">
                  <c:v>0.44167506391449463</c:v>
                </c:pt>
                <c:pt idx="81">
                  <c:v>0.43760607067058088</c:v>
                </c:pt>
                <c:pt idx="82">
                  <c:v>0.43358872688140204</c:v>
                </c:pt>
                <c:pt idx="83">
                  <c:v>0.42962217434774719</c:v>
                </c:pt>
                <c:pt idx="84">
                  <c:v>0.42570557218746874</c:v>
                </c:pt>
                <c:pt idx="85">
                  <c:v>0.42183809646365589</c:v>
                </c:pt>
                <c:pt idx="86">
                  <c:v>0.41801893981802141</c:v>
                </c:pt>
                <c:pt idx="87">
                  <c:v>0.4142473111098226</c:v>
                </c:pt>
                <c:pt idx="88">
                  <c:v>0.41052243506059294</c:v>
                </c:pt>
                <c:pt idx="89">
                  <c:v>0.4068435519049034</c:v>
                </c:pt>
                <c:pt idx="90">
                  <c:v>0.40320991704732445</c:v>
                </c:pt>
                <c:pt idx="91">
                  <c:v>0.39962080072572514</c:v>
                </c:pt>
                <c:pt idx="92">
                  <c:v>0.39607548768100698</c:v>
                </c:pt>
                <c:pt idx="93">
                  <c:v>0.39257327683334053</c:v>
                </c:pt>
                <c:pt idx="94">
                  <c:v>0.38911348096494525</c:v>
                </c:pt>
                <c:pt idx="95">
                  <c:v>0.38569542640942878</c:v>
                </c:pt>
                <c:pt idx="96">
                  <c:v>0.38231845274768772</c:v>
                </c:pt>
                <c:pt idx="97">
                  <c:v>0.37898191251033175</c:v>
                </c:pt>
                <c:pt idx="98">
                  <c:v>0.3756851708866179</c:v>
                </c:pt>
                <c:pt idx="99">
                  <c:v>0.37242760543982256</c:v>
                </c:pt>
                <c:pt idx="100">
                  <c:v>0.36920860582900028</c:v>
                </c:pt>
                <c:pt idx="101">
                  <c:v>0.36602757353705284</c:v>
                </c:pt>
                <c:pt idx="102">
                  <c:v>0.36288392160502547</c:v>
                </c:pt>
                <c:pt idx="103">
                  <c:v>0.35977707437255146</c:v>
                </c:pt>
                <c:pt idx="104">
                  <c:v>0.3567064672243343</c:v>
                </c:pt>
                <c:pt idx="105">
                  <c:v>0.35367154634258791</c:v>
                </c:pt>
                <c:pt idx="106">
                  <c:v>0.35067176846531223</c:v>
                </c:pt>
                <c:pt idx="107">
                  <c:v>0.34770660065031245</c:v>
                </c:pt>
                <c:pt idx="108">
                  <c:v>0.34477552004484757</c:v>
                </c:pt>
                <c:pt idx="109">
                  <c:v>0.34187801366078929</c:v>
                </c:pt>
                <c:pt idx="110">
                  <c:v>0.33901357815519662</c:v>
                </c:pt>
                <c:pt idx="111">
                  <c:v>0.33618171961617649</c:v>
                </c:pt>
                <c:pt idx="112">
                  <c:v>0.33338195335392373</c:v>
                </c:pt>
                <c:pt idx="113">
                  <c:v>0.3306138036968258</c:v>
                </c:pt>
                <c:pt idx="114">
                  <c:v>0.32787680379252326</c:v>
                </c:pt>
                <c:pt idx="115">
                  <c:v>0.32517049541380172</c:v>
                </c:pt>
                <c:pt idx="116">
                  <c:v>0.3224944287692173</c:v>
                </c:pt>
                <c:pt idx="117">
                  <c:v>0.31984816231833557</c:v>
                </c:pt>
                <c:pt idx="118">
                  <c:v>0.31723126259147594</c:v>
                </c:pt>
                <c:pt idx="119">
                  <c:v>0.31464330401385687</c:v>
                </c:pt>
                <c:pt idx="120">
                  <c:v>0.31208386873402882</c:v>
                </c:pt>
                <c:pt idx="121">
                  <c:v>0.30955254645649632</c:v>
                </c:pt>
                <c:pt idx="122">
                  <c:v>0.30704893427842306</c:v>
                </c:pt>
                <c:pt idx="123">
                  <c:v>0.3045726365303163</c:v>
                </c:pt>
                <c:pt idx="124">
                  <c:v>0.30212326462059469</c:v>
                </c:pt>
                <c:pt idx="125">
                  <c:v>0.2997004368839391</c:v>
                </c:pt>
                <c:pt idx="126">
                  <c:v>0.297303778433333</c:v>
                </c:pt>
                <c:pt idx="127">
                  <c:v>0.29493292101569635</c:v>
                </c:pt>
                <c:pt idx="128">
                  <c:v>0.2925875028710212</c:v>
                </c:pt>
                <c:pt idx="129">
                  <c:v>0.29026716859492407</c:v>
                </c:pt>
                <c:pt idx="130">
                  <c:v>0.28797156900451837</c:v>
                </c:pt>
                <c:pt idx="131">
                  <c:v>0.28570036100753016</c:v>
                </c:pt>
                <c:pt idx="132">
                  <c:v>0.28345320747456915</c:v>
                </c:pt>
                <c:pt idx="133">
                  <c:v>0.28122977711447139</c:v>
                </c:pt>
                <c:pt idx="134">
                  <c:v>0.27902974435263928</c:v>
                </c:pt>
                <c:pt idx="135">
                  <c:v>0.27685278921229961</c:v>
                </c:pt>
                <c:pt idx="136">
                  <c:v>0.27469859719859646</c:v>
                </c:pt>
                <c:pt idx="137">
                  <c:v>0.27256685918545787</c:v>
                </c:pt>
                <c:pt idx="138">
                  <c:v>0.27045727130515185</c:v>
                </c:pt>
                <c:pt idx="139">
                  <c:v>0.26836953484047332</c:v>
                </c:pt>
                <c:pt idx="140">
                  <c:v>0.26630335611947931</c:v>
                </c:pt>
                <c:pt idx="141">
                  <c:v>0.26425844641272345</c:v>
                </c:pt>
                <c:pt idx="142">
                  <c:v>0.26223452183290785</c:v>
                </c:pt>
                <c:pt idx="143">
                  <c:v>0.26023130323689947</c:v>
                </c:pt>
                <c:pt idx="144">
                  <c:v>0.25824851613004773</c:v>
                </c:pt>
                <c:pt idx="145">
                  <c:v>0.25628589057274387</c:v>
                </c:pt>
                <c:pt idx="146">
                  <c:v>0.254343161089158</c:v>
                </c:pt>
                <c:pt idx="147">
                  <c:v>0.25242006657810556</c:v>
                </c:pt>
                <c:pt idx="148">
                  <c:v>0.25051635022598662</c:v>
                </c:pt>
                <c:pt idx="149">
                  <c:v>0.24863175942173321</c:v>
                </c:pt>
                <c:pt idx="150">
                  <c:v>0.24676604567373506</c:v>
                </c:pt>
                <c:pt idx="151">
                  <c:v>0.24491896452866513</c:v>
                </c:pt>
                <c:pt idx="152">
                  <c:v>0.24309027549218132</c:v>
                </c:pt>
                <c:pt idx="153">
                  <c:v>0.24127974195143942</c:v>
                </c:pt>
                <c:pt idx="154">
                  <c:v>0.23948713109937303</c:v>
                </c:pt>
                <c:pt idx="155">
                  <c:v>0.23771221386070951</c:v>
                </c:pt>
                <c:pt idx="156">
                  <c:v>0.23595476481965139</c:v>
                </c:pt>
                <c:pt idx="157">
                  <c:v>0.23421456214920622</c:v>
                </c:pt>
                <c:pt idx="158">
                  <c:v>0.23249138754210952</c:v>
                </c:pt>
                <c:pt idx="159">
                  <c:v>0.2307850261432991</c:v>
                </c:pt>
                <c:pt idx="160">
                  <c:v>0.2290952664839091</c:v>
                </c:pt>
                <c:pt idx="161">
                  <c:v>0.22742190041673926</c:v>
                </c:pt>
                <c:pt idx="162">
                  <c:v>0.22576472305316442</c:v>
                </c:pt>
                <c:pt idx="163">
                  <c:v>0.22412353270144725</c:v>
                </c:pt>
                <c:pt idx="164">
                  <c:v>0.22249813080641745</c:v>
                </c:pt>
                <c:pt idx="165">
                  <c:v>0.22088832189048702</c:v>
                </c:pt>
                <c:pt idx="166">
                  <c:v>0.21929391349596516</c:v>
                </c:pt>
                <c:pt idx="167">
                  <c:v>0.21771471612863891</c:v>
                </c:pt>
                <c:pt idx="168">
                  <c:v>0.21615054320259142</c:v>
                </c:pt>
                <c:pt idx="169">
                  <c:v>0.21460121098622498</c:v>
                </c:pt>
                <c:pt idx="170">
                  <c:v>0.21306653854945945</c:v>
                </c:pt>
                <c:pt idx="171">
                  <c:v>0.21154634771207714</c:v>
                </c:pt>
                <c:pt idx="172">
                  <c:v>0.2100404629931838</c:v>
                </c:pt>
                <c:pt idx="173">
                  <c:v>0.2085487115617628</c:v>
                </c:pt>
                <c:pt idx="174">
                  <c:v>0.20707092318829068</c:v>
                </c:pt>
                <c:pt idx="175">
                  <c:v>0.20560693019738829</c:v>
                </c:pt>
                <c:pt idx="176">
                  <c:v>0.20415656742149091</c:v>
                </c:pt>
                <c:pt idx="177">
                  <c:v>0.20271967215549669</c:v>
                </c:pt>
                <c:pt idx="178">
                  <c:v>0.20129608411238431</c:v>
                </c:pt>
                <c:pt idx="179">
                  <c:v>0.19988564537976949</c:v>
                </c:pt>
                <c:pt idx="180">
                  <c:v>0.1984882003773778</c:v>
                </c:pt>
                <c:pt idx="181">
                  <c:v>0.19710359581541281</c:v>
                </c:pt>
                <c:pt idx="182">
                  <c:v>0.1957316806537972</c:v>
                </c:pt>
                <c:pt idx="183">
                  <c:v>0.19437230606226918</c:v>
                </c:pt>
                <c:pt idx="184">
                  <c:v>0.19302532538130646</c:v>
                </c:pt>
                <c:pt idx="185">
                  <c:v>0.19169059408386657</c:v>
                </c:pt>
                <c:pt idx="186">
                  <c:v>0.19036796973791792</c:v>
                </c:pt>
                <c:pt idx="187">
                  <c:v>0.18905731196974762</c:v>
                </c:pt>
                <c:pt idx="188">
                  <c:v>0.18775848242801951</c:v>
                </c:pt>
                <c:pt idx="189">
                  <c:v>0.18647134474857707</c:v>
                </c:pt>
                <c:pt idx="190">
                  <c:v>0.18519576451996156</c:v>
                </c:pt>
                <c:pt idx="191">
                  <c:v>0.18393160924963892</c:v>
                </c:pt>
                <c:pt idx="192">
                  <c:v>0.18267874833090658</c:v>
                </c:pt>
                <c:pt idx="193">
                  <c:v>0.18143705301048008</c:v>
                </c:pt>
                <c:pt idx="194">
                  <c:v>0.18020639635672808</c:v>
                </c:pt>
                <c:pt idx="195">
                  <c:v>0.17898665322855278</c:v>
                </c:pt>
                <c:pt idx="196">
                  <c:v>0.17777770024489215</c:v>
                </c:pt>
                <c:pt idx="197">
                  <c:v>0.17657941575483527</c:v>
                </c:pt>
                <c:pt idx="198">
                  <c:v>0.17539167980833481</c:v>
                </c:pt>
                <c:pt idx="199">
                  <c:v>0.17421437412750262</c:v>
                </c:pt>
                <c:pt idx="200">
                  <c:v>0.17304738207847392</c:v>
                </c:pt>
                <c:pt idx="201">
                  <c:v>0.17189058864383011</c:v>
                </c:pt>
                <c:pt idx="202">
                  <c:v>0.17074388039556565</c:v>
                </c:pt>
                <c:pt idx="203">
                  <c:v>0.16960714546858713</c:v>
                </c:pt>
                <c:pt idx="204">
                  <c:v>0.16848027353473038</c:v>
                </c:pt>
                <c:pt idx="205">
                  <c:v>0.16736315577728922</c:v>
                </c:pt>
                <c:pt idx="206">
                  <c:v>0.16625568486603715</c:v>
                </c:pt>
                <c:pt idx="207">
                  <c:v>0.16515775493273865</c:v>
                </c:pt>
                <c:pt idx="208">
                  <c:v>0.16406926154713053</c:v>
                </c:pt>
                <c:pt idx="209">
                  <c:v>0.16299010169337302</c:v>
                </c:pt>
                <c:pt idx="210">
                  <c:v>0.16192017374695078</c:v>
                </c:pt>
                <c:pt idx="211">
                  <c:v>0.16085937745201784</c:v>
                </c:pt>
                <c:pt idx="212">
                  <c:v>0.15980761389917975</c:v>
                </c:pt>
                <c:pt idx="213">
                  <c:v>0.15876478550369544</c:v>
                </c:pt>
                <c:pt idx="214">
                  <c:v>0.1577307959841</c:v>
                </c:pt>
                <c:pt idx="215">
                  <c:v>0.15670555034122691</c:v>
                </c:pt>
                <c:pt idx="216">
                  <c:v>0.15568895483763334</c:v>
                </c:pt>
                <c:pt idx="217">
                  <c:v>0.1546809169774106</c:v>
                </c:pt>
                <c:pt idx="218">
                  <c:v>0.1536813454863748</c:v>
                </c:pt>
                <c:pt idx="219">
                  <c:v>0.15269015029263067</c:v>
                </c:pt>
                <c:pt idx="220">
                  <c:v>0.15170724250749834</c:v>
                </c:pt>
                <c:pt idx="221">
                  <c:v>0.15073253440679668</c:v>
                </c:pt>
                <c:pt idx="222">
                  <c:v>0.14976593941247351</c:v>
                </c:pt>
                <c:pt idx="223">
                  <c:v>0.14880737207457795</c:v>
                </c:pt>
                <c:pt idx="224">
                  <c:v>0.14785674805356641</c:v>
                </c:pt>
                <c:pt idx="225">
                  <c:v>0.14691398410293433</c:v>
                </c:pt>
                <c:pt idx="226">
                  <c:v>0.14597899805216674</c:v>
                </c:pt>
                <c:pt idx="227">
                  <c:v>0.14505170879000473</c:v>
                </c:pt>
                <c:pt idx="228">
                  <c:v>0.14413203624801385</c:v>
                </c:pt>
                <c:pt idx="229">
                  <c:v>0.14321990138445473</c:v>
                </c:pt>
                <c:pt idx="230">
                  <c:v>0.14231522616844761</c:v>
                </c:pt>
                <c:pt idx="231">
                  <c:v>0.14141793356442012</c:v>
                </c:pt>
                <c:pt idx="232">
                  <c:v>0.14052794751684383</c:v>
                </c:pt>
                <c:pt idx="233">
                  <c:v>0.13964519293523714</c:v>
                </c:pt>
                <c:pt idx="234">
                  <c:v>0.13876959567944502</c:v>
                </c:pt>
                <c:pt idx="235">
                  <c:v>0.13790108254517963</c:v>
                </c:pt>
                <c:pt idx="236">
                  <c:v>0.13703958124981852</c:v>
                </c:pt>
                <c:pt idx="237">
                  <c:v>0.13618502041845948</c:v>
                </c:pt>
                <c:pt idx="238">
                  <c:v>0.13533732957022171</c:v>
                </c:pt>
                <c:pt idx="239">
                  <c:v>0.1344964391047877</c:v>
                </c:pt>
                <c:pt idx="240">
                  <c:v>0.13366228028918803</c:v>
                </c:pt>
                <c:pt idx="241">
                  <c:v>0.13283478524481429</c:v>
                </c:pt>
                <c:pt idx="242">
                  <c:v>0.13201388693466554</c:v>
                </c:pt>
                <c:pt idx="243">
                  <c:v>0.13119951915081318</c:v>
                </c:pt>
                <c:pt idx="244">
                  <c:v>0.13039161650208986</c:v>
                </c:pt>
                <c:pt idx="245">
                  <c:v>0.12959011440198986</c:v>
                </c:pt>
                <c:pt idx="246">
                  <c:v>0.12879494905678257</c:v>
                </c:pt>
                <c:pt idx="247">
                  <c:v>0.12800605745382998</c:v>
                </c:pt>
                <c:pt idx="248">
                  <c:v>0.12722337735010836</c:v>
                </c:pt>
                <c:pt idx="249">
                  <c:v>0.12644684726092703</c:v>
                </c:pt>
                <c:pt idx="250">
                  <c:v>0.12567640644884159</c:v>
                </c:pt>
                <c:pt idx="251">
                  <c:v>0.12491199491275817</c:v>
                </c:pt>
                <c:pt idx="252">
                  <c:v>0.12415355337722178</c:v>
                </c:pt>
                <c:pt idx="253">
                  <c:v>0.12340102328189229</c:v>
                </c:pt>
                <c:pt idx="254">
                  <c:v>0.12265434677119402</c:v>
                </c:pt>
                <c:pt idx="255">
                  <c:v>0.12191346668414682</c:v>
                </c:pt>
                <c:pt idx="256">
                  <c:v>0.12117832654436456</c:v>
                </c:pt>
                <c:pt idx="257">
                  <c:v>0.12044887055022624</c:v>
                </c:pt>
                <c:pt idx="258">
                  <c:v>0.11972504356521085</c:v>
                </c:pt>
                <c:pt idx="259">
                  <c:v>0.11900679110839496</c:v>
                </c:pt>
                <c:pt idx="260">
                  <c:v>0.11829405934511139</c:v>
                </c:pt>
                <c:pt idx="261">
                  <c:v>0.11758679507776049</c:v>
                </c:pt>
                <c:pt idx="262">
                  <c:v>0.11688494573677943</c:v>
                </c:pt>
                <c:pt idx="263">
                  <c:v>0.11618845937175737</c:v>
                </c:pt>
                <c:pt idx="264">
                  <c:v>0.11549728464270115</c:v>
                </c:pt>
                <c:pt idx="265">
                  <c:v>0.11481137081144388</c:v>
                </c:pt>
                <c:pt idx="266">
                  <c:v>0.11413066773319636</c:v>
                </c:pt>
                <c:pt idx="267">
                  <c:v>0.11345512584823747</c:v>
                </c:pt>
                <c:pt idx="268">
                  <c:v>0.11278469617374043</c:v>
                </c:pt>
                <c:pt idx="269">
                  <c:v>0.11211933029573307</c:v>
                </c:pt>
                <c:pt idx="270">
                  <c:v>0.1114589803611914</c:v>
                </c:pt>
                <c:pt idx="271">
                  <c:v>0.11080359907025894</c:v>
                </c:pt>
                <c:pt idx="272">
                  <c:v>0.11015313966859563</c:v>
                </c:pt>
                <c:pt idx="273">
                  <c:v>0.10950755593984862</c:v>
                </c:pt>
                <c:pt idx="274">
                  <c:v>0.10886680219824585</c:v>
                </c:pt>
                <c:pt idx="275">
                  <c:v>0.10823083328130967</c:v>
                </c:pt>
                <c:pt idx="276">
                  <c:v>0.10759960454268713</c:v>
                </c:pt>
                <c:pt idx="277">
                  <c:v>0.10697307184509475</c:v>
                </c:pt>
                <c:pt idx="278">
                  <c:v>0.10635119155337813</c:v>
                </c:pt>
                <c:pt idx="279">
                  <c:v>0.10573392052768105</c:v>
                </c:pt>
                <c:pt idx="280">
                  <c:v>0.10512121611672365</c:v>
                </c:pt>
                <c:pt idx="281">
                  <c:v>0.10451303615118845</c:v>
                </c:pt>
                <c:pt idx="282">
                  <c:v>0.10390933893721066</c:v>
                </c:pt>
                <c:pt idx="283">
                  <c:v>0.10331008324996982</c:v>
                </c:pt>
                <c:pt idx="284">
                  <c:v>0.10271522832738711</c:v>
                </c:pt>
                <c:pt idx="285">
                  <c:v>0.10212473386391685</c:v>
                </c:pt>
                <c:pt idx="286">
                  <c:v>0.10153856000443851</c:v>
                </c:pt>
                <c:pt idx="287">
                  <c:v>0.10095666733824438</c:v>
                </c:pt>
                <c:pt idx="288">
                  <c:v>0.10037901689312023</c:v>
                </c:pt>
                <c:pt idx="289">
                  <c:v>9.9805570129517962E-2</c:v>
                </c:pt>
                <c:pt idx="290">
                  <c:v>9.9236288934821504E-2</c:v>
                </c:pt>
                <c:pt idx="291">
                  <c:v>9.8671135617698136E-2</c:v>
                </c:pt>
                <c:pt idx="292">
                  <c:v>9.8110072902540146E-2</c:v>
                </c:pt>
                <c:pt idx="293">
                  <c:v>9.755306392399099E-2</c:v>
                </c:pt>
                <c:pt idx="294">
                  <c:v>9.7000072221556599E-2</c:v>
                </c:pt>
                <c:pt idx="295">
                  <c:v>9.645106173429796E-2</c:v>
                </c:pt>
                <c:pt idx="296">
                  <c:v>9.5905996795608517E-2</c:v>
                </c:pt>
                <c:pt idx="297">
                  <c:v>9.5364842128066618E-2</c:v>
                </c:pt>
                <c:pt idx="298">
                  <c:v>9.482756283837146E-2</c:v>
                </c:pt>
                <c:pt idx="299">
                  <c:v>9.429412441235252E-2</c:v>
                </c:pt>
                <c:pt idx="300">
                  <c:v>9.376449271005749E-2</c:v>
                </c:pt>
                <c:pt idx="301">
                  <c:v>9.3238633960912143E-2</c:v>
                </c:pt>
                <c:pt idx="302">
                  <c:v>9.2716514758956259E-2</c:v>
                </c:pt>
                <c:pt idx="303">
                  <c:v>9.2198102058148601E-2</c:v>
                </c:pt>
                <c:pt idx="304">
                  <c:v>9.1683363167745391E-2</c:v>
                </c:pt>
                <c:pt idx="305">
                  <c:v>9.117226574774584E-2</c:v>
                </c:pt>
                <c:pt idx="306">
                  <c:v>9.0664777804406738E-2</c:v>
                </c:pt>
                <c:pt idx="307">
                  <c:v>9.0160867685825319E-2</c:v>
                </c:pt>
                <c:pt idx="308">
                  <c:v>8.9660504077586411E-2</c:v>
                </c:pt>
                <c:pt idx="309">
                  <c:v>8.9163655998474867E-2</c:v>
                </c:pt>
                <c:pt idx="310">
                  <c:v>8.8670292796252714E-2</c:v>
                </c:pt>
                <c:pt idx="311">
                  <c:v>8.8180384143497048E-2</c:v>
                </c:pt>
                <c:pt idx="312">
                  <c:v>8.769390003350086E-2</c:v>
                </c:pt>
                <c:pt idx="313">
                  <c:v>8.721081077623416E-2</c:v>
                </c:pt>
                <c:pt idx="314">
                  <c:v>8.6731086994363604E-2</c:v>
                </c:pt>
                <c:pt idx="315">
                  <c:v>8.6254699619332853E-2</c:v>
                </c:pt>
                <c:pt idx="316">
                  <c:v>8.5781619887496774E-2</c:v>
                </c:pt>
                <c:pt idx="317">
                  <c:v>8.5311819336316375E-2</c:v>
                </c:pt>
                <c:pt idx="318">
                  <c:v>8.4845269800605028E-2</c:v>
                </c:pt>
                <c:pt idx="319">
                  <c:v>8.4381943408833426E-2</c:v>
                </c:pt>
                <c:pt idx="320">
                  <c:v>8.3921812579484723E-2</c:v>
                </c:pt>
                <c:pt idx="321">
                  <c:v>8.3464850017465064E-2</c:v>
                </c:pt>
                <c:pt idx="322">
                  <c:v>8.3011028710564316E-2</c:v>
                </c:pt>
                <c:pt idx="323">
                  <c:v>8.256032192596896E-2</c:v>
                </c:pt>
                <c:pt idx="324">
                  <c:v>8.2112703206824511E-2</c:v>
                </c:pt>
                <c:pt idx="325">
                  <c:v>8.1668146368847339E-2</c:v>
                </c:pt>
                <c:pt idx="326">
                  <c:v>8.1226625496986671E-2</c:v>
                </c:pt>
                <c:pt idx="327">
                  <c:v>8.0788114942131339E-2</c:v>
                </c:pt>
                <c:pt idx="328">
                  <c:v>8.0352589317865708E-2</c:v>
                </c:pt>
                <c:pt idx="329">
                  <c:v>7.9920023497272341E-2</c:v>
                </c:pt>
                <c:pt idx="330">
                  <c:v>7.9490392609777527E-2</c:v>
                </c:pt>
                <c:pt idx="331">
                  <c:v>7.9063672038043986E-2</c:v>
                </c:pt>
                <c:pt idx="332">
                  <c:v>7.8639837414906766E-2</c:v>
                </c:pt>
                <c:pt idx="333">
                  <c:v>7.8218864620352102E-2</c:v>
                </c:pt>
                <c:pt idx="334">
                  <c:v>7.7800729778538691E-2</c:v>
                </c:pt>
                <c:pt idx="335">
                  <c:v>7.7385409254862036E-2</c:v>
                </c:pt>
                <c:pt idx="336">
                  <c:v>7.6972879653058435E-2</c:v>
                </c:pt>
                <c:pt idx="337">
                  <c:v>7.6563117812350701E-2</c:v>
                </c:pt>
                <c:pt idx="338">
                  <c:v>7.615610080463342E-2</c:v>
                </c:pt>
                <c:pt idx="339">
                  <c:v>7.5751805931696836E-2</c:v>
                </c:pt>
                <c:pt idx="340">
                  <c:v>7.5350210722490707E-2</c:v>
                </c:pt>
                <c:pt idx="341">
                  <c:v>7.4951292930424684E-2</c:v>
                </c:pt>
                <c:pt idx="342">
                  <c:v>7.4555030530707112E-2</c:v>
                </c:pt>
                <c:pt idx="343">
                  <c:v>7.4161401717720121E-2</c:v>
                </c:pt>
                <c:pt idx="344">
                  <c:v>7.3770384902431929E-2</c:v>
                </c:pt>
                <c:pt idx="345">
                  <c:v>7.3381958709841877E-2</c:v>
                </c:pt>
                <c:pt idx="346">
                  <c:v>7.2996101976465555E-2</c:v>
                </c:pt>
                <c:pt idx="347">
                  <c:v>7.2612793747849569E-2</c:v>
                </c:pt>
                <c:pt idx="348">
                  <c:v>7.2232013276122276E-2</c:v>
                </c:pt>
                <c:pt idx="349">
                  <c:v>7.185374001757916E-2</c:v>
                </c:pt>
                <c:pt idx="350">
                  <c:v>7.1477953630298963E-2</c:v>
                </c:pt>
                <c:pt idx="351">
                  <c:v>7.1104633971793563E-2</c:v>
                </c:pt>
                <c:pt idx="352">
                  <c:v>7.0733761096689829E-2</c:v>
                </c:pt>
                <c:pt idx="353">
                  <c:v>7.0365315254441896E-2</c:v>
                </c:pt>
                <c:pt idx="354">
                  <c:v>6.9999276887074746E-2</c:v>
                </c:pt>
                <c:pt idx="355">
                  <c:v>6.9635626626959324E-2</c:v>
                </c:pt>
                <c:pt idx="356">
                  <c:v>6.927434529461618E-2</c:v>
                </c:pt>
                <c:pt idx="357">
                  <c:v>6.8915413896548872E-2</c:v>
                </c:pt>
                <c:pt idx="358">
                  <c:v>6.8558813623107895E-2</c:v>
                </c:pt>
                <c:pt idx="359">
                  <c:v>6.8204525846380593E-2</c:v>
                </c:pt>
                <c:pt idx="360">
                  <c:v>6.7852532118111264E-2</c:v>
                </c:pt>
                <c:pt idx="361">
                  <c:v>6.7502814167649139E-2</c:v>
                </c:pt>
                <c:pt idx="362">
                  <c:v>6.7155353899922332E-2</c:v>
                </c:pt>
                <c:pt idx="363">
                  <c:v>6.6810133393438886E-2</c:v>
                </c:pt>
                <c:pt idx="364">
                  <c:v>6.6467134898315683E-2</c:v>
                </c:pt>
                <c:pt idx="365">
                  <c:v>6.6126340834331998E-2</c:v>
                </c:pt>
                <c:pt idx="366">
                  <c:v>6.5787733789008707E-2</c:v>
                </c:pt>
                <c:pt idx="367">
                  <c:v>6.545129651571524E-2</c:v>
                </c:pt>
                <c:pt idx="368">
                  <c:v>6.5117011931797197E-2</c:v>
                </c:pt>
                <c:pt idx="369">
                  <c:v>6.4784863116732261E-2</c:v>
                </c:pt>
                <c:pt idx="370">
                  <c:v>6.4454833310307991E-2</c:v>
                </c:pt>
                <c:pt idx="371">
                  <c:v>6.4126905910825927E-2</c:v>
                </c:pt>
                <c:pt idx="372">
                  <c:v>6.3801064473325564E-2</c:v>
                </c:pt>
                <c:pt idx="373">
                  <c:v>6.3477292707834421E-2</c:v>
                </c:pt>
                <c:pt idx="374">
                  <c:v>6.3155574477639975E-2</c:v>
                </c:pt>
                <c:pt idx="375">
                  <c:v>6.2835893797583364E-2</c:v>
                </c:pt>
                <c:pt idx="376">
                  <c:v>6.2518234832375841E-2</c:v>
                </c:pt>
                <c:pt idx="377">
                  <c:v>6.2202581894937437E-2</c:v>
                </c:pt>
                <c:pt idx="378">
                  <c:v>6.1888919444755164E-2</c:v>
                </c:pt>
                <c:pt idx="379">
                  <c:v>6.1577232086265088E-2</c:v>
                </c:pt>
                <c:pt idx="380">
                  <c:v>6.1267504567252828E-2</c:v>
                </c:pt>
                <c:pt idx="381">
                  <c:v>6.0959721777275822E-2</c:v>
                </c:pt>
                <c:pt idx="382">
                  <c:v>6.0653868746105122E-2</c:v>
                </c:pt>
                <c:pt idx="383">
                  <c:v>6.0349930642187966E-2</c:v>
                </c:pt>
                <c:pt idx="384">
                  <c:v>6.0047892771128875E-2</c:v>
                </c:pt>
                <c:pt idx="385">
                  <c:v>5.9747740574191188E-2</c:v>
                </c:pt>
                <c:pt idx="386">
                  <c:v>5.944945962681647E-2</c:v>
                </c:pt>
                <c:pt idx="387">
                  <c:v>5.9153035637163676E-2</c:v>
                </c:pt>
                <c:pt idx="388">
                  <c:v>5.8858454444666419E-2</c:v>
                </c:pt>
                <c:pt idx="389">
                  <c:v>5.8565702018608223E-2</c:v>
                </c:pt>
                <c:pt idx="390">
                  <c:v>5.827476445671631E-2</c:v>
                </c:pt>
                <c:pt idx="391">
                  <c:v>5.7985627983772492E-2</c:v>
                </c:pt>
                <c:pt idx="392">
                  <c:v>5.7698278950241932E-2</c:v>
                </c:pt>
                <c:pt idx="393">
                  <c:v>5.7412703830918788E-2</c:v>
                </c:pt>
                <c:pt idx="394">
                  <c:v>5.7128889223589274E-2</c:v>
                </c:pt>
                <c:pt idx="395">
                  <c:v>5.6846821847710949E-2</c:v>
                </c:pt>
                <c:pt idx="396">
                  <c:v>5.6566488543108973E-2</c:v>
                </c:pt>
                <c:pt idx="397">
                  <c:v>5.6287876268687143E-2</c:v>
                </c:pt>
                <c:pt idx="398">
                  <c:v>5.6010972101157797E-2</c:v>
                </c:pt>
                <c:pt idx="399">
                  <c:v>5.5735763233784485E-2</c:v>
                </c:pt>
                <c:pt idx="400">
                  <c:v>5.5462236975141965E-2</c:v>
                </c:pt>
                <c:pt idx="401">
                  <c:v>5.5190380747890622E-2</c:v>
                </c:pt>
                <c:pt idx="402">
                  <c:v>5.4920182087567548E-2</c:v>
                </c:pt>
                <c:pt idx="403">
                  <c:v>5.4651628641389505E-2</c:v>
                </c:pt>
                <c:pt idx="404">
                  <c:v>5.4384708167074192E-2</c:v>
                </c:pt>
                <c:pt idx="405">
                  <c:v>5.4119408531673741E-2</c:v>
                </c:pt>
                <c:pt idx="406">
                  <c:v>5.3855717710422191E-2</c:v>
                </c:pt>
                <c:pt idx="407">
                  <c:v>5.3593623785599398E-2</c:v>
                </c:pt>
                <c:pt idx="408">
                  <c:v>5.3333114945405824E-2</c:v>
                </c:pt>
                <c:pt idx="409">
                  <c:v>5.3074179482853423E-2</c:v>
                </c:pt>
                <c:pt idx="410">
                  <c:v>5.2816805794668853E-2</c:v>
                </c:pt>
                <c:pt idx="411">
                  <c:v>5.2560982380209897E-2</c:v>
                </c:pt>
                <c:pt idx="412">
                  <c:v>5.2306697840396099E-2</c:v>
                </c:pt>
                <c:pt idx="413">
                  <c:v>5.2053940876650939E-2</c:v>
                </c:pt>
                <c:pt idx="414">
                  <c:v>5.1802700289857784E-2</c:v>
                </c:pt>
                <c:pt idx="415">
                  <c:v>5.1552964979327154E-2</c:v>
                </c:pt>
                <c:pt idx="416">
                  <c:v>5.1304723941779429E-2</c:v>
                </c:pt>
                <c:pt idx="417">
                  <c:v>5.1057966270335653E-2</c:v>
                </c:pt>
                <c:pt idx="418">
                  <c:v>5.0812681153522998E-2</c:v>
                </c:pt>
                <c:pt idx="419">
                  <c:v>5.0568857874292661E-2</c:v>
                </c:pt>
                <c:pt idx="420">
                  <c:v>5.032648580904675E-2</c:v>
                </c:pt>
                <c:pt idx="421">
                  <c:v>5.0085554426679613E-2</c:v>
                </c:pt>
                <c:pt idx="422">
                  <c:v>4.9846053287629477E-2</c:v>
                </c:pt>
                <c:pt idx="423">
                  <c:v>4.9607972042940429E-2</c:v>
                </c:pt>
                <c:pt idx="424">
                  <c:v>4.9371300433337373E-2</c:v>
                </c:pt>
                <c:pt idx="425">
                  <c:v>4.9136028288310651E-2</c:v>
                </c:pt>
                <c:pt idx="426">
                  <c:v>4.8902145525211327E-2</c:v>
                </c:pt>
                <c:pt idx="427">
                  <c:v>4.8669642148359005E-2</c:v>
                </c:pt>
                <c:pt idx="428">
                  <c:v>4.8438508248156875E-2</c:v>
                </c:pt>
                <c:pt idx="429">
                  <c:v>4.8208734000220743E-2</c:v>
                </c:pt>
                <c:pt idx="430">
                  <c:v>4.7980309664516385E-2</c:v>
                </c:pt>
                <c:pt idx="431">
                  <c:v>4.7753225584506342E-2</c:v>
                </c:pt>
                <c:pt idx="432">
                  <c:v>4.7527472186308817E-2</c:v>
                </c:pt>
                <c:pt idx="433">
                  <c:v>4.730303997786478E-2</c:v>
                </c:pt>
                <c:pt idx="434">
                  <c:v>4.7079919548114635E-2</c:v>
                </c:pt>
                <c:pt idx="435">
                  <c:v>4.6858101566186194E-2</c:v>
                </c:pt>
                <c:pt idx="436">
                  <c:v>4.663757678059044E-2</c:v>
                </c:pt>
                <c:pt idx="437">
                  <c:v>4.641833601842682E-2</c:v>
                </c:pt>
                <c:pt idx="438">
                  <c:v>4.6200370184598882E-2</c:v>
                </c:pt>
                <c:pt idx="439">
                  <c:v>4.5983670261037668E-2</c:v>
                </c:pt>
                <c:pt idx="440">
                  <c:v>4.5768227305934661E-2</c:v>
                </c:pt>
                <c:pt idx="441">
                  <c:v>4.5554032452983728E-2</c:v>
                </c:pt>
                <c:pt idx="442">
                  <c:v>4.5341076910631495E-2</c:v>
                </c:pt>
                <c:pt idx="443">
                  <c:v>4.5129351961336495E-2</c:v>
                </c:pt>
                <c:pt idx="444">
                  <c:v>4.4918848960836533E-2</c:v>
                </c:pt>
                <c:pt idx="445">
                  <c:v>4.4709559337424931E-2</c:v>
                </c:pt>
                <c:pt idx="446">
                  <c:v>4.4501474591234658E-2</c:v>
                </c:pt>
                <c:pt idx="447">
                  <c:v>4.4294586293531113E-2</c:v>
                </c:pt>
                <c:pt idx="448">
                  <c:v>4.4088886086011803E-2</c:v>
                </c:pt>
                <c:pt idx="449">
                  <c:v>4.3884365680115556E-2</c:v>
                </c:pt>
                <c:pt idx="450">
                  <c:v>4.3681016856338628E-2</c:v>
                </c:pt>
                <c:pt idx="451">
                  <c:v>4.3478831463558798E-2</c:v>
                </c:pt>
                <c:pt idx="452">
                  <c:v>4.3277801418366901E-2</c:v>
                </c:pt>
                <c:pt idx="453">
                  <c:v>4.3077918704406581E-2</c:v>
                </c:pt>
                <c:pt idx="454">
                  <c:v>4.2879175371719924E-2</c:v>
                </c:pt>
                <c:pt idx="455">
                  <c:v>4.2681563536103306E-2</c:v>
                </c:pt>
                <c:pt idx="456">
                  <c:v>4.248507537846713E-2</c:v>
                </c:pt>
                <c:pt idx="457">
                  <c:v>4.2289703144205548E-2</c:v>
                </c:pt>
                <c:pt idx="458">
                  <c:v>4.2095439142571078E-2</c:v>
                </c:pt>
                <c:pt idx="459">
                  <c:v>4.1902275746058093E-2</c:v>
                </c:pt>
                <c:pt idx="460">
                  <c:v>4.1710205389791977E-2</c:v>
                </c:pt>
                <c:pt idx="461">
                  <c:v>4.1519220570925275E-2</c:v>
                </c:pt>
                <c:pt idx="462">
                  <c:v>4.132931384804106E-2</c:v>
                </c:pt>
                <c:pt idx="463">
                  <c:v>4.1140477840562628E-2</c:v>
                </c:pt>
                <c:pt idx="464">
                  <c:v>4.0952705228169517E-2</c:v>
                </c:pt>
                <c:pt idx="465">
                  <c:v>4.0765988750220528E-2</c:v>
                </c:pt>
                <c:pt idx="466">
                  <c:v>4.0580321205182734E-2</c:v>
                </c:pt>
                <c:pt idx="467">
                  <c:v>4.0395695450066826E-2</c:v>
                </c:pt>
                <c:pt idx="468">
                  <c:v>4.0212104399868775E-2</c:v>
                </c:pt>
                <c:pt idx="469">
                  <c:v>4.0029541027018389E-2</c:v>
                </c:pt>
                <c:pt idx="470">
                  <c:v>3.9847998360831749E-2</c:v>
                </c:pt>
                <c:pt idx="471">
                  <c:v>3.9667469486972751E-2</c:v>
                </c:pt>
                <c:pt idx="472">
                  <c:v>3.9487947546917646E-2</c:v>
                </c:pt>
                <c:pt idx="473">
                  <c:v>3.930942573742735E-2</c:v>
                </c:pt>
                <c:pt idx="474">
                  <c:v>3.9131897310025088E-2</c:v>
                </c:pt>
                <c:pt idx="475">
                  <c:v>3.8955355570479355E-2</c:v>
                </c:pt>
                <c:pt idx="476">
                  <c:v>3.8779793878291779E-2</c:v>
                </c:pt>
                <c:pt idx="477">
                  <c:v>3.8605205646193297E-2</c:v>
                </c:pt>
                <c:pt idx="478">
                  <c:v>3.8431584339642666E-2</c:v>
                </c:pt>
                <c:pt idx="479">
                  <c:v>3.8258923476332529E-2</c:v>
                </c:pt>
                <c:pt idx="480">
                  <c:v>3.8087216625699138E-2</c:v>
                </c:pt>
                <c:pt idx="481">
                  <c:v>3.7916457408439186E-2</c:v>
                </c:pt>
                <c:pt idx="482">
                  <c:v>3.7746639496030854E-2</c:v>
                </c:pt>
                <c:pt idx="483">
                  <c:v>3.7577756610259749E-2</c:v>
                </c:pt>
                <c:pt idx="484">
                  <c:v>3.7409802522750724E-2</c:v>
                </c:pt>
                <c:pt idx="485">
                  <c:v>3.7242771054503798E-2</c:v>
                </c:pt>
                <c:pt idx="486">
                  <c:v>3.7076656075436865E-2</c:v>
                </c:pt>
                <c:pt idx="487">
                  <c:v>3.6911451503930159E-2</c:v>
                </c:pt>
                <c:pt idx="488">
                  <c:v>3.6747151306379511E-2</c:v>
                </c:pt>
                <c:pt idx="489">
                  <c:v>3.6583749496750695E-2</c:v>
                </c:pt>
                <c:pt idx="490">
                  <c:v>3.6421240136141675E-2</c:v>
                </c:pt>
                <c:pt idx="491">
                  <c:v>3.6259617332346394E-2</c:v>
                </c:pt>
                <c:pt idx="492">
                  <c:v>3.6098875239426675E-2</c:v>
                </c:pt>
                <c:pt idx="493">
                  <c:v>3.5939008057285449E-2</c:v>
                </c:pt>
                <c:pt idx="494">
                  <c:v>3.578001003124609E-2</c:v>
                </c:pt>
                <c:pt idx="495">
                  <c:v>3.5621875451637086E-2</c:v>
                </c:pt>
                <c:pt idx="496">
                  <c:v>3.5464598653378698E-2</c:v>
                </c:pt>
                <c:pt idx="497">
                  <c:v>3.5308174015576399E-2</c:v>
                </c:pt>
                <c:pt idx="498">
                  <c:v>3.5152595961116528E-2</c:v>
                </c:pt>
                <c:pt idx="499">
                  <c:v>3.499785895626828E-2</c:v>
                </c:pt>
                <c:pt idx="500">
                  <c:v>3.4843957510288015E-2</c:v>
                </c:pt>
                <c:pt idx="501">
                  <c:v>3.469088617502869E-2</c:v>
                </c:pt>
                <c:pt idx="502">
                  <c:v>3.4538639544553384E-2</c:v>
                </c:pt>
                <c:pt idx="503">
                  <c:v>3.438721225475283E-2</c:v>
                </c:pt>
                <c:pt idx="504">
                  <c:v>3.4236598982966049E-2</c:v>
                </c:pt>
                <c:pt idx="505">
                  <c:v>3.4086794447606872E-2</c:v>
                </c:pt>
                <c:pt idx="506">
                  <c:v>3.3937793407792238E-2</c:v>
                </c:pt>
                <c:pt idx="507">
                  <c:v>3.3789590662975488E-2</c:v>
                </c:pt>
                <c:pt idx="508">
                  <c:v>3.3642181052583986E-2</c:v>
                </c:pt>
                <c:pt idx="509">
                  <c:v>3.3495559455658741E-2</c:v>
                </c:pt>
                <c:pt idx="510">
                  <c:v>3.3349720790499582E-2</c:v>
                </c:pt>
                <c:pt idx="511">
                  <c:v>3.3204660014312992E-2</c:v>
                </c:pt>
                <c:pt idx="512">
                  <c:v>3.3060372122863724E-2</c:v>
                </c:pt>
                <c:pt idx="513">
                  <c:v>3.2916852150130627E-2</c:v>
                </c:pt>
                <c:pt idx="514">
                  <c:v>3.2774095167964812E-2</c:v>
                </c:pt>
                <c:pt idx="515">
                  <c:v>3.2632096285752699E-2</c:v>
                </c:pt>
                <c:pt idx="516">
                  <c:v>3.2490850650081615E-2</c:v>
                </c:pt>
                <c:pt idx="517">
                  <c:v>3.2350353444408619E-2</c:v>
                </c:pt>
                <c:pt idx="518">
                  <c:v>3.2210599888733871E-2</c:v>
                </c:pt>
                <c:pt idx="519">
                  <c:v>3.2071585239276557E-2</c:v>
                </c:pt>
                <c:pt idx="520">
                  <c:v>3.1933304788153594E-2</c:v>
                </c:pt>
                <c:pt idx="521">
                  <c:v>3.1795753863063325E-2</c:v>
                </c:pt>
              </c:numCache>
            </c:numRef>
          </c:yVal>
          <c:smooth val="0"/>
          <c:extLst>
            <c:ext xmlns:c16="http://schemas.microsoft.com/office/drawing/2014/chart" uri="{C3380CC4-5D6E-409C-BE32-E72D297353CC}">
              <c16:uniqueId val="{00000001-F12F-4844-BEC0-77590D58AD11}"/>
            </c:ext>
          </c:extLst>
        </c:ser>
        <c:ser>
          <c:idx val="3"/>
          <c:order val="2"/>
          <c:tx>
            <c:v>LEN TOT</c:v>
          </c:tx>
          <c:spPr>
            <a:ln w="19050" cap="rnd">
              <a:solidFill>
                <a:schemeClr val="accent4"/>
              </a:solidFill>
              <a:prstDash val="lgDash"/>
              <a:round/>
            </a:ln>
            <a:effectLst/>
          </c:spPr>
          <c:marker>
            <c:symbol val="none"/>
          </c:marker>
          <c:xVal>
            <c:numRef>
              <c:f>OS!$B$81:$B$602</c:f>
              <c:numCache>
                <c:formatCode>0.00</c:formatCode>
                <c:ptCount val="522"/>
                <c:pt idx="0">
                  <c:v>0</c:v>
                </c:pt>
                <c:pt idx="1">
                  <c:v>7.665982203969883E-2</c:v>
                </c:pt>
                <c:pt idx="2">
                  <c:v>0.15331964407939766</c:v>
                </c:pt>
                <c:pt idx="3">
                  <c:v>0.2299794661190965</c:v>
                </c:pt>
                <c:pt idx="4">
                  <c:v>0.30663928815879532</c:v>
                </c:pt>
                <c:pt idx="5">
                  <c:v>0.38329911019849416</c:v>
                </c:pt>
                <c:pt idx="6">
                  <c:v>0.45995893223819301</c:v>
                </c:pt>
                <c:pt idx="7">
                  <c:v>0.53661875427789185</c:v>
                </c:pt>
                <c:pt idx="8">
                  <c:v>0.61327857631759064</c:v>
                </c:pt>
                <c:pt idx="9">
                  <c:v>0.68993839835728954</c:v>
                </c:pt>
                <c:pt idx="10">
                  <c:v>0.76659822039698833</c:v>
                </c:pt>
                <c:pt idx="11">
                  <c:v>0.84325804243668723</c:v>
                </c:pt>
                <c:pt idx="12">
                  <c:v>0.91991786447638602</c:v>
                </c:pt>
                <c:pt idx="13">
                  <c:v>0.99657768651608492</c:v>
                </c:pt>
                <c:pt idx="14">
                  <c:v>1.0732375085557837</c:v>
                </c:pt>
                <c:pt idx="15">
                  <c:v>1.1498973305954825</c:v>
                </c:pt>
                <c:pt idx="16">
                  <c:v>1.2265571526351813</c:v>
                </c:pt>
                <c:pt idx="17">
                  <c:v>1.3032169746748803</c:v>
                </c:pt>
                <c:pt idx="18">
                  <c:v>1.3798767967145791</c:v>
                </c:pt>
                <c:pt idx="19">
                  <c:v>1.4565366187542779</c:v>
                </c:pt>
                <c:pt idx="20">
                  <c:v>1.5331964407939767</c:v>
                </c:pt>
                <c:pt idx="21">
                  <c:v>1.6098562628336757</c:v>
                </c:pt>
                <c:pt idx="22">
                  <c:v>1.6865160848733745</c:v>
                </c:pt>
                <c:pt idx="23">
                  <c:v>1.7631759069130732</c:v>
                </c:pt>
                <c:pt idx="24">
                  <c:v>1.839835728952772</c:v>
                </c:pt>
                <c:pt idx="25">
                  <c:v>1.9164955509924708</c:v>
                </c:pt>
                <c:pt idx="26">
                  <c:v>1.9931553730321698</c:v>
                </c:pt>
                <c:pt idx="27">
                  <c:v>2.0698151950718686</c:v>
                </c:pt>
                <c:pt idx="28">
                  <c:v>2.1464750171115674</c:v>
                </c:pt>
                <c:pt idx="29">
                  <c:v>2.2231348391512662</c:v>
                </c:pt>
                <c:pt idx="30">
                  <c:v>2.299794661190965</c:v>
                </c:pt>
                <c:pt idx="31">
                  <c:v>2.3764544832306638</c:v>
                </c:pt>
                <c:pt idx="32">
                  <c:v>2.4531143052703626</c:v>
                </c:pt>
                <c:pt idx="33">
                  <c:v>2.5297741273100618</c:v>
                </c:pt>
                <c:pt idx="34">
                  <c:v>2.6064339493497606</c:v>
                </c:pt>
                <c:pt idx="35">
                  <c:v>2.6830937713894594</c:v>
                </c:pt>
                <c:pt idx="36">
                  <c:v>2.7597535934291582</c:v>
                </c:pt>
                <c:pt idx="37">
                  <c:v>2.8364134154688569</c:v>
                </c:pt>
                <c:pt idx="38">
                  <c:v>2.9130732375085557</c:v>
                </c:pt>
                <c:pt idx="39">
                  <c:v>2.9897330595482545</c:v>
                </c:pt>
                <c:pt idx="40">
                  <c:v>3.0663928815879533</c:v>
                </c:pt>
                <c:pt idx="41">
                  <c:v>3.1430527036276521</c:v>
                </c:pt>
                <c:pt idx="42">
                  <c:v>3.2197125256673513</c:v>
                </c:pt>
                <c:pt idx="43">
                  <c:v>3.2963723477070501</c:v>
                </c:pt>
                <c:pt idx="44">
                  <c:v>3.3730321697467489</c:v>
                </c:pt>
                <c:pt idx="45">
                  <c:v>3.4496919917864477</c:v>
                </c:pt>
                <c:pt idx="46">
                  <c:v>3.5263518138261465</c:v>
                </c:pt>
                <c:pt idx="47">
                  <c:v>3.6030116358658453</c:v>
                </c:pt>
                <c:pt idx="48">
                  <c:v>3.6796714579055441</c:v>
                </c:pt>
                <c:pt idx="49">
                  <c:v>3.7563312799452429</c:v>
                </c:pt>
                <c:pt idx="50">
                  <c:v>3.8329911019849416</c:v>
                </c:pt>
                <c:pt idx="51">
                  <c:v>3.9096509240246409</c:v>
                </c:pt>
                <c:pt idx="52">
                  <c:v>3.9863107460643397</c:v>
                </c:pt>
                <c:pt idx="53">
                  <c:v>4.0629705681040384</c:v>
                </c:pt>
                <c:pt idx="54">
                  <c:v>4.1396303901437372</c:v>
                </c:pt>
                <c:pt idx="55">
                  <c:v>4.216290212183436</c:v>
                </c:pt>
                <c:pt idx="56">
                  <c:v>4.2929500342231348</c:v>
                </c:pt>
                <c:pt idx="57">
                  <c:v>4.3696098562628336</c:v>
                </c:pt>
                <c:pt idx="58">
                  <c:v>4.4462696783025324</c:v>
                </c:pt>
                <c:pt idx="59">
                  <c:v>4.5229295003422312</c:v>
                </c:pt>
                <c:pt idx="60">
                  <c:v>4.59958932238193</c:v>
                </c:pt>
                <c:pt idx="61">
                  <c:v>4.6762491444216288</c:v>
                </c:pt>
                <c:pt idx="62">
                  <c:v>4.7529089664613275</c:v>
                </c:pt>
                <c:pt idx="63">
                  <c:v>4.8295687885010263</c:v>
                </c:pt>
                <c:pt idx="64">
                  <c:v>4.9062286105407251</c:v>
                </c:pt>
                <c:pt idx="65">
                  <c:v>4.9828884325804248</c:v>
                </c:pt>
                <c:pt idx="66">
                  <c:v>5.0595482546201236</c:v>
                </c:pt>
                <c:pt idx="67">
                  <c:v>5.1362080766598224</c:v>
                </c:pt>
                <c:pt idx="68">
                  <c:v>5.2128678986995212</c:v>
                </c:pt>
                <c:pt idx="69">
                  <c:v>5.28952772073922</c:v>
                </c:pt>
                <c:pt idx="70">
                  <c:v>5.3661875427789187</c:v>
                </c:pt>
                <c:pt idx="71">
                  <c:v>5.4428473648186175</c:v>
                </c:pt>
                <c:pt idx="72">
                  <c:v>5.5195071868583163</c:v>
                </c:pt>
                <c:pt idx="73">
                  <c:v>5.5961670088980151</c:v>
                </c:pt>
                <c:pt idx="74">
                  <c:v>5.6728268309377139</c:v>
                </c:pt>
                <c:pt idx="75">
                  <c:v>5.7494866529774127</c:v>
                </c:pt>
                <c:pt idx="76">
                  <c:v>5.8261464750171115</c:v>
                </c:pt>
                <c:pt idx="77">
                  <c:v>5.9028062970568103</c:v>
                </c:pt>
                <c:pt idx="78">
                  <c:v>5.979466119096509</c:v>
                </c:pt>
                <c:pt idx="79">
                  <c:v>6.0561259411362078</c:v>
                </c:pt>
                <c:pt idx="80">
                  <c:v>6.1327857631759066</c:v>
                </c:pt>
                <c:pt idx="81">
                  <c:v>6.2094455852156054</c:v>
                </c:pt>
                <c:pt idx="82">
                  <c:v>6.2861054072553042</c:v>
                </c:pt>
                <c:pt idx="83">
                  <c:v>6.362765229295003</c:v>
                </c:pt>
                <c:pt idx="84">
                  <c:v>6.4394250513347027</c:v>
                </c:pt>
                <c:pt idx="85">
                  <c:v>6.5160848733744015</c:v>
                </c:pt>
                <c:pt idx="86">
                  <c:v>6.5927446954141002</c:v>
                </c:pt>
                <c:pt idx="87">
                  <c:v>6.669404517453799</c:v>
                </c:pt>
                <c:pt idx="88">
                  <c:v>6.7460643394934978</c:v>
                </c:pt>
                <c:pt idx="89">
                  <c:v>6.8227241615331966</c:v>
                </c:pt>
                <c:pt idx="90">
                  <c:v>6.8993839835728954</c:v>
                </c:pt>
                <c:pt idx="91">
                  <c:v>6.9760438056125942</c:v>
                </c:pt>
                <c:pt idx="92">
                  <c:v>7.052703627652293</c:v>
                </c:pt>
                <c:pt idx="93">
                  <c:v>7.1293634496919918</c:v>
                </c:pt>
                <c:pt idx="94">
                  <c:v>7.2060232717316905</c:v>
                </c:pt>
                <c:pt idx="95">
                  <c:v>7.2826830937713893</c:v>
                </c:pt>
                <c:pt idx="96">
                  <c:v>7.3593429158110881</c:v>
                </c:pt>
                <c:pt idx="97">
                  <c:v>7.4360027378507869</c:v>
                </c:pt>
                <c:pt idx="98">
                  <c:v>7.5126625598904857</c:v>
                </c:pt>
                <c:pt idx="99">
                  <c:v>7.5893223819301845</c:v>
                </c:pt>
                <c:pt idx="100">
                  <c:v>7.6659822039698833</c:v>
                </c:pt>
                <c:pt idx="101">
                  <c:v>7.7426420260095821</c:v>
                </c:pt>
                <c:pt idx="102">
                  <c:v>7.8193018480492817</c:v>
                </c:pt>
                <c:pt idx="103">
                  <c:v>7.8959616700889805</c:v>
                </c:pt>
                <c:pt idx="104">
                  <c:v>7.9726214921286793</c:v>
                </c:pt>
                <c:pt idx="105">
                  <c:v>8.0492813141683772</c:v>
                </c:pt>
                <c:pt idx="106">
                  <c:v>8.1259411362080769</c:v>
                </c:pt>
                <c:pt idx="107">
                  <c:v>8.2026009582477748</c:v>
                </c:pt>
                <c:pt idx="108">
                  <c:v>8.2792607802874745</c:v>
                </c:pt>
                <c:pt idx="109">
                  <c:v>8.3559206023271724</c:v>
                </c:pt>
                <c:pt idx="110">
                  <c:v>8.4325804243668721</c:v>
                </c:pt>
                <c:pt idx="111">
                  <c:v>8.5092402464065717</c:v>
                </c:pt>
                <c:pt idx="112">
                  <c:v>8.5859000684462696</c:v>
                </c:pt>
                <c:pt idx="113">
                  <c:v>8.6625598904859693</c:v>
                </c:pt>
                <c:pt idx="114">
                  <c:v>8.7392197125256672</c:v>
                </c:pt>
                <c:pt idx="115">
                  <c:v>8.8158795345653669</c:v>
                </c:pt>
                <c:pt idx="116">
                  <c:v>8.8925393566050648</c:v>
                </c:pt>
                <c:pt idx="117">
                  <c:v>8.9691991786447645</c:v>
                </c:pt>
                <c:pt idx="118">
                  <c:v>9.0458590006844624</c:v>
                </c:pt>
                <c:pt idx="119">
                  <c:v>9.122518822724162</c:v>
                </c:pt>
                <c:pt idx="120">
                  <c:v>9.1991786447638599</c:v>
                </c:pt>
                <c:pt idx="121">
                  <c:v>9.2758384668035596</c:v>
                </c:pt>
                <c:pt idx="122">
                  <c:v>9.3524982888432575</c:v>
                </c:pt>
                <c:pt idx="123">
                  <c:v>9.4291581108829572</c:v>
                </c:pt>
                <c:pt idx="124">
                  <c:v>9.5058179329226551</c:v>
                </c:pt>
                <c:pt idx="125">
                  <c:v>9.5824777549623548</c:v>
                </c:pt>
                <c:pt idx="126">
                  <c:v>9.6591375770020527</c:v>
                </c:pt>
                <c:pt idx="127">
                  <c:v>9.7357973990417523</c:v>
                </c:pt>
                <c:pt idx="128">
                  <c:v>9.8124572210814502</c:v>
                </c:pt>
                <c:pt idx="129">
                  <c:v>9.8891170431211499</c:v>
                </c:pt>
                <c:pt idx="130">
                  <c:v>9.9657768651608496</c:v>
                </c:pt>
                <c:pt idx="131">
                  <c:v>10.042436687200547</c:v>
                </c:pt>
                <c:pt idx="132">
                  <c:v>10.119096509240247</c:v>
                </c:pt>
                <c:pt idx="133">
                  <c:v>10.195756331279945</c:v>
                </c:pt>
                <c:pt idx="134">
                  <c:v>10.272416153319645</c:v>
                </c:pt>
                <c:pt idx="135">
                  <c:v>10.349075975359343</c:v>
                </c:pt>
                <c:pt idx="136">
                  <c:v>10.425735797399042</c:v>
                </c:pt>
                <c:pt idx="137">
                  <c:v>10.50239561943874</c:v>
                </c:pt>
                <c:pt idx="138">
                  <c:v>10.57905544147844</c:v>
                </c:pt>
                <c:pt idx="139">
                  <c:v>10.655715263518138</c:v>
                </c:pt>
                <c:pt idx="140">
                  <c:v>10.732375085557837</c:v>
                </c:pt>
                <c:pt idx="141">
                  <c:v>10.809034907597535</c:v>
                </c:pt>
                <c:pt idx="142">
                  <c:v>10.885694729637235</c:v>
                </c:pt>
                <c:pt idx="143">
                  <c:v>10.962354551676933</c:v>
                </c:pt>
                <c:pt idx="144">
                  <c:v>11.039014373716633</c:v>
                </c:pt>
                <c:pt idx="145">
                  <c:v>11.115674195756331</c:v>
                </c:pt>
                <c:pt idx="146">
                  <c:v>11.19233401779603</c:v>
                </c:pt>
                <c:pt idx="147">
                  <c:v>11.268993839835728</c:v>
                </c:pt>
                <c:pt idx="148">
                  <c:v>11.345653661875428</c:v>
                </c:pt>
                <c:pt idx="149">
                  <c:v>11.422313483915127</c:v>
                </c:pt>
                <c:pt idx="150">
                  <c:v>11.498973305954825</c:v>
                </c:pt>
                <c:pt idx="151">
                  <c:v>11.575633127994525</c:v>
                </c:pt>
                <c:pt idx="152">
                  <c:v>11.652292950034223</c:v>
                </c:pt>
                <c:pt idx="153">
                  <c:v>11.728952772073923</c:v>
                </c:pt>
                <c:pt idx="154">
                  <c:v>11.805612594113621</c:v>
                </c:pt>
                <c:pt idx="155">
                  <c:v>11.88227241615332</c:v>
                </c:pt>
                <c:pt idx="156">
                  <c:v>11.958932238193018</c:v>
                </c:pt>
                <c:pt idx="157">
                  <c:v>12.035592060232718</c:v>
                </c:pt>
                <c:pt idx="158">
                  <c:v>12.112251882272416</c:v>
                </c:pt>
                <c:pt idx="159">
                  <c:v>12.188911704312115</c:v>
                </c:pt>
                <c:pt idx="160">
                  <c:v>12.265571526351813</c:v>
                </c:pt>
                <c:pt idx="161">
                  <c:v>12.342231348391513</c:v>
                </c:pt>
                <c:pt idx="162">
                  <c:v>12.418891170431211</c:v>
                </c:pt>
                <c:pt idx="163">
                  <c:v>12.495550992470911</c:v>
                </c:pt>
                <c:pt idx="164">
                  <c:v>12.572210814510608</c:v>
                </c:pt>
                <c:pt idx="165">
                  <c:v>12.648870636550308</c:v>
                </c:pt>
                <c:pt idx="166">
                  <c:v>12.725530458590006</c:v>
                </c:pt>
                <c:pt idx="167">
                  <c:v>12.802190280629706</c:v>
                </c:pt>
                <c:pt idx="168">
                  <c:v>12.878850102669405</c:v>
                </c:pt>
                <c:pt idx="169">
                  <c:v>12.955509924709103</c:v>
                </c:pt>
                <c:pt idx="170">
                  <c:v>13.032169746748803</c:v>
                </c:pt>
                <c:pt idx="171">
                  <c:v>13.108829568788501</c:v>
                </c:pt>
                <c:pt idx="172">
                  <c:v>13.1854893908282</c:v>
                </c:pt>
                <c:pt idx="173">
                  <c:v>13.262149212867898</c:v>
                </c:pt>
                <c:pt idx="174">
                  <c:v>13.338809034907598</c:v>
                </c:pt>
                <c:pt idx="175">
                  <c:v>13.415468856947296</c:v>
                </c:pt>
                <c:pt idx="176">
                  <c:v>13.492128678986996</c:v>
                </c:pt>
                <c:pt idx="177">
                  <c:v>13.568788501026694</c:v>
                </c:pt>
                <c:pt idx="178">
                  <c:v>13.645448323066393</c:v>
                </c:pt>
                <c:pt idx="179">
                  <c:v>13.722108145106091</c:v>
                </c:pt>
                <c:pt idx="180">
                  <c:v>13.798767967145791</c:v>
                </c:pt>
                <c:pt idx="181">
                  <c:v>13.875427789185489</c:v>
                </c:pt>
                <c:pt idx="182">
                  <c:v>13.952087611225188</c:v>
                </c:pt>
                <c:pt idx="183">
                  <c:v>14.028747433264886</c:v>
                </c:pt>
                <c:pt idx="184">
                  <c:v>14.105407255304586</c:v>
                </c:pt>
                <c:pt idx="185">
                  <c:v>14.182067077344286</c:v>
                </c:pt>
                <c:pt idx="186">
                  <c:v>14.258726899383984</c:v>
                </c:pt>
                <c:pt idx="187">
                  <c:v>14.335386721423683</c:v>
                </c:pt>
                <c:pt idx="188">
                  <c:v>14.412046543463381</c:v>
                </c:pt>
                <c:pt idx="189">
                  <c:v>14.488706365503081</c:v>
                </c:pt>
                <c:pt idx="190">
                  <c:v>14.565366187542779</c:v>
                </c:pt>
                <c:pt idx="191">
                  <c:v>14.642026009582478</c:v>
                </c:pt>
                <c:pt idx="192">
                  <c:v>14.718685831622176</c:v>
                </c:pt>
                <c:pt idx="193">
                  <c:v>14.795345653661876</c:v>
                </c:pt>
                <c:pt idx="194">
                  <c:v>14.872005475701574</c:v>
                </c:pt>
                <c:pt idx="195">
                  <c:v>14.948665297741274</c:v>
                </c:pt>
                <c:pt idx="196">
                  <c:v>15.025325119780971</c:v>
                </c:pt>
                <c:pt idx="197">
                  <c:v>15.101984941820671</c:v>
                </c:pt>
                <c:pt idx="198">
                  <c:v>15.178644763860369</c:v>
                </c:pt>
                <c:pt idx="199">
                  <c:v>15.255304585900069</c:v>
                </c:pt>
                <c:pt idx="200">
                  <c:v>15.331964407939767</c:v>
                </c:pt>
                <c:pt idx="201">
                  <c:v>15.408624229979466</c:v>
                </c:pt>
                <c:pt idx="202">
                  <c:v>15.485284052019164</c:v>
                </c:pt>
                <c:pt idx="203">
                  <c:v>15.561943874058864</c:v>
                </c:pt>
                <c:pt idx="204">
                  <c:v>15.638603696098563</c:v>
                </c:pt>
                <c:pt idx="205">
                  <c:v>15.715263518138261</c:v>
                </c:pt>
                <c:pt idx="206">
                  <c:v>15.791923340177961</c:v>
                </c:pt>
                <c:pt idx="207">
                  <c:v>15.868583162217659</c:v>
                </c:pt>
                <c:pt idx="208">
                  <c:v>15.945242984257359</c:v>
                </c:pt>
                <c:pt idx="209">
                  <c:v>16.021902806297057</c:v>
                </c:pt>
                <c:pt idx="210">
                  <c:v>16.098562628336754</c:v>
                </c:pt>
                <c:pt idx="211">
                  <c:v>16.175222450376456</c:v>
                </c:pt>
                <c:pt idx="212">
                  <c:v>16.251882272416154</c:v>
                </c:pt>
                <c:pt idx="213">
                  <c:v>16.328542094455852</c:v>
                </c:pt>
                <c:pt idx="214">
                  <c:v>16.40520191649555</c:v>
                </c:pt>
                <c:pt idx="215">
                  <c:v>16.481861738535251</c:v>
                </c:pt>
                <c:pt idx="216">
                  <c:v>16.558521560574949</c:v>
                </c:pt>
                <c:pt idx="217">
                  <c:v>16.635181382614647</c:v>
                </c:pt>
                <c:pt idx="218">
                  <c:v>16.711841204654345</c:v>
                </c:pt>
                <c:pt idx="219">
                  <c:v>16.788501026694046</c:v>
                </c:pt>
                <c:pt idx="220">
                  <c:v>16.865160848733744</c:v>
                </c:pt>
                <c:pt idx="221">
                  <c:v>16.941820670773442</c:v>
                </c:pt>
                <c:pt idx="222">
                  <c:v>17.018480492813143</c:v>
                </c:pt>
                <c:pt idx="223">
                  <c:v>17.095140314852841</c:v>
                </c:pt>
                <c:pt idx="224">
                  <c:v>17.171800136892539</c:v>
                </c:pt>
                <c:pt idx="225">
                  <c:v>17.248459958932237</c:v>
                </c:pt>
                <c:pt idx="226">
                  <c:v>17.325119780971939</c:v>
                </c:pt>
                <c:pt idx="227">
                  <c:v>17.401779603011637</c:v>
                </c:pt>
                <c:pt idx="228">
                  <c:v>17.478439425051334</c:v>
                </c:pt>
                <c:pt idx="229">
                  <c:v>17.555099247091032</c:v>
                </c:pt>
                <c:pt idx="230">
                  <c:v>17.631759069130734</c:v>
                </c:pt>
                <c:pt idx="231">
                  <c:v>17.708418891170432</c:v>
                </c:pt>
                <c:pt idx="232">
                  <c:v>17.78507871321013</c:v>
                </c:pt>
                <c:pt idx="233">
                  <c:v>17.861738535249827</c:v>
                </c:pt>
                <c:pt idx="234">
                  <c:v>17.938398357289529</c:v>
                </c:pt>
                <c:pt idx="235">
                  <c:v>18.015058179329227</c:v>
                </c:pt>
                <c:pt idx="236">
                  <c:v>18.091718001368925</c:v>
                </c:pt>
                <c:pt idx="237">
                  <c:v>18.168377823408623</c:v>
                </c:pt>
                <c:pt idx="238">
                  <c:v>18.245037645448324</c:v>
                </c:pt>
                <c:pt idx="239">
                  <c:v>18.321697467488022</c:v>
                </c:pt>
                <c:pt idx="240">
                  <c:v>18.39835728952772</c:v>
                </c:pt>
                <c:pt idx="241">
                  <c:v>18.475017111567421</c:v>
                </c:pt>
                <c:pt idx="242">
                  <c:v>18.551676933607119</c:v>
                </c:pt>
                <c:pt idx="243">
                  <c:v>18.628336755646817</c:v>
                </c:pt>
                <c:pt idx="244">
                  <c:v>18.704996577686515</c:v>
                </c:pt>
                <c:pt idx="245">
                  <c:v>18.781656399726216</c:v>
                </c:pt>
                <c:pt idx="246">
                  <c:v>18.858316221765914</c:v>
                </c:pt>
                <c:pt idx="247">
                  <c:v>18.934976043805612</c:v>
                </c:pt>
                <c:pt idx="248">
                  <c:v>19.01163586584531</c:v>
                </c:pt>
                <c:pt idx="249">
                  <c:v>19.088295687885012</c:v>
                </c:pt>
                <c:pt idx="250">
                  <c:v>19.16495550992471</c:v>
                </c:pt>
                <c:pt idx="251">
                  <c:v>19.241615331964407</c:v>
                </c:pt>
                <c:pt idx="252">
                  <c:v>19.318275154004105</c:v>
                </c:pt>
                <c:pt idx="253">
                  <c:v>19.394934976043807</c:v>
                </c:pt>
                <c:pt idx="254">
                  <c:v>19.471594798083505</c:v>
                </c:pt>
                <c:pt idx="255">
                  <c:v>19.548254620123203</c:v>
                </c:pt>
                <c:pt idx="256">
                  <c:v>19.6249144421629</c:v>
                </c:pt>
                <c:pt idx="257">
                  <c:v>19.701574264202602</c:v>
                </c:pt>
                <c:pt idx="258">
                  <c:v>19.7782340862423</c:v>
                </c:pt>
                <c:pt idx="259">
                  <c:v>19.854893908281998</c:v>
                </c:pt>
                <c:pt idx="260">
                  <c:v>19.931553730321699</c:v>
                </c:pt>
                <c:pt idx="261">
                  <c:v>20.008213552361397</c:v>
                </c:pt>
                <c:pt idx="262">
                  <c:v>20.084873374401095</c:v>
                </c:pt>
                <c:pt idx="263">
                  <c:v>20.161533196440793</c:v>
                </c:pt>
                <c:pt idx="264">
                  <c:v>20.238193018480494</c:v>
                </c:pt>
                <c:pt idx="265">
                  <c:v>20.314852840520192</c:v>
                </c:pt>
                <c:pt idx="266">
                  <c:v>20.39151266255989</c:v>
                </c:pt>
                <c:pt idx="267">
                  <c:v>20.468172484599588</c:v>
                </c:pt>
                <c:pt idx="268">
                  <c:v>20.544832306639289</c:v>
                </c:pt>
                <c:pt idx="269">
                  <c:v>20.621492128678987</c:v>
                </c:pt>
                <c:pt idx="270">
                  <c:v>20.698151950718685</c:v>
                </c:pt>
                <c:pt idx="271">
                  <c:v>20.774811772758383</c:v>
                </c:pt>
                <c:pt idx="272">
                  <c:v>20.851471594798085</c:v>
                </c:pt>
                <c:pt idx="273">
                  <c:v>20.928131416837783</c:v>
                </c:pt>
                <c:pt idx="274">
                  <c:v>21.00479123887748</c:v>
                </c:pt>
                <c:pt idx="275">
                  <c:v>21.081451060917178</c:v>
                </c:pt>
                <c:pt idx="276">
                  <c:v>21.15811088295688</c:v>
                </c:pt>
                <c:pt idx="277">
                  <c:v>21.234770704996578</c:v>
                </c:pt>
                <c:pt idx="278">
                  <c:v>21.311430527036276</c:v>
                </c:pt>
                <c:pt idx="279">
                  <c:v>21.388090349075977</c:v>
                </c:pt>
                <c:pt idx="280">
                  <c:v>21.464750171115675</c:v>
                </c:pt>
                <c:pt idx="281">
                  <c:v>21.541409993155373</c:v>
                </c:pt>
                <c:pt idx="282">
                  <c:v>21.618069815195071</c:v>
                </c:pt>
                <c:pt idx="283">
                  <c:v>21.694729637234772</c:v>
                </c:pt>
                <c:pt idx="284">
                  <c:v>21.77138945927447</c:v>
                </c:pt>
                <c:pt idx="285">
                  <c:v>21.848049281314168</c:v>
                </c:pt>
                <c:pt idx="286">
                  <c:v>21.924709103353866</c:v>
                </c:pt>
                <c:pt idx="287">
                  <c:v>22.001368925393567</c:v>
                </c:pt>
                <c:pt idx="288">
                  <c:v>22.078028747433265</c:v>
                </c:pt>
                <c:pt idx="289">
                  <c:v>22.154688569472963</c:v>
                </c:pt>
                <c:pt idx="290">
                  <c:v>22.231348391512661</c:v>
                </c:pt>
                <c:pt idx="291">
                  <c:v>22.308008213552363</c:v>
                </c:pt>
                <c:pt idx="292">
                  <c:v>22.38466803559206</c:v>
                </c:pt>
                <c:pt idx="293">
                  <c:v>22.461327857631758</c:v>
                </c:pt>
                <c:pt idx="294">
                  <c:v>22.537987679671456</c:v>
                </c:pt>
                <c:pt idx="295">
                  <c:v>22.614647501711158</c:v>
                </c:pt>
                <c:pt idx="296">
                  <c:v>22.691307323750856</c:v>
                </c:pt>
                <c:pt idx="297">
                  <c:v>22.767967145790553</c:v>
                </c:pt>
                <c:pt idx="298">
                  <c:v>22.844626967830255</c:v>
                </c:pt>
                <c:pt idx="299">
                  <c:v>22.921286789869953</c:v>
                </c:pt>
                <c:pt idx="300">
                  <c:v>22.997946611909651</c:v>
                </c:pt>
                <c:pt idx="301">
                  <c:v>23.074606433949349</c:v>
                </c:pt>
                <c:pt idx="302">
                  <c:v>23.15126625598905</c:v>
                </c:pt>
                <c:pt idx="303">
                  <c:v>23.227926078028748</c:v>
                </c:pt>
                <c:pt idx="304">
                  <c:v>23.304585900068446</c:v>
                </c:pt>
                <c:pt idx="305">
                  <c:v>23.381245722108144</c:v>
                </c:pt>
                <c:pt idx="306">
                  <c:v>23.457905544147845</c:v>
                </c:pt>
                <c:pt idx="307">
                  <c:v>23.534565366187543</c:v>
                </c:pt>
                <c:pt idx="308">
                  <c:v>23.611225188227241</c:v>
                </c:pt>
                <c:pt idx="309">
                  <c:v>23.687885010266939</c:v>
                </c:pt>
                <c:pt idx="310">
                  <c:v>23.76454483230664</c:v>
                </c:pt>
                <c:pt idx="311">
                  <c:v>23.841204654346338</c:v>
                </c:pt>
                <c:pt idx="312">
                  <c:v>23.917864476386036</c:v>
                </c:pt>
                <c:pt idx="313">
                  <c:v>23.994524298425734</c:v>
                </c:pt>
                <c:pt idx="314">
                  <c:v>24.071184120465436</c:v>
                </c:pt>
                <c:pt idx="315">
                  <c:v>24.147843942505133</c:v>
                </c:pt>
                <c:pt idx="316">
                  <c:v>24.224503764544831</c:v>
                </c:pt>
                <c:pt idx="317">
                  <c:v>24.301163586584533</c:v>
                </c:pt>
                <c:pt idx="318">
                  <c:v>24.377823408624231</c:v>
                </c:pt>
                <c:pt idx="319">
                  <c:v>24.454483230663929</c:v>
                </c:pt>
                <c:pt idx="320">
                  <c:v>24.531143052703626</c:v>
                </c:pt>
                <c:pt idx="321">
                  <c:v>24.607802874743328</c:v>
                </c:pt>
                <c:pt idx="322">
                  <c:v>24.684462696783026</c:v>
                </c:pt>
                <c:pt idx="323">
                  <c:v>24.761122518822724</c:v>
                </c:pt>
                <c:pt idx="324">
                  <c:v>24.837782340862422</c:v>
                </c:pt>
                <c:pt idx="325">
                  <c:v>24.914442162902123</c:v>
                </c:pt>
                <c:pt idx="326">
                  <c:v>24.991101984941821</c:v>
                </c:pt>
                <c:pt idx="327">
                  <c:v>25.067761806981519</c:v>
                </c:pt>
                <c:pt idx="328">
                  <c:v>25.144421629021217</c:v>
                </c:pt>
                <c:pt idx="329">
                  <c:v>25.221081451060918</c:v>
                </c:pt>
                <c:pt idx="330">
                  <c:v>25.297741273100616</c:v>
                </c:pt>
                <c:pt idx="331">
                  <c:v>25.374401095140314</c:v>
                </c:pt>
                <c:pt idx="332">
                  <c:v>25.451060917180012</c:v>
                </c:pt>
                <c:pt idx="333">
                  <c:v>25.527720739219713</c:v>
                </c:pt>
                <c:pt idx="334">
                  <c:v>25.604380561259411</c:v>
                </c:pt>
                <c:pt idx="335">
                  <c:v>25.681040383299109</c:v>
                </c:pt>
                <c:pt idx="336">
                  <c:v>25.757700205338811</c:v>
                </c:pt>
                <c:pt idx="337">
                  <c:v>25.834360027378509</c:v>
                </c:pt>
                <c:pt idx="338">
                  <c:v>25.911019849418206</c:v>
                </c:pt>
                <c:pt idx="339">
                  <c:v>25.987679671457904</c:v>
                </c:pt>
                <c:pt idx="340">
                  <c:v>26.064339493497606</c:v>
                </c:pt>
                <c:pt idx="341">
                  <c:v>26.140999315537304</c:v>
                </c:pt>
                <c:pt idx="342">
                  <c:v>26.217659137577002</c:v>
                </c:pt>
                <c:pt idx="343">
                  <c:v>26.2943189596167</c:v>
                </c:pt>
                <c:pt idx="344">
                  <c:v>26.370978781656401</c:v>
                </c:pt>
                <c:pt idx="345">
                  <c:v>26.447638603696099</c:v>
                </c:pt>
                <c:pt idx="346">
                  <c:v>26.524298425735797</c:v>
                </c:pt>
                <c:pt idx="347">
                  <c:v>26.600958247775495</c:v>
                </c:pt>
                <c:pt idx="348">
                  <c:v>26.677618069815196</c:v>
                </c:pt>
                <c:pt idx="349">
                  <c:v>26.754277891854894</c:v>
                </c:pt>
                <c:pt idx="350">
                  <c:v>26.830937713894592</c:v>
                </c:pt>
                <c:pt idx="351">
                  <c:v>26.90759753593429</c:v>
                </c:pt>
                <c:pt idx="352">
                  <c:v>26.984257357973991</c:v>
                </c:pt>
                <c:pt idx="353">
                  <c:v>27.060917180013689</c:v>
                </c:pt>
                <c:pt idx="354">
                  <c:v>27.137577002053387</c:v>
                </c:pt>
                <c:pt idx="355">
                  <c:v>27.214236824093089</c:v>
                </c:pt>
                <c:pt idx="356">
                  <c:v>27.290896646132786</c:v>
                </c:pt>
                <c:pt idx="357">
                  <c:v>27.367556468172484</c:v>
                </c:pt>
                <c:pt idx="358">
                  <c:v>27.444216290212182</c:v>
                </c:pt>
                <c:pt idx="359">
                  <c:v>27.520876112251884</c:v>
                </c:pt>
                <c:pt idx="360">
                  <c:v>27.597535934291582</c:v>
                </c:pt>
                <c:pt idx="361">
                  <c:v>27.674195756331279</c:v>
                </c:pt>
                <c:pt idx="362">
                  <c:v>27.750855578370977</c:v>
                </c:pt>
                <c:pt idx="363">
                  <c:v>27.827515400410679</c:v>
                </c:pt>
                <c:pt idx="364">
                  <c:v>27.904175222450377</c:v>
                </c:pt>
                <c:pt idx="365">
                  <c:v>27.980835044490075</c:v>
                </c:pt>
                <c:pt idx="366">
                  <c:v>28.057494866529773</c:v>
                </c:pt>
                <c:pt idx="367">
                  <c:v>28.134154688569474</c:v>
                </c:pt>
                <c:pt idx="368">
                  <c:v>28.210814510609172</c:v>
                </c:pt>
                <c:pt idx="369">
                  <c:v>28.28747433264887</c:v>
                </c:pt>
                <c:pt idx="370">
                  <c:v>28.364134154688571</c:v>
                </c:pt>
                <c:pt idx="371">
                  <c:v>28.440793976728269</c:v>
                </c:pt>
                <c:pt idx="372">
                  <c:v>28.517453798767967</c:v>
                </c:pt>
                <c:pt idx="373">
                  <c:v>28.594113620807665</c:v>
                </c:pt>
                <c:pt idx="374">
                  <c:v>28.670773442847366</c:v>
                </c:pt>
                <c:pt idx="375">
                  <c:v>28.747433264887064</c:v>
                </c:pt>
                <c:pt idx="376">
                  <c:v>28.824093086926762</c:v>
                </c:pt>
                <c:pt idx="377">
                  <c:v>28.90075290896646</c:v>
                </c:pt>
                <c:pt idx="378">
                  <c:v>28.977412731006162</c:v>
                </c:pt>
                <c:pt idx="379">
                  <c:v>29.054072553045859</c:v>
                </c:pt>
                <c:pt idx="380">
                  <c:v>29.130732375085557</c:v>
                </c:pt>
                <c:pt idx="381">
                  <c:v>29.207392197125255</c:v>
                </c:pt>
                <c:pt idx="382">
                  <c:v>29.284052019164957</c:v>
                </c:pt>
                <c:pt idx="383">
                  <c:v>29.360711841204655</c:v>
                </c:pt>
                <c:pt idx="384">
                  <c:v>29.437371663244353</c:v>
                </c:pt>
                <c:pt idx="385">
                  <c:v>29.51403148528405</c:v>
                </c:pt>
                <c:pt idx="386">
                  <c:v>29.590691307323752</c:v>
                </c:pt>
                <c:pt idx="387">
                  <c:v>29.66735112936345</c:v>
                </c:pt>
                <c:pt idx="388">
                  <c:v>29.744010951403148</c:v>
                </c:pt>
                <c:pt idx="389">
                  <c:v>29.820670773442849</c:v>
                </c:pt>
                <c:pt idx="390">
                  <c:v>29.897330595482547</c:v>
                </c:pt>
                <c:pt idx="391">
                  <c:v>29.973990417522245</c:v>
                </c:pt>
                <c:pt idx="392">
                  <c:v>30.050650239561943</c:v>
                </c:pt>
                <c:pt idx="393">
                  <c:v>30.127310061601644</c:v>
                </c:pt>
                <c:pt idx="394">
                  <c:v>30.203969883641342</c:v>
                </c:pt>
                <c:pt idx="395">
                  <c:v>30.28062970568104</c:v>
                </c:pt>
                <c:pt idx="396">
                  <c:v>30.357289527720738</c:v>
                </c:pt>
                <c:pt idx="397">
                  <c:v>30.433949349760439</c:v>
                </c:pt>
                <c:pt idx="398">
                  <c:v>30.510609171800137</c:v>
                </c:pt>
                <c:pt idx="399">
                  <c:v>30.587268993839835</c:v>
                </c:pt>
                <c:pt idx="400">
                  <c:v>30.663928815879533</c:v>
                </c:pt>
                <c:pt idx="401">
                  <c:v>30.740588637919235</c:v>
                </c:pt>
                <c:pt idx="402">
                  <c:v>30.817248459958932</c:v>
                </c:pt>
                <c:pt idx="403">
                  <c:v>30.89390828199863</c:v>
                </c:pt>
                <c:pt idx="404">
                  <c:v>30.970568104038328</c:v>
                </c:pt>
                <c:pt idx="405">
                  <c:v>31.04722792607803</c:v>
                </c:pt>
                <c:pt idx="406">
                  <c:v>31.123887748117728</c:v>
                </c:pt>
                <c:pt idx="407">
                  <c:v>31.200547570157426</c:v>
                </c:pt>
                <c:pt idx="408">
                  <c:v>31.277207392197127</c:v>
                </c:pt>
                <c:pt idx="409">
                  <c:v>31.353867214236825</c:v>
                </c:pt>
                <c:pt idx="410">
                  <c:v>31.430527036276523</c:v>
                </c:pt>
                <c:pt idx="411">
                  <c:v>31.507186858316221</c:v>
                </c:pt>
                <c:pt idx="412">
                  <c:v>31.583846680355922</c:v>
                </c:pt>
                <c:pt idx="413">
                  <c:v>31.66050650239562</c:v>
                </c:pt>
                <c:pt idx="414">
                  <c:v>31.737166324435318</c:v>
                </c:pt>
                <c:pt idx="415">
                  <c:v>31.813826146475016</c:v>
                </c:pt>
                <c:pt idx="416">
                  <c:v>31.890485968514717</c:v>
                </c:pt>
                <c:pt idx="417">
                  <c:v>31.967145790554415</c:v>
                </c:pt>
                <c:pt idx="418">
                  <c:v>32.043805612594113</c:v>
                </c:pt>
                <c:pt idx="419">
                  <c:v>32.120465434633815</c:v>
                </c:pt>
                <c:pt idx="420">
                  <c:v>32.197125256673509</c:v>
                </c:pt>
                <c:pt idx="421">
                  <c:v>32.27378507871321</c:v>
                </c:pt>
                <c:pt idx="422">
                  <c:v>32.350444900752912</c:v>
                </c:pt>
                <c:pt idx="423">
                  <c:v>32.427104722792606</c:v>
                </c:pt>
                <c:pt idx="424">
                  <c:v>32.503764544832308</c:v>
                </c:pt>
                <c:pt idx="425">
                  <c:v>32.580424366872002</c:v>
                </c:pt>
                <c:pt idx="426">
                  <c:v>32.657084188911703</c:v>
                </c:pt>
                <c:pt idx="427">
                  <c:v>32.733744010951405</c:v>
                </c:pt>
                <c:pt idx="428">
                  <c:v>32.810403832991099</c:v>
                </c:pt>
                <c:pt idx="429">
                  <c:v>32.887063655030801</c:v>
                </c:pt>
                <c:pt idx="430">
                  <c:v>32.963723477070502</c:v>
                </c:pt>
                <c:pt idx="431">
                  <c:v>33.040383299110196</c:v>
                </c:pt>
                <c:pt idx="432">
                  <c:v>33.117043121149898</c:v>
                </c:pt>
                <c:pt idx="433">
                  <c:v>33.193702943189599</c:v>
                </c:pt>
                <c:pt idx="434">
                  <c:v>33.270362765229294</c:v>
                </c:pt>
                <c:pt idx="435">
                  <c:v>33.347022587268995</c:v>
                </c:pt>
                <c:pt idx="436">
                  <c:v>33.42368240930869</c:v>
                </c:pt>
                <c:pt idx="437">
                  <c:v>33.500342231348391</c:v>
                </c:pt>
                <c:pt idx="438">
                  <c:v>33.577002053388092</c:v>
                </c:pt>
                <c:pt idx="439">
                  <c:v>33.653661875427787</c:v>
                </c:pt>
                <c:pt idx="440">
                  <c:v>33.730321697467488</c:v>
                </c:pt>
                <c:pt idx="441">
                  <c:v>33.80698151950719</c:v>
                </c:pt>
                <c:pt idx="442">
                  <c:v>33.883641341546884</c:v>
                </c:pt>
                <c:pt idx="443">
                  <c:v>33.960301163586585</c:v>
                </c:pt>
                <c:pt idx="444">
                  <c:v>34.036960985626287</c:v>
                </c:pt>
                <c:pt idx="445">
                  <c:v>34.113620807665981</c:v>
                </c:pt>
                <c:pt idx="446">
                  <c:v>34.190280629705683</c:v>
                </c:pt>
                <c:pt idx="447">
                  <c:v>34.266940451745377</c:v>
                </c:pt>
                <c:pt idx="448">
                  <c:v>34.343600273785079</c:v>
                </c:pt>
                <c:pt idx="449">
                  <c:v>34.42026009582478</c:v>
                </c:pt>
                <c:pt idx="450">
                  <c:v>34.496919917864474</c:v>
                </c:pt>
                <c:pt idx="451">
                  <c:v>34.573579739904176</c:v>
                </c:pt>
                <c:pt idx="452">
                  <c:v>34.650239561943877</c:v>
                </c:pt>
                <c:pt idx="453">
                  <c:v>34.726899383983572</c:v>
                </c:pt>
                <c:pt idx="454">
                  <c:v>34.803559206023273</c:v>
                </c:pt>
                <c:pt idx="455">
                  <c:v>34.880219028062967</c:v>
                </c:pt>
                <c:pt idx="456">
                  <c:v>34.956878850102669</c:v>
                </c:pt>
                <c:pt idx="457">
                  <c:v>35.03353867214237</c:v>
                </c:pt>
                <c:pt idx="458">
                  <c:v>35.110198494182065</c:v>
                </c:pt>
                <c:pt idx="459">
                  <c:v>35.186858316221766</c:v>
                </c:pt>
                <c:pt idx="460">
                  <c:v>35.263518138261468</c:v>
                </c:pt>
                <c:pt idx="461">
                  <c:v>35.340177960301162</c:v>
                </c:pt>
                <c:pt idx="462">
                  <c:v>35.416837782340863</c:v>
                </c:pt>
                <c:pt idx="463">
                  <c:v>35.493497604380565</c:v>
                </c:pt>
                <c:pt idx="464">
                  <c:v>35.570157426420259</c:v>
                </c:pt>
                <c:pt idx="465">
                  <c:v>35.646817248459961</c:v>
                </c:pt>
                <c:pt idx="466">
                  <c:v>35.723477070499655</c:v>
                </c:pt>
                <c:pt idx="467">
                  <c:v>35.800136892539356</c:v>
                </c:pt>
                <c:pt idx="468">
                  <c:v>35.876796714579058</c:v>
                </c:pt>
                <c:pt idx="469">
                  <c:v>35.953456536618752</c:v>
                </c:pt>
                <c:pt idx="470">
                  <c:v>36.030116358658454</c:v>
                </c:pt>
                <c:pt idx="471">
                  <c:v>36.106776180698155</c:v>
                </c:pt>
                <c:pt idx="472">
                  <c:v>36.183436002737849</c:v>
                </c:pt>
                <c:pt idx="473">
                  <c:v>36.260095824777551</c:v>
                </c:pt>
                <c:pt idx="474">
                  <c:v>36.336755646817245</c:v>
                </c:pt>
                <c:pt idx="475">
                  <c:v>36.413415468856947</c:v>
                </c:pt>
                <c:pt idx="476">
                  <c:v>36.490075290896648</c:v>
                </c:pt>
                <c:pt idx="477">
                  <c:v>36.566735112936342</c:v>
                </c:pt>
                <c:pt idx="478">
                  <c:v>36.643394934976044</c:v>
                </c:pt>
                <c:pt idx="479">
                  <c:v>36.720054757015745</c:v>
                </c:pt>
                <c:pt idx="480">
                  <c:v>36.79671457905544</c:v>
                </c:pt>
                <c:pt idx="481">
                  <c:v>36.873374401095141</c:v>
                </c:pt>
                <c:pt idx="482">
                  <c:v>36.950034223134843</c:v>
                </c:pt>
                <c:pt idx="483">
                  <c:v>37.026694045174537</c:v>
                </c:pt>
                <c:pt idx="484">
                  <c:v>37.103353867214238</c:v>
                </c:pt>
                <c:pt idx="485">
                  <c:v>37.180013689253933</c:v>
                </c:pt>
                <c:pt idx="486">
                  <c:v>37.256673511293634</c:v>
                </c:pt>
                <c:pt idx="487">
                  <c:v>37.333333333333336</c:v>
                </c:pt>
                <c:pt idx="488">
                  <c:v>37.40999315537303</c:v>
                </c:pt>
                <c:pt idx="489">
                  <c:v>37.486652977412732</c:v>
                </c:pt>
                <c:pt idx="490">
                  <c:v>37.563312799452433</c:v>
                </c:pt>
                <c:pt idx="491">
                  <c:v>37.639972621492127</c:v>
                </c:pt>
                <c:pt idx="492">
                  <c:v>37.716632443531829</c:v>
                </c:pt>
                <c:pt idx="493">
                  <c:v>37.793292265571523</c:v>
                </c:pt>
                <c:pt idx="494">
                  <c:v>37.869952087611225</c:v>
                </c:pt>
                <c:pt idx="495">
                  <c:v>37.946611909650926</c:v>
                </c:pt>
                <c:pt idx="496">
                  <c:v>38.02327173169062</c:v>
                </c:pt>
                <c:pt idx="497">
                  <c:v>38.099931553730322</c:v>
                </c:pt>
                <c:pt idx="498">
                  <c:v>38.176591375770023</c:v>
                </c:pt>
                <c:pt idx="499">
                  <c:v>38.253251197809718</c:v>
                </c:pt>
                <c:pt idx="500">
                  <c:v>38.329911019849419</c:v>
                </c:pt>
                <c:pt idx="501">
                  <c:v>38.406570841889121</c:v>
                </c:pt>
                <c:pt idx="502">
                  <c:v>38.483230663928815</c:v>
                </c:pt>
                <c:pt idx="503">
                  <c:v>38.559890485968516</c:v>
                </c:pt>
                <c:pt idx="504">
                  <c:v>38.636550308008211</c:v>
                </c:pt>
                <c:pt idx="505">
                  <c:v>38.713210130047912</c:v>
                </c:pt>
                <c:pt idx="506">
                  <c:v>38.789869952087614</c:v>
                </c:pt>
                <c:pt idx="507">
                  <c:v>38.866529774127308</c:v>
                </c:pt>
                <c:pt idx="508">
                  <c:v>38.943189596167009</c:v>
                </c:pt>
                <c:pt idx="509">
                  <c:v>39.019849418206711</c:v>
                </c:pt>
                <c:pt idx="510">
                  <c:v>39.096509240246405</c:v>
                </c:pt>
                <c:pt idx="511">
                  <c:v>39.173169062286107</c:v>
                </c:pt>
                <c:pt idx="512">
                  <c:v>39.249828884325801</c:v>
                </c:pt>
                <c:pt idx="513">
                  <c:v>39.326488706365502</c:v>
                </c:pt>
                <c:pt idx="514">
                  <c:v>39.403148528405204</c:v>
                </c:pt>
                <c:pt idx="515">
                  <c:v>39.479808350444898</c:v>
                </c:pt>
                <c:pt idx="516">
                  <c:v>39.5564681724846</c:v>
                </c:pt>
                <c:pt idx="517">
                  <c:v>39.633127994524301</c:v>
                </c:pt>
                <c:pt idx="518">
                  <c:v>39.709787816563995</c:v>
                </c:pt>
                <c:pt idx="519">
                  <c:v>39.786447638603697</c:v>
                </c:pt>
                <c:pt idx="520">
                  <c:v>39.863107460643398</c:v>
                </c:pt>
                <c:pt idx="521">
                  <c:v>39.939767282683093</c:v>
                </c:pt>
              </c:numCache>
            </c:numRef>
          </c:xVal>
          <c:yVal>
            <c:numRef>
              <c:f>ToT!$E$56:$E$577</c:f>
              <c:numCache>
                <c:formatCode>0%</c:formatCode>
                <c:ptCount val="522"/>
                <c:pt idx="0">
                  <c:v>1</c:v>
                </c:pt>
                <c:pt idx="1">
                  <c:v>0.99107142857142905</c:v>
                </c:pt>
                <c:pt idx="2">
                  <c:v>0.92857142857142805</c:v>
                </c:pt>
                <c:pt idx="3">
                  <c:v>0.90178571428571397</c:v>
                </c:pt>
                <c:pt idx="4">
                  <c:v>0.85267857142857095</c:v>
                </c:pt>
                <c:pt idx="5">
                  <c:v>0.81696428571428603</c:v>
                </c:pt>
                <c:pt idx="6">
                  <c:v>0.78571428571428603</c:v>
                </c:pt>
                <c:pt idx="7">
                  <c:v>0.75446428571428603</c:v>
                </c:pt>
                <c:pt idx="8">
                  <c:v>0.73660714285714302</c:v>
                </c:pt>
                <c:pt idx="9">
                  <c:v>0.72767857142857095</c:v>
                </c:pt>
                <c:pt idx="10">
                  <c:v>0.71875</c:v>
                </c:pt>
                <c:pt idx="11">
                  <c:v>0.69196428571428603</c:v>
                </c:pt>
                <c:pt idx="12">
                  <c:v>0.67410714285714302</c:v>
                </c:pt>
                <c:pt idx="13">
                  <c:v>0.66964285714285698</c:v>
                </c:pt>
                <c:pt idx="14">
                  <c:v>0.65178571428571397</c:v>
                </c:pt>
                <c:pt idx="15">
                  <c:v>0.64732142857142805</c:v>
                </c:pt>
                <c:pt idx="16">
                  <c:v>0.64285714285714302</c:v>
                </c:pt>
                <c:pt idx="17">
                  <c:v>0.64285714285714302</c:v>
                </c:pt>
                <c:pt idx="18">
                  <c:v>0.63392857142857095</c:v>
                </c:pt>
                <c:pt idx="19">
                  <c:v>0.62053571428571397</c:v>
                </c:pt>
                <c:pt idx="20">
                  <c:v>0.59375</c:v>
                </c:pt>
                <c:pt idx="21">
                  <c:v>0.57142857142857095</c:v>
                </c:pt>
                <c:pt idx="22">
                  <c:v>0.55803571428571397</c:v>
                </c:pt>
                <c:pt idx="23">
                  <c:v>0.54464285714285698</c:v>
                </c:pt>
                <c:pt idx="24">
                  <c:v>0.53571428571428603</c:v>
                </c:pt>
                <c:pt idx="25">
                  <c:v>0.52678571428571397</c:v>
                </c:pt>
                <c:pt idx="26">
                  <c:v>0.51785714285714302</c:v>
                </c:pt>
                <c:pt idx="27">
                  <c:v>0.50446428571428603</c:v>
                </c:pt>
                <c:pt idx="28">
                  <c:v>0.48660714285714302</c:v>
                </c:pt>
                <c:pt idx="29">
                  <c:v>0.46875</c:v>
                </c:pt>
                <c:pt idx="30">
                  <c:v>0.44196428571428598</c:v>
                </c:pt>
                <c:pt idx="31">
                  <c:v>0.4375</c:v>
                </c:pt>
                <c:pt idx="32">
                  <c:v>0.42410714285714302</c:v>
                </c:pt>
                <c:pt idx="33">
                  <c:v>0.41964285714285698</c:v>
                </c:pt>
                <c:pt idx="34">
                  <c:v>0.40178571428571402</c:v>
                </c:pt>
                <c:pt idx="35">
                  <c:v>0.39285714285714302</c:v>
                </c:pt>
                <c:pt idx="36">
                  <c:v>0.37946428571428598</c:v>
                </c:pt>
                <c:pt idx="37">
                  <c:v>0.37946428571428598</c:v>
                </c:pt>
                <c:pt idx="38">
                  <c:v>0.37053571428571402</c:v>
                </c:pt>
                <c:pt idx="39">
                  <c:v>0.37053571428571402</c:v>
                </c:pt>
                <c:pt idx="40">
                  <c:v>0.35267857142857201</c:v>
                </c:pt>
                <c:pt idx="41">
                  <c:v>0.34821428571428598</c:v>
                </c:pt>
                <c:pt idx="42">
                  <c:v>0.34375</c:v>
                </c:pt>
                <c:pt idx="43">
                  <c:v>0.33035714285714302</c:v>
                </c:pt>
                <c:pt idx="44">
                  <c:v>0.32142857142857201</c:v>
                </c:pt>
                <c:pt idx="45">
                  <c:v>0.30803571428571402</c:v>
                </c:pt>
                <c:pt idx="46">
                  <c:v>0.29910714285714302</c:v>
                </c:pt>
                <c:pt idx="47">
                  <c:v>0.28571428571428598</c:v>
                </c:pt>
                <c:pt idx="48">
                  <c:v>0.28125</c:v>
                </c:pt>
                <c:pt idx="49">
                  <c:v>0.26339285714285698</c:v>
                </c:pt>
                <c:pt idx="50">
                  <c:v>0.25892857142857201</c:v>
                </c:pt>
                <c:pt idx="51">
                  <c:v>0.25892857142857201</c:v>
                </c:pt>
                <c:pt idx="52">
                  <c:v>0.24107142857142899</c:v>
                </c:pt>
                <c:pt idx="53">
                  <c:v>0.24107142857142899</c:v>
                </c:pt>
                <c:pt idx="54">
                  <c:v>0.23660714285714299</c:v>
                </c:pt>
                <c:pt idx="55">
                  <c:v>0.22767857142857201</c:v>
                </c:pt>
                <c:pt idx="56">
                  <c:v>0.22767857142857201</c:v>
                </c:pt>
                <c:pt idx="57">
                  <c:v>0.223214285714286</c:v>
                </c:pt>
                <c:pt idx="58">
                  <c:v>0.214285714285714</c:v>
                </c:pt>
                <c:pt idx="59">
                  <c:v>0.20535714285714299</c:v>
                </c:pt>
                <c:pt idx="60">
                  <c:v>0.20089285714285701</c:v>
                </c:pt>
                <c:pt idx="61">
                  <c:v>0.191964285714286</c:v>
                </c:pt>
                <c:pt idx="62">
                  <c:v>0.183035714285714</c:v>
                </c:pt>
                <c:pt idx="63">
                  <c:v>0.17410714285714299</c:v>
                </c:pt>
                <c:pt idx="64">
                  <c:v>0.16964285714285701</c:v>
                </c:pt>
                <c:pt idx="65">
                  <c:v>0.160714285714286</c:v>
                </c:pt>
                <c:pt idx="66">
                  <c:v>0.15625</c:v>
                </c:pt>
                <c:pt idx="67">
                  <c:v>0.15625</c:v>
                </c:pt>
                <c:pt idx="68">
                  <c:v>0.14732142857142899</c:v>
                </c:pt>
                <c:pt idx="69">
                  <c:v>0.14285714285714299</c:v>
                </c:pt>
                <c:pt idx="70">
                  <c:v>0.14285714285714299</c:v>
                </c:pt>
                <c:pt idx="71">
                  <c:v>0.13824884792626699</c:v>
                </c:pt>
                <c:pt idx="72">
                  <c:v>0.13824884792626699</c:v>
                </c:pt>
                <c:pt idx="73">
                  <c:v>0.13331138907175799</c:v>
                </c:pt>
                <c:pt idx="74">
                  <c:v>0.128184027953613</c:v>
                </c:pt>
                <c:pt idx="75">
                  <c:v>0.10165550738582201</c:v>
                </c:pt>
                <c:pt idx="76">
                  <c:v>9.0640204727915605E-2</c:v>
                </c:pt>
                <c:pt idx="77">
                  <c:v>9.0640204727915605E-2</c:v>
                </c:pt>
                <c:pt idx="78">
                  <c:v>9.0640204727915605E-2</c:v>
                </c:pt>
                <c:pt idx="79">
                  <c:v>9.0640204727915605E-2</c:v>
                </c:pt>
                <c:pt idx="80">
                  <c:v>9.0640204727915605E-2</c:v>
                </c:pt>
                <c:pt idx="81">
                  <c:v>6.9723234406088894E-2</c:v>
                </c:pt>
                <c:pt idx="82">
                  <c:v>6.9723234406088894E-2</c:v>
                </c:pt>
                <c:pt idx="83">
                  <c:v>6.9723234406088894E-2</c:v>
                </c:pt>
                <c:pt idx="84">
                  <c:v>6.9723234406088894E-2</c:v>
                </c:pt>
                <c:pt idx="85">
                  <c:v>6.9723234406088894E-2</c:v>
                </c:pt>
                <c:pt idx="86">
                  <c:v>6.9723234406088894E-2</c:v>
                </c:pt>
                <c:pt idx="87">
                  <c:v>6.9723234406088894E-2</c:v>
                </c:pt>
                <c:pt idx="88">
                  <c:v>6.9723234406088894E-2</c:v>
                </c:pt>
                <c:pt idx="89">
                  <c:v>6.9723234406088894E-2</c:v>
                </c:pt>
                <c:pt idx="90">
                  <c:v>6.1976208360967899E-2</c:v>
                </c:pt>
                <c:pt idx="91">
                  <c:v>6.1976208360967899E-2</c:v>
                </c:pt>
                <c:pt idx="92">
                  <c:v>5.3122464309401103E-2</c:v>
                </c:pt>
                <c:pt idx="93">
                  <c:v>4.4268720257834203E-2</c:v>
                </c:pt>
                <c:pt idx="94">
                  <c:v>4.4268720257834203E-2</c:v>
                </c:pt>
                <c:pt idx="95">
                  <c:v>4.4268720257834203E-2</c:v>
                </c:pt>
                <c:pt idx="96">
                  <c:v>4.4268720257834203E-2</c:v>
                </c:pt>
                <c:pt idx="97">
                  <c:v>3.54149762062674E-2</c:v>
                </c:pt>
                <c:pt idx="98">
                  <c:v>3.54149762062674E-2</c:v>
                </c:pt>
                <c:pt idx="99">
                  <c:v>3.54149762062674E-2</c:v>
                </c:pt>
                <c:pt idx="100">
                  <c:v>3.54149762062674E-2</c:v>
                </c:pt>
                <c:pt idx="101">
                  <c:v>3.54149762062674E-2</c:v>
                </c:pt>
                <c:pt idx="102">
                  <c:v>3.54149762062674E-2</c:v>
                </c:pt>
                <c:pt idx="103">
                  <c:v>3.54149762062674E-2</c:v>
                </c:pt>
                <c:pt idx="104">
                  <c:v>3.54149762062674E-2</c:v>
                </c:pt>
                <c:pt idx="105">
                  <c:v>3.54149762062674E-2</c:v>
                </c:pt>
                <c:pt idx="106">
                  <c:v>3.54149762062674E-2</c:v>
                </c:pt>
                <c:pt idx="107">
                  <c:v>3.54149762062674E-2</c:v>
                </c:pt>
                <c:pt idx="108">
                  <c:v>2.36099841375116E-2</c:v>
                </c:pt>
                <c:pt idx="109">
                  <c:v>2.36099841375116E-2</c:v>
                </c:pt>
                <c:pt idx="110">
                  <c:v>2.36099841375116E-2</c:v>
                </c:pt>
                <c:pt idx="111">
                  <c:v>2.36099841375116E-2</c:v>
                </c:pt>
                <c:pt idx="112">
                  <c:v>2.36099841375116E-2</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0</c:v>
                </c:pt>
                <c:pt idx="433">
                  <c:v>0</c:v>
                </c:pt>
                <c:pt idx="434">
                  <c:v>0</c:v>
                </c:pt>
                <c:pt idx="435">
                  <c:v>0</c:v>
                </c:pt>
                <c:pt idx="436">
                  <c:v>0</c:v>
                </c:pt>
                <c:pt idx="437">
                  <c:v>0</c:v>
                </c:pt>
                <c:pt idx="438">
                  <c:v>0</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numCache>
            </c:numRef>
          </c:yVal>
          <c:smooth val="0"/>
          <c:extLst>
            <c:ext xmlns:c16="http://schemas.microsoft.com/office/drawing/2014/chart" uri="{C3380CC4-5D6E-409C-BE32-E72D297353CC}">
              <c16:uniqueId val="{00000002-F12F-4844-BEC0-77590D58AD11}"/>
            </c:ext>
          </c:extLst>
        </c:ser>
        <c:ser>
          <c:idx val="2"/>
          <c:order val="3"/>
          <c:tx>
            <c:v>General population OS</c:v>
          </c:tx>
          <c:spPr>
            <a:ln w="19050" cap="rnd">
              <a:solidFill>
                <a:schemeClr val="accent3"/>
              </a:solidFill>
              <a:round/>
            </a:ln>
            <a:effectLst/>
          </c:spPr>
          <c:marker>
            <c:symbol val="none"/>
          </c:marker>
          <c:xVal>
            <c:numRef>
              <c:f>'Background mortality'!$AB$8:$AB$48</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'Background mortality'!$AC$8:$AC$48</c:f>
              <c:numCache>
                <c:formatCode>General</c:formatCode>
                <c:ptCount val="41"/>
                <c:pt idx="0">
                  <c:v>1</c:v>
                </c:pt>
                <c:pt idx="1">
                  <c:v>0.99505193478260867</c:v>
                </c:pt>
                <c:pt idx="2">
                  <c:v>0.98963814984005638</c:v>
                </c:pt>
                <c:pt idx="3">
                  <c:v>0.98362303839138499</c:v>
                </c:pt>
                <c:pt idx="4">
                  <c:v>0.97715753462648769</c:v>
                </c:pt>
                <c:pt idx="5">
                  <c:v>0.97007623613567928</c:v>
                </c:pt>
                <c:pt idx="6">
                  <c:v>0.96234944409392875</c:v>
                </c:pt>
                <c:pt idx="7">
                  <c:v>0.95416470622205218</c:v>
                </c:pt>
                <c:pt idx="8">
                  <c:v>0.94529362260038063</c:v>
                </c:pt>
                <c:pt idx="9">
                  <c:v>0.93592798883234662</c:v>
                </c:pt>
                <c:pt idx="10">
                  <c:v>0.92585583078952693</c:v>
                </c:pt>
                <c:pt idx="11">
                  <c:v>0.91470752246208764</c:v>
                </c:pt>
                <c:pt idx="12">
                  <c:v>0.90255758455540425</c:v>
                </c:pt>
                <c:pt idx="13">
                  <c:v>0.88929776264767324</c:v>
                </c:pt>
                <c:pt idx="14">
                  <c:v>0.87487387774664038</c:v>
                </c:pt>
                <c:pt idx="15">
                  <c:v>0.8590876166006215</c:v>
                </c:pt>
                <c:pt idx="16">
                  <c:v>0.84141250883823937</c:v>
                </c:pt>
                <c:pt idx="17">
                  <c:v>0.82249378203268686</c:v>
                </c:pt>
                <c:pt idx="18">
                  <c:v>0.80210294536798221</c:v>
                </c:pt>
                <c:pt idx="19">
                  <c:v>0.78005598514211849</c:v>
                </c:pt>
                <c:pt idx="20">
                  <c:v>0.75633361234257801</c:v>
                </c:pt>
                <c:pt idx="21">
                  <c:v>0.73097327454813588</c:v>
                </c:pt>
                <c:pt idx="22">
                  <c:v>0.70345965080599704</c:v>
                </c:pt>
                <c:pt idx="23">
                  <c:v>0.67399101441043363</c:v>
                </c:pt>
                <c:pt idx="24">
                  <c:v>0.64172697425261027</c:v>
                </c:pt>
                <c:pt idx="25">
                  <c:v>0.60725239744378323</c:v>
                </c:pt>
                <c:pt idx="26">
                  <c:v>0.57054155075975388</c:v>
                </c:pt>
                <c:pt idx="27">
                  <c:v>0.53160179617853887</c:v>
                </c:pt>
                <c:pt idx="28">
                  <c:v>0.49077170783825247</c:v>
                </c:pt>
                <c:pt idx="29">
                  <c:v>0.44839709867309063</c:v>
                </c:pt>
                <c:pt idx="30">
                  <c:v>0.40496717641860375</c:v>
                </c:pt>
                <c:pt idx="31">
                  <c:v>0.36132668166900983</c:v>
                </c:pt>
                <c:pt idx="32">
                  <c:v>0.31805154397248797</c:v>
                </c:pt>
                <c:pt idx="33">
                  <c:v>0.27525246451996116</c:v>
                </c:pt>
                <c:pt idx="34">
                  <c:v>0.23436570396608111</c:v>
                </c:pt>
                <c:pt idx="35">
                  <c:v>0.19601255161035386</c:v>
                </c:pt>
                <c:pt idx="36">
                  <c:v>0.15951966859732614</c:v>
                </c:pt>
                <c:pt idx="37">
                  <c:v>0.12766868783340052</c:v>
                </c:pt>
                <c:pt idx="38">
                  <c:v>0.10053317770138827</c:v>
                </c:pt>
                <c:pt idx="39">
                  <c:v>7.7110198928885335E-2</c:v>
                </c:pt>
                <c:pt idx="40">
                  <c:v>5.6863279354170911E-2</c:v>
                </c:pt>
              </c:numCache>
            </c:numRef>
          </c:yVal>
          <c:smooth val="0"/>
          <c:extLst>
            <c:ext xmlns:c16="http://schemas.microsoft.com/office/drawing/2014/chart" uri="{C3380CC4-5D6E-409C-BE32-E72D297353CC}">
              <c16:uniqueId val="{00000003-F12F-4844-BEC0-77590D58AD11}"/>
            </c:ext>
          </c:extLst>
        </c:ser>
        <c:ser>
          <c:idx val="4"/>
          <c:order val="4"/>
          <c:tx>
            <c:v>'No treatment OS'</c:v>
          </c:tx>
          <c:spPr>
            <a:ln w="19050" cap="rnd">
              <a:solidFill>
                <a:schemeClr val="accent5"/>
              </a:solidFill>
              <a:prstDash val="sysDash"/>
              <a:round/>
            </a:ln>
            <a:effectLst/>
          </c:spPr>
          <c:marker>
            <c:symbol val="none"/>
          </c:marker>
          <c:xVal>
            <c:numRef>
              <c:f>OS!$B$81:$B$602</c:f>
              <c:numCache>
                <c:formatCode>0.00</c:formatCode>
                <c:ptCount val="522"/>
                <c:pt idx="0">
                  <c:v>0</c:v>
                </c:pt>
                <c:pt idx="1">
                  <c:v>7.665982203969883E-2</c:v>
                </c:pt>
                <c:pt idx="2">
                  <c:v>0.15331964407939766</c:v>
                </c:pt>
                <c:pt idx="3">
                  <c:v>0.2299794661190965</c:v>
                </c:pt>
                <c:pt idx="4">
                  <c:v>0.30663928815879532</c:v>
                </c:pt>
                <c:pt idx="5">
                  <c:v>0.38329911019849416</c:v>
                </c:pt>
                <c:pt idx="6">
                  <c:v>0.45995893223819301</c:v>
                </c:pt>
                <c:pt idx="7">
                  <c:v>0.53661875427789185</c:v>
                </c:pt>
                <c:pt idx="8">
                  <c:v>0.61327857631759064</c:v>
                </c:pt>
                <c:pt idx="9">
                  <c:v>0.68993839835728954</c:v>
                </c:pt>
                <c:pt idx="10">
                  <c:v>0.76659822039698833</c:v>
                </c:pt>
                <c:pt idx="11">
                  <c:v>0.84325804243668723</c:v>
                </c:pt>
                <c:pt idx="12">
                  <c:v>0.91991786447638602</c:v>
                </c:pt>
                <c:pt idx="13">
                  <c:v>0.99657768651608492</c:v>
                </c:pt>
                <c:pt idx="14">
                  <c:v>1.0732375085557837</c:v>
                </c:pt>
                <c:pt idx="15">
                  <c:v>1.1498973305954825</c:v>
                </c:pt>
                <c:pt idx="16">
                  <c:v>1.2265571526351813</c:v>
                </c:pt>
                <c:pt idx="17">
                  <c:v>1.3032169746748803</c:v>
                </c:pt>
                <c:pt idx="18">
                  <c:v>1.3798767967145791</c:v>
                </c:pt>
                <c:pt idx="19">
                  <c:v>1.4565366187542779</c:v>
                </c:pt>
                <c:pt idx="20">
                  <c:v>1.5331964407939767</c:v>
                </c:pt>
                <c:pt idx="21">
                  <c:v>1.6098562628336757</c:v>
                </c:pt>
                <c:pt idx="22">
                  <c:v>1.6865160848733745</c:v>
                </c:pt>
                <c:pt idx="23">
                  <c:v>1.7631759069130732</c:v>
                </c:pt>
                <c:pt idx="24">
                  <c:v>1.839835728952772</c:v>
                </c:pt>
                <c:pt idx="25">
                  <c:v>1.9164955509924708</c:v>
                </c:pt>
                <c:pt idx="26">
                  <c:v>1.9931553730321698</c:v>
                </c:pt>
                <c:pt idx="27">
                  <c:v>2.0698151950718686</c:v>
                </c:pt>
                <c:pt idx="28">
                  <c:v>2.1464750171115674</c:v>
                </c:pt>
                <c:pt idx="29">
                  <c:v>2.2231348391512662</c:v>
                </c:pt>
                <c:pt idx="30">
                  <c:v>2.299794661190965</c:v>
                </c:pt>
                <c:pt idx="31">
                  <c:v>2.3764544832306638</c:v>
                </c:pt>
                <c:pt idx="32">
                  <c:v>2.4531143052703626</c:v>
                </c:pt>
                <c:pt idx="33">
                  <c:v>2.5297741273100618</c:v>
                </c:pt>
                <c:pt idx="34">
                  <c:v>2.6064339493497606</c:v>
                </c:pt>
                <c:pt idx="35">
                  <c:v>2.6830937713894594</c:v>
                </c:pt>
                <c:pt idx="36">
                  <c:v>2.7597535934291582</c:v>
                </c:pt>
                <c:pt idx="37">
                  <c:v>2.8364134154688569</c:v>
                </c:pt>
                <c:pt idx="38">
                  <c:v>2.9130732375085557</c:v>
                </c:pt>
                <c:pt idx="39">
                  <c:v>2.9897330595482545</c:v>
                </c:pt>
                <c:pt idx="40">
                  <c:v>3.0663928815879533</c:v>
                </c:pt>
                <c:pt idx="41">
                  <c:v>3.1430527036276521</c:v>
                </c:pt>
                <c:pt idx="42">
                  <c:v>3.2197125256673513</c:v>
                </c:pt>
                <c:pt idx="43">
                  <c:v>3.2963723477070501</c:v>
                </c:pt>
                <c:pt idx="44">
                  <c:v>3.3730321697467489</c:v>
                </c:pt>
                <c:pt idx="45">
                  <c:v>3.4496919917864477</c:v>
                </c:pt>
                <c:pt idx="46">
                  <c:v>3.5263518138261465</c:v>
                </c:pt>
                <c:pt idx="47">
                  <c:v>3.6030116358658453</c:v>
                </c:pt>
                <c:pt idx="48">
                  <c:v>3.6796714579055441</c:v>
                </c:pt>
                <c:pt idx="49">
                  <c:v>3.7563312799452429</c:v>
                </c:pt>
                <c:pt idx="50">
                  <c:v>3.8329911019849416</c:v>
                </c:pt>
                <c:pt idx="51">
                  <c:v>3.9096509240246409</c:v>
                </c:pt>
                <c:pt idx="52">
                  <c:v>3.9863107460643397</c:v>
                </c:pt>
                <c:pt idx="53">
                  <c:v>4.0629705681040384</c:v>
                </c:pt>
                <c:pt idx="54">
                  <c:v>4.1396303901437372</c:v>
                </c:pt>
                <c:pt idx="55">
                  <c:v>4.216290212183436</c:v>
                </c:pt>
                <c:pt idx="56">
                  <c:v>4.2929500342231348</c:v>
                </c:pt>
                <c:pt idx="57">
                  <c:v>4.3696098562628336</c:v>
                </c:pt>
                <c:pt idx="58">
                  <c:v>4.4462696783025324</c:v>
                </c:pt>
                <c:pt idx="59">
                  <c:v>4.5229295003422312</c:v>
                </c:pt>
                <c:pt idx="60">
                  <c:v>4.59958932238193</c:v>
                </c:pt>
                <c:pt idx="61">
                  <c:v>4.6762491444216288</c:v>
                </c:pt>
                <c:pt idx="62">
                  <c:v>4.7529089664613275</c:v>
                </c:pt>
                <c:pt idx="63">
                  <c:v>4.8295687885010263</c:v>
                </c:pt>
                <c:pt idx="64">
                  <c:v>4.9062286105407251</c:v>
                </c:pt>
                <c:pt idx="65">
                  <c:v>4.9828884325804248</c:v>
                </c:pt>
                <c:pt idx="66">
                  <c:v>5.0595482546201236</c:v>
                </c:pt>
                <c:pt idx="67">
                  <c:v>5.1362080766598224</c:v>
                </c:pt>
                <c:pt idx="68">
                  <c:v>5.2128678986995212</c:v>
                </c:pt>
                <c:pt idx="69">
                  <c:v>5.28952772073922</c:v>
                </c:pt>
                <c:pt idx="70">
                  <c:v>5.3661875427789187</c:v>
                </c:pt>
                <c:pt idx="71">
                  <c:v>5.4428473648186175</c:v>
                </c:pt>
                <c:pt idx="72">
                  <c:v>5.5195071868583163</c:v>
                </c:pt>
                <c:pt idx="73">
                  <c:v>5.5961670088980151</c:v>
                </c:pt>
                <c:pt idx="74">
                  <c:v>5.6728268309377139</c:v>
                </c:pt>
                <c:pt idx="75">
                  <c:v>5.7494866529774127</c:v>
                </c:pt>
                <c:pt idx="76">
                  <c:v>5.8261464750171115</c:v>
                </c:pt>
                <c:pt idx="77">
                  <c:v>5.9028062970568103</c:v>
                </c:pt>
                <c:pt idx="78">
                  <c:v>5.979466119096509</c:v>
                </c:pt>
                <c:pt idx="79">
                  <c:v>6.0561259411362078</c:v>
                </c:pt>
                <c:pt idx="80">
                  <c:v>6.1327857631759066</c:v>
                </c:pt>
                <c:pt idx="81">
                  <c:v>6.2094455852156054</c:v>
                </c:pt>
                <c:pt idx="82">
                  <c:v>6.2861054072553042</c:v>
                </c:pt>
                <c:pt idx="83">
                  <c:v>6.362765229295003</c:v>
                </c:pt>
                <c:pt idx="84">
                  <c:v>6.4394250513347027</c:v>
                </c:pt>
                <c:pt idx="85">
                  <c:v>6.5160848733744015</c:v>
                </c:pt>
                <c:pt idx="86">
                  <c:v>6.5927446954141002</c:v>
                </c:pt>
                <c:pt idx="87">
                  <c:v>6.669404517453799</c:v>
                </c:pt>
                <c:pt idx="88">
                  <c:v>6.7460643394934978</c:v>
                </c:pt>
                <c:pt idx="89">
                  <c:v>6.8227241615331966</c:v>
                </c:pt>
                <c:pt idx="90">
                  <c:v>6.8993839835728954</c:v>
                </c:pt>
                <c:pt idx="91">
                  <c:v>6.9760438056125942</c:v>
                </c:pt>
                <c:pt idx="92">
                  <c:v>7.052703627652293</c:v>
                </c:pt>
                <c:pt idx="93">
                  <c:v>7.1293634496919918</c:v>
                </c:pt>
                <c:pt idx="94">
                  <c:v>7.2060232717316905</c:v>
                </c:pt>
                <c:pt idx="95">
                  <c:v>7.2826830937713893</c:v>
                </c:pt>
                <c:pt idx="96">
                  <c:v>7.3593429158110881</c:v>
                </c:pt>
                <c:pt idx="97">
                  <c:v>7.4360027378507869</c:v>
                </c:pt>
                <c:pt idx="98">
                  <c:v>7.5126625598904857</c:v>
                </c:pt>
                <c:pt idx="99">
                  <c:v>7.5893223819301845</c:v>
                </c:pt>
                <c:pt idx="100">
                  <c:v>7.6659822039698833</c:v>
                </c:pt>
                <c:pt idx="101">
                  <c:v>7.7426420260095821</c:v>
                </c:pt>
                <c:pt idx="102">
                  <c:v>7.8193018480492817</c:v>
                </c:pt>
                <c:pt idx="103">
                  <c:v>7.8959616700889805</c:v>
                </c:pt>
                <c:pt idx="104">
                  <c:v>7.9726214921286793</c:v>
                </c:pt>
                <c:pt idx="105">
                  <c:v>8.0492813141683772</c:v>
                </c:pt>
                <c:pt idx="106">
                  <c:v>8.1259411362080769</c:v>
                </c:pt>
                <c:pt idx="107">
                  <c:v>8.2026009582477748</c:v>
                </c:pt>
                <c:pt idx="108">
                  <c:v>8.2792607802874745</c:v>
                </c:pt>
                <c:pt idx="109">
                  <c:v>8.3559206023271724</c:v>
                </c:pt>
                <c:pt idx="110">
                  <c:v>8.4325804243668721</c:v>
                </c:pt>
                <c:pt idx="111">
                  <c:v>8.5092402464065717</c:v>
                </c:pt>
                <c:pt idx="112">
                  <c:v>8.5859000684462696</c:v>
                </c:pt>
                <c:pt idx="113">
                  <c:v>8.6625598904859693</c:v>
                </c:pt>
                <c:pt idx="114">
                  <c:v>8.7392197125256672</c:v>
                </c:pt>
                <c:pt idx="115">
                  <c:v>8.8158795345653669</c:v>
                </c:pt>
                <c:pt idx="116">
                  <c:v>8.8925393566050648</c:v>
                </c:pt>
                <c:pt idx="117">
                  <c:v>8.9691991786447645</c:v>
                </c:pt>
                <c:pt idx="118">
                  <c:v>9.0458590006844624</c:v>
                </c:pt>
                <c:pt idx="119">
                  <c:v>9.122518822724162</c:v>
                </c:pt>
                <c:pt idx="120">
                  <c:v>9.1991786447638599</c:v>
                </c:pt>
                <c:pt idx="121">
                  <c:v>9.2758384668035596</c:v>
                </c:pt>
                <c:pt idx="122">
                  <c:v>9.3524982888432575</c:v>
                </c:pt>
                <c:pt idx="123">
                  <c:v>9.4291581108829572</c:v>
                </c:pt>
                <c:pt idx="124">
                  <c:v>9.5058179329226551</c:v>
                </c:pt>
                <c:pt idx="125">
                  <c:v>9.5824777549623548</c:v>
                </c:pt>
                <c:pt idx="126">
                  <c:v>9.6591375770020527</c:v>
                </c:pt>
                <c:pt idx="127">
                  <c:v>9.7357973990417523</c:v>
                </c:pt>
                <c:pt idx="128">
                  <c:v>9.8124572210814502</c:v>
                </c:pt>
                <c:pt idx="129">
                  <c:v>9.8891170431211499</c:v>
                </c:pt>
                <c:pt idx="130">
                  <c:v>9.9657768651608496</c:v>
                </c:pt>
                <c:pt idx="131">
                  <c:v>10.042436687200547</c:v>
                </c:pt>
                <c:pt idx="132">
                  <c:v>10.119096509240247</c:v>
                </c:pt>
                <c:pt idx="133">
                  <c:v>10.195756331279945</c:v>
                </c:pt>
                <c:pt idx="134">
                  <c:v>10.272416153319645</c:v>
                </c:pt>
                <c:pt idx="135">
                  <c:v>10.349075975359343</c:v>
                </c:pt>
                <c:pt idx="136">
                  <c:v>10.425735797399042</c:v>
                </c:pt>
                <c:pt idx="137">
                  <c:v>10.50239561943874</c:v>
                </c:pt>
                <c:pt idx="138">
                  <c:v>10.57905544147844</c:v>
                </c:pt>
                <c:pt idx="139">
                  <c:v>10.655715263518138</c:v>
                </c:pt>
                <c:pt idx="140">
                  <c:v>10.732375085557837</c:v>
                </c:pt>
                <c:pt idx="141">
                  <c:v>10.809034907597535</c:v>
                </c:pt>
                <c:pt idx="142">
                  <c:v>10.885694729637235</c:v>
                </c:pt>
                <c:pt idx="143">
                  <c:v>10.962354551676933</c:v>
                </c:pt>
                <c:pt idx="144">
                  <c:v>11.039014373716633</c:v>
                </c:pt>
                <c:pt idx="145">
                  <c:v>11.115674195756331</c:v>
                </c:pt>
                <c:pt idx="146">
                  <c:v>11.19233401779603</c:v>
                </c:pt>
                <c:pt idx="147">
                  <c:v>11.268993839835728</c:v>
                </c:pt>
                <c:pt idx="148">
                  <c:v>11.345653661875428</c:v>
                </c:pt>
                <c:pt idx="149">
                  <c:v>11.422313483915127</c:v>
                </c:pt>
                <c:pt idx="150">
                  <c:v>11.498973305954825</c:v>
                </c:pt>
                <c:pt idx="151">
                  <c:v>11.575633127994525</c:v>
                </c:pt>
                <c:pt idx="152">
                  <c:v>11.652292950034223</c:v>
                </c:pt>
                <c:pt idx="153">
                  <c:v>11.728952772073923</c:v>
                </c:pt>
                <c:pt idx="154">
                  <c:v>11.805612594113621</c:v>
                </c:pt>
                <c:pt idx="155">
                  <c:v>11.88227241615332</c:v>
                </c:pt>
                <c:pt idx="156">
                  <c:v>11.958932238193018</c:v>
                </c:pt>
                <c:pt idx="157">
                  <c:v>12.035592060232718</c:v>
                </c:pt>
                <c:pt idx="158">
                  <c:v>12.112251882272416</c:v>
                </c:pt>
                <c:pt idx="159">
                  <c:v>12.188911704312115</c:v>
                </c:pt>
                <c:pt idx="160">
                  <c:v>12.265571526351813</c:v>
                </c:pt>
                <c:pt idx="161">
                  <c:v>12.342231348391513</c:v>
                </c:pt>
                <c:pt idx="162">
                  <c:v>12.418891170431211</c:v>
                </c:pt>
                <c:pt idx="163">
                  <c:v>12.495550992470911</c:v>
                </c:pt>
                <c:pt idx="164">
                  <c:v>12.572210814510608</c:v>
                </c:pt>
                <c:pt idx="165">
                  <c:v>12.648870636550308</c:v>
                </c:pt>
                <c:pt idx="166">
                  <c:v>12.725530458590006</c:v>
                </c:pt>
                <c:pt idx="167">
                  <c:v>12.802190280629706</c:v>
                </c:pt>
                <c:pt idx="168">
                  <c:v>12.878850102669405</c:v>
                </c:pt>
                <c:pt idx="169">
                  <c:v>12.955509924709103</c:v>
                </c:pt>
                <c:pt idx="170">
                  <c:v>13.032169746748803</c:v>
                </c:pt>
                <c:pt idx="171">
                  <c:v>13.108829568788501</c:v>
                </c:pt>
                <c:pt idx="172">
                  <c:v>13.1854893908282</c:v>
                </c:pt>
                <c:pt idx="173">
                  <c:v>13.262149212867898</c:v>
                </c:pt>
                <c:pt idx="174">
                  <c:v>13.338809034907598</c:v>
                </c:pt>
                <c:pt idx="175">
                  <c:v>13.415468856947296</c:v>
                </c:pt>
                <c:pt idx="176">
                  <c:v>13.492128678986996</c:v>
                </c:pt>
                <c:pt idx="177">
                  <c:v>13.568788501026694</c:v>
                </c:pt>
                <c:pt idx="178">
                  <c:v>13.645448323066393</c:v>
                </c:pt>
                <c:pt idx="179">
                  <c:v>13.722108145106091</c:v>
                </c:pt>
                <c:pt idx="180">
                  <c:v>13.798767967145791</c:v>
                </c:pt>
                <c:pt idx="181">
                  <c:v>13.875427789185489</c:v>
                </c:pt>
                <c:pt idx="182">
                  <c:v>13.952087611225188</c:v>
                </c:pt>
                <c:pt idx="183">
                  <c:v>14.028747433264886</c:v>
                </c:pt>
                <c:pt idx="184">
                  <c:v>14.105407255304586</c:v>
                </c:pt>
                <c:pt idx="185">
                  <c:v>14.182067077344286</c:v>
                </c:pt>
                <c:pt idx="186">
                  <c:v>14.258726899383984</c:v>
                </c:pt>
                <c:pt idx="187">
                  <c:v>14.335386721423683</c:v>
                </c:pt>
                <c:pt idx="188">
                  <c:v>14.412046543463381</c:v>
                </c:pt>
                <c:pt idx="189">
                  <c:v>14.488706365503081</c:v>
                </c:pt>
                <c:pt idx="190">
                  <c:v>14.565366187542779</c:v>
                </c:pt>
                <c:pt idx="191">
                  <c:v>14.642026009582478</c:v>
                </c:pt>
                <c:pt idx="192">
                  <c:v>14.718685831622176</c:v>
                </c:pt>
                <c:pt idx="193">
                  <c:v>14.795345653661876</c:v>
                </c:pt>
                <c:pt idx="194">
                  <c:v>14.872005475701574</c:v>
                </c:pt>
                <c:pt idx="195">
                  <c:v>14.948665297741274</c:v>
                </c:pt>
                <c:pt idx="196">
                  <c:v>15.025325119780971</c:v>
                </c:pt>
                <c:pt idx="197">
                  <c:v>15.101984941820671</c:v>
                </c:pt>
                <c:pt idx="198">
                  <c:v>15.178644763860369</c:v>
                </c:pt>
                <c:pt idx="199">
                  <c:v>15.255304585900069</c:v>
                </c:pt>
                <c:pt idx="200">
                  <c:v>15.331964407939767</c:v>
                </c:pt>
                <c:pt idx="201">
                  <c:v>15.408624229979466</c:v>
                </c:pt>
                <c:pt idx="202">
                  <c:v>15.485284052019164</c:v>
                </c:pt>
                <c:pt idx="203">
                  <c:v>15.561943874058864</c:v>
                </c:pt>
                <c:pt idx="204">
                  <c:v>15.638603696098563</c:v>
                </c:pt>
                <c:pt idx="205">
                  <c:v>15.715263518138261</c:v>
                </c:pt>
                <c:pt idx="206">
                  <c:v>15.791923340177961</c:v>
                </c:pt>
                <c:pt idx="207">
                  <c:v>15.868583162217659</c:v>
                </c:pt>
                <c:pt idx="208">
                  <c:v>15.945242984257359</c:v>
                </c:pt>
                <c:pt idx="209">
                  <c:v>16.021902806297057</c:v>
                </c:pt>
                <c:pt idx="210">
                  <c:v>16.098562628336754</c:v>
                </c:pt>
                <c:pt idx="211">
                  <c:v>16.175222450376456</c:v>
                </c:pt>
                <c:pt idx="212">
                  <c:v>16.251882272416154</c:v>
                </c:pt>
                <c:pt idx="213">
                  <c:v>16.328542094455852</c:v>
                </c:pt>
                <c:pt idx="214">
                  <c:v>16.40520191649555</c:v>
                </c:pt>
                <c:pt idx="215">
                  <c:v>16.481861738535251</c:v>
                </c:pt>
                <c:pt idx="216">
                  <c:v>16.558521560574949</c:v>
                </c:pt>
                <c:pt idx="217">
                  <c:v>16.635181382614647</c:v>
                </c:pt>
                <c:pt idx="218">
                  <c:v>16.711841204654345</c:v>
                </c:pt>
                <c:pt idx="219">
                  <c:v>16.788501026694046</c:v>
                </c:pt>
                <c:pt idx="220">
                  <c:v>16.865160848733744</c:v>
                </c:pt>
                <c:pt idx="221">
                  <c:v>16.941820670773442</c:v>
                </c:pt>
                <c:pt idx="222">
                  <c:v>17.018480492813143</c:v>
                </c:pt>
                <c:pt idx="223">
                  <c:v>17.095140314852841</c:v>
                </c:pt>
                <c:pt idx="224">
                  <c:v>17.171800136892539</c:v>
                </c:pt>
                <c:pt idx="225">
                  <c:v>17.248459958932237</c:v>
                </c:pt>
                <c:pt idx="226">
                  <c:v>17.325119780971939</c:v>
                </c:pt>
                <c:pt idx="227">
                  <c:v>17.401779603011637</c:v>
                </c:pt>
                <c:pt idx="228">
                  <c:v>17.478439425051334</c:v>
                </c:pt>
                <c:pt idx="229">
                  <c:v>17.555099247091032</c:v>
                </c:pt>
                <c:pt idx="230">
                  <c:v>17.631759069130734</c:v>
                </c:pt>
                <c:pt idx="231">
                  <c:v>17.708418891170432</c:v>
                </c:pt>
                <c:pt idx="232">
                  <c:v>17.78507871321013</c:v>
                </c:pt>
                <c:pt idx="233">
                  <c:v>17.861738535249827</c:v>
                </c:pt>
                <c:pt idx="234">
                  <c:v>17.938398357289529</c:v>
                </c:pt>
                <c:pt idx="235">
                  <c:v>18.015058179329227</c:v>
                </c:pt>
                <c:pt idx="236">
                  <c:v>18.091718001368925</c:v>
                </c:pt>
                <c:pt idx="237">
                  <c:v>18.168377823408623</c:v>
                </c:pt>
                <c:pt idx="238">
                  <c:v>18.245037645448324</c:v>
                </c:pt>
                <c:pt idx="239">
                  <c:v>18.321697467488022</c:v>
                </c:pt>
                <c:pt idx="240">
                  <c:v>18.39835728952772</c:v>
                </c:pt>
                <c:pt idx="241">
                  <c:v>18.475017111567421</c:v>
                </c:pt>
                <c:pt idx="242">
                  <c:v>18.551676933607119</c:v>
                </c:pt>
                <c:pt idx="243">
                  <c:v>18.628336755646817</c:v>
                </c:pt>
                <c:pt idx="244">
                  <c:v>18.704996577686515</c:v>
                </c:pt>
                <c:pt idx="245">
                  <c:v>18.781656399726216</c:v>
                </c:pt>
                <c:pt idx="246">
                  <c:v>18.858316221765914</c:v>
                </c:pt>
                <c:pt idx="247">
                  <c:v>18.934976043805612</c:v>
                </c:pt>
                <c:pt idx="248">
                  <c:v>19.01163586584531</c:v>
                </c:pt>
                <c:pt idx="249">
                  <c:v>19.088295687885012</c:v>
                </c:pt>
                <c:pt idx="250">
                  <c:v>19.16495550992471</c:v>
                </c:pt>
                <c:pt idx="251">
                  <c:v>19.241615331964407</c:v>
                </c:pt>
                <c:pt idx="252">
                  <c:v>19.318275154004105</c:v>
                </c:pt>
                <c:pt idx="253">
                  <c:v>19.394934976043807</c:v>
                </c:pt>
                <c:pt idx="254">
                  <c:v>19.471594798083505</c:v>
                </c:pt>
                <c:pt idx="255">
                  <c:v>19.548254620123203</c:v>
                </c:pt>
                <c:pt idx="256">
                  <c:v>19.6249144421629</c:v>
                </c:pt>
                <c:pt idx="257">
                  <c:v>19.701574264202602</c:v>
                </c:pt>
                <c:pt idx="258">
                  <c:v>19.7782340862423</c:v>
                </c:pt>
                <c:pt idx="259">
                  <c:v>19.854893908281998</c:v>
                </c:pt>
                <c:pt idx="260">
                  <c:v>19.931553730321699</c:v>
                </c:pt>
                <c:pt idx="261">
                  <c:v>20.008213552361397</c:v>
                </c:pt>
                <c:pt idx="262">
                  <c:v>20.084873374401095</c:v>
                </c:pt>
                <c:pt idx="263">
                  <c:v>20.161533196440793</c:v>
                </c:pt>
                <c:pt idx="264">
                  <c:v>20.238193018480494</c:v>
                </c:pt>
                <c:pt idx="265">
                  <c:v>20.314852840520192</c:v>
                </c:pt>
                <c:pt idx="266">
                  <c:v>20.39151266255989</c:v>
                </c:pt>
                <c:pt idx="267">
                  <c:v>20.468172484599588</c:v>
                </c:pt>
                <c:pt idx="268">
                  <c:v>20.544832306639289</c:v>
                </c:pt>
                <c:pt idx="269">
                  <c:v>20.621492128678987</c:v>
                </c:pt>
                <c:pt idx="270">
                  <c:v>20.698151950718685</c:v>
                </c:pt>
                <c:pt idx="271">
                  <c:v>20.774811772758383</c:v>
                </c:pt>
                <c:pt idx="272">
                  <c:v>20.851471594798085</c:v>
                </c:pt>
                <c:pt idx="273">
                  <c:v>20.928131416837783</c:v>
                </c:pt>
                <c:pt idx="274">
                  <c:v>21.00479123887748</c:v>
                </c:pt>
                <c:pt idx="275">
                  <c:v>21.081451060917178</c:v>
                </c:pt>
                <c:pt idx="276">
                  <c:v>21.15811088295688</c:v>
                </c:pt>
                <c:pt idx="277">
                  <c:v>21.234770704996578</c:v>
                </c:pt>
                <c:pt idx="278">
                  <c:v>21.311430527036276</c:v>
                </c:pt>
                <c:pt idx="279">
                  <c:v>21.388090349075977</c:v>
                </c:pt>
                <c:pt idx="280">
                  <c:v>21.464750171115675</c:v>
                </c:pt>
                <c:pt idx="281">
                  <c:v>21.541409993155373</c:v>
                </c:pt>
                <c:pt idx="282">
                  <c:v>21.618069815195071</c:v>
                </c:pt>
                <c:pt idx="283">
                  <c:v>21.694729637234772</c:v>
                </c:pt>
                <c:pt idx="284">
                  <c:v>21.77138945927447</c:v>
                </c:pt>
                <c:pt idx="285">
                  <c:v>21.848049281314168</c:v>
                </c:pt>
                <c:pt idx="286">
                  <c:v>21.924709103353866</c:v>
                </c:pt>
                <c:pt idx="287">
                  <c:v>22.001368925393567</c:v>
                </c:pt>
                <c:pt idx="288">
                  <c:v>22.078028747433265</c:v>
                </c:pt>
                <c:pt idx="289">
                  <c:v>22.154688569472963</c:v>
                </c:pt>
                <c:pt idx="290">
                  <c:v>22.231348391512661</c:v>
                </c:pt>
                <c:pt idx="291">
                  <c:v>22.308008213552363</c:v>
                </c:pt>
                <c:pt idx="292">
                  <c:v>22.38466803559206</c:v>
                </c:pt>
                <c:pt idx="293">
                  <c:v>22.461327857631758</c:v>
                </c:pt>
                <c:pt idx="294">
                  <c:v>22.537987679671456</c:v>
                </c:pt>
                <c:pt idx="295">
                  <c:v>22.614647501711158</c:v>
                </c:pt>
                <c:pt idx="296">
                  <c:v>22.691307323750856</c:v>
                </c:pt>
                <c:pt idx="297">
                  <c:v>22.767967145790553</c:v>
                </c:pt>
                <c:pt idx="298">
                  <c:v>22.844626967830255</c:v>
                </c:pt>
                <c:pt idx="299">
                  <c:v>22.921286789869953</c:v>
                </c:pt>
                <c:pt idx="300">
                  <c:v>22.997946611909651</c:v>
                </c:pt>
                <c:pt idx="301">
                  <c:v>23.074606433949349</c:v>
                </c:pt>
                <c:pt idx="302">
                  <c:v>23.15126625598905</c:v>
                </c:pt>
                <c:pt idx="303">
                  <c:v>23.227926078028748</c:v>
                </c:pt>
                <c:pt idx="304">
                  <c:v>23.304585900068446</c:v>
                </c:pt>
                <c:pt idx="305">
                  <c:v>23.381245722108144</c:v>
                </c:pt>
                <c:pt idx="306">
                  <c:v>23.457905544147845</c:v>
                </c:pt>
                <c:pt idx="307">
                  <c:v>23.534565366187543</c:v>
                </c:pt>
                <c:pt idx="308">
                  <c:v>23.611225188227241</c:v>
                </c:pt>
                <c:pt idx="309">
                  <c:v>23.687885010266939</c:v>
                </c:pt>
                <c:pt idx="310">
                  <c:v>23.76454483230664</c:v>
                </c:pt>
                <c:pt idx="311">
                  <c:v>23.841204654346338</c:v>
                </c:pt>
                <c:pt idx="312">
                  <c:v>23.917864476386036</c:v>
                </c:pt>
                <c:pt idx="313">
                  <c:v>23.994524298425734</c:v>
                </c:pt>
                <c:pt idx="314">
                  <c:v>24.071184120465436</c:v>
                </c:pt>
                <c:pt idx="315">
                  <c:v>24.147843942505133</c:v>
                </c:pt>
                <c:pt idx="316">
                  <c:v>24.224503764544831</c:v>
                </c:pt>
                <c:pt idx="317">
                  <c:v>24.301163586584533</c:v>
                </c:pt>
                <c:pt idx="318">
                  <c:v>24.377823408624231</c:v>
                </c:pt>
                <c:pt idx="319">
                  <c:v>24.454483230663929</c:v>
                </c:pt>
                <c:pt idx="320">
                  <c:v>24.531143052703626</c:v>
                </c:pt>
                <c:pt idx="321">
                  <c:v>24.607802874743328</c:v>
                </c:pt>
                <c:pt idx="322">
                  <c:v>24.684462696783026</c:v>
                </c:pt>
                <c:pt idx="323">
                  <c:v>24.761122518822724</c:v>
                </c:pt>
                <c:pt idx="324">
                  <c:v>24.837782340862422</c:v>
                </c:pt>
                <c:pt idx="325">
                  <c:v>24.914442162902123</c:v>
                </c:pt>
                <c:pt idx="326">
                  <c:v>24.991101984941821</c:v>
                </c:pt>
                <c:pt idx="327">
                  <c:v>25.067761806981519</c:v>
                </c:pt>
                <c:pt idx="328">
                  <c:v>25.144421629021217</c:v>
                </c:pt>
                <c:pt idx="329">
                  <c:v>25.221081451060918</c:v>
                </c:pt>
                <c:pt idx="330">
                  <c:v>25.297741273100616</c:v>
                </c:pt>
                <c:pt idx="331">
                  <c:v>25.374401095140314</c:v>
                </c:pt>
                <c:pt idx="332">
                  <c:v>25.451060917180012</c:v>
                </c:pt>
                <c:pt idx="333">
                  <c:v>25.527720739219713</c:v>
                </c:pt>
                <c:pt idx="334">
                  <c:v>25.604380561259411</c:v>
                </c:pt>
                <c:pt idx="335">
                  <c:v>25.681040383299109</c:v>
                </c:pt>
                <c:pt idx="336">
                  <c:v>25.757700205338811</c:v>
                </c:pt>
                <c:pt idx="337">
                  <c:v>25.834360027378509</c:v>
                </c:pt>
                <c:pt idx="338">
                  <c:v>25.911019849418206</c:v>
                </c:pt>
                <c:pt idx="339">
                  <c:v>25.987679671457904</c:v>
                </c:pt>
                <c:pt idx="340">
                  <c:v>26.064339493497606</c:v>
                </c:pt>
                <c:pt idx="341">
                  <c:v>26.140999315537304</c:v>
                </c:pt>
                <c:pt idx="342">
                  <c:v>26.217659137577002</c:v>
                </c:pt>
                <c:pt idx="343">
                  <c:v>26.2943189596167</c:v>
                </c:pt>
                <c:pt idx="344">
                  <c:v>26.370978781656401</c:v>
                </c:pt>
                <c:pt idx="345">
                  <c:v>26.447638603696099</c:v>
                </c:pt>
                <c:pt idx="346">
                  <c:v>26.524298425735797</c:v>
                </c:pt>
                <c:pt idx="347">
                  <c:v>26.600958247775495</c:v>
                </c:pt>
                <c:pt idx="348">
                  <c:v>26.677618069815196</c:v>
                </c:pt>
                <c:pt idx="349">
                  <c:v>26.754277891854894</c:v>
                </c:pt>
                <c:pt idx="350">
                  <c:v>26.830937713894592</c:v>
                </c:pt>
                <c:pt idx="351">
                  <c:v>26.90759753593429</c:v>
                </c:pt>
                <c:pt idx="352">
                  <c:v>26.984257357973991</c:v>
                </c:pt>
                <c:pt idx="353">
                  <c:v>27.060917180013689</c:v>
                </c:pt>
                <c:pt idx="354">
                  <c:v>27.137577002053387</c:v>
                </c:pt>
                <c:pt idx="355">
                  <c:v>27.214236824093089</c:v>
                </c:pt>
                <c:pt idx="356">
                  <c:v>27.290896646132786</c:v>
                </c:pt>
                <c:pt idx="357">
                  <c:v>27.367556468172484</c:v>
                </c:pt>
                <c:pt idx="358">
                  <c:v>27.444216290212182</c:v>
                </c:pt>
                <c:pt idx="359">
                  <c:v>27.520876112251884</c:v>
                </c:pt>
                <c:pt idx="360">
                  <c:v>27.597535934291582</c:v>
                </c:pt>
                <c:pt idx="361">
                  <c:v>27.674195756331279</c:v>
                </c:pt>
                <c:pt idx="362">
                  <c:v>27.750855578370977</c:v>
                </c:pt>
                <c:pt idx="363">
                  <c:v>27.827515400410679</c:v>
                </c:pt>
                <c:pt idx="364">
                  <c:v>27.904175222450377</c:v>
                </c:pt>
                <c:pt idx="365">
                  <c:v>27.980835044490075</c:v>
                </c:pt>
                <c:pt idx="366">
                  <c:v>28.057494866529773</c:v>
                </c:pt>
                <c:pt idx="367">
                  <c:v>28.134154688569474</c:v>
                </c:pt>
                <c:pt idx="368">
                  <c:v>28.210814510609172</c:v>
                </c:pt>
                <c:pt idx="369">
                  <c:v>28.28747433264887</c:v>
                </c:pt>
                <c:pt idx="370">
                  <c:v>28.364134154688571</c:v>
                </c:pt>
                <c:pt idx="371">
                  <c:v>28.440793976728269</c:v>
                </c:pt>
                <c:pt idx="372">
                  <c:v>28.517453798767967</c:v>
                </c:pt>
                <c:pt idx="373">
                  <c:v>28.594113620807665</c:v>
                </c:pt>
                <c:pt idx="374">
                  <c:v>28.670773442847366</c:v>
                </c:pt>
                <c:pt idx="375">
                  <c:v>28.747433264887064</c:v>
                </c:pt>
                <c:pt idx="376">
                  <c:v>28.824093086926762</c:v>
                </c:pt>
                <c:pt idx="377">
                  <c:v>28.90075290896646</c:v>
                </c:pt>
                <c:pt idx="378">
                  <c:v>28.977412731006162</c:v>
                </c:pt>
                <c:pt idx="379">
                  <c:v>29.054072553045859</c:v>
                </c:pt>
                <c:pt idx="380">
                  <c:v>29.130732375085557</c:v>
                </c:pt>
                <c:pt idx="381">
                  <c:v>29.207392197125255</c:v>
                </c:pt>
                <c:pt idx="382">
                  <c:v>29.284052019164957</c:v>
                </c:pt>
                <c:pt idx="383">
                  <c:v>29.360711841204655</c:v>
                </c:pt>
                <c:pt idx="384">
                  <c:v>29.437371663244353</c:v>
                </c:pt>
                <c:pt idx="385">
                  <c:v>29.51403148528405</c:v>
                </c:pt>
                <c:pt idx="386">
                  <c:v>29.590691307323752</c:v>
                </c:pt>
                <c:pt idx="387">
                  <c:v>29.66735112936345</c:v>
                </c:pt>
                <c:pt idx="388">
                  <c:v>29.744010951403148</c:v>
                </c:pt>
                <c:pt idx="389">
                  <c:v>29.820670773442849</c:v>
                </c:pt>
                <c:pt idx="390">
                  <c:v>29.897330595482547</c:v>
                </c:pt>
                <c:pt idx="391">
                  <c:v>29.973990417522245</c:v>
                </c:pt>
                <c:pt idx="392">
                  <c:v>30.050650239561943</c:v>
                </c:pt>
                <c:pt idx="393">
                  <c:v>30.127310061601644</c:v>
                </c:pt>
                <c:pt idx="394">
                  <c:v>30.203969883641342</c:v>
                </c:pt>
                <c:pt idx="395">
                  <c:v>30.28062970568104</c:v>
                </c:pt>
                <c:pt idx="396">
                  <c:v>30.357289527720738</c:v>
                </c:pt>
                <c:pt idx="397">
                  <c:v>30.433949349760439</c:v>
                </c:pt>
                <c:pt idx="398">
                  <c:v>30.510609171800137</c:v>
                </c:pt>
                <c:pt idx="399">
                  <c:v>30.587268993839835</c:v>
                </c:pt>
                <c:pt idx="400">
                  <c:v>30.663928815879533</c:v>
                </c:pt>
                <c:pt idx="401">
                  <c:v>30.740588637919235</c:v>
                </c:pt>
                <c:pt idx="402">
                  <c:v>30.817248459958932</c:v>
                </c:pt>
                <c:pt idx="403">
                  <c:v>30.89390828199863</c:v>
                </c:pt>
                <c:pt idx="404">
                  <c:v>30.970568104038328</c:v>
                </c:pt>
                <c:pt idx="405">
                  <c:v>31.04722792607803</c:v>
                </c:pt>
                <c:pt idx="406">
                  <c:v>31.123887748117728</c:v>
                </c:pt>
                <c:pt idx="407">
                  <c:v>31.200547570157426</c:v>
                </c:pt>
                <c:pt idx="408">
                  <c:v>31.277207392197127</c:v>
                </c:pt>
                <c:pt idx="409">
                  <c:v>31.353867214236825</c:v>
                </c:pt>
                <c:pt idx="410">
                  <c:v>31.430527036276523</c:v>
                </c:pt>
                <c:pt idx="411">
                  <c:v>31.507186858316221</c:v>
                </c:pt>
                <c:pt idx="412">
                  <c:v>31.583846680355922</c:v>
                </c:pt>
                <c:pt idx="413">
                  <c:v>31.66050650239562</c:v>
                </c:pt>
                <c:pt idx="414">
                  <c:v>31.737166324435318</c:v>
                </c:pt>
                <c:pt idx="415">
                  <c:v>31.813826146475016</c:v>
                </c:pt>
                <c:pt idx="416">
                  <c:v>31.890485968514717</c:v>
                </c:pt>
                <c:pt idx="417">
                  <c:v>31.967145790554415</c:v>
                </c:pt>
                <c:pt idx="418">
                  <c:v>32.043805612594113</c:v>
                </c:pt>
                <c:pt idx="419">
                  <c:v>32.120465434633815</c:v>
                </c:pt>
                <c:pt idx="420">
                  <c:v>32.197125256673509</c:v>
                </c:pt>
                <c:pt idx="421">
                  <c:v>32.27378507871321</c:v>
                </c:pt>
                <c:pt idx="422">
                  <c:v>32.350444900752912</c:v>
                </c:pt>
                <c:pt idx="423">
                  <c:v>32.427104722792606</c:v>
                </c:pt>
                <c:pt idx="424">
                  <c:v>32.503764544832308</c:v>
                </c:pt>
                <c:pt idx="425">
                  <c:v>32.580424366872002</c:v>
                </c:pt>
                <c:pt idx="426">
                  <c:v>32.657084188911703</c:v>
                </c:pt>
                <c:pt idx="427">
                  <c:v>32.733744010951405</c:v>
                </c:pt>
                <c:pt idx="428">
                  <c:v>32.810403832991099</c:v>
                </c:pt>
                <c:pt idx="429">
                  <c:v>32.887063655030801</c:v>
                </c:pt>
                <c:pt idx="430">
                  <c:v>32.963723477070502</c:v>
                </c:pt>
                <c:pt idx="431">
                  <c:v>33.040383299110196</c:v>
                </c:pt>
                <c:pt idx="432">
                  <c:v>33.117043121149898</c:v>
                </c:pt>
                <c:pt idx="433">
                  <c:v>33.193702943189599</c:v>
                </c:pt>
                <c:pt idx="434">
                  <c:v>33.270362765229294</c:v>
                </c:pt>
                <c:pt idx="435">
                  <c:v>33.347022587268995</c:v>
                </c:pt>
                <c:pt idx="436">
                  <c:v>33.42368240930869</c:v>
                </c:pt>
                <c:pt idx="437">
                  <c:v>33.500342231348391</c:v>
                </c:pt>
                <c:pt idx="438">
                  <c:v>33.577002053388092</c:v>
                </c:pt>
                <c:pt idx="439">
                  <c:v>33.653661875427787</c:v>
                </c:pt>
                <c:pt idx="440">
                  <c:v>33.730321697467488</c:v>
                </c:pt>
                <c:pt idx="441">
                  <c:v>33.80698151950719</c:v>
                </c:pt>
                <c:pt idx="442">
                  <c:v>33.883641341546884</c:v>
                </c:pt>
                <c:pt idx="443">
                  <c:v>33.960301163586585</c:v>
                </c:pt>
                <c:pt idx="444">
                  <c:v>34.036960985626287</c:v>
                </c:pt>
                <c:pt idx="445">
                  <c:v>34.113620807665981</c:v>
                </c:pt>
                <c:pt idx="446">
                  <c:v>34.190280629705683</c:v>
                </c:pt>
                <c:pt idx="447">
                  <c:v>34.266940451745377</c:v>
                </c:pt>
                <c:pt idx="448">
                  <c:v>34.343600273785079</c:v>
                </c:pt>
                <c:pt idx="449">
                  <c:v>34.42026009582478</c:v>
                </c:pt>
                <c:pt idx="450">
                  <c:v>34.496919917864474</c:v>
                </c:pt>
                <c:pt idx="451">
                  <c:v>34.573579739904176</c:v>
                </c:pt>
                <c:pt idx="452">
                  <c:v>34.650239561943877</c:v>
                </c:pt>
                <c:pt idx="453">
                  <c:v>34.726899383983572</c:v>
                </c:pt>
                <c:pt idx="454">
                  <c:v>34.803559206023273</c:v>
                </c:pt>
                <c:pt idx="455">
                  <c:v>34.880219028062967</c:v>
                </c:pt>
                <c:pt idx="456">
                  <c:v>34.956878850102669</c:v>
                </c:pt>
                <c:pt idx="457">
                  <c:v>35.03353867214237</c:v>
                </c:pt>
                <c:pt idx="458">
                  <c:v>35.110198494182065</c:v>
                </c:pt>
                <c:pt idx="459">
                  <c:v>35.186858316221766</c:v>
                </c:pt>
                <c:pt idx="460">
                  <c:v>35.263518138261468</c:v>
                </c:pt>
                <c:pt idx="461">
                  <c:v>35.340177960301162</c:v>
                </c:pt>
                <c:pt idx="462">
                  <c:v>35.416837782340863</c:v>
                </c:pt>
                <c:pt idx="463">
                  <c:v>35.493497604380565</c:v>
                </c:pt>
                <c:pt idx="464">
                  <c:v>35.570157426420259</c:v>
                </c:pt>
                <c:pt idx="465">
                  <c:v>35.646817248459961</c:v>
                </c:pt>
                <c:pt idx="466">
                  <c:v>35.723477070499655</c:v>
                </c:pt>
                <c:pt idx="467">
                  <c:v>35.800136892539356</c:v>
                </c:pt>
                <c:pt idx="468">
                  <c:v>35.876796714579058</c:v>
                </c:pt>
                <c:pt idx="469">
                  <c:v>35.953456536618752</c:v>
                </c:pt>
                <c:pt idx="470">
                  <c:v>36.030116358658454</c:v>
                </c:pt>
                <c:pt idx="471">
                  <c:v>36.106776180698155</c:v>
                </c:pt>
                <c:pt idx="472">
                  <c:v>36.183436002737849</c:v>
                </c:pt>
                <c:pt idx="473">
                  <c:v>36.260095824777551</c:v>
                </c:pt>
                <c:pt idx="474">
                  <c:v>36.336755646817245</c:v>
                </c:pt>
                <c:pt idx="475">
                  <c:v>36.413415468856947</c:v>
                </c:pt>
                <c:pt idx="476">
                  <c:v>36.490075290896648</c:v>
                </c:pt>
                <c:pt idx="477">
                  <c:v>36.566735112936342</c:v>
                </c:pt>
                <c:pt idx="478">
                  <c:v>36.643394934976044</c:v>
                </c:pt>
                <c:pt idx="479">
                  <c:v>36.720054757015745</c:v>
                </c:pt>
                <c:pt idx="480">
                  <c:v>36.79671457905544</c:v>
                </c:pt>
                <c:pt idx="481">
                  <c:v>36.873374401095141</c:v>
                </c:pt>
                <c:pt idx="482">
                  <c:v>36.950034223134843</c:v>
                </c:pt>
                <c:pt idx="483">
                  <c:v>37.026694045174537</c:v>
                </c:pt>
                <c:pt idx="484">
                  <c:v>37.103353867214238</c:v>
                </c:pt>
                <c:pt idx="485">
                  <c:v>37.180013689253933</c:v>
                </c:pt>
                <c:pt idx="486">
                  <c:v>37.256673511293634</c:v>
                </c:pt>
                <c:pt idx="487">
                  <c:v>37.333333333333336</c:v>
                </c:pt>
                <c:pt idx="488">
                  <c:v>37.40999315537303</c:v>
                </c:pt>
                <c:pt idx="489">
                  <c:v>37.486652977412732</c:v>
                </c:pt>
                <c:pt idx="490">
                  <c:v>37.563312799452433</c:v>
                </c:pt>
                <c:pt idx="491">
                  <c:v>37.639972621492127</c:v>
                </c:pt>
                <c:pt idx="492">
                  <c:v>37.716632443531829</c:v>
                </c:pt>
                <c:pt idx="493">
                  <c:v>37.793292265571523</c:v>
                </c:pt>
                <c:pt idx="494">
                  <c:v>37.869952087611225</c:v>
                </c:pt>
                <c:pt idx="495">
                  <c:v>37.946611909650926</c:v>
                </c:pt>
                <c:pt idx="496">
                  <c:v>38.02327173169062</c:v>
                </c:pt>
                <c:pt idx="497">
                  <c:v>38.099931553730322</c:v>
                </c:pt>
                <c:pt idx="498">
                  <c:v>38.176591375770023</c:v>
                </c:pt>
                <c:pt idx="499">
                  <c:v>38.253251197809718</c:v>
                </c:pt>
                <c:pt idx="500">
                  <c:v>38.329911019849419</c:v>
                </c:pt>
                <c:pt idx="501">
                  <c:v>38.406570841889121</c:v>
                </c:pt>
                <c:pt idx="502">
                  <c:v>38.483230663928815</c:v>
                </c:pt>
                <c:pt idx="503">
                  <c:v>38.559890485968516</c:v>
                </c:pt>
                <c:pt idx="504">
                  <c:v>38.636550308008211</c:v>
                </c:pt>
                <c:pt idx="505">
                  <c:v>38.713210130047912</c:v>
                </c:pt>
                <c:pt idx="506">
                  <c:v>38.789869952087614</c:v>
                </c:pt>
                <c:pt idx="507">
                  <c:v>38.866529774127308</c:v>
                </c:pt>
                <c:pt idx="508">
                  <c:v>38.943189596167009</c:v>
                </c:pt>
                <c:pt idx="509">
                  <c:v>39.019849418206711</c:v>
                </c:pt>
                <c:pt idx="510">
                  <c:v>39.096509240246405</c:v>
                </c:pt>
                <c:pt idx="511">
                  <c:v>39.173169062286107</c:v>
                </c:pt>
                <c:pt idx="512">
                  <c:v>39.249828884325801</c:v>
                </c:pt>
                <c:pt idx="513">
                  <c:v>39.326488706365502</c:v>
                </c:pt>
                <c:pt idx="514">
                  <c:v>39.403148528405204</c:v>
                </c:pt>
                <c:pt idx="515">
                  <c:v>39.479808350444898</c:v>
                </c:pt>
                <c:pt idx="516">
                  <c:v>39.5564681724846</c:v>
                </c:pt>
                <c:pt idx="517">
                  <c:v>39.633127994524301</c:v>
                </c:pt>
                <c:pt idx="518">
                  <c:v>39.709787816563995</c:v>
                </c:pt>
                <c:pt idx="519">
                  <c:v>39.786447638603697</c:v>
                </c:pt>
                <c:pt idx="520">
                  <c:v>39.863107460643398</c:v>
                </c:pt>
                <c:pt idx="521">
                  <c:v>39.939767282683093</c:v>
                </c:pt>
              </c:numCache>
            </c:numRef>
          </c:xVal>
          <c:yVal>
            <c:numRef>
              <c:f>OS!$F$81:$F$602</c:f>
              <c:numCache>
                <c:formatCode>0%</c:formatCode>
                <c:ptCount val="522"/>
                <c:pt idx="0">
                  <c:v>1</c:v>
                </c:pt>
                <c:pt idx="1">
                  <c:v>1</c:v>
                </c:pt>
                <c:pt idx="2">
                  <c:v>1</c:v>
                </c:pt>
                <c:pt idx="3">
                  <c:v>1</c:v>
                </c:pt>
                <c:pt idx="4">
                  <c:v>0.99563318777292598</c:v>
                </c:pt>
                <c:pt idx="5">
                  <c:v>0.99124713848758195</c:v>
                </c:pt>
                <c:pt idx="6">
                  <c:v>0.99124713848758195</c:v>
                </c:pt>
                <c:pt idx="7">
                  <c:v>0.99124713848758195</c:v>
                </c:pt>
                <c:pt idx="8">
                  <c:v>0.97354629672887605</c:v>
                </c:pt>
                <c:pt idx="9">
                  <c:v>0.97354629672887605</c:v>
                </c:pt>
                <c:pt idx="10">
                  <c:v>0.96469587584952199</c:v>
                </c:pt>
                <c:pt idx="11">
                  <c:v>0.96469587584952199</c:v>
                </c:pt>
                <c:pt idx="12">
                  <c:v>0.96469587584952199</c:v>
                </c:pt>
                <c:pt idx="13">
                  <c:v>0.95142024453049201</c:v>
                </c:pt>
                <c:pt idx="14">
                  <c:v>0.94256982365113895</c:v>
                </c:pt>
                <c:pt idx="15">
                  <c:v>0.94256982365113895</c:v>
                </c:pt>
                <c:pt idx="16">
                  <c:v>0.92044377145275502</c:v>
                </c:pt>
                <c:pt idx="17">
                  <c:v>0.91601856101307799</c:v>
                </c:pt>
                <c:pt idx="18">
                  <c:v>0.91159335057340196</c:v>
                </c:pt>
                <c:pt idx="19">
                  <c:v>0.91159335057340196</c:v>
                </c:pt>
                <c:pt idx="20">
                  <c:v>0.90716814013372504</c:v>
                </c:pt>
                <c:pt idx="21">
                  <c:v>0.89389250881469495</c:v>
                </c:pt>
                <c:pt idx="22">
                  <c:v>0.885042087935342</c:v>
                </c:pt>
                <c:pt idx="23">
                  <c:v>0.88061687749566497</c:v>
                </c:pt>
                <c:pt idx="24">
                  <c:v>0.87176645661631103</c:v>
                </c:pt>
                <c:pt idx="25">
                  <c:v>0.86291603573695796</c:v>
                </c:pt>
                <c:pt idx="26">
                  <c:v>0.85406561485760502</c:v>
                </c:pt>
                <c:pt idx="27">
                  <c:v>0.84961735644688796</c:v>
                </c:pt>
                <c:pt idx="28">
                  <c:v>0.84516909803617102</c:v>
                </c:pt>
                <c:pt idx="29">
                  <c:v>0.84069730386666797</c:v>
                </c:pt>
                <c:pt idx="30">
                  <c:v>0.82728192135815704</c:v>
                </c:pt>
                <c:pt idx="31">
                  <c:v>0.82728192135815704</c:v>
                </c:pt>
                <c:pt idx="32">
                  <c:v>0.80932143657900302</c:v>
                </c:pt>
                <c:pt idx="33">
                  <c:v>0.80482520637578703</c:v>
                </c:pt>
                <c:pt idx="34">
                  <c:v>0.78684028556291996</c:v>
                </c:pt>
                <c:pt idx="35">
                  <c:v>0.78234405535970297</c:v>
                </c:pt>
                <c:pt idx="36">
                  <c:v>0.77782183538652605</c:v>
                </c:pt>
                <c:pt idx="37">
                  <c:v>0.75967943809768301</c:v>
                </c:pt>
                <c:pt idx="38">
                  <c:v>0.74595029162603899</c:v>
                </c:pt>
                <c:pt idx="39">
                  <c:v>0.74595029162603899</c:v>
                </c:pt>
                <c:pt idx="40">
                  <c:v>0.73668310887425903</c:v>
                </c:pt>
                <c:pt idx="41">
                  <c:v>0.73193031462345803</c:v>
                </c:pt>
                <c:pt idx="42">
                  <c:v>0.72717752037265604</c:v>
                </c:pt>
                <c:pt idx="43">
                  <c:v>0.72223073451978104</c:v>
                </c:pt>
                <c:pt idx="44">
                  <c:v>0.72223073451978104</c:v>
                </c:pt>
                <c:pt idx="45">
                  <c:v>0.71718016994271905</c:v>
                </c:pt>
                <c:pt idx="46">
                  <c:v>0.71718016994271905</c:v>
                </c:pt>
                <c:pt idx="47">
                  <c:v>0.71718016994271905</c:v>
                </c:pt>
                <c:pt idx="48">
                  <c:v>0.71182807912225099</c:v>
                </c:pt>
                <c:pt idx="49">
                  <c:v>0.70091835236370603</c:v>
                </c:pt>
                <c:pt idx="50">
                  <c:v>0.70091835236370603</c:v>
                </c:pt>
                <c:pt idx="51">
                  <c:v>0.70091835236370603</c:v>
                </c:pt>
                <c:pt idx="52">
                  <c:v>0.68938001063422105</c:v>
                </c:pt>
                <c:pt idx="53">
                  <c:v>0.67170360010513896</c:v>
                </c:pt>
                <c:pt idx="54">
                  <c:v>0.65970889296040403</c:v>
                </c:pt>
                <c:pt idx="55">
                  <c:v>0.65354338928787703</c:v>
                </c:pt>
                <c:pt idx="56">
                  <c:v>0.64066474014602703</c:v>
                </c:pt>
                <c:pt idx="57">
                  <c:v>0.64066474014602703</c:v>
                </c:pt>
                <c:pt idx="58">
                  <c:v>0.633920900776069</c:v>
                </c:pt>
                <c:pt idx="59">
                  <c:v>0.60694554329623696</c:v>
                </c:pt>
                <c:pt idx="60">
                  <c:v>0.59345786455631999</c:v>
                </c:pt>
                <c:pt idx="61">
                  <c:v>0.59345786455631999</c:v>
                </c:pt>
                <c:pt idx="62">
                  <c:v>0.59345786455631999</c:v>
                </c:pt>
                <c:pt idx="63">
                  <c:v>0.58655719171264198</c:v>
                </c:pt>
                <c:pt idx="64">
                  <c:v>0.57940405522834204</c:v>
                </c:pt>
                <c:pt idx="65">
                  <c:v>0.57187932723836299</c:v>
                </c:pt>
                <c:pt idx="66">
                  <c:v>0.57187932723836299</c:v>
                </c:pt>
                <c:pt idx="67">
                  <c:v>0.57187932723836299</c:v>
                </c:pt>
                <c:pt idx="68">
                  <c:v>0.57187932723836299</c:v>
                </c:pt>
                <c:pt idx="69">
                  <c:v>0.55588032225014705</c:v>
                </c:pt>
                <c:pt idx="70">
                  <c:v>0.54770561162882103</c:v>
                </c:pt>
                <c:pt idx="71">
                  <c:v>0.53940704175565701</c:v>
                </c:pt>
                <c:pt idx="72">
                  <c:v>0.53110847188249299</c:v>
                </c:pt>
                <c:pt idx="73">
                  <c:v>0.53110847188249299</c:v>
                </c:pt>
                <c:pt idx="74">
                  <c:v>0.53110847188249299</c:v>
                </c:pt>
                <c:pt idx="75">
                  <c:v>0.53110847188249299</c:v>
                </c:pt>
                <c:pt idx="76">
                  <c:v>0.52225666401778503</c:v>
                </c:pt>
                <c:pt idx="77">
                  <c:v>0.503604640302864</c:v>
                </c:pt>
                <c:pt idx="78">
                  <c:v>0.48495261658794298</c:v>
                </c:pt>
                <c:pt idx="79">
                  <c:v>0.46786375058301843</c:v>
                </c:pt>
                <c:pt idx="80">
                  <c:v>0.46090947085058342</c:v>
                </c:pt>
                <c:pt idx="81">
                  <c:v>0.45401147032055067</c:v>
                </c:pt>
                <c:pt idx="82">
                  <c:v>0.44717058406162447</c:v>
                </c:pt>
                <c:pt idx="83">
                  <c:v>0.44038760080647643</c:v>
                </c:pt>
                <c:pt idx="84">
                  <c:v>0.43366326392908738</c:v>
                </c:pt>
                <c:pt idx="85">
                  <c:v>0.42699827241347388</c:v>
                </c:pt>
                <c:pt idx="86">
                  <c:v>0.42039328181385027</c:v>
                </c:pt>
                <c:pt idx="87">
                  <c:v>0.41384890520625617</c:v>
                </c:pt>
                <c:pt idx="88">
                  <c:v>0.40736571413165634</c:v>
                </c:pt>
                <c:pt idx="89">
                  <c:v>0.40094423953050329</c:v>
                </c:pt>
                <c:pt idx="90">
                  <c:v>0.39458497266873394</c:v>
                </c:pt>
                <c:pt idx="91">
                  <c:v>0.38828836605516404</c:v>
                </c:pt>
                <c:pt idx="92">
                  <c:v>0.38205483435022303</c:v>
                </c:pt>
                <c:pt idx="93">
                  <c:v>0.3758847552659712</c:v>
                </c:pt>
                <c:pt idx="94">
                  <c:v>0.36977847045732415</c:v>
                </c:pt>
                <c:pt idx="95">
                  <c:v>0.36373628640441225</c:v>
                </c:pt>
                <c:pt idx="96">
                  <c:v>0.3577584752859857</c:v>
                </c:pt>
                <c:pt idx="97">
                  <c:v>0.35184527584378233</c:v>
                </c:pt>
                <c:pt idx="98">
                  <c:v>0.34599689423776403</c:v>
                </c:pt>
                <c:pt idx="99">
                  <c:v>0.34021350489212931</c:v>
                </c:pt>
                <c:pt idx="100">
                  <c:v>0.33449525133200919</c:v>
                </c:pt>
                <c:pt idx="101">
                  <c:v>0.32884224701074793</c:v>
                </c:pt>
                <c:pt idx="102">
                  <c:v>0.32325457612767583</c:v>
                </c:pt>
                <c:pt idx="103">
                  <c:v>0.31773229443628037</c:v>
                </c:pt>
                <c:pt idx="104">
                  <c:v>0.31227543004268132</c:v>
                </c:pt>
                <c:pt idx="105">
                  <c:v>0.30688398419432117</c:v>
                </c:pt>
                <c:pt idx="106">
                  <c:v>0.30155793205878156</c:v>
                </c:pt>
                <c:pt idx="107">
                  <c:v>0.29629722349264187</c:v>
                </c:pt>
                <c:pt idx="108">
                  <c:v>0.29110178380029672</c:v>
                </c:pt>
                <c:pt idx="109">
                  <c:v>0.28597151448265667</c:v>
                </c:pt>
                <c:pt idx="110">
                  <c:v>0.28090629397565681</c:v>
                </c:pt>
                <c:pt idx="111">
                  <c:v>0.27590597837850239</c:v>
                </c:pt>
                <c:pt idx="112">
                  <c:v>0.27097040217158974</c:v>
                </c:pt>
                <c:pt idx="113">
                  <c:v>0.26609937892403845</c:v>
                </c:pt>
                <c:pt idx="114">
                  <c:v>0.26129270199078136</c:v>
                </c:pt>
                <c:pt idx="115">
                  <c:v>0.25655014519915997</c:v>
                </c:pt>
                <c:pt idx="116">
                  <c:v>0.25187146352498324</c:v>
                </c:pt>
                <c:pt idx="117">
                  <c:v>0.24725639375800434</c:v>
                </c:pt>
                <c:pt idx="118">
                  <c:v>0.24270465515678374</c:v>
                </c:pt>
                <c:pt idx="119">
                  <c:v>0.2382159500929093</c:v>
                </c:pt>
                <c:pt idx="120">
                  <c:v>0.2337899646845466</c:v>
                </c:pt>
                <c:pt idx="121">
                  <c:v>0.22942636941930161</c:v>
                </c:pt>
                <c:pt idx="122">
                  <c:v>0.22512481976638232</c:v>
                </c:pt>
                <c:pt idx="123">
                  <c:v>0.2208849567780512</c:v>
                </c:pt>
                <c:pt idx="124">
                  <c:v>0.21670640768036464</c:v>
                </c:pt>
                <c:pt idx="125">
                  <c:v>0.21258878645320112</c:v>
                </c:pt>
                <c:pt idx="126">
                  <c:v>0.2085316943995883</c:v>
                </c:pt>
                <c:pt idx="127">
                  <c:v>0.20453472070433842</c:v>
                </c:pt>
                <c:pt idx="128">
                  <c:v>0.20059744298201121</c:v>
                </c:pt>
                <c:pt idx="129">
                  <c:v>0.1967194278142288</c:v>
                </c:pt>
                <c:pt idx="130">
                  <c:v>0.19290023127636613</c:v>
                </c:pt>
                <c:pt idx="131">
                  <c:v>0.18913939945365343</c:v>
                </c:pt>
                <c:pt idx="132">
                  <c:v>0.18543646894672727</c:v>
                </c:pt>
                <c:pt idx="133">
                  <c:v>0.18179096736666889</c:v>
                </c:pt>
                <c:pt idx="134">
                  <c:v>0.17820241381958091</c:v>
                </c:pt>
                <c:pt idx="135">
                  <c:v>0.17467031938075039</c:v>
                </c:pt>
                <c:pt idx="136">
                  <c:v>0.1711941875584545</c:v>
                </c:pt>
                <c:pt idx="137">
                  <c:v>0.16777351474746638</c:v>
                </c:pt>
                <c:pt idx="138">
                  <c:v>0.16440779067232847</c:v>
                </c:pt>
                <c:pt idx="139">
                  <c:v>0.16109649882045596</c:v>
                </c:pt>
                <c:pt idx="140">
                  <c:v>0.15783911686514529</c:v>
                </c:pt>
                <c:pt idx="141">
                  <c:v>0.15463511707856004</c:v>
                </c:pt>
                <c:pt idx="142">
                  <c:v>0.15148396673477371</c:v>
                </c:pt>
                <c:pt idx="143">
                  <c:v>0.14838512850295205</c:v>
                </c:pt>
                <c:pt idx="144">
                  <c:v>0.14533806083075773</c:v>
                </c:pt>
                <c:pt idx="145">
                  <c:v>0.14234221831806704</c:v>
                </c:pt>
                <c:pt idx="146">
                  <c:v>0.13939705208109021</c:v>
                </c:pt>
                <c:pt idx="147">
                  <c:v>0.13650201010698892</c:v>
                </c:pt>
                <c:pt idx="148">
                  <c:v>0.13365653759908691</c:v>
                </c:pt>
                <c:pt idx="149">
                  <c:v>0.13086007731277516</c:v>
                </c:pt>
                <c:pt idx="150">
                  <c:v>0.12811206988221235</c:v>
                </c:pt>
                <c:pt idx="151">
                  <c:v>0.12541195413792505</c:v>
                </c:pt>
                <c:pt idx="152">
                  <c:v>0.12275916741541448</c:v>
                </c:pt>
                <c:pt idx="153">
                  <c:v>0.12015314585487824</c:v>
                </c:pt>
                <c:pt idx="154">
                  <c:v>0.11759332469215844</c:v>
                </c:pt>
                <c:pt idx="155">
                  <c:v>0.11507913854102736</c:v>
                </c:pt>
                <c:pt idx="156">
                  <c:v>0.11261002166692613</c:v>
                </c:pt>
                <c:pt idx="157">
                  <c:v>0.11018540825227163</c:v>
                </c:pt>
                <c:pt idx="158">
                  <c:v>0.10780473265344948</c:v>
                </c:pt>
                <c:pt idx="159">
                  <c:v>0.10546742964961064</c:v>
                </c:pt>
                <c:pt idx="160">
                  <c:v>0.10317293468339284</c:v>
                </c:pt>
                <c:pt idx="161">
                  <c:v>0.10092068409368771</c:v>
                </c:pt>
                <c:pt idx="162">
                  <c:v>9.8710115340574944E-2</c:v>
                </c:pt>
                <c:pt idx="163">
                  <c:v>9.654066722254695E-2</c:v>
                </c:pt>
                <c:pt idx="164">
                  <c:v>9.4411780086147923E-2</c:v>
                </c:pt>
                <c:pt idx="165">
                  <c:v>9.2322896028152801E-2</c:v>
                </c:pt>
                <c:pt idx="166">
                  <c:v>9.0273459090407959E-2</c:v>
                </c:pt>
                <c:pt idx="167">
                  <c:v>8.8262915447464341E-2</c:v>
                </c:pt>
                <c:pt idx="168">
                  <c:v>8.6290713587124146E-2</c:v>
                </c:pt>
                <c:pt idx="169">
                  <c:v>8.4356304484030309E-2</c:v>
                </c:pt>
                <c:pt idx="170">
                  <c:v>8.2459141766424993E-2</c:v>
                </c:pt>
                <c:pt idx="171">
                  <c:v>8.0598681876203115E-2</c:v>
                </c:pt>
                <c:pt idx="172">
                  <c:v>7.8774384222387028E-2</c:v>
                </c:pt>
                <c:pt idx="173">
                  <c:v>7.6985711328151241E-2</c:v>
                </c:pt>
                <c:pt idx="174">
                  <c:v>7.5232128971522094E-2</c:v>
                </c:pt>
                <c:pt idx="175">
                  <c:v>7.3513106319878063E-2</c:v>
                </c:pt>
                <c:pt idx="176">
                  <c:v>7.182811605837891E-2</c:v>
                </c:pt>
                <c:pt idx="177">
                  <c:v>7.0176634512447933E-2</c:v>
                </c:pt>
                <c:pt idx="178">
                  <c:v>6.8558141764431868E-2</c:v>
                </c:pt>
                <c:pt idx="179">
                  <c:v>6.6972121764566239E-2</c:v>
                </c:pt>
                <c:pt idx="180">
                  <c:v>6.5418062436365609E-2</c:v>
                </c:pt>
                <c:pt idx="181">
                  <c:v>6.3895455776567855E-2</c:v>
                </c:pt>
                <c:pt idx="182">
                  <c:v>6.2403797949750262E-2</c:v>
                </c:pt>
                <c:pt idx="183">
                  <c:v>6.094258937774244E-2</c:v>
                </c:pt>
                <c:pt idx="184">
                  <c:v>5.9511334823957651E-2</c:v>
                </c:pt>
                <c:pt idx="185">
                  <c:v>5.8109543472760095E-2</c:v>
                </c:pt>
                <c:pt idx="186">
                  <c:v>5.6736729003991404E-2</c:v>
                </c:pt>
                <c:pt idx="187">
                  <c:v>5.5392409662772146E-2</c:v>
                </c:pt>
                <c:pt idx="188">
                  <c:v>5.407610832469667E-2</c:v>
                </c:pt>
                <c:pt idx="189">
                  <c:v>5.2787352556538325E-2</c:v>
                </c:pt>
                <c:pt idx="190">
                  <c:v>5.1525674672579402E-2</c:v>
                </c:pt>
                <c:pt idx="191">
                  <c:v>5.0290611786681483E-2</c:v>
                </c:pt>
                <c:pt idx="192">
                  <c:v>4.9081705860206992E-2</c:v>
                </c:pt>
                <c:pt idx="193">
                  <c:v>4.7898503745905763E-2</c:v>
                </c:pt>
                <c:pt idx="194">
                  <c:v>4.6740557227876622E-2</c:v>
                </c:pt>
                <c:pt idx="195">
                  <c:v>4.5607423057712482E-2</c:v>
                </c:pt>
                <c:pt idx="196">
                  <c:v>4.4498662986937498E-2</c:v>
                </c:pt>
                <c:pt idx="197">
                  <c:v>4.3413843795843343E-2</c:v>
                </c:pt>
                <c:pt idx="198">
                  <c:v>4.2352537318828487E-2</c:v>
                </c:pt>
                <c:pt idx="199">
                  <c:v>4.1314320466345866E-2</c:v>
                </c:pt>
                <c:pt idx="200">
                  <c:v>4.0298775243559515E-2</c:v>
                </c:pt>
                <c:pt idx="201">
                  <c:v>3.9305488765813079E-2</c:v>
                </c:pt>
                <c:pt idx="202">
                  <c:v>3.8334053271008028E-2</c:v>
                </c:pt>
                <c:pt idx="203">
                  <c:v>3.7384066128990701E-2</c:v>
                </c:pt>
                <c:pt idx="204">
                  <c:v>3.6455129848043333E-2</c:v>
                </c:pt>
                <c:pt idx="205">
                  <c:v>3.5546852078576441E-2</c:v>
                </c:pt>
                <c:pt idx="206">
                  <c:v>3.4658845614113143E-2</c:v>
                </c:pt>
                <c:pt idx="207">
                  <c:v>3.3790728389659019E-2</c:v>
                </c:pt>
                <c:pt idx="208">
                  <c:v>3.2942123477547991E-2</c:v>
                </c:pt>
                <c:pt idx="209">
                  <c:v>3.2112659080852923E-2</c:v>
                </c:pt>
                <c:pt idx="210">
                  <c:v>3.1301968524446444E-2</c:v>
                </c:pt>
                <c:pt idx="211">
                  <c:v>3.0509690243801457E-2</c:v>
                </c:pt>
                <c:pt idx="212">
                  <c:v>2.9735467771611068E-2</c:v>
                </c:pt>
                <c:pt idx="213">
                  <c:v>2.8978949722314296E-2</c:v>
                </c:pt>
                <c:pt idx="214">
                  <c:v>2.8239789774606172E-2</c:v>
                </c:pt>
                <c:pt idx="215">
                  <c:v>2.7517646652013172E-2</c:v>
                </c:pt>
                <c:pt idx="216">
                  <c:v>2.6812184101609682E-2</c:v>
                </c:pt>
                <c:pt idx="217">
                  <c:v>2.6123070870955223E-2</c:v>
                </c:pt>
                <c:pt idx="218">
                  <c:v>2.5449980683323825E-2</c:v>
                </c:pt>
                <c:pt idx="219">
                  <c:v>2.4792592211300479E-2</c:v>
                </c:pt>
                <c:pt idx="220">
                  <c:v>2.4150589048816173E-2</c:v>
                </c:pt>
                <c:pt idx="221">
                  <c:v>2.3523659681691123E-2</c:v>
                </c:pt>
                <c:pt idx="222">
                  <c:v>2.2911497456755026E-2</c:v>
                </c:pt>
                <c:pt idx="223">
                  <c:v>2.2313800549611185E-2</c:v>
                </c:pt>
                <c:pt idx="224">
                  <c:v>2.173027193110999E-2</c:v>
                </c:pt>
                <c:pt idx="225">
                  <c:v>2.1160619332596164E-2</c:v>
                </c:pt>
                <c:pt idx="226">
                  <c:v>2.0604555209991382E-2</c:v>
                </c:pt>
                <c:pt idx="227">
                  <c:v>2.0061796706773993E-2</c:v>
                </c:pt>
                <c:pt idx="228">
                  <c:v>1.9532065615914807E-2</c:v>
                </c:pt>
                <c:pt idx="229">
                  <c:v>1.9015088340827768E-2</c:v>
                </c:pt>
                <c:pt idx="230">
                  <c:v>1.8510595855390277E-2</c:v>
                </c:pt>
                <c:pt idx="231">
                  <c:v>1.8018323663091196E-2</c:v>
                </c:pt>
                <c:pt idx="232">
                  <c:v>1.7538011755356964E-2</c:v>
                </c:pt>
                <c:pt idx="233">
                  <c:v>1.7069404569110658E-2</c:v>
                </c:pt>
                <c:pt idx="234">
                  <c:v>1.6612250943613627E-2</c:v>
                </c:pt>
                <c:pt idx="235">
                  <c:v>1.6166304076639326E-2</c:v>
                </c:pt>
                <c:pt idx="236">
                  <c:v>1.5731321480027871E-2</c:v>
                </c:pt>
                <c:pt idx="237">
                  <c:v>1.5307064934667713E-2</c:v>
                </c:pt>
                <c:pt idx="238">
                  <c:v>1.4893300444950519E-2</c:v>
                </c:pt>
                <c:pt idx="239">
                  <c:v>1.4489798192741987E-2</c:v>
                </c:pt>
                <c:pt idx="240">
                  <c:v>1.4096332490914021E-2</c:v>
                </c:pt>
                <c:pt idx="241">
                  <c:v>1.371268173647644E-2</c:v>
                </c:pt>
                <c:pt idx="242">
                  <c:v>1.3338628363351313E-2</c:v>
                </c:pt>
                <c:pt idx="243">
                  <c:v>1.2973958794828877E-2</c:v>
                </c:pt>
                <c:pt idx="244">
                  <c:v>1.2618463395740021E-2</c:v>
                </c:pt>
                <c:pt idx="245">
                  <c:v>1.2271936424386065E-2</c:v>
                </c:pt>
                <c:pt idx="246">
                  <c:v>1.1934175984257944E-2</c:v>
                </c:pt>
                <c:pt idx="247">
                  <c:v>1.1604983975581185E-2</c:v>
                </c:pt>
                <c:pt idx="248">
                  <c:v>1.1284166046719335E-2</c:v>
                </c:pt>
                <c:pt idx="249">
                  <c:v>1.0971531545466262E-2</c:v>
                </c:pt>
                <c:pt idx="250">
                  <c:v>1.0666893470261951E-2</c:v>
                </c:pt>
                <c:pt idx="251">
                  <c:v>1.0370068421357348E-2</c:v>
                </c:pt>
                <c:pt idx="252">
                  <c:v>1.0080876551960216E-2</c:v>
                </c:pt>
                <c:pt idx="253">
                  <c:v>9.7991415193887654E-3</c:v>
                </c:pt>
                <c:pt idx="254">
                  <c:v>9.5246904362586982E-3</c:v>
                </c:pt>
                <c:pt idx="255">
                  <c:v>9.2573538217313178E-3</c:v>
                </c:pt>
                <c:pt idx="256">
                  <c:v>8.9969655528462367E-3</c:v>
                </c:pt>
                <c:pt idx="257">
                  <c:v>8.743362815962552E-3</c:v>
                </c:pt>
                <c:pt idx="258">
                  <c:v>8.4963860583314732E-3</c:v>
                </c:pt>
                <c:pt idx="259">
                  <c:v>8.2558789398227139E-3</c:v>
                </c:pt>
                <c:pt idx="260">
                  <c:v>8.0216882848247462E-3</c:v>
                </c:pt>
                <c:pt idx="261">
                  <c:v>7.7936640343400088E-3</c:v>
                </c:pt>
                <c:pt idx="262">
                  <c:v>7.5716591982936121E-3</c:v>
                </c:pt>
                <c:pt idx="263">
                  <c:v>7.3555298080739684E-3</c:v>
                </c:pt>
                <c:pt idx="264">
                  <c:v>7.1451348693242211E-3</c:v>
                </c:pt>
                <c:pt idx="265">
                  <c:v>6.9403363149984632E-3</c:v>
                </c:pt>
                <c:pt idx="266">
                  <c:v>6.7409989587021713E-3</c:v>
                </c:pt>
                <c:pt idx="267">
                  <c:v>6.5469904483292929E-3</c:v>
                </c:pt>
                <c:pt idx="268">
                  <c:v>6.3581812200121934E-3</c:v>
                </c:pt>
                <c:pt idx="269">
                  <c:v>6.1744444523964548E-3</c:v>
                </c:pt>
                <c:pt idx="270">
                  <c:v>5.9956560212562904E-3</c:v>
                </c:pt>
                <c:pt idx="271">
                  <c:v>5.8216944544596805E-3</c:v>
                </c:pt>
                <c:pt idx="272">
                  <c:v>5.6524408872969945E-3</c:v>
                </c:pt>
                <c:pt idx="273">
                  <c:v>5.4877790181839803E-3</c:v>
                </c:pt>
                <c:pt idx="274">
                  <c:v>5.3275950647484471E-3</c:v>
                </c:pt>
                <c:pt idx="275">
                  <c:v>5.1717777203110771E-3</c:v>
                </c:pt>
                <c:pt idx="276">
                  <c:v>5.0202181107690258E-3</c:v>
                </c:pt>
                <c:pt idx="277">
                  <c:v>4.8728097518920821E-3</c:v>
                </c:pt>
                <c:pt idx="278">
                  <c:v>4.7294485070377146E-3</c:v>
                </c:pt>
                <c:pt idx="279">
                  <c:v>4.590032545292777E-3</c:v>
                </c:pt>
                <c:pt idx="280">
                  <c:v>4.4544623000501993E-3</c:v>
                </c:pt>
                <c:pt idx="281">
                  <c:v>4.3226404280244379E-3</c:v>
                </c:pt>
                <c:pt idx="282">
                  <c:v>4.1944717687143473E-3</c:v>
                </c:pt>
                <c:pt idx="283">
                  <c:v>4.0698633043168009E-3</c:v>
                </c:pt>
                <c:pt idx="284">
                  <c:v>3.9487241200958367E-3</c:v>
                </c:pt>
                <c:pt idx="285">
                  <c:v>3.8309653652136566E-3</c:v>
                </c:pt>
                <c:pt idx="286">
                  <c:v>3.7165002140256975E-3</c:v>
                </c:pt>
                <c:pt idx="287">
                  <c:v>3.6052438278431076E-3</c:v>
                </c:pt>
                <c:pt idx="288">
                  <c:v>3.4971133171677327E-3</c:v>
                </c:pt>
                <c:pt idx="289">
                  <c:v>3.3920277043999469E-3</c:v>
                </c:pt>
                <c:pt idx="290">
                  <c:v>3.2899078870226584E-3</c:v>
                </c:pt>
                <c:pt idx="291">
                  <c:v>3.1906766012648191E-3</c:v>
                </c:pt>
                <c:pt idx="292">
                  <c:v>3.0942583862424433E-3</c:v>
                </c:pt>
                <c:pt idx="293">
                  <c:v>3.0005795485823494E-3</c:v>
                </c:pt>
                <c:pt idx="294">
                  <c:v>2.9095681275269625E-3</c:v>
                </c:pt>
                <c:pt idx="295">
                  <c:v>2.8211538605216191E-3</c:v>
                </c:pt>
                <c:pt idx="296">
                  <c:v>2.7352681492841535E-3</c:v>
                </c:pt>
                <c:pt idx="297">
                  <c:v>2.6518440263574306E-3</c:v>
                </c:pt>
                <c:pt idx="298">
                  <c:v>2.5708161221438264E-3</c:v>
                </c:pt>
                <c:pt idx="299">
                  <c:v>2.4921206324215461E-3</c:v>
                </c:pt>
                <c:pt idx="300">
                  <c:v>2.415695286341224E-3</c:v>
                </c:pt>
                <c:pt idx="301">
                  <c:v>2.3414793149024726E-3</c:v>
                </c:pt>
                <c:pt idx="302">
                  <c:v>2.2694134199081617E-3</c:v>
                </c:pt>
                <c:pt idx="303">
                  <c:v>2.1994397433956481E-3</c:v>
                </c:pt>
                <c:pt idx="304">
                  <c:v>2.1315018375425154E-3</c:v>
                </c:pt>
                <c:pt idx="305">
                  <c:v>2.0655446350446027E-3</c:v>
                </c:pt>
                <c:pt idx="306">
                  <c:v>2.0015144199652113E-3</c:v>
                </c:pt>
                <c:pt idx="307">
                  <c:v>1.9393587990516048E-3</c:v>
                </c:pt>
                <c:pt idx="308">
                  <c:v>1.8790266735168037E-3</c:v>
                </c:pt>
                <c:pt idx="309">
                  <c:v>1.8204682112838988E-3</c:v>
                </c:pt>
                <c:pt idx="310">
                  <c:v>1.7636348196904406E-3</c:v>
                </c:pt>
                <c:pt idx="311">
                  <c:v>1.7084791186479098E-3</c:v>
                </c:pt>
                <c:pt idx="312">
                  <c:v>1.654954914255824E-3</c:v>
                </c:pt>
                <c:pt idx="313">
                  <c:v>1.6030171728637077E-3</c:v>
                </c:pt>
                <c:pt idx="314">
                  <c:v>1.5526219955811493E-3</c:v>
                </c:pt>
                <c:pt idx="315">
                  <c:v>1.5037265932280608E-3</c:v>
                </c:pt>
                <c:pt idx="316">
                  <c:v>1.4562892617251411E-3</c:v>
                </c:pt>
                <c:pt idx="317">
                  <c:v>1.4102693579182146E-3</c:v>
                </c:pt>
                <c:pt idx="318">
                  <c:v>1.3656272758336696E-3</c:v>
                </c:pt>
                <c:pt idx="319">
                  <c:v>1.3223244233594444E-3</c:v>
                </c:pt>
                <c:pt idx="320">
                  <c:v>1.2803231993492314E-3</c:v>
                </c:pt>
                <c:pt idx="321">
                  <c:v>1.2395869711445684E-3</c:v>
                </c:pt>
                <c:pt idx="322">
                  <c:v>1.2000800525098221E-3</c:v>
                </c:pt>
                <c:pt idx="323">
                  <c:v>1.1617676819768441E-3</c:v>
                </c:pt>
                <c:pt idx="324">
                  <c:v>1.124616001594414E-3</c:v>
                </c:pt>
                <c:pt idx="325">
                  <c:v>1.0885920360769186E-3</c:v>
                </c:pt>
                <c:pt idx="326">
                  <c:v>1.053663672349936E-3</c:v>
                </c:pt>
                <c:pt idx="327">
                  <c:v>1.0197996394843978E-3</c:v>
                </c:pt>
                <c:pt idx="328">
                  <c:v>9.8696948901877413E-4</c:v>
                </c:pt>
                <c:pt idx="329">
                  <c:v>9.5514357566173214E-4</c:v>
                </c:pt>
                <c:pt idx="330">
                  <c:v>9.2429303837027188E-4</c:v>
                </c:pt>
                <c:pt idx="331">
                  <c:v>8.9438978180145234E-4</c:v>
                </c:pt>
                <c:pt idx="332">
                  <c:v>8.6540645812871464E-4</c:v>
                </c:pt>
                <c:pt idx="333">
                  <c:v>8.3731644922169224E-4</c:v>
                </c:pt>
                <c:pt idx="334">
                  <c:v>8.1009384918206973E-4</c:v>
                </c:pt>
                <c:pt idx="335">
                  <c:v>7.837134472316043E-4</c:v>
                </c:pt>
                <c:pt idx="336">
                  <c:v>7.581507109477581E-4</c:v>
                </c:pt>
                <c:pt idx="337">
                  <c:v>7.3338176984028003E-4</c:v>
                </c:pt>
                <c:pt idx="338">
                  <c:v>7.0938339926684968E-4</c:v>
                </c:pt>
                <c:pt idx="339">
                  <c:v>6.8613300467879057E-4</c:v>
                </c:pt>
                <c:pt idx="340">
                  <c:v>6.636086061964086E-4</c:v>
                </c:pt>
                <c:pt idx="341">
                  <c:v>6.4178882350496291E-4</c:v>
                </c:pt>
                <c:pt idx="342">
                  <c:v>6.2065286106882667E-4</c:v>
                </c:pt>
                <c:pt idx="343">
                  <c:v>6.0018049365873072E-4</c:v>
                </c:pt>
                <c:pt idx="344">
                  <c:v>5.8035205218553987E-4</c:v>
                </c:pt>
                <c:pt idx="345">
                  <c:v>5.6114840983834124E-4</c:v>
                </c:pt>
                <c:pt idx="346">
                  <c:v>5.4255096851907325E-4</c:v>
                </c:pt>
                <c:pt idx="347">
                  <c:v>5.2454164557114158E-4</c:v>
                </c:pt>
                <c:pt idx="348">
                  <c:v>5.0710286079624911E-4</c:v>
                </c:pt>
                <c:pt idx="349">
                  <c:v>4.9021752375488781E-4</c:v>
                </c:pt>
                <c:pt idx="350">
                  <c:v>4.7386902134483044E-4</c:v>
                </c:pt>
                <c:pt idx="351">
                  <c:v>4.580412056551797E-4</c:v>
                </c:pt>
                <c:pt idx="352">
                  <c:v>4.4271838208820302E-4</c:v>
                </c:pt>
                <c:pt idx="353">
                  <c:v>4.2788529774717698E-4</c:v>
                </c:pt>
                <c:pt idx="354">
                  <c:v>4.1352713008369069E-4</c:v>
                </c:pt>
                <c:pt idx="355">
                  <c:v>3.9962947580018948E-4</c:v>
                </c:pt>
                <c:pt idx="356">
                  <c:v>3.8617834000476137E-4</c:v>
                </c:pt>
                <c:pt idx="357">
                  <c:v>3.7316012561083856E-4</c:v>
                </c:pt>
                <c:pt idx="358">
                  <c:v>3.6056162297981587E-4</c:v>
                </c:pt>
                <c:pt idx="359">
                  <c:v>3.4836999980125682E-4</c:v>
                </c:pt>
                <c:pt idx="360">
                  <c:v>3.3657279120613559E-4</c:v>
                </c:pt>
                <c:pt idx="361">
                  <c:v>3.2515789010856277E-4</c:v>
                </c:pt>
                <c:pt idx="362">
                  <c:v>3.1411353777299755E-4</c:v>
                </c:pt>
                <c:pt idx="363">
                  <c:v>3.034283146010619E-4</c:v>
                </c:pt>
                <c:pt idx="364">
                  <c:v>2.9309113113451524E-4</c:v>
                </c:pt>
                <c:pt idx="365">
                  <c:v>2.8309121927072578E-4</c:v>
                </c:pt>
                <c:pt idx="366">
                  <c:v>2.734181236858646E-4</c:v>
                </c:pt>
                <c:pt idx="367">
                  <c:v>2.6406169346115949E-4</c:v>
                </c:pt>
                <c:pt idx="368">
                  <c:v>2.5501207391054326E-4</c:v>
                </c:pt>
                <c:pt idx="369">
                  <c:v>2.4625969860270214E-4</c:v>
                </c:pt>
                <c:pt idx="370">
                  <c:v>2.3779528157574781E-4</c:v>
                </c:pt>
                <c:pt idx="371">
                  <c:v>2.2960980974029432E-4</c:v>
                </c:pt>
                <c:pt idx="372">
                  <c:v>2.2169453546627693E-4</c:v>
                </c:pt>
                <c:pt idx="373">
                  <c:v>2.1404096935073724E-4</c:v>
                </c:pt>
                <c:pt idx="374">
                  <c:v>2.0664087316246693E-4</c:v>
                </c:pt>
                <c:pt idx="375">
                  <c:v>1.9948625295973521E-4</c:v>
                </c:pt>
                <c:pt idx="376">
                  <c:v>1.9256935237788042E-4</c:v>
                </c:pt>
                <c:pt idx="377">
                  <c:v>1.8588264608265792E-4</c:v>
                </c:pt>
                <c:pt idx="378">
                  <c:v>1.7941883338679077E-4</c:v>
                </c:pt>
                <c:pt idx="379">
                  <c:v>1.7317083202506023E-4</c:v>
                </c:pt>
                <c:pt idx="380">
                  <c:v>1.671317720856047E-4</c:v>
                </c:pt>
                <c:pt idx="381">
                  <c:v>1.6129499009387427E-4</c:v>
                </c:pt>
                <c:pt idx="382">
                  <c:v>1.5565402324468902E-4</c:v>
                </c:pt>
                <c:pt idx="383">
                  <c:v>1.5020260378206807E-4</c:v>
                </c:pt>
                <c:pt idx="384">
                  <c:v>1.4493465352005686E-4</c:v>
                </c:pt>
                <c:pt idx="385">
                  <c:v>1.3984427850433079E-4</c:v>
                </c:pt>
                <c:pt idx="386">
                  <c:v>1.3492576380969012E-4</c:v>
                </c:pt>
                <c:pt idx="387">
                  <c:v>1.3017356847189188E-4</c:v>
                </c:pt>
                <c:pt idx="388">
                  <c:v>1.2558232054937779E-4</c:v>
                </c:pt>
                <c:pt idx="389">
                  <c:v>1.2114681231290003E-4</c:v>
                </c:pt>
                <c:pt idx="390">
                  <c:v>1.168619955598249E-4</c:v>
                </c:pt>
                <c:pt idx="391">
                  <c:v>1.127229770510052E-4</c:v>
                </c:pt>
                <c:pt idx="392">
                  <c:v>1.0872501406578028E-4</c:v>
                </c:pt>
                <c:pt idx="393">
                  <c:v>1.0486351007454875E-4</c:v>
                </c:pt>
                <c:pt idx="394">
                  <c:v>1.0113401052425086E-4</c:v>
                </c:pt>
                <c:pt idx="395">
                  <c:v>9.7532198735872377E-5</c:v>
                </c:pt>
                <c:pt idx="396">
                  <c:v>9.4053891909529064E-5</c:v>
                </c:pt>
                <c:pt idx="397">
                  <c:v>9.0695037236909748E-5</c:v>
                </c:pt>
                <c:pt idx="398">
                  <c:v>8.7451708115970916E-5</c:v>
                </c:pt>
                <c:pt idx="399">
                  <c:v>8.4320100467882853E-5</c:v>
                </c:pt>
                <c:pt idx="400">
                  <c:v>8.1296529151786423E-5</c:v>
                </c:pt>
                <c:pt idx="401">
                  <c:v>7.8377424477027446E-5</c:v>
                </c:pt>
                <c:pt idx="402">
                  <c:v>7.5559328808538773E-5</c:v>
                </c:pt>
                <c:pt idx="403">
                  <c:v>7.2838893264370874E-5</c:v>
                </c:pt>
                <c:pt idx="404">
                  <c:v>7.0212874503372547E-5</c:v>
                </c:pt>
                <c:pt idx="405">
                  <c:v>6.7678131599913094E-5</c:v>
                </c:pt>
                <c:pt idx="406">
                  <c:v>6.5231623003758621E-5</c:v>
                </c:pt>
                <c:pt idx="407">
                  <c:v>6.2870403583548118E-5</c:v>
                </c:pt>
                <c:pt idx="408">
                  <c:v>6.0591621751981961E-5</c:v>
                </c:pt>
                <c:pt idx="409">
                  <c:v>5.8392516668948069E-5</c:v>
                </c:pt>
                <c:pt idx="410">
                  <c:v>5.6270415523362871E-5</c:v>
                </c:pt>
                <c:pt idx="411">
                  <c:v>5.4222730889619264E-5</c:v>
                </c:pt>
                <c:pt idx="412">
                  <c:v>5.2246958157531331E-5</c:v>
                </c:pt>
                <c:pt idx="413">
                  <c:v>5.0340673033999472E-5</c:v>
                </c:pt>
                <c:pt idx="414">
                  <c:v>4.8501529115285713E-5</c:v>
                </c:pt>
                <c:pt idx="415">
                  <c:v>4.67272555259024E-5</c:v>
                </c:pt>
                <c:pt idx="416">
                  <c:v>4.5015654625224499E-5</c:v>
                </c:pt>
                <c:pt idx="417">
                  <c:v>4.3364599778272783E-5</c:v>
                </c:pt>
                <c:pt idx="418">
                  <c:v>4.1772033189224622E-5</c:v>
                </c:pt>
                <c:pt idx="419">
                  <c:v>4.0235963797319307E-5</c:v>
                </c:pt>
                <c:pt idx="420">
                  <c:v>3.8754465231383151E-5</c:v>
                </c:pt>
                <c:pt idx="421">
                  <c:v>3.7325673823751515E-5</c:v>
                </c:pt>
                <c:pt idx="422">
                  <c:v>3.594778668025711E-5</c:v>
                </c:pt>
                <c:pt idx="423">
                  <c:v>3.4619059806062502E-5</c:v>
                </c:pt>
                <c:pt idx="424">
                  <c:v>3.3337806285005378E-5</c:v>
                </c:pt>
                <c:pt idx="425">
                  <c:v>3.2102394511568377E-5</c:v>
                </c:pt>
                <c:pt idx="426">
                  <c:v>3.091124647414123E-5</c:v>
                </c:pt>
                <c:pt idx="427">
                  <c:v>2.9762836087687816E-5</c:v>
                </c:pt>
                <c:pt idx="428">
                  <c:v>2.8655687575152022E-5</c:v>
                </c:pt>
                <c:pt idx="429">
                  <c:v>2.7588373895603979E-5</c:v>
                </c:pt>
                <c:pt idx="430">
                  <c:v>2.655951521890465E-5</c:v>
                </c:pt>
                <c:pt idx="431">
                  <c:v>2.5567777444890361E-5</c:v>
                </c:pt>
                <c:pt idx="432">
                  <c:v>2.4611870765078869E-5</c:v>
                </c:pt>
                <c:pt idx="433">
                  <c:v>2.3690548268451295E-5</c:v>
                </c:pt>
                <c:pt idx="434">
                  <c:v>2.2802604586646957E-5</c:v>
                </c:pt>
                <c:pt idx="435">
                  <c:v>2.1946874580347497E-5</c:v>
                </c:pt>
                <c:pt idx="436">
                  <c:v>2.1122232064407775E-5</c:v>
                </c:pt>
                <c:pt idx="437">
                  <c:v>2.0327588570179245E-5</c:v>
                </c:pt>
                <c:pt idx="438">
                  <c:v>1.9561892145913973E-5</c:v>
                </c:pt>
                <c:pt idx="439">
                  <c:v>1.8824126192140689E-5</c:v>
                </c:pt>
                <c:pt idx="440">
                  <c:v>1.8113308331790812E-5</c:v>
                </c:pt>
                <c:pt idx="441">
                  <c:v>1.7428489315296503E-5</c:v>
                </c:pt>
                <c:pt idx="442">
                  <c:v>1.6768751957441097E-5</c:v>
                </c:pt>
                <c:pt idx="443">
                  <c:v>1.6133210106739071E-5</c:v>
                </c:pt>
                <c:pt idx="444">
                  <c:v>1.5521007646457363E-5</c:v>
                </c:pt>
                <c:pt idx="445">
                  <c:v>1.4931317525057608E-5</c:v>
                </c:pt>
                <c:pt idx="446">
                  <c:v>1.4363340816725412E-5</c:v>
                </c:pt>
                <c:pt idx="447">
                  <c:v>1.3816305810321339E-5</c:v>
                </c:pt>
                <c:pt idx="448">
                  <c:v>1.3289467125976451E-5</c:v>
                </c:pt>
                <c:pt idx="449">
                  <c:v>1.278210485888831E-5</c:v>
                </c:pt>
                <c:pt idx="450">
                  <c:v>1.2293523749429269E-5</c:v>
                </c:pt>
                <c:pt idx="451">
                  <c:v>1.1823052378567844E-5</c:v>
                </c:pt>
                <c:pt idx="452">
                  <c:v>1.1370042388270107E-5</c:v>
                </c:pt>
                <c:pt idx="453">
                  <c:v>1.0933867725770874E-5</c:v>
                </c:pt>
                <c:pt idx="454">
                  <c:v>1.0513923911381617E-5</c:v>
                </c:pt>
                <c:pt idx="455">
                  <c:v>1.0109627329057957E-5</c:v>
                </c:pt>
                <c:pt idx="456">
                  <c:v>9.7204145386164953E-6</c:v>
                </c:pt>
                <c:pt idx="457">
                  <c:v>9.3457416100450885E-6</c:v>
                </c:pt>
                <c:pt idx="458">
                  <c:v>8.9850834780191846E-6</c:v>
                </c:pt>
                <c:pt idx="459">
                  <c:v>8.637933316846258E-6</c:v>
                </c:pt>
                <c:pt idx="460">
                  <c:v>8.3038019349501724E-6</c:v>
                </c:pt>
                <c:pt idx="461">
                  <c:v>7.9822171886734239E-6</c:v>
                </c:pt>
                <c:pt idx="462">
                  <c:v>7.6727234139539746E-6</c:v>
                </c:pt>
                <c:pt idx="463">
                  <c:v>7.3748808763207663E-6</c:v>
                </c:pt>
                <c:pt idx="464">
                  <c:v>7.0882652385417799E-6</c:v>
                </c:pt>
                <c:pt idx="465">
                  <c:v>6.8124670445923741E-6</c:v>
                </c:pt>
                <c:pt idx="466">
                  <c:v>6.5470912203879905E-6</c:v>
                </c:pt>
                <c:pt idx="467">
                  <c:v>6.2917565899489603E-6</c:v>
                </c:pt>
                <c:pt idx="468">
                  <c:v>6.0460954078855877E-6</c:v>
                </c:pt>
                <c:pt idx="469">
                  <c:v>5.8097529058720454E-6</c:v>
                </c:pt>
                <c:pt idx="470">
                  <c:v>5.5823868542193011E-6</c:v>
                </c:pt>
                <c:pt idx="471">
                  <c:v>5.3636671374368561E-6</c:v>
                </c:pt>
                <c:pt idx="472">
                  <c:v>5.1532753430061362E-6</c:v>
                </c:pt>
                <c:pt idx="473">
                  <c:v>4.9509043641426942E-6</c:v>
                </c:pt>
                <c:pt idx="474">
                  <c:v>4.7562580148818867E-6</c:v>
                </c:pt>
                <c:pt idx="475">
                  <c:v>4.5690506578210943E-6</c:v>
                </c:pt>
                <c:pt idx="476">
                  <c:v>4.3890068436303054E-6</c:v>
                </c:pt>
                <c:pt idx="477">
                  <c:v>4.2158609627751531E-6</c:v>
                </c:pt>
                <c:pt idx="478">
                  <c:v>4.0493569081201386E-6</c:v>
                </c:pt>
                <c:pt idx="479">
                  <c:v>3.8892477489671506E-6</c:v>
                </c:pt>
                <c:pt idx="480">
                  <c:v>3.7352954150859929E-6</c:v>
                </c:pt>
                <c:pt idx="481">
                  <c:v>3.5872703919581639E-6</c:v>
                </c:pt>
                <c:pt idx="482">
                  <c:v>3.444951425457532E-6</c:v>
                </c:pt>
                <c:pt idx="483">
                  <c:v>3.3081252361899516E-6</c:v>
                </c:pt>
                <c:pt idx="484">
                  <c:v>3.1765862436028414E-6</c:v>
                </c:pt>
                <c:pt idx="485">
                  <c:v>3.0501362989765468E-6</c:v>
                </c:pt>
                <c:pt idx="486">
                  <c:v>2.9285844270754424E-6</c:v>
                </c:pt>
                <c:pt idx="487">
                  <c:v>2.8117465771249073E-6</c:v>
                </c:pt>
                <c:pt idx="488">
                  <c:v>2.6994453807827057E-6</c:v>
                </c:pt>
                <c:pt idx="489">
                  <c:v>2.5915099194362412E-6</c:v>
                </c:pt>
                <c:pt idx="490">
                  <c:v>2.4877754982721711E-6</c:v>
                </c:pt>
                <c:pt idx="491">
                  <c:v>2.3880834288947383E-6</c:v>
                </c:pt>
                <c:pt idx="492">
                  <c:v>2.292280817828285E-6</c:v>
                </c:pt>
                <c:pt idx="493">
                  <c:v>2.2002203637905282E-6</c:v>
                </c:pt>
                <c:pt idx="494">
                  <c:v>2.1117601601838842E-6</c:v>
                </c:pt>
                <c:pt idx="495">
                  <c:v>2.026763505247331E-6</c:v>
                </c:pt>
                <c:pt idx="496">
                  <c:v>1.9450987184255197E-6</c:v>
                </c:pt>
                <c:pt idx="497">
                  <c:v>1.8666389625110469E-6</c:v>
                </c:pt>
                <c:pt idx="498">
                  <c:v>1.7912620723370409E-6</c:v>
                </c:pt>
                <c:pt idx="499">
                  <c:v>1.7188503889098428E-6</c:v>
                </c:pt>
                <c:pt idx="500">
                  <c:v>1.6492905995368901E-6</c:v>
                </c:pt>
                <c:pt idx="501">
                  <c:v>1.5824735827285608E-6</c:v>
                </c:pt>
                <c:pt idx="502">
                  <c:v>1.5182942593172655E-6</c:v>
                </c:pt>
                <c:pt idx="503">
                  <c:v>1.4566514476843651E-6</c:v>
                </c:pt>
                <c:pt idx="504">
                  <c:v>1.3974477248712702E-6</c:v>
                </c:pt>
                <c:pt idx="505">
                  <c:v>1.3405892916873441E-6</c:v>
                </c:pt>
                <c:pt idx="506">
                  <c:v>1.2859858427027859E-6</c:v>
                </c:pt>
                <c:pt idx="507">
                  <c:v>1.2335504409044518E-6</c:v>
                </c:pt>
                <c:pt idx="508">
                  <c:v>1.1831993967925669E-6</c:v>
                </c:pt>
                <c:pt idx="509">
                  <c:v>1.1348521504750408E-6</c:v>
                </c:pt>
                <c:pt idx="510">
                  <c:v>1.0884311598680085E-6</c:v>
                </c:pt>
                <c:pt idx="511">
                  <c:v>1.0438617907837511E-6</c:v>
                </c:pt>
                <c:pt idx="512">
                  <c:v>1.0010722122366644E-6</c:v>
                </c:pt>
                <c:pt idx="513">
                  <c:v>9.5999329408069656E-7</c:v>
                </c:pt>
                <c:pt idx="514">
                  <c:v>9.2055851008687739E-7</c:v>
                </c:pt>
                <c:pt idx="515">
                  <c:v>8.8270384213107178E-7</c:v>
                </c:pt>
                <c:pt idx="516">
                  <c:v>8.463676895997807E-7</c:v>
                </c:pt>
                <c:pt idx="517">
                  <c:v>8.114907810163885E-7</c:v>
                </c:pt>
                <c:pt idx="518">
                  <c:v>7.7801608877603456E-7</c:v>
                </c:pt>
                <c:pt idx="519">
                  <c:v>7.4588874732217647E-7</c:v>
                </c:pt>
                <c:pt idx="520">
                  <c:v>7.1505597398768828E-7</c:v>
                </c:pt>
                <c:pt idx="521">
                  <c:v>6.8546699227844954E-7</c:v>
                </c:pt>
              </c:numCache>
            </c:numRef>
          </c:yVal>
          <c:smooth val="0"/>
          <c:extLst>
            <c:ext xmlns:c16="http://schemas.microsoft.com/office/drawing/2014/chart" uri="{C3380CC4-5D6E-409C-BE32-E72D297353CC}">
              <c16:uniqueId val="{00000004-F12F-4844-BEC0-77590D58AD11}"/>
            </c:ext>
          </c:extLst>
        </c:ser>
        <c:ser>
          <c:idx val="5"/>
          <c:order val="5"/>
          <c:tx>
            <c:v>'No treatmetn PFS'</c:v>
          </c:tx>
          <c:spPr>
            <a:ln w="19050" cap="rnd">
              <a:solidFill>
                <a:schemeClr val="accent6"/>
              </a:solidFill>
              <a:prstDash val="lgDashDotDot"/>
              <a:round/>
            </a:ln>
            <a:effectLst/>
          </c:spPr>
          <c:marker>
            <c:symbol val="none"/>
          </c:marker>
          <c:xVal>
            <c:numRef>
              <c:f>OS!$B$81:$B$602</c:f>
              <c:numCache>
                <c:formatCode>0.00</c:formatCode>
                <c:ptCount val="522"/>
                <c:pt idx="0">
                  <c:v>0</c:v>
                </c:pt>
                <c:pt idx="1">
                  <c:v>7.665982203969883E-2</c:v>
                </c:pt>
                <c:pt idx="2">
                  <c:v>0.15331964407939766</c:v>
                </c:pt>
                <c:pt idx="3">
                  <c:v>0.2299794661190965</c:v>
                </c:pt>
                <c:pt idx="4">
                  <c:v>0.30663928815879532</c:v>
                </c:pt>
                <c:pt idx="5">
                  <c:v>0.38329911019849416</c:v>
                </c:pt>
                <c:pt idx="6">
                  <c:v>0.45995893223819301</c:v>
                </c:pt>
                <c:pt idx="7">
                  <c:v>0.53661875427789185</c:v>
                </c:pt>
                <c:pt idx="8">
                  <c:v>0.61327857631759064</c:v>
                </c:pt>
                <c:pt idx="9">
                  <c:v>0.68993839835728954</c:v>
                </c:pt>
                <c:pt idx="10">
                  <c:v>0.76659822039698833</c:v>
                </c:pt>
                <c:pt idx="11">
                  <c:v>0.84325804243668723</c:v>
                </c:pt>
                <c:pt idx="12">
                  <c:v>0.91991786447638602</c:v>
                </c:pt>
                <c:pt idx="13">
                  <c:v>0.99657768651608492</c:v>
                </c:pt>
                <c:pt idx="14">
                  <c:v>1.0732375085557837</c:v>
                </c:pt>
                <c:pt idx="15">
                  <c:v>1.1498973305954825</c:v>
                </c:pt>
                <c:pt idx="16">
                  <c:v>1.2265571526351813</c:v>
                </c:pt>
                <c:pt idx="17">
                  <c:v>1.3032169746748803</c:v>
                </c:pt>
                <c:pt idx="18">
                  <c:v>1.3798767967145791</c:v>
                </c:pt>
                <c:pt idx="19">
                  <c:v>1.4565366187542779</c:v>
                </c:pt>
                <c:pt idx="20">
                  <c:v>1.5331964407939767</c:v>
                </c:pt>
                <c:pt idx="21">
                  <c:v>1.6098562628336757</c:v>
                </c:pt>
                <c:pt idx="22">
                  <c:v>1.6865160848733745</c:v>
                </c:pt>
                <c:pt idx="23">
                  <c:v>1.7631759069130732</c:v>
                </c:pt>
                <c:pt idx="24">
                  <c:v>1.839835728952772</c:v>
                </c:pt>
                <c:pt idx="25">
                  <c:v>1.9164955509924708</c:v>
                </c:pt>
                <c:pt idx="26">
                  <c:v>1.9931553730321698</c:v>
                </c:pt>
                <c:pt idx="27">
                  <c:v>2.0698151950718686</c:v>
                </c:pt>
                <c:pt idx="28">
                  <c:v>2.1464750171115674</c:v>
                </c:pt>
                <c:pt idx="29">
                  <c:v>2.2231348391512662</c:v>
                </c:pt>
                <c:pt idx="30">
                  <c:v>2.299794661190965</c:v>
                </c:pt>
                <c:pt idx="31">
                  <c:v>2.3764544832306638</c:v>
                </c:pt>
                <c:pt idx="32">
                  <c:v>2.4531143052703626</c:v>
                </c:pt>
                <c:pt idx="33">
                  <c:v>2.5297741273100618</c:v>
                </c:pt>
                <c:pt idx="34">
                  <c:v>2.6064339493497606</c:v>
                </c:pt>
                <c:pt idx="35">
                  <c:v>2.6830937713894594</c:v>
                </c:pt>
                <c:pt idx="36">
                  <c:v>2.7597535934291582</c:v>
                </c:pt>
                <c:pt idx="37">
                  <c:v>2.8364134154688569</c:v>
                </c:pt>
                <c:pt idx="38">
                  <c:v>2.9130732375085557</c:v>
                </c:pt>
                <c:pt idx="39">
                  <c:v>2.9897330595482545</c:v>
                </c:pt>
                <c:pt idx="40">
                  <c:v>3.0663928815879533</c:v>
                </c:pt>
                <c:pt idx="41">
                  <c:v>3.1430527036276521</c:v>
                </c:pt>
                <c:pt idx="42">
                  <c:v>3.2197125256673513</c:v>
                </c:pt>
                <c:pt idx="43">
                  <c:v>3.2963723477070501</c:v>
                </c:pt>
                <c:pt idx="44">
                  <c:v>3.3730321697467489</c:v>
                </c:pt>
                <c:pt idx="45">
                  <c:v>3.4496919917864477</c:v>
                </c:pt>
                <c:pt idx="46">
                  <c:v>3.5263518138261465</c:v>
                </c:pt>
                <c:pt idx="47">
                  <c:v>3.6030116358658453</c:v>
                </c:pt>
                <c:pt idx="48">
                  <c:v>3.6796714579055441</c:v>
                </c:pt>
                <c:pt idx="49">
                  <c:v>3.7563312799452429</c:v>
                </c:pt>
                <c:pt idx="50">
                  <c:v>3.8329911019849416</c:v>
                </c:pt>
                <c:pt idx="51">
                  <c:v>3.9096509240246409</c:v>
                </c:pt>
                <c:pt idx="52">
                  <c:v>3.9863107460643397</c:v>
                </c:pt>
                <c:pt idx="53">
                  <c:v>4.0629705681040384</c:v>
                </c:pt>
                <c:pt idx="54">
                  <c:v>4.1396303901437372</c:v>
                </c:pt>
                <c:pt idx="55">
                  <c:v>4.216290212183436</c:v>
                </c:pt>
                <c:pt idx="56">
                  <c:v>4.2929500342231348</c:v>
                </c:pt>
                <c:pt idx="57">
                  <c:v>4.3696098562628336</c:v>
                </c:pt>
                <c:pt idx="58">
                  <c:v>4.4462696783025324</c:v>
                </c:pt>
                <c:pt idx="59">
                  <c:v>4.5229295003422312</c:v>
                </c:pt>
                <c:pt idx="60">
                  <c:v>4.59958932238193</c:v>
                </c:pt>
                <c:pt idx="61">
                  <c:v>4.6762491444216288</c:v>
                </c:pt>
                <c:pt idx="62">
                  <c:v>4.7529089664613275</c:v>
                </c:pt>
                <c:pt idx="63">
                  <c:v>4.8295687885010263</c:v>
                </c:pt>
                <c:pt idx="64">
                  <c:v>4.9062286105407251</c:v>
                </c:pt>
                <c:pt idx="65">
                  <c:v>4.9828884325804248</c:v>
                </c:pt>
                <c:pt idx="66">
                  <c:v>5.0595482546201236</c:v>
                </c:pt>
                <c:pt idx="67">
                  <c:v>5.1362080766598224</c:v>
                </c:pt>
                <c:pt idx="68">
                  <c:v>5.2128678986995212</c:v>
                </c:pt>
                <c:pt idx="69">
                  <c:v>5.28952772073922</c:v>
                </c:pt>
                <c:pt idx="70">
                  <c:v>5.3661875427789187</c:v>
                </c:pt>
                <c:pt idx="71">
                  <c:v>5.4428473648186175</c:v>
                </c:pt>
                <c:pt idx="72">
                  <c:v>5.5195071868583163</c:v>
                </c:pt>
                <c:pt idx="73">
                  <c:v>5.5961670088980151</c:v>
                </c:pt>
                <c:pt idx="74">
                  <c:v>5.6728268309377139</c:v>
                </c:pt>
                <c:pt idx="75">
                  <c:v>5.7494866529774127</c:v>
                </c:pt>
                <c:pt idx="76">
                  <c:v>5.8261464750171115</c:v>
                </c:pt>
                <c:pt idx="77">
                  <c:v>5.9028062970568103</c:v>
                </c:pt>
                <c:pt idx="78">
                  <c:v>5.979466119096509</c:v>
                </c:pt>
                <c:pt idx="79">
                  <c:v>6.0561259411362078</c:v>
                </c:pt>
                <c:pt idx="80">
                  <c:v>6.1327857631759066</c:v>
                </c:pt>
                <c:pt idx="81">
                  <c:v>6.2094455852156054</c:v>
                </c:pt>
                <c:pt idx="82">
                  <c:v>6.2861054072553042</c:v>
                </c:pt>
                <c:pt idx="83">
                  <c:v>6.362765229295003</c:v>
                </c:pt>
                <c:pt idx="84">
                  <c:v>6.4394250513347027</c:v>
                </c:pt>
                <c:pt idx="85">
                  <c:v>6.5160848733744015</c:v>
                </c:pt>
                <c:pt idx="86">
                  <c:v>6.5927446954141002</c:v>
                </c:pt>
                <c:pt idx="87">
                  <c:v>6.669404517453799</c:v>
                </c:pt>
                <c:pt idx="88">
                  <c:v>6.7460643394934978</c:v>
                </c:pt>
                <c:pt idx="89">
                  <c:v>6.8227241615331966</c:v>
                </c:pt>
                <c:pt idx="90">
                  <c:v>6.8993839835728954</c:v>
                </c:pt>
                <c:pt idx="91">
                  <c:v>6.9760438056125942</c:v>
                </c:pt>
                <c:pt idx="92">
                  <c:v>7.052703627652293</c:v>
                </c:pt>
                <c:pt idx="93">
                  <c:v>7.1293634496919918</c:v>
                </c:pt>
                <c:pt idx="94">
                  <c:v>7.2060232717316905</c:v>
                </c:pt>
                <c:pt idx="95">
                  <c:v>7.2826830937713893</c:v>
                </c:pt>
                <c:pt idx="96">
                  <c:v>7.3593429158110881</c:v>
                </c:pt>
                <c:pt idx="97">
                  <c:v>7.4360027378507869</c:v>
                </c:pt>
                <c:pt idx="98">
                  <c:v>7.5126625598904857</c:v>
                </c:pt>
                <c:pt idx="99">
                  <c:v>7.5893223819301845</c:v>
                </c:pt>
                <c:pt idx="100">
                  <c:v>7.6659822039698833</c:v>
                </c:pt>
                <c:pt idx="101">
                  <c:v>7.7426420260095821</c:v>
                </c:pt>
                <c:pt idx="102">
                  <c:v>7.8193018480492817</c:v>
                </c:pt>
                <c:pt idx="103">
                  <c:v>7.8959616700889805</c:v>
                </c:pt>
                <c:pt idx="104">
                  <c:v>7.9726214921286793</c:v>
                </c:pt>
                <c:pt idx="105">
                  <c:v>8.0492813141683772</c:v>
                </c:pt>
                <c:pt idx="106">
                  <c:v>8.1259411362080769</c:v>
                </c:pt>
                <c:pt idx="107">
                  <c:v>8.2026009582477748</c:v>
                </c:pt>
                <c:pt idx="108">
                  <c:v>8.2792607802874745</c:v>
                </c:pt>
                <c:pt idx="109">
                  <c:v>8.3559206023271724</c:v>
                </c:pt>
                <c:pt idx="110">
                  <c:v>8.4325804243668721</c:v>
                </c:pt>
                <c:pt idx="111">
                  <c:v>8.5092402464065717</c:v>
                </c:pt>
                <c:pt idx="112">
                  <c:v>8.5859000684462696</c:v>
                </c:pt>
                <c:pt idx="113">
                  <c:v>8.6625598904859693</c:v>
                </c:pt>
                <c:pt idx="114">
                  <c:v>8.7392197125256672</c:v>
                </c:pt>
                <c:pt idx="115">
                  <c:v>8.8158795345653669</c:v>
                </c:pt>
                <c:pt idx="116">
                  <c:v>8.8925393566050648</c:v>
                </c:pt>
                <c:pt idx="117">
                  <c:v>8.9691991786447645</c:v>
                </c:pt>
                <c:pt idx="118">
                  <c:v>9.0458590006844624</c:v>
                </c:pt>
                <c:pt idx="119">
                  <c:v>9.122518822724162</c:v>
                </c:pt>
                <c:pt idx="120">
                  <c:v>9.1991786447638599</c:v>
                </c:pt>
                <c:pt idx="121">
                  <c:v>9.2758384668035596</c:v>
                </c:pt>
                <c:pt idx="122">
                  <c:v>9.3524982888432575</c:v>
                </c:pt>
                <c:pt idx="123">
                  <c:v>9.4291581108829572</c:v>
                </c:pt>
                <c:pt idx="124">
                  <c:v>9.5058179329226551</c:v>
                </c:pt>
                <c:pt idx="125">
                  <c:v>9.5824777549623548</c:v>
                </c:pt>
                <c:pt idx="126">
                  <c:v>9.6591375770020527</c:v>
                </c:pt>
                <c:pt idx="127">
                  <c:v>9.7357973990417523</c:v>
                </c:pt>
                <c:pt idx="128">
                  <c:v>9.8124572210814502</c:v>
                </c:pt>
                <c:pt idx="129">
                  <c:v>9.8891170431211499</c:v>
                </c:pt>
                <c:pt idx="130">
                  <c:v>9.9657768651608496</c:v>
                </c:pt>
                <c:pt idx="131">
                  <c:v>10.042436687200547</c:v>
                </c:pt>
                <c:pt idx="132">
                  <c:v>10.119096509240247</c:v>
                </c:pt>
                <c:pt idx="133">
                  <c:v>10.195756331279945</c:v>
                </c:pt>
                <c:pt idx="134">
                  <c:v>10.272416153319645</c:v>
                </c:pt>
                <c:pt idx="135">
                  <c:v>10.349075975359343</c:v>
                </c:pt>
                <c:pt idx="136">
                  <c:v>10.425735797399042</c:v>
                </c:pt>
                <c:pt idx="137">
                  <c:v>10.50239561943874</c:v>
                </c:pt>
                <c:pt idx="138">
                  <c:v>10.57905544147844</c:v>
                </c:pt>
                <c:pt idx="139">
                  <c:v>10.655715263518138</c:v>
                </c:pt>
                <c:pt idx="140">
                  <c:v>10.732375085557837</c:v>
                </c:pt>
                <c:pt idx="141">
                  <c:v>10.809034907597535</c:v>
                </c:pt>
                <c:pt idx="142">
                  <c:v>10.885694729637235</c:v>
                </c:pt>
                <c:pt idx="143">
                  <c:v>10.962354551676933</c:v>
                </c:pt>
                <c:pt idx="144">
                  <c:v>11.039014373716633</c:v>
                </c:pt>
                <c:pt idx="145">
                  <c:v>11.115674195756331</c:v>
                </c:pt>
                <c:pt idx="146">
                  <c:v>11.19233401779603</c:v>
                </c:pt>
                <c:pt idx="147">
                  <c:v>11.268993839835728</c:v>
                </c:pt>
                <c:pt idx="148">
                  <c:v>11.345653661875428</c:v>
                </c:pt>
                <c:pt idx="149">
                  <c:v>11.422313483915127</c:v>
                </c:pt>
                <c:pt idx="150">
                  <c:v>11.498973305954825</c:v>
                </c:pt>
                <c:pt idx="151">
                  <c:v>11.575633127994525</c:v>
                </c:pt>
                <c:pt idx="152">
                  <c:v>11.652292950034223</c:v>
                </c:pt>
                <c:pt idx="153">
                  <c:v>11.728952772073923</c:v>
                </c:pt>
                <c:pt idx="154">
                  <c:v>11.805612594113621</c:v>
                </c:pt>
                <c:pt idx="155">
                  <c:v>11.88227241615332</c:v>
                </c:pt>
                <c:pt idx="156">
                  <c:v>11.958932238193018</c:v>
                </c:pt>
                <c:pt idx="157">
                  <c:v>12.035592060232718</c:v>
                </c:pt>
                <c:pt idx="158">
                  <c:v>12.112251882272416</c:v>
                </c:pt>
                <c:pt idx="159">
                  <c:v>12.188911704312115</c:v>
                </c:pt>
                <c:pt idx="160">
                  <c:v>12.265571526351813</c:v>
                </c:pt>
                <c:pt idx="161">
                  <c:v>12.342231348391513</c:v>
                </c:pt>
                <c:pt idx="162">
                  <c:v>12.418891170431211</c:v>
                </c:pt>
                <c:pt idx="163">
                  <c:v>12.495550992470911</c:v>
                </c:pt>
                <c:pt idx="164">
                  <c:v>12.572210814510608</c:v>
                </c:pt>
                <c:pt idx="165">
                  <c:v>12.648870636550308</c:v>
                </c:pt>
                <c:pt idx="166">
                  <c:v>12.725530458590006</c:v>
                </c:pt>
                <c:pt idx="167">
                  <c:v>12.802190280629706</c:v>
                </c:pt>
                <c:pt idx="168">
                  <c:v>12.878850102669405</c:v>
                </c:pt>
                <c:pt idx="169">
                  <c:v>12.955509924709103</c:v>
                </c:pt>
                <c:pt idx="170">
                  <c:v>13.032169746748803</c:v>
                </c:pt>
                <c:pt idx="171">
                  <c:v>13.108829568788501</c:v>
                </c:pt>
                <c:pt idx="172">
                  <c:v>13.1854893908282</c:v>
                </c:pt>
                <c:pt idx="173">
                  <c:v>13.262149212867898</c:v>
                </c:pt>
                <c:pt idx="174">
                  <c:v>13.338809034907598</c:v>
                </c:pt>
                <c:pt idx="175">
                  <c:v>13.415468856947296</c:v>
                </c:pt>
                <c:pt idx="176">
                  <c:v>13.492128678986996</c:v>
                </c:pt>
                <c:pt idx="177">
                  <c:v>13.568788501026694</c:v>
                </c:pt>
                <c:pt idx="178">
                  <c:v>13.645448323066393</c:v>
                </c:pt>
                <c:pt idx="179">
                  <c:v>13.722108145106091</c:v>
                </c:pt>
                <c:pt idx="180">
                  <c:v>13.798767967145791</c:v>
                </c:pt>
                <c:pt idx="181">
                  <c:v>13.875427789185489</c:v>
                </c:pt>
                <c:pt idx="182">
                  <c:v>13.952087611225188</c:v>
                </c:pt>
                <c:pt idx="183">
                  <c:v>14.028747433264886</c:v>
                </c:pt>
                <c:pt idx="184">
                  <c:v>14.105407255304586</c:v>
                </c:pt>
                <c:pt idx="185">
                  <c:v>14.182067077344286</c:v>
                </c:pt>
                <c:pt idx="186">
                  <c:v>14.258726899383984</c:v>
                </c:pt>
                <c:pt idx="187">
                  <c:v>14.335386721423683</c:v>
                </c:pt>
                <c:pt idx="188">
                  <c:v>14.412046543463381</c:v>
                </c:pt>
                <c:pt idx="189">
                  <c:v>14.488706365503081</c:v>
                </c:pt>
                <c:pt idx="190">
                  <c:v>14.565366187542779</c:v>
                </c:pt>
                <c:pt idx="191">
                  <c:v>14.642026009582478</c:v>
                </c:pt>
                <c:pt idx="192">
                  <c:v>14.718685831622176</c:v>
                </c:pt>
                <c:pt idx="193">
                  <c:v>14.795345653661876</c:v>
                </c:pt>
                <c:pt idx="194">
                  <c:v>14.872005475701574</c:v>
                </c:pt>
                <c:pt idx="195">
                  <c:v>14.948665297741274</c:v>
                </c:pt>
                <c:pt idx="196">
                  <c:v>15.025325119780971</c:v>
                </c:pt>
                <c:pt idx="197">
                  <c:v>15.101984941820671</c:v>
                </c:pt>
                <c:pt idx="198">
                  <c:v>15.178644763860369</c:v>
                </c:pt>
                <c:pt idx="199">
                  <c:v>15.255304585900069</c:v>
                </c:pt>
                <c:pt idx="200">
                  <c:v>15.331964407939767</c:v>
                </c:pt>
                <c:pt idx="201">
                  <c:v>15.408624229979466</c:v>
                </c:pt>
                <c:pt idx="202">
                  <c:v>15.485284052019164</c:v>
                </c:pt>
                <c:pt idx="203">
                  <c:v>15.561943874058864</c:v>
                </c:pt>
                <c:pt idx="204">
                  <c:v>15.638603696098563</c:v>
                </c:pt>
                <c:pt idx="205">
                  <c:v>15.715263518138261</c:v>
                </c:pt>
                <c:pt idx="206">
                  <c:v>15.791923340177961</c:v>
                </c:pt>
                <c:pt idx="207">
                  <c:v>15.868583162217659</c:v>
                </c:pt>
                <c:pt idx="208">
                  <c:v>15.945242984257359</c:v>
                </c:pt>
                <c:pt idx="209">
                  <c:v>16.021902806297057</c:v>
                </c:pt>
                <c:pt idx="210">
                  <c:v>16.098562628336754</c:v>
                </c:pt>
                <c:pt idx="211">
                  <c:v>16.175222450376456</c:v>
                </c:pt>
                <c:pt idx="212">
                  <c:v>16.251882272416154</c:v>
                </c:pt>
                <c:pt idx="213">
                  <c:v>16.328542094455852</c:v>
                </c:pt>
                <c:pt idx="214">
                  <c:v>16.40520191649555</c:v>
                </c:pt>
                <c:pt idx="215">
                  <c:v>16.481861738535251</c:v>
                </c:pt>
                <c:pt idx="216">
                  <c:v>16.558521560574949</c:v>
                </c:pt>
                <c:pt idx="217">
                  <c:v>16.635181382614647</c:v>
                </c:pt>
                <c:pt idx="218">
                  <c:v>16.711841204654345</c:v>
                </c:pt>
                <c:pt idx="219">
                  <c:v>16.788501026694046</c:v>
                </c:pt>
                <c:pt idx="220">
                  <c:v>16.865160848733744</c:v>
                </c:pt>
                <c:pt idx="221">
                  <c:v>16.941820670773442</c:v>
                </c:pt>
                <c:pt idx="222">
                  <c:v>17.018480492813143</c:v>
                </c:pt>
                <c:pt idx="223">
                  <c:v>17.095140314852841</c:v>
                </c:pt>
                <c:pt idx="224">
                  <c:v>17.171800136892539</c:v>
                </c:pt>
                <c:pt idx="225">
                  <c:v>17.248459958932237</c:v>
                </c:pt>
                <c:pt idx="226">
                  <c:v>17.325119780971939</c:v>
                </c:pt>
                <c:pt idx="227">
                  <c:v>17.401779603011637</c:v>
                </c:pt>
                <c:pt idx="228">
                  <c:v>17.478439425051334</c:v>
                </c:pt>
                <c:pt idx="229">
                  <c:v>17.555099247091032</c:v>
                </c:pt>
                <c:pt idx="230">
                  <c:v>17.631759069130734</c:v>
                </c:pt>
                <c:pt idx="231">
                  <c:v>17.708418891170432</c:v>
                </c:pt>
                <c:pt idx="232">
                  <c:v>17.78507871321013</c:v>
                </c:pt>
                <c:pt idx="233">
                  <c:v>17.861738535249827</c:v>
                </c:pt>
                <c:pt idx="234">
                  <c:v>17.938398357289529</c:v>
                </c:pt>
                <c:pt idx="235">
                  <c:v>18.015058179329227</c:v>
                </c:pt>
                <c:pt idx="236">
                  <c:v>18.091718001368925</c:v>
                </c:pt>
                <c:pt idx="237">
                  <c:v>18.168377823408623</c:v>
                </c:pt>
                <c:pt idx="238">
                  <c:v>18.245037645448324</c:v>
                </c:pt>
                <c:pt idx="239">
                  <c:v>18.321697467488022</c:v>
                </c:pt>
                <c:pt idx="240">
                  <c:v>18.39835728952772</c:v>
                </c:pt>
                <c:pt idx="241">
                  <c:v>18.475017111567421</c:v>
                </c:pt>
                <c:pt idx="242">
                  <c:v>18.551676933607119</c:v>
                </c:pt>
                <c:pt idx="243">
                  <c:v>18.628336755646817</c:v>
                </c:pt>
                <c:pt idx="244">
                  <c:v>18.704996577686515</c:v>
                </c:pt>
                <c:pt idx="245">
                  <c:v>18.781656399726216</c:v>
                </c:pt>
                <c:pt idx="246">
                  <c:v>18.858316221765914</c:v>
                </c:pt>
                <c:pt idx="247">
                  <c:v>18.934976043805612</c:v>
                </c:pt>
                <c:pt idx="248">
                  <c:v>19.01163586584531</c:v>
                </c:pt>
                <c:pt idx="249">
                  <c:v>19.088295687885012</c:v>
                </c:pt>
                <c:pt idx="250">
                  <c:v>19.16495550992471</c:v>
                </c:pt>
                <c:pt idx="251">
                  <c:v>19.241615331964407</c:v>
                </c:pt>
                <c:pt idx="252">
                  <c:v>19.318275154004105</c:v>
                </c:pt>
                <c:pt idx="253">
                  <c:v>19.394934976043807</c:v>
                </c:pt>
                <c:pt idx="254">
                  <c:v>19.471594798083505</c:v>
                </c:pt>
                <c:pt idx="255">
                  <c:v>19.548254620123203</c:v>
                </c:pt>
                <c:pt idx="256">
                  <c:v>19.6249144421629</c:v>
                </c:pt>
                <c:pt idx="257">
                  <c:v>19.701574264202602</c:v>
                </c:pt>
                <c:pt idx="258">
                  <c:v>19.7782340862423</c:v>
                </c:pt>
                <c:pt idx="259">
                  <c:v>19.854893908281998</c:v>
                </c:pt>
                <c:pt idx="260">
                  <c:v>19.931553730321699</c:v>
                </c:pt>
                <c:pt idx="261">
                  <c:v>20.008213552361397</c:v>
                </c:pt>
                <c:pt idx="262">
                  <c:v>20.084873374401095</c:v>
                </c:pt>
                <c:pt idx="263">
                  <c:v>20.161533196440793</c:v>
                </c:pt>
                <c:pt idx="264">
                  <c:v>20.238193018480494</c:v>
                </c:pt>
                <c:pt idx="265">
                  <c:v>20.314852840520192</c:v>
                </c:pt>
                <c:pt idx="266">
                  <c:v>20.39151266255989</c:v>
                </c:pt>
                <c:pt idx="267">
                  <c:v>20.468172484599588</c:v>
                </c:pt>
                <c:pt idx="268">
                  <c:v>20.544832306639289</c:v>
                </c:pt>
                <c:pt idx="269">
                  <c:v>20.621492128678987</c:v>
                </c:pt>
                <c:pt idx="270">
                  <c:v>20.698151950718685</c:v>
                </c:pt>
                <c:pt idx="271">
                  <c:v>20.774811772758383</c:v>
                </c:pt>
                <c:pt idx="272">
                  <c:v>20.851471594798085</c:v>
                </c:pt>
                <c:pt idx="273">
                  <c:v>20.928131416837783</c:v>
                </c:pt>
                <c:pt idx="274">
                  <c:v>21.00479123887748</c:v>
                </c:pt>
                <c:pt idx="275">
                  <c:v>21.081451060917178</c:v>
                </c:pt>
                <c:pt idx="276">
                  <c:v>21.15811088295688</c:v>
                </c:pt>
                <c:pt idx="277">
                  <c:v>21.234770704996578</c:v>
                </c:pt>
                <c:pt idx="278">
                  <c:v>21.311430527036276</c:v>
                </c:pt>
                <c:pt idx="279">
                  <c:v>21.388090349075977</c:v>
                </c:pt>
                <c:pt idx="280">
                  <c:v>21.464750171115675</c:v>
                </c:pt>
                <c:pt idx="281">
                  <c:v>21.541409993155373</c:v>
                </c:pt>
                <c:pt idx="282">
                  <c:v>21.618069815195071</c:v>
                </c:pt>
                <c:pt idx="283">
                  <c:v>21.694729637234772</c:v>
                </c:pt>
                <c:pt idx="284">
                  <c:v>21.77138945927447</c:v>
                </c:pt>
                <c:pt idx="285">
                  <c:v>21.848049281314168</c:v>
                </c:pt>
                <c:pt idx="286">
                  <c:v>21.924709103353866</c:v>
                </c:pt>
                <c:pt idx="287">
                  <c:v>22.001368925393567</c:v>
                </c:pt>
                <c:pt idx="288">
                  <c:v>22.078028747433265</c:v>
                </c:pt>
                <c:pt idx="289">
                  <c:v>22.154688569472963</c:v>
                </c:pt>
                <c:pt idx="290">
                  <c:v>22.231348391512661</c:v>
                </c:pt>
                <c:pt idx="291">
                  <c:v>22.308008213552363</c:v>
                </c:pt>
                <c:pt idx="292">
                  <c:v>22.38466803559206</c:v>
                </c:pt>
                <c:pt idx="293">
                  <c:v>22.461327857631758</c:v>
                </c:pt>
                <c:pt idx="294">
                  <c:v>22.537987679671456</c:v>
                </c:pt>
                <c:pt idx="295">
                  <c:v>22.614647501711158</c:v>
                </c:pt>
                <c:pt idx="296">
                  <c:v>22.691307323750856</c:v>
                </c:pt>
                <c:pt idx="297">
                  <c:v>22.767967145790553</c:v>
                </c:pt>
                <c:pt idx="298">
                  <c:v>22.844626967830255</c:v>
                </c:pt>
                <c:pt idx="299">
                  <c:v>22.921286789869953</c:v>
                </c:pt>
                <c:pt idx="300">
                  <c:v>22.997946611909651</c:v>
                </c:pt>
                <c:pt idx="301">
                  <c:v>23.074606433949349</c:v>
                </c:pt>
                <c:pt idx="302">
                  <c:v>23.15126625598905</c:v>
                </c:pt>
                <c:pt idx="303">
                  <c:v>23.227926078028748</c:v>
                </c:pt>
                <c:pt idx="304">
                  <c:v>23.304585900068446</c:v>
                </c:pt>
                <c:pt idx="305">
                  <c:v>23.381245722108144</c:v>
                </c:pt>
                <c:pt idx="306">
                  <c:v>23.457905544147845</c:v>
                </c:pt>
                <c:pt idx="307">
                  <c:v>23.534565366187543</c:v>
                </c:pt>
                <c:pt idx="308">
                  <c:v>23.611225188227241</c:v>
                </c:pt>
                <c:pt idx="309">
                  <c:v>23.687885010266939</c:v>
                </c:pt>
                <c:pt idx="310">
                  <c:v>23.76454483230664</c:v>
                </c:pt>
                <c:pt idx="311">
                  <c:v>23.841204654346338</c:v>
                </c:pt>
                <c:pt idx="312">
                  <c:v>23.917864476386036</c:v>
                </c:pt>
                <c:pt idx="313">
                  <c:v>23.994524298425734</c:v>
                </c:pt>
                <c:pt idx="314">
                  <c:v>24.071184120465436</c:v>
                </c:pt>
                <c:pt idx="315">
                  <c:v>24.147843942505133</c:v>
                </c:pt>
                <c:pt idx="316">
                  <c:v>24.224503764544831</c:v>
                </c:pt>
                <c:pt idx="317">
                  <c:v>24.301163586584533</c:v>
                </c:pt>
                <c:pt idx="318">
                  <c:v>24.377823408624231</c:v>
                </c:pt>
                <c:pt idx="319">
                  <c:v>24.454483230663929</c:v>
                </c:pt>
                <c:pt idx="320">
                  <c:v>24.531143052703626</c:v>
                </c:pt>
                <c:pt idx="321">
                  <c:v>24.607802874743328</c:v>
                </c:pt>
                <c:pt idx="322">
                  <c:v>24.684462696783026</c:v>
                </c:pt>
                <c:pt idx="323">
                  <c:v>24.761122518822724</c:v>
                </c:pt>
                <c:pt idx="324">
                  <c:v>24.837782340862422</c:v>
                </c:pt>
                <c:pt idx="325">
                  <c:v>24.914442162902123</c:v>
                </c:pt>
                <c:pt idx="326">
                  <c:v>24.991101984941821</c:v>
                </c:pt>
                <c:pt idx="327">
                  <c:v>25.067761806981519</c:v>
                </c:pt>
                <c:pt idx="328">
                  <c:v>25.144421629021217</c:v>
                </c:pt>
                <c:pt idx="329">
                  <c:v>25.221081451060918</c:v>
                </c:pt>
                <c:pt idx="330">
                  <c:v>25.297741273100616</c:v>
                </c:pt>
                <c:pt idx="331">
                  <c:v>25.374401095140314</c:v>
                </c:pt>
                <c:pt idx="332">
                  <c:v>25.451060917180012</c:v>
                </c:pt>
                <c:pt idx="333">
                  <c:v>25.527720739219713</c:v>
                </c:pt>
                <c:pt idx="334">
                  <c:v>25.604380561259411</c:v>
                </c:pt>
                <c:pt idx="335">
                  <c:v>25.681040383299109</c:v>
                </c:pt>
                <c:pt idx="336">
                  <c:v>25.757700205338811</c:v>
                </c:pt>
                <c:pt idx="337">
                  <c:v>25.834360027378509</c:v>
                </c:pt>
                <c:pt idx="338">
                  <c:v>25.911019849418206</c:v>
                </c:pt>
                <c:pt idx="339">
                  <c:v>25.987679671457904</c:v>
                </c:pt>
                <c:pt idx="340">
                  <c:v>26.064339493497606</c:v>
                </c:pt>
                <c:pt idx="341">
                  <c:v>26.140999315537304</c:v>
                </c:pt>
                <c:pt idx="342">
                  <c:v>26.217659137577002</c:v>
                </c:pt>
                <c:pt idx="343">
                  <c:v>26.2943189596167</c:v>
                </c:pt>
                <c:pt idx="344">
                  <c:v>26.370978781656401</c:v>
                </c:pt>
                <c:pt idx="345">
                  <c:v>26.447638603696099</c:v>
                </c:pt>
                <c:pt idx="346">
                  <c:v>26.524298425735797</c:v>
                </c:pt>
                <c:pt idx="347">
                  <c:v>26.600958247775495</c:v>
                </c:pt>
                <c:pt idx="348">
                  <c:v>26.677618069815196</c:v>
                </c:pt>
                <c:pt idx="349">
                  <c:v>26.754277891854894</c:v>
                </c:pt>
                <c:pt idx="350">
                  <c:v>26.830937713894592</c:v>
                </c:pt>
                <c:pt idx="351">
                  <c:v>26.90759753593429</c:v>
                </c:pt>
                <c:pt idx="352">
                  <c:v>26.984257357973991</c:v>
                </c:pt>
                <c:pt idx="353">
                  <c:v>27.060917180013689</c:v>
                </c:pt>
                <c:pt idx="354">
                  <c:v>27.137577002053387</c:v>
                </c:pt>
                <c:pt idx="355">
                  <c:v>27.214236824093089</c:v>
                </c:pt>
                <c:pt idx="356">
                  <c:v>27.290896646132786</c:v>
                </c:pt>
                <c:pt idx="357">
                  <c:v>27.367556468172484</c:v>
                </c:pt>
                <c:pt idx="358">
                  <c:v>27.444216290212182</c:v>
                </c:pt>
                <c:pt idx="359">
                  <c:v>27.520876112251884</c:v>
                </c:pt>
                <c:pt idx="360">
                  <c:v>27.597535934291582</c:v>
                </c:pt>
                <c:pt idx="361">
                  <c:v>27.674195756331279</c:v>
                </c:pt>
                <c:pt idx="362">
                  <c:v>27.750855578370977</c:v>
                </c:pt>
                <c:pt idx="363">
                  <c:v>27.827515400410679</c:v>
                </c:pt>
                <c:pt idx="364">
                  <c:v>27.904175222450377</c:v>
                </c:pt>
                <c:pt idx="365">
                  <c:v>27.980835044490075</c:v>
                </c:pt>
                <c:pt idx="366">
                  <c:v>28.057494866529773</c:v>
                </c:pt>
                <c:pt idx="367">
                  <c:v>28.134154688569474</c:v>
                </c:pt>
                <c:pt idx="368">
                  <c:v>28.210814510609172</c:v>
                </c:pt>
                <c:pt idx="369">
                  <c:v>28.28747433264887</c:v>
                </c:pt>
                <c:pt idx="370">
                  <c:v>28.364134154688571</c:v>
                </c:pt>
                <c:pt idx="371">
                  <c:v>28.440793976728269</c:v>
                </c:pt>
                <c:pt idx="372">
                  <c:v>28.517453798767967</c:v>
                </c:pt>
                <c:pt idx="373">
                  <c:v>28.594113620807665</c:v>
                </c:pt>
                <c:pt idx="374">
                  <c:v>28.670773442847366</c:v>
                </c:pt>
                <c:pt idx="375">
                  <c:v>28.747433264887064</c:v>
                </c:pt>
                <c:pt idx="376">
                  <c:v>28.824093086926762</c:v>
                </c:pt>
                <c:pt idx="377">
                  <c:v>28.90075290896646</c:v>
                </c:pt>
                <c:pt idx="378">
                  <c:v>28.977412731006162</c:v>
                </c:pt>
                <c:pt idx="379">
                  <c:v>29.054072553045859</c:v>
                </c:pt>
                <c:pt idx="380">
                  <c:v>29.130732375085557</c:v>
                </c:pt>
                <c:pt idx="381">
                  <c:v>29.207392197125255</c:v>
                </c:pt>
                <c:pt idx="382">
                  <c:v>29.284052019164957</c:v>
                </c:pt>
                <c:pt idx="383">
                  <c:v>29.360711841204655</c:v>
                </c:pt>
                <c:pt idx="384">
                  <c:v>29.437371663244353</c:v>
                </c:pt>
                <c:pt idx="385">
                  <c:v>29.51403148528405</c:v>
                </c:pt>
                <c:pt idx="386">
                  <c:v>29.590691307323752</c:v>
                </c:pt>
                <c:pt idx="387">
                  <c:v>29.66735112936345</c:v>
                </c:pt>
                <c:pt idx="388">
                  <c:v>29.744010951403148</c:v>
                </c:pt>
                <c:pt idx="389">
                  <c:v>29.820670773442849</c:v>
                </c:pt>
                <c:pt idx="390">
                  <c:v>29.897330595482547</c:v>
                </c:pt>
                <c:pt idx="391">
                  <c:v>29.973990417522245</c:v>
                </c:pt>
                <c:pt idx="392">
                  <c:v>30.050650239561943</c:v>
                </c:pt>
                <c:pt idx="393">
                  <c:v>30.127310061601644</c:v>
                </c:pt>
                <c:pt idx="394">
                  <c:v>30.203969883641342</c:v>
                </c:pt>
                <c:pt idx="395">
                  <c:v>30.28062970568104</c:v>
                </c:pt>
                <c:pt idx="396">
                  <c:v>30.357289527720738</c:v>
                </c:pt>
                <c:pt idx="397">
                  <c:v>30.433949349760439</c:v>
                </c:pt>
                <c:pt idx="398">
                  <c:v>30.510609171800137</c:v>
                </c:pt>
                <c:pt idx="399">
                  <c:v>30.587268993839835</c:v>
                </c:pt>
                <c:pt idx="400">
                  <c:v>30.663928815879533</c:v>
                </c:pt>
                <c:pt idx="401">
                  <c:v>30.740588637919235</c:v>
                </c:pt>
                <c:pt idx="402">
                  <c:v>30.817248459958932</c:v>
                </c:pt>
                <c:pt idx="403">
                  <c:v>30.89390828199863</c:v>
                </c:pt>
                <c:pt idx="404">
                  <c:v>30.970568104038328</c:v>
                </c:pt>
                <c:pt idx="405">
                  <c:v>31.04722792607803</c:v>
                </c:pt>
                <c:pt idx="406">
                  <c:v>31.123887748117728</c:v>
                </c:pt>
                <c:pt idx="407">
                  <c:v>31.200547570157426</c:v>
                </c:pt>
                <c:pt idx="408">
                  <c:v>31.277207392197127</c:v>
                </c:pt>
                <c:pt idx="409">
                  <c:v>31.353867214236825</c:v>
                </c:pt>
                <c:pt idx="410">
                  <c:v>31.430527036276523</c:v>
                </c:pt>
                <c:pt idx="411">
                  <c:v>31.507186858316221</c:v>
                </c:pt>
                <c:pt idx="412">
                  <c:v>31.583846680355922</c:v>
                </c:pt>
                <c:pt idx="413">
                  <c:v>31.66050650239562</c:v>
                </c:pt>
                <c:pt idx="414">
                  <c:v>31.737166324435318</c:v>
                </c:pt>
                <c:pt idx="415">
                  <c:v>31.813826146475016</c:v>
                </c:pt>
                <c:pt idx="416">
                  <c:v>31.890485968514717</c:v>
                </c:pt>
                <c:pt idx="417">
                  <c:v>31.967145790554415</c:v>
                </c:pt>
                <c:pt idx="418">
                  <c:v>32.043805612594113</c:v>
                </c:pt>
                <c:pt idx="419">
                  <c:v>32.120465434633815</c:v>
                </c:pt>
                <c:pt idx="420">
                  <c:v>32.197125256673509</c:v>
                </c:pt>
                <c:pt idx="421">
                  <c:v>32.27378507871321</c:v>
                </c:pt>
                <c:pt idx="422">
                  <c:v>32.350444900752912</c:v>
                </c:pt>
                <c:pt idx="423">
                  <c:v>32.427104722792606</c:v>
                </c:pt>
                <c:pt idx="424">
                  <c:v>32.503764544832308</c:v>
                </c:pt>
                <c:pt idx="425">
                  <c:v>32.580424366872002</c:v>
                </c:pt>
                <c:pt idx="426">
                  <c:v>32.657084188911703</c:v>
                </c:pt>
                <c:pt idx="427">
                  <c:v>32.733744010951405</c:v>
                </c:pt>
                <c:pt idx="428">
                  <c:v>32.810403832991099</c:v>
                </c:pt>
                <c:pt idx="429">
                  <c:v>32.887063655030801</c:v>
                </c:pt>
                <c:pt idx="430">
                  <c:v>32.963723477070502</c:v>
                </c:pt>
                <c:pt idx="431">
                  <c:v>33.040383299110196</c:v>
                </c:pt>
                <c:pt idx="432">
                  <c:v>33.117043121149898</c:v>
                </c:pt>
                <c:pt idx="433">
                  <c:v>33.193702943189599</c:v>
                </c:pt>
                <c:pt idx="434">
                  <c:v>33.270362765229294</c:v>
                </c:pt>
                <c:pt idx="435">
                  <c:v>33.347022587268995</c:v>
                </c:pt>
                <c:pt idx="436">
                  <c:v>33.42368240930869</c:v>
                </c:pt>
                <c:pt idx="437">
                  <c:v>33.500342231348391</c:v>
                </c:pt>
                <c:pt idx="438">
                  <c:v>33.577002053388092</c:v>
                </c:pt>
                <c:pt idx="439">
                  <c:v>33.653661875427787</c:v>
                </c:pt>
                <c:pt idx="440">
                  <c:v>33.730321697467488</c:v>
                </c:pt>
                <c:pt idx="441">
                  <c:v>33.80698151950719</c:v>
                </c:pt>
                <c:pt idx="442">
                  <c:v>33.883641341546884</c:v>
                </c:pt>
                <c:pt idx="443">
                  <c:v>33.960301163586585</c:v>
                </c:pt>
                <c:pt idx="444">
                  <c:v>34.036960985626287</c:v>
                </c:pt>
                <c:pt idx="445">
                  <c:v>34.113620807665981</c:v>
                </c:pt>
                <c:pt idx="446">
                  <c:v>34.190280629705683</c:v>
                </c:pt>
                <c:pt idx="447">
                  <c:v>34.266940451745377</c:v>
                </c:pt>
                <c:pt idx="448">
                  <c:v>34.343600273785079</c:v>
                </c:pt>
                <c:pt idx="449">
                  <c:v>34.42026009582478</c:v>
                </c:pt>
                <c:pt idx="450">
                  <c:v>34.496919917864474</c:v>
                </c:pt>
                <c:pt idx="451">
                  <c:v>34.573579739904176</c:v>
                </c:pt>
                <c:pt idx="452">
                  <c:v>34.650239561943877</c:v>
                </c:pt>
                <c:pt idx="453">
                  <c:v>34.726899383983572</c:v>
                </c:pt>
                <c:pt idx="454">
                  <c:v>34.803559206023273</c:v>
                </c:pt>
                <c:pt idx="455">
                  <c:v>34.880219028062967</c:v>
                </c:pt>
                <c:pt idx="456">
                  <c:v>34.956878850102669</c:v>
                </c:pt>
                <c:pt idx="457">
                  <c:v>35.03353867214237</c:v>
                </c:pt>
                <c:pt idx="458">
                  <c:v>35.110198494182065</c:v>
                </c:pt>
                <c:pt idx="459">
                  <c:v>35.186858316221766</c:v>
                </c:pt>
                <c:pt idx="460">
                  <c:v>35.263518138261468</c:v>
                </c:pt>
                <c:pt idx="461">
                  <c:v>35.340177960301162</c:v>
                </c:pt>
                <c:pt idx="462">
                  <c:v>35.416837782340863</c:v>
                </c:pt>
                <c:pt idx="463">
                  <c:v>35.493497604380565</c:v>
                </c:pt>
                <c:pt idx="464">
                  <c:v>35.570157426420259</c:v>
                </c:pt>
                <c:pt idx="465">
                  <c:v>35.646817248459961</c:v>
                </c:pt>
                <c:pt idx="466">
                  <c:v>35.723477070499655</c:v>
                </c:pt>
                <c:pt idx="467">
                  <c:v>35.800136892539356</c:v>
                </c:pt>
                <c:pt idx="468">
                  <c:v>35.876796714579058</c:v>
                </c:pt>
                <c:pt idx="469">
                  <c:v>35.953456536618752</c:v>
                </c:pt>
                <c:pt idx="470">
                  <c:v>36.030116358658454</c:v>
                </c:pt>
                <c:pt idx="471">
                  <c:v>36.106776180698155</c:v>
                </c:pt>
                <c:pt idx="472">
                  <c:v>36.183436002737849</c:v>
                </c:pt>
                <c:pt idx="473">
                  <c:v>36.260095824777551</c:v>
                </c:pt>
                <c:pt idx="474">
                  <c:v>36.336755646817245</c:v>
                </c:pt>
                <c:pt idx="475">
                  <c:v>36.413415468856947</c:v>
                </c:pt>
                <c:pt idx="476">
                  <c:v>36.490075290896648</c:v>
                </c:pt>
                <c:pt idx="477">
                  <c:v>36.566735112936342</c:v>
                </c:pt>
                <c:pt idx="478">
                  <c:v>36.643394934976044</c:v>
                </c:pt>
                <c:pt idx="479">
                  <c:v>36.720054757015745</c:v>
                </c:pt>
                <c:pt idx="480">
                  <c:v>36.79671457905544</c:v>
                </c:pt>
                <c:pt idx="481">
                  <c:v>36.873374401095141</c:v>
                </c:pt>
                <c:pt idx="482">
                  <c:v>36.950034223134843</c:v>
                </c:pt>
                <c:pt idx="483">
                  <c:v>37.026694045174537</c:v>
                </c:pt>
                <c:pt idx="484">
                  <c:v>37.103353867214238</c:v>
                </c:pt>
                <c:pt idx="485">
                  <c:v>37.180013689253933</c:v>
                </c:pt>
                <c:pt idx="486">
                  <c:v>37.256673511293634</c:v>
                </c:pt>
                <c:pt idx="487">
                  <c:v>37.333333333333336</c:v>
                </c:pt>
                <c:pt idx="488">
                  <c:v>37.40999315537303</c:v>
                </c:pt>
                <c:pt idx="489">
                  <c:v>37.486652977412732</c:v>
                </c:pt>
                <c:pt idx="490">
                  <c:v>37.563312799452433</c:v>
                </c:pt>
                <c:pt idx="491">
                  <c:v>37.639972621492127</c:v>
                </c:pt>
                <c:pt idx="492">
                  <c:v>37.716632443531829</c:v>
                </c:pt>
                <c:pt idx="493">
                  <c:v>37.793292265571523</c:v>
                </c:pt>
                <c:pt idx="494">
                  <c:v>37.869952087611225</c:v>
                </c:pt>
                <c:pt idx="495">
                  <c:v>37.946611909650926</c:v>
                </c:pt>
                <c:pt idx="496">
                  <c:v>38.02327173169062</c:v>
                </c:pt>
                <c:pt idx="497">
                  <c:v>38.099931553730322</c:v>
                </c:pt>
                <c:pt idx="498">
                  <c:v>38.176591375770023</c:v>
                </c:pt>
                <c:pt idx="499">
                  <c:v>38.253251197809718</c:v>
                </c:pt>
                <c:pt idx="500">
                  <c:v>38.329911019849419</c:v>
                </c:pt>
                <c:pt idx="501">
                  <c:v>38.406570841889121</c:v>
                </c:pt>
                <c:pt idx="502">
                  <c:v>38.483230663928815</c:v>
                </c:pt>
                <c:pt idx="503">
                  <c:v>38.559890485968516</c:v>
                </c:pt>
                <c:pt idx="504">
                  <c:v>38.636550308008211</c:v>
                </c:pt>
                <c:pt idx="505">
                  <c:v>38.713210130047912</c:v>
                </c:pt>
                <c:pt idx="506">
                  <c:v>38.789869952087614</c:v>
                </c:pt>
                <c:pt idx="507">
                  <c:v>38.866529774127308</c:v>
                </c:pt>
                <c:pt idx="508">
                  <c:v>38.943189596167009</c:v>
                </c:pt>
                <c:pt idx="509">
                  <c:v>39.019849418206711</c:v>
                </c:pt>
                <c:pt idx="510">
                  <c:v>39.096509240246405</c:v>
                </c:pt>
                <c:pt idx="511">
                  <c:v>39.173169062286107</c:v>
                </c:pt>
                <c:pt idx="512">
                  <c:v>39.249828884325801</c:v>
                </c:pt>
                <c:pt idx="513">
                  <c:v>39.326488706365502</c:v>
                </c:pt>
                <c:pt idx="514">
                  <c:v>39.403148528405204</c:v>
                </c:pt>
                <c:pt idx="515">
                  <c:v>39.479808350444898</c:v>
                </c:pt>
                <c:pt idx="516">
                  <c:v>39.5564681724846</c:v>
                </c:pt>
                <c:pt idx="517">
                  <c:v>39.633127994524301</c:v>
                </c:pt>
                <c:pt idx="518">
                  <c:v>39.709787816563995</c:v>
                </c:pt>
                <c:pt idx="519">
                  <c:v>39.786447638603697</c:v>
                </c:pt>
                <c:pt idx="520">
                  <c:v>39.863107460643398</c:v>
                </c:pt>
                <c:pt idx="521">
                  <c:v>39.939767282683093</c:v>
                </c:pt>
              </c:numCache>
            </c:numRef>
          </c:xVal>
          <c:yVal>
            <c:numRef>
              <c:f>PFS!$F$57:$F$578</c:f>
              <c:numCache>
                <c:formatCode>0%</c:formatCode>
                <c:ptCount val="522"/>
                <c:pt idx="0">
                  <c:v>1</c:v>
                </c:pt>
                <c:pt idx="1">
                  <c:v>1</c:v>
                </c:pt>
                <c:pt idx="2">
                  <c:v>0.99561403508771895</c:v>
                </c:pt>
                <c:pt idx="3">
                  <c:v>0.98245614035087703</c:v>
                </c:pt>
                <c:pt idx="4">
                  <c:v>0.95175438596491202</c:v>
                </c:pt>
                <c:pt idx="5">
                  <c:v>0.92537682233753404</c:v>
                </c:pt>
                <c:pt idx="6">
                  <c:v>0.89891588379030096</c:v>
                </c:pt>
                <c:pt idx="7">
                  <c:v>0.859062470223243</c:v>
                </c:pt>
                <c:pt idx="8">
                  <c:v>0.84577799903422402</c:v>
                </c:pt>
                <c:pt idx="9">
                  <c:v>0.83692168490821095</c:v>
                </c:pt>
                <c:pt idx="10">
                  <c:v>0.783783800152134</c:v>
                </c:pt>
                <c:pt idx="11">
                  <c:v>0.77049932896311502</c:v>
                </c:pt>
                <c:pt idx="12">
                  <c:v>0.73950222952207001</c:v>
                </c:pt>
                <c:pt idx="13">
                  <c:v>0.72621775833305102</c:v>
                </c:pt>
                <c:pt idx="14">
                  <c:v>0.708505130081025</c:v>
                </c:pt>
                <c:pt idx="15">
                  <c:v>0.69079250182899898</c:v>
                </c:pt>
                <c:pt idx="16">
                  <c:v>0.66422355945096101</c:v>
                </c:pt>
                <c:pt idx="17">
                  <c:v>0.63765461707292204</c:v>
                </c:pt>
                <c:pt idx="18">
                  <c:v>0.62437014588390305</c:v>
                </c:pt>
                <c:pt idx="19">
                  <c:v>0.61994198882089702</c:v>
                </c:pt>
                <c:pt idx="20">
                  <c:v>0.602229360568871</c:v>
                </c:pt>
                <c:pt idx="21">
                  <c:v>0.58451673231684598</c:v>
                </c:pt>
                <c:pt idx="22">
                  <c:v>0.557947789938807</c:v>
                </c:pt>
                <c:pt idx="23">
                  <c:v>0.54023516168678198</c:v>
                </c:pt>
                <c:pt idx="24">
                  <c:v>0.526950690497762</c:v>
                </c:pt>
                <c:pt idx="25">
                  <c:v>0.51801932286220698</c:v>
                </c:pt>
                <c:pt idx="26">
                  <c:v>0.51355363904442897</c:v>
                </c:pt>
                <c:pt idx="27">
                  <c:v>0.50454392607873799</c:v>
                </c:pt>
                <c:pt idx="28">
                  <c:v>0.50003906959589195</c:v>
                </c:pt>
                <c:pt idx="29">
                  <c:v>0.49553421311304602</c:v>
                </c:pt>
                <c:pt idx="30">
                  <c:v>0.49553421311304602</c:v>
                </c:pt>
                <c:pt idx="31">
                  <c:v>0.48635606514643798</c:v>
                </c:pt>
                <c:pt idx="32">
                  <c:v>0.47246017757082498</c:v>
                </c:pt>
                <c:pt idx="33">
                  <c:v>0.46778235403051999</c:v>
                </c:pt>
                <c:pt idx="34">
                  <c:v>0.44897460989939603</c:v>
                </c:pt>
                <c:pt idx="35">
                  <c:v>0.43947169512280398</c:v>
                </c:pt>
                <c:pt idx="36">
                  <c:v>0.424928738178806</c:v>
                </c:pt>
                <c:pt idx="37">
                  <c:v>0.41992957655317298</c:v>
                </c:pt>
                <c:pt idx="38">
                  <c:v>0.399692006598803</c:v>
                </c:pt>
                <c:pt idx="39">
                  <c:v>0.384247545317836</c:v>
                </c:pt>
                <c:pt idx="40">
                  <c:v>0.37883560805983901</c:v>
                </c:pt>
                <c:pt idx="41">
                  <c:v>0.37326449617660601</c:v>
                </c:pt>
                <c:pt idx="42">
                  <c:v>0.36760897350726301</c:v>
                </c:pt>
                <c:pt idx="43">
                  <c:v>0.35019201609310902</c:v>
                </c:pt>
                <c:pt idx="44">
                  <c:v>0.35019201609310902</c:v>
                </c:pt>
                <c:pt idx="45">
                  <c:v>0.34358461956304998</c:v>
                </c:pt>
                <c:pt idx="46">
                  <c:v>0.33684766623828399</c:v>
                </c:pt>
                <c:pt idx="47">
                  <c:v>0.329973224070156</c:v>
                </c:pt>
                <c:pt idx="48">
                  <c:v>0.30891110338482702</c:v>
                </c:pt>
                <c:pt idx="49">
                  <c:v>0.29486968959460802</c:v>
                </c:pt>
                <c:pt idx="50">
                  <c:v>0.29486968959460802</c:v>
                </c:pt>
                <c:pt idx="51">
                  <c:v>0.29486968959460802</c:v>
                </c:pt>
                <c:pt idx="52">
                  <c:v>0.29486968959460802</c:v>
                </c:pt>
                <c:pt idx="53">
                  <c:v>0.29486968959460802</c:v>
                </c:pt>
                <c:pt idx="54">
                  <c:v>0.28667886488364602</c:v>
                </c:pt>
                <c:pt idx="55">
                  <c:v>0.28667886488364602</c:v>
                </c:pt>
                <c:pt idx="56">
                  <c:v>0.27824713356353897</c:v>
                </c:pt>
                <c:pt idx="57">
                  <c:v>0.27824713356353897</c:v>
                </c:pt>
                <c:pt idx="58">
                  <c:v>0.27824713356353897</c:v>
                </c:pt>
                <c:pt idx="59">
                  <c:v>0.27824713356353897</c:v>
                </c:pt>
                <c:pt idx="60">
                  <c:v>0.27824713356353897</c:v>
                </c:pt>
                <c:pt idx="61">
                  <c:v>0.27824713356353897</c:v>
                </c:pt>
                <c:pt idx="62">
                  <c:v>0.27824713356353897</c:v>
                </c:pt>
                <c:pt idx="63">
                  <c:v>0.26830973593627</c:v>
                </c:pt>
                <c:pt idx="64">
                  <c:v>0.26830973593627</c:v>
                </c:pt>
                <c:pt idx="65">
                  <c:v>0.25837233830900003</c:v>
                </c:pt>
                <c:pt idx="66">
                  <c:v>0.25837233830900003</c:v>
                </c:pt>
                <c:pt idx="67">
                  <c:v>0.25837233830900003</c:v>
                </c:pt>
                <c:pt idx="68">
                  <c:v>0.25837233830900003</c:v>
                </c:pt>
                <c:pt idx="69">
                  <c:v>0.25837233830900003</c:v>
                </c:pt>
                <c:pt idx="70">
                  <c:v>0.25837233830900003</c:v>
                </c:pt>
                <c:pt idx="71">
                  <c:v>0.25837233830900003</c:v>
                </c:pt>
                <c:pt idx="72">
                  <c:v>0.24545372139355001</c:v>
                </c:pt>
                <c:pt idx="73">
                  <c:v>0.24545372139355001</c:v>
                </c:pt>
                <c:pt idx="74">
                  <c:v>0.24545372139355001</c:v>
                </c:pt>
                <c:pt idx="75">
                  <c:v>0.24545372139355001</c:v>
                </c:pt>
                <c:pt idx="76">
                  <c:v>0.24545372139355001</c:v>
                </c:pt>
                <c:pt idx="77">
                  <c:v>0.23101526719393001</c:v>
                </c:pt>
                <c:pt idx="78">
                  <c:v>0.21561424938100099</c:v>
                </c:pt>
                <c:pt idx="79">
                  <c:v>0.19609628647885818</c:v>
                </c:pt>
                <c:pt idx="80">
                  <c:v>0.19351936643577189</c:v>
                </c:pt>
                <c:pt idx="81">
                  <c:v>0.19099794955299665</c:v>
                </c:pt>
                <c:pt idx="82">
                  <c:v>0.18853035931796297</c:v>
                </c:pt>
                <c:pt idx="83">
                  <c:v>0.18611498441390451</c:v>
                </c:pt>
                <c:pt idx="84">
                  <c:v>0.18375027562718982</c:v>
                </c:pt>
                <c:pt idx="85">
                  <c:v>0.18143474292705322</c:v>
                </c:pt>
                <c:pt idx="86">
                  <c:v>0.17916695270674016</c:v>
                </c:pt>
                <c:pt idx="87">
                  <c:v>0.17694552517586148</c:v>
                </c:pt>
                <c:pt idx="88">
                  <c:v>0.17476913189447948</c:v>
                </c:pt>
                <c:pt idx="89">
                  <c:v>0.17263649344011689</c:v>
                </c:pt>
                <c:pt idx="90">
                  <c:v>0.17054637719947566</c:v>
                </c:pt>
                <c:pt idx="91">
                  <c:v>0.16849759527724389</c:v>
                </c:pt>
                <c:pt idx="92">
                  <c:v>0.16648900251487395</c:v>
                </c:pt>
                <c:pt idx="93">
                  <c:v>0.16451949461270549</c:v>
                </c:pt>
                <c:pt idx="94">
                  <c:v>0.16258800634925824</c:v>
                </c:pt>
                <c:pt idx="95">
                  <c:v>0.16069350989193015</c:v>
                </c:pt>
                <c:pt idx="96">
                  <c:v>0.15883501319371765</c:v>
                </c:pt>
                <c:pt idx="97">
                  <c:v>0.15701155847093939</c:v>
                </c:pt>
                <c:pt idx="98">
                  <c:v>0.15522222075726244</c:v>
                </c:pt>
                <c:pt idx="99">
                  <c:v>0.15346610652964815</c:v>
                </c:pt>
                <c:pt idx="100">
                  <c:v>0.15174235240210707</c:v>
                </c:pt>
                <c:pt idx="101">
                  <c:v>0.15005012388342651</c:v>
                </c:pt>
                <c:pt idx="102">
                  <c:v>0.14838861419526728</c:v>
                </c:pt>
                <c:pt idx="103">
                  <c:v>0.14675704314726951</c:v>
                </c:pt>
                <c:pt idx="104">
                  <c:v>0.1451546560659992</c:v>
                </c:pt>
                <c:pt idx="105">
                  <c:v>0.14351689540508183</c:v>
                </c:pt>
                <c:pt idx="106">
                  <c:v>0.1417783840366631</c:v>
                </c:pt>
                <c:pt idx="107">
                  <c:v>0.14007046767381903</c:v>
                </c:pt>
                <c:pt idx="108">
                  <c:v>0.13839242428908705</c:v>
                </c:pt>
                <c:pt idx="109">
                  <c:v>0.13674355344621691</c:v>
                </c:pt>
                <c:pt idx="110">
                  <c:v>0.13512317551508701</c:v>
                </c:pt>
                <c:pt idx="111">
                  <c:v>0.13353063092027395</c:v>
                </c:pt>
                <c:pt idx="112">
                  <c:v>0.1319652794216164</c:v>
                </c:pt>
                <c:pt idx="113">
                  <c:v>0.1304264994252009</c:v>
                </c:pt>
                <c:pt idx="114">
                  <c:v>0.12891368732329522</c:v>
                </c:pt>
                <c:pt idx="115">
                  <c:v>0.12742625686182274</c:v>
                </c:pt>
                <c:pt idx="116">
                  <c:v>0.12596363853406101</c:v>
                </c:pt>
                <c:pt idx="117">
                  <c:v>0.12452527899930743</c:v>
                </c:pt>
                <c:pt idx="118">
                  <c:v>0.12311064052533283</c:v>
                </c:pt>
                <c:pt idx="119">
                  <c:v>0.12171920045349904</c:v>
                </c:pt>
                <c:pt idx="120">
                  <c:v>0.12035045068548189</c:v>
                </c:pt>
                <c:pt idx="121">
                  <c:v>0.11900389719059346</c:v>
                </c:pt>
                <c:pt idx="122">
                  <c:v>0.11767905953275148</c:v>
                </c:pt>
                <c:pt idx="123">
                  <c:v>0.11637547041619689</c:v>
                </c:pt>
                <c:pt idx="124">
                  <c:v>0.11509267524909783</c:v>
                </c:pt>
                <c:pt idx="125">
                  <c:v>0.11383023172423634</c:v>
                </c:pt>
                <c:pt idx="126">
                  <c:v>0.11258770941600105</c:v>
                </c:pt>
                <c:pt idx="127">
                  <c:v>0.11136468939296162</c:v>
                </c:pt>
                <c:pt idx="128">
                  <c:v>0.11016076384532614</c:v>
                </c:pt>
                <c:pt idx="129">
                  <c:v>0.10897553572662677</c:v>
                </c:pt>
                <c:pt idx="130">
                  <c:v>0.10780861840900591</c:v>
                </c:pt>
                <c:pt idx="131">
                  <c:v>0.10665963535150913</c:v>
                </c:pt>
                <c:pt idx="132">
                  <c:v>0.10552821978081928</c:v>
                </c:pt>
                <c:pt idx="133">
                  <c:v>0.10441401438389608</c:v>
                </c:pt>
                <c:pt idx="134">
                  <c:v>0.10331667101200537</c:v>
                </c:pt>
                <c:pt idx="135">
                  <c:v>0.10223585039566019</c:v>
                </c:pt>
                <c:pt idx="136">
                  <c:v>0.10117122187000027</c:v>
                </c:pt>
                <c:pt idx="137">
                  <c:v>0.10012246311017947</c:v>
                </c:pt>
                <c:pt idx="138">
                  <c:v>9.9089259876333546E-2</c:v>
                </c:pt>
                <c:pt idx="139">
                  <c:v>9.8071305767733707E-2</c:v>
                </c:pt>
                <c:pt idx="140">
                  <c:v>9.7068301985743233E-2</c:v>
                </c:pt>
                <c:pt idx="141">
                  <c:v>9.6079957105212888E-2</c:v>
                </c:pt>
                <c:pt idx="142">
                  <c:v>9.5105986853973312E-2</c:v>
                </c:pt>
                <c:pt idx="143">
                  <c:v>9.4146113900088313E-2</c:v>
                </c:pt>
                <c:pt idx="144">
                  <c:v>9.3200067646560414E-2</c:v>
                </c:pt>
                <c:pt idx="145">
                  <c:v>9.2267584033183137E-2</c:v>
                </c:pt>
                <c:pt idx="146">
                  <c:v>9.1348405345258343E-2</c:v>
                </c:pt>
                <c:pt idx="147">
                  <c:v>9.0442280028899757E-2</c:v>
                </c:pt>
                <c:pt idx="148">
                  <c:v>8.9548962512665975E-2</c:v>
                </c:pt>
                <c:pt idx="149">
                  <c:v>8.8668213035270615E-2</c:v>
                </c:pt>
                <c:pt idx="150">
                  <c:v>8.7799797479131803E-2</c:v>
                </c:pt>
                <c:pt idx="151">
                  <c:v>8.6943487209533821E-2</c:v>
                </c:pt>
                <c:pt idx="152">
                  <c:v>8.6099058919182458E-2</c:v>
                </c:pt>
                <c:pt idx="153">
                  <c:v>8.5266294477946203E-2</c:v>
                </c:pt>
                <c:pt idx="154">
                  <c:v>8.4444980787583668E-2</c:v>
                </c:pt>
                <c:pt idx="155">
                  <c:v>8.3634909641266741E-2</c:v>
                </c:pt>
                <c:pt idx="156">
                  <c:v>8.2835877587718487E-2</c:v>
                </c:pt>
                <c:pt idx="157">
                  <c:v>8.2047685799789383E-2</c:v>
                </c:pt>
                <c:pt idx="158">
                  <c:v>8.1270139947306475E-2</c:v>
                </c:pt>
                <c:pt idx="159">
                  <c:v>8.0503050074035021E-2</c:v>
                </c:pt>
                <c:pt idx="160">
                  <c:v>7.9746230478599411E-2</c:v>
                </c:pt>
                <c:pt idx="161">
                  <c:v>7.8999499599217038E-2</c:v>
                </c:pt>
                <c:pt idx="162">
                  <c:v>7.8262679902103893E-2</c:v>
                </c:pt>
                <c:pt idx="163">
                  <c:v>7.753559777341934E-2</c:v>
                </c:pt>
                <c:pt idx="164">
                  <c:v>7.6818083414617488E-2</c:v>
                </c:pt>
                <c:pt idx="165">
                  <c:v>7.610997074108472E-2</c:v>
                </c:pt>
                <c:pt idx="166">
                  <c:v>7.5411097283943129E-2</c:v>
                </c:pt>
                <c:pt idx="167">
                  <c:v>7.4721304094906293E-2</c:v>
                </c:pt>
                <c:pt idx="168">
                  <c:v>7.404043565407803E-2</c:v>
                </c:pt>
                <c:pt idx="169">
                  <c:v>7.3368339780590652E-2</c:v>
                </c:pt>
                <c:pt idx="170">
                  <c:v>7.2704867545979046E-2</c:v>
                </c:pt>
                <c:pt idx="171">
                  <c:v>7.2049873190199176E-2</c:v>
                </c:pt>
                <c:pt idx="172">
                  <c:v>7.140321404019212E-2</c:v>
                </c:pt>
                <c:pt idx="173">
                  <c:v>7.0764750430910905E-2</c:v>
                </c:pt>
                <c:pt idx="174">
                  <c:v>7.0134345628718231E-2</c:v>
                </c:pt>
                <c:pt idx="175">
                  <c:v>6.951186575708046E-2</c:v>
                </c:pt>
                <c:pt idx="176">
                  <c:v>6.8897179724471069E-2</c:v>
                </c:pt>
                <c:pt idx="177">
                  <c:v>6.8290159154413943E-2</c:v>
                </c:pt>
                <c:pt idx="178">
                  <c:v>6.7690678317590236E-2</c:v>
                </c:pt>
                <c:pt idx="179">
                  <c:v>6.7098614065939755E-2</c:v>
                </c:pt>
                <c:pt idx="180">
                  <c:v>6.6513845768690016E-2</c:v>
                </c:pt>
                <c:pt idx="181">
                  <c:v>6.5936255250247267E-2</c:v>
                </c:pt>
                <c:pt idx="182">
                  <c:v>6.5365726729886386E-2</c:v>
                </c:pt>
                <c:pt idx="183">
                  <c:v>6.4802146763182744E-2</c:v>
                </c:pt>
                <c:pt idx="184">
                  <c:v>6.4245404185124366E-2</c:v>
                </c:pt>
                <c:pt idx="185">
                  <c:v>6.3695390054852474E-2</c:v>
                </c:pt>
                <c:pt idx="186">
                  <c:v>6.3151997601972987E-2</c:v>
                </c:pt>
                <c:pt idx="187">
                  <c:v>6.2615122174392246E-2</c:v>
                </c:pt>
                <c:pt idx="188">
                  <c:v>6.2084661187622792E-2</c:v>
                </c:pt>
                <c:pt idx="189">
                  <c:v>6.1560514075514439E-2</c:v>
                </c:pt>
                <c:pt idx="190">
                  <c:v>6.1042582242363475E-2</c:v>
                </c:pt>
                <c:pt idx="191">
                  <c:v>6.0530769016355457E-2</c:v>
                </c:pt>
                <c:pt idx="192">
                  <c:v>6.002497960430031E-2</c:v>
                </c:pt>
                <c:pt idx="193">
                  <c:v>5.9525121047615759E-2</c:v>
                </c:pt>
                <c:pt idx="194">
                  <c:v>5.9031102179523121E-2</c:v>
                </c:pt>
                <c:pt idx="195">
                  <c:v>5.8542833583413612E-2</c:v>
                </c:pt>
                <c:pt idx="196">
                  <c:v>5.8060227552350963E-2</c:v>
                </c:pt>
                <c:pt idx="197">
                  <c:v>5.758319804967349E-2</c:v>
                </c:pt>
                <c:pt idx="198">
                  <c:v>5.7111660670660536E-2</c:v>
                </c:pt>
                <c:pt idx="199">
                  <c:v>5.6645532605232862E-2</c:v>
                </c:pt>
                <c:pt idx="200">
                  <c:v>5.6184732601652021E-2</c:v>
                </c:pt>
                <c:pt idx="201">
                  <c:v>5.5729180931189282E-2</c:v>
                </c:pt>
                <c:pt idx="202">
                  <c:v>5.5278799353734809E-2</c:v>
                </c:pt>
                <c:pt idx="203">
                  <c:v>5.4833511084317776E-2</c:v>
                </c:pt>
                <c:pt idx="204">
                  <c:v>5.4393240760509443E-2</c:v>
                </c:pt>
                <c:pt idx="205">
                  <c:v>5.3957914410681762E-2</c:v>
                </c:pt>
                <c:pt idx="206">
                  <c:v>5.3527459423099666E-2</c:v>
                </c:pt>
                <c:pt idx="207">
                  <c:v>5.3101804515815032E-2</c:v>
                </c:pt>
                <c:pt idx="208">
                  <c:v>5.2680879707344919E-2</c:v>
                </c:pt>
                <c:pt idx="209">
                  <c:v>5.2264616288107302E-2</c:v>
                </c:pt>
                <c:pt idx="210">
                  <c:v>5.1852946792592003E-2</c:v>
                </c:pt>
                <c:pt idx="211">
                  <c:v>5.1445804972246267E-2</c:v>
                </c:pt>
                <c:pt idx="212">
                  <c:v>5.1043125769052566E-2</c:v>
                </c:pt>
                <c:pt idx="213">
                  <c:v>5.0644845289779417E-2</c:v>
                </c:pt>
                <c:pt idx="214">
                  <c:v>5.0250900780884677E-2</c:v>
                </c:pt>
                <c:pt idx="215">
                  <c:v>4.986123060405323E-2</c:v>
                </c:pt>
                <c:pt idx="216">
                  <c:v>4.9475774212349832E-2</c:v>
                </c:pt>
                <c:pt idx="217">
                  <c:v>4.9094472126969046E-2</c:v>
                </c:pt>
                <c:pt idx="218">
                  <c:v>4.8717265914567154E-2</c:v>
                </c:pt>
                <c:pt idx="219">
                  <c:v>4.8344098165156613E-2</c:v>
                </c:pt>
                <c:pt idx="220">
                  <c:v>4.797491247054797E-2</c:v>
                </c:pt>
                <c:pt idx="221">
                  <c:v>4.7609653403326124E-2</c:v>
                </c:pt>
                <c:pt idx="222">
                  <c:v>4.724826649634073E-2</c:v>
                </c:pt>
                <c:pt idx="223">
                  <c:v>4.689069822270131E-2</c:v>
                </c:pt>
                <c:pt idx="224">
                  <c:v>4.6536895976258985E-2</c:v>
                </c:pt>
                <c:pt idx="225">
                  <c:v>4.6186808052564921E-2</c:v>
                </c:pt>
                <c:pt idx="226">
                  <c:v>4.5840383630287862E-2</c:v>
                </c:pt>
                <c:pt idx="227">
                  <c:v>4.549757275308175E-2</c:v>
                </c:pt>
                <c:pt idx="228">
                  <c:v>4.5158326311889319E-2</c:v>
                </c:pt>
                <c:pt idx="229">
                  <c:v>4.4822596027668582E-2</c:v>
                </c:pt>
                <c:pt idx="230">
                  <c:v>4.4490334434533763E-2</c:v>
                </c:pt>
                <c:pt idx="231">
                  <c:v>4.4161494863295014E-2</c:v>
                </c:pt>
                <c:pt idx="232">
                  <c:v>4.3836031425390609E-2</c:v>
                </c:pt>
                <c:pt idx="233">
                  <c:v>4.3513898997196487E-2</c:v>
                </c:pt>
                <c:pt idx="234">
                  <c:v>4.3195053204706735E-2</c:v>
                </c:pt>
                <c:pt idx="235">
                  <c:v>4.2879450408572883E-2</c:v>
                </c:pt>
                <c:pt idx="236">
                  <c:v>4.2567047689491821E-2</c:v>
                </c:pt>
                <c:pt idx="237">
                  <c:v>4.225780283393521E-2</c:v>
                </c:pt>
                <c:pt idx="238">
                  <c:v>4.1951674320210075E-2</c:v>
                </c:pt>
                <c:pt idx="239">
                  <c:v>4.1648621304840261E-2</c:v>
                </c:pt>
                <c:pt idx="240">
                  <c:v>4.1348603609263068E-2</c:v>
                </c:pt>
                <c:pt idx="241">
                  <c:v>4.1051581706831208E-2</c:v>
                </c:pt>
                <c:pt idx="242">
                  <c:v>4.0757516710111186E-2</c:v>
                </c:pt>
                <c:pt idx="243">
                  <c:v>4.0466370358472559E-2</c:v>
                </c:pt>
                <c:pt idx="244">
                  <c:v>4.0178105005958531E-2</c:v>
                </c:pt>
                <c:pt idx="245">
                  <c:v>3.9892683609431101E-2</c:v>
                </c:pt>
                <c:pt idx="246">
                  <c:v>3.9610069716984442E-2</c:v>
                </c:pt>
                <c:pt idx="247">
                  <c:v>3.9330227456617961E-2</c:v>
                </c:pt>
                <c:pt idx="248">
                  <c:v>3.9053121525164269E-2</c:v>
                </c:pt>
                <c:pt idx="249">
                  <c:v>3.8778717177463617E-2</c:v>
                </c:pt>
                <c:pt idx="250">
                  <c:v>3.8506980215780029E-2</c:v>
                </c:pt>
                <c:pt idx="251">
                  <c:v>3.8237876979452023E-2</c:v>
                </c:pt>
                <c:pt idx="252">
                  <c:v>3.7971374334772157E-2</c:v>
                </c:pt>
                <c:pt idx="253">
                  <c:v>3.7707439665089604E-2</c:v>
                </c:pt>
                <c:pt idx="254">
                  <c:v>3.7446040861130347E-2</c:v>
                </c:pt>
                <c:pt idx="255">
                  <c:v>3.7187146311529751E-2</c:v>
                </c:pt>
                <c:pt idx="256">
                  <c:v>3.6930724893570632E-2</c:v>
                </c:pt>
                <c:pt idx="257">
                  <c:v>3.6676745964124069E-2</c:v>
                </c:pt>
                <c:pt idx="258">
                  <c:v>3.6425179350785819E-2</c:v>
                </c:pt>
                <c:pt idx="259">
                  <c:v>3.6175995343204481E-2</c:v>
                </c:pt>
                <c:pt idx="260">
                  <c:v>3.5929164684596726E-2</c:v>
                </c:pt>
                <c:pt idx="261">
                  <c:v>3.5684658563444605E-2</c:v>
                </c:pt>
                <c:pt idx="262">
                  <c:v>3.5442448605370158E-2</c:v>
                </c:pt>
                <c:pt idx="263">
                  <c:v>3.5202506865184335E-2</c:v>
                </c:pt>
                <c:pt idx="264">
                  <c:v>3.4964805819103439E-2</c:v>
                </c:pt>
                <c:pt idx="265">
                  <c:v>3.4729318357132888E-2</c:v>
                </c:pt>
                <c:pt idx="266">
                  <c:v>3.4496017775609289E-2</c:v>
                </c:pt>
                <c:pt idx="267">
                  <c:v>3.4264877769901836E-2</c:v>
                </c:pt>
                <c:pt idx="268">
                  <c:v>3.4035872427265357E-2</c:v>
                </c:pt>
                <c:pt idx="269">
                  <c:v>3.3808976219844467E-2</c:v>
                </c:pt>
                <c:pt idx="270">
                  <c:v>3.3584163997821825E-2</c:v>
                </c:pt>
                <c:pt idx="271">
                  <c:v>3.336141098271117E-2</c:v>
                </c:pt>
                <c:pt idx="272">
                  <c:v>3.314069276078746E-2</c:v>
                </c:pt>
                <c:pt idx="273">
                  <c:v>3.2921985276653909E-2</c:v>
                </c:pt>
                <c:pt idx="274">
                  <c:v>3.270526482694136E-2</c:v>
                </c:pt>
                <c:pt idx="275">
                  <c:v>3.2490508054137113E-2</c:v>
                </c:pt>
                <c:pt idx="276">
                  <c:v>3.227769194054031E-2</c:v>
                </c:pt>
                <c:pt idx="277">
                  <c:v>3.2066793802340232E-2</c:v>
                </c:pt>
                <c:pt idx="278">
                  <c:v>3.1857791283815717E-2</c:v>
                </c:pt>
                <c:pt idx="279">
                  <c:v>3.165066235165237E-2</c:v>
                </c:pt>
                <c:pt idx="280">
                  <c:v>3.1445385289374017E-2</c:v>
                </c:pt>
                <c:pt idx="281">
                  <c:v>3.1241938691887405E-2</c:v>
                </c:pt>
                <c:pt idx="282">
                  <c:v>3.1040301460136033E-2</c:v>
                </c:pt>
                <c:pt idx="283">
                  <c:v>3.0840452795861895E-2</c:v>
                </c:pt>
                <c:pt idx="284">
                  <c:v>3.0642372196470369E-2</c:v>
                </c:pt>
                <c:pt idx="285">
                  <c:v>3.0446039449999796E-2</c:v>
                </c:pt>
                <c:pt idx="286">
                  <c:v>3.0251434630189089E-2</c:v>
                </c:pt>
                <c:pt idx="287">
                  <c:v>3.0058538091643827E-2</c:v>
                </c:pt>
                <c:pt idx="288">
                  <c:v>2.9867330465098152E-2</c:v>
                </c:pt>
                <c:pt idx="289">
                  <c:v>2.9677792652769597E-2</c:v>
                </c:pt>
                <c:pt idx="290">
                  <c:v>2.9489905823805174E-2</c:v>
                </c:pt>
                <c:pt idx="291">
                  <c:v>2.9303651409816944E-2</c:v>
                </c:pt>
                <c:pt idx="292">
                  <c:v>2.9119011100503966E-2</c:v>
                </c:pt>
                <c:pt idx="293">
                  <c:v>2.8935966839361282E-2</c:v>
                </c:pt>
                <c:pt idx="294">
                  <c:v>2.8754500819469619E-2</c:v>
                </c:pt>
                <c:pt idx="295">
                  <c:v>2.8574595479369469E-2</c:v>
                </c:pt>
                <c:pt idx="296">
                  <c:v>2.8396233499011991E-2</c:v>
                </c:pt>
                <c:pt idx="297">
                  <c:v>2.8219397795790191E-2</c:v>
                </c:pt>
                <c:pt idx="298">
                  <c:v>2.8044071520645253E-2</c:v>
                </c:pt>
                <c:pt idx="299">
                  <c:v>2.7870238054246932E-2</c:v>
                </c:pt>
                <c:pt idx="300">
                  <c:v>2.7697881003247993E-2</c:v>
                </c:pt>
                <c:pt idx="301">
                  <c:v>2.7526984196608928E-2</c:v>
                </c:pt>
                <c:pt idx="302">
                  <c:v>2.7357531681993064E-2</c:v>
                </c:pt>
                <c:pt idx="303">
                  <c:v>2.71895077222295E-2</c:v>
                </c:pt>
                <c:pt idx="304">
                  <c:v>2.7022896791843221E-2</c:v>
                </c:pt>
                <c:pt idx="305">
                  <c:v>2.6857683573649815E-2</c:v>
                </c:pt>
                <c:pt idx="306">
                  <c:v>2.6693852955415154E-2</c:v>
                </c:pt>
                <c:pt idx="307">
                  <c:v>2.6531390026576229E-2</c:v>
                </c:pt>
                <c:pt idx="308">
                  <c:v>2.6370280075024732E-2</c:v>
                </c:pt>
                <c:pt idx="309">
                  <c:v>2.6210508583948799E-2</c:v>
                </c:pt>
                <c:pt idx="310">
                  <c:v>2.6052061228735268E-2</c:v>
                </c:pt>
                <c:pt idx="311">
                  <c:v>2.5894923873927445E-2</c:v>
                </c:pt>
                <c:pt idx="312">
                  <c:v>2.573908257024049E-2</c:v>
                </c:pt>
                <c:pt idx="313">
                  <c:v>2.5584523551630434E-2</c:v>
                </c:pt>
                <c:pt idx="314">
                  <c:v>2.5431233232418693E-2</c:v>
                </c:pt>
                <c:pt idx="315">
                  <c:v>2.5279198204467113E-2</c:v>
                </c:pt>
                <c:pt idx="316">
                  <c:v>2.5128405234406515E-2</c:v>
                </c:pt>
                <c:pt idx="317">
                  <c:v>2.4978841260914875E-2</c:v>
                </c:pt>
                <c:pt idx="318">
                  <c:v>2.4830493392044461E-2</c:v>
                </c:pt>
                <c:pt idx="319">
                  <c:v>2.4683348902598601E-2</c:v>
                </c:pt>
                <c:pt idx="320">
                  <c:v>2.4537395231554626E-2</c:v>
                </c:pt>
                <c:pt idx="321">
                  <c:v>2.4392619979534014E-2</c:v>
                </c:pt>
                <c:pt idx="322">
                  <c:v>2.4249010906317703E-2</c:v>
                </c:pt>
                <c:pt idx="323">
                  <c:v>2.4106555928406159E-2</c:v>
                </c:pt>
                <c:pt idx="324">
                  <c:v>2.3965243116622514E-2</c:v>
                </c:pt>
                <c:pt idx="325">
                  <c:v>2.3825060693759337E-2</c:v>
                </c:pt>
                <c:pt idx="326">
                  <c:v>2.3685997032266259E-2</c:v>
                </c:pt>
                <c:pt idx="327">
                  <c:v>2.3548040651979241E-2</c:v>
                </c:pt>
                <c:pt idx="328">
                  <c:v>2.3411180217890015E-2</c:v>
                </c:pt>
                <c:pt idx="329">
                  <c:v>2.3275404537954625E-2</c:v>
                </c:pt>
                <c:pt idx="330">
                  <c:v>2.3140702560940363E-2</c:v>
                </c:pt>
                <c:pt idx="331">
                  <c:v>2.3007063374311243E-2</c:v>
                </c:pt>
                <c:pt idx="332">
                  <c:v>2.2874476202149552E-2</c:v>
                </c:pt>
                <c:pt idx="333">
                  <c:v>2.2742930403114259E-2</c:v>
                </c:pt>
                <c:pt idx="334">
                  <c:v>2.2612415468435398E-2</c:v>
                </c:pt>
                <c:pt idx="335">
                  <c:v>2.2482921019941648E-2</c:v>
                </c:pt>
                <c:pt idx="336">
                  <c:v>2.2354436808124656E-2</c:v>
                </c:pt>
                <c:pt idx="337">
                  <c:v>2.2226952710234005E-2</c:v>
                </c:pt>
                <c:pt idx="338">
                  <c:v>2.2100458728407379E-2</c:v>
                </c:pt>
                <c:pt idx="339">
                  <c:v>2.1974944987831369E-2</c:v>
                </c:pt>
                <c:pt idx="340">
                  <c:v>2.1850401734934799E-2</c:v>
                </c:pt>
                <c:pt idx="341">
                  <c:v>2.1726819335612158E-2</c:v>
                </c:pt>
                <c:pt idx="342">
                  <c:v>2.1604188273477876E-2</c:v>
                </c:pt>
                <c:pt idx="343">
                  <c:v>2.1482499148150258E-2</c:v>
                </c:pt>
                <c:pt idx="344">
                  <c:v>2.1361742673564277E-2</c:v>
                </c:pt>
                <c:pt idx="345">
                  <c:v>2.1241909676313453E-2</c:v>
                </c:pt>
                <c:pt idx="346">
                  <c:v>2.1122991094019272E-2</c:v>
                </c:pt>
                <c:pt idx="347">
                  <c:v>2.1004977973728356E-2</c:v>
                </c:pt>
                <c:pt idx="348">
                  <c:v>2.0887861470336611E-2</c:v>
                </c:pt>
                <c:pt idx="349">
                  <c:v>2.0771632845039245E-2</c:v>
                </c:pt>
                <c:pt idx="350">
                  <c:v>2.0656283463808101E-2</c:v>
                </c:pt>
                <c:pt idx="351">
                  <c:v>2.0541804795892515E-2</c:v>
                </c:pt>
                <c:pt idx="352">
                  <c:v>2.0428188412346726E-2</c:v>
                </c:pt>
                <c:pt idx="353">
                  <c:v>2.0315425984581137E-2</c:v>
                </c:pt>
                <c:pt idx="354">
                  <c:v>2.0203509282937349E-2</c:v>
                </c:pt>
                <c:pt idx="355">
                  <c:v>2.0092430175287057E-2</c:v>
                </c:pt>
                <c:pt idx="356">
                  <c:v>1.9982180625654156E-2</c:v>
                </c:pt>
                <c:pt idx="357">
                  <c:v>1.9872752692859263E-2</c:v>
                </c:pt>
                <c:pt idx="358">
                  <c:v>1.976413852918657E-2</c:v>
                </c:pt>
                <c:pt idx="359">
                  <c:v>1.9656330379072773E-2</c:v>
                </c:pt>
                <c:pt idx="360">
                  <c:v>1.9549320577816665E-2</c:v>
                </c:pt>
                <c:pt idx="361">
                  <c:v>1.9443101550310815E-2</c:v>
                </c:pt>
                <c:pt idx="362">
                  <c:v>1.9337665809793236E-2</c:v>
                </c:pt>
                <c:pt idx="363">
                  <c:v>1.923300595661892E-2</c:v>
                </c:pt>
                <c:pt idx="364">
                  <c:v>1.9129114677052472E-2</c:v>
                </c:pt>
                <c:pt idx="365">
                  <c:v>1.902598474207895E-2</c:v>
                </c:pt>
                <c:pt idx="366">
                  <c:v>1.8923609006234576E-2</c:v>
                </c:pt>
                <c:pt idx="367">
                  <c:v>1.8821980406455996E-2</c:v>
                </c:pt>
                <c:pt idx="368">
                  <c:v>1.8721091960948288E-2</c:v>
                </c:pt>
                <c:pt idx="369">
                  <c:v>1.8620936768070417E-2</c:v>
                </c:pt>
                <c:pt idx="370">
                  <c:v>1.8521508005239329E-2</c:v>
                </c:pt>
                <c:pt idx="371">
                  <c:v>1.8422798927850703E-2</c:v>
                </c:pt>
                <c:pt idx="372">
                  <c:v>1.8324802868217582E-2</c:v>
                </c:pt>
                <c:pt idx="373">
                  <c:v>1.8227513234524761E-2</c:v>
                </c:pt>
                <c:pt idx="374">
                  <c:v>1.8130923509801278E-2</c:v>
                </c:pt>
                <c:pt idx="375">
                  <c:v>1.8035027250907332E-2</c:v>
                </c:pt>
                <c:pt idx="376">
                  <c:v>1.7939818087538861E-2</c:v>
                </c:pt>
                <c:pt idx="377">
                  <c:v>1.7845289721246105E-2</c:v>
                </c:pt>
                <c:pt idx="378">
                  <c:v>1.7751435924468928E-2</c:v>
                </c:pt>
                <c:pt idx="379">
                  <c:v>1.7658250539586473E-2</c:v>
                </c:pt>
                <c:pt idx="380">
                  <c:v>1.7565727477981685E-2</c:v>
                </c:pt>
                <c:pt idx="381">
                  <c:v>1.7473860719120715E-2</c:v>
                </c:pt>
                <c:pt idx="382">
                  <c:v>1.7382644309646089E-2</c:v>
                </c:pt>
                <c:pt idx="383">
                  <c:v>1.7292072362484756E-2</c:v>
                </c:pt>
                <c:pt idx="384">
                  <c:v>1.720213905596879E-2</c:v>
                </c:pt>
                <c:pt idx="385">
                  <c:v>1.7112838632970861E-2</c:v>
                </c:pt>
                <c:pt idx="386">
                  <c:v>1.7024165400052138E-2</c:v>
                </c:pt>
                <c:pt idx="387">
                  <c:v>1.6936113726623292E-2</c:v>
                </c:pt>
                <c:pt idx="388">
                  <c:v>1.6848678044119159E-2</c:v>
                </c:pt>
                <c:pt idx="389">
                  <c:v>1.6761852845185166E-2</c:v>
                </c:pt>
                <c:pt idx="390">
                  <c:v>1.6675632682876196E-2</c:v>
                </c:pt>
                <c:pt idx="391">
                  <c:v>1.6590012169868662E-2</c:v>
                </c:pt>
                <c:pt idx="392">
                  <c:v>1.6504985977683018E-2</c:v>
                </c:pt>
                <c:pt idx="393">
                  <c:v>1.6420548835919369E-2</c:v>
                </c:pt>
                <c:pt idx="394">
                  <c:v>1.6336695531503631E-2</c:v>
                </c:pt>
                <c:pt idx="395">
                  <c:v>1.6253420907946126E-2</c:v>
                </c:pt>
                <c:pt idx="396">
                  <c:v>1.617071986461005E-2</c:v>
                </c:pt>
                <c:pt idx="397">
                  <c:v>1.6088587355992168E-2</c:v>
                </c:pt>
                <c:pt idx="398">
                  <c:v>1.6007018391013483E-2</c:v>
                </c:pt>
                <c:pt idx="399">
                  <c:v>1.5926008032320804E-2</c:v>
                </c:pt>
                <c:pt idx="400">
                  <c:v>1.5845551395598512E-2</c:v>
                </c:pt>
                <c:pt idx="401">
                  <c:v>1.5765643648891325E-2</c:v>
                </c:pt>
                <c:pt idx="402">
                  <c:v>1.5686280011935727E-2</c:v>
                </c:pt>
                <c:pt idx="403">
                  <c:v>1.560745575550293E-2</c:v>
                </c:pt>
                <c:pt idx="404">
                  <c:v>1.5529166200750177E-2</c:v>
                </c:pt>
                <c:pt idx="405">
                  <c:v>1.5451406718582472E-2</c:v>
                </c:pt>
                <c:pt idx="406">
                  <c:v>1.537417272902375E-2</c:v>
                </c:pt>
                <c:pt idx="407">
                  <c:v>1.529745970059615E-2</c:v>
                </c:pt>
                <c:pt idx="408">
                  <c:v>1.5221263149709952E-2</c:v>
                </c:pt>
                <c:pt idx="409">
                  <c:v>1.514557864006183E-2</c:v>
                </c:pt>
                <c:pt idx="410">
                  <c:v>1.5070401782040888E-2</c:v>
                </c:pt>
                <c:pt idx="411">
                  <c:v>1.4995728232145233E-2</c:v>
                </c:pt>
                <c:pt idx="412">
                  <c:v>1.4921553692405776E-2</c:v>
                </c:pt>
                <c:pt idx="413">
                  <c:v>1.4847873909818232E-2</c:v>
                </c:pt>
                <c:pt idx="414">
                  <c:v>1.4774684675784244E-2</c:v>
                </c:pt>
                <c:pt idx="415">
                  <c:v>1.4701981825560262E-2</c:v>
                </c:pt>
                <c:pt idx="416">
                  <c:v>1.4629761237713645E-2</c:v>
                </c:pt>
                <c:pt idx="417">
                  <c:v>1.4558018833587871E-2</c:v>
                </c:pt>
                <c:pt idx="418">
                  <c:v>1.4486750576774177E-2</c:v>
                </c:pt>
                <c:pt idx="419">
                  <c:v>1.4415952472591864E-2</c:v>
                </c:pt>
                <c:pt idx="420">
                  <c:v>1.4345620567575157E-2</c:v>
                </c:pt>
                <c:pt idx="421">
                  <c:v>1.4275750948967825E-2</c:v>
                </c:pt>
                <c:pt idx="422">
                  <c:v>1.4206339744225027E-2</c:v>
                </c:pt>
                <c:pt idx="423">
                  <c:v>1.413738312052204E-2</c:v>
                </c:pt>
                <c:pt idx="424">
                  <c:v>1.406887728427042E-2</c:v>
                </c:pt>
                <c:pt idx="425">
                  <c:v>1.4000818480639943E-2</c:v>
                </c:pt>
                <c:pt idx="426">
                  <c:v>1.3933202993088756E-2</c:v>
                </c:pt>
                <c:pt idx="427">
                  <c:v>1.3866027142898862E-2</c:v>
                </c:pt>
                <c:pt idx="428">
                  <c:v>1.3799287288719153E-2</c:v>
                </c:pt>
                <c:pt idx="429">
                  <c:v>1.3732979826114322E-2</c:v>
                </c:pt>
                <c:pt idx="430">
                  <c:v>1.3667101187119557E-2</c:v>
                </c:pt>
                <c:pt idx="431">
                  <c:v>1.360164783980311E-2</c:v>
                </c:pt>
                <c:pt idx="432">
                  <c:v>1.3536616287833314E-2</c:v>
                </c:pt>
                <c:pt idx="433">
                  <c:v>1.3472003070052252E-2</c:v>
                </c:pt>
                <c:pt idx="434">
                  <c:v>1.3407804760055653E-2</c:v>
                </c:pt>
                <c:pt idx="435">
                  <c:v>1.3344017965778443E-2</c:v>
                </c:pt>
                <c:pt idx="436">
                  <c:v>1.3280639329085298E-2</c:v>
                </c:pt>
                <c:pt idx="437">
                  <c:v>1.3217665525368516E-2</c:v>
                </c:pt>
                <c:pt idx="438">
                  <c:v>1.315509326314912E-2</c:v>
                </c:pt>
                <c:pt idx="439">
                  <c:v>1.3092919283686166E-2</c:v>
                </c:pt>
                <c:pt idx="440">
                  <c:v>1.3031140360589055E-2</c:v>
                </c:pt>
                <c:pt idx="441">
                  <c:v>1.2969753299436171E-2</c:v>
                </c:pt>
                <c:pt idx="442">
                  <c:v>1.2908754937399292E-2</c:v>
                </c:pt>
                <c:pt idx="443">
                  <c:v>1.2848142142871888E-2</c:v>
                </c:pt>
                <c:pt idx="444">
                  <c:v>1.2787911815103414E-2</c:v>
                </c:pt>
                <c:pt idx="445">
                  <c:v>1.2728060883838377E-2</c:v>
                </c:pt>
                <c:pt idx="446">
                  <c:v>1.2668586308959839E-2</c:v>
                </c:pt>
                <c:pt idx="447">
                  <c:v>1.2609485080138816E-2</c:v>
                </c:pt>
                <c:pt idx="448">
                  <c:v>1.2550754216486881E-2</c:v>
                </c:pt>
                <c:pt idx="449">
                  <c:v>1.2492390766215E-2</c:v>
                </c:pt>
                <c:pt idx="450">
                  <c:v>1.2434391806295908E-2</c:v>
                </c:pt>
                <c:pt idx="451">
                  <c:v>1.2376754442131821E-2</c:v>
                </c:pt>
                <c:pt idx="452">
                  <c:v>1.2319475807225477E-2</c:v>
                </c:pt>
                <c:pt idx="453">
                  <c:v>1.2262553062857062E-2</c:v>
                </c:pt>
                <c:pt idx="454">
                  <c:v>1.2205983397764353E-2</c:v>
                </c:pt>
                <c:pt idx="455">
                  <c:v>1.2149764027827303E-2</c:v>
                </c:pt>
                <c:pt idx="456">
                  <c:v>1.2093892195757183E-2</c:v>
                </c:pt>
                <c:pt idx="457">
                  <c:v>1.2038365170789822E-2</c:v>
                </c:pt>
                <c:pt idx="458">
                  <c:v>1.198318024838263E-2</c:v>
                </c:pt>
                <c:pt idx="459">
                  <c:v>1.1928334749915726E-2</c:v>
                </c:pt>
                <c:pt idx="460">
                  <c:v>1.1873826022396949E-2</c:v>
                </c:pt>
                <c:pt idx="461">
                  <c:v>1.1819651438171208E-2</c:v>
                </c:pt>
                <c:pt idx="462">
                  <c:v>1.176580839463337E-2</c:v>
                </c:pt>
                <c:pt idx="463">
                  <c:v>1.1712294313944271E-2</c:v>
                </c:pt>
                <c:pt idx="464">
                  <c:v>1.1659106642751826E-2</c:v>
                </c:pt>
                <c:pt idx="465">
                  <c:v>1.1606242851914694E-2</c:v>
                </c:pt>
                <c:pt idx="466">
                  <c:v>1.155370043622983E-2</c:v>
                </c:pt>
                <c:pt idx="467">
                  <c:v>1.15014769141637E-2</c:v>
                </c:pt>
                <c:pt idx="468">
                  <c:v>1.1449569827587269E-2</c:v>
                </c:pt>
                <c:pt idx="469">
                  <c:v>1.139797674151366E-2</c:v>
                </c:pt>
                <c:pt idx="470">
                  <c:v>1.1346695243840133E-2</c:v>
                </c:pt>
                <c:pt idx="471">
                  <c:v>1.1295722945092512E-2</c:v>
                </c:pt>
                <c:pt idx="472">
                  <c:v>1.1245057478173948E-2</c:v>
                </c:pt>
                <c:pt idx="473">
                  <c:v>1.1194696498115553E-2</c:v>
                </c:pt>
                <c:pt idx="474">
                  <c:v>1.1144637681831937E-2</c:v>
                </c:pt>
                <c:pt idx="475">
                  <c:v>1.1094878727878399E-2</c:v>
                </c:pt>
                <c:pt idx="476">
                  <c:v>1.1045417356211895E-2</c:v>
                </c:pt>
                <c:pt idx="477">
                  <c:v>1.0996251307955118E-2</c:v>
                </c:pt>
                <c:pt idx="478">
                  <c:v>1.0947378345163572E-2</c:v>
                </c:pt>
                <c:pt idx="479">
                  <c:v>1.0898796250595311E-2</c:v>
                </c:pt>
                <c:pt idx="480">
                  <c:v>1.0850502827484121E-2</c:v>
                </c:pt>
                <c:pt idx="481">
                  <c:v>1.0802495899314701E-2</c:v>
                </c:pt>
                <c:pt idx="482">
                  <c:v>1.0754773309602172E-2</c:v>
                </c:pt>
                <c:pt idx="483">
                  <c:v>1.0707332921672696E-2</c:v>
                </c:pt>
                <c:pt idx="484">
                  <c:v>1.0660172618448205E-2</c:v>
                </c:pt>
                <c:pt idx="485">
                  <c:v>1.0613290302233236E-2</c:v>
                </c:pt>
                <c:pt idx="486">
                  <c:v>1.0566683894504214E-2</c:v>
                </c:pt>
                <c:pt idx="487">
                  <c:v>1.0520351335702061E-2</c:v>
                </c:pt>
                <c:pt idx="488">
                  <c:v>1.0474290585027024E-2</c:v>
                </c:pt>
                <c:pt idx="489">
                  <c:v>1.0428499620235954E-2</c:v>
                </c:pt>
                <c:pt idx="490">
                  <c:v>1.0382976437442459E-2</c:v>
                </c:pt>
                <c:pt idx="491">
                  <c:v>1.0337719050919292E-2</c:v>
                </c:pt>
                <c:pt idx="492">
                  <c:v>1.0292725492903276E-2</c:v>
                </c:pt>
                <c:pt idx="493">
                  <c:v>1.0247993813402689E-2</c:v>
                </c:pt>
                <c:pt idx="494">
                  <c:v>1.0203522080007188E-2</c:v>
                </c:pt>
                <c:pt idx="495">
                  <c:v>1.0159308377699738E-2</c:v>
                </c:pt>
                <c:pt idx="496">
                  <c:v>1.0115350808670986E-2</c:v>
                </c:pt>
                <c:pt idx="497">
                  <c:v>1.0071647492136515E-2</c:v>
                </c:pt>
                <c:pt idx="498">
                  <c:v>1.0028196564155101E-2</c:v>
                </c:pt>
                <c:pt idx="499">
                  <c:v>9.9849961774507445E-3</c:v>
                </c:pt>
                <c:pt idx="500">
                  <c:v>9.9420445012352587E-3</c:v>
                </c:pt>
                <c:pt idx="501">
                  <c:v>9.8993397210348499E-3</c:v>
                </c:pt>
                <c:pt idx="502">
                  <c:v>9.8568800385169242E-3</c:v>
                </c:pt>
                <c:pt idx="503">
                  <c:v>9.814663671320778E-3</c:v>
                </c:pt>
                <c:pt idx="504">
                  <c:v>9.7726888528888445E-3</c:v>
                </c:pt>
                <c:pt idx="505">
                  <c:v>9.730953832301048E-3</c:v>
                </c:pt>
                <c:pt idx="506">
                  <c:v>9.6894568741107134E-3</c:v>
                </c:pt>
                <c:pt idx="507">
                  <c:v>9.6481962581826952E-3</c:v>
                </c:pt>
                <c:pt idx="508">
                  <c:v>9.6071702795330616E-3</c:v>
                </c:pt>
                <c:pt idx="509">
                  <c:v>9.5663772481713316E-3</c:v>
                </c:pt>
                <c:pt idx="510">
                  <c:v>9.525815488944156E-3</c:v>
                </c:pt>
                <c:pt idx="511">
                  <c:v>9.4854833413806627E-3</c:v>
                </c:pt>
                <c:pt idx="512">
                  <c:v>9.44537915954069E-3</c:v>
                </c:pt>
                <c:pt idx="513">
                  <c:v>9.4055013118635733E-3</c:v>
                </c:pt>
                <c:pt idx="514">
                  <c:v>9.3658481810199312E-3</c:v>
                </c:pt>
                <c:pt idx="515">
                  <c:v>9.3264181637638943E-3</c:v>
                </c:pt>
                <c:pt idx="516">
                  <c:v>9.2872096707887764E-3</c:v>
                </c:pt>
                <c:pt idx="517">
                  <c:v>9.2482211265825232E-3</c:v>
                </c:pt>
                <c:pt idx="518">
                  <c:v>9.2094509692870474E-3</c:v>
                </c:pt>
                <c:pt idx="519">
                  <c:v>9.1708976505568973E-3</c:v>
                </c:pt>
                <c:pt idx="520">
                  <c:v>9.1325596354218108E-3</c:v>
                </c:pt>
                <c:pt idx="521">
                  <c:v>9.0944354021494922E-3</c:v>
                </c:pt>
              </c:numCache>
            </c:numRef>
          </c:yVal>
          <c:smooth val="0"/>
          <c:extLst>
            <c:ext xmlns:c16="http://schemas.microsoft.com/office/drawing/2014/chart" uri="{C3380CC4-5D6E-409C-BE32-E72D297353CC}">
              <c16:uniqueId val="{00000005-F12F-4844-BEC0-77590D58AD11}"/>
            </c:ext>
          </c:extLst>
        </c:ser>
        <c:dLbls>
          <c:showLegendKey val="0"/>
          <c:showVal val="0"/>
          <c:showCatName val="0"/>
          <c:showSerName val="0"/>
          <c:showPercent val="0"/>
          <c:showBubbleSize val="0"/>
        </c:dLbls>
        <c:axId val="174115456"/>
        <c:axId val="186664064"/>
      </c:scatterChart>
      <c:valAx>
        <c:axId val="174115456"/>
        <c:scaling>
          <c:orientation val="minMax"/>
          <c:max val="40"/>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b="1"/>
                  <a:t>Time (years)</a:t>
                </a:r>
              </a:p>
            </c:rich>
          </c:tx>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6664064"/>
        <c:crosses val="autoZero"/>
        <c:crossBetween val="midCat"/>
      </c:valAx>
      <c:valAx>
        <c:axId val="18666406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b="1"/>
                  <a:t>Proportion of patients</a:t>
                </a:r>
              </a:p>
            </c:rich>
          </c:tx>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115456"/>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F32AA-2153-47D6-949A-56E98ACC0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15700</Words>
  <Characters>89494</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2019-07-04T06:28:00Z</dcterms:created>
  <dcterms:modified xsi:type="dcterms:W3CDTF">2019-07-05T04:34:00Z</dcterms:modified>
</cp:coreProperties>
</file>