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0E6927" w:rsidRDefault="00BD0FC7">
      <w:pPr>
        <w:pStyle w:val="Title"/>
        <w:spacing w:before="120" w:after="160"/>
        <w:ind w:left="720" w:hanging="720"/>
        <w:rPr>
          <w:rFonts w:ascii="Arial" w:hAnsi="Arial" w:cs="Arial"/>
        </w:rPr>
      </w:pPr>
      <w:r w:rsidRPr="000E6927">
        <w:rPr>
          <w:rFonts w:asciiTheme="minorHAnsi" w:hAnsiTheme="minorHAnsi"/>
          <w:sz w:val="36"/>
          <w:szCs w:val="36"/>
        </w:rPr>
        <w:t>6.12</w:t>
      </w:r>
      <w:r w:rsidR="006D6493" w:rsidRPr="000E6927">
        <w:rPr>
          <w:rFonts w:asciiTheme="minorHAnsi" w:hAnsiTheme="minorHAnsi"/>
          <w:sz w:val="36"/>
          <w:szCs w:val="36"/>
        </w:rPr>
        <w:tab/>
      </w:r>
      <w:r w:rsidR="00B04FA8" w:rsidRPr="000E6927">
        <w:rPr>
          <w:rFonts w:asciiTheme="minorHAnsi" w:hAnsiTheme="minorHAnsi"/>
          <w:sz w:val="36"/>
          <w:szCs w:val="36"/>
        </w:rPr>
        <w:t>LANREOTIDE</w:t>
      </w:r>
      <w:r w:rsidR="006D6493" w:rsidRPr="000E6927">
        <w:rPr>
          <w:rFonts w:asciiTheme="minorHAnsi" w:hAnsiTheme="minorHAnsi"/>
          <w:sz w:val="36"/>
          <w:szCs w:val="36"/>
        </w:rPr>
        <w:t xml:space="preserve"> </w:t>
      </w:r>
      <w:r w:rsidR="006D6493" w:rsidRPr="000E6927">
        <w:rPr>
          <w:rFonts w:asciiTheme="minorHAnsi" w:hAnsiTheme="minorHAnsi"/>
          <w:sz w:val="36"/>
          <w:szCs w:val="36"/>
        </w:rPr>
        <w:br/>
      </w:r>
      <w:r w:rsidR="00B04FA8" w:rsidRPr="000E6927">
        <w:rPr>
          <w:rFonts w:asciiTheme="minorHAnsi" w:hAnsiTheme="minorHAnsi"/>
          <w:sz w:val="36"/>
          <w:szCs w:val="36"/>
        </w:rPr>
        <w:t>Injection 120 mg (as acetate) in single dose pre-filled syringe</w:t>
      </w:r>
      <w:r w:rsidR="006D6493" w:rsidRPr="000E6927">
        <w:rPr>
          <w:rFonts w:asciiTheme="minorHAnsi" w:hAnsiTheme="minorHAnsi"/>
          <w:sz w:val="36"/>
          <w:szCs w:val="36"/>
        </w:rPr>
        <w:br/>
      </w:r>
      <w:proofErr w:type="spellStart"/>
      <w:r w:rsidR="00B04FA8" w:rsidRPr="000E6927">
        <w:rPr>
          <w:rFonts w:asciiTheme="minorHAnsi" w:hAnsiTheme="minorHAnsi"/>
          <w:sz w:val="36"/>
          <w:szCs w:val="36"/>
        </w:rPr>
        <w:t>Somatuline</w:t>
      </w:r>
      <w:proofErr w:type="spellEnd"/>
      <w:r w:rsidR="00B04FA8" w:rsidRPr="000E6927">
        <w:rPr>
          <w:rFonts w:asciiTheme="minorHAnsi" w:hAnsiTheme="minorHAnsi"/>
          <w:sz w:val="36"/>
          <w:szCs w:val="36"/>
        </w:rPr>
        <w:t xml:space="preserve">® </w:t>
      </w:r>
      <w:proofErr w:type="spellStart"/>
      <w:r w:rsidR="00B04FA8" w:rsidRPr="000E6927">
        <w:rPr>
          <w:rFonts w:asciiTheme="minorHAnsi" w:hAnsiTheme="minorHAnsi"/>
          <w:sz w:val="36"/>
          <w:szCs w:val="36"/>
        </w:rPr>
        <w:t>Autogel</w:t>
      </w:r>
      <w:proofErr w:type="spellEnd"/>
      <w:r w:rsidR="00B04FA8" w:rsidRPr="000E6927">
        <w:rPr>
          <w:rFonts w:asciiTheme="minorHAnsi" w:hAnsiTheme="minorHAnsi"/>
          <w:sz w:val="36"/>
          <w:szCs w:val="36"/>
        </w:rPr>
        <w:t xml:space="preserve">®, </w:t>
      </w:r>
      <w:proofErr w:type="spellStart"/>
      <w:r w:rsidR="00B04FA8" w:rsidRPr="000E6927">
        <w:rPr>
          <w:rFonts w:asciiTheme="minorHAnsi" w:hAnsiTheme="minorHAnsi"/>
          <w:sz w:val="36"/>
          <w:szCs w:val="36"/>
        </w:rPr>
        <w:t>Ipsen</w:t>
      </w:r>
      <w:proofErr w:type="spellEnd"/>
      <w:r w:rsidR="00B04FA8" w:rsidRPr="000E6927">
        <w:rPr>
          <w:rFonts w:asciiTheme="minorHAnsi" w:hAnsiTheme="minorHAnsi"/>
          <w:sz w:val="36"/>
          <w:szCs w:val="36"/>
        </w:rPr>
        <w:t xml:space="preserve"> Pty Ltd</w:t>
      </w:r>
      <w:r w:rsidR="00B04FA8" w:rsidRPr="000E6927">
        <w:rPr>
          <w:rFonts w:ascii="Arial" w:hAnsi="Arial" w:cs="Arial"/>
        </w:rPr>
        <w:t xml:space="preserve"> </w:t>
      </w:r>
      <w:r w:rsidR="00B04FA8" w:rsidRPr="000E6927">
        <w:rPr>
          <w:rFonts w:ascii="Arial" w:hAnsi="Arial" w:cs="Arial"/>
        </w:rPr>
        <w:tab/>
      </w:r>
    </w:p>
    <w:p w:rsidR="008A50F1" w:rsidRPr="000E6927" w:rsidRDefault="00CE10C4">
      <w:pPr>
        <w:pStyle w:val="PBACHeading1"/>
        <w:spacing w:before="240" w:after="120"/>
        <w:ind w:left="709" w:hanging="709"/>
        <w:rPr>
          <w:rFonts w:asciiTheme="minorHAnsi" w:hAnsiTheme="minorHAnsi"/>
          <w:sz w:val="32"/>
          <w:szCs w:val="32"/>
        </w:rPr>
      </w:pPr>
      <w:r w:rsidRPr="000E6927">
        <w:rPr>
          <w:rFonts w:asciiTheme="minorHAnsi" w:hAnsiTheme="minorHAnsi"/>
          <w:sz w:val="32"/>
          <w:szCs w:val="32"/>
        </w:rPr>
        <w:t xml:space="preserve">Purpose of </w:t>
      </w:r>
      <w:r w:rsidR="0004240E" w:rsidRPr="000E6927">
        <w:rPr>
          <w:rFonts w:asciiTheme="minorHAnsi" w:hAnsiTheme="minorHAnsi"/>
          <w:sz w:val="32"/>
          <w:szCs w:val="32"/>
        </w:rPr>
        <w:t>Application</w:t>
      </w:r>
    </w:p>
    <w:p w:rsidR="009C2043" w:rsidRDefault="00EF44A0" w:rsidP="009C204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0E6927">
        <w:rPr>
          <w:rFonts w:asciiTheme="minorHAnsi" w:eastAsiaTheme="minorHAnsi" w:hAnsiTheme="minorHAnsi" w:cstheme="minorBidi"/>
          <w:snapToGrid/>
          <w:sz w:val="24"/>
          <w:szCs w:val="22"/>
        </w:rPr>
        <w:t>The mi</w:t>
      </w:r>
      <w:r w:rsidR="00FF2801" w:rsidRPr="000E6927">
        <w:rPr>
          <w:rFonts w:asciiTheme="minorHAnsi" w:eastAsiaTheme="minorHAnsi" w:hAnsiTheme="minorHAnsi" w:cstheme="minorBidi"/>
          <w:snapToGrid/>
          <w:sz w:val="24"/>
          <w:szCs w:val="22"/>
        </w:rPr>
        <w:t>nor submission sought</w:t>
      </w:r>
      <w:r w:rsidR="00625E12" w:rsidRPr="000E6927">
        <w:rPr>
          <w:rFonts w:asciiTheme="minorHAnsi" w:eastAsiaTheme="minorHAnsi" w:hAnsiTheme="minorHAnsi" w:cstheme="minorBidi"/>
          <w:snapToGrid/>
          <w:sz w:val="24"/>
          <w:szCs w:val="22"/>
        </w:rPr>
        <w:t xml:space="preserve"> to extend the current listing of </w:t>
      </w:r>
      <w:r w:rsidR="00305B56" w:rsidRPr="000E6927">
        <w:rPr>
          <w:rFonts w:asciiTheme="minorHAnsi" w:eastAsiaTheme="minorHAnsi" w:hAnsiTheme="minorHAnsi" w:cstheme="minorBidi"/>
          <w:snapToGrid/>
          <w:sz w:val="24"/>
          <w:szCs w:val="22"/>
        </w:rPr>
        <w:t>l</w:t>
      </w:r>
      <w:r w:rsidR="00625E12" w:rsidRPr="000E6927">
        <w:rPr>
          <w:rFonts w:asciiTheme="minorHAnsi" w:eastAsiaTheme="minorHAnsi" w:hAnsiTheme="minorHAnsi" w:cstheme="minorBidi"/>
          <w:snapToGrid/>
          <w:sz w:val="24"/>
          <w:szCs w:val="22"/>
        </w:rPr>
        <w:t xml:space="preserve">anreotide </w:t>
      </w:r>
      <w:r w:rsidR="00305B56" w:rsidRPr="000E6927">
        <w:rPr>
          <w:rFonts w:asciiTheme="minorHAnsi" w:eastAsiaTheme="minorHAnsi" w:hAnsiTheme="minorHAnsi" w:cstheme="minorBidi"/>
          <w:snapToGrid/>
          <w:sz w:val="24"/>
          <w:szCs w:val="22"/>
        </w:rPr>
        <w:t>injection 120</w:t>
      </w:r>
      <w:r w:rsidR="007E5372" w:rsidRPr="000E6927">
        <w:rPr>
          <w:rFonts w:asciiTheme="minorHAnsi" w:eastAsiaTheme="minorHAnsi" w:hAnsiTheme="minorHAnsi" w:cstheme="minorBidi"/>
          <w:snapToGrid/>
          <w:sz w:val="24"/>
          <w:szCs w:val="22"/>
        </w:rPr>
        <w:t> </w:t>
      </w:r>
      <w:r w:rsidR="00305B56" w:rsidRPr="000E6927">
        <w:rPr>
          <w:rFonts w:asciiTheme="minorHAnsi" w:eastAsiaTheme="minorHAnsi" w:hAnsiTheme="minorHAnsi" w:cstheme="minorBidi"/>
          <w:snapToGrid/>
          <w:sz w:val="24"/>
          <w:szCs w:val="22"/>
        </w:rPr>
        <w:t xml:space="preserve">mg (as </w:t>
      </w:r>
      <w:r w:rsidR="00625E12" w:rsidRPr="000E6927">
        <w:rPr>
          <w:rFonts w:asciiTheme="minorHAnsi" w:eastAsiaTheme="minorHAnsi" w:hAnsiTheme="minorHAnsi" w:cstheme="minorBidi"/>
          <w:snapToGrid/>
          <w:sz w:val="24"/>
          <w:szCs w:val="22"/>
        </w:rPr>
        <w:t>acetate</w:t>
      </w:r>
      <w:r w:rsidR="00305B56" w:rsidRPr="000E6927">
        <w:rPr>
          <w:rFonts w:asciiTheme="minorHAnsi" w:eastAsiaTheme="minorHAnsi" w:hAnsiTheme="minorHAnsi" w:cstheme="minorBidi"/>
          <w:snapToGrid/>
          <w:sz w:val="24"/>
          <w:szCs w:val="22"/>
        </w:rPr>
        <w:t xml:space="preserve">) for the treatment of non-functional </w:t>
      </w:r>
      <w:proofErr w:type="spellStart"/>
      <w:r w:rsidR="00754BE5" w:rsidRPr="000E6927">
        <w:rPr>
          <w:rFonts w:asciiTheme="minorHAnsi" w:eastAsiaTheme="minorHAnsi" w:hAnsiTheme="minorHAnsi" w:cstheme="minorBidi"/>
          <w:snapToGrid/>
          <w:sz w:val="24"/>
          <w:szCs w:val="22"/>
        </w:rPr>
        <w:t>gastroenteropancreatic</w:t>
      </w:r>
      <w:proofErr w:type="spellEnd"/>
      <w:r w:rsidR="00754BE5" w:rsidRPr="000E6927">
        <w:rPr>
          <w:rFonts w:asciiTheme="minorHAnsi" w:eastAsiaTheme="minorHAnsi" w:hAnsiTheme="minorHAnsi" w:cstheme="minorBidi"/>
          <w:snapToGrid/>
          <w:sz w:val="24"/>
          <w:szCs w:val="22"/>
        </w:rPr>
        <w:t xml:space="preserve"> neuroendocrine tumour (GEP-NET) </w:t>
      </w:r>
      <w:r w:rsidR="00625E12" w:rsidRPr="000E6927">
        <w:rPr>
          <w:rFonts w:asciiTheme="minorHAnsi" w:eastAsiaTheme="minorHAnsi" w:hAnsiTheme="minorHAnsi" w:cstheme="minorBidi"/>
          <w:snapToGrid/>
          <w:sz w:val="24"/>
          <w:szCs w:val="22"/>
        </w:rPr>
        <w:t xml:space="preserve">to </w:t>
      </w:r>
      <w:r w:rsidR="00754BE5" w:rsidRPr="000E6927">
        <w:rPr>
          <w:rFonts w:asciiTheme="minorHAnsi" w:eastAsiaTheme="minorHAnsi" w:hAnsiTheme="minorHAnsi" w:cstheme="minorBidi"/>
          <w:snapToGrid/>
          <w:sz w:val="24"/>
          <w:szCs w:val="22"/>
        </w:rPr>
        <w:t xml:space="preserve">include </w:t>
      </w:r>
      <w:r w:rsidR="00625E12" w:rsidRPr="000E6927">
        <w:rPr>
          <w:rFonts w:asciiTheme="minorHAnsi" w:eastAsiaTheme="minorHAnsi" w:hAnsiTheme="minorHAnsi" w:cstheme="minorBidi"/>
          <w:snapToGrid/>
          <w:sz w:val="24"/>
          <w:szCs w:val="22"/>
        </w:rPr>
        <w:t>a S</w:t>
      </w:r>
      <w:r w:rsidR="001617D7" w:rsidRPr="000E6927">
        <w:rPr>
          <w:rFonts w:asciiTheme="minorHAnsi" w:eastAsiaTheme="minorHAnsi" w:hAnsiTheme="minorHAnsi" w:cstheme="minorBidi"/>
          <w:snapToGrid/>
          <w:sz w:val="24"/>
          <w:szCs w:val="22"/>
        </w:rPr>
        <w:t>ection 100 (Highly Specialised Drugs Program)</w:t>
      </w:r>
      <w:r w:rsidR="008969FC" w:rsidRPr="000E6927">
        <w:rPr>
          <w:rFonts w:asciiTheme="minorHAnsi" w:eastAsiaTheme="minorHAnsi" w:hAnsiTheme="minorHAnsi" w:cstheme="minorBidi"/>
          <w:snapToGrid/>
          <w:sz w:val="24"/>
          <w:szCs w:val="22"/>
        </w:rPr>
        <w:t xml:space="preserve"> (S100 HSD)</w:t>
      </w:r>
      <w:r w:rsidR="001617D7" w:rsidRPr="000E6927">
        <w:rPr>
          <w:rFonts w:asciiTheme="minorHAnsi" w:eastAsiaTheme="minorHAnsi" w:hAnsiTheme="minorHAnsi" w:cstheme="minorBidi"/>
          <w:snapToGrid/>
          <w:sz w:val="24"/>
          <w:szCs w:val="22"/>
        </w:rPr>
        <w:t xml:space="preserve"> </w:t>
      </w:r>
      <w:r w:rsidR="008969FC" w:rsidRPr="000E6927">
        <w:rPr>
          <w:rFonts w:asciiTheme="minorHAnsi" w:eastAsiaTheme="minorHAnsi" w:hAnsiTheme="minorHAnsi" w:cstheme="minorBidi"/>
          <w:snapToGrid/>
          <w:sz w:val="24"/>
          <w:szCs w:val="22"/>
        </w:rPr>
        <w:t xml:space="preserve">– </w:t>
      </w:r>
      <w:r w:rsidR="001617D7" w:rsidRPr="000E6927">
        <w:rPr>
          <w:rFonts w:asciiTheme="minorHAnsi" w:eastAsiaTheme="minorHAnsi" w:hAnsiTheme="minorHAnsi" w:cstheme="minorBidi"/>
          <w:snapToGrid/>
          <w:sz w:val="24"/>
          <w:szCs w:val="22"/>
        </w:rPr>
        <w:t>Community</w:t>
      </w:r>
      <w:r w:rsidR="008969FC" w:rsidRPr="000E6927">
        <w:rPr>
          <w:rFonts w:asciiTheme="minorHAnsi" w:eastAsiaTheme="minorHAnsi" w:hAnsiTheme="minorHAnsi" w:cstheme="minorBidi"/>
          <w:snapToGrid/>
          <w:sz w:val="24"/>
          <w:szCs w:val="22"/>
        </w:rPr>
        <w:t xml:space="preserve"> </w:t>
      </w:r>
      <w:r w:rsidR="001617D7" w:rsidRPr="000E6927">
        <w:rPr>
          <w:rFonts w:asciiTheme="minorHAnsi" w:eastAsiaTheme="minorHAnsi" w:hAnsiTheme="minorHAnsi" w:cstheme="minorBidi"/>
          <w:snapToGrid/>
          <w:sz w:val="24"/>
          <w:szCs w:val="22"/>
        </w:rPr>
        <w:t xml:space="preserve">Access listing for </w:t>
      </w:r>
      <w:r w:rsidR="00F95491" w:rsidRPr="000E6927">
        <w:rPr>
          <w:rFonts w:asciiTheme="minorHAnsi" w:eastAsiaTheme="minorHAnsi" w:hAnsiTheme="minorHAnsi" w:cstheme="minorBidi"/>
          <w:snapToGrid/>
          <w:sz w:val="24"/>
          <w:szCs w:val="22"/>
        </w:rPr>
        <w:t xml:space="preserve">continuing </w:t>
      </w:r>
      <w:r w:rsidR="001617D7" w:rsidRPr="000E6927">
        <w:rPr>
          <w:rFonts w:asciiTheme="minorHAnsi" w:eastAsiaTheme="minorHAnsi" w:hAnsiTheme="minorHAnsi" w:cstheme="minorBidi"/>
          <w:snapToGrid/>
          <w:sz w:val="24"/>
          <w:szCs w:val="22"/>
        </w:rPr>
        <w:t xml:space="preserve">patients who have </w:t>
      </w:r>
      <w:r w:rsidR="00F95491" w:rsidRPr="000E6927">
        <w:rPr>
          <w:rFonts w:asciiTheme="minorHAnsi" w:eastAsiaTheme="minorHAnsi" w:hAnsiTheme="minorHAnsi" w:cstheme="minorBidi"/>
          <w:snapToGrid/>
          <w:sz w:val="24"/>
          <w:szCs w:val="22"/>
        </w:rPr>
        <w:t xml:space="preserve">previously received </w:t>
      </w:r>
      <w:r w:rsidR="001617D7" w:rsidRPr="000E6927">
        <w:rPr>
          <w:rFonts w:asciiTheme="minorHAnsi" w:eastAsiaTheme="minorHAnsi" w:hAnsiTheme="minorHAnsi" w:cstheme="minorBidi"/>
          <w:snapToGrid/>
          <w:sz w:val="24"/>
          <w:szCs w:val="22"/>
        </w:rPr>
        <w:t xml:space="preserve">treatment </w:t>
      </w:r>
      <w:r w:rsidR="00F95491" w:rsidRPr="000E6927">
        <w:rPr>
          <w:rFonts w:asciiTheme="minorHAnsi" w:eastAsiaTheme="minorHAnsi" w:hAnsiTheme="minorHAnsi" w:cstheme="minorBidi"/>
          <w:snapToGrid/>
          <w:sz w:val="24"/>
          <w:szCs w:val="22"/>
        </w:rPr>
        <w:t>through the current S100 HSD – Public/Private H</w:t>
      </w:r>
      <w:r w:rsidR="001617D7" w:rsidRPr="000E6927">
        <w:rPr>
          <w:rFonts w:asciiTheme="minorHAnsi" w:eastAsiaTheme="minorHAnsi" w:hAnsiTheme="minorHAnsi" w:cstheme="minorBidi"/>
          <w:snapToGrid/>
          <w:sz w:val="24"/>
          <w:szCs w:val="22"/>
        </w:rPr>
        <w:t>ospital</w:t>
      </w:r>
      <w:r w:rsidR="00F95491" w:rsidRPr="000E6927">
        <w:rPr>
          <w:rFonts w:asciiTheme="minorHAnsi" w:eastAsiaTheme="minorHAnsi" w:hAnsiTheme="minorHAnsi" w:cstheme="minorBidi"/>
          <w:snapToGrid/>
          <w:sz w:val="24"/>
          <w:szCs w:val="22"/>
        </w:rPr>
        <w:t xml:space="preserve"> listing</w:t>
      </w:r>
      <w:r w:rsidR="001617D7" w:rsidRPr="000E6927">
        <w:rPr>
          <w:rFonts w:asciiTheme="minorHAnsi" w:eastAsiaTheme="minorHAnsi" w:hAnsiTheme="minorHAnsi" w:cstheme="minorBidi"/>
          <w:snapToGrid/>
          <w:sz w:val="24"/>
          <w:szCs w:val="22"/>
        </w:rPr>
        <w:t>.</w:t>
      </w:r>
    </w:p>
    <w:p w:rsidR="006A12A5" w:rsidRPr="000E6927" w:rsidRDefault="006A12A5">
      <w:pPr>
        <w:pStyle w:val="PBACHeading1"/>
        <w:spacing w:before="240" w:after="120"/>
        <w:ind w:left="709" w:hanging="709"/>
        <w:rPr>
          <w:rFonts w:asciiTheme="minorHAnsi" w:hAnsiTheme="minorHAnsi"/>
          <w:sz w:val="32"/>
          <w:szCs w:val="32"/>
        </w:rPr>
      </w:pPr>
      <w:r w:rsidRPr="000E6927">
        <w:rPr>
          <w:rFonts w:asciiTheme="minorHAnsi" w:hAnsiTheme="minorHAnsi"/>
          <w:sz w:val="32"/>
          <w:szCs w:val="32"/>
        </w:rPr>
        <w:t>Requested listing</w:t>
      </w:r>
    </w:p>
    <w:p w:rsidR="0067747D" w:rsidRPr="000E6927" w:rsidRDefault="00EF44A0">
      <w:pPr>
        <w:pStyle w:val="ListParagraph"/>
        <w:widowControl/>
        <w:numPr>
          <w:ilvl w:val="1"/>
          <w:numId w:val="14"/>
        </w:numPr>
        <w:spacing w:after="120"/>
        <w:contextualSpacing w:val="0"/>
        <w:rPr>
          <w:rFonts w:asciiTheme="minorHAnsi" w:eastAsiaTheme="minorHAnsi" w:hAnsiTheme="minorHAnsi" w:cstheme="minorBidi"/>
          <w:i/>
          <w:snapToGrid/>
          <w:sz w:val="24"/>
          <w:szCs w:val="22"/>
        </w:rPr>
      </w:pPr>
      <w:r w:rsidRPr="000E6927">
        <w:rPr>
          <w:rFonts w:asciiTheme="minorHAnsi" w:eastAsiaTheme="minorHAnsi" w:hAnsiTheme="minorHAnsi" w:cstheme="minorBidi"/>
          <w:snapToGrid/>
          <w:sz w:val="24"/>
          <w:szCs w:val="22"/>
        </w:rPr>
        <w:t xml:space="preserve">The submission </w:t>
      </w:r>
      <w:r w:rsidR="00FF2801" w:rsidRPr="000E6927">
        <w:rPr>
          <w:rFonts w:asciiTheme="minorHAnsi" w:eastAsiaTheme="minorHAnsi" w:hAnsiTheme="minorHAnsi" w:cstheme="minorBidi"/>
          <w:snapToGrid/>
          <w:sz w:val="24"/>
          <w:szCs w:val="22"/>
        </w:rPr>
        <w:t>requested</w:t>
      </w:r>
      <w:r w:rsidRPr="000E6927">
        <w:rPr>
          <w:rFonts w:asciiTheme="minorHAnsi" w:eastAsiaTheme="minorHAnsi" w:hAnsiTheme="minorHAnsi" w:cstheme="minorBidi"/>
          <w:snapToGrid/>
          <w:sz w:val="24"/>
          <w:szCs w:val="22"/>
        </w:rPr>
        <w:t xml:space="preserve"> the following </w:t>
      </w:r>
      <w:r w:rsidR="0076420C" w:rsidRPr="000E6927">
        <w:rPr>
          <w:rFonts w:asciiTheme="minorHAnsi" w:eastAsiaTheme="minorHAnsi" w:hAnsiTheme="minorHAnsi" w:cstheme="minorBidi"/>
          <w:snapToGrid/>
          <w:sz w:val="24"/>
          <w:szCs w:val="22"/>
        </w:rPr>
        <w:t xml:space="preserve">new </w:t>
      </w:r>
      <w:r w:rsidR="0021701D" w:rsidRPr="000E6927">
        <w:rPr>
          <w:rFonts w:asciiTheme="minorHAnsi" w:eastAsiaTheme="minorHAnsi" w:hAnsiTheme="minorHAnsi" w:cstheme="minorBidi"/>
          <w:snapToGrid/>
          <w:sz w:val="24"/>
          <w:szCs w:val="22"/>
        </w:rPr>
        <w:t>listing</w:t>
      </w:r>
      <w:r w:rsidR="008A7A2C" w:rsidRPr="000E6927">
        <w:rPr>
          <w:rFonts w:asciiTheme="minorHAnsi" w:eastAsiaTheme="minorHAnsi" w:hAnsiTheme="minorHAnsi" w:cstheme="minorBidi"/>
          <w:snapToGrid/>
          <w:sz w:val="24"/>
          <w:szCs w:val="22"/>
        </w:rPr>
        <w:t>.</w:t>
      </w:r>
    </w:p>
    <w:tbl>
      <w:tblPr>
        <w:tblW w:w="4987" w:type="pct"/>
        <w:tblLook w:val="0000" w:firstRow="0" w:lastRow="0" w:firstColumn="0" w:lastColumn="0" w:noHBand="0" w:noVBand="0"/>
        <w:tblCaption w:val="Requested listing "/>
      </w:tblPr>
      <w:tblGrid>
        <w:gridCol w:w="1739"/>
        <w:gridCol w:w="1415"/>
        <w:gridCol w:w="691"/>
        <w:gridCol w:w="1107"/>
        <w:gridCol w:w="4051"/>
      </w:tblGrid>
      <w:tr w:rsidR="00754BE5" w:rsidRPr="000E6927" w:rsidTr="000D138D">
        <w:trPr>
          <w:cantSplit/>
          <w:trHeight w:val="465"/>
        </w:trPr>
        <w:tc>
          <w:tcPr>
            <w:tcW w:w="1751" w:type="pct"/>
            <w:gridSpan w:val="2"/>
            <w:tcBorders>
              <w:bottom w:val="single" w:sz="4" w:space="0" w:color="auto"/>
            </w:tcBorders>
          </w:tcPr>
          <w:p w:rsidR="0021701D" w:rsidRPr="000E6927" w:rsidRDefault="0021701D">
            <w:pPr>
              <w:keepNext/>
              <w:spacing w:before="40" w:after="40"/>
              <w:jc w:val="both"/>
              <w:rPr>
                <w:rFonts w:ascii="Arial Narrow" w:hAnsi="Arial Narrow" w:cs="Arial"/>
                <w:b/>
                <w:sz w:val="20"/>
                <w:szCs w:val="20"/>
              </w:rPr>
            </w:pPr>
            <w:r w:rsidRPr="000E6927">
              <w:rPr>
                <w:rFonts w:ascii="Arial Narrow" w:hAnsi="Arial Narrow" w:cs="Arial"/>
                <w:b/>
                <w:sz w:val="20"/>
                <w:szCs w:val="20"/>
              </w:rPr>
              <w:t>Name, Restriction,</w:t>
            </w:r>
          </w:p>
          <w:p w:rsidR="0021701D" w:rsidRPr="000E6927" w:rsidRDefault="0021701D">
            <w:pPr>
              <w:keepNext/>
              <w:spacing w:before="40" w:after="40"/>
              <w:jc w:val="both"/>
              <w:rPr>
                <w:rFonts w:ascii="Arial Narrow" w:hAnsi="Arial Narrow" w:cs="Arial"/>
                <w:b/>
                <w:sz w:val="20"/>
                <w:szCs w:val="20"/>
              </w:rPr>
            </w:pPr>
            <w:r w:rsidRPr="000E6927">
              <w:rPr>
                <w:rFonts w:ascii="Arial Narrow" w:hAnsi="Arial Narrow" w:cs="Arial"/>
                <w:b/>
                <w:sz w:val="20"/>
                <w:szCs w:val="20"/>
              </w:rPr>
              <w:t>Manner of administration and form</w:t>
            </w:r>
          </w:p>
        </w:tc>
        <w:tc>
          <w:tcPr>
            <w:tcW w:w="384" w:type="pct"/>
            <w:tcBorders>
              <w:bottom w:val="single" w:sz="4" w:space="0" w:color="auto"/>
            </w:tcBorders>
          </w:tcPr>
          <w:p w:rsidR="0021701D" w:rsidRPr="000E6927" w:rsidRDefault="0021701D">
            <w:pPr>
              <w:keepNext/>
              <w:spacing w:before="40" w:after="40"/>
              <w:jc w:val="both"/>
              <w:rPr>
                <w:rFonts w:ascii="Arial Narrow" w:hAnsi="Arial Narrow" w:cs="Arial"/>
                <w:b/>
                <w:sz w:val="20"/>
                <w:szCs w:val="20"/>
              </w:rPr>
            </w:pPr>
            <w:r w:rsidRPr="000E6927">
              <w:rPr>
                <w:rFonts w:ascii="Arial Narrow" w:hAnsi="Arial Narrow" w:cs="Arial"/>
                <w:b/>
                <w:sz w:val="20"/>
                <w:szCs w:val="20"/>
              </w:rPr>
              <w:t>Max.</w:t>
            </w:r>
          </w:p>
          <w:p w:rsidR="0021701D" w:rsidRPr="000E6927" w:rsidRDefault="0021701D">
            <w:pPr>
              <w:keepNext/>
              <w:spacing w:before="40" w:after="40"/>
              <w:jc w:val="both"/>
              <w:rPr>
                <w:rFonts w:ascii="Arial Narrow" w:hAnsi="Arial Narrow" w:cs="Arial"/>
                <w:b/>
                <w:sz w:val="20"/>
                <w:szCs w:val="20"/>
              </w:rPr>
            </w:pPr>
            <w:proofErr w:type="spellStart"/>
            <w:r w:rsidRPr="000E6927">
              <w:rPr>
                <w:rFonts w:ascii="Arial Narrow" w:hAnsi="Arial Narrow" w:cs="Arial"/>
                <w:b/>
                <w:sz w:val="20"/>
                <w:szCs w:val="20"/>
              </w:rPr>
              <w:t>Qty</w:t>
            </w:r>
            <w:proofErr w:type="spellEnd"/>
          </w:p>
        </w:tc>
        <w:tc>
          <w:tcPr>
            <w:tcW w:w="615" w:type="pct"/>
            <w:tcBorders>
              <w:bottom w:val="single" w:sz="4" w:space="0" w:color="auto"/>
            </w:tcBorders>
          </w:tcPr>
          <w:p w:rsidR="0021701D" w:rsidRPr="000E6927" w:rsidRDefault="0021701D">
            <w:pPr>
              <w:keepNext/>
              <w:spacing w:before="40" w:after="40"/>
              <w:jc w:val="both"/>
              <w:rPr>
                <w:rFonts w:ascii="Arial Narrow" w:hAnsi="Arial Narrow" w:cs="Arial"/>
                <w:b/>
                <w:sz w:val="20"/>
                <w:szCs w:val="20"/>
              </w:rPr>
            </w:pPr>
            <w:r w:rsidRPr="000E6927">
              <w:rPr>
                <w:rFonts w:ascii="Arial Narrow" w:hAnsi="Arial Narrow" w:cs="Arial"/>
                <w:b/>
                <w:sz w:val="20"/>
                <w:szCs w:val="20"/>
              </w:rPr>
              <w:t>№.of</w:t>
            </w:r>
          </w:p>
          <w:p w:rsidR="0021701D" w:rsidRPr="000E6927" w:rsidRDefault="0021701D">
            <w:pPr>
              <w:keepNext/>
              <w:spacing w:before="40" w:after="40"/>
              <w:jc w:val="both"/>
              <w:rPr>
                <w:rFonts w:ascii="Arial Narrow" w:hAnsi="Arial Narrow" w:cs="Arial"/>
                <w:b/>
                <w:sz w:val="20"/>
                <w:szCs w:val="20"/>
              </w:rPr>
            </w:pPr>
            <w:proofErr w:type="spellStart"/>
            <w:r w:rsidRPr="000E6927">
              <w:rPr>
                <w:rFonts w:ascii="Arial Narrow" w:hAnsi="Arial Narrow" w:cs="Arial"/>
                <w:b/>
                <w:sz w:val="20"/>
                <w:szCs w:val="20"/>
              </w:rPr>
              <w:t>Rpts</w:t>
            </w:r>
            <w:proofErr w:type="spellEnd"/>
          </w:p>
        </w:tc>
        <w:tc>
          <w:tcPr>
            <w:tcW w:w="2250" w:type="pct"/>
            <w:tcBorders>
              <w:bottom w:val="single" w:sz="4" w:space="0" w:color="auto"/>
            </w:tcBorders>
          </w:tcPr>
          <w:p w:rsidR="0021701D" w:rsidRPr="000E6927" w:rsidRDefault="0021701D">
            <w:pPr>
              <w:keepNext/>
              <w:spacing w:before="40" w:after="40"/>
              <w:jc w:val="both"/>
              <w:rPr>
                <w:rFonts w:ascii="Arial Narrow" w:hAnsi="Arial Narrow" w:cs="Arial"/>
                <w:b/>
                <w:sz w:val="20"/>
                <w:szCs w:val="20"/>
              </w:rPr>
            </w:pPr>
            <w:r w:rsidRPr="000E6927">
              <w:rPr>
                <w:rFonts w:ascii="Arial Narrow" w:hAnsi="Arial Narrow" w:cs="Arial"/>
                <w:b/>
                <w:sz w:val="20"/>
                <w:szCs w:val="20"/>
              </w:rPr>
              <w:t>Proprietary Name and Manufacturer</w:t>
            </w:r>
          </w:p>
        </w:tc>
      </w:tr>
      <w:tr w:rsidR="00754BE5" w:rsidRPr="000E6927" w:rsidTr="000D138D">
        <w:trPr>
          <w:cantSplit/>
          <w:trHeight w:val="567"/>
        </w:trPr>
        <w:tc>
          <w:tcPr>
            <w:tcW w:w="1751" w:type="pct"/>
            <w:gridSpan w:val="2"/>
          </w:tcPr>
          <w:p w:rsidR="00754BE5" w:rsidRPr="000E6927" w:rsidRDefault="00754BE5">
            <w:pPr>
              <w:keepNext/>
              <w:spacing w:before="40" w:after="40"/>
              <w:jc w:val="both"/>
              <w:rPr>
                <w:rFonts w:ascii="Arial Narrow" w:hAnsi="Arial Narrow" w:cs="Arial"/>
                <w:sz w:val="20"/>
                <w:szCs w:val="20"/>
              </w:rPr>
            </w:pPr>
            <w:r w:rsidRPr="000E6927">
              <w:rPr>
                <w:rFonts w:ascii="Arial Narrow" w:hAnsi="Arial Narrow" w:cs="Arial"/>
                <w:smallCaps/>
                <w:sz w:val="20"/>
                <w:szCs w:val="20"/>
              </w:rPr>
              <w:t>LANREOTIDE</w:t>
            </w:r>
          </w:p>
          <w:p w:rsidR="00754BE5" w:rsidRPr="000E6927" w:rsidRDefault="00754BE5">
            <w:pPr>
              <w:keepNext/>
              <w:spacing w:before="40" w:after="40"/>
              <w:jc w:val="both"/>
              <w:rPr>
                <w:rFonts w:ascii="Arial Narrow" w:hAnsi="Arial Narrow" w:cs="Arial"/>
                <w:sz w:val="20"/>
                <w:szCs w:val="20"/>
              </w:rPr>
            </w:pPr>
            <w:r w:rsidRPr="000E6927">
              <w:rPr>
                <w:rFonts w:ascii="Arial Narrow" w:hAnsi="Arial Narrow" w:cs="Arial"/>
                <w:sz w:val="20"/>
                <w:szCs w:val="20"/>
              </w:rPr>
              <w:t>120 mg/0.5 mL injection, 0.5 mL syringe</w:t>
            </w:r>
          </w:p>
        </w:tc>
        <w:tc>
          <w:tcPr>
            <w:tcW w:w="384" w:type="pct"/>
          </w:tcPr>
          <w:p w:rsidR="00754BE5" w:rsidRPr="000E6927" w:rsidRDefault="00754BE5">
            <w:pPr>
              <w:keepNext/>
              <w:spacing w:before="40" w:after="40"/>
              <w:jc w:val="both"/>
              <w:rPr>
                <w:rFonts w:ascii="Arial Narrow" w:hAnsi="Arial Narrow" w:cs="Arial"/>
                <w:sz w:val="20"/>
                <w:szCs w:val="20"/>
              </w:rPr>
            </w:pPr>
          </w:p>
          <w:p w:rsidR="00754BE5" w:rsidRPr="000E6927" w:rsidRDefault="00754BE5">
            <w:pPr>
              <w:keepNext/>
              <w:spacing w:before="40" w:after="40"/>
              <w:jc w:val="both"/>
              <w:rPr>
                <w:rFonts w:ascii="Arial Narrow" w:hAnsi="Arial Narrow" w:cs="Arial"/>
                <w:sz w:val="20"/>
                <w:szCs w:val="20"/>
              </w:rPr>
            </w:pPr>
            <w:r w:rsidRPr="000E6927">
              <w:rPr>
                <w:rFonts w:ascii="Arial Narrow" w:hAnsi="Arial Narrow" w:cs="Arial"/>
                <w:sz w:val="20"/>
                <w:szCs w:val="20"/>
              </w:rPr>
              <w:t>2</w:t>
            </w:r>
          </w:p>
        </w:tc>
        <w:tc>
          <w:tcPr>
            <w:tcW w:w="615" w:type="pct"/>
          </w:tcPr>
          <w:p w:rsidR="00754BE5" w:rsidRPr="000E6927" w:rsidRDefault="00754BE5">
            <w:pPr>
              <w:keepNext/>
              <w:spacing w:before="40" w:after="40"/>
              <w:jc w:val="both"/>
              <w:rPr>
                <w:rFonts w:ascii="Arial Narrow" w:hAnsi="Arial Narrow" w:cs="Arial"/>
                <w:sz w:val="20"/>
                <w:szCs w:val="20"/>
              </w:rPr>
            </w:pPr>
          </w:p>
          <w:p w:rsidR="00754BE5" w:rsidRPr="000E6927" w:rsidRDefault="00754BE5">
            <w:pPr>
              <w:keepNext/>
              <w:spacing w:before="40" w:after="40"/>
              <w:jc w:val="both"/>
              <w:rPr>
                <w:rFonts w:ascii="Arial Narrow" w:hAnsi="Arial Narrow" w:cs="Arial"/>
                <w:sz w:val="20"/>
                <w:szCs w:val="20"/>
              </w:rPr>
            </w:pPr>
            <w:r w:rsidRPr="000E6927">
              <w:rPr>
                <w:rFonts w:ascii="Arial Narrow" w:hAnsi="Arial Narrow" w:cs="Arial"/>
                <w:sz w:val="20"/>
                <w:szCs w:val="20"/>
              </w:rPr>
              <w:t>5</w:t>
            </w:r>
          </w:p>
        </w:tc>
        <w:tc>
          <w:tcPr>
            <w:tcW w:w="2250" w:type="pct"/>
          </w:tcPr>
          <w:p w:rsidR="00754BE5" w:rsidRPr="000E6927" w:rsidRDefault="00754BE5">
            <w:pPr>
              <w:keepNext/>
              <w:spacing w:before="40" w:after="40"/>
              <w:jc w:val="both"/>
              <w:rPr>
                <w:rFonts w:ascii="Arial Narrow" w:hAnsi="Arial Narrow" w:cs="Arial"/>
                <w:sz w:val="20"/>
                <w:szCs w:val="20"/>
              </w:rPr>
            </w:pPr>
            <w:proofErr w:type="spellStart"/>
            <w:r w:rsidRPr="000E6927">
              <w:rPr>
                <w:rFonts w:ascii="Arial Narrow" w:hAnsi="Arial Narrow" w:cs="Arial"/>
                <w:sz w:val="20"/>
                <w:szCs w:val="20"/>
              </w:rPr>
              <w:t>Somatuline</w:t>
            </w:r>
            <w:proofErr w:type="spellEnd"/>
            <w:r w:rsidRPr="000E6927">
              <w:rPr>
                <w:rFonts w:ascii="Arial Narrow" w:hAnsi="Arial Narrow" w:cs="Arial"/>
                <w:sz w:val="20"/>
                <w:szCs w:val="20"/>
              </w:rPr>
              <w:t xml:space="preserve">® </w:t>
            </w:r>
            <w:proofErr w:type="spellStart"/>
            <w:r w:rsidRPr="000E6927">
              <w:rPr>
                <w:rFonts w:ascii="Arial Narrow" w:hAnsi="Arial Narrow" w:cs="Arial"/>
                <w:sz w:val="20"/>
                <w:szCs w:val="20"/>
              </w:rPr>
              <w:t>Autogel</w:t>
            </w:r>
            <w:proofErr w:type="spellEnd"/>
            <w:r w:rsidRPr="000E6927">
              <w:rPr>
                <w:rFonts w:ascii="Arial Narrow" w:hAnsi="Arial Narrow" w:cs="Arial"/>
                <w:sz w:val="20"/>
                <w:szCs w:val="20"/>
              </w:rPr>
              <w:t xml:space="preserve">®, </w:t>
            </w:r>
            <w:proofErr w:type="spellStart"/>
            <w:r w:rsidRPr="000E6927">
              <w:rPr>
                <w:rFonts w:ascii="Arial Narrow" w:hAnsi="Arial Narrow" w:cs="Arial"/>
                <w:sz w:val="20"/>
                <w:szCs w:val="20"/>
              </w:rPr>
              <w:t>Ipsen</w:t>
            </w:r>
            <w:proofErr w:type="spellEnd"/>
            <w:r w:rsidRPr="000E6927">
              <w:rPr>
                <w:rFonts w:ascii="Arial Narrow" w:hAnsi="Arial Narrow" w:cs="Arial"/>
                <w:sz w:val="20"/>
                <w:szCs w:val="20"/>
              </w:rPr>
              <w:t xml:space="preserve"> Pty Ltd</w:t>
            </w:r>
          </w:p>
        </w:tc>
      </w:tr>
      <w:tr w:rsidR="00826F6D" w:rsidRPr="000E6927" w:rsidTr="000D138D">
        <w:trPr>
          <w:cantSplit/>
          <w:trHeight w:val="360"/>
        </w:trPr>
        <w:tc>
          <w:tcPr>
            <w:tcW w:w="5000" w:type="pct"/>
            <w:gridSpan w:val="5"/>
            <w:tcBorders>
              <w:bottom w:val="single" w:sz="4" w:space="0" w:color="auto"/>
            </w:tcBorders>
          </w:tcPr>
          <w:p w:rsidR="00826F6D" w:rsidRPr="000E6927" w:rsidRDefault="00826F6D" w:rsidP="00E57B27">
            <w:pPr>
              <w:rPr>
                <w:rFonts w:ascii="Arial Narrow" w:hAnsi="Arial Narrow" w:cs="Arial"/>
                <w:sz w:val="20"/>
                <w:szCs w:val="20"/>
              </w:rPr>
            </w:pPr>
          </w:p>
        </w:tc>
      </w:tr>
      <w:tr w:rsidR="00826F6D" w:rsidRPr="000E6927" w:rsidTr="000D138D">
        <w:trPr>
          <w:cantSplit/>
          <w:trHeight w:val="360"/>
        </w:trPr>
        <w:tc>
          <w:tcPr>
            <w:tcW w:w="965" w:type="pct"/>
            <w:tcBorders>
              <w:top w:val="single" w:sz="4" w:space="0" w:color="auto"/>
              <w:left w:val="single" w:sz="4" w:space="0" w:color="auto"/>
              <w:bottom w:val="single" w:sz="4" w:space="0" w:color="auto"/>
              <w:right w:val="single" w:sz="4" w:space="0" w:color="auto"/>
            </w:tcBorders>
          </w:tcPr>
          <w:p w:rsidR="00826F6D" w:rsidRPr="000E6927" w:rsidRDefault="00826F6D">
            <w:pPr>
              <w:spacing w:before="40" w:after="40"/>
              <w:jc w:val="both"/>
              <w:rPr>
                <w:rFonts w:ascii="Arial Narrow" w:hAnsi="Arial Narrow" w:cs="Arial"/>
                <w:b/>
                <w:sz w:val="20"/>
                <w:szCs w:val="20"/>
              </w:rPr>
            </w:pPr>
            <w:r w:rsidRPr="000E6927">
              <w:rPr>
                <w:rFonts w:ascii="Arial Narrow" w:hAnsi="Arial Narrow" w:cs="Arial"/>
                <w:b/>
                <w:sz w:val="20"/>
                <w:szCs w:val="20"/>
              </w:rPr>
              <w:t xml:space="preserve">Category / </w:t>
            </w:r>
          </w:p>
          <w:p w:rsidR="00826F6D" w:rsidRPr="000E6927" w:rsidRDefault="00826F6D">
            <w:pPr>
              <w:spacing w:before="40" w:after="40"/>
              <w:jc w:val="both"/>
              <w:rPr>
                <w:rFonts w:ascii="Arial Narrow" w:hAnsi="Arial Narrow" w:cs="Arial"/>
                <w:b/>
                <w:sz w:val="20"/>
                <w:szCs w:val="20"/>
              </w:rPr>
            </w:pPr>
            <w:r w:rsidRPr="000E6927">
              <w:rPr>
                <w:rFonts w:ascii="Arial Narrow" w:hAnsi="Arial Narrow" w:cs="Arial"/>
                <w:b/>
                <w:sz w:val="20"/>
                <w:szCs w:val="20"/>
              </w:rPr>
              <w:t>Program</w:t>
            </w:r>
          </w:p>
        </w:tc>
        <w:tc>
          <w:tcPr>
            <w:tcW w:w="4035" w:type="pct"/>
            <w:gridSpan w:val="4"/>
            <w:tcBorders>
              <w:top w:val="single" w:sz="4" w:space="0" w:color="auto"/>
              <w:left w:val="single" w:sz="4" w:space="0" w:color="auto"/>
              <w:bottom w:val="single" w:sz="4" w:space="0" w:color="auto"/>
              <w:right w:val="single" w:sz="4" w:space="0" w:color="auto"/>
            </w:tcBorders>
          </w:tcPr>
          <w:p w:rsidR="00826F6D" w:rsidRPr="000E6927" w:rsidRDefault="00826F6D">
            <w:pPr>
              <w:spacing w:before="40" w:after="40"/>
              <w:rPr>
                <w:rFonts w:ascii="Arial Narrow" w:hAnsi="Arial Narrow" w:cs="Arial"/>
                <w:sz w:val="20"/>
                <w:szCs w:val="20"/>
              </w:rPr>
            </w:pPr>
            <w:r w:rsidRPr="000E6927">
              <w:rPr>
                <w:rFonts w:ascii="Arial Narrow" w:hAnsi="Arial Narrow" w:cs="Arial"/>
                <w:sz w:val="20"/>
                <w:szCs w:val="20"/>
              </w:rPr>
              <w:t xml:space="preserve">Section 100 </w:t>
            </w:r>
            <w:r w:rsidR="008A7A2C" w:rsidRPr="000E6927">
              <w:rPr>
                <w:rFonts w:ascii="Arial Narrow" w:hAnsi="Arial Narrow" w:cs="Arial"/>
                <w:sz w:val="20"/>
                <w:szCs w:val="20"/>
              </w:rPr>
              <w:t>(</w:t>
            </w:r>
            <w:r w:rsidRPr="000E6927">
              <w:rPr>
                <w:rFonts w:ascii="Arial Narrow" w:hAnsi="Arial Narrow" w:cs="Arial"/>
                <w:sz w:val="20"/>
                <w:szCs w:val="20"/>
              </w:rPr>
              <w:t>Highly Specialised Drugs</w:t>
            </w:r>
            <w:r w:rsidR="008A7A2C" w:rsidRPr="000E6927">
              <w:rPr>
                <w:rFonts w:ascii="Arial Narrow" w:hAnsi="Arial Narrow" w:cs="Arial"/>
                <w:sz w:val="20"/>
                <w:szCs w:val="20"/>
              </w:rPr>
              <w:t>)</w:t>
            </w:r>
            <w:r w:rsidRPr="000E6927">
              <w:rPr>
                <w:rFonts w:ascii="Arial Narrow" w:hAnsi="Arial Narrow" w:cs="Arial"/>
                <w:sz w:val="20"/>
                <w:szCs w:val="20"/>
              </w:rPr>
              <w:t xml:space="preserve"> </w:t>
            </w:r>
            <w:r w:rsidR="008A7A2C" w:rsidRPr="000E6927">
              <w:rPr>
                <w:rFonts w:ascii="Arial Narrow" w:hAnsi="Arial Narrow" w:cs="Arial"/>
                <w:sz w:val="20"/>
                <w:szCs w:val="20"/>
              </w:rPr>
              <w:t xml:space="preserve">– </w:t>
            </w:r>
            <w:r w:rsidR="001617D7" w:rsidRPr="000E6927">
              <w:rPr>
                <w:rFonts w:ascii="Arial Narrow" w:hAnsi="Arial Narrow" w:cs="Arial"/>
                <w:sz w:val="20"/>
                <w:szCs w:val="20"/>
              </w:rPr>
              <w:t>Community</w:t>
            </w:r>
            <w:r w:rsidR="008A7A2C" w:rsidRPr="000E6927">
              <w:rPr>
                <w:rFonts w:ascii="Arial Narrow" w:hAnsi="Arial Narrow" w:cs="Arial"/>
                <w:sz w:val="20"/>
                <w:szCs w:val="20"/>
              </w:rPr>
              <w:t xml:space="preserve"> </w:t>
            </w:r>
            <w:r w:rsidR="00391CC9" w:rsidRPr="000E6927">
              <w:rPr>
                <w:rFonts w:ascii="Arial Narrow" w:hAnsi="Arial Narrow" w:cs="Arial"/>
                <w:sz w:val="20"/>
                <w:szCs w:val="20"/>
              </w:rPr>
              <w:t>Access</w:t>
            </w:r>
          </w:p>
        </w:tc>
      </w:tr>
      <w:tr w:rsidR="00826F6D" w:rsidRPr="000E6927" w:rsidTr="000D138D">
        <w:trPr>
          <w:cantSplit/>
          <w:trHeight w:val="360"/>
        </w:trPr>
        <w:tc>
          <w:tcPr>
            <w:tcW w:w="965" w:type="pct"/>
            <w:tcBorders>
              <w:top w:val="single" w:sz="4" w:space="0" w:color="auto"/>
              <w:left w:val="single" w:sz="4" w:space="0" w:color="auto"/>
              <w:bottom w:val="single" w:sz="4" w:space="0" w:color="auto"/>
              <w:right w:val="single" w:sz="4" w:space="0" w:color="auto"/>
            </w:tcBorders>
          </w:tcPr>
          <w:p w:rsidR="00826F6D" w:rsidRPr="000E6927" w:rsidRDefault="00826F6D">
            <w:pPr>
              <w:spacing w:before="40" w:after="40"/>
              <w:jc w:val="both"/>
              <w:rPr>
                <w:rFonts w:ascii="Arial Narrow" w:hAnsi="Arial Narrow" w:cs="Arial"/>
                <w:b/>
                <w:sz w:val="20"/>
                <w:szCs w:val="20"/>
              </w:rPr>
            </w:pPr>
            <w:r w:rsidRPr="000E6927">
              <w:rPr>
                <w:rFonts w:ascii="Arial Narrow" w:hAnsi="Arial Narrow" w:cs="Arial"/>
                <w:b/>
                <w:sz w:val="20"/>
                <w:szCs w:val="20"/>
              </w:rPr>
              <w:t>Prescriber type:</w:t>
            </w:r>
          </w:p>
        </w:tc>
        <w:tc>
          <w:tcPr>
            <w:tcW w:w="4035" w:type="pct"/>
            <w:gridSpan w:val="4"/>
            <w:tcBorders>
              <w:top w:val="single" w:sz="4" w:space="0" w:color="auto"/>
              <w:left w:val="single" w:sz="4" w:space="0" w:color="auto"/>
              <w:bottom w:val="single" w:sz="4" w:space="0" w:color="auto"/>
              <w:right w:val="single" w:sz="4" w:space="0" w:color="auto"/>
            </w:tcBorders>
          </w:tcPr>
          <w:p w:rsidR="00826F6D" w:rsidRPr="000E6927" w:rsidRDefault="0021701D">
            <w:pPr>
              <w:spacing w:before="40" w:after="40"/>
              <w:rPr>
                <w:rFonts w:ascii="Arial Narrow" w:hAnsi="Arial Narrow" w:cs="Arial"/>
                <w:sz w:val="20"/>
                <w:szCs w:val="20"/>
              </w:rPr>
            </w:pPr>
            <w:r w:rsidRPr="000E6927">
              <w:rPr>
                <w:rFonts w:ascii="Arial Narrow" w:hAnsi="Arial Narrow" w:cs="Arial"/>
                <w:sz w:val="20"/>
                <w:szCs w:val="20"/>
              </w:rPr>
              <w:fldChar w:fldCharType="begin">
                <w:ffData>
                  <w:name w:val=""/>
                  <w:enabled/>
                  <w:calcOnExit w:val="0"/>
                  <w:checkBox>
                    <w:sizeAuto/>
                    <w:default w:val="1"/>
                  </w:checkBox>
                </w:ffData>
              </w:fldChar>
            </w:r>
            <w:r w:rsidRPr="000E6927">
              <w:rPr>
                <w:rFonts w:ascii="Arial Narrow" w:hAnsi="Arial Narrow" w:cs="Arial"/>
                <w:sz w:val="20"/>
                <w:szCs w:val="20"/>
              </w:rPr>
              <w:instrText xml:space="preserve"> FORMCHECKBOX </w:instrText>
            </w:r>
            <w:r w:rsidR="00200BC8">
              <w:rPr>
                <w:rFonts w:ascii="Arial Narrow" w:hAnsi="Arial Narrow" w:cs="Arial"/>
                <w:sz w:val="20"/>
                <w:szCs w:val="20"/>
              </w:rPr>
            </w:r>
            <w:r w:rsidR="00200BC8">
              <w:rPr>
                <w:rFonts w:ascii="Arial Narrow" w:hAnsi="Arial Narrow" w:cs="Arial"/>
                <w:sz w:val="20"/>
                <w:szCs w:val="20"/>
              </w:rPr>
              <w:fldChar w:fldCharType="separate"/>
            </w:r>
            <w:r w:rsidRPr="000E6927">
              <w:rPr>
                <w:rFonts w:ascii="Arial Narrow" w:hAnsi="Arial Narrow" w:cs="Arial"/>
                <w:sz w:val="20"/>
                <w:szCs w:val="20"/>
              </w:rPr>
              <w:fldChar w:fldCharType="end"/>
            </w:r>
            <w:r w:rsidR="00826F6D" w:rsidRPr="000E6927">
              <w:rPr>
                <w:rFonts w:ascii="Arial Narrow" w:hAnsi="Arial Narrow" w:cs="Arial"/>
                <w:sz w:val="20"/>
                <w:szCs w:val="20"/>
              </w:rPr>
              <w:t xml:space="preserve">Medical Practitioners  </w:t>
            </w:r>
          </w:p>
        </w:tc>
      </w:tr>
      <w:tr w:rsidR="00826F6D" w:rsidRPr="000E6927" w:rsidTr="000D138D">
        <w:trPr>
          <w:cantSplit/>
          <w:trHeight w:val="360"/>
        </w:trPr>
        <w:tc>
          <w:tcPr>
            <w:tcW w:w="965" w:type="pct"/>
            <w:tcBorders>
              <w:top w:val="single" w:sz="4" w:space="0" w:color="auto"/>
              <w:left w:val="single" w:sz="4" w:space="0" w:color="auto"/>
              <w:bottom w:val="single" w:sz="4" w:space="0" w:color="auto"/>
              <w:right w:val="single" w:sz="4" w:space="0" w:color="auto"/>
            </w:tcBorders>
          </w:tcPr>
          <w:p w:rsidR="00826F6D" w:rsidRPr="000E6927" w:rsidRDefault="00826F6D">
            <w:pPr>
              <w:spacing w:before="40" w:after="40"/>
              <w:jc w:val="both"/>
              <w:rPr>
                <w:rFonts w:ascii="Arial Narrow" w:hAnsi="Arial Narrow" w:cs="Arial"/>
                <w:b/>
                <w:sz w:val="20"/>
                <w:szCs w:val="20"/>
              </w:rPr>
            </w:pPr>
            <w:r w:rsidRPr="000E6927">
              <w:rPr>
                <w:rFonts w:ascii="Arial Narrow" w:hAnsi="Arial Narrow" w:cs="Arial"/>
                <w:b/>
                <w:sz w:val="20"/>
                <w:szCs w:val="20"/>
              </w:rPr>
              <w:t>PBS Indication:</w:t>
            </w:r>
          </w:p>
        </w:tc>
        <w:tc>
          <w:tcPr>
            <w:tcW w:w="4035" w:type="pct"/>
            <w:gridSpan w:val="4"/>
            <w:tcBorders>
              <w:top w:val="single" w:sz="4" w:space="0" w:color="auto"/>
              <w:left w:val="single" w:sz="4" w:space="0" w:color="auto"/>
              <w:bottom w:val="single" w:sz="4" w:space="0" w:color="auto"/>
              <w:right w:val="single" w:sz="4" w:space="0" w:color="auto"/>
            </w:tcBorders>
          </w:tcPr>
          <w:p w:rsidR="00826F6D" w:rsidRPr="000E6927" w:rsidRDefault="0021701D">
            <w:pPr>
              <w:spacing w:before="40" w:after="40"/>
              <w:rPr>
                <w:rFonts w:ascii="Arial Narrow" w:hAnsi="Arial Narrow" w:cs="Arial"/>
                <w:sz w:val="20"/>
                <w:szCs w:val="20"/>
              </w:rPr>
            </w:pPr>
            <w:r w:rsidRPr="000E6927">
              <w:rPr>
                <w:rFonts w:ascii="Arial Narrow" w:hAnsi="Arial Narrow" w:cs="Arial"/>
                <w:sz w:val="20"/>
                <w:szCs w:val="20"/>
              </w:rPr>
              <w:t xml:space="preserve">Non-functional </w:t>
            </w:r>
            <w:proofErr w:type="spellStart"/>
            <w:r w:rsidRPr="000E6927">
              <w:rPr>
                <w:rFonts w:ascii="Arial Narrow" w:hAnsi="Arial Narrow" w:cs="Arial"/>
                <w:sz w:val="20"/>
                <w:szCs w:val="20"/>
              </w:rPr>
              <w:t>gastroenteropancreatic</w:t>
            </w:r>
            <w:proofErr w:type="spellEnd"/>
            <w:r w:rsidRPr="000E6927">
              <w:rPr>
                <w:rFonts w:ascii="Arial Narrow" w:hAnsi="Arial Narrow" w:cs="Arial"/>
                <w:sz w:val="20"/>
                <w:szCs w:val="20"/>
              </w:rPr>
              <w:t xml:space="preserve"> neuroendocrine tumour (GEP-NET)</w:t>
            </w:r>
          </w:p>
        </w:tc>
      </w:tr>
      <w:tr w:rsidR="00826F6D" w:rsidRPr="000E6927" w:rsidTr="000D138D">
        <w:trPr>
          <w:cantSplit/>
          <w:trHeight w:val="360"/>
        </w:trPr>
        <w:tc>
          <w:tcPr>
            <w:tcW w:w="965" w:type="pct"/>
            <w:tcBorders>
              <w:top w:val="single" w:sz="4" w:space="0" w:color="auto"/>
              <w:left w:val="single" w:sz="4" w:space="0" w:color="auto"/>
              <w:bottom w:val="single" w:sz="4" w:space="0" w:color="auto"/>
              <w:right w:val="single" w:sz="4" w:space="0" w:color="auto"/>
            </w:tcBorders>
          </w:tcPr>
          <w:p w:rsidR="00826F6D" w:rsidRPr="000E6927" w:rsidRDefault="00826F6D">
            <w:pPr>
              <w:spacing w:before="40" w:after="40"/>
              <w:jc w:val="both"/>
              <w:rPr>
                <w:rFonts w:ascii="Arial Narrow" w:hAnsi="Arial Narrow" w:cs="Arial"/>
                <w:b/>
                <w:sz w:val="20"/>
                <w:szCs w:val="20"/>
              </w:rPr>
            </w:pPr>
            <w:r w:rsidRPr="000E6927">
              <w:rPr>
                <w:rFonts w:ascii="Arial Narrow" w:hAnsi="Arial Narrow" w:cs="Arial"/>
                <w:b/>
                <w:sz w:val="20"/>
                <w:szCs w:val="20"/>
              </w:rPr>
              <w:t>Restriction Level / Method:</w:t>
            </w:r>
          </w:p>
        </w:tc>
        <w:tc>
          <w:tcPr>
            <w:tcW w:w="4035" w:type="pct"/>
            <w:gridSpan w:val="4"/>
            <w:tcBorders>
              <w:top w:val="single" w:sz="4" w:space="0" w:color="auto"/>
              <w:left w:val="single" w:sz="4" w:space="0" w:color="auto"/>
              <w:bottom w:val="single" w:sz="4" w:space="0" w:color="auto"/>
              <w:right w:val="single" w:sz="4" w:space="0" w:color="auto"/>
            </w:tcBorders>
          </w:tcPr>
          <w:p w:rsidR="00826F6D" w:rsidRPr="000E6927" w:rsidRDefault="0021701D">
            <w:pPr>
              <w:spacing w:before="40" w:after="40"/>
              <w:rPr>
                <w:rFonts w:ascii="Arial Narrow" w:hAnsi="Arial Narrow" w:cs="Arial"/>
                <w:sz w:val="20"/>
                <w:szCs w:val="20"/>
              </w:rPr>
            </w:pPr>
            <w:r w:rsidRPr="000E6927">
              <w:rPr>
                <w:rFonts w:ascii="Arial Narrow" w:hAnsi="Arial Narrow" w:cs="Arial"/>
                <w:sz w:val="20"/>
                <w:szCs w:val="20"/>
              </w:rPr>
              <w:fldChar w:fldCharType="begin">
                <w:ffData>
                  <w:name w:val="Check5"/>
                  <w:enabled/>
                  <w:calcOnExit w:val="0"/>
                  <w:checkBox>
                    <w:sizeAuto/>
                    <w:default w:val="1"/>
                  </w:checkBox>
                </w:ffData>
              </w:fldChar>
            </w:r>
            <w:bookmarkStart w:id="0" w:name="Check5"/>
            <w:r w:rsidRPr="000E6927">
              <w:rPr>
                <w:rFonts w:ascii="Arial Narrow" w:hAnsi="Arial Narrow" w:cs="Arial"/>
                <w:sz w:val="20"/>
                <w:szCs w:val="20"/>
              </w:rPr>
              <w:instrText xml:space="preserve"> FORMCHECKBOX </w:instrText>
            </w:r>
            <w:r w:rsidR="00200BC8">
              <w:rPr>
                <w:rFonts w:ascii="Arial Narrow" w:hAnsi="Arial Narrow" w:cs="Arial"/>
                <w:sz w:val="20"/>
                <w:szCs w:val="20"/>
              </w:rPr>
            </w:r>
            <w:r w:rsidR="00200BC8">
              <w:rPr>
                <w:rFonts w:ascii="Arial Narrow" w:hAnsi="Arial Narrow" w:cs="Arial"/>
                <w:sz w:val="20"/>
                <w:szCs w:val="20"/>
              </w:rPr>
              <w:fldChar w:fldCharType="separate"/>
            </w:r>
            <w:r w:rsidRPr="000E6927">
              <w:rPr>
                <w:rFonts w:ascii="Arial Narrow" w:hAnsi="Arial Narrow" w:cs="Arial"/>
                <w:sz w:val="20"/>
                <w:szCs w:val="20"/>
              </w:rPr>
              <w:fldChar w:fldCharType="end"/>
            </w:r>
            <w:bookmarkEnd w:id="0"/>
            <w:r w:rsidR="00826F6D" w:rsidRPr="000E6927">
              <w:rPr>
                <w:rFonts w:ascii="Arial Narrow" w:hAnsi="Arial Narrow" w:cs="Arial"/>
                <w:sz w:val="20"/>
                <w:szCs w:val="20"/>
              </w:rPr>
              <w:t>Streamlined</w:t>
            </w:r>
          </w:p>
        </w:tc>
      </w:tr>
      <w:tr w:rsidR="00826F6D" w:rsidRPr="000E6927" w:rsidTr="000D138D">
        <w:trPr>
          <w:cantSplit/>
          <w:trHeight w:val="360"/>
        </w:trPr>
        <w:tc>
          <w:tcPr>
            <w:tcW w:w="965" w:type="pct"/>
            <w:tcBorders>
              <w:top w:val="single" w:sz="4" w:space="0" w:color="auto"/>
              <w:left w:val="single" w:sz="4" w:space="0" w:color="auto"/>
              <w:bottom w:val="single" w:sz="4" w:space="0" w:color="auto"/>
              <w:right w:val="single" w:sz="4" w:space="0" w:color="auto"/>
            </w:tcBorders>
          </w:tcPr>
          <w:p w:rsidR="00826F6D" w:rsidRPr="000E6927" w:rsidRDefault="00826F6D">
            <w:pPr>
              <w:spacing w:before="40" w:after="40"/>
              <w:jc w:val="both"/>
              <w:rPr>
                <w:rFonts w:ascii="Arial Narrow" w:hAnsi="Arial Narrow" w:cs="Arial"/>
                <w:b/>
                <w:sz w:val="20"/>
                <w:szCs w:val="20"/>
              </w:rPr>
            </w:pPr>
            <w:r w:rsidRPr="000E6927">
              <w:rPr>
                <w:rFonts w:ascii="Arial Narrow" w:hAnsi="Arial Narrow" w:cs="Arial"/>
                <w:b/>
                <w:sz w:val="20"/>
                <w:szCs w:val="20"/>
              </w:rPr>
              <w:t>Clinical criteria:</w:t>
            </w:r>
          </w:p>
          <w:p w:rsidR="00826F6D" w:rsidRPr="000E6927" w:rsidRDefault="00826F6D">
            <w:pPr>
              <w:spacing w:before="40" w:after="40"/>
              <w:jc w:val="both"/>
              <w:rPr>
                <w:rFonts w:ascii="Arial Narrow" w:hAnsi="Arial Narrow" w:cs="Arial"/>
                <w:i/>
                <w:sz w:val="20"/>
                <w:szCs w:val="20"/>
              </w:rPr>
            </w:pPr>
          </w:p>
          <w:p w:rsidR="00826F6D" w:rsidRPr="000E6927" w:rsidRDefault="00826F6D">
            <w:pPr>
              <w:spacing w:before="40" w:after="40"/>
              <w:jc w:val="both"/>
              <w:rPr>
                <w:rFonts w:ascii="Arial Narrow" w:hAnsi="Arial Narrow" w:cs="Arial"/>
                <w:sz w:val="20"/>
                <w:szCs w:val="20"/>
              </w:rPr>
            </w:pPr>
          </w:p>
        </w:tc>
        <w:tc>
          <w:tcPr>
            <w:tcW w:w="4035" w:type="pct"/>
            <w:gridSpan w:val="4"/>
            <w:tcBorders>
              <w:top w:val="single" w:sz="4" w:space="0" w:color="auto"/>
              <w:left w:val="single" w:sz="4" w:space="0" w:color="auto"/>
              <w:bottom w:val="single" w:sz="4" w:space="0" w:color="auto"/>
              <w:right w:val="single" w:sz="4" w:space="0" w:color="auto"/>
            </w:tcBorders>
          </w:tcPr>
          <w:p w:rsidR="00FB28B9" w:rsidRPr="000E6927" w:rsidRDefault="00FB28B9">
            <w:pPr>
              <w:spacing w:before="40" w:after="40"/>
              <w:rPr>
                <w:rFonts w:ascii="Arial Narrow" w:hAnsi="Arial Narrow" w:cs="Arial"/>
                <w:sz w:val="20"/>
                <w:szCs w:val="20"/>
              </w:rPr>
            </w:pPr>
            <w:r w:rsidRPr="000E6927">
              <w:rPr>
                <w:rFonts w:ascii="Arial Narrow" w:hAnsi="Arial Narrow" w:cs="Arial"/>
                <w:sz w:val="20"/>
                <w:szCs w:val="20"/>
              </w:rPr>
              <w:t>Patient must have previously received PBS-subsidised treatment with this drug for this condition,</w:t>
            </w:r>
          </w:p>
          <w:p w:rsidR="00FB28B9" w:rsidRPr="000E6927" w:rsidRDefault="00FB28B9">
            <w:pPr>
              <w:spacing w:before="40" w:after="40"/>
              <w:rPr>
                <w:rFonts w:ascii="Arial Narrow" w:hAnsi="Arial Narrow" w:cs="Arial"/>
                <w:sz w:val="20"/>
                <w:szCs w:val="20"/>
              </w:rPr>
            </w:pPr>
            <w:r w:rsidRPr="000E6927">
              <w:rPr>
                <w:rFonts w:ascii="Arial Narrow" w:hAnsi="Arial Narrow" w:cs="Arial"/>
                <w:sz w:val="20"/>
                <w:szCs w:val="20"/>
              </w:rPr>
              <w:t>AND</w:t>
            </w:r>
          </w:p>
          <w:p w:rsidR="00FB28B9" w:rsidRPr="000E6927" w:rsidRDefault="00FB28B9">
            <w:pPr>
              <w:spacing w:before="40" w:after="40"/>
              <w:rPr>
                <w:rFonts w:ascii="Arial Narrow" w:hAnsi="Arial Narrow" w:cs="Arial"/>
                <w:sz w:val="20"/>
                <w:szCs w:val="20"/>
              </w:rPr>
            </w:pPr>
            <w:r w:rsidRPr="000E6927">
              <w:rPr>
                <w:rFonts w:ascii="Arial Narrow" w:hAnsi="Arial Narrow" w:cs="Arial"/>
                <w:sz w:val="20"/>
                <w:szCs w:val="20"/>
              </w:rPr>
              <w:t xml:space="preserve">The condition must be </w:t>
            </w:r>
            <w:proofErr w:type="spellStart"/>
            <w:r w:rsidRPr="000E6927">
              <w:rPr>
                <w:rFonts w:ascii="Arial Narrow" w:hAnsi="Arial Narrow" w:cs="Arial"/>
                <w:sz w:val="20"/>
                <w:szCs w:val="20"/>
              </w:rPr>
              <w:t>unresectable</w:t>
            </w:r>
            <w:proofErr w:type="spellEnd"/>
            <w:r w:rsidRPr="000E6927">
              <w:rPr>
                <w:rFonts w:ascii="Arial Narrow" w:hAnsi="Arial Narrow" w:cs="Arial"/>
                <w:sz w:val="20"/>
                <w:szCs w:val="20"/>
              </w:rPr>
              <w:t xml:space="preserve"> locally advanced or metastatic disease,</w:t>
            </w:r>
          </w:p>
          <w:p w:rsidR="00FB28B9" w:rsidRPr="000E6927" w:rsidRDefault="00FB28B9">
            <w:pPr>
              <w:spacing w:before="40" w:after="40"/>
              <w:rPr>
                <w:rFonts w:ascii="Arial Narrow" w:hAnsi="Arial Narrow" w:cs="Arial"/>
                <w:sz w:val="20"/>
                <w:szCs w:val="20"/>
              </w:rPr>
            </w:pPr>
            <w:r w:rsidRPr="000E6927">
              <w:rPr>
                <w:rFonts w:ascii="Arial Narrow" w:hAnsi="Arial Narrow" w:cs="Arial"/>
                <w:sz w:val="20"/>
                <w:szCs w:val="20"/>
              </w:rPr>
              <w:t>AND</w:t>
            </w:r>
          </w:p>
          <w:p w:rsidR="00FB28B9" w:rsidRPr="000E6927" w:rsidRDefault="00FB28B9">
            <w:pPr>
              <w:spacing w:before="40" w:after="40"/>
              <w:rPr>
                <w:rFonts w:ascii="Arial Narrow" w:hAnsi="Arial Narrow" w:cs="Arial"/>
                <w:sz w:val="20"/>
                <w:szCs w:val="20"/>
              </w:rPr>
            </w:pPr>
            <w:r w:rsidRPr="000E6927">
              <w:rPr>
                <w:rFonts w:ascii="Arial Narrow" w:hAnsi="Arial Narrow" w:cs="Arial"/>
                <w:sz w:val="20"/>
                <w:szCs w:val="20"/>
              </w:rPr>
              <w:t>The condition must be World Health Organisation (WHO) grade 1 or 2</w:t>
            </w:r>
          </w:p>
          <w:p w:rsidR="00FB28B9" w:rsidRPr="000E6927" w:rsidRDefault="00FB28B9">
            <w:pPr>
              <w:spacing w:before="40" w:after="40"/>
              <w:rPr>
                <w:rFonts w:ascii="Arial Narrow" w:hAnsi="Arial Narrow" w:cs="Arial"/>
                <w:sz w:val="20"/>
                <w:szCs w:val="20"/>
              </w:rPr>
            </w:pPr>
            <w:r w:rsidRPr="000E6927">
              <w:rPr>
                <w:rFonts w:ascii="Arial Narrow" w:hAnsi="Arial Narrow" w:cs="Arial"/>
                <w:sz w:val="20"/>
                <w:szCs w:val="20"/>
              </w:rPr>
              <w:t>AND</w:t>
            </w:r>
          </w:p>
          <w:p w:rsidR="00826F6D" w:rsidRPr="000E6927" w:rsidRDefault="00FB28B9">
            <w:pPr>
              <w:spacing w:before="40" w:after="40"/>
              <w:rPr>
                <w:rFonts w:ascii="Arial Narrow" w:hAnsi="Arial Narrow" w:cs="Arial"/>
                <w:sz w:val="20"/>
                <w:szCs w:val="20"/>
              </w:rPr>
            </w:pPr>
            <w:r w:rsidRPr="000E6927">
              <w:rPr>
                <w:rFonts w:ascii="Arial Narrow" w:hAnsi="Arial Narrow" w:cs="Arial"/>
                <w:sz w:val="20"/>
                <w:szCs w:val="20"/>
              </w:rPr>
              <w:t>The treatment must be as monotherapy</w:t>
            </w:r>
          </w:p>
        </w:tc>
      </w:tr>
      <w:tr w:rsidR="00826F6D" w:rsidRPr="000E6927" w:rsidTr="000D138D">
        <w:trPr>
          <w:cantSplit/>
          <w:trHeight w:val="360"/>
        </w:trPr>
        <w:tc>
          <w:tcPr>
            <w:tcW w:w="965" w:type="pct"/>
            <w:tcBorders>
              <w:top w:val="single" w:sz="4" w:space="0" w:color="auto"/>
              <w:left w:val="single" w:sz="4" w:space="0" w:color="auto"/>
              <w:bottom w:val="single" w:sz="4" w:space="0" w:color="auto"/>
              <w:right w:val="single" w:sz="4" w:space="0" w:color="auto"/>
            </w:tcBorders>
          </w:tcPr>
          <w:p w:rsidR="00826F6D" w:rsidRPr="000E6927" w:rsidRDefault="00826F6D">
            <w:pPr>
              <w:spacing w:before="40" w:after="40"/>
              <w:jc w:val="both"/>
              <w:rPr>
                <w:rFonts w:ascii="Arial Narrow" w:hAnsi="Arial Narrow" w:cs="Arial"/>
                <w:b/>
                <w:sz w:val="20"/>
                <w:szCs w:val="20"/>
              </w:rPr>
            </w:pPr>
            <w:r w:rsidRPr="000E6927">
              <w:rPr>
                <w:rFonts w:ascii="Arial Narrow" w:hAnsi="Arial Narrow" w:cs="Arial"/>
                <w:b/>
                <w:sz w:val="20"/>
                <w:szCs w:val="20"/>
              </w:rPr>
              <w:t>Population criteria:</w:t>
            </w:r>
          </w:p>
        </w:tc>
        <w:tc>
          <w:tcPr>
            <w:tcW w:w="4035" w:type="pct"/>
            <w:gridSpan w:val="4"/>
            <w:tcBorders>
              <w:top w:val="single" w:sz="4" w:space="0" w:color="auto"/>
              <w:left w:val="single" w:sz="4" w:space="0" w:color="auto"/>
              <w:bottom w:val="single" w:sz="4" w:space="0" w:color="auto"/>
              <w:right w:val="single" w:sz="4" w:space="0" w:color="auto"/>
            </w:tcBorders>
          </w:tcPr>
          <w:p w:rsidR="00826F6D" w:rsidRPr="000E6927" w:rsidRDefault="00FB28B9">
            <w:pPr>
              <w:spacing w:before="40" w:after="40"/>
              <w:jc w:val="both"/>
              <w:rPr>
                <w:rFonts w:ascii="Arial Narrow" w:hAnsi="Arial Narrow" w:cs="Arial"/>
                <w:sz w:val="20"/>
                <w:szCs w:val="20"/>
              </w:rPr>
            </w:pPr>
            <w:r w:rsidRPr="000E6927">
              <w:rPr>
                <w:rFonts w:ascii="Arial Narrow" w:hAnsi="Arial Narrow" w:cs="Arial"/>
                <w:sz w:val="20"/>
                <w:szCs w:val="20"/>
              </w:rPr>
              <w:t>Patient must be aged 18 years or older.</w:t>
            </w:r>
          </w:p>
        </w:tc>
      </w:tr>
      <w:tr w:rsidR="00826F6D" w:rsidRPr="000E6927" w:rsidTr="000D138D">
        <w:trPr>
          <w:cantSplit/>
          <w:trHeight w:val="360"/>
        </w:trPr>
        <w:tc>
          <w:tcPr>
            <w:tcW w:w="965" w:type="pct"/>
            <w:tcBorders>
              <w:top w:val="single" w:sz="4" w:space="0" w:color="auto"/>
              <w:left w:val="single" w:sz="4" w:space="0" w:color="auto"/>
              <w:bottom w:val="single" w:sz="4" w:space="0" w:color="auto"/>
              <w:right w:val="single" w:sz="4" w:space="0" w:color="auto"/>
            </w:tcBorders>
          </w:tcPr>
          <w:p w:rsidR="00826F6D" w:rsidRPr="000E6927" w:rsidRDefault="00826F6D">
            <w:pPr>
              <w:spacing w:before="40" w:after="40"/>
              <w:jc w:val="both"/>
              <w:rPr>
                <w:rFonts w:ascii="Arial Narrow" w:hAnsi="Arial Narrow" w:cs="Arial"/>
                <w:b/>
                <w:sz w:val="20"/>
                <w:szCs w:val="20"/>
              </w:rPr>
            </w:pPr>
            <w:r w:rsidRPr="000E6927">
              <w:rPr>
                <w:rFonts w:ascii="Arial Narrow" w:hAnsi="Arial Narrow" w:cs="Arial"/>
                <w:b/>
                <w:sz w:val="20"/>
                <w:szCs w:val="20"/>
              </w:rPr>
              <w:lastRenderedPageBreak/>
              <w:t>Prescriber Instructions</w:t>
            </w:r>
          </w:p>
        </w:tc>
        <w:tc>
          <w:tcPr>
            <w:tcW w:w="4035" w:type="pct"/>
            <w:gridSpan w:val="4"/>
            <w:tcBorders>
              <w:top w:val="single" w:sz="4" w:space="0" w:color="auto"/>
              <w:left w:val="single" w:sz="4" w:space="0" w:color="auto"/>
              <w:bottom w:val="single" w:sz="4" w:space="0" w:color="auto"/>
              <w:right w:val="single" w:sz="4" w:space="0" w:color="auto"/>
            </w:tcBorders>
          </w:tcPr>
          <w:p w:rsidR="00FB28B9" w:rsidRPr="000E6927" w:rsidRDefault="00FB28B9">
            <w:pPr>
              <w:spacing w:before="40" w:after="40"/>
              <w:rPr>
                <w:rFonts w:ascii="Arial Narrow" w:hAnsi="Arial Narrow" w:cs="Arial"/>
                <w:sz w:val="20"/>
                <w:szCs w:val="20"/>
              </w:rPr>
            </w:pPr>
            <w:r w:rsidRPr="000E6927">
              <w:rPr>
                <w:rFonts w:ascii="Arial Narrow" w:hAnsi="Arial Narrow" w:cs="Arial"/>
                <w:sz w:val="20"/>
                <w:szCs w:val="20"/>
              </w:rPr>
              <w:t>WHO grade 1 of GEP-NETs is defined as a mitotic count (10HPF) of less than 2 and Ki-67 index (%) of less than or equal to 2.</w:t>
            </w:r>
          </w:p>
          <w:p w:rsidR="00FB28B9" w:rsidRPr="000E6927" w:rsidRDefault="00FB28B9">
            <w:pPr>
              <w:spacing w:before="40" w:after="40"/>
              <w:rPr>
                <w:rFonts w:ascii="Arial Narrow" w:hAnsi="Arial Narrow" w:cs="Arial"/>
                <w:sz w:val="20"/>
                <w:szCs w:val="20"/>
              </w:rPr>
            </w:pPr>
          </w:p>
          <w:p w:rsidR="00FB28B9" w:rsidRPr="000E6927" w:rsidRDefault="00FB28B9">
            <w:pPr>
              <w:spacing w:before="40" w:after="40"/>
              <w:rPr>
                <w:rFonts w:ascii="Arial Narrow" w:hAnsi="Arial Narrow" w:cs="Arial"/>
                <w:sz w:val="20"/>
                <w:szCs w:val="20"/>
              </w:rPr>
            </w:pPr>
            <w:r w:rsidRPr="000E6927">
              <w:rPr>
                <w:rFonts w:ascii="Arial Narrow" w:hAnsi="Arial Narrow" w:cs="Arial"/>
                <w:sz w:val="20"/>
                <w:szCs w:val="20"/>
              </w:rPr>
              <w:t>WHO grade 2 of GEP-NETs is defined as a mitotic count (10HPF) of 2-20 and Ki-67 index (%) of 3-20.</w:t>
            </w:r>
          </w:p>
          <w:p w:rsidR="00FB28B9" w:rsidRPr="000E6927" w:rsidRDefault="00FB28B9">
            <w:pPr>
              <w:spacing w:before="40" w:after="40"/>
              <w:rPr>
                <w:rFonts w:ascii="Arial Narrow" w:hAnsi="Arial Narrow" w:cs="Arial"/>
                <w:sz w:val="20"/>
                <w:szCs w:val="20"/>
              </w:rPr>
            </w:pPr>
          </w:p>
          <w:p w:rsidR="00826F6D" w:rsidRPr="000E6927" w:rsidRDefault="00FB28B9">
            <w:pPr>
              <w:spacing w:before="40" w:after="40"/>
              <w:rPr>
                <w:rFonts w:ascii="Arial Narrow" w:hAnsi="Arial Narrow" w:cs="Arial"/>
                <w:sz w:val="20"/>
                <w:szCs w:val="20"/>
              </w:rPr>
            </w:pPr>
            <w:r w:rsidRPr="000E6927">
              <w:rPr>
                <w:rFonts w:ascii="Arial Narrow" w:hAnsi="Arial Narrow" w:cs="Arial"/>
                <w:sz w:val="20"/>
                <w:szCs w:val="20"/>
              </w:rPr>
              <w:t xml:space="preserve">Lanreotide is not PBS-subsidised for use in combination with </w:t>
            </w:r>
            <w:proofErr w:type="spellStart"/>
            <w:r w:rsidRPr="000E6927">
              <w:rPr>
                <w:rFonts w:ascii="Arial Narrow" w:hAnsi="Arial Narrow" w:cs="Arial"/>
                <w:sz w:val="20"/>
                <w:szCs w:val="20"/>
              </w:rPr>
              <w:t>everolimus</w:t>
            </w:r>
            <w:proofErr w:type="spellEnd"/>
            <w:r w:rsidRPr="000E6927">
              <w:rPr>
                <w:rFonts w:ascii="Arial Narrow" w:hAnsi="Arial Narrow" w:cs="Arial"/>
                <w:sz w:val="20"/>
                <w:szCs w:val="20"/>
              </w:rPr>
              <w:t xml:space="preserve"> or </w:t>
            </w:r>
            <w:proofErr w:type="spellStart"/>
            <w:r w:rsidRPr="000E6927">
              <w:rPr>
                <w:rFonts w:ascii="Arial Narrow" w:hAnsi="Arial Narrow" w:cs="Arial"/>
                <w:sz w:val="20"/>
                <w:szCs w:val="20"/>
              </w:rPr>
              <w:t>sunitinib</w:t>
            </w:r>
            <w:proofErr w:type="spellEnd"/>
            <w:r w:rsidRPr="000E6927">
              <w:rPr>
                <w:rFonts w:ascii="Arial Narrow" w:hAnsi="Arial Narrow" w:cs="Arial"/>
                <w:sz w:val="20"/>
                <w:szCs w:val="20"/>
              </w:rPr>
              <w:t xml:space="preserve"> for this condition.</w:t>
            </w:r>
          </w:p>
        </w:tc>
      </w:tr>
      <w:tr w:rsidR="00826F6D" w:rsidRPr="000E6927" w:rsidTr="000D138D">
        <w:trPr>
          <w:cantSplit/>
          <w:trHeight w:val="360"/>
        </w:trPr>
        <w:tc>
          <w:tcPr>
            <w:tcW w:w="965" w:type="pct"/>
            <w:tcBorders>
              <w:top w:val="single" w:sz="4" w:space="0" w:color="auto"/>
              <w:left w:val="single" w:sz="4" w:space="0" w:color="auto"/>
              <w:bottom w:val="single" w:sz="4" w:space="0" w:color="auto"/>
              <w:right w:val="single" w:sz="4" w:space="0" w:color="auto"/>
            </w:tcBorders>
          </w:tcPr>
          <w:p w:rsidR="00826F6D" w:rsidRPr="000E6927" w:rsidRDefault="00826F6D">
            <w:pPr>
              <w:spacing w:before="40" w:after="40"/>
              <w:jc w:val="both"/>
              <w:rPr>
                <w:rFonts w:ascii="Arial Narrow" w:hAnsi="Arial Narrow" w:cs="Arial"/>
                <w:b/>
                <w:sz w:val="20"/>
                <w:szCs w:val="20"/>
              </w:rPr>
            </w:pPr>
            <w:r w:rsidRPr="000E6927">
              <w:rPr>
                <w:rFonts w:ascii="Arial Narrow" w:hAnsi="Arial Narrow" w:cs="Arial"/>
                <w:b/>
                <w:sz w:val="20"/>
                <w:szCs w:val="20"/>
              </w:rPr>
              <w:t>Administrative Advice</w:t>
            </w:r>
          </w:p>
        </w:tc>
        <w:tc>
          <w:tcPr>
            <w:tcW w:w="4035" w:type="pct"/>
            <w:gridSpan w:val="4"/>
            <w:tcBorders>
              <w:top w:val="single" w:sz="4" w:space="0" w:color="auto"/>
              <w:left w:val="single" w:sz="4" w:space="0" w:color="auto"/>
              <w:bottom w:val="single" w:sz="4" w:space="0" w:color="auto"/>
              <w:right w:val="single" w:sz="4" w:space="0" w:color="auto"/>
            </w:tcBorders>
          </w:tcPr>
          <w:p w:rsidR="00FB28B9" w:rsidRPr="000E6927" w:rsidRDefault="00FB28B9">
            <w:pPr>
              <w:spacing w:before="40" w:after="40"/>
              <w:rPr>
                <w:rFonts w:ascii="Arial Narrow" w:hAnsi="Arial Narrow" w:cs="Arial"/>
                <w:sz w:val="20"/>
                <w:szCs w:val="20"/>
              </w:rPr>
            </w:pPr>
            <w:r w:rsidRPr="000E6927">
              <w:rPr>
                <w:rFonts w:ascii="Arial Narrow" w:hAnsi="Arial Narrow" w:cs="Arial"/>
                <w:sz w:val="20"/>
                <w:szCs w:val="20"/>
              </w:rPr>
              <w:t>No increase in the maximum quantity or number of units may be authorised.</w:t>
            </w:r>
          </w:p>
          <w:p w:rsidR="00826F6D" w:rsidRPr="000E6927" w:rsidRDefault="00FB28B9">
            <w:pPr>
              <w:spacing w:before="40" w:after="40"/>
              <w:rPr>
                <w:rFonts w:ascii="Arial Narrow" w:hAnsi="Arial Narrow" w:cs="Arial"/>
                <w:sz w:val="20"/>
                <w:szCs w:val="20"/>
              </w:rPr>
            </w:pPr>
            <w:r w:rsidRPr="000E6927">
              <w:rPr>
                <w:rFonts w:ascii="Arial Narrow" w:hAnsi="Arial Narrow" w:cs="Arial"/>
                <w:sz w:val="20"/>
                <w:szCs w:val="20"/>
              </w:rPr>
              <w:t>No increase in the maximum number of repeats may be authorised.</w:t>
            </w:r>
          </w:p>
          <w:p w:rsidR="009E61C9" w:rsidRPr="000E6927" w:rsidRDefault="009E61C9">
            <w:pPr>
              <w:spacing w:before="40" w:after="40"/>
              <w:rPr>
                <w:rFonts w:ascii="Arial Narrow" w:hAnsi="Arial Narrow" w:cs="Arial"/>
                <w:sz w:val="20"/>
                <w:szCs w:val="20"/>
              </w:rPr>
            </w:pPr>
            <w:r w:rsidRPr="000E6927">
              <w:rPr>
                <w:rFonts w:ascii="Arial Narrow" w:hAnsi="Arial Narrow" w:cs="Arial"/>
                <w:sz w:val="20"/>
                <w:szCs w:val="20"/>
              </w:rPr>
              <w:t>Special Pricing Arrangements apply.</w:t>
            </w:r>
          </w:p>
        </w:tc>
      </w:tr>
    </w:tbl>
    <w:p w:rsidR="002B1AE6" w:rsidRPr="000E6927" w:rsidRDefault="002B1AE6" w:rsidP="00E57B27">
      <w:pPr>
        <w:spacing w:after="120"/>
        <w:rPr>
          <w:rFonts w:asciiTheme="minorHAnsi" w:eastAsiaTheme="minorHAnsi" w:hAnsiTheme="minorHAnsi" w:cstheme="minorBidi"/>
          <w:i/>
          <w:szCs w:val="22"/>
        </w:rPr>
      </w:pPr>
    </w:p>
    <w:p w:rsidR="00907262" w:rsidRPr="000E6927" w:rsidRDefault="00907262">
      <w:pPr>
        <w:pStyle w:val="ListParagraph"/>
        <w:widowControl/>
        <w:spacing w:after="120"/>
        <w:contextualSpacing w:val="0"/>
        <w:rPr>
          <w:rFonts w:asciiTheme="minorHAnsi" w:eastAsiaTheme="minorHAnsi" w:hAnsiTheme="minorHAnsi" w:cstheme="minorBidi"/>
          <w:i/>
          <w:snapToGrid/>
          <w:sz w:val="24"/>
          <w:szCs w:val="22"/>
        </w:rPr>
      </w:pPr>
      <w:r w:rsidRPr="000E6927">
        <w:rPr>
          <w:rFonts w:asciiTheme="minorHAnsi" w:eastAsiaTheme="minorHAnsi" w:hAnsiTheme="minorHAnsi" w:cstheme="minorBidi"/>
          <w:i/>
          <w:snapToGrid/>
          <w:sz w:val="24"/>
          <w:szCs w:val="22"/>
        </w:rPr>
        <w:t>For more detail on</w:t>
      </w:r>
      <w:r w:rsidR="00ED00B3" w:rsidRPr="000E6927">
        <w:rPr>
          <w:rFonts w:asciiTheme="minorHAnsi" w:eastAsiaTheme="minorHAnsi" w:hAnsiTheme="minorHAnsi" w:cstheme="minorBidi"/>
          <w:i/>
          <w:snapToGrid/>
          <w:sz w:val="24"/>
          <w:szCs w:val="22"/>
        </w:rPr>
        <w:t xml:space="preserve"> PBAC’s view, see section </w:t>
      </w:r>
      <w:r w:rsidR="00BC5B36" w:rsidRPr="000E6927">
        <w:rPr>
          <w:rFonts w:asciiTheme="minorHAnsi" w:eastAsiaTheme="minorHAnsi" w:hAnsiTheme="minorHAnsi" w:cstheme="minorBidi"/>
          <w:i/>
          <w:snapToGrid/>
          <w:sz w:val="24"/>
          <w:szCs w:val="22"/>
        </w:rPr>
        <w:t xml:space="preserve">6 </w:t>
      </w:r>
      <w:r w:rsidRPr="000E6927">
        <w:rPr>
          <w:rFonts w:asciiTheme="minorHAnsi" w:eastAsiaTheme="minorHAnsi" w:hAnsiTheme="minorHAnsi" w:cstheme="minorBidi"/>
          <w:i/>
          <w:snapToGrid/>
          <w:sz w:val="24"/>
          <w:szCs w:val="22"/>
        </w:rPr>
        <w:t>PBAC outcome.</w:t>
      </w:r>
    </w:p>
    <w:p w:rsidR="00C603D4" w:rsidRPr="000E6927" w:rsidRDefault="00CE10C4">
      <w:pPr>
        <w:pStyle w:val="PBACHeading1"/>
        <w:spacing w:before="240" w:after="120"/>
        <w:ind w:left="709" w:hanging="709"/>
        <w:rPr>
          <w:rFonts w:asciiTheme="minorHAnsi" w:hAnsiTheme="minorHAnsi"/>
          <w:sz w:val="32"/>
          <w:szCs w:val="32"/>
        </w:rPr>
      </w:pPr>
      <w:r w:rsidRPr="000E6927">
        <w:rPr>
          <w:rFonts w:asciiTheme="minorHAnsi" w:hAnsiTheme="minorHAnsi"/>
          <w:sz w:val="32"/>
          <w:szCs w:val="32"/>
        </w:rPr>
        <w:t>Background</w:t>
      </w:r>
    </w:p>
    <w:p w:rsidR="00234A03" w:rsidRPr="000E6927" w:rsidRDefault="00234A0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E6927">
        <w:rPr>
          <w:rFonts w:asciiTheme="minorHAnsi" w:eastAsiaTheme="minorHAnsi" w:hAnsiTheme="minorHAnsi" w:cstheme="minorBidi"/>
          <w:snapToGrid/>
          <w:sz w:val="24"/>
          <w:szCs w:val="22"/>
        </w:rPr>
        <w:t xml:space="preserve">The PBAC </w:t>
      </w:r>
      <w:r w:rsidR="009E0DF7" w:rsidRPr="000E6927">
        <w:rPr>
          <w:rFonts w:asciiTheme="minorHAnsi" w:eastAsiaTheme="minorHAnsi" w:hAnsiTheme="minorHAnsi" w:cstheme="minorBidi"/>
          <w:snapToGrid/>
          <w:sz w:val="24"/>
          <w:szCs w:val="22"/>
        </w:rPr>
        <w:t xml:space="preserve">recommended lanreotide </w:t>
      </w:r>
      <w:r w:rsidRPr="000E6927">
        <w:rPr>
          <w:rFonts w:asciiTheme="minorHAnsi" w:eastAsiaTheme="minorHAnsi" w:hAnsiTheme="minorHAnsi" w:cstheme="minorBidi"/>
          <w:snapToGrid/>
          <w:sz w:val="24"/>
          <w:szCs w:val="22"/>
        </w:rPr>
        <w:t>for the treatment of</w:t>
      </w:r>
      <w:r w:rsidR="00E077CB" w:rsidRPr="000E6927">
        <w:rPr>
          <w:rFonts w:asciiTheme="minorHAnsi" w:eastAsiaTheme="minorHAnsi" w:hAnsiTheme="minorHAnsi" w:cstheme="minorBidi"/>
          <w:snapToGrid/>
          <w:sz w:val="24"/>
          <w:szCs w:val="22"/>
        </w:rPr>
        <w:t xml:space="preserve"> non-functional</w:t>
      </w:r>
      <w:r w:rsidRPr="000E6927">
        <w:rPr>
          <w:rFonts w:asciiTheme="minorHAnsi" w:eastAsiaTheme="minorHAnsi" w:hAnsiTheme="minorHAnsi" w:cstheme="minorBidi"/>
          <w:snapToGrid/>
          <w:sz w:val="24"/>
          <w:szCs w:val="22"/>
        </w:rPr>
        <w:t xml:space="preserve"> GEP-NET </w:t>
      </w:r>
      <w:r w:rsidR="009E0DF7" w:rsidRPr="000E6927">
        <w:rPr>
          <w:rFonts w:asciiTheme="minorHAnsi" w:eastAsiaTheme="minorHAnsi" w:hAnsiTheme="minorHAnsi" w:cstheme="minorBidi"/>
          <w:snapToGrid/>
          <w:sz w:val="24"/>
          <w:szCs w:val="22"/>
        </w:rPr>
        <w:t>subsequent to its consideration of a minor resubmission at its November 2017 meeting</w:t>
      </w:r>
      <w:r w:rsidRPr="000E6927">
        <w:rPr>
          <w:rFonts w:asciiTheme="minorHAnsi" w:eastAsiaTheme="minorHAnsi" w:hAnsiTheme="minorHAnsi" w:cstheme="minorBidi"/>
          <w:snapToGrid/>
          <w:sz w:val="24"/>
          <w:szCs w:val="22"/>
        </w:rPr>
        <w:t>.</w:t>
      </w:r>
      <w:r w:rsidR="009E0DF7" w:rsidRPr="000E6927">
        <w:rPr>
          <w:rFonts w:asciiTheme="minorHAnsi" w:eastAsiaTheme="minorHAnsi" w:hAnsiTheme="minorHAnsi" w:cstheme="minorBidi"/>
          <w:snapToGrid/>
          <w:sz w:val="24"/>
          <w:szCs w:val="22"/>
        </w:rPr>
        <w:t xml:space="preserve"> Lanreotide was listed on the PBS through S100 HSD </w:t>
      </w:r>
      <w:r w:rsidR="00CF5A6B" w:rsidRPr="000E6927">
        <w:rPr>
          <w:rFonts w:asciiTheme="minorHAnsi" w:eastAsiaTheme="minorHAnsi" w:hAnsiTheme="minorHAnsi" w:cstheme="minorBidi"/>
          <w:snapToGrid/>
          <w:sz w:val="24"/>
          <w:szCs w:val="22"/>
        </w:rPr>
        <w:t xml:space="preserve">– Public/Private Hospital </w:t>
      </w:r>
      <w:r w:rsidR="009E0DF7" w:rsidRPr="000E6927">
        <w:rPr>
          <w:rFonts w:asciiTheme="minorHAnsi" w:eastAsiaTheme="minorHAnsi" w:hAnsiTheme="minorHAnsi" w:cstheme="minorBidi"/>
          <w:snapToGrid/>
          <w:sz w:val="24"/>
          <w:szCs w:val="22"/>
        </w:rPr>
        <w:t>for the treatment of patients with non-functional GEP</w:t>
      </w:r>
      <w:r w:rsidR="009E0DF7" w:rsidRPr="000E6927">
        <w:rPr>
          <w:rFonts w:asciiTheme="minorHAnsi" w:eastAsiaTheme="minorHAnsi" w:hAnsiTheme="minorHAnsi" w:cstheme="minorBidi"/>
          <w:snapToGrid/>
          <w:sz w:val="24"/>
          <w:szCs w:val="22"/>
        </w:rPr>
        <w:noBreakHyphen/>
        <w:t>NET on 1 December 2018.</w:t>
      </w:r>
    </w:p>
    <w:p w:rsidR="00563AE3" w:rsidRPr="000E6927" w:rsidRDefault="002A55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E6927">
        <w:rPr>
          <w:rFonts w:asciiTheme="minorHAnsi" w:eastAsiaTheme="minorHAnsi" w:hAnsiTheme="minorHAnsi" w:cstheme="minorBidi"/>
          <w:snapToGrid/>
          <w:sz w:val="24"/>
          <w:szCs w:val="22"/>
        </w:rPr>
        <w:t>In November 2017, the PBAC recommended</w:t>
      </w:r>
      <w:r w:rsidR="00974F65" w:rsidRPr="000E6927">
        <w:rPr>
          <w:rFonts w:asciiTheme="minorHAnsi" w:eastAsiaTheme="minorHAnsi" w:hAnsiTheme="minorHAnsi" w:cstheme="minorBidi"/>
          <w:snapToGrid/>
          <w:sz w:val="24"/>
          <w:szCs w:val="22"/>
        </w:rPr>
        <w:t xml:space="preserve"> </w:t>
      </w:r>
      <w:r w:rsidR="009E0DF7" w:rsidRPr="000E6927">
        <w:rPr>
          <w:rFonts w:asciiTheme="minorHAnsi" w:eastAsiaTheme="minorHAnsi" w:hAnsiTheme="minorHAnsi" w:cstheme="minorBidi"/>
          <w:snapToGrid/>
          <w:sz w:val="24"/>
          <w:szCs w:val="22"/>
        </w:rPr>
        <w:t xml:space="preserve">to extend the S100 HSD </w:t>
      </w:r>
      <w:r w:rsidR="00974F65" w:rsidRPr="000E6927">
        <w:rPr>
          <w:rFonts w:asciiTheme="minorHAnsi" w:eastAsiaTheme="minorHAnsi" w:hAnsiTheme="minorHAnsi" w:cstheme="minorBidi"/>
          <w:snapToGrid/>
          <w:sz w:val="24"/>
          <w:szCs w:val="22"/>
        </w:rPr>
        <w:t>listing</w:t>
      </w:r>
      <w:r w:rsidR="00E732D1" w:rsidRPr="000E6927">
        <w:rPr>
          <w:rFonts w:asciiTheme="minorHAnsi" w:eastAsiaTheme="minorHAnsi" w:hAnsiTheme="minorHAnsi" w:cstheme="minorBidi"/>
          <w:snapToGrid/>
          <w:sz w:val="24"/>
          <w:szCs w:val="22"/>
        </w:rPr>
        <w:t>s</w:t>
      </w:r>
      <w:r w:rsidR="00974F65" w:rsidRPr="000E6927">
        <w:rPr>
          <w:rFonts w:asciiTheme="minorHAnsi" w:eastAsiaTheme="minorHAnsi" w:hAnsiTheme="minorHAnsi" w:cstheme="minorBidi"/>
          <w:snapToGrid/>
          <w:sz w:val="24"/>
          <w:szCs w:val="22"/>
        </w:rPr>
        <w:t xml:space="preserve"> </w:t>
      </w:r>
      <w:r w:rsidR="009E0DF7" w:rsidRPr="000E6927">
        <w:rPr>
          <w:rFonts w:asciiTheme="minorHAnsi" w:eastAsiaTheme="minorHAnsi" w:hAnsiTheme="minorHAnsi" w:cstheme="minorBidi"/>
          <w:snapToGrid/>
          <w:sz w:val="24"/>
          <w:szCs w:val="22"/>
        </w:rPr>
        <w:t xml:space="preserve">for </w:t>
      </w:r>
      <w:r w:rsidR="00974F65" w:rsidRPr="000E6927">
        <w:rPr>
          <w:rFonts w:asciiTheme="minorHAnsi" w:eastAsiaTheme="minorHAnsi" w:hAnsiTheme="minorHAnsi" w:cstheme="minorBidi"/>
          <w:snapToGrid/>
          <w:sz w:val="24"/>
          <w:szCs w:val="22"/>
        </w:rPr>
        <w:t>l</w:t>
      </w:r>
      <w:r w:rsidRPr="000E6927">
        <w:rPr>
          <w:rFonts w:asciiTheme="minorHAnsi" w:eastAsiaTheme="minorHAnsi" w:hAnsiTheme="minorHAnsi" w:cstheme="minorBidi"/>
          <w:snapToGrid/>
          <w:sz w:val="24"/>
          <w:szCs w:val="22"/>
        </w:rPr>
        <w:t>anreotide</w:t>
      </w:r>
      <w:r w:rsidR="00974F65" w:rsidRPr="000E6927">
        <w:rPr>
          <w:rFonts w:asciiTheme="minorHAnsi" w:eastAsiaTheme="minorHAnsi" w:hAnsiTheme="minorHAnsi" w:cstheme="minorBidi"/>
          <w:snapToGrid/>
          <w:sz w:val="24"/>
          <w:szCs w:val="22"/>
        </w:rPr>
        <w:t xml:space="preserve"> 120 mg, 90 mg and 60 mg</w:t>
      </w:r>
      <w:r w:rsidRPr="000E6927">
        <w:rPr>
          <w:rFonts w:asciiTheme="minorHAnsi" w:eastAsiaTheme="minorHAnsi" w:hAnsiTheme="minorHAnsi" w:cstheme="minorBidi"/>
          <w:snapToGrid/>
          <w:sz w:val="24"/>
          <w:szCs w:val="22"/>
        </w:rPr>
        <w:t xml:space="preserve"> </w:t>
      </w:r>
      <w:r w:rsidR="009E0DF7" w:rsidRPr="000E6927">
        <w:rPr>
          <w:rFonts w:asciiTheme="minorHAnsi" w:eastAsiaTheme="minorHAnsi" w:hAnsiTheme="minorHAnsi" w:cstheme="minorBidi"/>
          <w:snapToGrid/>
          <w:sz w:val="24"/>
          <w:szCs w:val="22"/>
        </w:rPr>
        <w:t xml:space="preserve">pre-filled syringes to include </w:t>
      </w:r>
      <w:r w:rsidR="008969FC" w:rsidRPr="000E6927">
        <w:rPr>
          <w:rFonts w:asciiTheme="minorHAnsi" w:eastAsiaTheme="minorHAnsi" w:hAnsiTheme="minorHAnsi" w:cstheme="minorBidi"/>
          <w:snapToGrid/>
          <w:sz w:val="24"/>
          <w:szCs w:val="22"/>
        </w:rPr>
        <w:t xml:space="preserve">a </w:t>
      </w:r>
      <w:r w:rsidR="009E0DF7" w:rsidRPr="000E6927">
        <w:rPr>
          <w:rFonts w:asciiTheme="minorHAnsi" w:eastAsiaTheme="minorHAnsi" w:hAnsiTheme="minorHAnsi" w:cstheme="minorBidi"/>
          <w:snapToGrid/>
          <w:sz w:val="24"/>
          <w:szCs w:val="22"/>
        </w:rPr>
        <w:t>S</w:t>
      </w:r>
      <w:r w:rsidR="00974F65" w:rsidRPr="000E6927">
        <w:rPr>
          <w:rFonts w:asciiTheme="minorHAnsi" w:eastAsiaTheme="minorHAnsi" w:hAnsiTheme="minorHAnsi" w:cstheme="minorBidi"/>
          <w:snapToGrid/>
          <w:sz w:val="24"/>
          <w:szCs w:val="22"/>
        </w:rPr>
        <w:t xml:space="preserve">100 HSD </w:t>
      </w:r>
      <w:r w:rsidR="009E0DF7" w:rsidRPr="000E6927">
        <w:rPr>
          <w:rFonts w:asciiTheme="minorHAnsi" w:eastAsiaTheme="minorHAnsi" w:hAnsiTheme="minorHAnsi" w:cstheme="minorBidi"/>
          <w:snapToGrid/>
          <w:sz w:val="24"/>
          <w:szCs w:val="22"/>
        </w:rPr>
        <w:t>– C</w:t>
      </w:r>
      <w:r w:rsidRPr="000E6927">
        <w:rPr>
          <w:rFonts w:asciiTheme="minorHAnsi" w:eastAsiaTheme="minorHAnsi" w:hAnsiTheme="minorHAnsi" w:cstheme="minorBidi"/>
          <w:snapToGrid/>
          <w:sz w:val="24"/>
          <w:szCs w:val="22"/>
        </w:rPr>
        <w:t>ommunity</w:t>
      </w:r>
      <w:r w:rsidR="009E0DF7" w:rsidRPr="000E6927">
        <w:rPr>
          <w:rFonts w:asciiTheme="minorHAnsi" w:eastAsiaTheme="minorHAnsi" w:hAnsiTheme="minorHAnsi" w:cstheme="minorBidi"/>
          <w:snapToGrid/>
          <w:sz w:val="24"/>
          <w:szCs w:val="22"/>
        </w:rPr>
        <w:t xml:space="preserve"> </w:t>
      </w:r>
      <w:r w:rsidR="00B038D8" w:rsidRPr="000E6927">
        <w:rPr>
          <w:rFonts w:asciiTheme="minorHAnsi" w:eastAsiaTheme="minorHAnsi" w:hAnsiTheme="minorHAnsi" w:cstheme="minorBidi"/>
          <w:snapToGrid/>
          <w:sz w:val="24"/>
          <w:szCs w:val="22"/>
        </w:rPr>
        <w:t>A</w:t>
      </w:r>
      <w:r w:rsidRPr="000E6927">
        <w:rPr>
          <w:rFonts w:asciiTheme="minorHAnsi" w:eastAsiaTheme="minorHAnsi" w:hAnsiTheme="minorHAnsi" w:cstheme="minorBidi"/>
          <w:snapToGrid/>
          <w:sz w:val="24"/>
          <w:szCs w:val="22"/>
        </w:rPr>
        <w:t>ccess</w:t>
      </w:r>
      <w:r w:rsidR="009E0DF7" w:rsidRPr="000E6927">
        <w:rPr>
          <w:rFonts w:asciiTheme="minorHAnsi" w:eastAsiaTheme="minorHAnsi" w:hAnsiTheme="minorHAnsi" w:cstheme="minorBidi"/>
          <w:snapToGrid/>
          <w:sz w:val="24"/>
          <w:szCs w:val="22"/>
        </w:rPr>
        <w:t xml:space="preserve"> listing for continuing treatment </w:t>
      </w:r>
      <w:r w:rsidR="00275152" w:rsidRPr="000E6927">
        <w:rPr>
          <w:rFonts w:asciiTheme="minorHAnsi" w:eastAsiaTheme="minorHAnsi" w:hAnsiTheme="minorHAnsi" w:cstheme="minorBidi"/>
          <w:snapToGrid/>
          <w:sz w:val="24"/>
          <w:szCs w:val="22"/>
        </w:rPr>
        <w:t>of</w:t>
      </w:r>
      <w:r w:rsidR="009E0DF7" w:rsidRPr="000E6927">
        <w:rPr>
          <w:rFonts w:asciiTheme="minorHAnsi" w:eastAsiaTheme="minorHAnsi" w:hAnsiTheme="minorHAnsi" w:cstheme="minorBidi"/>
          <w:snapToGrid/>
          <w:sz w:val="24"/>
          <w:szCs w:val="22"/>
        </w:rPr>
        <w:t xml:space="preserve"> patients</w:t>
      </w:r>
      <w:r w:rsidR="009E0DF7" w:rsidRPr="000E6927">
        <w:t xml:space="preserve"> </w:t>
      </w:r>
      <w:r w:rsidR="009E0DF7" w:rsidRPr="000E6927">
        <w:rPr>
          <w:rFonts w:asciiTheme="minorHAnsi" w:eastAsiaTheme="minorHAnsi" w:hAnsiTheme="minorHAnsi" w:cstheme="minorBidi"/>
          <w:snapToGrid/>
          <w:sz w:val="24"/>
          <w:szCs w:val="22"/>
        </w:rPr>
        <w:t>with acromegaly and functional carcinoid tumour</w:t>
      </w:r>
      <w:r w:rsidR="000456E6" w:rsidRPr="000E6927">
        <w:rPr>
          <w:rFonts w:asciiTheme="minorHAnsi" w:eastAsiaTheme="minorHAnsi" w:hAnsiTheme="minorHAnsi" w:cstheme="minorBidi"/>
          <w:snapToGrid/>
          <w:sz w:val="24"/>
          <w:szCs w:val="22"/>
        </w:rPr>
        <w:t>.</w:t>
      </w:r>
      <w:r w:rsidRPr="000E6927">
        <w:rPr>
          <w:rFonts w:asciiTheme="minorHAnsi" w:eastAsiaTheme="minorHAnsi" w:hAnsiTheme="minorHAnsi" w:cstheme="minorBidi"/>
          <w:snapToGrid/>
          <w:sz w:val="24"/>
          <w:szCs w:val="22"/>
        </w:rPr>
        <w:t xml:space="preserve"> </w:t>
      </w:r>
      <w:r w:rsidR="00FB5F93" w:rsidRPr="000E6927">
        <w:rPr>
          <w:rFonts w:asciiTheme="minorHAnsi" w:eastAsiaTheme="minorHAnsi" w:hAnsiTheme="minorHAnsi" w:cstheme="minorBidi"/>
          <w:snapToGrid/>
          <w:sz w:val="24"/>
          <w:szCs w:val="22"/>
        </w:rPr>
        <w:t>T</w:t>
      </w:r>
      <w:r w:rsidR="00974F65" w:rsidRPr="000E6927">
        <w:rPr>
          <w:rFonts w:asciiTheme="minorHAnsi" w:eastAsiaTheme="minorHAnsi" w:hAnsiTheme="minorHAnsi" w:cstheme="minorBidi"/>
          <w:snapToGrid/>
          <w:sz w:val="24"/>
          <w:szCs w:val="22"/>
        </w:rPr>
        <w:t>his</w:t>
      </w:r>
      <w:r w:rsidR="00FB5F93" w:rsidRPr="000E6927">
        <w:rPr>
          <w:rFonts w:asciiTheme="minorHAnsi" w:eastAsiaTheme="minorHAnsi" w:hAnsiTheme="minorHAnsi" w:cstheme="minorBidi"/>
          <w:snapToGrid/>
          <w:sz w:val="24"/>
          <w:szCs w:val="22"/>
        </w:rPr>
        <w:t xml:space="preserve"> submission </w:t>
      </w:r>
      <w:r w:rsidR="00CF5A6B" w:rsidRPr="000E6927">
        <w:rPr>
          <w:rFonts w:asciiTheme="minorHAnsi" w:eastAsiaTheme="minorHAnsi" w:hAnsiTheme="minorHAnsi" w:cstheme="minorBidi"/>
          <w:snapToGrid/>
          <w:sz w:val="24"/>
          <w:szCs w:val="22"/>
        </w:rPr>
        <w:t>made</w:t>
      </w:r>
      <w:r w:rsidR="00974F65" w:rsidRPr="000E6927">
        <w:rPr>
          <w:rFonts w:asciiTheme="minorHAnsi" w:eastAsiaTheme="minorHAnsi" w:hAnsiTheme="minorHAnsi" w:cstheme="minorBidi"/>
          <w:snapToGrid/>
          <w:sz w:val="24"/>
          <w:szCs w:val="22"/>
        </w:rPr>
        <w:t xml:space="preserve"> a similar request</w:t>
      </w:r>
      <w:r w:rsidR="00FB5F93" w:rsidRPr="000E6927">
        <w:rPr>
          <w:rFonts w:asciiTheme="minorHAnsi" w:eastAsiaTheme="minorHAnsi" w:hAnsiTheme="minorHAnsi" w:cstheme="minorBidi"/>
          <w:snapToGrid/>
          <w:sz w:val="24"/>
          <w:szCs w:val="22"/>
        </w:rPr>
        <w:t xml:space="preserve"> </w:t>
      </w:r>
      <w:r w:rsidR="00E732D1" w:rsidRPr="000E6927">
        <w:rPr>
          <w:rFonts w:asciiTheme="minorHAnsi" w:eastAsiaTheme="minorHAnsi" w:hAnsiTheme="minorHAnsi" w:cstheme="minorBidi"/>
          <w:snapToGrid/>
          <w:sz w:val="24"/>
          <w:szCs w:val="22"/>
        </w:rPr>
        <w:t>for a S100 HSD – C</w:t>
      </w:r>
      <w:r w:rsidR="00B038D8" w:rsidRPr="000E6927">
        <w:rPr>
          <w:rFonts w:asciiTheme="minorHAnsi" w:eastAsiaTheme="minorHAnsi" w:hAnsiTheme="minorHAnsi" w:cstheme="minorBidi"/>
          <w:snapToGrid/>
          <w:sz w:val="24"/>
          <w:szCs w:val="22"/>
        </w:rPr>
        <w:t>ommunity</w:t>
      </w:r>
      <w:r w:rsidR="00E732D1" w:rsidRPr="000E6927">
        <w:rPr>
          <w:rFonts w:asciiTheme="minorHAnsi" w:eastAsiaTheme="minorHAnsi" w:hAnsiTheme="minorHAnsi" w:cstheme="minorBidi"/>
          <w:snapToGrid/>
          <w:sz w:val="24"/>
          <w:szCs w:val="22"/>
        </w:rPr>
        <w:t xml:space="preserve"> </w:t>
      </w:r>
      <w:r w:rsidR="00B038D8" w:rsidRPr="000E6927">
        <w:rPr>
          <w:rFonts w:asciiTheme="minorHAnsi" w:eastAsiaTheme="minorHAnsi" w:hAnsiTheme="minorHAnsi" w:cstheme="minorBidi"/>
          <w:snapToGrid/>
          <w:sz w:val="24"/>
          <w:szCs w:val="22"/>
        </w:rPr>
        <w:t>A</w:t>
      </w:r>
      <w:r w:rsidR="00FB5F93" w:rsidRPr="000E6927">
        <w:rPr>
          <w:rFonts w:asciiTheme="minorHAnsi" w:eastAsiaTheme="minorHAnsi" w:hAnsiTheme="minorHAnsi" w:cstheme="minorBidi"/>
          <w:snapToGrid/>
          <w:sz w:val="24"/>
          <w:szCs w:val="22"/>
        </w:rPr>
        <w:t xml:space="preserve">ccess </w:t>
      </w:r>
      <w:r w:rsidR="00974F65" w:rsidRPr="000E6927">
        <w:rPr>
          <w:rFonts w:asciiTheme="minorHAnsi" w:eastAsiaTheme="minorHAnsi" w:hAnsiTheme="minorHAnsi" w:cstheme="minorBidi"/>
          <w:snapToGrid/>
          <w:sz w:val="24"/>
          <w:szCs w:val="22"/>
        </w:rPr>
        <w:t>l</w:t>
      </w:r>
      <w:r w:rsidR="005F5C9D" w:rsidRPr="000E6927">
        <w:rPr>
          <w:rFonts w:asciiTheme="minorHAnsi" w:eastAsiaTheme="minorHAnsi" w:hAnsiTheme="minorHAnsi" w:cstheme="minorBidi"/>
          <w:snapToGrid/>
          <w:sz w:val="24"/>
          <w:szCs w:val="22"/>
        </w:rPr>
        <w:t xml:space="preserve">isting of lanreotide </w:t>
      </w:r>
      <w:r w:rsidR="00974F65" w:rsidRPr="000E6927">
        <w:rPr>
          <w:rFonts w:asciiTheme="minorHAnsi" w:eastAsiaTheme="minorHAnsi" w:hAnsiTheme="minorHAnsi" w:cstheme="minorBidi"/>
          <w:snapToGrid/>
          <w:sz w:val="24"/>
          <w:szCs w:val="22"/>
        </w:rPr>
        <w:t>120 mg</w:t>
      </w:r>
      <w:r w:rsidR="009E0DF7" w:rsidRPr="000E6927">
        <w:rPr>
          <w:rFonts w:asciiTheme="minorHAnsi" w:eastAsiaTheme="minorHAnsi" w:hAnsiTheme="minorHAnsi" w:cstheme="minorBidi"/>
          <w:snapToGrid/>
          <w:sz w:val="24"/>
          <w:szCs w:val="22"/>
        </w:rPr>
        <w:t xml:space="preserve"> </w:t>
      </w:r>
      <w:r w:rsidR="00974F65" w:rsidRPr="000E6927">
        <w:rPr>
          <w:rFonts w:asciiTheme="minorHAnsi" w:eastAsiaTheme="minorHAnsi" w:hAnsiTheme="minorHAnsi" w:cstheme="minorBidi"/>
          <w:snapToGrid/>
          <w:sz w:val="24"/>
          <w:szCs w:val="22"/>
        </w:rPr>
        <w:t xml:space="preserve">pre-filled syringe </w:t>
      </w:r>
      <w:r w:rsidR="005F5C9D" w:rsidRPr="000E6927">
        <w:rPr>
          <w:rFonts w:asciiTheme="minorHAnsi" w:eastAsiaTheme="minorHAnsi" w:hAnsiTheme="minorHAnsi" w:cstheme="minorBidi"/>
          <w:snapToGrid/>
          <w:sz w:val="24"/>
          <w:szCs w:val="22"/>
        </w:rPr>
        <w:t>for</w:t>
      </w:r>
      <w:r w:rsidR="00974F65" w:rsidRPr="000E6927">
        <w:rPr>
          <w:rFonts w:asciiTheme="minorHAnsi" w:eastAsiaTheme="minorHAnsi" w:hAnsiTheme="minorHAnsi" w:cstheme="minorBidi"/>
          <w:snapToGrid/>
          <w:sz w:val="24"/>
          <w:szCs w:val="22"/>
        </w:rPr>
        <w:t xml:space="preserve"> adult patients receiving continuing treatment</w:t>
      </w:r>
      <w:r w:rsidR="005F5C9D" w:rsidRPr="000E6927">
        <w:rPr>
          <w:rFonts w:asciiTheme="minorHAnsi" w:eastAsiaTheme="minorHAnsi" w:hAnsiTheme="minorHAnsi" w:cstheme="minorBidi"/>
          <w:snapToGrid/>
          <w:sz w:val="24"/>
          <w:szCs w:val="22"/>
        </w:rPr>
        <w:t xml:space="preserve"> for</w:t>
      </w:r>
      <w:r w:rsidR="00FB5F93" w:rsidRPr="000E6927">
        <w:rPr>
          <w:rFonts w:asciiTheme="minorHAnsi" w:eastAsiaTheme="minorHAnsi" w:hAnsiTheme="minorHAnsi" w:cstheme="minorBidi"/>
          <w:snapToGrid/>
          <w:sz w:val="24"/>
          <w:szCs w:val="22"/>
        </w:rPr>
        <w:t xml:space="preserve"> </w:t>
      </w:r>
      <w:r w:rsidR="00E077CB" w:rsidRPr="000E6927">
        <w:rPr>
          <w:rFonts w:asciiTheme="minorHAnsi" w:eastAsiaTheme="minorHAnsi" w:hAnsiTheme="minorHAnsi" w:cstheme="minorBidi"/>
          <w:snapToGrid/>
          <w:sz w:val="24"/>
          <w:szCs w:val="22"/>
        </w:rPr>
        <w:t xml:space="preserve">non-functional </w:t>
      </w:r>
      <w:r w:rsidR="00FB5F93" w:rsidRPr="000E6927">
        <w:rPr>
          <w:rFonts w:asciiTheme="minorHAnsi" w:eastAsiaTheme="minorHAnsi" w:hAnsiTheme="minorHAnsi" w:cstheme="minorBidi"/>
          <w:snapToGrid/>
          <w:sz w:val="24"/>
          <w:szCs w:val="22"/>
        </w:rPr>
        <w:t>GEP</w:t>
      </w:r>
      <w:r w:rsidR="00275152" w:rsidRPr="000E6927">
        <w:rPr>
          <w:rFonts w:asciiTheme="minorHAnsi" w:eastAsiaTheme="minorHAnsi" w:hAnsiTheme="minorHAnsi" w:cstheme="minorBidi"/>
          <w:snapToGrid/>
          <w:sz w:val="24"/>
          <w:szCs w:val="22"/>
        </w:rPr>
        <w:noBreakHyphen/>
      </w:r>
      <w:r w:rsidR="00FB5F93" w:rsidRPr="000E6927">
        <w:rPr>
          <w:rFonts w:asciiTheme="minorHAnsi" w:eastAsiaTheme="minorHAnsi" w:hAnsiTheme="minorHAnsi" w:cstheme="minorBidi"/>
          <w:snapToGrid/>
          <w:sz w:val="24"/>
          <w:szCs w:val="22"/>
        </w:rPr>
        <w:t xml:space="preserve">NET. </w:t>
      </w:r>
    </w:p>
    <w:p w:rsidR="004D7D9F" w:rsidRPr="000E6927" w:rsidRDefault="00907262">
      <w:pPr>
        <w:pStyle w:val="ListParagraph"/>
        <w:widowControl/>
        <w:spacing w:after="120"/>
        <w:contextualSpacing w:val="0"/>
        <w:rPr>
          <w:rFonts w:eastAsiaTheme="minorHAnsi"/>
          <w:snapToGrid/>
          <w:sz w:val="24"/>
        </w:rPr>
      </w:pPr>
      <w:r w:rsidRPr="000E6927">
        <w:rPr>
          <w:rFonts w:asciiTheme="minorHAnsi" w:eastAsiaTheme="minorHAnsi" w:hAnsiTheme="minorHAnsi" w:cstheme="minorBidi"/>
          <w:i/>
          <w:snapToGrid/>
          <w:sz w:val="24"/>
          <w:szCs w:val="22"/>
        </w:rPr>
        <w:t>For more deta</w:t>
      </w:r>
      <w:r w:rsidR="00ED00B3" w:rsidRPr="000E6927">
        <w:rPr>
          <w:rFonts w:asciiTheme="minorHAnsi" w:eastAsiaTheme="minorHAnsi" w:hAnsiTheme="minorHAnsi" w:cstheme="minorBidi"/>
          <w:i/>
          <w:snapToGrid/>
          <w:sz w:val="24"/>
          <w:szCs w:val="22"/>
        </w:rPr>
        <w:t xml:space="preserve">il on PBAC’s view, see section </w:t>
      </w:r>
      <w:r w:rsidR="00BC5B36" w:rsidRPr="000E6927">
        <w:rPr>
          <w:rFonts w:asciiTheme="minorHAnsi" w:eastAsiaTheme="minorHAnsi" w:hAnsiTheme="minorHAnsi" w:cstheme="minorBidi"/>
          <w:i/>
          <w:snapToGrid/>
          <w:sz w:val="24"/>
          <w:szCs w:val="22"/>
        </w:rPr>
        <w:t xml:space="preserve">6 </w:t>
      </w:r>
      <w:r w:rsidRPr="000E6927">
        <w:rPr>
          <w:rFonts w:asciiTheme="minorHAnsi" w:eastAsiaTheme="minorHAnsi" w:hAnsiTheme="minorHAnsi" w:cstheme="minorBidi"/>
          <w:i/>
          <w:snapToGrid/>
          <w:sz w:val="24"/>
          <w:szCs w:val="22"/>
        </w:rPr>
        <w:t>PBAC outcome.</w:t>
      </w:r>
    </w:p>
    <w:p w:rsidR="00CE10C4" w:rsidRPr="000E6927" w:rsidRDefault="00BC5B36">
      <w:pPr>
        <w:pStyle w:val="PBACHeading1"/>
        <w:spacing w:before="240" w:after="120"/>
        <w:ind w:left="709" w:hanging="709"/>
        <w:rPr>
          <w:rFonts w:asciiTheme="minorHAnsi" w:hAnsiTheme="minorHAnsi"/>
          <w:sz w:val="32"/>
          <w:szCs w:val="32"/>
        </w:rPr>
      </w:pPr>
      <w:r w:rsidRPr="000E6927">
        <w:rPr>
          <w:rFonts w:asciiTheme="minorHAnsi" w:hAnsiTheme="minorHAnsi"/>
          <w:sz w:val="32"/>
          <w:szCs w:val="32"/>
        </w:rPr>
        <w:t>Clinical place for the proposed therapy</w:t>
      </w:r>
    </w:p>
    <w:p w:rsidR="00DF7BAB" w:rsidRPr="000E6927" w:rsidRDefault="009139C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E6927">
        <w:rPr>
          <w:rFonts w:asciiTheme="minorHAnsi" w:eastAsiaTheme="minorHAnsi" w:hAnsiTheme="minorHAnsi" w:cstheme="minorBidi"/>
          <w:snapToGrid/>
          <w:sz w:val="24"/>
          <w:szCs w:val="22"/>
        </w:rPr>
        <w:t>T</w:t>
      </w:r>
      <w:r w:rsidR="005F5C9D" w:rsidRPr="000E6927">
        <w:rPr>
          <w:rFonts w:asciiTheme="minorHAnsi" w:eastAsiaTheme="minorHAnsi" w:hAnsiTheme="minorHAnsi" w:cstheme="minorBidi"/>
          <w:snapToGrid/>
          <w:sz w:val="24"/>
          <w:szCs w:val="22"/>
        </w:rPr>
        <w:t xml:space="preserve">he submission </w:t>
      </w:r>
      <w:r w:rsidRPr="000E6927">
        <w:rPr>
          <w:rFonts w:asciiTheme="minorHAnsi" w:eastAsiaTheme="minorHAnsi" w:hAnsiTheme="minorHAnsi" w:cstheme="minorBidi"/>
          <w:snapToGrid/>
          <w:sz w:val="24"/>
          <w:szCs w:val="22"/>
        </w:rPr>
        <w:t xml:space="preserve">requested a </w:t>
      </w:r>
      <w:r w:rsidR="008969FC" w:rsidRPr="000E6927">
        <w:rPr>
          <w:rFonts w:asciiTheme="minorHAnsi" w:eastAsiaTheme="minorHAnsi" w:hAnsiTheme="minorHAnsi" w:cstheme="minorBidi"/>
          <w:snapToGrid/>
          <w:sz w:val="24"/>
          <w:szCs w:val="22"/>
        </w:rPr>
        <w:t xml:space="preserve">S100 HSD – </w:t>
      </w:r>
      <w:r w:rsidRPr="000E6927">
        <w:rPr>
          <w:rFonts w:asciiTheme="minorHAnsi" w:eastAsiaTheme="minorHAnsi" w:hAnsiTheme="minorHAnsi" w:cstheme="minorBidi"/>
          <w:snapToGrid/>
          <w:sz w:val="24"/>
          <w:szCs w:val="22"/>
        </w:rPr>
        <w:t>Community</w:t>
      </w:r>
      <w:r w:rsidR="008969FC" w:rsidRPr="000E6927">
        <w:rPr>
          <w:rFonts w:asciiTheme="minorHAnsi" w:eastAsiaTheme="minorHAnsi" w:hAnsiTheme="minorHAnsi" w:cstheme="minorBidi"/>
          <w:snapToGrid/>
          <w:sz w:val="24"/>
          <w:szCs w:val="22"/>
        </w:rPr>
        <w:t xml:space="preserve"> </w:t>
      </w:r>
      <w:r w:rsidRPr="000E6927">
        <w:rPr>
          <w:rFonts w:asciiTheme="minorHAnsi" w:eastAsiaTheme="minorHAnsi" w:hAnsiTheme="minorHAnsi" w:cstheme="minorBidi"/>
          <w:snapToGrid/>
          <w:sz w:val="24"/>
          <w:szCs w:val="22"/>
        </w:rPr>
        <w:t>Access</w:t>
      </w:r>
      <w:r w:rsidR="008969FC" w:rsidRPr="000E6927">
        <w:rPr>
          <w:rFonts w:asciiTheme="minorHAnsi" w:eastAsiaTheme="minorHAnsi" w:hAnsiTheme="minorHAnsi" w:cstheme="minorBidi"/>
          <w:snapToGrid/>
          <w:sz w:val="24"/>
          <w:szCs w:val="22"/>
        </w:rPr>
        <w:t xml:space="preserve"> listing for lanreotide for non</w:t>
      </w:r>
      <w:r w:rsidR="008969FC" w:rsidRPr="000E6927">
        <w:rPr>
          <w:rFonts w:asciiTheme="minorHAnsi" w:eastAsiaTheme="minorHAnsi" w:hAnsiTheme="minorHAnsi" w:cstheme="minorBidi"/>
          <w:snapToGrid/>
          <w:sz w:val="24"/>
          <w:szCs w:val="22"/>
        </w:rPr>
        <w:noBreakHyphen/>
      </w:r>
      <w:r w:rsidR="00CF5A6B" w:rsidRPr="000E6927">
        <w:rPr>
          <w:rFonts w:asciiTheme="minorHAnsi" w:eastAsiaTheme="minorHAnsi" w:hAnsiTheme="minorHAnsi" w:cstheme="minorBidi"/>
          <w:snapToGrid/>
          <w:sz w:val="24"/>
          <w:szCs w:val="22"/>
        </w:rPr>
        <w:t>functional GEP-NET</w:t>
      </w:r>
      <w:r w:rsidRPr="000E6927">
        <w:rPr>
          <w:rFonts w:asciiTheme="minorHAnsi" w:eastAsiaTheme="minorHAnsi" w:hAnsiTheme="minorHAnsi" w:cstheme="minorBidi"/>
          <w:snapToGrid/>
          <w:sz w:val="24"/>
          <w:szCs w:val="22"/>
        </w:rPr>
        <w:t xml:space="preserve"> with the intention of improving equity of access and the quality use of medications for patients located in rural areas</w:t>
      </w:r>
      <w:r w:rsidR="008927A6" w:rsidRPr="000E6927">
        <w:rPr>
          <w:rFonts w:asciiTheme="minorHAnsi" w:eastAsiaTheme="minorHAnsi" w:hAnsiTheme="minorHAnsi" w:cstheme="minorBidi"/>
          <w:snapToGrid/>
          <w:sz w:val="24"/>
          <w:szCs w:val="22"/>
        </w:rPr>
        <w:t xml:space="preserve">. Patients in rural areas are currently required to travel into regional centres or major cities </w:t>
      </w:r>
      <w:r w:rsidR="00A97BDE" w:rsidRPr="000E6927">
        <w:rPr>
          <w:rFonts w:asciiTheme="minorHAnsi" w:eastAsiaTheme="minorHAnsi" w:hAnsiTheme="minorHAnsi" w:cstheme="minorBidi"/>
          <w:snapToGrid/>
          <w:sz w:val="24"/>
          <w:szCs w:val="22"/>
        </w:rPr>
        <w:t xml:space="preserve">to see a medical oncologist at </w:t>
      </w:r>
      <w:r w:rsidR="00DF7BAB" w:rsidRPr="000E6927">
        <w:rPr>
          <w:rFonts w:asciiTheme="minorHAnsi" w:eastAsiaTheme="minorHAnsi" w:hAnsiTheme="minorHAnsi" w:cstheme="minorBidi"/>
          <w:snapToGrid/>
          <w:sz w:val="24"/>
          <w:szCs w:val="22"/>
        </w:rPr>
        <w:t xml:space="preserve">a </w:t>
      </w:r>
      <w:r w:rsidR="00A97BDE" w:rsidRPr="000E6927">
        <w:rPr>
          <w:rFonts w:asciiTheme="minorHAnsi" w:eastAsiaTheme="minorHAnsi" w:hAnsiTheme="minorHAnsi" w:cstheme="minorBidi"/>
          <w:snapToGrid/>
          <w:sz w:val="24"/>
          <w:szCs w:val="22"/>
        </w:rPr>
        <w:t>public or private hospital</w:t>
      </w:r>
      <w:r w:rsidR="00DF7BAB" w:rsidRPr="000E6927">
        <w:rPr>
          <w:rFonts w:asciiTheme="minorHAnsi" w:eastAsiaTheme="minorHAnsi" w:hAnsiTheme="minorHAnsi" w:cstheme="minorBidi"/>
          <w:snapToGrid/>
          <w:sz w:val="24"/>
          <w:szCs w:val="22"/>
        </w:rPr>
        <w:t xml:space="preserve"> </w:t>
      </w:r>
      <w:r w:rsidR="00A97BDE" w:rsidRPr="000E6927">
        <w:rPr>
          <w:rFonts w:asciiTheme="minorHAnsi" w:eastAsiaTheme="minorHAnsi" w:hAnsiTheme="minorHAnsi" w:cstheme="minorBidi"/>
          <w:snapToGrid/>
          <w:sz w:val="24"/>
          <w:szCs w:val="22"/>
        </w:rPr>
        <w:t>and have their prescriptions dispensed by the hospital pharmacy.</w:t>
      </w:r>
      <w:r w:rsidR="00DF7BAB" w:rsidRPr="000E6927">
        <w:rPr>
          <w:rFonts w:asciiTheme="minorHAnsi" w:eastAsiaTheme="minorHAnsi" w:hAnsiTheme="minorHAnsi" w:cstheme="minorBidi"/>
          <w:snapToGrid/>
          <w:sz w:val="24"/>
          <w:szCs w:val="22"/>
        </w:rPr>
        <w:t xml:space="preserve"> </w:t>
      </w:r>
      <w:r w:rsidR="00353F5D" w:rsidRPr="000E6927">
        <w:rPr>
          <w:rFonts w:asciiTheme="minorHAnsi" w:eastAsiaTheme="minorHAnsi" w:hAnsiTheme="minorHAnsi" w:cstheme="minorBidi"/>
          <w:snapToGrid/>
          <w:sz w:val="24"/>
          <w:szCs w:val="22"/>
        </w:rPr>
        <w:t xml:space="preserve">The submission presented a literature review </w:t>
      </w:r>
      <w:r w:rsidR="006A1EA1" w:rsidRPr="000E6927">
        <w:rPr>
          <w:rFonts w:asciiTheme="minorHAnsi" w:eastAsiaTheme="minorHAnsi" w:hAnsiTheme="minorHAnsi" w:cstheme="minorBidi"/>
          <w:snapToGrid/>
          <w:sz w:val="24"/>
          <w:szCs w:val="22"/>
        </w:rPr>
        <w:t>with the intention of</w:t>
      </w:r>
      <w:r w:rsidR="00353F5D" w:rsidRPr="000E6927">
        <w:rPr>
          <w:rFonts w:asciiTheme="minorHAnsi" w:eastAsiaTheme="minorHAnsi" w:hAnsiTheme="minorHAnsi" w:cstheme="minorBidi"/>
          <w:snapToGrid/>
          <w:sz w:val="24"/>
          <w:szCs w:val="22"/>
        </w:rPr>
        <w:t xml:space="preserve"> support</w:t>
      </w:r>
      <w:r w:rsidR="006A1EA1" w:rsidRPr="000E6927">
        <w:rPr>
          <w:rFonts w:asciiTheme="minorHAnsi" w:eastAsiaTheme="minorHAnsi" w:hAnsiTheme="minorHAnsi" w:cstheme="minorBidi"/>
          <w:snapToGrid/>
          <w:sz w:val="24"/>
          <w:szCs w:val="22"/>
        </w:rPr>
        <w:t>ing</w:t>
      </w:r>
      <w:r w:rsidR="00353F5D" w:rsidRPr="000E6927">
        <w:rPr>
          <w:rFonts w:asciiTheme="minorHAnsi" w:eastAsiaTheme="minorHAnsi" w:hAnsiTheme="minorHAnsi" w:cstheme="minorBidi"/>
          <w:snapToGrid/>
          <w:sz w:val="24"/>
          <w:szCs w:val="22"/>
        </w:rPr>
        <w:t xml:space="preserve"> </w:t>
      </w:r>
      <w:r w:rsidR="006A1EA1" w:rsidRPr="000E6927">
        <w:rPr>
          <w:rFonts w:asciiTheme="minorHAnsi" w:eastAsiaTheme="minorHAnsi" w:hAnsiTheme="minorHAnsi" w:cstheme="minorBidi"/>
          <w:snapToGrid/>
          <w:sz w:val="24"/>
          <w:szCs w:val="22"/>
        </w:rPr>
        <w:t xml:space="preserve">the </w:t>
      </w:r>
      <w:r w:rsidR="00353F5D" w:rsidRPr="000E6927">
        <w:rPr>
          <w:rFonts w:asciiTheme="minorHAnsi" w:eastAsiaTheme="minorHAnsi" w:hAnsiTheme="minorHAnsi" w:cstheme="minorBidi"/>
          <w:snapToGrid/>
          <w:sz w:val="24"/>
          <w:szCs w:val="22"/>
        </w:rPr>
        <w:t>argument that patients in rural settin</w:t>
      </w:r>
      <w:r w:rsidR="00F30DAB" w:rsidRPr="000E6927">
        <w:rPr>
          <w:rFonts w:asciiTheme="minorHAnsi" w:eastAsiaTheme="minorHAnsi" w:hAnsiTheme="minorHAnsi" w:cstheme="minorBidi"/>
          <w:snapToGrid/>
          <w:sz w:val="24"/>
          <w:szCs w:val="22"/>
        </w:rPr>
        <w:t>gs are more likely to have poor</w:t>
      </w:r>
      <w:r w:rsidR="006A1EA1" w:rsidRPr="000E6927">
        <w:rPr>
          <w:rFonts w:asciiTheme="minorHAnsi" w:eastAsiaTheme="minorHAnsi" w:hAnsiTheme="minorHAnsi" w:cstheme="minorBidi"/>
          <w:snapToGrid/>
          <w:sz w:val="24"/>
          <w:szCs w:val="22"/>
        </w:rPr>
        <w:t>er health</w:t>
      </w:r>
      <w:r w:rsidR="00353F5D" w:rsidRPr="000E6927">
        <w:rPr>
          <w:rFonts w:asciiTheme="minorHAnsi" w:eastAsiaTheme="minorHAnsi" w:hAnsiTheme="minorHAnsi" w:cstheme="minorBidi"/>
          <w:snapToGrid/>
          <w:sz w:val="24"/>
          <w:szCs w:val="22"/>
        </w:rPr>
        <w:t xml:space="preserve"> outcomes associated with the lack of access to appropriate treatment. </w:t>
      </w:r>
    </w:p>
    <w:p w:rsidR="00E732D1" w:rsidRPr="000E6927" w:rsidRDefault="00E732D1">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E6927">
        <w:rPr>
          <w:rFonts w:asciiTheme="minorHAnsi" w:eastAsiaTheme="minorHAnsi" w:hAnsiTheme="minorHAnsi" w:cstheme="minorBidi"/>
          <w:snapToGrid/>
          <w:sz w:val="24"/>
          <w:szCs w:val="22"/>
        </w:rPr>
        <w:t>Compared with S100 HSD – Public/Private Hospital listings, the S100 HSD – Community Access arrangements remove the requirement for patients and prescribers to be affiliated with a hospital setting.</w:t>
      </w:r>
    </w:p>
    <w:p w:rsidR="00EB515E" w:rsidRPr="000E6927" w:rsidRDefault="008927A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E6927">
        <w:rPr>
          <w:rFonts w:asciiTheme="minorHAnsi" w:eastAsiaTheme="minorHAnsi" w:hAnsiTheme="minorHAnsi" w:cstheme="minorBidi"/>
          <w:snapToGrid/>
          <w:sz w:val="24"/>
          <w:szCs w:val="22"/>
        </w:rPr>
        <w:t xml:space="preserve">The submission </w:t>
      </w:r>
      <w:r w:rsidR="00353F5D" w:rsidRPr="000E6927">
        <w:rPr>
          <w:rFonts w:asciiTheme="minorHAnsi" w:eastAsiaTheme="minorHAnsi" w:hAnsiTheme="minorHAnsi" w:cstheme="minorBidi"/>
          <w:snapToGrid/>
          <w:sz w:val="24"/>
          <w:szCs w:val="22"/>
        </w:rPr>
        <w:t>stated</w:t>
      </w:r>
      <w:r w:rsidRPr="000E6927">
        <w:rPr>
          <w:rFonts w:asciiTheme="minorHAnsi" w:eastAsiaTheme="minorHAnsi" w:hAnsiTheme="minorHAnsi" w:cstheme="minorBidi"/>
          <w:snapToGrid/>
          <w:sz w:val="24"/>
          <w:szCs w:val="22"/>
        </w:rPr>
        <w:t xml:space="preserve"> that lanreotide 120 mg prefilled </w:t>
      </w:r>
      <w:r w:rsidR="00DF7BAB" w:rsidRPr="000E6927">
        <w:rPr>
          <w:rFonts w:asciiTheme="minorHAnsi" w:eastAsiaTheme="minorHAnsi" w:hAnsiTheme="minorHAnsi" w:cstheme="minorBidi"/>
          <w:snapToGrid/>
          <w:sz w:val="24"/>
          <w:szCs w:val="22"/>
        </w:rPr>
        <w:t>syringe</w:t>
      </w:r>
      <w:r w:rsidR="003145D5" w:rsidRPr="000E6927">
        <w:rPr>
          <w:rFonts w:asciiTheme="minorHAnsi" w:eastAsiaTheme="minorHAnsi" w:hAnsiTheme="minorHAnsi" w:cstheme="minorBidi"/>
          <w:snapToGrid/>
          <w:sz w:val="24"/>
          <w:szCs w:val="22"/>
        </w:rPr>
        <w:t xml:space="preserve"> is suitab</w:t>
      </w:r>
      <w:r w:rsidRPr="000E6927">
        <w:rPr>
          <w:rFonts w:asciiTheme="minorHAnsi" w:eastAsiaTheme="minorHAnsi" w:hAnsiTheme="minorHAnsi" w:cstheme="minorBidi"/>
          <w:snapToGrid/>
          <w:sz w:val="24"/>
          <w:szCs w:val="22"/>
        </w:rPr>
        <w:t>le for</w:t>
      </w:r>
      <w:r w:rsidR="00DF7BAB" w:rsidRPr="000E6927">
        <w:rPr>
          <w:rFonts w:asciiTheme="minorHAnsi" w:eastAsiaTheme="minorHAnsi" w:hAnsiTheme="minorHAnsi" w:cstheme="minorBidi"/>
          <w:snapToGrid/>
          <w:sz w:val="24"/>
          <w:szCs w:val="22"/>
        </w:rPr>
        <w:t xml:space="preserve"> self</w:t>
      </w:r>
      <w:r w:rsidR="00E7535E" w:rsidRPr="000E6927">
        <w:rPr>
          <w:rFonts w:asciiTheme="minorHAnsi" w:eastAsiaTheme="minorHAnsi" w:hAnsiTheme="minorHAnsi" w:cstheme="minorBidi"/>
          <w:snapToGrid/>
          <w:sz w:val="24"/>
          <w:szCs w:val="22"/>
        </w:rPr>
        <w:t xml:space="preserve"> or partner</w:t>
      </w:r>
      <w:r w:rsidR="00F30DAB" w:rsidRPr="000E6927">
        <w:rPr>
          <w:rFonts w:asciiTheme="minorHAnsi" w:eastAsiaTheme="minorHAnsi" w:hAnsiTheme="minorHAnsi" w:cstheme="minorBidi"/>
          <w:snapToGrid/>
          <w:sz w:val="24"/>
          <w:szCs w:val="22"/>
        </w:rPr>
        <w:t>-</w:t>
      </w:r>
      <w:r w:rsidR="00E7535E" w:rsidRPr="000E6927">
        <w:rPr>
          <w:rFonts w:asciiTheme="minorHAnsi" w:eastAsiaTheme="minorHAnsi" w:hAnsiTheme="minorHAnsi" w:cstheme="minorBidi"/>
          <w:snapToGrid/>
          <w:sz w:val="24"/>
          <w:szCs w:val="22"/>
        </w:rPr>
        <w:t>administration</w:t>
      </w:r>
      <w:r w:rsidR="00DF7BAB" w:rsidRPr="000E6927">
        <w:rPr>
          <w:rFonts w:asciiTheme="minorHAnsi" w:eastAsiaTheme="minorHAnsi" w:hAnsiTheme="minorHAnsi" w:cstheme="minorBidi"/>
          <w:snapToGrid/>
          <w:sz w:val="24"/>
          <w:szCs w:val="22"/>
        </w:rPr>
        <w:t xml:space="preserve"> as an outpatient. </w:t>
      </w:r>
    </w:p>
    <w:p w:rsidR="00BC5B36" w:rsidRPr="000E6927" w:rsidRDefault="00BC5B36" w:rsidP="00E57B27">
      <w:pPr>
        <w:pStyle w:val="ListParagraph"/>
        <w:widowControl/>
        <w:spacing w:after="120"/>
        <w:contextualSpacing w:val="0"/>
        <w:rPr>
          <w:rFonts w:asciiTheme="minorHAnsi" w:eastAsiaTheme="minorHAnsi" w:hAnsiTheme="minorHAnsi" w:cstheme="minorBidi"/>
          <w:i/>
          <w:snapToGrid/>
          <w:sz w:val="24"/>
          <w:szCs w:val="22"/>
        </w:rPr>
      </w:pPr>
      <w:r w:rsidRPr="000E6927">
        <w:rPr>
          <w:rFonts w:asciiTheme="minorHAnsi" w:eastAsiaTheme="minorHAnsi" w:hAnsiTheme="minorHAnsi" w:cstheme="minorBidi"/>
          <w:i/>
          <w:snapToGrid/>
          <w:sz w:val="24"/>
          <w:szCs w:val="22"/>
        </w:rPr>
        <w:lastRenderedPageBreak/>
        <w:t>For more detail on PBAC’s view, see section 6 PBAC outcome.</w:t>
      </w:r>
    </w:p>
    <w:p w:rsidR="00BC5B36" w:rsidRPr="00200BC8" w:rsidRDefault="00BC5B36" w:rsidP="00E57B27">
      <w:pPr>
        <w:pStyle w:val="PBACHeading1"/>
        <w:spacing w:before="240" w:after="120"/>
        <w:ind w:left="709" w:hanging="709"/>
        <w:rPr>
          <w:rFonts w:asciiTheme="minorHAnsi" w:hAnsiTheme="minorHAnsi"/>
          <w:sz w:val="32"/>
          <w:szCs w:val="32"/>
        </w:rPr>
      </w:pPr>
      <w:r w:rsidRPr="000E6927">
        <w:rPr>
          <w:rFonts w:asciiTheme="minorHAnsi" w:hAnsiTheme="minorHAnsi"/>
          <w:sz w:val="32"/>
          <w:szCs w:val="32"/>
        </w:rPr>
        <w:t>Consideration of the evidence</w:t>
      </w:r>
    </w:p>
    <w:p w:rsidR="00EB515E" w:rsidRPr="00C25C88" w:rsidRDefault="00EB515E" w:rsidP="00C25C88">
      <w:pPr>
        <w:pStyle w:val="Heading2"/>
        <w:keepLines/>
        <w:spacing w:before="240" w:after="120"/>
        <w:rPr>
          <w:rFonts w:asciiTheme="minorHAnsi" w:eastAsiaTheme="majorEastAsia" w:hAnsiTheme="minorHAnsi" w:cstheme="majorBidi"/>
          <w:sz w:val="28"/>
          <w:szCs w:val="28"/>
          <w:lang w:eastAsia="en-US"/>
        </w:rPr>
      </w:pPr>
      <w:r w:rsidRPr="00C25C88">
        <w:rPr>
          <w:rFonts w:asciiTheme="minorHAnsi" w:eastAsiaTheme="majorEastAsia" w:hAnsiTheme="minorHAnsi" w:cstheme="majorBidi"/>
          <w:sz w:val="28"/>
          <w:szCs w:val="28"/>
          <w:lang w:eastAsia="en-US"/>
        </w:rPr>
        <w:t>Sponsor hearing</w:t>
      </w:r>
    </w:p>
    <w:p w:rsidR="00EB515E" w:rsidRPr="000E6927" w:rsidRDefault="00EB515E" w:rsidP="00E57B27">
      <w:pPr>
        <w:numPr>
          <w:ilvl w:val="1"/>
          <w:numId w:val="5"/>
        </w:numPr>
        <w:spacing w:after="120"/>
        <w:jc w:val="both"/>
        <w:rPr>
          <w:rFonts w:asciiTheme="minorHAnsi" w:hAnsiTheme="minorHAnsi" w:cs="Arial"/>
          <w:bCs/>
          <w:snapToGrid w:val="0"/>
        </w:rPr>
      </w:pPr>
      <w:r w:rsidRPr="000E6927">
        <w:rPr>
          <w:rFonts w:asciiTheme="minorHAnsi" w:hAnsiTheme="minorHAnsi" w:cs="Arial"/>
          <w:bCs/>
          <w:snapToGrid w:val="0"/>
        </w:rPr>
        <w:t xml:space="preserve"> There was no hearing for this item as it was a minor submission.</w:t>
      </w:r>
    </w:p>
    <w:p w:rsidR="00EB515E" w:rsidRPr="00C25C88" w:rsidRDefault="00EB515E" w:rsidP="00C25C88">
      <w:pPr>
        <w:pStyle w:val="Heading2"/>
        <w:keepLines/>
        <w:spacing w:before="240" w:after="120"/>
        <w:rPr>
          <w:rFonts w:asciiTheme="minorHAnsi" w:eastAsiaTheme="majorEastAsia" w:hAnsiTheme="minorHAnsi" w:cstheme="majorBidi"/>
          <w:sz w:val="28"/>
          <w:szCs w:val="28"/>
          <w:lang w:eastAsia="en-US"/>
        </w:rPr>
      </w:pPr>
      <w:r w:rsidRPr="00C25C88">
        <w:rPr>
          <w:rFonts w:asciiTheme="minorHAnsi" w:eastAsiaTheme="majorEastAsia" w:hAnsiTheme="minorHAnsi" w:cstheme="majorBidi"/>
          <w:sz w:val="28"/>
          <w:szCs w:val="28"/>
          <w:lang w:eastAsia="en-US"/>
        </w:rPr>
        <w:t>Consumer comments</w:t>
      </w:r>
      <w:bookmarkStart w:id="1" w:name="_GoBack"/>
      <w:bookmarkEnd w:id="1"/>
    </w:p>
    <w:p w:rsidR="00EB515E" w:rsidRPr="000E6927" w:rsidRDefault="00EB515E" w:rsidP="00E57B27">
      <w:pPr>
        <w:numPr>
          <w:ilvl w:val="1"/>
          <w:numId w:val="5"/>
        </w:numPr>
        <w:spacing w:after="120"/>
        <w:jc w:val="both"/>
        <w:rPr>
          <w:rFonts w:asciiTheme="minorHAnsi" w:hAnsiTheme="minorHAnsi" w:cs="Arial"/>
          <w:bCs/>
          <w:snapToGrid w:val="0"/>
        </w:rPr>
      </w:pPr>
      <w:r w:rsidRPr="000E6927">
        <w:rPr>
          <w:rFonts w:asciiTheme="minorHAnsi" w:hAnsiTheme="minorHAnsi" w:cs="Arial"/>
          <w:bCs/>
          <w:snapToGrid w:val="0"/>
        </w:rPr>
        <w:t>The PBAC noted that no consumer comments were received for this item.</w:t>
      </w:r>
    </w:p>
    <w:p w:rsidR="005A3173" w:rsidRPr="000E6927" w:rsidRDefault="005A3173">
      <w:pPr>
        <w:pStyle w:val="Heading2"/>
        <w:keepLines/>
        <w:spacing w:before="240" w:after="120"/>
        <w:rPr>
          <w:rFonts w:asciiTheme="minorHAnsi" w:eastAsiaTheme="majorEastAsia" w:hAnsiTheme="minorHAnsi" w:cstheme="majorBidi"/>
          <w:sz w:val="28"/>
          <w:szCs w:val="28"/>
          <w:lang w:eastAsia="en-US"/>
        </w:rPr>
      </w:pPr>
      <w:r w:rsidRPr="000E6927">
        <w:rPr>
          <w:rFonts w:asciiTheme="minorHAnsi" w:eastAsiaTheme="majorEastAsia" w:hAnsiTheme="minorHAnsi" w:cstheme="majorBidi"/>
          <w:sz w:val="28"/>
          <w:szCs w:val="28"/>
          <w:lang w:eastAsia="en-US"/>
        </w:rPr>
        <w:t>Estimated PBS usage &amp; financial implications</w:t>
      </w:r>
    </w:p>
    <w:p w:rsidR="00B60693" w:rsidRPr="000E6927" w:rsidRDefault="00B56BD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E6927">
        <w:rPr>
          <w:rFonts w:asciiTheme="minorHAnsi" w:eastAsiaTheme="minorHAnsi" w:hAnsiTheme="minorHAnsi" w:cstheme="minorBidi"/>
          <w:snapToGrid/>
          <w:sz w:val="24"/>
          <w:szCs w:val="22"/>
        </w:rPr>
        <w:t>T</w:t>
      </w:r>
      <w:r w:rsidR="001A0583" w:rsidRPr="000E6927">
        <w:rPr>
          <w:rFonts w:asciiTheme="minorHAnsi" w:eastAsiaTheme="minorHAnsi" w:hAnsiTheme="minorHAnsi" w:cstheme="minorBidi"/>
          <w:snapToGrid/>
          <w:sz w:val="24"/>
          <w:szCs w:val="22"/>
        </w:rPr>
        <w:t>o estimate the financial implications of the requested change, t</w:t>
      </w:r>
      <w:r w:rsidRPr="000E6927">
        <w:rPr>
          <w:rFonts w:asciiTheme="minorHAnsi" w:eastAsiaTheme="minorHAnsi" w:hAnsiTheme="minorHAnsi" w:cstheme="minorBidi"/>
          <w:snapToGrid/>
          <w:sz w:val="24"/>
          <w:szCs w:val="22"/>
        </w:rPr>
        <w:t xml:space="preserve">he minor submission used </w:t>
      </w:r>
      <w:r w:rsidR="001A0583" w:rsidRPr="000E6927">
        <w:rPr>
          <w:rFonts w:asciiTheme="minorHAnsi" w:eastAsiaTheme="minorHAnsi" w:hAnsiTheme="minorHAnsi" w:cstheme="minorBidi"/>
          <w:snapToGrid/>
          <w:sz w:val="24"/>
          <w:szCs w:val="22"/>
        </w:rPr>
        <w:t xml:space="preserve">the </w:t>
      </w:r>
      <w:r w:rsidRPr="000E6927">
        <w:rPr>
          <w:rFonts w:asciiTheme="minorHAnsi" w:eastAsiaTheme="minorHAnsi" w:hAnsiTheme="minorHAnsi" w:cstheme="minorBidi"/>
          <w:snapToGrid/>
          <w:sz w:val="24"/>
          <w:szCs w:val="22"/>
        </w:rPr>
        <w:t xml:space="preserve">epidemiological </w:t>
      </w:r>
      <w:r w:rsidR="001A0583" w:rsidRPr="000E6927">
        <w:rPr>
          <w:rFonts w:asciiTheme="minorHAnsi" w:eastAsiaTheme="minorHAnsi" w:hAnsiTheme="minorHAnsi" w:cstheme="minorBidi"/>
          <w:snapToGrid/>
          <w:sz w:val="24"/>
          <w:szCs w:val="22"/>
        </w:rPr>
        <w:t xml:space="preserve">financial </w:t>
      </w:r>
      <w:r w:rsidR="00B067F2" w:rsidRPr="000E6927">
        <w:rPr>
          <w:rFonts w:asciiTheme="minorHAnsi" w:eastAsiaTheme="minorHAnsi" w:hAnsiTheme="minorHAnsi" w:cstheme="minorBidi"/>
          <w:snapToGrid/>
          <w:sz w:val="24"/>
          <w:szCs w:val="22"/>
        </w:rPr>
        <w:t>implications</w:t>
      </w:r>
      <w:r w:rsidR="001A0583" w:rsidRPr="000E6927">
        <w:rPr>
          <w:rFonts w:asciiTheme="minorHAnsi" w:eastAsiaTheme="minorHAnsi" w:hAnsiTheme="minorHAnsi" w:cstheme="minorBidi"/>
          <w:snapToGrid/>
          <w:sz w:val="24"/>
          <w:szCs w:val="22"/>
        </w:rPr>
        <w:t xml:space="preserve"> model that was evaluated as part of the non-functional GEP-NET submission. </w:t>
      </w:r>
    </w:p>
    <w:p w:rsidR="001A0583" w:rsidRPr="000E6927" w:rsidRDefault="001A058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E6927">
        <w:rPr>
          <w:rFonts w:asciiTheme="minorHAnsi" w:eastAsiaTheme="minorHAnsi" w:hAnsiTheme="minorHAnsi" w:cstheme="minorBidi"/>
          <w:snapToGrid/>
          <w:sz w:val="24"/>
          <w:szCs w:val="22"/>
        </w:rPr>
        <w:t>The minor submission claimed that there would be no net increase in utilisation of lanreotide</w:t>
      </w:r>
      <w:r w:rsidR="00B067F2" w:rsidRPr="000E6927">
        <w:rPr>
          <w:rFonts w:asciiTheme="minorHAnsi" w:eastAsiaTheme="minorHAnsi" w:hAnsiTheme="minorHAnsi" w:cstheme="minorBidi"/>
          <w:snapToGrid/>
          <w:sz w:val="24"/>
          <w:szCs w:val="22"/>
        </w:rPr>
        <w:t xml:space="preserve"> </w:t>
      </w:r>
      <w:r w:rsidR="000E6927" w:rsidRPr="000E6927">
        <w:rPr>
          <w:rFonts w:asciiTheme="minorHAnsi" w:eastAsiaTheme="minorHAnsi" w:hAnsiTheme="minorHAnsi" w:cstheme="minorBidi"/>
          <w:snapToGrid/>
          <w:sz w:val="24"/>
          <w:szCs w:val="22"/>
        </w:rPr>
        <w:t>because</w:t>
      </w:r>
      <w:r w:rsidRPr="000E6927">
        <w:rPr>
          <w:rFonts w:asciiTheme="minorHAnsi" w:eastAsiaTheme="minorHAnsi" w:hAnsiTheme="minorHAnsi" w:cstheme="minorBidi"/>
          <w:snapToGrid/>
          <w:sz w:val="24"/>
          <w:szCs w:val="22"/>
        </w:rPr>
        <w:t xml:space="preserve"> of the</w:t>
      </w:r>
      <w:r w:rsidR="00DA461F" w:rsidRPr="000E6927">
        <w:rPr>
          <w:rFonts w:asciiTheme="minorHAnsi" w:eastAsiaTheme="minorHAnsi" w:hAnsiTheme="minorHAnsi" w:cstheme="minorBidi"/>
          <w:snapToGrid/>
          <w:sz w:val="24"/>
          <w:szCs w:val="22"/>
        </w:rPr>
        <w:t xml:space="preserve"> additional </w:t>
      </w:r>
      <w:r w:rsidRPr="000E6927">
        <w:rPr>
          <w:rFonts w:asciiTheme="minorHAnsi" w:eastAsiaTheme="minorHAnsi" w:hAnsiTheme="minorHAnsi" w:cstheme="minorBidi"/>
          <w:snapToGrid/>
          <w:sz w:val="24"/>
          <w:szCs w:val="22"/>
        </w:rPr>
        <w:t>Community</w:t>
      </w:r>
      <w:r w:rsidR="00DA461F" w:rsidRPr="000E6927">
        <w:rPr>
          <w:rFonts w:asciiTheme="minorHAnsi" w:eastAsiaTheme="minorHAnsi" w:hAnsiTheme="minorHAnsi" w:cstheme="minorBidi"/>
          <w:snapToGrid/>
          <w:sz w:val="24"/>
          <w:szCs w:val="22"/>
        </w:rPr>
        <w:t xml:space="preserve"> </w:t>
      </w:r>
      <w:r w:rsidR="001626CC" w:rsidRPr="000E6927">
        <w:rPr>
          <w:rFonts w:asciiTheme="minorHAnsi" w:eastAsiaTheme="minorHAnsi" w:hAnsiTheme="minorHAnsi" w:cstheme="minorBidi"/>
          <w:snapToGrid/>
          <w:sz w:val="24"/>
          <w:szCs w:val="22"/>
        </w:rPr>
        <w:t>Access listing</w:t>
      </w:r>
      <w:r w:rsidR="00B60693" w:rsidRPr="000E6927">
        <w:rPr>
          <w:rFonts w:asciiTheme="minorHAnsi" w:eastAsiaTheme="minorHAnsi" w:hAnsiTheme="minorHAnsi" w:cstheme="minorBidi"/>
          <w:snapToGrid/>
          <w:sz w:val="24"/>
          <w:szCs w:val="22"/>
        </w:rPr>
        <w:t xml:space="preserve"> and </w:t>
      </w:r>
      <w:r w:rsidR="00DE19A8" w:rsidRPr="000E6927">
        <w:rPr>
          <w:rFonts w:asciiTheme="minorHAnsi" w:eastAsiaTheme="minorHAnsi" w:hAnsiTheme="minorHAnsi" w:cstheme="minorBidi"/>
          <w:snapToGrid/>
          <w:sz w:val="24"/>
          <w:szCs w:val="22"/>
        </w:rPr>
        <w:t xml:space="preserve">that additional costs to the </w:t>
      </w:r>
      <w:r w:rsidRPr="000E6927">
        <w:rPr>
          <w:rFonts w:asciiTheme="minorHAnsi" w:eastAsiaTheme="minorHAnsi" w:hAnsiTheme="minorHAnsi" w:cstheme="minorBidi"/>
          <w:snapToGrid/>
          <w:sz w:val="24"/>
          <w:szCs w:val="22"/>
        </w:rPr>
        <w:t xml:space="preserve">Australian government </w:t>
      </w:r>
      <w:r w:rsidR="00DE19A8" w:rsidRPr="000E6927">
        <w:rPr>
          <w:rFonts w:asciiTheme="minorHAnsi" w:eastAsiaTheme="minorHAnsi" w:hAnsiTheme="minorHAnsi" w:cstheme="minorBidi"/>
          <w:snapToGrid/>
          <w:sz w:val="24"/>
          <w:szCs w:val="22"/>
        </w:rPr>
        <w:t xml:space="preserve">will </w:t>
      </w:r>
      <w:r w:rsidR="000E6927">
        <w:rPr>
          <w:rFonts w:asciiTheme="minorHAnsi" w:eastAsiaTheme="minorHAnsi" w:hAnsiTheme="minorHAnsi" w:cstheme="minorBidi"/>
          <w:snapToGrid/>
          <w:sz w:val="24"/>
          <w:szCs w:val="22"/>
        </w:rPr>
        <w:t xml:space="preserve">result from </w:t>
      </w:r>
      <w:r w:rsidR="008969FC" w:rsidRPr="000E6927">
        <w:rPr>
          <w:rFonts w:asciiTheme="minorHAnsi" w:eastAsiaTheme="minorHAnsi" w:hAnsiTheme="minorHAnsi" w:cstheme="minorBidi"/>
          <w:snapToGrid/>
          <w:sz w:val="24"/>
          <w:szCs w:val="22"/>
        </w:rPr>
        <w:t xml:space="preserve">the </w:t>
      </w:r>
      <w:r w:rsidRPr="000E6927">
        <w:rPr>
          <w:rFonts w:asciiTheme="minorHAnsi" w:eastAsiaTheme="minorHAnsi" w:hAnsiTheme="minorHAnsi" w:cstheme="minorBidi"/>
          <w:snapToGrid/>
          <w:sz w:val="24"/>
          <w:szCs w:val="22"/>
        </w:rPr>
        <w:t>additional mark-ups applied to Community Access listings, compared with</w:t>
      </w:r>
      <w:r w:rsidR="00B60693" w:rsidRPr="000E6927">
        <w:rPr>
          <w:rFonts w:asciiTheme="minorHAnsi" w:eastAsiaTheme="minorHAnsi" w:hAnsiTheme="minorHAnsi" w:cstheme="minorBidi"/>
          <w:snapToGrid/>
          <w:sz w:val="24"/>
          <w:szCs w:val="22"/>
        </w:rPr>
        <w:t xml:space="preserve"> Public H</w:t>
      </w:r>
      <w:r w:rsidRPr="000E6927">
        <w:rPr>
          <w:rFonts w:asciiTheme="minorHAnsi" w:eastAsiaTheme="minorHAnsi" w:hAnsiTheme="minorHAnsi" w:cstheme="minorBidi"/>
          <w:snapToGrid/>
          <w:sz w:val="24"/>
          <w:szCs w:val="22"/>
        </w:rPr>
        <w:t>ospital listings</w:t>
      </w:r>
      <w:r w:rsidR="008F5EF6" w:rsidRPr="000E6927">
        <w:rPr>
          <w:rFonts w:asciiTheme="minorHAnsi" w:eastAsiaTheme="minorHAnsi" w:hAnsiTheme="minorHAnsi" w:cstheme="minorBidi"/>
          <w:snapToGrid/>
          <w:sz w:val="24"/>
          <w:szCs w:val="22"/>
        </w:rPr>
        <w:t xml:space="preserve">. </w:t>
      </w:r>
      <w:r w:rsidRPr="000E6927">
        <w:rPr>
          <w:rFonts w:asciiTheme="minorHAnsi" w:eastAsiaTheme="minorHAnsi" w:hAnsiTheme="minorHAnsi" w:cstheme="minorBidi"/>
          <w:snapToGrid/>
          <w:sz w:val="24"/>
          <w:szCs w:val="22"/>
        </w:rPr>
        <w:t>As the remuneration rates for HSD</w:t>
      </w:r>
      <w:r w:rsidR="00B60693" w:rsidRPr="000E6927">
        <w:rPr>
          <w:rFonts w:asciiTheme="minorHAnsi" w:eastAsiaTheme="minorHAnsi" w:hAnsiTheme="minorHAnsi" w:cstheme="minorBidi"/>
          <w:snapToGrid/>
          <w:sz w:val="24"/>
          <w:szCs w:val="22"/>
        </w:rPr>
        <w:t>s</w:t>
      </w:r>
      <w:r w:rsidRPr="000E6927">
        <w:rPr>
          <w:rFonts w:asciiTheme="minorHAnsi" w:eastAsiaTheme="minorHAnsi" w:hAnsiTheme="minorHAnsi" w:cstheme="minorBidi"/>
          <w:snapToGrid/>
          <w:sz w:val="24"/>
          <w:szCs w:val="22"/>
        </w:rPr>
        <w:t xml:space="preserve"> dispensed through community pharmacies are aligned to those paid to private hospitals, the submission noted that there would be no financial implications associated with patients switching </w:t>
      </w:r>
      <w:r w:rsidR="00B038D8" w:rsidRPr="000E6927">
        <w:rPr>
          <w:rFonts w:asciiTheme="minorHAnsi" w:eastAsiaTheme="minorHAnsi" w:hAnsiTheme="minorHAnsi" w:cstheme="minorBidi"/>
          <w:snapToGrid/>
          <w:sz w:val="24"/>
          <w:szCs w:val="22"/>
        </w:rPr>
        <w:t xml:space="preserve">from </w:t>
      </w:r>
      <w:r w:rsidR="00B60693" w:rsidRPr="000E6927">
        <w:rPr>
          <w:rFonts w:asciiTheme="minorHAnsi" w:eastAsiaTheme="minorHAnsi" w:hAnsiTheme="minorHAnsi" w:cstheme="minorBidi"/>
          <w:snapToGrid/>
          <w:sz w:val="24"/>
          <w:szCs w:val="22"/>
        </w:rPr>
        <w:t xml:space="preserve">the </w:t>
      </w:r>
      <w:r w:rsidR="00B038D8" w:rsidRPr="000E6927">
        <w:rPr>
          <w:rFonts w:asciiTheme="minorHAnsi" w:eastAsiaTheme="minorHAnsi" w:hAnsiTheme="minorHAnsi" w:cstheme="minorBidi"/>
          <w:snapToGrid/>
          <w:sz w:val="24"/>
          <w:szCs w:val="22"/>
        </w:rPr>
        <w:t>Private H</w:t>
      </w:r>
      <w:r w:rsidRPr="000E6927">
        <w:rPr>
          <w:rFonts w:asciiTheme="minorHAnsi" w:eastAsiaTheme="minorHAnsi" w:hAnsiTheme="minorHAnsi" w:cstheme="minorBidi"/>
          <w:snapToGrid/>
          <w:sz w:val="24"/>
          <w:szCs w:val="22"/>
        </w:rPr>
        <w:t xml:space="preserve">ospital </w:t>
      </w:r>
      <w:r w:rsidR="00B60693" w:rsidRPr="000E6927">
        <w:rPr>
          <w:rFonts w:asciiTheme="minorHAnsi" w:eastAsiaTheme="minorHAnsi" w:hAnsiTheme="minorHAnsi" w:cstheme="minorBidi"/>
          <w:snapToGrid/>
          <w:sz w:val="24"/>
          <w:szCs w:val="22"/>
        </w:rPr>
        <w:t xml:space="preserve">listing </w:t>
      </w:r>
      <w:r w:rsidRPr="000E6927">
        <w:rPr>
          <w:rFonts w:asciiTheme="minorHAnsi" w:eastAsiaTheme="minorHAnsi" w:hAnsiTheme="minorHAnsi" w:cstheme="minorBidi"/>
          <w:snapToGrid/>
          <w:sz w:val="24"/>
          <w:szCs w:val="22"/>
        </w:rPr>
        <w:t>to Community Access.</w:t>
      </w:r>
    </w:p>
    <w:p w:rsidR="00EB515E" w:rsidRPr="000E6927" w:rsidRDefault="00E61CB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E6927">
        <w:rPr>
          <w:rFonts w:asciiTheme="minorHAnsi" w:eastAsiaTheme="minorHAnsi" w:hAnsiTheme="minorHAnsi" w:cstheme="minorBidi"/>
          <w:snapToGrid/>
          <w:sz w:val="24"/>
          <w:szCs w:val="22"/>
        </w:rPr>
        <w:t xml:space="preserve">The submission estimated that </w:t>
      </w:r>
      <w:r w:rsidR="00B60693" w:rsidRPr="000E6927">
        <w:rPr>
          <w:rFonts w:asciiTheme="minorHAnsi" w:eastAsiaTheme="minorHAnsi" w:hAnsiTheme="minorHAnsi" w:cstheme="minorBidi"/>
          <w:snapToGrid/>
          <w:sz w:val="24"/>
          <w:szCs w:val="22"/>
        </w:rPr>
        <w:t xml:space="preserve">extending the listing for </w:t>
      </w:r>
      <w:r w:rsidRPr="000E6927">
        <w:rPr>
          <w:rFonts w:asciiTheme="minorHAnsi" w:eastAsiaTheme="minorHAnsi" w:hAnsiTheme="minorHAnsi" w:cstheme="minorBidi"/>
          <w:snapToGrid/>
          <w:sz w:val="24"/>
          <w:szCs w:val="22"/>
        </w:rPr>
        <w:t xml:space="preserve">lanreotide </w:t>
      </w:r>
      <w:r w:rsidR="00B60693" w:rsidRPr="000E6927">
        <w:rPr>
          <w:rFonts w:asciiTheme="minorHAnsi" w:eastAsiaTheme="minorHAnsi" w:hAnsiTheme="minorHAnsi" w:cstheme="minorBidi"/>
          <w:snapToGrid/>
          <w:sz w:val="24"/>
          <w:szCs w:val="22"/>
        </w:rPr>
        <w:t xml:space="preserve">for non-functional GET-NET to include a </w:t>
      </w:r>
      <w:r w:rsidR="00C160F4" w:rsidRPr="000E6927">
        <w:rPr>
          <w:rFonts w:asciiTheme="minorHAnsi" w:eastAsiaTheme="minorHAnsi" w:hAnsiTheme="minorHAnsi" w:cstheme="minorBidi"/>
          <w:snapToGrid/>
          <w:sz w:val="24"/>
          <w:szCs w:val="22"/>
        </w:rPr>
        <w:t>Community Access</w:t>
      </w:r>
      <w:r w:rsidRPr="000E6927">
        <w:rPr>
          <w:rFonts w:asciiTheme="minorHAnsi" w:eastAsiaTheme="minorHAnsi" w:hAnsiTheme="minorHAnsi" w:cstheme="minorBidi"/>
          <w:snapToGrid/>
          <w:sz w:val="24"/>
          <w:szCs w:val="22"/>
        </w:rPr>
        <w:t xml:space="preserve"> </w:t>
      </w:r>
      <w:r w:rsidR="00B60693" w:rsidRPr="000E6927">
        <w:rPr>
          <w:rFonts w:asciiTheme="minorHAnsi" w:eastAsiaTheme="minorHAnsi" w:hAnsiTheme="minorHAnsi" w:cstheme="minorBidi"/>
          <w:snapToGrid/>
          <w:sz w:val="24"/>
          <w:szCs w:val="22"/>
        </w:rPr>
        <w:t xml:space="preserve">listing would result </w:t>
      </w:r>
      <w:r w:rsidR="00543F83" w:rsidRPr="000E6927">
        <w:rPr>
          <w:rFonts w:asciiTheme="minorHAnsi" w:eastAsiaTheme="minorHAnsi" w:hAnsiTheme="minorHAnsi" w:cstheme="minorBidi"/>
          <w:snapToGrid/>
          <w:sz w:val="24"/>
          <w:szCs w:val="22"/>
        </w:rPr>
        <w:t xml:space="preserve">in </w:t>
      </w:r>
      <w:r w:rsidRPr="000E6927">
        <w:rPr>
          <w:rFonts w:asciiTheme="minorHAnsi" w:eastAsiaTheme="minorHAnsi" w:hAnsiTheme="minorHAnsi" w:cstheme="minorBidi"/>
          <w:snapToGrid/>
          <w:sz w:val="24"/>
          <w:szCs w:val="22"/>
        </w:rPr>
        <w:t>a</w:t>
      </w:r>
      <w:r w:rsidR="008E41BB" w:rsidRPr="000E6927">
        <w:rPr>
          <w:rFonts w:asciiTheme="minorHAnsi" w:eastAsiaTheme="minorHAnsi" w:hAnsiTheme="minorHAnsi" w:cstheme="minorBidi"/>
          <w:snapToGrid/>
          <w:sz w:val="24"/>
          <w:szCs w:val="22"/>
        </w:rPr>
        <w:t>n</w:t>
      </w:r>
      <w:r w:rsidRPr="000E6927">
        <w:rPr>
          <w:rFonts w:asciiTheme="minorHAnsi" w:eastAsiaTheme="minorHAnsi" w:hAnsiTheme="minorHAnsi" w:cstheme="minorBidi"/>
          <w:snapToGrid/>
          <w:sz w:val="24"/>
          <w:szCs w:val="22"/>
        </w:rPr>
        <w:t xml:space="preserve"> </w:t>
      </w:r>
      <w:r w:rsidR="00543F83" w:rsidRPr="000E6927">
        <w:rPr>
          <w:rFonts w:asciiTheme="minorHAnsi" w:eastAsiaTheme="minorHAnsi" w:hAnsiTheme="minorHAnsi" w:cstheme="minorBidi"/>
          <w:snapToGrid/>
          <w:sz w:val="24"/>
          <w:szCs w:val="22"/>
        </w:rPr>
        <w:t>additional cost to the</w:t>
      </w:r>
      <w:r w:rsidRPr="000E6927">
        <w:rPr>
          <w:rFonts w:asciiTheme="minorHAnsi" w:eastAsiaTheme="minorHAnsi" w:hAnsiTheme="minorHAnsi" w:cstheme="minorBidi"/>
          <w:snapToGrid/>
          <w:sz w:val="24"/>
          <w:szCs w:val="22"/>
        </w:rPr>
        <w:t xml:space="preserve"> </w:t>
      </w:r>
      <w:r w:rsidR="00DE19A8" w:rsidRPr="000E6927">
        <w:rPr>
          <w:rFonts w:asciiTheme="minorHAnsi" w:eastAsiaTheme="minorHAnsi" w:hAnsiTheme="minorHAnsi" w:cstheme="minorBidi"/>
          <w:snapToGrid/>
          <w:sz w:val="24"/>
          <w:szCs w:val="22"/>
        </w:rPr>
        <w:t xml:space="preserve">PBS/RPBS </w:t>
      </w:r>
      <w:r w:rsidR="00C160F4" w:rsidRPr="000E6927">
        <w:rPr>
          <w:rFonts w:asciiTheme="minorHAnsi" w:eastAsiaTheme="minorHAnsi" w:hAnsiTheme="minorHAnsi" w:cstheme="minorBidi"/>
          <w:snapToGrid/>
          <w:sz w:val="24"/>
          <w:szCs w:val="22"/>
        </w:rPr>
        <w:t>of around</w:t>
      </w:r>
      <w:r w:rsidR="00DE19A8" w:rsidRPr="000E6927">
        <w:rPr>
          <w:rFonts w:asciiTheme="minorHAnsi" w:eastAsiaTheme="minorHAnsi" w:hAnsiTheme="minorHAnsi" w:cstheme="minorBidi"/>
          <w:snapToGrid/>
          <w:sz w:val="24"/>
          <w:szCs w:val="22"/>
        </w:rPr>
        <w:t xml:space="preserve"> $</w:t>
      </w:r>
      <w:r w:rsidR="001B246F">
        <w:rPr>
          <w:rFonts w:asciiTheme="minorHAnsi" w:eastAsiaTheme="minorHAnsi" w:hAnsiTheme="minorHAnsi" w:cstheme="minorBidi"/>
          <w:noProof/>
          <w:snapToGrid/>
          <w:color w:val="000000"/>
          <w:sz w:val="24"/>
          <w:szCs w:val="22"/>
          <w:highlight w:val="black"/>
        </w:rPr>
        <w:t>''''''''''''''</w:t>
      </w:r>
      <w:r w:rsidR="00C160F4" w:rsidRPr="000E6927">
        <w:rPr>
          <w:rFonts w:asciiTheme="minorHAnsi" w:eastAsiaTheme="minorHAnsi" w:hAnsiTheme="minorHAnsi" w:cstheme="minorBidi"/>
          <w:snapToGrid/>
          <w:sz w:val="24"/>
          <w:szCs w:val="22"/>
        </w:rPr>
        <w:t xml:space="preserve"> in Y</w:t>
      </w:r>
      <w:r w:rsidR="00EC3DD4" w:rsidRPr="000E6927">
        <w:rPr>
          <w:rFonts w:asciiTheme="minorHAnsi" w:eastAsiaTheme="minorHAnsi" w:hAnsiTheme="minorHAnsi" w:cstheme="minorBidi"/>
          <w:snapToGrid/>
          <w:sz w:val="24"/>
          <w:szCs w:val="22"/>
        </w:rPr>
        <w:t>ear </w:t>
      </w:r>
      <w:r w:rsidR="00DE19A8" w:rsidRPr="000E6927">
        <w:rPr>
          <w:rFonts w:asciiTheme="minorHAnsi" w:eastAsiaTheme="minorHAnsi" w:hAnsiTheme="minorHAnsi" w:cstheme="minorBidi"/>
          <w:snapToGrid/>
          <w:sz w:val="24"/>
          <w:szCs w:val="22"/>
        </w:rPr>
        <w:t>1 to $</w:t>
      </w:r>
      <w:r w:rsidR="001B246F">
        <w:rPr>
          <w:rFonts w:asciiTheme="minorHAnsi" w:eastAsiaTheme="minorHAnsi" w:hAnsiTheme="minorHAnsi" w:cstheme="minorBidi"/>
          <w:noProof/>
          <w:snapToGrid/>
          <w:color w:val="000000"/>
          <w:sz w:val="24"/>
          <w:szCs w:val="22"/>
          <w:highlight w:val="black"/>
        </w:rPr>
        <w:t>''''''''''''''</w:t>
      </w:r>
      <w:r w:rsidR="00C160F4" w:rsidRPr="000E6927">
        <w:rPr>
          <w:rFonts w:asciiTheme="minorHAnsi" w:eastAsiaTheme="minorHAnsi" w:hAnsiTheme="minorHAnsi" w:cstheme="minorBidi"/>
          <w:snapToGrid/>
          <w:sz w:val="24"/>
          <w:szCs w:val="22"/>
        </w:rPr>
        <w:t xml:space="preserve"> </w:t>
      </w:r>
      <w:r w:rsidR="00DE19A8" w:rsidRPr="000E6927">
        <w:rPr>
          <w:rFonts w:asciiTheme="minorHAnsi" w:eastAsiaTheme="minorHAnsi" w:hAnsiTheme="minorHAnsi" w:cstheme="minorBidi"/>
          <w:snapToGrid/>
          <w:sz w:val="24"/>
          <w:szCs w:val="22"/>
        </w:rPr>
        <w:t xml:space="preserve">in </w:t>
      </w:r>
      <w:r w:rsidR="00C160F4" w:rsidRPr="000E6927">
        <w:rPr>
          <w:rFonts w:asciiTheme="minorHAnsi" w:eastAsiaTheme="minorHAnsi" w:hAnsiTheme="minorHAnsi" w:cstheme="minorBidi"/>
          <w:snapToGrid/>
          <w:sz w:val="24"/>
          <w:szCs w:val="22"/>
        </w:rPr>
        <w:t>Y</w:t>
      </w:r>
      <w:r w:rsidR="00DE19A8" w:rsidRPr="000E6927">
        <w:rPr>
          <w:rFonts w:asciiTheme="minorHAnsi" w:eastAsiaTheme="minorHAnsi" w:hAnsiTheme="minorHAnsi" w:cstheme="minorBidi"/>
          <w:snapToGrid/>
          <w:sz w:val="24"/>
          <w:szCs w:val="22"/>
        </w:rPr>
        <w:t>ear 6</w:t>
      </w:r>
      <w:r w:rsidR="00C160F4" w:rsidRPr="000E6927">
        <w:rPr>
          <w:rFonts w:asciiTheme="minorHAnsi" w:eastAsiaTheme="minorHAnsi" w:hAnsiTheme="minorHAnsi" w:cstheme="minorBidi"/>
          <w:snapToGrid/>
          <w:sz w:val="24"/>
          <w:szCs w:val="22"/>
        </w:rPr>
        <w:t xml:space="preserve"> </w:t>
      </w:r>
      <w:r w:rsidR="00543F83" w:rsidRPr="000E6927">
        <w:rPr>
          <w:rFonts w:asciiTheme="minorHAnsi" w:eastAsiaTheme="minorHAnsi" w:hAnsiTheme="minorHAnsi" w:cstheme="minorBidi"/>
          <w:snapToGrid/>
          <w:sz w:val="24"/>
          <w:szCs w:val="22"/>
        </w:rPr>
        <w:t xml:space="preserve">of listing </w:t>
      </w:r>
      <w:r w:rsidR="00C160F4" w:rsidRPr="000E6927">
        <w:rPr>
          <w:rFonts w:asciiTheme="minorHAnsi" w:eastAsiaTheme="minorHAnsi" w:hAnsiTheme="minorHAnsi" w:cstheme="minorBidi"/>
          <w:snapToGrid/>
          <w:sz w:val="24"/>
          <w:szCs w:val="22"/>
        </w:rPr>
        <w:t>(see Table 1)</w:t>
      </w:r>
      <w:r w:rsidR="00DE19A8" w:rsidRPr="000E6927">
        <w:rPr>
          <w:rFonts w:asciiTheme="minorHAnsi" w:eastAsiaTheme="minorHAnsi" w:hAnsiTheme="minorHAnsi" w:cstheme="minorBidi"/>
          <w:snapToGrid/>
          <w:sz w:val="24"/>
          <w:szCs w:val="22"/>
        </w:rPr>
        <w:t xml:space="preserve">. </w:t>
      </w:r>
      <w:r w:rsidR="00D82FFD" w:rsidRPr="000E6927">
        <w:rPr>
          <w:rFonts w:asciiTheme="minorHAnsi" w:eastAsiaTheme="minorHAnsi" w:hAnsiTheme="minorHAnsi" w:cstheme="minorBidi"/>
          <w:snapToGrid/>
          <w:sz w:val="24"/>
          <w:szCs w:val="22"/>
        </w:rPr>
        <w:t>Lanreotide has a special pricing arrangement for non-functional GEP-NET with a pub</w:t>
      </w:r>
      <w:r w:rsidR="00543F83" w:rsidRPr="000E6927">
        <w:rPr>
          <w:rFonts w:asciiTheme="minorHAnsi" w:eastAsiaTheme="minorHAnsi" w:hAnsiTheme="minorHAnsi" w:cstheme="minorBidi"/>
          <w:snapToGrid/>
          <w:sz w:val="24"/>
          <w:szCs w:val="22"/>
        </w:rPr>
        <w:t>lished and an effective price; t</w:t>
      </w:r>
      <w:r w:rsidR="00D82FFD" w:rsidRPr="000E6927">
        <w:rPr>
          <w:rFonts w:asciiTheme="minorHAnsi" w:eastAsiaTheme="minorHAnsi" w:hAnsiTheme="minorHAnsi" w:cstheme="minorBidi"/>
          <w:snapToGrid/>
          <w:sz w:val="24"/>
          <w:szCs w:val="22"/>
        </w:rPr>
        <w:t xml:space="preserve">he submission noted the financial implications are the same at both the published and effective prices. </w:t>
      </w:r>
    </w:p>
    <w:p w:rsidR="00351DF8" w:rsidRDefault="00351DF8">
      <w:pPr>
        <w:rPr>
          <w:rFonts w:ascii="Arial Narrow" w:eastAsiaTheme="minorHAnsi" w:hAnsi="Arial Narrow" w:cstheme="minorBidi"/>
          <w:b/>
          <w:sz w:val="20"/>
          <w:szCs w:val="20"/>
        </w:rPr>
      </w:pPr>
      <w:r>
        <w:rPr>
          <w:rFonts w:ascii="Arial Narrow" w:eastAsiaTheme="minorHAnsi" w:hAnsi="Arial Narrow" w:cstheme="minorBidi"/>
          <w:b/>
          <w:sz w:val="20"/>
          <w:szCs w:val="20"/>
        </w:rPr>
        <w:br w:type="page"/>
      </w:r>
    </w:p>
    <w:p w:rsidR="001A0583" w:rsidRPr="000E6927" w:rsidRDefault="001A0583">
      <w:pPr>
        <w:rPr>
          <w:rFonts w:ascii="Arial Narrow" w:eastAsiaTheme="minorHAnsi" w:hAnsi="Arial Narrow" w:cstheme="minorBidi"/>
          <w:b/>
          <w:sz w:val="20"/>
          <w:szCs w:val="20"/>
        </w:rPr>
      </w:pPr>
      <w:r w:rsidRPr="000E6927">
        <w:rPr>
          <w:rFonts w:ascii="Arial Narrow" w:eastAsiaTheme="minorHAnsi" w:hAnsi="Arial Narrow" w:cstheme="minorBidi"/>
          <w:b/>
          <w:sz w:val="20"/>
          <w:szCs w:val="20"/>
        </w:rPr>
        <w:lastRenderedPageBreak/>
        <w:t>Table</w:t>
      </w:r>
      <w:r w:rsidR="00C160F4" w:rsidRPr="000E6927">
        <w:rPr>
          <w:rFonts w:ascii="Arial Narrow" w:eastAsiaTheme="minorHAnsi" w:hAnsi="Arial Narrow" w:cstheme="minorBidi"/>
          <w:b/>
          <w:sz w:val="20"/>
          <w:szCs w:val="20"/>
        </w:rPr>
        <w:t xml:space="preserve"> 1: Utilisation and financial implications</w:t>
      </w:r>
    </w:p>
    <w:tbl>
      <w:tblPr>
        <w:tblStyle w:val="TableGrid"/>
        <w:tblW w:w="0" w:type="auto"/>
        <w:tblInd w:w="108" w:type="dxa"/>
        <w:tblLook w:val="04A0" w:firstRow="1" w:lastRow="0" w:firstColumn="1" w:lastColumn="0" w:noHBand="0" w:noVBand="1"/>
        <w:tblCaption w:val="Table 1: Utilisation and financial implications"/>
      </w:tblPr>
      <w:tblGrid>
        <w:gridCol w:w="3830"/>
        <w:gridCol w:w="840"/>
        <w:gridCol w:w="840"/>
        <w:gridCol w:w="840"/>
        <w:gridCol w:w="874"/>
        <w:gridCol w:w="842"/>
        <w:gridCol w:w="842"/>
      </w:tblGrid>
      <w:tr w:rsidR="001A0583" w:rsidRPr="000E6927" w:rsidTr="00200BC8">
        <w:trPr>
          <w:tblHeader/>
        </w:trPr>
        <w:tc>
          <w:tcPr>
            <w:tcW w:w="3964" w:type="dxa"/>
          </w:tcPr>
          <w:p w:rsidR="001A0583" w:rsidRPr="000E6927" w:rsidRDefault="00EB515E">
            <w:pPr>
              <w:tabs>
                <w:tab w:val="left" w:pos="1227"/>
              </w:tabs>
              <w:spacing w:after="120"/>
              <w:rPr>
                <w:rFonts w:ascii="Arial Narrow" w:eastAsiaTheme="minorHAnsi" w:hAnsi="Arial Narrow" w:cstheme="minorBidi"/>
                <w:sz w:val="20"/>
                <w:szCs w:val="20"/>
              </w:rPr>
            </w:pPr>
            <w:r w:rsidRPr="000E6927">
              <w:rPr>
                <w:rFonts w:ascii="Arial Narrow" w:eastAsiaTheme="minorHAnsi" w:hAnsi="Arial Narrow" w:cstheme="minorBidi"/>
                <w:sz w:val="20"/>
                <w:szCs w:val="20"/>
              </w:rPr>
              <w:tab/>
            </w:r>
          </w:p>
        </w:tc>
        <w:tc>
          <w:tcPr>
            <w:tcW w:w="842" w:type="dxa"/>
            <w:vAlign w:val="center"/>
          </w:tcPr>
          <w:p w:rsidR="001A0583" w:rsidRPr="000E6927" w:rsidRDefault="001A0583">
            <w:pPr>
              <w:jc w:val="center"/>
              <w:rPr>
                <w:rFonts w:ascii="Arial Narrow" w:eastAsiaTheme="minorHAnsi" w:hAnsi="Arial Narrow" w:cstheme="minorBidi"/>
                <w:b/>
                <w:sz w:val="20"/>
                <w:szCs w:val="20"/>
              </w:rPr>
            </w:pPr>
            <w:r w:rsidRPr="000E6927">
              <w:rPr>
                <w:rFonts w:ascii="Arial Narrow" w:eastAsiaTheme="minorHAnsi" w:hAnsi="Arial Narrow" w:cstheme="minorBidi"/>
                <w:b/>
                <w:sz w:val="20"/>
                <w:szCs w:val="20"/>
              </w:rPr>
              <w:t>Year 1</w:t>
            </w:r>
          </w:p>
        </w:tc>
        <w:tc>
          <w:tcPr>
            <w:tcW w:w="842" w:type="dxa"/>
            <w:vAlign w:val="center"/>
          </w:tcPr>
          <w:p w:rsidR="001A0583" w:rsidRPr="000E6927" w:rsidRDefault="001A0583">
            <w:pPr>
              <w:jc w:val="center"/>
              <w:rPr>
                <w:rFonts w:ascii="Arial Narrow" w:eastAsiaTheme="minorHAnsi" w:hAnsi="Arial Narrow" w:cstheme="minorBidi"/>
                <w:b/>
                <w:sz w:val="20"/>
                <w:szCs w:val="20"/>
              </w:rPr>
            </w:pPr>
            <w:r w:rsidRPr="000E6927">
              <w:rPr>
                <w:rFonts w:ascii="Arial Narrow" w:eastAsiaTheme="minorHAnsi" w:hAnsi="Arial Narrow" w:cstheme="minorBidi"/>
                <w:b/>
                <w:sz w:val="20"/>
                <w:szCs w:val="20"/>
              </w:rPr>
              <w:t>Year 2</w:t>
            </w:r>
          </w:p>
        </w:tc>
        <w:tc>
          <w:tcPr>
            <w:tcW w:w="842" w:type="dxa"/>
            <w:vAlign w:val="center"/>
          </w:tcPr>
          <w:p w:rsidR="001A0583" w:rsidRPr="000E6927" w:rsidRDefault="001A0583">
            <w:pPr>
              <w:jc w:val="center"/>
              <w:rPr>
                <w:rFonts w:ascii="Arial Narrow" w:eastAsiaTheme="minorHAnsi" w:hAnsi="Arial Narrow" w:cstheme="minorBidi"/>
                <w:b/>
                <w:sz w:val="20"/>
                <w:szCs w:val="20"/>
              </w:rPr>
            </w:pPr>
            <w:r w:rsidRPr="000E6927">
              <w:rPr>
                <w:rFonts w:ascii="Arial Narrow" w:eastAsiaTheme="minorHAnsi" w:hAnsi="Arial Narrow" w:cstheme="minorBidi"/>
                <w:b/>
                <w:sz w:val="20"/>
                <w:szCs w:val="20"/>
              </w:rPr>
              <w:t>Year 3</w:t>
            </w:r>
          </w:p>
        </w:tc>
        <w:tc>
          <w:tcPr>
            <w:tcW w:w="842" w:type="dxa"/>
            <w:vAlign w:val="center"/>
          </w:tcPr>
          <w:p w:rsidR="001A0583" w:rsidRPr="000E6927" w:rsidRDefault="001A0583">
            <w:pPr>
              <w:jc w:val="center"/>
              <w:rPr>
                <w:rFonts w:ascii="Arial Narrow" w:eastAsiaTheme="minorHAnsi" w:hAnsi="Arial Narrow" w:cstheme="minorBidi"/>
                <w:b/>
                <w:sz w:val="20"/>
                <w:szCs w:val="20"/>
              </w:rPr>
            </w:pPr>
            <w:r w:rsidRPr="000E6927">
              <w:rPr>
                <w:rFonts w:ascii="Arial Narrow" w:eastAsiaTheme="minorHAnsi" w:hAnsi="Arial Narrow" w:cstheme="minorBidi"/>
                <w:b/>
                <w:sz w:val="20"/>
                <w:szCs w:val="20"/>
              </w:rPr>
              <w:t>Year 4</w:t>
            </w:r>
          </w:p>
        </w:tc>
        <w:tc>
          <w:tcPr>
            <w:tcW w:w="842" w:type="dxa"/>
            <w:vAlign w:val="center"/>
          </w:tcPr>
          <w:p w:rsidR="001A0583" w:rsidRPr="000E6927" w:rsidRDefault="001A0583">
            <w:pPr>
              <w:jc w:val="center"/>
              <w:rPr>
                <w:rFonts w:ascii="Arial Narrow" w:eastAsiaTheme="minorHAnsi" w:hAnsi="Arial Narrow" w:cstheme="minorBidi"/>
                <w:b/>
                <w:sz w:val="20"/>
                <w:szCs w:val="20"/>
              </w:rPr>
            </w:pPr>
            <w:r w:rsidRPr="000E6927">
              <w:rPr>
                <w:rFonts w:ascii="Arial Narrow" w:eastAsiaTheme="minorHAnsi" w:hAnsi="Arial Narrow" w:cstheme="minorBidi"/>
                <w:b/>
                <w:sz w:val="20"/>
                <w:szCs w:val="20"/>
              </w:rPr>
              <w:t>Year 5</w:t>
            </w:r>
          </w:p>
        </w:tc>
        <w:tc>
          <w:tcPr>
            <w:tcW w:w="842" w:type="dxa"/>
            <w:vAlign w:val="center"/>
          </w:tcPr>
          <w:p w:rsidR="001A0583" w:rsidRPr="000E6927" w:rsidRDefault="001A0583">
            <w:pPr>
              <w:jc w:val="center"/>
              <w:rPr>
                <w:rFonts w:ascii="Arial Narrow" w:eastAsiaTheme="minorHAnsi" w:hAnsi="Arial Narrow" w:cstheme="minorBidi"/>
                <w:b/>
                <w:sz w:val="20"/>
                <w:szCs w:val="20"/>
              </w:rPr>
            </w:pPr>
            <w:r w:rsidRPr="000E6927">
              <w:rPr>
                <w:rFonts w:ascii="Arial Narrow" w:eastAsiaTheme="minorHAnsi" w:hAnsi="Arial Narrow" w:cstheme="minorBidi"/>
                <w:b/>
                <w:sz w:val="20"/>
                <w:szCs w:val="20"/>
              </w:rPr>
              <w:t>Year 6</w:t>
            </w:r>
          </w:p>
        </w:tc>
      </w:tr>
      <w:tr w:rsidR="001A0583" w:rsidRPr="000E6927" w:rsidTr="009C2043">
        <w:tc>
          <w:tcPr>
            <w:tcW w:w="9016" w:type="dxa"/>
            <w:gridSpan w:val="7"/>
            <w:vAlign w:val="center"/>
          </w:tcPr>
          <w:p w:rsidR="001A0583" w:rsidRPr="000E6927" w:rsidRDefault="001A0583">
            <w:pPr>
              <w:rPr>
                <w:rFonts w:ascii="Arial Narrow" w:eastAsiaTheme="minorHAnsi" w:hAnsi="Arial Narrow" w:cstheme="minorBidi"/>
                <w:b/>
                <w:sz w:val="20"/>
                <w:szCs w:val="20"/>
              </w:rPr>
            </w:pPr>
            <w:r w:rsidRPr="000E6927">
              <w:rPr>
                <w:rFonts w:ascii="Arial Narrow" w:eastAsiaTheme="minorHAnsi" w:hAnsi="Arial Narrow" w:cstheme="minorBidi"/>
                <w:b/>
                <w:sz w:val="20"/>
                <w:szCs w:val="20"/>
              </w:rPr>
              <w:t>PBS/RPBS Utilisation</w:t>
            </w:r>
          </w:p>
        </w:tc>
      </w:tr>
      <w:tr w:rsidR="00EC3DD4" w:rsidRPr="000E6927" w:rsidTr="009C2043">
        <w:tc>
          <w:tcPr>
            <w:tcW w:w="3964" w:type="dxa"/>
            <w:vAlign w:val="center"/>
          </w:tcPr>
          <w:p w:rsidR="00EC3DD4" w:rsidRPr="000E6927" w:rsidRDefault="00EC3DD4">
            <w:pPr>
              <w:rPr>
                <w:rFonts w:ascii="Arial Narrow" w:eastAsiaTheme="minorHAnsi" w:hAnsi="Arial Narrow" w:cstheme="minorBidi"/>
                <w:sz w:val="20"/>
                <w:szCs w:val="20"/>
              </w:rPr>
            </w:pPr>
            <w:r w:rsidRPr="000E6927">
              <w:rPr>
                <w:rFonts w:ascii="Arial Narrow" w:eastAsiaTheme="minorHAnsi" w:hAnsi="Arial Narrow" w:cstheme="minorBidi"/>
                <w:sz w:val="20"/>
                <w:szCs w:val="20"/>
              </w:rPr>
              <w:t xml:space="preserve">S100 HSD - Community Access </w:t>
            </w:r>
            <w:proofErr w:type="spellStart"/>
            <w:r w:rsidRPr="000E6927">
              <w:rPr>
                <w:rFonts w:ascii="Arial Narrow" w:eastAsiaTheme="minorHAnsi" w:hAnsi="Arial Narrow" w:cstheme="minorBidi"/>
                <w:sz w:val="20"/>
                <w:szCs w:val="20"/>
              </w:rPr>
              <w:t>patients</w:t>
            </w:r>
            <w:r w:rsidRPr="000E6927">
              <w:rPr>
                <w:rFonts w:ascii="Arial Narrow" w:eastAsiaTheme="minorHAnsi" w:hAnsi="Arial Narrow" w:cstheme="minorBidi"/>
                <w:sz w:val="20"/>
                <w:szCs w:val="20"/>
                <w:vertAlign w:val="superscript"/>
              </w:rPr>
              <w:t>A</w:t>
            </w:r>
            <w:proofErr w:type="spellEnd"/>
          </w:p>
        </w:tc>
        <w:tc>
          <w:tcPr>
            <w:tcW w:w="842" w:type="dxa"/>
            <w:vAlign w:val="center"/>
          </w:tcPr>
          <w:p w:rsidR="00EC3DD4" w:rsidRPr="001B246F" w:rsidRDefault="001B246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842" w:type="dxa"/>
            <w:vAlign w:val="center"/>
          </w:tcPr>
          <w:p w:rsidR="00EC3DD4" w:rsidRPr="001B246F" w:rsidRDefault="001B246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842" w:type="dxa"/>
            <w:vAlign w:val="center"/>
          </w:tcPr>
          <w:p w:rsidR="00EC3DD4" w:rsidRPr="001B246F" w:rsidRDefault="001B246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842" w:type="dxa"/>
            <w:vAlign w:val="center"/>
          </w:tcPr>
          <w:p w:rsidR="00EC3DD4" w:rsidRPr="001B246F" w:rsidRDefault="001B246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842" w:type="dxa"/>
            <w:vAlign w:val="center"/>
          </w:tcPr>
          <w:p w:rsidR="00EC3DD4" w:rsidRPr="001B246F" w:rsidRDefault="001B246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842" w:type="dxa"/>
            <w:vAlign w:val="center"/>
          </w:tcPr>
          <w:p w:rsidR="00EC3DD4" w:rsidRPr="001B246F" w:rsidRDefault="001B246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1A0583" w:rsidRPr="000E6927" w:rsidTr="009C2043">
        <w:tc>
          <w:tcPr>
            <w:tcW w:w="3964" w:type="dxa"/>
            <w:vAlign w:val="center"/>
          </w:tcPr>
          <w:p w:rsidR="001A0583" w:rsidRPr="000E6927" w:rsidRDefault="001A0583">
            <w:pPr>
              <w:rPr>
                <w:rFonts w:ascii="Arial Narrow" w:eastAsiaTheme="minorHAnsi" w:hAnsi="Arial Narrow" w:cstheme="minorBidi"/>
                <w:sz w:val="20"/>
                <w:szCs w:val="20"/>
              </w:rPr>
            </w:pPr>
            <w:r w:rsidRPr="000E6927">
              <w:rPr>
                <w:rFonts w:ascii="Arial Narrow" w:eastAsiaTheme="minorHAnsi" w:hAnsi="Arial Narrow" w:cstheme="minorBidi"/>
                <w:sz w:val="20"/>
                <w:szCs w:val="20"/>
              </w:rPr>
              <w:t>S100 HSD - Community Access</w:t>
            </w:r>
            <w:r w:rsidR="00EC3DD4" w:rsidRPr="000E6927">
              <w:rPr>
                <w:rFonts w:ascii="Arial Narrow" w:eastAsiaTheme="minorHAnsi" w:hAnsi="Arial Narrow" w:cstheme="minorBidi"/>
                <w:sz w:val="20"/>
                <w:szCs w:val="20"/>
              </w:rPr>
              <w:t xml:space="preserve"> </w:t>
            </w:r>
            <w:proofErr w:type="spellStart"/>
            <w:r w:rsidR="002A5A28" w:rsidRPr="000E6927">
              <w:rPr>
                <w:rFonts w:ascii="Arial Narrow" w:eastAsiaTheme="minorHAnsi" w:hAnsi="Arial Narrow" w:cstheme="minorBidi"/>
                <w:sz w:val="20"/>
                <w:szCs w:val="20"/>
              </w:rPr>
              <w:t>packs</w:t>
            </w:r>
            <w:r w:rsidR="00347A0E" w:rsidRPr="000E6927">
              <w:rPr>
                <w:rFonts w:ascii="Arial Narrow" w:eastAsiaTheme="minorHAnsi" w:hAnsi="Arial Narrow" w:cstheme="minorBidi"/>
                <w:sz w:val="20"/>
                <w:szCs w:val="20"/>
                <w:vertAlign w:val="superscript"/>
              </w:rPr>
              <w:t>B</w:t>
            </w:r>
            <w:proofErr w:type="spellEnd"/>
          </w:p>
        </w:tc>
        <w:tc>
          <w:tcPr>
            <w:tcW w:w="842" w:type="dxa"/>
            <w:vAlign w:val="center"/>
          </w:tcPr>
          <w:p w:rsidR="001A0583" w:rsidRPr="001B246F" w:rsidRDefault="001B246F">
            <w:pPr>
              <w:jc w:val="center"/>
              <w:rPr>
                <w:rFonts w:ascii="Arial Narrow" w:eastAsiaTheme="minorHAnsi" w:hAnsi="Arial Narrow" w:cstheme="minorBidi"/>
                <w:sz w:val="20"/>
                <w:szCs w:val="20"/>
                <w:highlight w:val="black"/>
              </w:rPr>
            </w:pPr>
            <w:r>
              <w:rPr>
                <w:rFonts w:ascii="Arial Narrow" w:hAnsi="Arial Narrow" w:cs="Arial"/>
                <w:bCs/>
                <w:noProof/>
                <w:color w:val="000000"/>
                <w:sz w:val="20"/>
                <w:szCs w:val="20"/>
                <w:highlight w:val="black"/>
              </w:rPr>
              <w:t>'''''''''''''''</w:t>
            </w:r>
          </w:p>
        </w:tc>
        <w:tc>
          <w:tcPr>
            <w:tcW w:w="842" w:type="dxa"/>
            <w:vAlign w:val="center"/>
          </w:tcPr>
          <w:p w:rsidR="001A0583" w:rsidRPr="001B246F" w:rsidRDefault="001B246F">
            <w:pPr>
              <w:jc w:val="center"/>
              <w:rPr>
                <w:rFonts w:ascii="Arial Narrow" w:eastAsiaTheme="minorHAnsi" w:hAnsi="Arial Narrow" w:cstheme="minorBidi"/>
                <w:sz w:val="20"/>
                <w:szCs w:val="20"/>
                <w:highlight w:val="black"/>
              </w:rPr>
            </w:pPr>
            <w:r>
              <w:rPr>
                <w:rFonts w:ascii="Arial Narrow" w:hAnsi="Arial Narrow" w:cs="Arial"/>
                <w:bCs/>
                <w:noProof/>
                <w:color w:val="000000"/>
                <w:sz w:val="20"/>
                <w:szCs w:val="20"/>
                <w:highlight w:val="black"/>
              </w:rPr>
              <w:t>'''''''''''''</w:t>
            </w:r>
          </w:p>
        </w:tc>
        <w:tc>
          <w:tcPr>
            <w:tcW w:w="842" w:type="dxa"/>
            <w:vAlign w:val="center"/>
          </w:tcPr>
          <w:p w:rsidR="001A0583" w:rsidRPr="001B246F" w:rsidRDefault="001B246F">
            <w:pPr>
              <w:jc w:val="center"/>
              <w:rPr>
                <w:rFonts w:ascii="Arial Narrow" w:eastAsiaTheme="minorHAnsi" w:hAnsi="Arial Narrow" w:cstheme="minorBidi"/>
                <w:sz w:val="20"/>
                <w:szCs w:val="20"/>
                <w:highlight w:val="black"/>
              </w:rPr>
            </w:pPr>
            <w:r>
              <w:rPr>
                <w:rFonts w:ascii="Arial Narrow" w:hAnsi="Arial Narrow" w:cs="Arial"/>
                <w:bCs/>
                <w:noProof/>
                <w:color w:val="000000"/>
                <w:sz w:val="20"/>
                <w:szCs w:val="20"/>
                <w:highlight w:val="black"/>
              </w:rPr>
              <w:t>''''''''''''</w:t>
            </w:r>
          </w:p>
        </w:tc>
        <w:tc>
          <w:tcPr>
            <w:tcW w:w="842" w:type="dxa"/>
            <w:vAlign w:val="center"/>
          </w:tcPr>
          <w:p w:rsidR="001A0583" w:rsidRPr="001B246F" w:rsidRDefault="001B246F">
            <w:pPr>
              <w:jc w:val="center"/>
              <w:rPr>
                <w:rFonts w:ascii="Arial Narrow" w:eastAsiaTheme="minorHAnsi" w:hAnsi="Arial Narrow" w:cstheme="minorBidi"/>
                <w:sz w:val="20"/>
                <w:szCs w:val="20"/>
                <w:highlight w:val="black"/>
              </w:rPr>
            </w:pPr>
            <w:r>
              <w:rPr>
                <w:rFonts w:ascii="Arial Narrow" w:hAnsi="Arial Narrow" w:cs="Arial"/>
                <w:bCs/>
                <w:noProof/>
                <w:color w:val="000000"/>
                <w:sz w:val="20"/>
                <w:szCs w:val="20"/>
                <w:highlight w:val="black"/>
              </w:rPr>
              <w:t>'''''''''''''</w:t>
            </w:r>
          </w:p>
        </w:tc>
        <w:tc>
          <w:tcPr>
            <w:tcW w:w="842" w:type="dxa"/>
            <w:vAlign w:val="center"/>
          </w:tcPr>
          <w:p w:rsidR="001A0583" w:rsidRPr="001B246F" w:rsidRDefault="001B246F">
            <w:pPr>
              <w:jc w:val="center"/>
              <w:rPr>
                <w:rFonts w:ascii="Arial Narrow" w:eastAsiaTheme="minorHAnsi" w:hAnsi="Arial Narrow" w:cstheme="minorBidi"/>
                <w:sz w:val="20"/>
                <w:szCs w:val="20"/>
                <w:highlight w:val="black"/>
              </w:rPr>
            </w:pPr>
            <w:r>
              <w:rPr>
                <w:rFonts w:ascii="Arial Narrow" w:hAnsi="Arial Narrow" w:cs="Arial"/>
                <w:bCs/>
                <w:noProof/>
                <w:color w:val="000000"/>
                <w:sz w:val="20"/>
                <w:szCs w:val="20"/>
                <w:highlight w:val="black"/>
              </w:rPr>
              <w:t>'''''''''''''</w:t>
            </w:r>
          </w:p>
        </w:tc>
        <w:tc>
          <w:tcPr>
            <w:tcW w:w="842" w:type="dxa"/>
            <w:vAlign w:val="center"/>
          </w:tcPr>
          <w:p w:rsidR="001A0583" w:rsidRPr="001B246F" w:rsidRDefault="001B246F">
            <w:pPr>
              <w:jc w:val="center"/>
              <w:rPr>
                <w:rFonts w:ascii="Arial Narrow" w:eastAsiaTheme="minorHAnsi" w:hAnsi="Arial Narrow" w:cstheme="minorBidi"/>
                <w:sz w:val="20"/>
                <w:szCs w:val="20"/>
                <w:highlight w:val="black"/>
              </w:rPr>
            </w:pPr>
            <w:r>
              <w:rPr>
                <w:rFonts w:ascii="Arial Narrow" w:hAnsi="Arial Narrow" w:cs="Arial"/>
                <w:bCs/>
                <w:noProof/>
                <w:color w:val="000000"/>
                <w:sz w:val="20"/>
                <w:szCs w:val="20"/>
                <w:highlight w:val="black"/>
              </w:rPr>
              <w:t>'''''''''''''</w:t>
            </w:r>
          </w:p>
        </w:tc>
      </w:tr>
      <w:tr w:rsidR="001A0583" w:rsidRPr="000E6927" w:rsidTr="009C2043">
        <w:tc>
          <w:tcPr>
            <w:tcW w:w="9016" w:type="dxa"/>
            <w:gridSpan w:val="7"/>
            <w:vAlign w:val="center"/>
          </w:tcPr>
          <w:p w:rsidR="001A0583" w:rsidRPr="000E6927" w:rsidRDefault="001A0583">
            <w:pPr>
              <w:rPr>
                <w:b/>
              </w:rPr>
            </w:pPr>
            <w:r w:rsidRPr="000E6927">
              <w:rPr>
                <w:rFonts w:ascii="Arial Narrow" w:eastAsiaTheme="minorHAnsi" w:hAnsi="Arial Narrow" w:cstheme="minorBidi"/>
                <w:b/>
                <w:sz w:val="20"/>
                <w:szCs w:val="20"/>
              </w:rPr>
              <w:t>Financial implications</w:t>
            </w:r>
          </w:p>
        </w:tc>
      </w:tr>
      <w:tr w:rsidR="001A0583" w:rsidRPr="000E6927" w:rsidTr="009C2043">
        <w:tc>
          <w:tcPr>
            <w:tcW w:w="3964" w:type="dxa"/>
            <w:vAlign w:val="center"/>
          </w:tcPr>
          <w:p w:rsidR="001A0583" w:rsidRPr="000E6927" w:rsidRDefault="001A0583">
            <w:pPr>
              <w:rPr>
                <w:rFonts w:ascii="Arial Narrow" w:eastAsiaTheme="minorHAnsi" w:hAnsi="Arial Narrow" w:cstheme="minorBidi"/>
                <w:sz w:val="20"/>
                <w:szCs w:val="20"/>
              </w:rPr>
            </w:pPr>
            <w:r w:rsidRPr="000E6927">
              <w:rPr>
                <w:rFonts w:ascii="Arial Narrow" w:eastAsiaTheme="minorHAnsi" w:hAnsi="Arial Narrow" w:cstheme="minorBidi"/>
                <w:sz w:val="20"/>
                <w:szCs w:val="20"/>
              </w:rPr>
              <w:t>Net cost to the PBS/RPBS</w:t>
            </w:r>
            <w:r w:rsidR="00773E92" w:rsidRPr="000E6927">
              <w:rPr>
                <w:rFonts w:ascii="Arial Narrow" w:eastAsiaTheme="minorHAnsi" w:hAnsi="Arial Narrow" w:cstheme="minorBidi"/>
                <w:sz w:val="20"/>
                <w:szCs w:val="20"/>
                <w:vertAlign w:val="superscript"/>
              </w:rPr>
              <w:t>C</w:t>
            </w:r>
          </w:p>
        </w:tc>
        <w:tc>
          <w:tcPr>
            <w:tcW w:w="842" w:type="dxa"/>
          </w:tcPr>
          <w:p w:rsidR="001A0583" w:rsidRPr="000E6927" w:rsidRDefault="001A0583">
            <w:pPr>
              <w:jc w:val="center"/>
              <w:rPr>
                <w:rFonts w:ascii="Arial Narrow" w:hAnsi="Arial Narrow" w:cs="Arial"/>
                <w:bCs/>
                <w:color w:val="000000"/>
                <w:sz w:val="20"/>
                <w:szCs w:val="20"/>
              </w:rPr>
            </w:pPr>
            <w:r w:rsidRPr="000E6927">
              <w:rPr>
                <w:rFonts w:ascii="Arial Narrow" w:hAnsi="Arial Narrow"/>
                <w:sz w:val="20"/>
                <w:szCs w:val="20"/>
              </w:rPr>
              <w:t>$</w:t>
            </w:r>
            <w:r w:rsidR="001B246F">
              <w:rPr>
                <w:rFonts w:ascii="Arial Narrow" w:hAnsi="Arial Narrow"/>
                <w:noProof/>
                <w:color w:val="000000"/>
                <w:sz w:val="20"/>
                <w:szCs w:val="20"/>
                <w:highlight w:val="black"/>
              </w:rPr>
              <w:t>''''''''''''''''</w:t>
            </w:r>
          </w:p>
        </w:tc>
        <w:tc>
          <w:tcPr>
            <w:tcW w:w="842" w:type="dxa"/>
          </w:tcPr>
          <w:p w:rsidR="001A0583" w:rsidRPr="000E6927" w:rsidRDefault="001A0583">
            <w:pPr>
              <w:jc w:val="center"/>
              <w:rPr>
                <w:rFonts w:ascii="Arial Narrow" w:hAnsi="Arial Narrow" w:cs="Arial"/>
                <w:bCs/>
                <w:color w:val="000000"/>
                <w:sz w:val="20"/>
                <w:szCs w:val="20"/>
              </w:rPr>
            </w:pPr>
            <w:r w:rsidRPr="000E6927">
              <w:rPr>
                <w:rFonts w:ascii="Arial Narrow" w:hAnsi="Arial Narrow"/>
                <w:sz w:val="20"/>
                <w:szCs w:val="20"/>
              </w:rPr>
              <w:t>$</w:t>
            </w:r>
            <w:r w:rsidR="001B246F">
              <w:rPr>
                <w:rFonts w:ascii="Arial Narrow" w:hAnsi="Arial Narrow"/>
                <w:noProof/>
                <w:color w:val="000000"/>
                <w:sz w:val="20"/>
                <w:szCs w:val="20"/>
                <w:highlight w:val="black"/>
              </w:rPr>
              <w:t>''''''''''''''''</w:t>
            </w:r>
          </w:p>
        </w:tc>
        <w:tc>
          <w:tcPr>
            <w:tcW w:w="842" w:type="dxa"/>
          </w:tcPr>
          <w:p w:rsidR="001A0583" w:rsidRPr="000E6927" w:rsidRDefault="001A0583">
            <w:pPr>
              <w:jc w:val="center"/>
              <w:rPr>
                <w:rFonts w:ascii="Arial Narrow" w:hAnsi="Arial Narrow" w:cs="Arial"/>
                <w:bCs/>
                <w:color w:val="000000"/>
                <w:sz w:val="20"/>
                <w:szCs w:val="20"/>
              </w:rPr>
            </w:pPr>
            <w:r w:rsidRPr="000E6927">
              <w:rPr>
                <w:rFonts w:ascii="Arial Narrow" w:hAnsi="Arial Narrow"/>
                <w:sz w:val="20"/>
                <w:szCs w:val="20"/>
              </w:rPr>
              <w:t>$</w:t>
            </w:r>
            <w:r w:rsidR="001B246F">
              <w:rPr>
                <w:rFonts w:ascii="Arial Narrow" w:hAnsi="Arial Narrow"/>
                <w:noProof/>
                <w:color w:val="000000"/>
                <w:sz w:val="20"/>
                <w:szCs w:val="20"/>
                <w:highlight w:val="black"/>
              </w:rPr>
              <w:t>''''''''''''''''</w:t>
            </w:r>
          </w:p>
        </w:tc>
        <w:tc>
          <w:tcPr>
            <w:tcW w:w="842" w:type="dxa"/>
          </w:tcPr>
          <w:p w:rsidR="001A0583" w:rsidRPr="000E6927" w:rsidRDefault="001A0583">
            <w:pPr>
              <w:jc w:val="center"/>
              <w:rPr>
                <w:rFonts w:ascii="Arial Narrow" w:hAnsi="Arial Narrow" w:cs="Arial"/>
                <w:bCs/>
                <w:color w:val="000000"/>
                <w:sz w:val="20"/>
                <w:szCs w:val="20"/>
              </w:rPr>
            </w:pPr>
            <w:r w:rsidRPr="000E6927">
              <w:rPr>
                <w:rFonts w:ascii="Arial Narrow" w:hAnsi="Arial Narrow"/>
                <w:sz w:val="20"/>
                <w:szCs w:val="20"/>
              </w:rPr>
              <w:t>$</w:t>
            </w:r>
            <w:r w:rsidR="001B246F">
              <w:rPr>
                <w:rFonts w:ascii="Arial Narrow" w:hAnsi="Arial Narrow"/>
                <w:noProof/>
                <w:color w:val="000000"/>
                <w:sz w:val="20"/>
                <w:szCs w:val="20"/>
                <w:highlight w:val="black"/>
              </w:rPr>
              <w:t>''''''''''''''''''</w:t>
            </w:r>
          </w:p>
        </w:tc>
        <w:tc>
          <w:tcPr>
            <w:tcW w:w="842" w:type="dxa"/>
          </w:tcPr>
          <w:p w:rsidR="001A0583" w:rsidRPr="000E6927" w:rsidRDefault="001A0583">
            <w:pPr>
              <w:jc w:val="center"/>
              <w:rPr>
                <w:rFonts w:ascii="Arial Narrow" w:hAnsi="Arial Narrow" w:cs="Arial"/>
                <w:bCs/>
                <w:color w:val="000000"/>
                <w:sz w:val="20"/>
                <w:szCs w:val="20"/>
              </w:rPr>
            </w:pPr>
            <w:r w:rsidRPr="000E6927">
              <w:rPr>
                <w:rFonts w:ascii="Arial Narrow" w:hAnsi="Arial Narrow"/>
                <w:sz w:val="20"/>
                <w:szCs w:val="20"/>
              </w:rPr>
              <w:t>$</w:t>
            </w:r>
            <w:r w:rsidR="001B246F">
              <w:rPr>
                <w:rFonts w:ascii="Arial Narrow" w:hAnsi="Arial Narrow"/>
                <w:noProof/>
                <w:color w:val="000000"/>
                <w:sz w:val="20"/>
                <w:szCs w:val="20"/>
                <w:highlight w:val="black"/>
              </w:rPr>
              <w:t>'''''''''''''''''</w:t>
            </w:r>
          </w:p>
        </w:tc>
        <w:tc>
          <w:tcPr>
            <w:tcW w:w="842" w:type="dxa"/>
          </w:tcPr>
          <w:p w:rsidR="001A0583" w:rsidRPr="000E6927" w:rsidRDefault="001A0583">
            <w:pPr>
              <w:jc w:val="center"/>
              <w:rPr>
                <w:rFonts w:ascii="Arial Narrow" w:hAnsi="Arial Narrow" w:cs="Arial"/>
                <w:bCs/>
                <w:color w:val="000000"/>
                <w:sz w:val="20"/>
                <w:szCs w:val="20"/>
              </w:rPr>
            </w:pPr>
            <w:r w:rsidRPr="000E6927">
              <w:rPr>
                <w:rFonts w:ascii="Arial Narrow" w:hAnsi="Arial Narrow"/>
                <w:sz w:val="20"/>
                <w:szCs w:val="20"/>
              </w:rPr>
              <w:t>$</w:t>
            </w:r>
            <w:r w:rsidR="001B246F">
              <w:rPr>
                <w:rFonts w:ascii="Arial Narrow" w:hAnsi="Arial Narrow"/>
                <w:noProof/>
                <w:color w:val="000000"/>
                <w:sz w:val="20"/>
                <w:szCs w:val="20"/>
                <w:highlight w:val="black"/>
              </w:rPr>
              <w:t>'''''''''''''''''</w:t>
            </w:r>
          </w:p>
        </w:tc>
      </w:tr>
    </w:tbl>
    <w:p w:rsidR="001A0583" w:rsidRPr="00F23A90" w:rsidRDefault="001A0583">
      <w:pPr>
        <w:jc w:val="both"/>
        <w:rPr>
          <w:rFonts w:ascii="Arial Narrow" w:eastAsiaTheme="minorHAnsi" w:hAnsi="Arial Narrow" w:cstheme="minorBidi"/>
          <w:sz w:val="18"/>
          <w:szCs w:val="18"/>
        </w:rPr>
      </w:pPr>
      <w:r w:rsidRPr="00F23A90">
        <w:rPr>
          <w:rFonts w:ascii="Arial Narrow" w:eastAsiaTheme="minorHAnsi" w:hAnsi="Arial Narrow" w:cstheme="minorBidi"/>
          <w:sz w:val="18"/>
          <w:szCs w:val="18"/>
          <w:vertAlign w:val="superscript"/>
        </w:rPr>
        <w:t>A</w:t>
      </w:r>
      <w:r w:rsidRPr="00F23A90">
        <w:rPr>
          <w:rFonts w:ascii="Arial Narrow" w:eastAsiaTheme="minorHAnsi" w:hAnsi="Arial Narrow" w:cstheme="minorBidi"/>
          <w:sz w:val="18"/>
          <w:szCs w:val="18"/>
        </w:rPr>
        <w:t xml:space="preserve"> </w:t>
      </w:r>
      <w:r w:rsidR="00D5144E" w:rsidRPr="00F23A90">
        <w:rPr>
          <w:rFonts w:ascii="Arial Narrow" w:eastAsiaTheme="minorHAnsi" w:hAnsi="Arial Narrow" w:cstheme="minorBidi"/>
          <w:sz w:val="18"/>
          <w:szCs w:val="18"/>
        </w:rPr>
        <w:t xml:space="preserve">Assuming </w:t>
      </w:r>
      <w:r w:rsidR="00791609" w:rsidRPr="00F23A90">
        <w:rPr>
          <w:rFonts w:ascii="Arial Narrow" w:eastAsiaTheme="minorHAnsi" w:hAnsi="Arial Narrow" w:cstheme="minorBidi"/>
          <w:sz w:val="18"/>
          <w:szCs w:val="18"/>
        </w:rPr>
        <w:t xml:space="preserve">25% of patients in Inner Regional Australia and 100% of patients in Outer Regional, Remote and Very Remote Australia </w:t>
      </w:r>
      <w:r w:rsidR="00D5144E" w:rsidRPr="00F23A90">
        <w:rPr>
          <w:rFonts w:ascii="Arial Narrow" w:eastAsiaTheme="minorHAnsi" w:hAnsi="Arial Narrow" w:cstheme="minorBidi"/>
          <w:sz w:val="18"/>
          <w:szCs w:val="18"/>
        </w:rPr>
        <w:t>will switch to S100 HSD</w:t>
      </w:r>
      <w:r w:rsidR="00773E92" w:rsidRPr="00F23A90">
        <w:rPr>
          <w:rFonts w:ascii="Arial Narrow" w:eastAsiaTheme="minorHAnsi" w:hAnsi="Arial Narrow" w:cstheme="minorBidi"/>
          <w:sz w:val="18"/>
          <w:szCs w:val="18"/>
        </w:rPr>
        <w:t xml:space="preserve"> – Community Access</w:t>
      </w:r>
      <w:r w:rsidR="00D5144E" w:rsidRPr="00F23A90">
        <w:rPr>
          <w:rFonts w:ascii="Arial Narrow" w:eastAsiaTheme="minorHAnsi" w:hAnsi="Arial Narrow" w:cstheme="minorBidi"/>
          <w:sz w:val="18"/>
          <w:szCs w:val="18"/>
        </w:rPr>
        <w:t xml:space="preserve"> for continuing treatment</w:t>
      </w:r>
      <w:r w:rsidR="00791609" w:rsidRPr="00F23A90">
        <w:rPr>
          <w:rFonts w:ascii="Arial Narrow" w:eastAsiaTheme="minorHAnsi" w:hAnsi="Arial Narrow" w:cstheme="minorBidi"/>
          <w:sz w:val="18"/>
          <w:szCs w:val="18"/>
        </w:rPr>
        <w:t xml:space="preserve"> (14.8% of total patients)</w:t>
      </w:r>
      <w:r w:rsidR="00E7188D" w:rsidRPr="00F23A90">
        <w:rPr>
          <w:rFonts w:ascii="Arial Narrow" w:eastAsiaTheme="minorHAnsi" w:hAnsi="Arial Narrow" w:cstheme="minorBidi"/>
          <w:sz w:val="18"/>
          <w:szCs w:val="18"/>
        </w:rPr>
        <w:t>, based on population data estimates for regional localities published by the Australian Bureau of Statistics</w:t>
      </w:r>
      <w:r w:rsidR="00773E92" w:rsidRPr="00F23A90">
        <w:rPr>
          <w:rFonts w:ascii="Arial Narrow" w:eastAsiaTheme="minorHAnsi" w:hAnsi="Arial Narrow" w:cstheme="minorBidi"/>
          <w:sz w:val="18"/>
          <w:szCs w:val="18"/>
        </w:rPr>
        <w:t xml:space="preserve">. </w:t>
      </w:r>
    </w:p>
    <w:p w:rsidR="001A0583" w:rsidRPr="00F23A90" w:rsidRDefault="001A0583">
      <w:pPr>
        <w:jc w:val="both"/>
        <w:rPr>
          <w:rFonts w:ascii="Arial Narrow" w:eastAsiaTheme="minorHAnsi" w:hAnsi="Arial Narrow" w:cstheme="minorBidi"/>
          <w:sz w:val="18"/>
          <w:szCs w:val="18"/>
        </w:rPr>
      </w:pPr>
      <w:r w:rsidRPr="00F23A90">
        <w:rPr>
          <w:rFonts w:ascii="Arial Narrow" w:eastAsiaTheme="minorHAnsi" w:hAnsi="Arial Narrow" w:cstheme="minorBidi"/>
          <w:sz w:val="18"/>
          <w:szCs w:val="18"/>
          <w:vertAlign w:val="superscript"/>
        </w:rPr>
        <w:t>B</w:t>
      </w:r>
      <w:r w:rsidRPr="00F23A90">
        <w:rPr>
          <w:rFonts w:ascii="Arial Narrow" w:eastAsiaTheme="minorHAnsi" w:hAnsi="Arial Narrow" w:cstheme="minorBidi"/>
          <w:sz w:val="18"/>
          <w:szCs w:val="18"/>
        </w:rPr>
        <w:t xml:space="preserve"> </w:t>
      </w:r>
      <w:r w:rsidR="00347A0E" w:rsidRPr="00F23A90">
        <w:rPr>
          <w:rFonts w:ascii="Arial Narrow" w:eastAsiaTheme="minorHAnsi" w:hAnsi="Arial Narrow" w:cstheme="minorBidi"/>
          <w:sz w:val="18"/>
          <w:szCs w:val="18"/>
        </w:rPr>
        <w:t xml:space="preserve">Assuming 13 </w:t>
      </w:r>
      <w:r w:rsidR="002A5A28" w:rsidRPr="00F23A90">
        <w:rPr>
          <w:rFonts w:ascii="Arial Narrow" w:eastAsiaTheme="minorHAnsi" w:hAnsi="Arial Narrow" w:cstheme="minorBidi"/>
          <w:sz w:val="18"/>
          <w:szCs w:val="18"/>
        </w:rPr>
        <w:t>packs</w:t>
      </w:r>
      <w:r w:rsidR="00347A0E" w:rsidRPr="00F23A90">
        <w:rPr>
          <w:rFonts w:ascii="Arial Narrow" w:eastAsiaTheme="minorHAnsi" w:hAnsi="Arial Narrow" w:cstheme="minorBidi"/>
          <w:sz w:val="18"/>
          <w:szCs w:val="18"/>
        </w:rPr>
        <w:t xml:space="preserve"> per year and a </w:t>
      </w:r>
      <w:r w:rsidR="002A5A28" w:rsidRPr="00F23A90">
        <w:rPr>
          <w:rFonts w:ascii="Arial Narrow" w:eastAsiaTheme="minorHAnsi" w:hAnsi="Arial Narrow" w:cstheme="minorBidi"/>
          <w:sz w:val="18"/>
          <w:szCs w:val="18"/>
        </w:rPr>
        <w:t>90% compliance rate</w:t>
      </w:r>
      <w:r w:rsidR="002A5A28" w:rsidRPr="00F23A90">
        <w:rPr>
          <w:rFonts w:ascii="Arial Narrow" w:eastAsiaTheme="minorHAnsi" w:hAnsi="Arial Narrow" w:cstheme="minorBidi"/>
          <w:i/>
          <w:sz w:val="18"/>
          <w:szCs w:val="18"/>
        </w:rPr>
        <w:t xml:space="preserve"> </w:t>
      </w:r>
      <w:r w:rsidR="00A81FB8" w:rsidRPr="00F23A90">
        <w:rPr>
          <w:rFonts w:ascii="Arial Narrow" w:eastAsiaTheme="minorHAnsi" w:hAnsi="Arial Narrow" w:cstheme="minorBidi"/>
          <w:sz w:val="18"/>
          <w:szCs w:val="18"/>
        </w:rPr>
        <w:t>(</w:t>
      </w:r>
      <w:r w:rsidR="00B80FA9" w:rsidRPr="00F23A90">
        <w:rPr>
          <w:rFonts w:ascii="Arial Narrow" w:eastAsiaTheme="minorHAnsi" w:hAnsi="Arial Narrow" w:cstheme="minorBidi"/>
          <w:sz w:val="18"/>
          <w:szCs w:val="18"/>
        </w:rPr>
        <w:t>consistent</w:t>
      </w:r>
      <w:r w:rsidR="00A81FB8" w:rsidRPr="00F23A90">
        <w:rPr>
          <w:rFonts w:ascii="Arial Narrow" w:eastAsiaTheme="minorHAnsi" w:hAnsi="Arial Narrow" w:cstheme="minorBidi"/>
          <w:sz w:val="18"/>
          <w:szCs w:val="18"/>
        </w:rPr>
        <w:t xml:space="preserve"> </w:t>
      </w:r>
      <w:r w:rsidR="002A5A28" w:rsidRPr="00F23A90">
        <w:rPr>
          <w:rFonts w:ascii="Arial Narrow" w:eastAsiaTheme="minorHAnsi" w:hAnsi="Arial Narrow" w:cstheme="minorBidi"/>
          <w:sz w:val="18"/>
          <w:szCs w:val="18"/>
        </w:rPr>
        <w:t>with the</w:t>
      </w:r>
      <w:r w:rsidR="00A81FB8" w:rsidRPr="00F23A90">
        <w:rPr>
          <w:rFonts w:ascii="Arial Narrow" w:eastAsiaTheme="minorHAnsi" w:hAnsi="Arial Narrow" w:cstheme="minorBidi"/>
          <w:sz w:val="18"/>
          <w:szCs w:val="18"/>
        </w:rPr>
        <w:t xml:space="preserve"> assumptions in the</w:t>
      </w:r>
      <w:r w:rsidR="002A5A28" w:rsidRPr="00F23A90">
        <w:rPr>
          <w:rFonts w:ascii="Arial Narrow" w:eastAsiaTheme="minorHAnsi" w:hAnsi="Arial Narrow" w:cstheme="minorBidi"/>
          <w:sz w:val="18"/>
          <w:szCs w:val="18"/>
        </w:rPr>
        <w:t xml:space="preserve"> July 2017 submission and the November 2017 </w:t>
      </w:r>
      <w:r w:rsidR="00A81FB8" w:rsidRPr="00F23A90">
        <w:rPr>
          <w:rFonts w:ascii="Arial Narrow" w:eastAsiaTheme="minorHAnsi" w:hAnsi="Arial Narrow" w:cstheme="minorBidi"/>
          <w:sz w:val="18"/>
          <w:szCs w:val="18"/>
        </w:rPr>
        <w:t xml:space="preserve">pre-PBAC response </w:t>
      </w:r>
      <w:r w:rsidR="002A5A28" w:rsidRPr="00F23A90">
        <w:rPr>
          <w:rFonts w:ascii="Arial Narrow" w:eastAsiaTheme="minorHAnsi" w:hAnsi="Arial Narrow" w:cstheme="minorBidi"/>
          <w:sz w:val="18"/>
          <w:szCs w:val="18"/>
        </w:rPr>
        <w:t>for lanreotide for GET-NET).</w:t>
      </w:r>
    </w:p>
    <w:p w:rsidR="001A0583" w:rsidRPr="00F23A90" w:rsidRDefault="001A0583">
      <w:pPr>
        <w:jc w:val="both"/>
        <w:rPr>
          <w:rFonts w:ascii="Arial Narrow" w:eastAsiaTheme="minorHAnsi" w:hAnsi="Arial Narrow" w:cstheme="minorBidi"/>
          <w:sz w:val="18"/>
          <w:szCs w:val="18"/>
        </w:rPr>
      </w:pPr>
      <w:r w:rsidRPr="00F23A90">
        <w:rPr>
          <w:rFonts w:ascii="Arial Narrow" w:eastAsiaTheme="minorHAnsi" w:hAnsi="Arial Narrow" w:cstheme="minorBidi"/>
          <w:sz w:val="18"/>
          <w:szCs w:val="18"/>
          <w:vertAlign w:val="superscript"/>
        </w:rPr>
        <w:t>C</w:t>
      </w:r>
      <w:r w:rsidRPr="00F23A90">
        <w:rPr>
          <w:rFonts w:ascii="Arial Narrow" w:eastAsiaTheme="minorHAnsi" w:hAnsi="Arial Narrow" w:cstheme="minorBidi"/>
          <w:sz w:val="18"/>
          <w:szCs w:val="18"/>
        </w:rPr>
        <w:t xml:space="preserve"> </w:t>
      </w:r>
      <w:r w:rsidR="00773E92" w:rsidRPr="00F23A90">
        <w:rPr>
          <w:rFonts w:ascii="Arial Narrow" w:eastAsiaTheme="minorHAnsi" w:hAnsi="Arial Narrow" w:cstheme="minorBidi"/>
          <w:sz w:val="18"/>
          <w:szCs w:val="18"/>
        </w:rPr>
        <w:t xml:space="preserve">Assuming </w:t>
      </w:r>
      <w:r w:rsidRPr="00F23A90">
        <w:rPr>
          <w:rFonts w:ascii="Arial Narrow" w:eastAsiaTheme="minorHAnsi" w:hAnsi="Arial Narrow" w:cstheme="minorBidi"/>
          <w:sz w:val="18"/>
          <w:szCs w:val="18"/>
        </w:rPr>
        <w:t xml:space="preserve">an additional cost to the PBS/RPBS of $47.29 for each </w:t>
      </w:r>
      <w:r w:rsidR="00275464" w:rsidRPr="00F23A90">
        <w:rPr>
          <w:rFonts w:ascii="Arial Narrow" w:eastAsiaTheme="minorHAnsi" w:hAnsi="Arial Narrow" w:cstheme="minorBidi"/>
          <w:sz w:val="18"/>
          <w:szCs w:val="18"/>
        </w:rPr>
        <w:t>S100 HSD – P</w:t>
      </w:r>
      <w:r w:rsidR="00EC3DD4" w:rsidRPr="00F23A90">
        <w:rPr>
          <w:rFonts w:ascii="Arial Narrow" w:eastAsiaTheme="minorHAnsi" w:hAnsi="Arial Narrow" w:cstheme="minorBidi"/>
          <w:sz w:val="18"/>
          <w:szCs w:val="18"/>
        </w:rPr>
        <w:t>ublic</w:t>
      </w:r>
      <w:r w:rsidR="00275464" w:rsidRPr="00F23A90">
        <w:rPr>
          <w:rFonts w:ascii="Arial Narrow" w:eastAsiaTheme="minorHAnsi" w:hAnsi="Arial Narrow" w:cstheme="minorBidi"/>
          <w:sz w:val="18"/>
          <w:szCs w:val="18"/>
        </w:rPr>
        <w:t xml:space="preserve"> H</w:t>
      </w:r>
      <w:r w:rsidR="00EC3DD4" w:rsidRPr="00F23A90">
        <w:rPr>
          <w:rFonts w:ascii="Arial Narrow" w:eastAsiaTheme="minorHAnsi" w:hAnsi="Arial Narrow" w:cstheme="minorBidi"/>
          <w:sz w:val="18"/>
          <w:szCs w:val="18"/>
        </w:rPr>
        <w:t xml:space="preserve">ospital script replaced by a </w:t>
      </w:r>
      <w:r w:rsidR="00275464" w:rsidRPr="00F23A90">
        <w:rPr>
          <w:rFonts w:ascii="Arial Narrow" w:eastAsiaTheme="minorHAnsi" w:hAnsi="Arial Narrow" w:cstheme="minorBidi"/>
          <w:sz w:val="18"/>
          <w:szCs w:val="18"/>
        </w:rPr>
        <w:t>S100 HSD – C</w:t>
      </w:r>
      <w:r w:rsidRPr="00F23A90">
        <w:rPr>
          <w:rFonts w:ascii="Arial Narrow" w:eastAsiaTheme="minorHAnsi" w:hAnsi="Arial Narrow" w:cstheme="minorBidi"/>
          <w:sz w:val="18"/>
          <w:szCs w:val="18"/>
        </w:rPr>
        <w:t xml:space="preserve">ommunity </w:t>
      </w:r>
      <w:r w:rsidR="00275464" w:rsidRPr="00F23A90">
        <w:rPr>
          <w:rFonts w:ascii="Arial Narrow" w:eastAsiaTheme="minorHAnsi" w:hAnsi="Arial Narrow" w:cstheme="minorBidi"/>
          <w:sz w:val="18"/>
          <w:szCs w:val="18"/>
        </w:rPr>
        <w:t>A</w:t>
      </w:r>
      <w:r w:rsidRPr="00F23A90">
        <w:rPr>
          <w:rFonts w:ascii="Arial Narrow" w:eastAsiaTheme="minorHAnsi" w:hAnsi="Arial Narrow" w:cstheme="minorBidi"/>
          <w:sz w:val="18"/>
          <w:szCs w:val="18"/>
        </w:rPr>
        <w:t>ccess script</w:t>
      </w:r>
      <w:r w:rsidR="00773E92" w:rsidRPr="00F23A90">
        <w:rPr>
          <w:rFonts w:ascii="Arial Narrow" w:eastAsiaTheme="minorHAnsi" w:hAnsi="Arial Narrow" w:cstheme="minorBidi"/>
          <w:sz w:val="18"/>
          <w:szCs w:val="18"/>
        </w:rPr>
        <w:t xml:space="preserve"> (assumed to be 63.4% of Community Access scripts)</w:t>
      </w:r>
      <w:r w:rsidR="00347A0E" w:rsidRPr="00F23A90">
        <w:rPr>
          <w:rFonts w:ascii="Arial Narrow" w:eastAsiaTheme="minorHAnsi" w:hAnsi="Arial Narrow" w:cstheme="minorBidi"/>
          <w:sz w:val="18"/>
          <w:szCs w:val="18"/>
        </w:rPr>
        <w:t>.</w:t>
      </w:r>
    </w:p>
    <w:p w:rsidR="00D23FEB" w:rsidRDefault="00D23FEB">
      <w:pPr>
        <w:jc w:val="both"/>
        <w:rPr>
          <w:rFonts w:ascii="Arial Narrow" w:eastAsiaTheme="minorHAnsi" w:hAnsi="Arial Narrow" w:cstheme="minorBidi"/>
          <w:sz w:val="20"/>
        </w:rPr>
      </w:pPr>
    </w:p>
    <w:p w:rsidR="00BC7FB3" w:rsidRPr="00D07C25" w:rsidRDefault="00D07C25">
      <w:pPr>
        <w:jc w:val="both"/>
        <w:rPr>
          <w:rFonts w:asciiTheme="minorHAnsi" w:eastAsiaTheme="minorHAnsi" w:hAnsiTheme="minorHAnsi" w:cstheme="minorHAnsi"/>
        </w:rPr>
      </w:pPr>
      <w:r w:rsidRPr="00D07C25">
        <w:rPr>
          <w:rFonts w:asciiTheme="minorHAnsi" w:eastAsiaTheme="minorHAnsi" w:hAnsiTheme="minorHAnsi" w:cstheme="minorHAnsi"/>
        </w:rPr>
        <w:t>The re</w:t>
      </w:r>
      <w:r w:rsidR="00BC7FB3" w:rsidRPr="00D07C25">
        <w:rPr>
          <w:rFonts w:asciiTheme="minorHAnsi" w:eastAsiaTheme="minorHAnsi" w:hAnsiTheme="minorHAnsi" w:cstheme="minorHAnsi"/>
        </w:rPr>
        <w:t>dacted table shows that at Year 6, the estimated number of patients will be less than 10,000 for s100 HSD Community Access patients and the cost to the PBS will be less than $10 million.</w:t>
      </w:r>
    </w:p>
    <w:p w:rsidR="00BC7FB3" w:rsidRPr="000E6927" w:rsidRDefault="00BC7FB3">
      <w:pPr>
        <w:jc w:val="both"/>
        <w:rPr>
          <w:rFonts w:ascii="Arial Narrow" w:eastAsiaTheme="minorHAnsi" w:hAnsi="Arial Narrow" w:cstheme="minorBidi"/>
          <w:sz w:val="20"/>
        </w:rPr>
      </w:pPr>
    </w:p>
    <w:p w:rsidR="003A2C1A" w:rsidRPr="000E6927" w:rsidRDefault="00D66F6B">
      <w:pPr>
        <w:pStyle w:val="ListParagraph"/>
        <w:widowControl/>
        <w:numPr>
          <w:ilvl w:val="1"/>
          <w:numId w:val="14"/>
        </w:numPr>
        <w:rPr>
          <w:rFonts w:asciiTheme="minorHAnsi" w:eastAsiaTheme="minorHAnsi" w:hAnsiTheme="minorHAnsi" w:cstheme="minorHAnsi"/>
          <w:snapToGrid/>
          <w:sz w:val="24"/>
          <w:szCs w:val="24"/>
        </w:rPr>
      </w:pPr>
      <w:r w:rsidRPr="000E6927">
        <w:rPr>
          <w:rFonts w:asciiTheme="minorHAnsi" w:eastAsiaTheme="minorHAnsi" w:hAnsiTheme="minorHAnsi" w:cstheme="minorHAnsi"/>
          <w:snapToGrid/>
          <w:sz w:val="24"/>
          <w:szCs w:val="24"/>
        </w:rPr>
        <w:t xml:space="preserve">The submission </w:t>
      </w:r>
      <w:r w:rsidR="00C160F4" w:rsidRPr="000E6927">
        <w:rPr>
          <w:rFonts w:asciiTheme="minorHAnsi" w:eastAsiaTheme="minorHAnsi" w:hAnsiTheme="minorHAnsi" w:cstheme="minorHAnsi"/>
          <w:snapToGrid/>
          <w:sz w:val="24"/>
          <w:szCs w:val="24"/>
        </w:rPr>
        <w:t xml:space="preserve">included </w:t>
      </w:r>
      <w:r w:rsidRPr="000E6927">
        <w:rPr>
          <w:rFonts w:asciiTheme="minorHAnsi" w:eastAsiaTheme="minorHAnsi" w:hAnsiTheme="minorHAnsi" w:cstheme="minorHAnsi"/>
          <w:snapToGrid/>
          <w:sz w:val="24"/>
          <w:szCs w:val="24"/>
        </w:rPr>
        <w:t xml:space="preserve">sensitivity analyses to </w:t>
      </w:r>
      <w:r w:rsidR="00D82FFD" w:rsidRPr="000E6927">
        <w:rPr>
          <w:rFonts w:asciiTheme="minorHAnsi" w:eastAsiaTheme="minorHAnsi" w:hAnsiTheme="minorHAnsi" w:cstheme="minorHAnsi"/>
          <w:snapToGrid/>
          <w:sz w:val="24"/>
          <w:szCs w:val="24"/>
        </w:rPr>
        <w:t xml:space="preserve">investigate the impact of </w:t>
      </w:r>
      <w:r w:rsidR="00B067F2" w:rsidRPr="000E6927">
        <w:rPr>
          <w:rFonts w:asciiTheme="minorHAnsi" w:eastAsiaTheme="minorHAnsi" w:hAnsiTheme="minorHAnsi" w:cstheme="minorHAnsi"/>
          <w:snapToGrid/>
          <w:sz w:val="24"/>
          <w:szCs w:val="24"/>
        </w:rPr>
        <w:t>changes in the</w:t>
      </w:r>
      <w:r w:rsidR="00D82FFD" w:rsidRPr="000E6927">
        <w:rPr>
          <w:rFonts w:asciiTheme="minorHAnsi" w:eastAsiaTheme="minorHAnsi" w:hAnsiTheme="minorHAnsi" w:cstheme="minorHAnsi"/>
          <w:snapToGrid/>
          <w:sz w:val="24"/>
          <w:szCs w:val="24"/>
        </w:rPr>
        <w:t xml:space="preserve"> assumed </w:t>
      </w:r>
      <w:r w:rsidRPr="000E6927">
        <w:rPr>
          <w:rFonts w:asciiTheme="minorHAnsi" w:eastAsiaTheme="minorHAnsi" w:hAnsiTheme="minorHAnsi" w:cstheme="minorHAnsi"/>
          <w:snapToGrid/>
          <w:sz w:val="24"/>
          <w:szCs w:val="24"/>
        </w:rPr>
        <w:t>proportion of e</w:t>
      </w:r>
      <w:r w:rsidR="00B038D8" w:rsidRPr="000E6927">
        <w:rPr>
          <w:rFonts w:asciiTheme="minorHAnsi" w:eastAsiaTheme="minorHAnsi" w:hAnsiTheme="minorHAnsi" w:cstheme="minorHAnsi"/>
          <w:snapToGrid/>
          <w:sz w:val="24"/>
          <w:szCs w:val="24"/>
        </w:rPr>
        <w:t>ligible patients utilising the C</w:t>
      </w:r>
      <w:r w:rsidRPr="000E6927">
        <w:rPr>
          <w:rFonts w:asciiTheme="minorHAnsi" w:eastAsiaTheme="minorHAnsi" w:hAnsiTheme="minorHAnsi" w:cstheme="minorHAnsi"/>
          <w:snapToGrid/>
          <w:sz w:val="24"/>
          <w:szCs w:val="24"/>
        </w:rPr>
        <w:t xml:space="preserve">ommunity </w:t>
      </w:r>
      <w:r w:rsidR="00B038D8" w:rsidRPr="000E6927">
        <w:rPr>
          <w:rFonts w:asciiTheme="minorHAnsi" w:eastAsiaTheme="minorHAnsi" w:hAnsiTheme="minorHAnsi" w:cstheme="minorHAnsi"/>
          <w:snapToGrid/>
          <w:sz w:val="24"/>
          <w:szCs w:val="24"/>
        </w:rPr>
        <w:t>A</w:t>
      </w:r>
      <w:r w:rsidRPr="000E6927">
        <w:rPr>
          <w:rFonts w:asciiTheme="minorHAnsi" w:eastAsiaTheme="minorHAnsi" w:hAnsiTheme="minorHAnsi" w:cstheme="minorHAnsi"/>
          <w:snapToGrid/>
          <w:sz w:val="24"/>
          <w:szCs w:val="24"/>
        </w:rPr>
        <w:t>ccess arrangements.</w:t>
      </w:r>
      <w:r w:rsidR="00E32F1A" w:rsidRPr="000E6927">
        <w:rPr>
          <w:rFonts w:asciiTheme="minorHAnsi" w:eastAsiaTheme="minorHAnsi" w:hAnsiTheme="minorHAnsi" w:cstheme="minorHAnsi"/>
          <w:snapToGrid/>
          <w:sz w:val="24"/>
          <w:szCs w:val="24"/>
        </w:rPr>
        <w:t xml:space="preserve"> </w:t>
      </w:r>
      <w:r w:rsidR="00B067F2" w:rsidRPr="000E6927">
        <w:rPr>
          <w:rFonts w:asciiTheme="minorHAnsi" w:eastAsiaTheme="minorHAnsi" w:hAnsiTheme="minorHAnsi" w:cstheme="minorHAnsi"/>
          <w:snapToGrid/>
          <w:sz w:val="24"/>
          <w:szCs w:val="24"/>
        </w:rPr>
        <w:t xml:space="preserve">The submission estimated that if all patients </w:t>
      </w:r>
      <w:r w:rsidR="00275464" w:rsidRPr="000E6927">
        <w:rPr>
          <w:rFonts w:asciiTheme="minorHAnsi" w:eastAsiaTheme="minorHAnsi" w:hAnsiTheme="minorHAnsi" w:cstheme="minorHAnsi"/>
          <w:snapToGrid/>
          <w:sz w:val="24"/>
          <w:szCs w:val="24"/>
        </w:rPr>
        <w:t xml:space="preserve">receiving PBS subsidised lanreotide for GEP-NETs </w:t>
      </w:r>
      <w:r w:rsidR="00B067F2" w:rsidRPr="000E6927">
        <w:rPr>
          <w:rFonts w:asciiTheme="minorHAnsi" w:eastAsiaTheme="minorHAnsi" w:hAnsiTheme="minorHAnsi" w:cstheme="minorHAnsi"/>
          <w:snapToGrid/>
          <w:sz w:val="24"/>
          <w:szCs w:val="24"/>
        </w:rPr>
        <w:t>were to utilise the Community Access listing for continuing treatment</w:t>
      </w:r>
      <w:r w:rsidR="00275464" w:rsidRPr="000E6927">
        <w:rPr>
          <w:rFonts w:asciiTheme="minorHAnsi" w:eastAsiaTheme="minorHAnsi" w:hAnsiTheme="minorHAnsi" w:cstheme="minorHAnsi"/>
          <w:snapToGrid/>
          <w:sz w:val="24"/>
          <w:szCs w:val="24"/>
        </w:rPr>
        <w:t>,</w:t>
      </w:r>
      <w:r w:rsidR="00B067F2" w:rsidRPr="000E6927">
        <w:rPr>
          <w:rFonts w:asciiTheme="minorHAnsi" w:eastAsiaTheme="minorHAnsi" w:hAnsiTheme="minorHAnsi" w:cstheme="minorHAnsi"/>
          <w:snapToGrid/>
          <w:sz w:val="24"/>
          <w:szCs w:val="24"/>
        </w:rPr>
        <w:t xml:space="preserve"> the </w:t>
      </w:r>
      <w:r w:rsidR="00E32F1A" w:rsidRPr="000E6927">
        <w:rPr>
          <w:rFonts w:asciiTheme="minorHAnsi" w:eastAsiaTheme="minorHAnsi" w:hAnsiTheme="minorHAnsi" w:cstheme="minorHAnsi"/>
          <w:snapToGrid/>
          <w:sz w:val="24"/>
          <w:szCs w:val="24"/>
        </w:rPr>
        <w:t>addition</w:t>
      </w:r>
      <w:r w:rsidR="004050E7" w:rsidRPr="000E6927">
        <w:rPr>
          <w:rFonts w:asciiTheme="minorHAnsi" w:eastAsiaTheme="minorHAnsi" w:hAnsiTheme="minorHAnsi" w:cstheme="minorHAnsi"/>
          <w:snapToGrid/>
          <w:sz w:val="24"/>
          <w:szCs w:val="24"/>
        </w:rPr>
        <w:t xml:space="preserve">al cost to the PBS </w:t>
      </w:r>
      <w:r w:rsidR="00B067F2" w:rsidRPr="000E6927">
        <w:rPr>
          <w:rFonts w:asciiTheme="minorHAnsi" w:eastAsiaTheme="minorHAnsi" w:hAnsiTheme="minorHAnsi" w:cstheme="minorHAnsi"/>
          <w:snapToGrid/>
          <w:sz w:val="24"/>
          <w:szCs w:val="24"/>
        </w:rPr>
        <w:t xml:space="preserve">would be </w:t>
      </w:r>
      <w:r w:rsidR="00E32F1A" w:rsidRPr="000E6927">
        <w:rPr>
          <w:rFonts w:asciiTheme="minorHAnsi" w:eastAsiaTheme="minorHAnsi" w:hAnsiTheme="minorHAnsi" w:cstheme="minorHAnsi"/>
          <w:snapToGrid/>
          <w:sz w:val="24"/>
          <w:szCs w:val="24"/>
        </w:rPr>
        <w:t xml:space="preserve">approximately </w:t>
      </w:r>
      <w:r w:rsidR="00351DF8">
        <w:rPr>
          <w:rFonts w:asciiTheme="minorHAnsi" w:eastAsiaTheme="minorHAnsi" w:hAnsiTheme="minorHAnsi" w:cstheme="minorHAnsi"/>
          <w:snapToGrid/>
          <w:sz w:val="24"/>
          <w:szCs w:val="24"/>
        </w:rPr>
        <w:t xml:space="preserve">less than $10 million </w:t>
      </w:r>
      <w:r w:rsidR="00E32F1A" w:rsidRPr="000E6927">
        <w:rPr>
          <w:rFonts w:asciiTheme="minorHAnsi" w:eastAsiaTheme="minorHAnsi" w:hAnsiTheme="minorHAnsi" w:cstheme="minorHAnsi"/>
          <w:snapToGrid/>
          <w:sz w:val="24"/>
          <w:szCs w:val="24"/>
        </w:rPr>
        <w:t xml:space="preserve">in </w:t>
      </w:r>
      <w:r w:rsidR="00B067F2" w:rsidRPr="000E6927">
        <w:rPr>
          <w:rFonts w:asciiTheme="minorHAnsi" w:eastAsiaTheme="minorHAnsi" w:hAnsiTheme="minorHAnsi" w:cstheme="minorHAnsi"/>
          <w:snapToGrid/>
          <w:sz w:val="24"/>
          <w:szCs w:val="24"/>
        </w:rPr>
        <w:t>Y</w:t>
      </w:r>
      <w:r w:rsidR="00E32F1A" w:rsidRPr="000E6927">
        <w:rPr>
          <w:rFonts w:asciiTheme="minorHAnsi" w:eastAsiaTheme="minorHAnsi" w:hAnsiTheme="minorHAnsi" w:cstheme="minorHAnsi"/>
          <w:snapToGrid/>
          <w:sz w:val="24"/>
          <w:szCs w:val="24"/>
        </w:rPr>
        <w:t>ear 1</w:t>
      </w:r>
      <w:r w:rsidR="00B067F2" w:rsidRPr="000E6927">
        <w:rPr>
          <w:rFonts w:asciiTheme="minorHAnsi" w:eastAsiaTheme="minorHAnsi" w:hAnsiTheme="minorHAnsi" w:cstheme="minorBidi"/>
          <w:snapToGrid/>
          <w:szCs w:val="22"/>
        </w:rPr>
        <w:t xml:space="preserve"> </w:t>
      </w:r>
      <w:r w:rsidR="00E32F1A" w:rsidRPr="000E6927">
        <w:rPr>
          <w:rFonts w:asciiTheme="minorHAnsi" w:eastAsiaTheme="minorHAnsi" w:hAnsiTheme="minorHAnsi" w:cstheme="minorHAnsi"/>
          <w:snapToGrid/>
          <w:sz w:val="24"/>
          <w:szCs w:val="24"/>
        </w:rPr>
        <w:t xml:space="preserve">of listing to </w:t>
      </w:r>
      <w:r w:rsidR="00351DF8">
        <w:rPr>
          <w:rFonts w:asciiTheme="minorHAnsi" w:eastAsiaTheme="minorHAnsi" w:hAnsiTheme="minorHAnsi" w:cstheme="minorHAnsi"/>
          <w:snapToGrid/>
          <w:sz w:val="24"/>
          <w:szCs w:val="24"/>
        </w:rPr>
        <w:t xml:space="preserve">less than $10 million </w:t>
      </w:r>
      <w:r w:rsidR="00E32F1A" w:rsidRPr="000E6927">
        <w:rPr>
          <w:rFonts w:asciiTheme="minorHAnsi" w:eastAsiaTheme="minorHAnsi" w:hAnsiTheme="minorHAnsi" w:cstheme="minorHAnsi"/>
          <w:snapToGrid/>
          <w:sz w:val="24"/>
          <w:szCs w:val="24"/>
        </w:rPr>
        <w:t xml:space="preserve">in </w:t>
      </w:r>
      <w:r w:rsidR="00B067F2" w:rsidRPr="000E6927">
        <w:rPr>
          <w:rFonts w:asciiTheme="minorHAnsi" w:eastAsiaTheme="minorHAnsi" w:hAnsiTheme="minorHAnsi" w:cstheme="minorHAnsi"/>
          <w:snapToGrid/>
          <w:sz w:val="24"/>
          <w:szCs w:val="24"/>
        </w:rPr>
        <w:t>Y</w:t>
      </w:r>
      <w:r w:rsidR="00E32F1A" w:rsidRPr="000E6927">
        <w:rPr>
          <w:rFonts w:asciiTheme="minorHAnsi" w:eastAsiaTheme="minorHAnsi" w:hAnsiTheme="minorHAnsi" w:cstheme="minorHAnsi"/>
          <w:snapToGrid/>
          <w:sz w:val="24"/>
          <w:szCs w:val="24"/>
        </w:rPr>
        <w:t>ear 6.</w:t>
      </w:r>
      <w:r w:rsidR="00BC5B36" w:rsidRPr="000E6927" w:rsidDel="00BC5B36">
        <w:rPr>
          <w:rFonts w:asciiTheme="minorHAnsi" w:eastAsiaTheme="minorHAnsi" w:hAnsiTheme="minorHAnsi" w:cstheme="minorHAnsi"/>
          <w:snapToGrid/>
          <w:sz w:val="24"/>
          <w:szCs w:val="24"/>
        </w:rPr>
        <w:t xml:space="preserve"> </w:t>
      </w:r>
    </w:p>
    <w:p w:rsidR="003A2C1A" w:rsidRPr="000E6927" w:rsidRDefault="003A2C1A" w:rsidP="00E57B27">
      <w:pPr>
        <w:pStyle w:val="ListParagraph"/>
        <w:widowControl/>
        <w:rPr>
          <w:rFonts w:asciiTheme="minorHAnsi" w:eastAsiaTheme="minorHAnsi" w:hAnsiTheme="minorHAnsi" w:cstheme="minorHAnsi"/>
          <w:snapToGrid/>
          <w:sz w:val="24"/>
          <w:szCs w:val="24"/>
        </w:rPr>
      </w:pPr>
    </w:p>
    <w:p w:rsidR="00B2725F" w:rsidRPr="000E6927" w:rsidRDefault="003A2C1A">
      <w:pPr>
        <w:pStyle w:val="ListParagraph"/>
        <w:widowControl/>
        <w:numPr>
          <w:ilvl w:val="1"/>
          <w:numId w:val="14"/>
        </w:numPr>
        <w:rPr>
          <w:rFonts w:asciiTheme="minorHAnsi" w:eastAsiaTheme="minorHAnsi" w:hAnsiTheme="minorHAnsi" w:cstheme="minorHAnsi"/>
          <w:snapToGrid/>
          <w:sz w:val="24"/>
          <w:szCs w:val="24"/>
        </w:rPr>
      </w:pPr>
      <w:r w:rsidRPr="000E6927">
        <w:rPr>
          <w:rFonts w:asciiTheme="minorHAnsi" w:eastAsiaTheme="minorHAnsi" w:hAnsiTheme="minorHAnsi" w:cstheme="minorHAnsi"/>
          <w:snapToGrid/>
          <w:sz w:val="24"/>
          <w:szCs w:val="24"/>
        </w:rPr>
        <w:t xml:space="preserve">The submission </w:t>
      </w:r>
      <w:r w:rsidR="00C16114" w:rsidRPr="000E6927">
        <w:rPr>
          <w:rFonts w:asciiTheme="minorHAnsi" w:eastAsiaTheme="minorHAnsi" w:hAnsiTheme="minorHAnsi" w:cstheme="minorHAnsi"/>
          <w:snapToGrid/>
          <w:sz w:val="24"/>
          <w:szCs w:val="24"/>
        </w:rPr>
        <w:t>stated</w:t>
      </w:r>
      <w:r w:rsidRPr="000E6927">
        <w:rPr>
          <w:rFonts w:asciiTheme="minorHAnsi" w:eastAsiaTheme="minorHAnsi" w:hAnsiTheme="minorHAnsi" w:cstheme="minorHAnsi"/>
          <w:snapToGrid/>
          <w:sz w:val="24"/>
          <w:szCs w:val="24"/>
        </w:rPr>
        <w:t xml:space="preserve"> that a Risk Sharing Arrangement is in place for lanreot</w:t>
      </w:r>
      <w:r w:rsidR="00C16114" w:rsidRPr="000E6927">
        <w:rPr>
          <w:rFonts w:asciiTheme="minorHAnsi" w:eastAsiaTheme="minorHAnsi" w:hAnsiTheme="minorHAnsi" w:cstheme="minorHAnsi"/>
          <w:snapToGrid/>
          <w:sz w:val="24"/>
          <w:szCs w:val="24"/>
        </w:rPr>
        <w:t>ide for non-functional GEP-NETs</w:t>
      </w:r>
      <w:r w:rsidR="00070731" w:rsidRPr="000E6927">
        <w:rPr>
          <w:rFonts w:asciiTheme="minorHAnsi" w:eastAsiaTheme="minorHAnsi" w:hAnsiTheme="minorHAnsi" w:cstheme="minorHAnsi"/>
          <w:snapToGrid/>
          <w:sz w:val="24"/>
          <w:szCs w:val="24"/>
        </w:rPr>
        <w:t>,</w:t>
      </w:r>
      <w:r w:rsidR="00C16114" w:rsidRPr="000E6927">
        <w:rPr>
          <w:rFonts w:asciiTheme="minorHAnsi" w:eastAsiaTheme="minorHAnsi" w:hAnsiTheme="minorHAnsi" w:cstheme="minorHAnsi"/>
          <w:snapToGrid/>
          <w:sz w:val="24"/>
          <w:szCs w:val="24"/>
        </w:rPr>
        <w:t xml:space="preserve"> which includes an annual cap of </w:t>
      </w:r>
      <w:r w:rsidR="00C16114" w:rsidRPr="0020232F">
        <w:rPr>
          <w:rFonts w:asciiTheme="minorHAnsi" w:eastAsiaTheme="minorHAnsi" w:hAnsiTheme="minorHAnsi" w:cstheme="minorHAnsi"/>
          <w:snapToGrid/>
          <w:sz w:val="24"/>
          <w:szCs w:val="24"/>
        </w:rPr>
        <w:t>$</w:t>
      </w:r>
      <w:r w:rsidR="001B246F">
        <w:rPr>
          <w:rFonts w:asciiTheme="minorHAnsi" w:eastAsiaTheme="minorHAnsi" w:hAnsiTheme="minorHAnsi" w:cstheme="minorHAnsi"/>
          <w:noProof/>
          <w:snapToGrid/>
          <w:color w:val="000000"/>
          <w:sz w:val="24"/>
          <w:szCs w:val="24"/>
          <w:highlight w:val="black"/>
        </w:rPr>
        <w:t xml:space="preserve">''''' </w:t>
      </w:r>
      <w:r w:rsidR="00C16114" w:rsidRPr="0020232F">
        <w:rPr>
          <w:rFonts w:asciiTheme="minorHAnsi" w:eastAsiaTheme="minorHAnsi" w:hAnsiTheme="minorHAnsi" w:cstheme="minorHAnsi"/>
          <w:snapToGrid/>
          <w:sz w:val="24"/>
          <w:szCs w:val="24"/>
        </w:rPr>
        <w:t>million</w:t>
      </w:r>
      <w:r w:rsidR="00C16114" w:rsidRPr="000E6927">
        <w:rPr>
          <w:rFonts w:asciiTheme="minorHAnsi" w:eastAsiaTheme="minorHAnsi" w:hAnsiTheme="minorHAnsi" w:cstheme="minorHAnsi"/>
          <w:snapToGrid/>
          <w:sz w:val="24"/>
          <w:szCs w:val="24"/>
        </w:rPr>
        <w:t xml:space="preserve"> in Government expenditure, with a </w:t>
      </w:r>
      <w:r w:rsidR="00C16114" w:rsidRPr="0020232F">
        <w:rPr>
          <w:rFonts w:asciiTheme="minorHAnsi" w:eastAsiaTheme="minorHAnsi" w:hAnsiTheme="minorHAnsi" w:cstheme="minorHAnsi"/>
          <w:snapToGrid/>
          <w:sz w:val="24"/>
          <w:szCs w:val="24"/>
        </w:rPr>
        <w:t>100%</w:t>
      </w:r>
      <w:r w:rsidR="00C16114" w:rsidRPr="000E6927">
        <w:rPr>
          <w:rFonts w:asciiTheme="minorHAnsi" w:eastAsiaTheme="minorHAnsi" w:hAnsiTheme="minorHAnsi" w:cstheme="minorHAnsi"/>
          <w:snapToGrid/>
          <w:sz w:val="24"/>
          <w:szCs w:val="24"/>
        </w:rPr>
        <w:t xml:space="preserve"> rebate for each dollar above that amount.</w:t>
      </w:r>
    </w:p>
    <w:p w:rsidR="00907262" w:rsidRPr="000E6927" w:rsidRDefault="00907262">
      <w:pPr>
        <w:pStyle w:val="ListParagraph"/>
        <w:widowControl/>
        <w:rPr>
          <w:rFonts w:asciiTheme="minorHAnsi" w:eastAsiaTheme="minorHAnsi" w:hAnsiTheme="minorHAnsi" w:cstheme="minorHAnsi"/>
          <w:i/>
          <w:snapToGrid/>
          <w:sz w:val="24"/>
          <w:szCs w:val="24"/>
        </w:rPr>
      </w:pPr>
    </w:p>
    <w:p w:rsidR="00907262" w:rsidRPr="000E6927" w:rsidRDefault="00907262">
      <w:pPr>
        <w:ind w:firstLine="709"/>
        <w:jc w:val="both"/>
        <w:rPr>
          <w:rFonts w:asciiTheme="minorHAnsi" w:hAnsiTheme="minorHAnsi"/>
          <w:i/>
        </w:rPr>
      </w:pPr>
      <w:r w:rsidRPr="000E6927">
        <w:rPr>
          <w:rFonts w:asciiTheme="minorHAnsi" w:hAnsiTheme="minorHAnsi"/>
          <w:i/>
        </w:rPr>
        <w:t>For more deta</w:t>
      </w:r>
      <w:r w:rsidR="00ED00B3" w:rsidRPr="000E6927">
        <w:rPr>
          <w:rFonts w:asciiTheme="minorHAnsi" w:hAnsiTheme="minorHAnsi"/>
          <w:i/>
        </w:rPr>
        <w:t xml:space="preserve">il on PBAC’s view, see section </w:t>
      </w:r>
      <w:r w:rsidR="00BC5B36" w:rsidRPr="000E6927">
        <w:rPr>
          <w:rFonts w:asciiTheme="minorHAnsi" w:hAnsiTheme="minorHAnsi"/>
          <w:i/>
        </w:rPr>
        <w:t xml:space="preserve">6 </w:t>
      </w:r>
      <w:r w:rsidRPr="000E6927">
        <w:rPr>
          <w:rFonts w:asciiTheme="minorHAnsi" w:hAnsiTheme="minorHAnsi"/>
          <w:i/>
        </w:rPr>
        <w:t>PBAC outcome.</w:t>
      </w:r>
    </w:p>
    <w:p w:rsidR="00EB515E" w:rsidRPr="00D23FEB" w:rsidRDefault="00EB515E" w:rsidP="00D23FEB">
      <w:pPr>
        <w:pStyle w:val="PBACHeading1"/>
        <w:spacing w:before="240" w:after="120"/>
        <w:ind w:left="709" w:hanging="709"/>
        <w:rPr>
          <w:rFonts w:asciiTheme="minorHAnsi" w:hAnsiTheme="minorHAnsi"/>
          <w:sz w:val="32"/>
          <w:szCs w:val="32"/>
        </w:rPr>
      </w:pPr>
      <w:r w:rsidRPr="00D23FEB">
        <w:rPr>
          <w:rFonts w:asciiTheme="minorHAnsi" w:hAnsiTheme="minorHAnsi"/>
          <w:sz w:val="32"/>
          <w:szCs w:val="32"/>
        </w:rPr>
        <w:t>PBAC Outcome</w:t>
      </w:r>
    </w:p>
    <w:p w:rsidR="00F86627" w:rsidRPr="000E6927" w:rsidRDefault="007C5AEA" w:rsidP="00E57B27">
      <w:pPr>
        <w:numPr>
          <w:ilvl w:val="1"/>
          <w:numId w:val="5"/>
        </w:numPr>
        <w:spacing w:after="120"/>
        <w:jc w:val="both"/>
        <w:rPr>
          <w:rFonts w:asciiTheme="minorHAnsi" w:hAnsiTheme="minorHAnsi" w:cs="Arial"/>
          <w:bCs/>
          <w:snapToGrid w:val="0"/>
        </w:rPr>
      </w:pPr>
      <w:r w:rsidRPr="000E6927">
        <w:rPr>
          <w:rFonts w:asciiTheme="minorHAnsi" w:hAnsiTheme="minorHAnsi" w:cs="Arial"/>
          <w:bCs/>
          <w:snapToGrid w:val="0"/>
        </w:rPr>
        <w:t xml:space="preserve">The PBAC recommended </w:t>
      </w:r>
      <w:r w:rsidR="000E6927" w:rsidRPr="000E6927">
        <w:rPr>
          <w:rFonts w:asciiTheme="minorHAnsi" w:hAnsiTheme="minorHAnsi" w:cs="Arial"/>
          <w:bCs/>
          <w:snapToGrid w:val="0"/>
        </w:rPr>
        <w:t>extending</w:t>
      </w:r>
      <w:r w:rsidRPr="000E6927">
        <w:rPr>
          <w:rFonts w:asciiTheme="minorHAnsi" w:hAnsiTheme="minorHAnsi" w:cs="Arial"/>
          <w:bCs/>
          <w:snapToGrid w:val="0"/>
        </w:rPr>
        <w:t xml:space="preserve"> the </w:t>
      </w:r>
      <w:r w:rsidR="0084308B" w:rsidRPr="000E6927">
        <w:rPr>
          <w:rFonts w:asciiTheme="minorHAnsi" w:hAnsiTheme="minorHAnsi" w:cs="Arial"/>
          <w:bCs/>
          <w:snapToGrid w:val="0"/>
        </w:rPr>
        <w:t xml:space="preserve">current </w:t>
      </w:r>
      <w:r w:rsidRPr="000E6927">
        <w:rPr>
          <w:rFonts w:asciiTheme="minorHAnsi" w:hAnsiTheme="minorHAnsi" w:cs="Arial"/>
          <w:bCs/>
          <w:snapToGrid w:val="0"/>
        </w:rPr>
        <w:t xml:space="preserve">listing of </w:t>
      </w:r>
      <w:r w:rsidR="00F86627" w:rsidRPr="000E6927">
        <w:rPr>
          <w:rFonts w:asciiTheme="minorHAnsi" w:hAnsiTheme="minorHAnsi" w:cs="Arial"/>
          <w:bCs/>
          <w:snapToGrid w:val="0"/>
        </w:rPr>
        <w:t>lanreotide acetate 120</w:t>
      </w:r>
      <w:r w:rsidR="001156DB" w:rsidRPr="000E6927">
        <w:rPr>
          <w:rFonts w:asciiTheme="minorHAnsi" w:hAnsiTheme="minorHAnsi" w:cs="Arial"/>
          <w:bCs/>
          <w:snapToGrid w:val="0"/>
        </w:rPr>
        <w:t> </w:t>
      </w:r>
      <w:r w:rsidR="00F86627" w:rsidRPr="000E6927">
        <w:rPr>
          <w:rFonts w:asciiTheme="minorHAnsi" w:hAnsiTheme="minorHAnsi" w:cs="Arial"/>
          <w:bCs/>
          <w:snapToGrid w:val="0"/>
        </w:rPr>
        <w:t xml:space="preserve">mg/0.5 mL pre-filled syringe, </w:t>
      </w:r>
      <w:proofErr w:type="spellStart"/>
      <w:r w:rsidR="00F86627" w:rsidRPr="000E6927">
        <w:rPr>
          <w:rFonts w:asciiTheme="minorHAnsi" w:hAnsiTheme="minorHAnsi" w:cs="Arial"/>
          <w:bCs/>
          <w:snapToGrid w:val="0"/>
        </w:rPr>
        <w:t>Somatuline</w:t>
      </w:r>
      <w:proofErr w:type="spellEnd"/>
      <w:r w:rsidR="00F86627" w:rsidRPr="000E6927">
        <w:rPr>
          <w:rFonts w:asciiTheme="minorHAnsi" w:hAnsiTheme="minorHAnsi" w:cs="Arial"/>
          <w:bCs/>
          <w:snapToGrid w:val="0"/>
        </w:rPr>
        <w:t xml:space="preserve"> </w:t>
      </w:r>
      <w:proofErr w:type="spellStart"/>
      <w:r w:rsidR="00F86627" w:rsidRPr="000E6927">
        <w:rPr>
          <w:rFonts w:asciiTheme="minorHAnsi" w:hAnsiTheme="minorHAnsi" w:cs="Arial"/>
          <w:bCs/>
          <w:snapToGrid w:val="0"/>
        </w:rPr>
        <w:t>Autogel</w:t>
      </w:r>
      <w:proofErr w:type="spellEnd"/>
      <w:r w:rsidR="00F86627" w:rsidRPr="000E6927">
        <w:rPr>
          <w:rFonts w:asciiTheme="minorHAnsi" w:hAnsiTheme="minorHAnsi" w:cs="Arial"/>
          <w:bCs/>
          <w:snapToGrid w:val="0"/>
        </w:rPr>
        <w:t xml:space="preserve"> from Section 100 Highly Specialised Drugs program (HSD) to Section 100 HSD Community Access</w:t>
      </w:r>
      <w:r w:rsidR="00120BE1" w:rsidRPr="000E6927">
        <w:rPr>
          <w:rFonts w:asciiTheme="minorHAnsi" w:hAnsiTheme="minorHAnsi" w:cs="Arial"/>
          <w:bCs/>
          <w:snapToGrid w:val="0"/>
        </w:rPr>
        <w:t xml:space="preserve">, </w:t>
      </w:r>
      <w:r w:rsidR="00F86627" w:rsidRPr="000E6927">
        <w:rPr>
          <w:rFonts w:asciiTheme="minorHAnsi" w:hAnsiTheme="minorHAnsi" w:cs="Arial"/>
          <w:bCs/>
          <w:snapToGrid w:val="0"/>
        </w:rPr>
        <w:t xml:space="preserve">Authority Required </w:t>
      </w:r>
      <w:r w:rsidR="00120BE1" w:rsidRPr="000E6927">
        <w:rPr>
          <w:rFonts w:asciiTheme="minorHAnsi" w:hAnsiTheme="minorHAnsi" w:cs="Arial"/>
          <w:bCs/>
          <w:snapToGrid w:val="0"/>
        </w:rPr>
        <w:t>(</w:t>
      </w:r>
      <w:r w:rsidR="00F86627" w:rsidRPr="000E6927">
        <w:rPr>
          <w:rFonts w:asciiTheme="minorHAnsi" w:hAnsiTheme="minorHAnsi" w:cs="Arial"/>
          <w:bCs/>
          <w:snapToGrid w:val="0"/>
        </w:rPr>
        <w:t xml:space="preserve">STREAMLINED) for patients requiring continuing treatment of non-functional </w:t>
      </w:r>
      <w:proofErr w:type="spellStart"/>
      <w:r w:rsidR="00F86627" w:rsidRPr="000E6927">
        <w:rPr>
          <w:rFonts w:asciiTheme="minorHAnsi" w:hAnsiTheme="minorHAnsi" w:cs="Arial"/>
          <w:bCs/>
          <w:snapToGrid w:val="0"/>
        </w:rPr>
        <w:t>gastroenteropancreatic</w:t>
      </w:r>
      <w:proofErr w:type="spellEnd"/>
      <w:r w:rsidR="00F86627" w:rsidRPr="000E6927">
        <w:rPr>
          <w:rFonts w:asciiTheme="minorHAnsi" w:hAnsiTheme="minorHAnsi" w:cs="Arial"/>
          <w:bCs/>
          <w:snapToGrid w:val="0"/>
        </w:rPr>
        <w:t xml:space="preserve"> neuroendocrine tumour (GEP-NET).</w:t>
      </w:r>
    </w:p>
    <w:p w:rsidR="00F86627" w:rsidRPr="000E6927" w:rsidRDefault="00F86627" w:rsidP="00E57B27">
      <w:pPr>
        <w:numPr>
          <w:ilvl w:val="1"/>
          <w:numId w:val="5"/>
        </w:numPr>
        <w:spacing w:after="120"/>
        <w:jc w:val="both"/>
        <w:rPr>
          <w:rFonts w:asciiTheme="minorHAnsi" w:hAnsiTheme="minorHAnsi" w:cs="Arial"/>
          <w:bCs/>
          <w:snapToGrid w:val="0"/>
        </w:rPr>
      </w:pPr>
      <w:r w:rsidRPr="000E6927">
        <w:rPr>
          <w:rFonts w:asciiTheme="minorHAnsi" w:hAnsiTheme="minorHAnsi" w:cs="Arial"/>
          <w:bCs/>
          <w:snapToGrid w:val="0"/>
        </w:rPr>
        <w:t>The PBAC recommended that the continuing phase of treatment should be available under Section 100 - Highly Specialised Drugs Program (Community Access), whilst the initial phase of treatment should remain unchanged under Section 100 – Highly Specialised Drugs Program (Public and Private Hospitals).</w:t>
      </w:r>
    </w:p>
    <w:p w:rsidR="0050625A" w:rsidRPr="000E6927" w:rsidRDefault="0050625A" w:rsidP="0050625A">
      <w:pPr>
        <w:numPr>
          <w:ilvl w:val="1"/>
          <w:numId w:val="5"/>
        </w:numPr>
        <w:spacing w:after="120"/>
        <w:jc w:val="both"/>
        <w:rPr>
          <w:rFonts w:asciiTheme="minorHAnsi" w:hAnsiTheme="minorHAnsi"/>
          <w:bCs/>
        </w:rPr>
      </w:pPr>
      <w:r w:rsidRPr="000E6927">
        <w:rPr>
          <w:rFonts w:asciiTheme="minorHAnsi" w:hAnsiTheme="minorHAnsi"/>
          <w:bCs/>
        </w:rPr>
        <w:t xml:space="preserve">The PBAC noted that a Community Access listing would improve access for patients receiving continuing treatment with lanreotide in rural areas, by removing the requirement </w:t>
      </w:r>
      <w:r w:rsidRPr="000E6927">
        <w:rPr>
          <w:rFonts w:asciiTheme="minorHAnsi" w:eastAsiaTheme="minorHAnsi" w:hAnsiTheme="minorHAnsi" w:cstheme="minorBidi"/>
          <w:szCs w:val="22"/>
        </w:rPr>
        <w:t>for patients and prescribers to be affiliated with a hospital setting</w:t>
      </w:r>
      <w:r w:rsidRPr="000E6927">
        <w:rPr>
          <w:rFonts w:asciiTheme="minorHAnsi" w:hAnsiTheme="minorHAnsi"/>
          <w:bCs/>
        </w:rPr>
        <w:t xml:space="preserve">. </w:t>
      </w:r>
    </w:p>
    <w:p w:rsidR="003A2C1A" w:rsidRPr="000E6927" w:rsidRDefault="00EC1768" w:rsidP="00E57B27">
      <w:pPr>
        <w:numPr>
          <w:ilvl w:val="1"/>
          <w:numId w:val="5"/>
        </w:numPr>
        <w:spacing w:after="120"/>
        <w:jc w:val="both"/>
        <w:rPr>
          <w:rFonts w:asciiTheme="minorHAnsi" w:hAnsiTheme="minorHAnsi" w:cs="Arial"/>
          <w:bCs/>
        </w:rPr>
      </w:pPr>
      <w:r w:rsidRPr="000E6927">
        <w:rPr>
          <w:rFonts w:asciiTheme="minorHAnsi" w:hAnsiTheme="minorHAnsi" w:cs="Arial"/>
          <w:bCs/>
          <w:snapToGrid w:val="0"/>
        </w:rPr>
        <w:lastRenderedPageBreak/>
        <w:t xml:space="preserve">The PBAC noted </w:t>
      </w:r>
      <w:r w:rsidR="00120BE1" w:rsidRPr="000E6927">
        <w:rPr>
          <w:rFonts w:asciiTheme="minorHAnsi" w:hAnsiTheme="minorHAnsi" w:cs="Arial"/>
          <w:bCs/>
          <w:snapToGrid w:val="0"/>
        </w:rPr>
        <w:t xml:space="preserve">that </w:t>
      </w:r>
      <w:r w:rsidR="00120BE1" w:rsidRPr="000E6927">
        <w:rPr>
          <w:rFonts w:asciiTheme="minorHAnsi" w:eastAsiaTheme="minorHAnsi" w:hAnsiTheme="minorHAnsi" w:cstheme="minorBidi"/>
          <w:szCs w:val="22"/>
        </w:rPr>
        <w:t>the minor submission claimed that there would be no net increase in utilisation of lanreotide for continuing treatment for non-functional GEP</w:t>
      </w:r>
      <w:r w:rsidR="007C6BED" w:rsidRPr="000E6927">
        <w:rPr>
          <w:rFonts w:asciiTheme="minorHAnsi" w:eastAsiaTheme="minorHAnsi" w:hAnsiTheme="minorHAnsi" w:cstheme="minorBidi"/>
          <w:szCs w:val="22"/>
        </w:rPr>
        <w:noBreakHyphen/>
      </w:r>
      <w:r w:rsidR="00120BE1" w:rsidRPr="000E6927">
        <w:rPr>
          <w:rFonts w:asciiTheme="minorHAnsi" w:eastAsiaTheme="minorHAnsi" w:hAnsiTheme="minorHAnsi" w:cstheme="minorBidi"/>
          <w:szCs w:val="22"/>
        </w:rPr>
        <w:t xml:space="preserve">NET </w:t>
      </w:r>
      <w:r w:rsidR="000E6927" w:rsidRPr="000E6927">
        <w:rPr>
          <w:rFonts w:asciiTheme="minorHAnsi" w:eastAsiaTheme="minorHAnsi" w:hAnsiTheme="minorHAnsi" w:cstheme="minorBidi"/>
          <w:szCs w:val="22"/>
        </w:rPr>
        <w:t>because</w:t>
      </w:r>
      <w:r w:rsidR="00120BE1" w:rsidRPr="000E6927">
        <w:rPr>
          <w:rFonts w:asciiTheme="minorHAnsi" w:eastAsiaTheme="minorHAnsi" w:hAnsiTheme="minorHAnsi" w:cstheme="minorBidi"/>
          <w:szCs w:val="22"/>
        </w:rPr>
        <w:t xml:space="preserve"> of the additional Community Access listing and that additional costs to the Australian government will </w:t>
      </w:r>
      <w:r w:rsidR="000E6927">
        <w:rPr>
          <w:rFonts w:asciiTheme="minorHAnsi" w:eastAsiaTheme="minorHAnsi" w:hAnsiTheme="minorHAnsi" w:cstheme="minorBidi"/>
          <w:szCs w:val="22"/>
        </w:rPr>
        <w:t xml:space="preserve">result from </w:t>
      </w:r>
      <w:r w:rsidR="00120BE1" w:rsidRPr="000E6927">
        <w:rPr>
          <w:rFonts w:asciiTheme="minorHAnsi" w:eastAsiaTheme="minorHAnsi" w:hAnsiTheme="minorHAnsi" w:cstheme="minorBidi"/>
          <w:szCs w:val="22"/>
        </w:rPr>
        <w:t xml:space="preserve">the additional mark-ups applied to Community Access listings, compared with Public Hospital listings. </w:t>
      </w:r>
    </w:p>
    <w:p w:rsidR="00ED00B3" w:rsidRPr="000E6927" w:rsidRDefault="00E75EE7" w:rsidP="00E75EE7">
      <w:pPr>
        <w:numPr>
          <w:ilvl w:val="1"/>
          <w:numId w:val="5"/>
        </w:numPr>
        <w:spacing w:after="120"/>
        <w:jc w:val="both"/>
        <w:rPr>
          <w:rFonts w:asciiTheme="minorHAnsi" w:hAnsiTheme="minorHAnsi"/>
          <w:bCs/>
          <w:snapToGrid w:val="0"/>
        </w:rPr>
      </w:pPr>
      <w:r w:rsidRPr="00E75EE7">
        <w:rPr>
          <w:rFonts w:asciiTheme="minorHAnsi" w:eastAsiaTheme="minorHAnsi" w:hAnsiTheme="minorHAnsi" w:cstheme="minorBidi"/>
          <w:szCs w:val="22"/>
        </w:rPr>
        <w:t xml:space="preserve">The PBAC advised that there should be no increase to the current subsidisation caps </w:t>
      </w:r>
      <w:r>
        <w:rPr>
          <w:rFonts w:asciiTheme="minorHAnsi" w:eastAsiaTheme="minorHAnsi" w:hAnsiTheme="minorHAnsi" w:cstheme="minorBidi"/>
          <w:szCs w:val="22"/>
        </w:rPr>
        <w:t xml:space="preserve">under the RSA </w:t>
      </w:r>
      <w:r w:rsidRPr="00E75EE7">
        <w:rPr>
          <w:rFonts w:asciiTheme="minorHAnsi" w:eastAsiaTheme="minorHAnsi" w:hAnsiTheme="minorHAnsi" w:cstheme="minorBidi"/>
          <w:szCs w:val="22"/>
        </w:rPr>
        <w:t>for lanreotide for non-functional GEP-NETs, and noted that expenditure under the S100 HSD – Community Access listing would be captured under the existing Risk Sharing Arrangement.</w:t>
      </w:r>
    </w:p>
    <w:p w:rsidR="004053D0" w:rsidRPr="000E6927" w:rsidRDefault="004053D0">
      <w:pPr>
        <w:spacing w:before="240"/>
        <w:jc w:val="both"/>
        <w:rPr>
          <w:rFonts w:asciiTheme="minorHAnsi" w:hAnsiTheme="minorHAnsi" w:cs="Arial"/>
          <w:b/>
          <w:bCs/>
          <w:snapToGrid w:val="0"/>
        </w:rPr>
      </w:pPr>
      <w:r w:rsidRPr="000E6927">
        <w:rPr>
          <w:rFonts w:asciiTheme="minorHAnsi" w:hAnsiTheme="minorHAnsi" w:cs="Arial"/>
          <w:b/>
          <w:bCs/>
          <w:snapToGrid w:val="0"/>
        </w:rPr>
        <w:t>Outcome:</w:t>
      </w:r>
    </w:p>
    <w:p w:rsidR="004053D0" w:rsidRPr="000E6927" w:rsidRDefault="004053D0">
      <w:pPr>
        <w:jc w:val="both"/>
        <w:rPr>
          <w:rFonts w:asciiTheme="minorHAnsi" w:hAnsiTheme="minorHAnsi" w:cs="Arial"/>
          <w:bCs/>
          <w:snapToGrid w:val="0"/>
        </w:rPr>
      </w:pPr>
      <w:r w:rsidRPr="000E6927">
        <w:rPr>
          <w:rFonts w:asciiTheme="minorHAnsi" w:hAnsiTheme="minorHAnsi" w:cs="Arial"/>
          <w:bCs/>
          <w:snapToGrid w:val="0"/>
        </w:rPr>
        <w:t xml:space="preserve">Recommended </w:t>
      </w:r>
    </w:p>
    <w:p w:rsidR="00EB515E" w:rsidRPr="00D23FEB" w:rsidRDefault="00EB515E" w:rsidP="00D23FEB">
      <w:pPr>
        <w:pStyle w:val="PBACHeading1"/>
        <w:spacing w:before="240" w:after="120"/>
        <w:ind w:left="709" w:hanging="709"/>
        <w:rPr>
          <w:rFonts w:asciiTheme="minorHAnsi" w:hAnsiTheme="minorHAnsi"/>
          <w:sz w:val="32"/>
          <w:szCs w:val="32"/>
        </w:rPr>
      </w:pPr>
      <w:r w:rsidRPr="00D23FEB">
        <w:rPr>
          <w:rFonts w:asciiTheme="minorHAnsi" w:hAnsiTheme="minorHAnsi"/>
          <w:sz w:val="32"/>
          <w:szCs w:val="32"/>
        </w:rPr>
        <w:t>Recommended listing</w:t>
      </w:r>
    </w:p>
    <w:p w:rsidR="00EB515E" w:rsidRPr="000E6927" w:rsidRDefault="00EB515E" w:rsidP="00E57B27">
      <w:pPr>
        <w:numPr>
          <w:ilvl w:val="1"/>
          <w:numId w:val="5"/>
        </w:numPr>
        <w:spacing w:after="120"/>
        <w:jc w:val="both"/>
        <w:rPr>
          <w:rFonts w:asciiTheme="minorHAnsi" w:hAnsiTheme="minorHAnsi" w:cs="Arial"/>
          <w:bCs/>
          <w:snapToGrid w:val="0"/>
        </w:rPr>
      </w:pPr>
      <w:r w:rsidRPr="000E6927">
        <w:rPr>
          <w:rFonts w:asciiTheme="minorHAnsi" w:hAnsiTheme="minorHAnsi" w:cs="Arial"/>
          <w:bCs/>
          <w:snapToGrid w:val="0"/>
        </w:rPr>
        <w:t>Add new item:</w:t>
      </w:r>
    </w:p>
    <w:p w:rsidR="00EB515E" w:rsidRPr="000E6927" w:rsidRDefault="00EB515E" w:rsidP="00E57B27">
      <w:pPr>
        <w:ind w:firstLine="720"/>
        <w:jc w:val="both"/>
        <w:rPr>
          <w:rFonts w:asciiTheme="minorHAnsi" w:hAnsiTheme="minorHAnsi" w:cs="Arial"/>
          <w:bCs/>
          <w:snapToGrid w:val="0"/>
        </w:rPr>
      </w:pPr>
    </w:p>
    <w:tbl>
      <w:tblPr>
        <w:tblW w:w="5000" w:type="pct"/>
        <w:tblLook w:val="0000" w:firstRow="0" w:lastRow="0" w:firstColumn="0" w:lastColumn="0" w:noHBand="0" w:noVBand="0"/>
      </w:tblPr>
      <w:tblGrid>
        <w:gridCol w:w="1744"/>
        <w:gridCol w:w="1421"/>
        <w:gridCol w:w="693"/>
        <w:gridCol w:w="1110"/>
        <w:gridCol w:w="3984"/>
        <w:gridCol w:w="74"/>
      </w:tblGrid>
      <w:tr w:rsidR="00B475B9" w:rsidRPr="000E6927" w:rsidTr="00895B8E">
        <w:trPr>
          <w:cantSplit/>
          <w:trHeight w:val="465"/>
        </w:trPr>
        <w:tc>
          <w:tcPr>
            <w:tcW w:w="1753" w:type="pct"/>
            <w:gridSpan w:val="2"/>
            <w:tcBorders>
              <w:bottom w:val="single" w:sz="4" w:space="0" w:color="auto"/>
            </w:tcBorders>
          </w:tcPr>
          <w:p w:rsidR="00B475B9" w:rsidRPr="000E6927" w:rsidRDefault="00B475B9">
            <w:pPr>
              <w:keepNext/>
              <w:spacing w:before="40" w:after="40"/>
              <w:jc w:val="both"/>
              <w:rPr>
                <w:rFonts w:ascii="Arial Narrow" w:hAnsi="Arial Narrow" w:cs="Arial"/>
                <w:b/>
                <w:sz w:val="20"/>
                <w:szCs w:val="20"/>
              </w:rPr>
            </w:pPr>
            <w:r w:rsidRPr="000E6927">
              <w:rPr>
                <w:rFonts w:ascii="Arial Narrow" w:hAnsi="Arial Narrow" w:cs="Arial"/>
                <w:b/>
                <w:sz w:val="20"/>
                <w:szCs w:val="20"/>
              </w:rPr>
              <w:t>Name, Restriction,</w:t>
            </w:r>
          </w:p>
          <w:p w:rsidR="00B475B9" w:rsidRPr="000E6927" w:rsidRDefault="00B475B9">
            <w:pPr>
              <w:keepNext/>
              <w:spacing w:before="40" w:after="40"/>
              <w:jc w:val="both"/>
              <w:rPr>
                <w:rFonts w:ascii="Arial Narrow" w:hAnsi="Arial Narrow" w:cs="Arial"/>
                <w:b/>
                <w:sz w:val="20"/>
                <w:szCs w:val="20"/>
              </w:rPr>
            </w:pPr>
            <w:r w:rsidRPr="000E6927">
              <w:rPr>
                <w:rFonts w:ascii="Arial Narrow" w:hAnsi="Arial Narrow" w:cs="Arial"/>
                <w:b/>
                <w:sz w:val="20"/>
                <w:szCs w:val="20"/>
              </w:rPr>
              <w:t>Manner of administration and form</w:t>
            </w:r>
          </w:p>
        </w:tc>
        <w:tc>
          <w:tcPr>
            <w:tcW w:w="384" w:type="pct"/>
            <w:tcBorders>
              <w:bottom w:val="single" w:sz="4" w:space="0" w:color="auto"/>
            </w:tcBorders>
          </w:tcPr>
          <w:p w:rsidR="00B475B9" w:rsidRPr="000E6927" w:rsidRDefault="00B475B9">
            <w:pPr>
              <w:keepNext/>
              <w:spacing w:before="40" w:after="40"/>
              <w:jc w:val="both"/>
              <w:rPr>
                <w:rFonts w:ascii="Arial Narrow" w:hAnsi="Arial Narrow" w:cs="Arial"/>
                <w:b/>
                <w:sz w:val="20"/>
                <w:szCs w:val="20"/>
              </w:rPr>
            </w:pPr>
            <w:r w:rsidRPr="000E6927">
              <w:rPr>
                <w:rFonts w:ascii="Arial Narrow" w:hAnsi="Arial Narrow" w:cs="Arial"/>
                <w:b/>
                <w:sz w:val="20"/>
                <w:szCs w:val="20"/>
              </w:rPr>
              <w:t>Max.</w:t>
            </w:r>
          </w:p>
          <w:p w:rsidR="00B475B9" w:rsidRPr="000E6927" w:rsidRDefault="00B475B9">
            <w:pPr>
              <w:keepNext/>
              <w:spacing w:before="40" w:after="40"/>
              <w:jc w:val="both"/>
              <w:rPr>
                <w:rFonts w:ascii="Arial Narrow" w:hAnsi="Arial Narrow" w:cs="Arial"/>
                <w:b/>
                <w:sz w:val="20"/>
                <w:szCs w:val="20"/>
              </w:rPr>
            </w:pPr>
            <w:proofErr w:type="spellStart"/>
            <w:r w:rsidRPr="000E6927">
              <w:rPr>
                <w:rFonts w:ascii="Arial Narrow" w:hAnsi="Arial Narrow" w:cs="Arial"/>
                <w:b/>
                <w:sz w:val="20"/>
                <w:szCs w:val="20"/>
              </w:rPr>
              <w:t>Qty</w:t>
            </w:r>
            <w:proofErr w:type="spellEnd"/>
          </w:p>
        </w:tc>
        <w:tc>
          <w:tcPr>
            <w:tcW w:w="615" w:type="pct"/>
            <w:tcBorders>
              <w:bottom w:val="single" w:sz="4" w:space="0" w:color="auto"/>
            </w:tcBorders>
          </w:tcPr>
          <w:p w:rsidR="00B475B9" w:rsidRPr="000E6927" w:rsidRDefault="00B475B9">
            <w:pPr>
              <w:keepNext/>
              <w:spacing w:before="40" w:after="40"/>
              <w:jc w:val="both"/>
              <w:rPr>
                <w:rFonts w:ascii="Arial Narrow" w:hAnsi="Arial Narrow" w:cs="Arial"/>
                <w:b/>
                <w:sz w:val="20"/>
                <w:szCs w:val="20"/>
              </w:rPr>
            </w:pPr>
            <w:r w:rsidRPr="000E6927">
              <w:rPr>
                <w:rFonts w:ascii="Arial Narrow" w:hAnsi="Arial Narrow" w:cs="Arial"/>
                <w:b/>
                <w:sz w:val="20"/>
                <w:szCs w:val="20"/>
              </w:rPr>
              <w:t>№.of</w:t>
            </w:r>
          </w:p>
          <w:p w:rsidR="00B475B9" w:rsidRPr="000E6927" w:rsidRDefault="00B475B9">
            <w:pPr>
              <w:keepNext/>
              <w:spacing w:before="40" w:after="40"/>
              <w:jc w:val="both"/>
              <w:rPr>
                <w:rFonts w:ascii="Arial Narrow" w:hAnsi="Arial Narrow" w:cs="Arial"/>
                <w:b/>
                <w:sz w:val="20"/>
                <w:szCs w:val="20"/>
              </w:rPr>
            </w:pPr>
            <w:proofErr w:type="spellStart"/>
            <w:r w:rsidRPr="000E6927">
              <w:rPr>
                <w:rFonts w:ascii="Arial Narrow" w:hAnsi="Arial Narrow" w:cs="Arial"/>
                <w:b/>
                <w:sz w:val="20"/>
                <w:szCs w:val="20"/>
              </w:rPr>
              <w:t>Rpts</w:t>
            </w:r>
            <w:proofErr w:type="spellEnd"/>
          </w:p>
        </w:tc>
        <w:tc>
          <w:tcPr>
            <w:tcW w:w="2249" w:type="pct"/>
            <w:gridSpan w:val="2"/>
            <w:tcBorders>
              <w:bottom w:val="single" w:sz="4" w:space="0" w:color="auto"/>
            </w:tcBorders>
          </w:tcPr>
          <w:p w:rsidR="00B475B9" w:rsidRPr="000E6927" w:rsidRDefault="00B475B9">
            <w:pPr>
              <w:keepNext/>
              <w:spacing w:before="40" w:after="40"/>
              <w:jc w:val="both"/>
              <w:rPr>
                <w:rFonts w:ascii="Arial Narrow" w:hAnsi="Arial Narrow" w:cs="Arial"/>
                <w:b/>
                <w:sz w:val="20"/>
                <w:szCs w:val="20"/>
              </w:rPr>
            </w:pPr>
            <w:r w:rsidRPr="000E6927">
              <w:rPr>
                <w:rFonts w:ascii="Arial Narrow" w:hAnsi="Arial Narrow" w:cs="Arial"/>
                <w:b/>
                <w:sz w:val="20"/>
                <w:szCs w:val="20"/>
              </w:rPr>
              <w:t>Proprietary Name and Manufacturer</w:t>
            </w:r>
          </w:p>
        </w:tc>
      </w:tr>
      <w:tr w:rsidR="00B475B9" w:rsidRPr="000E6927" w:rsidTr="00895B8E">
        <w:trPr>
          <w:gridAfter w:val="1"/>
          <w:wAfter w:w="41" w:type="pct"/>
          <w:cantSplit/>
          <w:trHeight w:val="567"/>
        </w:trPr>
        <w:tc>
          <w:tcPr>
            <w:tcW w:w="1753" w:type="pct"/>
            <w:gridSpan w:val="2"/>
          </w:tcPr>
          <w:p w:rsidR="00B475B9" w:rsidRPr="000E6927" w:rsidRDefault="00B475B9">
            <w:pPr>
              <w:keepNext/>
              <w:spacing w:before="40" w:after="40"/>
              <w:jc w:val="both"/>
              <w:rPr>
                <w:rFonts w:ascii="Arial Narrow" w:hAnsi="Arial Narrow" w:cs="Arial"/>
                <w:sz w:val="20"/>
                <w:szCs w:val="20"/>
              </w:rPr>
            </w:pPr>
            <w:r w:rsidRPr="000E6927">
              <w:rPr>
                <w:rFonts w:ascii="Arial Narrow" w:hAnsi="Arial Narrow" w:cs="Arial"/>
                <w:smallCaps/>
                <w:sz w:val="20"/>
                <w:szCs w:val="20"/>
              </w:rPr>
              <w:t>LANREOTIDE</w:t>
            </w:r>
          </w:p>
          <w:p w:rsidR="00B475B9" w:rsidRPr="000E6927" w:rsidRDefault="00B475B9">
            <w:pPr>
              <w:keepNext/>
              <w:spacing w:before="40" w:after="40"/>
              <w:jc w:val="both"/>
              <w:rPr>
                <w:rFonts w:ascii="Arial Narrow" w:hAnsi="Arial Narrow" w:cs="Arial"/>
                <w:sz w:val="20"/>
                <w:szCs w:val="20"/>
              </w:rPr>
            </w:pPr>
            <w:r w:rsidRPr="000E6927">
              <w:rPr>
                <w:rFonts w:ascii="Arial Narrow" w:hAnsi="Arial Narrow" w:cs="Arial"/>
                <w:sz w:val="20"/>
                <w:szCs w:val="20"/>
              </w:rPr>
              <w:t>120 mg/0.5 mL injection, 0.5 mL syringe</w:t>
            </w:r>
          </w:p>
        </w:tc>
        <w:tc>
          <w:tcPr>
            <w:tcW w:w="384" w:type="pct"/>
          </w:tcPr>
          <w:p w:rsidR="00B475B9" w:rsidRPr="000E6927" w:rsidRDefault="00B475B9">
            <w:pPr>
              <w:keepNext/>
              <w:spacing w:before="40" w:after="40"/>
              <w:jc w:val="both"/>
              <w:rPr>
                <w:rFonts w:ascii="Arial Narrow" w:hAnsi="Arial Narrow" w:cs="Arial"/>
                <w:sz w:val="20"/>
                <w:szCs w:val="20"/>
              </w:rPr>
            </w:pPr>
          </w:p>
          <w:p w:rsidR="00B475B9" w:rsidRPr="000E6927" w:rsidRDefault="00B475B9">
            <w:pPr>
              <w:keepNext/>
              <w:spacing w:before="40" w:after="40"/>
              <w:jc w:val="both"/>
              <w:rPr>
                <w:rFonts w:ascii="Arial Narrow" w:hAnsi="Arial Narrow" w:cs="Arial"/>
                <w:sz w:val="20"/>
                <w:szCs w:val="20"/>
              </w:rPr>
            </w:pPr>
            <w:r w:rsidRPr="000E6927">
              <w:rPr>
                <w:rFonts w:ascii="Arial Narrow" w:hAnsi="Arial Narrow" w:cs="Arial"/>
                <w:sz w:val="20"/>
                <w:szCs w:val="20"/>
              </w:rPr>
              <w:t>2</w:t>
            </w:r>
          </w:p>
        </w:tc>
        <w:tc>
          <w:tcPr>
            <w:tcW w:w="615" w:type="pct"/>
          </w:tcPr>
          <w:p w:rsidR="00B475B9" w:rsidRPr="000E6927" w:rsidRDefault="00B475B9">
            <w:pPr>
              <w:keepNext/>
              <w:spacing w:before="40" w:after="40"/>
              <w:jc w:val="both"/>
              <w:rPr>
                <w:rFonts w:ascii="Arial Narrow" w:hAnsi="Arial Narrow" w:cs="Arial"/>
                <w:sz w:val="20"/>
                <w:szCs w:val="20"/>
              </w:rPr>
            </w:pPr>
          </w:p>
          <w:p w:rsidR="00B475B9" w:rsidRPr="000E6927" w:rsidRDefault="00B475B9">
            <w:pPr>
              <w:keepNext/>
              <w:spacing w:before="40" w:after="40"/>
              <w:jc w:val="both"/>
              <w:rPr>
                <w:rFonts w:ascii="Arial Narrow" w:hAnsi="Arial Narrow" w:cs="Arial"/>
                <w:sz w:val="20"/>
                <w:szCs w:val="20"/>
              </w:rPr>
            </w:pPr>
            <w:r w:rsidRPr="000E6927">
              <w:rPr>
                <w:rFonts w:ascii="Arial Narrow" w:hAnsi="Arial Narrow" w:cs="Arial"/>
                <w:sz w:val="20"/>
                <w:szCs w:val="20"/>
              </w:rPr>
              <w:t>5</w:t>
            </w:r>
          </w:p>
        </w:tc>
        <w:tc>
          <w:tcPr>
            <w:tcW w:w="2207" w:type="pct"/>
          </w:tcPr>
          <w:p w:rsidR="00B475B9" w:rsidRPr="000E6927" w:rsidRDefault="00B475B9">
            <w:pPr>
              <w:keepNext/>
              <w:spacing w:before="40" w:after="40"/>
              <w:jc w:val="both"/>
              <w:rPr>
                <w:rFonts w:ascii="Arial Narrow" w:hAnsi="Arial Narrow" w:cs="Arial"/>
                <w:sz w:val="20"/>
                <w:szCs w:val="20"/>
              </w:rPr>
            </w:pPr>
            <w:proofErr w:type="spellStart"/>
            <w:r w:rsidRPr="000E6927">
              <w:rPr>
                <w:rFonts w:ascii="Arial Narrow" w:hAnsi="Arial Narrow" w:cs="Arial"/>
                <w:sz w:val="20"/>
                <w:szCs w:val="20"/>
              </w:rPr>
              <w:t>Somatuline</w:t>
            </w:r>
            <w:proofErr w:type="spellEnd"/>
            <w:r w:rsidRPr="000E6927">
              <w:rPr>
                <w:rFonts w:ascii="Arial Narrow" w:hAnsi="Arial Narrow" w:cs="Arial"/>
                <w:sz w:val="20"/>
                <w:szCs w:val="20"/>
              </w:rPr>
              <w:t xml:space="preserve">® </w:t>
            </w:r>
            <w:proofErr w:type="spellStart"/>
            <w:r w:rsidRPr="000E6927">
              <w:rPr>
                <w:rFonts w:ascii="Arial Narrow" w:hAnsi="Arial Narrow" w:cs="Arial"/>
                <w:sz w:val="20"/>
                <w:szCs w:val="20"/>
              </w:rPr>
              <w:t>Autogel</w:t>
            </w:r>
            <w:proofErr w:type="spellEnd"/>
            <w:r w:rsidRPr="000E6927">
              <w:rPr>
                <w:rFonts w:ascii="Arial Narrow" w:hAnsi="Arial Narrow" w:cs="Arial"/>
                <w:sz w:val="20"/>
                <w:szCs w:val="20"/>
              </w:rPr>
              <w:t xml:space="preserve">®, </w:t>
            </w:r>
            <w:proofErr w:type="spellStart"/>
            <w:r w:rsidRPr="000E6927">
              <w:rPr>
                <w:rFonts w:ascii="Arial Narrow" w:hAnsi="Arial Narrow" w:cs="Arial"/>
                <w:sz w:val="20"/>
                <w:szCs w:val="20"/>
              </w:rPr>
              <w:t>Ipsen</w:t>
            </w:r>
            <w:proofErr w:type="spellEnd"/>
            <w:r w:rsidRPr="000E6927">
              <w:rPr>
                <w:rFonts w:ascii="Arial Narrow" w:hAnsi="Arial Narrow" w:cs="Arial"/>
                <w:sz w:val="20"/>
                <w:szCs w:val="20"/>
              </w:rPr>
              <w:t xml:space="preserve"> Pty Ltd</w:t>
            </w:r>
          </w:p>
        </w:tc>
      </w:tr>
      <w:tr w:rsidR="00B475B9" w:rsidRPr="000E6927" w:rsidTr="00895B8E">
        <w:trPr>
          <w:gridAfter w:val="1"/>
          <w:wAfter w:w="41" w:type="pct"/>
          <w:cantSplit/>
          <w:trHeight w:val="360"/>
        </w:trPr>
        <w:tc>
          <w:tcPr>
            <w:tcW w:w="4959" w:type="pct"/>
            <w:gridSpan w:val="5"/>
            <w:tcBorders>
              <w:bottom w:val="single" w:sz="4" w:space="0" w:color="auto"/>
            </w:tcBorders>
          </w:tcPr>
          <w:p w:rsidR="00B475B9" w:rsidRPr="000E6927" w:rsidRDefault="00B475B9">
            <w:pPr>
              <w:spacing w:before="40" w:after="40"/>
              <w:jc w:val="both"/>
              <w:rPr>
                <w:rFonts w:ascii="Arial Narrow" w:hAnsi="Arial Narrow" w:cs="Arial"/>
                <w:sz w:val="20"/>
                <w:szCs w:val="20"/>
              </w:rPr>
            </w:pPr>
          </w:p>
        </w:tc>
      </w:tr>
      <w:tr w:rsidR="00B475B9" w:rsidRPr="000E6927" w:rsidTr="00895B8E">
        <w:trPr>
          <w:cantSplit/>
          <w:trHeight w:val="360"/>
        </w:trPr>
        <w:tc>
          <w:tcPr>
            <w:tcW w:w="966" w:type="pct"/>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jc w:val="both"/>
              <w:rPr>
                <w:rFonts w:ascii="Arial Narrow" w:hAnsi="Arial Narrow" w:cs="Arial"/>
                <w:b/>
                <w:sz w:val="20"/>
                <w:szCs w:val="20"/>
              </w:rPr>
            </w:pPr>
            <w:r w:rsidRPr="000E6927">
              <w:rPr>
                <w:rFonts w:ascii="Arial Narrow" w:hAnsi="Arial Narrow" w:cs="Arial"/>
                <w:b/>
                <w:sz w:val="20"/>
                <w:szCs w:val="20"/>
              </w:rPr>
              <w:t xml:space="preserve">Category / </w:t>
            </w:r>
          </w:p>
          <w:p w:rsidR="00B475B9" w:rsidRPr="000E6927" w:rsidRDefault="00B475B9">
            <w:pPr>
              <w:spacing w:before="40" w:after="40"/>
              <w:jc w:val="both"/>
              <w:rPr>
                <w:rFonts w:ascii="Arial Narrow" w:hAnsi="Arial Narrow" w:cs="Arial"/>
                <w:b/>
                <w:sz w:val="20"/>
                <w:szCs w:val="20"/>
              </w:rPr>
            </w:pPr>
            <w:r w:rsidRPr="000E6927">
              <w:rPr>
                <w:rFonts w:ascii="Arial Narrow" w:hAnsi="Arial Narrow" w:cs="Arial"/>
                <w:b/>
                <w:sz w:val="20"/>
                <w:szCs w:val="20"/>
              </w:rPr>
              <w:t>Program</w:t>
            </w:r>
          </w:p>
        </w:tc>
        <w:tc>
          <w:tcPr>
            <w:tcW w:w="4034" w:type="pct"/>
            <w:gridSpan w:val="5"/>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Section 100 (Highly Specialised Drugs) – Community Access</w:t>
            </w:r>
          </w:p>
          <w:p w:rsidR="00B475B9" w:rsidRPr="000E6927" w:rsidRDefault="00B475B9">
            <w:pPr>
              <w:spacing w:before="40" w:after="40"/>
              <w:rPr>
                <w:rFonts w:ascii="Arial Narrow" w:hAnsi="Arial Narrow" w:cs="Arial"/>
                <w:sz w:val="20"/>
                <w:szCs w:val="20"/>
              </w:rPr>
            </w:pPr>
          </w:p>
        </w:tc>
      </w:tr>
      <w:tr w:rsidR="00B475B9" w:rsidRPr="000E6927" w:rsidTr="00895B8E">
        <w:trPr>
          <w:cantSplit/>
          <w:trHeight w:val="360"/>
        </w:trPr>
        <w:tc>
          <w:tcPr>
            <w:tcW w:w="966" w:type="pct"/>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jc w:val="both"/>
              <w:rPr>
                <w:rFonts w:ascii="Arial Narrow" w:hAnsi="Arial Narrow" w:cs="Arial"/>
                <w:b/>
                <w:sz w:val="20"/>
                <w:szCs w:val="20"/>
              </w:rPr>
            </w:pPr>
            <w:r w:rsidRPr="000E6927">
              <w:rPr>
                <w:rFonts w:ascii="Arial Narrow" w:hAnsi="Arial Narrow" w:cs="Arial"/>
                <w:b/>
                <w:sz w:val="20"/>
                <w:szCs w:val="20"/>
              </w:rPr>
              <w:t>Prescriber type:</w:t>
            </w:r>
          </w:p>
        </w:tc>
        <w:tc>
          <w:tcPr>
            <w:tcW w:w="4034" w:type="pct"/>
            <w:gridSpan w:val="5"/>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fldChar w:fldCharType="begin">
                <w:ffData>
                  <w:name w:val=""/>
                  <w:enabled/>
                  <w:calcOnExit w:val="0"/>
                  <w:checkBox>
                    <w:sizeAuto/>
                    <w:default w:val="1"/>
                  </w:checkBox>
                </w:ffData>
              </w:fldChar>
            </w:r>
            <w:r w:rsidRPr="000E6927">
              <w:rPr>
                <w:rFonts w:ascii="Arial Narrow" w:hAnsi="Arial Narrow" w:cs="Arial"/>
                <w:sz w:val="20"/>
                <w:szCs w:val="20"/>
              </w:rPr>
              <w:instrText xml:space="preserve"> FORMCHECKBOX </w:instrText>
            </w:r>
            <w:r w:rsidR="00200BC8">
              <w:rPr>
                <w:rFonts w:ascii="Arial Narrow" w:hAnsi="Arial Narrow" w:cs="Arial"/>
                <w:sz w:val="20"/>
                <w:szCs w:val="20"/>
              </w:rPr>
            </w:r>
            <w:r w:rsidR="00200BC8">
              <w:rPr>
                <w:rFonts w:ascii="Arial Narrow" w:hAnsi="Arial Narrow" w:cs="Arial"/>
                <w:sz w:val="20"/>
                <w:szCs w:val="20"/>
              </w:rPr>
              <w:fldChar w:fldCharType="separate"/>
            </w:r>
            <w:r w:rsidRPr="000E6927">
              <w:rPr>
                <w:rFonts w:ascii="Arial Narrow" w:hAnsi="Arial Narrow" w:cs="Arial"/>
                <w:sz w:val="20"/>
                <w:szCs w:val="20"/>
              </w:rPr>
              <w:fldChar w:fldCharType="end"/>
            </w:r>
            <w:r w:rsidRPr="000E6927">
              <w:rPr>
                <w:rFonts w:ascii="Arial Narrow" w:hAnsi="Arial Narrow" w:cs="Arial"/>
                <w:sz w:val="20"/>
                <w:szCs w:val="20"/>
              </w:rPr>
              <w:t xml:space="preserve">Medical Practitioners  </w:t>
            </w:r>
          </w:p>
        </w:tc>
      </w:tr>
      <w:tr w:rsidR="00B475B9" w:rsidRPr="000E6927" w:rsidTr="00895B8E">
        <w:trPr>
          <w:cantSplit/>
          <w:trHeight w:val="360"/>
        </w:trPr>
        <w:tc>
          <w:tcPr>
            <w:tcW w:w="966" w:type="pct"/>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jc w:val="both"/>
              <w:rPr>
                <w:rFonts w:ascii="Arial Narrow" w:hAnsi="Arial Narrow" w:cs="Arial"/>
                <w:b/>
                <w:sz w:val="20"/>
                <w:szCs w:val="20"/>
              </w:rPr>
            </w:pPr>
            <w:r w:rsidRPr="000E6927">
              <w:rPr>
                <w:rFonts w:ascii="Arial Narrow" w:hAnsi="Arial Narrow" w:cs="Arial"/>
                <w:b/>
                <w:sz w:val="20"/>
                <w:szCs w:val="20"/>
              </w:rPr>
              <w:t>PBS Indication:</w:t>
            </w:r>
          </w:p>
        </w:tc>
        <w:tc>
          <w:tcPr>
            <w:tcW w:w="4034" w:type="pct"/>
            <w:gridSpan w:val="5"/>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 xml:space="preserve">Non-functional </w:t>
            </w:r>
            <w:proofErr w:type="spellStart"/>
            <w:r w:rsidRPr="000E6927">
              <w:rPr>
                <w:rFonts w:ascii="Arial Narrow" w:hAnsi="Arial Narrow" w:cs="Arial"/>
                <w:sz w:val="20"/>
                <w:szCs w:val="20"/>
              </w:rPr>
              <w:t>gastroenteropancreatic</w:t>
            </w:r>
            <w:proofErr w:type="spellEnd"/>
            <w:r w:rsidRPr="000E6927">
              <w:rPr>
                <w:rFonts w:ascii="Arial Narrow" w:hAnsi="Arial Narrow" w:cs="Arial"/>
                <w:sz w:val="20"/>
                <w:szCs w:val="20"/>
              </w:rPr>
              <w:t xml:space="preserve"> neuroendocrine tumour (GEP-NET)</w:t>
            </w:r>
          </w:p>
        </w:tc>
      </w:tr>
      <w:tr w:rsidR="00B475B9" w:rsidRPr="000E6927" w:rsidTr="00895B8E">
        <w:trPr>
          <w:cantSplit/>
          <w:trHeight w:val="360"/>
        </w:trPr>
        <w:tc>
          <w:tcPr>
            <w:tcW w:w="966" w:type="pct"/>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jc w:val="both"/>
              <w:rPr>
                <w:rFonts w:ascii="Arial Narrow" w:hAnsi="Arial Narrow" w:cs="Arial"/>
                <w:b/>
                <w:sz w:val="20"/>
                <w:szCs w:val="20"/>
              </w:rPr>
            </w:pPr>
            <w:r w:rsidRPr="000E6927">
              <w:rPr>
                <w:rFonts w:ascii="Arial Narrow" w:hAnsi="Arial Narrow" w:cs="Arial"/>
                <w:b/>
                <w:sz w:val="20"/>
                <w:szCs w:val="20"/>
              </w:rPr>
              <w:t>Restriction Level / Method:</w:t>
            </w:r>
          </w:p>
        </w:tc>
        <w:tc>
          <w:tcPr>
            <w:tcW w:w="4034" w:type="pct"/>
            <w:gridSpan w:val="5"/>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fldChar w:fldCharType="begin">
                <w:ffData>
                  <w:name w:val="Check5"/>
                  <w:enabled/>
                  <w:calcOnExit w:val="0"/>
                  <w:checkBox>
                    <w:sizeAuto/>
                    <w:default w:val="1"/>
                  </w:checkBox>
                </w:ffData>
              </w:fldChar>
            </w:r>
            <w:r w:rsidRPr="000E6927">
              <w:rPr>
                <w:rFonts w:ascii="Arial Narrow" w:hAnsi="Arial Narrow" w:cs="Arial"/>
                <w:sz w:val="20"/>
                <w:szCs w:val="20"/>
              </w:rPr>
              <w:instrText xml:space="preserve"> FORMCHECKBOX </w:instrText>
            </w:r>
            <w:r w:rsidR="00200BC8">
              <w:rPr>
                <w:rFonts w:ascii="Arial Narrow" w:hAnsi="Arial Narrow" w:cs="Arial"/>
                <w:sz w:val="20"/>
                <w:szCs w:val="20"/>
              </w:rPr>
            </w:r>
            <w:r w:rsidR="00200BC8">
              <w:rPr>
                <w:rFonts w:ascii="Arial Narrow" w:hAnsi="Arial Narrow" w:cs="Arial"/>
                <w:sz w:val="20"/>
                <w:szCs w:val="20"/>
              </w:rPr>
              <w:fldChar w:fldCharType="separate"/>
            </w:r>
            <w:r w:rsidRPr="000E6927">
              <w:rPr>
                <w:rFonts w:ascii="Arial Narrow" w:hAnsi="Arial Narrow" w:cs="Arial"/>
                <w:sz w:val="20"/>
                <w:szCs w:val="20"/>
              </w:rPr>
              <w:fldChar w:fldCharType="end"/>
            </w:r>
            <w:r w:rsidRPr="000E6927">
              <w:rPr>
                <w:rFonts w:ascii="Arial Narrow" w:hAnsi="Arial Narrow" w:cs="Arial"/>
                <w:sz w:val="20"/>
                <w:szCs w:val="20"/>
              </w:rPr>
              <w:t>Streamlined</w:t>
            </w:r>
          </w:p>
        </w:tc>
      </w:tr>
      <w:tr w:rsidR="00B475B9" w:rsidRPr="000E6927" w:rsidTr="00895B8E">
        <w:trPr>
          <w:cantSplit/>
          <w:trHeight w:val="360"/>
        </w:trPr>
        <w:tc>
          <w:tcPr>
            <w:tcW w:w="966" w:type="pct"/>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jc w:val="both"/>
              <w:rPr>
                <w:rFonts w:ascii="Arial Narrow" w:hAnsi="Arial Narrow" w:cs="Arial"/>
                <w:b/>
                <w:sz w:val="20"/>
                <w:szCs w:val="20"/>
              </w:rPr>
            </w:pPr>
            <w:r w:rsidRPr="000E6927">
              <w:rPr>
                <w:rFonts w:ascii="Arial Narrow" w:hAnsi="Arial Narrow" w:cs="Arial"/>
                <w:b/>
                <w:sz w:val="20"/>
                <w:szCs w:val="20"/>
              </w:rPr>
              <w:t>Clinical criteria:</w:t>
            </w:r>
          </w:p>
          <w:p w:rsidR="00B475B9" w:rsidRPr="000E6927" w:rsidRDefault="00B475B9">
            <w:pPr>
              <w:spacing w:before="40" w:after="40"/>
              <w:jc w:val="both"/>
              <w:rPr>
                <w:rFonts w:ascii="Arial Narrow" w:hAnsi="Arial Narrow" w:cs="Arial"/>
                <w:i/>
                <w:sz w:val="20"/>
                <w:szCs w:val="20"/>
              </w:rPr>
            </w:pPr>
          </w:p>
          <w:p w:rsidR="00B475B9" w:rsidRPr="000E6927" w:rsidRDefault="00B475B9">
            <w:pPr>
              <w:spacing w:before="40" w:after="40"/>
              <w:jc w:val="both"/>
              <w:rPr>
                <w:rFonts w:ascii="Arial Narrow" w:hAnsi="Arial Narrow" w:cs="Arial"/>
                <w:sz w:val="20"/>
                <w:szCs w:val="20"/>
              </w:rPr>
            </w:pPr>
          </w:p>
        </w:tc>
        <w:tc>
          <w:tcPr>
            <w:tcW w:w="4034" w:type="pct"/>
            <w:gridSpan w:val="5"/>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Patient must have previously received PBS-subsidised treatment with this drug for this condition,</w:t>
            </w:r>
          </w:p>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AND</w:t>
            </w:r>
          </w:p>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 xml:space="preserve">The condition must be </w:t>
            </w:r>
            <w:proofErr w:type="spellStart"/>
            <w:r w:rsidRPr="000E6927">
              <w:rPr>
                <w:rFonts w:ascii="Arial Narrow" w:hAnsi="Arial Narrow" w:cs="Arial"/>
                <w:sz w:val="20"/>
                <w:szCs w:val="20"/>
              </w:rPr>
              <w:t>unresectable</w:t>
            </w:r>
            <w:proofErr w:type="spellEnd"/>
            <w:r w:rsidRPr="000E6927">
              <w:rPr>
                <w:rFonts w:ascii="Arial Narrow" w:hAnsi="Arial Narrow" w:cs="Arial"/>
                <w:sz w:val="20"/>
                <w:szCs w:val="20"/>
              </w:rPr>
              <w:t xml:space="preserve"> locally advanced or metastatic disease,</w:t>
            </w:r>
          </w:p>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AND</w:t>
            </w:r>
          </w:p>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The condition must be World Health Organisation (WHO) grade 1 or 2</w:t>
            </w:r>
          </w:p>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AND</w:t>
            </w:r>
          </w:p>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The treatment must be as monotherapy</w:t>
            </w:r>
          </w:p>
        </w:tc>
      </w:tr>
      <w:tr w:rsidR="00B475B9" w:rsidRPr="000E6927" w:rsidTr="00895B8E">
        <w:trPr>
          <w:cantSplit/>
          <w:trHeight w:val="360"/>
        </w:trPr>
        <w:tc>
          <w:tcPr>
            <w:tcW w:w="966" w:type="pct"/>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jc w:val="both"/>
              <w:rPr>
                <w:rFonts w:ascii="Arial Narrow" w:hAnsi="Arial Narrow" w:cs="Arial"/>
                <w:b/>
                <w:sz w:val="20"/>
                <w:szCs w:val="20"/>
              </w:rPr>
            </w:pPr>
            <w:r w:rsidRPr="000E6927">
              <w:rPr>
                <w:rFonts w:ascii="Arial Narrow" w:hAnsi="Arial Narrow" w:cs="Arial"/>
                <w:b/>
                <w:sz w:val="20"/>
                <w:szCs w:val="20"/>
              </w:rPr>
              <w:t>Population criteria:</w:t>
            </w:r>
          </w:p>
        </w:tc>
        <w:tc>
          <w:tcPr>
            <w:tcW w:w="4034" w:type="pct"/>
            <w:gridSpan w:val="5"/>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jc w:val="both"/>
              <w:rPr>
                <w:rFonts w:ascii="Arial Narrow" w:hAnsi="Arial Narrow" w:cs="Arial"/>
                <w:sz w:val="20"/>
                <w:szCs w:val="20"/>
              </w:rPr>
            </w:pPr>
            <w:r w:rsidRPr="000E6927">
              <w:rPr>
                <w:rFonts w:ascii="Arial Narrow" w:hAnsi="Arial Narrow" w:cs="Arial"/>
                <w:sz w:val="20"/>
                <w:szCs w:val="20"/>
              </w:rPr>
              <w:t>Patient must be aged 18 years or older.</w:t>
            </w:r>
          </w:p>
        </w:tc>
      </w:tr>
      <w:tr w:rsidR="00B475B9" w:rsidRPr="000E6927" w:rsidTr="00895B8E">
        <w:trPr>
          <w:cantSplit/>
          <w:trHeight w:val="360"/>
        </w:trPr>
        <w:tc>
          <w:tcPr>
            <w:tcW w:w="966" w:type="pct"/>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jc w:val="both"/>
              <w:rPr>
                <w:rFonts w:ascii="Arial Narrow" w:hAnsi="Arial Narrow" w:cs="Arial"/>
                <w:b/>
                <w:sz w:val="20"/>
                <w:szCs w:val="20"/>
              </w:rPr>
            </w:pPr>
            <w:r w:rsidRPr="000E6927">
              <w:rPr>
                <w:rFonts w:ascii="Arial Narrow" w:hAnsi="Arial Narrow" w:cs="Arial"/>
                <w:b/>
                <w:sz w:val="20"/>
                <w:szCs w:val="20"/>
              </w:rPr>
              <w:lastRenderedPageBreak/>
              <w:t>Prescriber Instructions</w:t>
            </w:r>
          </w:p>
        </w:tc>
        <w:tc>
          <w:tcPr>
            <w:tcW w:w="4034" w:type="pct"/>
            <w:gridSpan w:val="5"/>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WHO grade 1 of GEP-NETs is defined as a mitotic count (10HPF) of less than 2 and Ki-67 index (%) of less than or equal to 2.</w:t>
            </w:r>
          </w:p>
          <w:p w:rsidR="00B475B9" w:rsidRPr="000E6927" w:rsidRDefault="00B475B9">
            <w:pPr>
              <w:spacing w:before="40" w:after="40"/>
              <w:rPr>
                <w:rFonts w:ascii="Arial Narrow" w:hAnsi="Arial Narrow" w:cs="Arial"/>
                <w:sz w:val="20"/>
                <w:szCs w:val="20"/>
              </w:rPr>
            </w:pPr>
          </w:p>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WHO grade 2 of GEP-NETs is defined as a mitotic count (10HPF) of 2-20 and Ki-67 index (%) of 3-20.</w:t>
            </w:r>
          </w:p>
          <w:p w:rsidR="00B475B9" w:rsidRPr="000E6927" w:rsidRDefault="00B475B9">
            <w:pPr>
              <w:spacing w:before="40" w:after="40"/>
              <w:rPr>
                <w:rFonts w:ascii="Arial Narrow" w:hAnsi="Arial Narrow" w:cs="Arial"/>
                <w:sz w:val="20"/>
                <w:szCs w:val="20"/>
              </w:rPr>
            </w:pPr>
          </w:p>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 xml:space="preserve">Lanreotide is not PBS-subsidised for use in combination with </w:t>
            </w:r>
            <w:proofErr w:type="spellStart"/>
            <w:r w:rsidRPr="000E6927">
              <w:rPr>
                <w:rFonts w:ascii="Arial Narrow" w:hAnsi="Arial Narrow" w:cs="Arial"/>
                <w:sz w:val="20"/>
                <w:szCs w:val="20"/>
              </w:rPr>
              <w:t>everolimus</w:t>
            </w:r>
            <w:proofErr w:type="spellEnd"/>
            <w:r w:rsidRPr="000E6927">
              <w:rPr>
                <w:rFonts w:ascii="Arial Narrow" w:hAnsi="Arial Narrow" w:cs="Arial"/>
                <w:sz w:val="20"/>
                <w:szCs w:val="20"/>
              </w:rPr>
              <w:t xml:space="preserve"> or </w:t>
            </w:r>
            <w:proofErr w:type="spellStart"/>
            <w:r w:rsidRPr="000E6927">
              <w:rPr>
                <w:rFonts w:ascii="Arial Narrow" w:hAnsi="Arial Narrow" w:cs="Arial"/>
                <w:sz w:val="20"/>
                <w:szCs w:val="20"/>
              </w:rPr>
              <w:t>sunitinib</w:t>
            </w:r>
            <w:proofErr w:type="spellEnd"/>
            <w:r w:rsidRPr="000E6927">
              <w:rPr>
                <w:rFonts w:ascii="Arial Narrow" w:hAnsi="Arial Narrow" w:cs="Arial"/>
                <w:sz w:val="20"/>
                <w:szCs w:val="20"/>
              </w:rPr>
              <w:t xml:space="preserve"> for this condition.</w:t>
            </w:r>
          </w:p>
        </w:tc>
      </w:tr>
      <w:tr w:rsidR="00B475B9" w:rsidRPr="000E6927" w:rsidTr="00895B8E">
        <w:trPr>
          <w:cantSplit/>
          <w:trHeight w:val="360"/>
        </w:trPr>
        <w:tc>
          <w:tcPr>
            <w:tcW w:w="966" w:type="pct"/>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jc w:val="both"/>
              <w:rPr>
                <w:rFonts w:ascii="Arial Narrow" w:hAnsi="Arial Narrow" w:cs="Arial"/>
                <w:b/>
                <w:sz w:val="20"/>
                <w:szCs w:val="20"/>
              </w:rPr>
            </w:pPr>
            <w:r w:rsidRPr="000E6927">
              <w:rPr>
                <w:rFonts w:ascii="Arial Narrow" w:hAnsi="Arial Narrow" w:cs="Arial"/>
                <w:b/>
                <w:sz w:val="20"/>
                <w:szCs w:val="20"/>
              </w:rPr>
              <w:t>Administrative Advice</w:t>
            </w:r>
          </w:p>
        </w:tc>
        <w:tc>
          <w:tcPr>
            <w:tcW w:w="4034" w:type="pct"/>
            <w:gridSpan w:val="5"/>
            <w:tcBorders>
              <w:top w:val="single" w:sz="4" w:space="0" w:color="auto"/>
              <w:left w:val="single" w:sz="4" w:space="0" w:color="auto"/>
              <w:bottom w:val="single" w:sz="4" w:space="0" w:color="auto"/>
              <w:right w:val="single" w:sz="4" w:space="0" w:color="auto"/>
            </w:tcBorders>
          </w:tcPr>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No increase in the maximum quantity or number of units may be authorised.</w:t>
            </w:r>
          </w:p>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No increase in the maximum number of repeats may be authorised.</w:t>
            </w:r>
          </w:p>
          <w:p w:rsidR="00B475B9" w:rsidRPr="000E6927" w:rsidRDefault="00B475B9">
            <w:pPr>
              <w:spacing w:before="40" w:after="40"/>
              <w:rPr>
                <w:rFonts w:ascii="Arial Narrow" w:hAnsi="Arial Narrow" w:cs="Arial"/>
                <w:sz w:val="20"/>
                <w:szCs w:val="20"/>
              </w:rPr>
            </w:pPr>
            <w:r w:rsidRPr="000E6927">
              <w:rPr>
                <w:rFonts w:ascii="Arial Narrow" w:hAnsi="Arial Narrow" w:cs="Arial"/>
                <w:sz w:val="20"/>
                <w:szCs w:val="20"/>
              </w:rPr>
              <w:t>Special Pricing Arrangements apply.</w:t>
            </w:r>
          </w:p>
        </w:tc>
      </w:tr>
    </w:tbl>
    <w:p w:rsidR="00B475B9" w:rsidRPr="000E6927" w:rsidRDefault="00B475B9" w:rsidP="00E57B27">
      <w:pPr>
        <w:spacing w:after="120"/>
        <w:rPr>
          <w:rFonts w:asciiTheme="minorHAnsi" w:eastAsiaTheme="minorHAnsi" w:hAnsiTheme="minorHAnsi" w:cstheme="minorBidi"/>
          <w:i/>
          <w:szCs w:val="22"/>
        </w:rPr>
      </w:pPr>
    </w:p>
    <w:p w:rsidR="00160C67" w:rsidRPr="00200BC8" w:rsidRDefault="00160C67" w:rsidP="00160C67">
      <w:pPr>
        <w:pStyle w:val="PBACHeading1"/>
        <w:spacing w:before="240" w:after="120"/>
        <w:ind w:left="709" w:hanging="709"/>
        <w:rPr>
          <w:rFonts w:asciiTheme="minorHAnsi" w:hAnsiTheme="minorHAnsi"/>
          <w:sz w:val="32"/>
          <w:szCs w:val="32"/>
        </w:rPr>
      </w:pPr>
      <w:r w:rsidRPr="00200BC8">
        <w:rPr>
          <w:rFonts w:asciiTheme="minorHAnsi" w:hAnsiTheme="minorHAnsi"/>
          <w:sz w:val="32"/>
          <w:szCs w:val="32"/>
        </w:rPr>
        <w:t>Context for Decision</w:t>
      </w:r>
    </w:p>
    <w:p w:rsidR="00160C67" w:rsidRPr="008D3179" w:rsidRDefault="00160C67" w:rsidP="008D3179">
      <w:pPr>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60C67" w:rsidRPr="00200BC8" w:rsidRDefault="00160C67" w:rsidP="00160C67">
      <w:pPr>
        <w:pStyle w:val="PBACHeading1"/>
        <w:spacing w:before="240" w:after="120"/>
        <w:ind w:left="709" w:hanging="709"/>
        <w:rPr>
          <w:rFonts w:asciiTheme="minorHAnsi" w:hAnsiTheme="minorHAnsi"/>
          <w:sz w:val="32"/>
          <w:szCs w:val="32"/>
        </w:rPr>
      </w:pPr>
      <w:r w:rsidRPr="00200BC8">
        <w:rPr>
          <w:rFonts w:asciiTheme="minorHAnsi" w:hAnsiTheme="minorHAnsi"/>
          <w:sz w:val="32"/>
          <w:szCs w:val="32"/>
        </w:rPr>
        <w:t>Sponsor’s Comment</w:t>
      </w:r>
    </w:p>
    <w:p w:rsidR="00160C67" w:rsidRPr="00C07617" w:rsidRDefault="00160C67" w:rsidP="00160C67">
      <w:pPr>
        <w:spacing w:after="120"/>
        <w:ind w:left="709"/>
        <w:jc w:val="both"/>
        <w:rPr>
          <w:rFonts w:asciiTheme="minorHAnsi" w:hAnsiTheme="minorHAnsi" w:cs="Arial"/>
          <w:bCs/>
        </w:rPr>
      </w:pPr>
      <w:r w:rsidRPr="00C07617">
        <w:rPr>
          <w:rFonts w:asciiTheme="minorHAnsi" w:hAnsiTheme="minorHAnsi" w:cs="Arial"/>
          <w:bCs/>
        </w:rPr>
        <w:t>The sponsor had no comment.</w:t>
      </w:r>
    </w:p>
    <w:p w:rsidR="00EB515E" w:rsidRPr="000E6927" w:rsidRDefault="00EB515E">
      <w:pPr>
        <w:jc w:val="both"/>
        <w:rPr>
          <w:rFonts w:asciiTheme="minorHAnsi" w:hAnsiTheme="minorHAnsi"/>
          <w:sz w:val="22"/>
          <w:szCs w:val="22"/>
        </w:rPr>
      </w:pPr>
    </w:p>
    <w:sectPr w:rsidR="00EB515E" w:rsidRPr="000E6927"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46F" w:rsidRDefault="001B246F">
      <w:r>
        <w:separator/>
      </w:r>
    </w:p>
    <w:p w:rsidR="001B246F" w:rsidRDefault="001B246F"/>
  </w:endnote>
  <w:endnote w:type="continuationSeparator" w:id="0">
    <w:p w:rsidR="001B246F" w:rsidRDefault="001B246F">
      <w:r>
        <w:continuationSeparator/>
      </w:r>
    </w:p>
    <w:p w:rsidR="001B246F" w:rsidRDefault="001B2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rPr>
      <w:id w:val="-307010490"/>
      <w:docPartObj>
        <w:docPartGallery w:val="Page Numbers (Bottom of Page)"/>
        <w:docPartUnique/>
      </w:docPartObj>
    </w:sdtPr>
    <w:sdtEndPr>
      <w:rPr>
        <w:noProof/>
      </w:rPr>
    </w:sdtEndPr>
    <w:sdtContent>
      <w:p w:rsidR="00833086" w:rsidRPr="00F23A90" w:rsidRDefault="00833086">
        <w:pPr>
          <w:pStyle w:val="Footer"/>
          <w:jc w:val="center"/>
          <w:rPr>
            <w:rFonts w:asciiTheme="minorHAnsi" w:hAnsiTheme="minorHAnsi" w:cstheme="minorHAnsi"/>
            <w:b/>
          </w:rPr>
        </w:pPr>
      </w:p>
      <w:p w:rsidR="00833086" w:rsidRPr="000D138D" w:rsidRDefault="00E57B27" w:rsidP="000D138D">
        <w:pPr>
          <w:pStyle w:val="Footer"/>
          <w:jc w:val="center"/>
          <w:rPr>
            <w:rFonts w:asciiTheme="minorHAnsi" w:hAnsiTheme="minorHAnsi" w:cstheme="minorHAnsi"/>
            <w:b/>
          </w:rPr>
        </w:pPr>
        <w:r w:rsidRPr="00F23A90">
          <w:rPr>
            <w:rFonts w:asciiTheme="minorHAnsi" w:hAnsiTheme="minorHAnsi" w:cstheme="minorHAnsi"/>
            <w:b/>
          </w:rPr>
          <w:fldChar w:fldCharType="begin"/>
        </w:r>
        <w:r w:rsidRPr="00F23A90">
          <w:rPr>
            <w:rFonts w:asciiTheme="minorHAnsi" w:hAnsiTheme="minorHAnsi" w:cstheme="minorHAnsi"/>
            <w:b/>
          </w:rPr>
          <w:instrText xml:space="preserve"> PAGE   \* MERGEFORMAT </w:instrText>
        </w:r>
        <w:r w:rsidRPr="00F23A90">
          <w:rPr>
            <w:rFonts w:asciiTheme="minorHAnsi" w:hAnsiTheme="minorHAnsi" w:cstheme="minorHAnsi"/>
            <w:b/>
          </w:rPr>
          <w:fldChar w:fldCharType="separate"/>
        </w:r>
        <w:r w:rsidR="00200BC8">
          <w:rPr>
            <w:rFonts w:asciiTheme="minorHAnsi" w:hAnsiTheme="minorHAnsi" w:cstheme="minorHAnsi"/>
            <w:b/>
            <w:noProof/>
          </w:rPr>
          <w:t>1</w:t>
        </w:r>
        <w:r w:rsidRPr="00F23A90">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46F" w:rsidRDefault="001B246F">
      <w:r>
        <w:separator/>
      </w:r>
    </w:p>
    <w:p w:rsidR="001B246F" w:rsidRDefault="001B246F"/>
  </w:footnote>
  <w:footnote w:type="continuationSeparator" w:id="0">
    <w:p w:rsidR="001B246F" w:rsidRDefault="001B246F">
      <w:r>
        <w:continuationSeparator/>
      </w:r>
    </w:p>
    <w:p w:rsidR="001B246F" w:rsidRDefault="001B24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8BC" w:rsidRPr="00F23A90" w:rsidRDefault="00BD396A" w:rsidP="000E68BC">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000E68BC" w:rsidRPr="00F23A90">
      <w:rPr>
        <w:rFonts w:asciiTheme="minorHAnsi" w:hAnsiTheme="minorHAnsi" w:cs="Arial"/>
        <w:i/>
        <w:color w:val="808080"/>
      </w:rPr>
      <w:t xml:space="preserve"> – March 2019 PBAC Meeting</w:t>
    </w:r>
  </w:p>
  <w:p w:rsidR="00F80475" w:rsidRDefault="00F80475"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EC42ADE"/>
    <w:multiLevelType w:val="hybridMultilevel"/>
    <w:tmpl w:val="1C9290B8"/>
    <w:lvl w:ilvl="0" w:tplc="1E3C5F8C">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55324"/>
    <w:multiLevelType w:val="hybridMultilevel"/>
    <w:tmpl w:val="827676FC"/>
    <w:lvl w:ilvl="0" w:tplc="47C81D5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D033C"/>
    <w:multiLevelType w:val="multilevel"/>
    <w:tmpl w:val="D7D823A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5"/>
  </w:num>
  <w:num w:numId="4">
    <w:abstractNumId w:val="13"/>
  </w:num>
  <w:num w:numId="5">
    <w:abstractNumId w:val="14"/>
  </w:num>
  <w:num w:numId="6">
    <w:abstractNumId w:val="6"/>
  </w:num>
  <w:num w:numId="7">
    <w:abstractNumId w:val="12"/>
  </w:num>
  <w:num w:numId="8">
    <w:abstractNumId w:val="3"/>
  </w:num>
  <w:num w:numId="9">
    <w:abstractNumId w:val="11"/>
  </w:num>
  <w:num w:numId="10">
    <w:abstractNumId w:val="9"/>
  </w:num>
  <w:num w:numId="11">
    <w:abstractNumId w:val="8"/>
  </w:num>
  <w:num w:numId="12">
    <w:abstractNumId w:val="1"/>
  </w:num>
  <w:num w:numId="13">
    <w:abstractNumId w:val="0"/>
  </w:num>
  <w:num w:numId="14">
    <w:abstractNumId w:val="14"/>
  </w:num>
  <w:num w:numId="15">
    <w:abstractNumId w:val="4"/>
  </w:num>
  <w:num w:numId="16">
    <w:abstractNumId w:val="10"/>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4DFE"/>
    <w:rsid w:val="0002464A"/>
    <w:rsid w:val="00027423"/>
    <w:rsid w:val="0003106B"/>
    <w:rsid w:val="000421A1"/>
    <w:rsid w:val="0004240E"/>
    <w:rsid w:val="000456E6"/>
    <w:rsid w:val="00045E26"/>
    <w:rsid w:val="000514B5"/>
    <w:rsid w:val="00060E64"/>
    <w:rsid w:val="00066755"/>
    <w:rsid w:val="00070731"/>
    <w:rsid w:val="00077143"/>
    <w:rsid w:val="00082169"/>
    <w:rsid w:val="000969AD"/>
    <w:rsid w:val="000B558D"/>
    <w:rsid w:val="000C6996"/>
    <w:rsid w:val="000D138D"/>
    <w:rsid w:val="000D23BA"/>
    <w:rsid w:val="000D5719"/>
    <w:rsid w:val="000E681E"/>
    <w:rsid w:val="000E68BC"/>
    <w:rsid w:val="000E6927"/>
    <w:rsid w:val="000F0003"/>
    <w:rsid w:val="000F4E6A"/>
    <w:rsid w:val="000F6FEA"/>
    <w:rsid w:val="00104227"/>
    <w:rsid w:val="001107BF"/>
    <w:rsid w:val="001156DB"/>
    <w:rsid w:val="00120BE1"/>
    <w:rsid w:val="0012224D"/>
    <w:rsid w:val="0012417C"/>
    <w:rsid w:val="00142395"/>
    <w:rsid w:val="00142714"/>
    <w:rsid w:val="001452ED"/>
    <w:rsid w:val="0014652E"/>
    <w:rsid w:val="00160C67"/>
    <w:rsid w:val="001617D7"/>
    <w:rsid w:val="001626CC"/>
    <w:rsid w:val="00163329"/>
    <w:rsid w:val="00164623"/>
    <w:rsid w:val="00165B64"/>
    <w:rsid w:val="001806FE"/>
    <w:rsid w:val="00180713"/>
    <w:rsid w:val="001830CE"/>
    <w:rsid w:val="0018643B"/>
    <w:rsid w:val="00196307"/>
    <w:rsid w:val="001A0583"/>
    <w:rsid w:val="001A33EA"/>
    <w:rsid w:val="001B017F"/>
    <w:rsid w:val="001B246F"/>
    <w:rsid w:val="001B2BBC"/>
    <w:rsid w:val="001B5129"/>
    <w:rsid w:val="001B5429"/>
    <w:rsid w:val="001C1195"/>
    <w:rsid w:val="001D1234"/>
    <w:rsid w:val="001F1850"/>
    <w:rsid w:val="00200BC8"/>
    <w:rsid w:val="0020232F"/>
    <w:rsid w:val="00203FAC"/>
    <w:rsid w:val="00207B69"/>
    <w:rsid w:val="0021301D"/>
    <w:rsid w:val="00213CFB"/>
    <w:rsid w:val="0021701D"/>
    <w:rsid w:val="00217BE1"/>
    <w:rsid w:val="00227656"/>
    <w:rsid w:val="00234A03"/>
    <w:rsid w:val="00271BA1"/>
    <w:rsid w:val="00272FBB"/>
    <w:rsid w:val="00275152"/>
    <w:rsid w:val="00275464"/>
    <w:rsid w:val="002762FA"/>
    <w:rsid w:val="00277505"/>
    <w:rsid w:val="00292050"/>
    <w:rsid w:val="0029458F"/>
    <w:rsid w:val="00297129"/>
    <w:rsid w:val="002A104C"/>
    <w:rsid w:val="002A4960"/>
    <w:rsid w:val="002A557D"/>
    <w:rsid w:val="002A5A28"/>
    <w:rsid w:val="002B1AE6"/>
    <w:rsid w:val="002B2DE8"/>
    <w:rsid w:val="002B30F8"/>
    <w:rsid w:val="002B5596"/>
    <w:rsid w:val="002C212F"/>
    <w:rsid w:val="002D4543"/>
    <w:rsid w:val="002E3153"/>
    <w:rsid w:val="002E49CA"/>
    <w:rsid w:val="002E72CA"/>
    <w:rsid w:val="002F600D"/>
    <w:rsid w:val="00300AD6"/>
    <w:rsid w:val="00305B56"/>
    <w:rsid w:val="003145D5"/>
    <w:rsid w:val="00317C6C"/>
    <w:rsid w:val="00323EA4"/>
    <w:rsid w:val="00326E79"/>
    <w:rsid w:val="0033518A"/>
    <w:rsid w:val="003367EF"/>
    <w:rsid w:val="00341AE4"/>
    <w:rsid w:val="00347A0E"/>
    <w:rsid w:val="00351DF8"/>
    <w:rsid w:val="00353F5D"/>
    <w:rsid w:val="003872CF"/>
    <w:rsid w:val="00391CC9"/>
    <w:rsid w:val="00395606"/>
    <w:rsid w:val="0039782C"/>
    <w:rsid w:val="003A2C1A"/>
    <w:rsid w:val="003A5B4A"/>
    <w:rsid w:val="003B23C5"/>
    <w:rsid w:val="003B2A75"/>
    <w:rsid w:val="003B6124"/>
    <w:rsid w:val="003C2FB5"/>
    <w:rsid w:val="003D23EE"/>
    <w:rsid w:val="003D4483"/>
    <w:rsid w:val="003D4AC4"/>
    <w:rsid w:val="003D63B7"/>
    <w:rsid w:val="003E19E5"/>
    <w:rsid w:val="003E468B"/>
    <w:rsid w:val="003F3228"/>
    <w:rsid w:val="003F5C8C"/>
    <w:rsid w:val="0040400C"/>
    <w:rsid w:val="004050E7"/>
    <w:rsid w:val="004053D0"/>
    <w:rsid w:val="004252EC"/>
    <w:rsid w:val="00426814"/>
    <w:rsid w:val="00437B4D"/>
    <w:rsid w:val="004465BD"/>
    <w:rsid w:val="004524AA"/>
    <w:rsid w:val="00454E8F"/>
    <w:rsid w:val="0046424D"/>
    <w:rsid w:val="00466ADA"/>
    <w:rsid w:val="00476245"/>
    <w:rsid w:val="00483035"/>
    <w:rsid w:val="00485940"/>
    <w:rsid w:val="004A2484"/>
    <w:rsid w:val="004A5A85"/>
    <w:rsid w:val="004A71D1"/>
    <w:rsid w:val="004B5640"/>
    <w:rsid w:val="004C0D95"/>
    <w:rsid w:val="004C1BD7"/>
    <w:rsid w:val="004C31FE"/>
    <w:rsid w:val="004C5CC4"/>
    <w:rsid w:val="004C691D"/>
    <w:rsid w:val="004C6C07"/>
    <w:rsid w:val="004D7D9F"/>
    <w:rsid w:val="004E692D"/>
    <w:rsid w:val="00501554"/>
    <w:rsid w:val="0050625A"/>
    <w:rsid w:val="0050794F"/>
    <w:rsid w:val="0051092A"/>
    <w:rsid w:val="00514CD7"/>
    <w:rsid w:val="005304A7"/>
    <w:rsid w:val="005319B2"/>
    <w:rsid w:val="00532402"/>
    <w:rsid w:val="00532C74"/>
    <w:rsid w:val="005340BF"/>
    <w:rsid w:val="00534E2E"/>
    <w:rsid w:val="00543F83"/>
    <w:rsid w:val="00544552"/>
    <w:rsid w:val="00552BEE"/>
    <w:rsid w:val="00561BB8"/>
    <w:rsid w:val="00563AE3"/>
    <w:rsid w:val="00577C4D"/>
    <w:rsid w:val="00581932"/>
    <w:rsid w:val="005963BB"/>
    <w:rsid w:val="005A3173"/>
    <w:rsid w:val="005A3223"/>
    <w:rsid w:val="005A3DA3"/>
    <w:rsid w:val="005A52C4"/>
    <w:rsid w:val="005B3A31"/>
    <w:rsid w:val="005D03AB"/>
    <w:rsid w:val="005D5017"/>
    <w:rsid w:val="005E1333"/>
    <w:rsid w:val="005E3F91"/>
    <w:rsid w:val="005F55A9"/>
    <w:rsid w:val="005F5C9D"/>
    <w:rsid w:val="006012A5"/>
    <w:rsid w:val="00601A91"/>
    <w:rsid w:val="00602BA3"/>
    <w:rsid w:val="00606EED"/>
    <w:rsid w:val="006074C6"/>
    <w:rsid w:val="00612E34"/>
    <w:rsid w:val="00613115"/>
    <w:rsid w:val="00614159"/>
    <w:rsid w:val="00614904"/>
    <w:rsid w:val="00617C00"/>
    <w:rsid w:val="0062505C"/>
    <w:rsid w:val="00625E12"/>
    <w:rsid w:val="006263BF"/>
    <w:rsid w:val="0062748A"/>
    <w:rsid w:val="00630A2C"/>
    <w:rsid w:val="00633895"/>
    <w:rsid w:val="0063682E"/>
    <w:rsid w:val="006436CD"/>
    <w:rsid w:val="00651169"/>
    <w:rsid w:val="00653D69"/>
    <w:rsid w:val="00653DF4"/>
    <w:rsid w:val="006670BE"/>
    <w:rsid w:val="00670A76"/>
    <w:rsid w:val="006711AA"/>
    <w:rsid w:val="00672B57"/>
    <w:rsid w:val="00675622"/>
    <w:rsid w:val="0067747D"/>
    <w:rsid w:val="00682099"/>
    <w:rsid w:val="006906DB"/>
    <w:rsid w:val="00691E6C"/>
    <w:rsid w:val="00696129"/>
    <w:rsid w:val="00697B35"/>
    <w:rsid w:val="00697CF2"/>
    <w:rsid w:val="006A12A5"/>
    <w:rsid w:val="006A1EA1"/>
    <w:rsid w:val="006B0D94"/>
    <w:rsid w:val="006B485D"/>
    <w:rsid w:val="006C354A"/>
    <w:rsid w:val="006C708E"/>
    <w:rsid w:val="006D14E7"/>
    <w:rsid w:val="006D35B8"/>
    <w:rsid w:val="006D6493"/>
    <w:rsid w:val="006D6EC7"/>
    <w:rsid w:val="006F5125"/>
    <w:rsid w:val="00700821"/>
    <w:rsid w:val="00702B6F"/>
    <w:rsid w:val="0071340B"/>
    <w:rsid w:val="007174BB"/>
    <w:rsid w:val="0072025D"/>
    <w:rsid w:val="007353D3"/>
    <w:rsid w:val="007454BF"/>
    <w:rsid w:val="00754BE5"/>
    <w:rsid w:val="00754F34"/>
    <w:rsid w:val="0076420C"/>
    <w:rsid w:val="007736F9"/>
    <w:rsid w:val="00773E92"/>
    <w:rsid w:val="007753C2"/>
    <w:rsid w:val="007838B8"/>
    <w:rsid w:val="00791609"/>
    <w:rsid w:val="007C0F57"/>
    <w:rsid w:val="007C40B6"/>
    <w:rsid w:val="007C5AEA"/>
    <w:rsid w:val="007C6BED"/>
    <w:rsid w:val="007C729F"/>
    <w:rsid w:val="007E1D28"/>
    <w:rsid w:val="007E5372"/>
    <w:rsid w:val="007F2641"/>
    <w:rsid w:val="007F7C36"/>
    <w:rsid w:val="00806796"/>
    <w:rsid w:val="008151D6"/>
    <w:rsid w:val="00816652"/>
    <w:rsid w:val="00826F6D"/>
    <w:rsid w:val="008306F3"/>
    <w:rsid w:val="00833086"/>
    <w:rsid w:val="008377B0"/>
    <w:rsid w:val="0084308B"/>
    <w:rsid w:val="00856DDD"/>
    <w:rsid w:val="00863E68"/>
    <w:rsid w:val="00872ECD"/>
    <w:rsid w:val="00873343"/>
    <w:rsid w:val="00882085"/>
    <w:rsid w:val="00883188"/>
    <w:rsid w:val="00883D39"/>
    <w:rsid w:val="008927A6"/>
    <w:rsid w:val="00895B8E"/>
    <w:rsid w:val="008969FC"/>
    <w:rsid w:val="00897D58"/>
    <w:rsid w:val="00897F22"/>
    <w:rsid w:val="008A1956"/>
    <w:rsid w:val="008A4937"/>
    <w:rsid w:val="008A50F1"/>
    <w:rsid w:val="008A7A2C"/>
    <w:rsid w:val="008C452B"/>
    <w:rsid w:val="008D1693"/>
    <w:rsid w:val="008D1B5C"/>
    <w:rsid w:val="008D3179"/>
    <w:rsid w:val="008D3C82"/>
    <w:rsid w:val="008D447E"/>
    <w:rsid w:val="008D7A41"/>
    <w:rsid w:val="008E3680"/>
    <w:rsid w:val="008E41BB"/>
    <w:rsid w:val="008E5870"/>
    <w:rsid w:val="008F1434"/>
    <w:rsid w:val="008F5EF6"/>
    <w:rsid w:val="008F7355"/>
    <w:rsid w:val="008F7D9A"/>
    <w:rsid w:val="00902A0E"/>
    <w:rsid w:val="009047DA"/>
    <w:rsid w:val="00905B3E"/>
    <w:rsid w:val="009067B7"/>
    <w:rsid w:val="00907262"/>
    <w:rsid w:val="009139CA"/>
    <w:rsid w:val="00930937"/>
    <w:rsid w:val="009332D8"/>
    <w:rsid w:val="00933E6C"/>
    <w:rsid w:val="00937066"/>
    <w:rsid w:val="00937958"/>
    <w:rsid w:val="00942160"/>
    <w:rsid w:val="00942C31"/>
    <w:rsid w:val="0095146F"/>
    <w:rsid w:val="009602C5"/>
    <w:rsid w:val="00962223"/>
    <w:rsid w:val="00966D0D"/>
    <w:rsid w:val="00974C21"/>
    <w:rsid w:val="00974F65"/>
    <w:rsid w:val="00983083"/>
    <w:rsid w:val="009876D2"/>
    <w:rsid w:val="009A058D"/>
    <w:rsid w:val="009B0F67"/>
    <w:rsid w:val="009C2043"/>
    <w:rsid w:val="009C3D53"/>
    <w:rsid w:val="009C60CD"/>
    <w:rsid w:val="009C703C"/>
    <w:rsid w:val="009D3CAA"/>
    <w:rsid w:val="009E0DF7"/>
    <w:rsid w:val="009E40E1"/>
    <w:rsid w:val="009E61C9"/>
    <w:rsid w:val="009F4E46"/>
    <w:rsid w:val="009F5B65"/>
    <w:rsid w:val="009F5F2E"/>
    <w:rsid w:val="00A06225"/>
    <w:rsid w:val="00A06AD4"/>
    <w:rsid w:val="00A128E6"/>
    <w:rsid w:val="00A1657B"/>
    <w:rsid w:val="00A233FE"/>
    <w:rsid w:val="00A34E6C"/>
    <w:rsid w:val="00A36903"/>
    <w:rsid w:val="00A37C8D"/>
    <w:rsid w:val="00A5273B"/>
    <w:rsid w:val="00A53A9D"/>
    <w:rsid w:val="00A55FEE"/>
    <w:rsid w:val="00A62C1A"/>
    <w:rsid w:val="00A6426D"/>
    <w:rsid w:val="00A665C1"/>
    <w:rsid w:val="00A70622"/>
    <w:rsid w:val="00A70977"/>
    <w:rsid w:val="00A77613"/>
    <w:rsid w:val="00A8002C"/>
    <w:rsid w:val="00A81FB8"/>
    <w:rsid w:val="00A8390C"/>
    <w:rsid w:val="00A877A2"/>
    <w:rsid w:val="00A928BD"/>
    <w:rsid w:val="00A97BDE"/>
    <w:rsid w:val="00AA4D1C"/>
    <w:rsid w:val="00AB1EC0"/>
    <w:rsid w:val="00AC193C"/>
    <w:rsid w:val="00AC5206"/>
    <w:rsid w:val="00AE0921"/>
    <w:rsid w:val="00AE0EB9"/>
    <w:rsid w:val="00AE11A5"/>
    <w:rsid w:val="00AE13E2"/>
    <w:rsid w:val="00AE182A"/>
    <w:rsid w:val="00AE22D3"/>
    <w:rsid w:val="00AF62DF"/>
    <w:rsid w:val="00AF68CC"/>
    <w:rsid w:val="00B01340"/>
    <w:rsid w:val="00B038D8"/>
    <w:rsid w:val="00B04FA8"/>
    <w:rsid w:val="00B05E53"/>
    <w:rsid w:val="00B067F2"/>
    <w:rsid w:val="00B06A54"/>
    <w:rsid w:val="00B1059E"/>
    <w:rsid w:val="00B176C8"/>
    <w:rsid w:val="00B205AA"/>
    <w:rsid w:val="00B22E84"/>
    <w:rsid w:val="00B25F75"/>
    <w:rsid w:val="00B26B3F"/>
    <w:rsid w:val="00B2725F"/>
    <w:rsid w:val="00B43E90"/>
    <w:rsid w:val="00B467DC"/>
    <w:rsid w:val="00B475B9"/>
    <w:rsid w:val="00B55347"/>
    <w:rsid w:val="00B56118"/>
    <w:rsid w:val="00B56BDD"/>
    <w:rsid w:val="00B60693"/>
    <w:rsid w:val="00B670C5"/>
    <w:rsid w:val="00B6773F"/>
    <w:rsid w:val="00B67A28"/>
    <w:rsid w:val="00B801BA"/>
    <w:rsid w:val="00B80FA9"/>
    <w:rsid w:val="00B80FEF"/>
    <w:rsid w:val="00B84D5C"/>
    <w:rsid w:val="00BB69F5"/>
    <w:rsid w:val="00BB7EC3"/>
    <w:rsid w:val="00BC4B9A"/>
    <w:rsid w:val="00BC5B36"/>
    <w:rsid w:val="00BC6B5F"/>
    <w:rsid w:val="00BC7FB3"/>
    <w:rsid w:val="00BD0FC7"/>
    <w:rsid w:val="00BD396A"/>
    <w:rsid w:val="00BD784C"/>
    <w:rsid w:val="00BE3C69"/>
    <w:rsid w:val="00BE7E0E"/>
    <w:rsid w:val="00BF4CB6"/>
    <w:rsid w:val="00C00DA7"/>
    <w:rsid w:val="00C12768"/>
    <w:rsid w:val="00C160F4"/>
    <w:rsid w:val="00C16114"/>
    <w:rsid w:val="00C25C88"/>
    <w:rsid w:val="00C2659E"/>
    <w:rsid w:val="00C27B58"/>
    <w:rsid w:val="00C35996"/>
    <w:rsid w:val="00C40141"/>
    <w:rsid w:val="00C4747E"/>
    <w:rsid w:val="00C5342C"/>
    <w:rsid w:val="00C603D4"/>
    <w:rsid w:val="00C6256A"/>
    <w:rsid w:val="00C77891"/>
    <w:rsid w:val="00C91449"/>
    <w:rsid w:val="00C92D10"/>
    <w:rsid w:val="00CC066C"/>
    <w:rsid w:val="00CE10C4"/>
    <w:rsid w:val="00CE27B5"/>
    <w:rsid w:val="00CE7F6E"/>
    <w:rsid w:val="00CF0D1D"/>
    <w:rsid w:val="00CF5A6B"/>
    <w:rsid w:val="00D0321E"/>
    <w:rsid w:val="00D078C9"/>
    <w:rsid w:val="00D07C25"/>
    <w:rsid w:val="00D1455A"/>
    <w:rsid w:val="00D23FEB"/>
    <w:rsid w:val="00D31150"/>
    <w:rsid w:val="00D3138B"/>
    <w:rsid w:val="00D3280C"/>
    <w:rsid w:val="00D3406A"/>
    <w:rsid w:val="00D446D8"/>
    <w:rsid w:val="00D4572C"/>
    <w:rsid w:val="00D469B2"/>
    <w:rsid w:val="00D479A5"/>
    <w:rsid w:val="00D5144E"/>
    <w:rsid w:val="00D66F6B"/>
    <w:rsid w:val="00D741EB"/>
    <w:rsid w:val="00D76F1B"/>
    <w:rsid w:val="00D773E9"/>
    <w:rsid w:val="00D82FFD"/>
    <w:rsid w:val="00D83605"/>
    <w:rsid w:val="00D84934"/>
    <w:rsid w:val="00D91271"/>
    <w:rsid w:val="00D919F5"/>
    <w:rsid w:val="00D94F03"/>
    <w:rsid w:val="00DA2CB5"/>
    <w:rsid w:val="00DA461F"/>
    <w:rsid w:val="00DA4BAC"/>
    <w:rsid w:val="00DB604E"/>
    <w:rsid w:val="00DE19A8"/>
    <w:rsid w:val="00DE6D27"/>
    <w:rsid w:val="00DF217D"/>
    <w:rsid w:val="00DF26A7"/>
    <w:rsid w:val="00DF7BAB"/>
    <w:rsid w:val="00E077CB"/>
    <w:rsid w:val="00E15627"/>
    <w:rsid w:val="00E164B3"/>
    <w:rsid w:val="00E16910"/>
    <w:rsid w:val="00E32F1A"/>
    <w:rsid w:val="00E42BDB"/>
    <w:rsid w:val="00E50421"/>
    <w:rsid w:val="00E57B27"/>
    <w:rsid w:val="00E57EEB"/>
    <w:rsid w:val="00E61CB2"/>
    <w:rsid w:val="00E62D94"/>
    <w:rsid w:val="00E65E54"/>
    <w:rsid w:val="00E7188D"/>
    <w:rsid w:val="00E732D1"/>
    <w:rsid w:val="00E74D12"/>
    <w:rsid w:val="00E7535E"/>
    <w:rsid w:val="00E75EE7"/>
    <w:rsid w:val="00E80155"/>
    <w:rsid w:val="00E81F28"/>
    <w:rsid w:val="00E84469"/>
    <w:rsid w:val="00E848C0"/>
    <w:rsid w:val="00E91B96"/>
    <w:rsid w:val="00E941A1"/>
    <w:rsid w:val="00E95CE3"/>
    <w:rsid w:val="00EA2825"/>
    <w:rsid w:val="00EB0B63"/>
    <w:rsid w:val="00EB1936"/>
    <w:rsid w:val="00EB5088"/>
    <w:rsid w:val="00EB515E"/>
    <w:rsid w:val="00EB74E0"/>
    <w:rsid w:val="00EC1768"/>
    <w:rsid w:val="00EC3DD4"/>
    <w:rsid w:val="00ED00B3"/>
    <w:rsid w:val="00ED1644"/>
    <w:rsid w:val="00ED1C29"/>
    <w:rsid w:val="00ED2593"/>
    <w:rsid w:val="00ED7D9C"/>
    <w:rsid w:val="00EE4B23"/>
    <w:rsid w:val="00EF42B1"/>
    <w:rsid w:val="00EF44A0"/>
    <w:rsid w:val="00EF4FED"/>
    <w:rsid w:val="00EF6867"/>
    <w:rsid w:val="00F050BD"/>
    <w:rsid w:val="00F05657"/>
    <w:rsid w:val="00F15028"/>
    <w:rsid w:val="00F23A90"/>
    <w:rsid w:val="00F25578"/>
    <w:rsid w:val="00F258E5"/>
    <w:rsid w:val="00F300BC"/>
    <w:rsid w:val="00F30330"/>
    <w:rsid w:val="00F303DE"/>
    <w:rsid w:val="00F30DAB"/>
    <w:rsid w:val="00F30FE2"/>
    <w:rsid w:val="00F3334E"/>
    <w:rsid w:val="00F36CCB"/>
    <w:rsid w:val="00F374E5"/>
    <w:rsid w:val="00F43AF2"/>
    <w:rsid w:val="00F5007E"/>
    <w:rsid w:val="00F50EC4"/>
    <w:rsid w:val="00F550CF"/>
    <w:rsid w:val="00F57A6D"/>
    <w:rsid w:val="00F638CC"/>
    <w:rsid w:val="00F64CC1"/>
    <w:rsid w:val="00F72317"/>
    <w:rsid w:val="00F738EF"/>
    <w:rsid w:val="00F80475"/>
    <w:rsid w:val="00F8247A"/>
    <w:rsid w:val="00F86627"/>
    <w:rsid w:val="00F95491"/>
    <w:rsid w:val="00F9629A"/>
    <w:rsid w:val="00F97EFC"/>
    <w:rsid w:val="00FA5883"/>
    <w:rsid w:val="00FA6055"/>
    <w:rsid w:val="00FB28B9"/>
    <w:rsid w:val="00FB322F"/>
    <w:rsid w:val="00FB442F"/>
    <w:rsid w:val="00FB5F93"/>
    <w:rsid w:val="00FC1929"/>
    <w:rsid w:val="00FC5B46"/>
    <w:rsid w:val="00FD6D8E"/>
    <w:rsid w:val="00FE0E40"/>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1B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semiHidden/>
    <w:unhideWhenUsed/>
    <w:rsid w:val="00E7535E"/>
    <w:rPr>
      <w:sz w:val="20"/>
      <w:szCs w:val="20"/>
    </w:rPr>
  </w:style>
  <w:style w:type="character" w:customStyle="1" w:styleId="FootnoteTextChar">
    <w:name w:val="Footnote Text Char"/>
    <w:basedOn w:val="DefaultParagraphFont"/>
    <w:link w:val="FootnoteText"/>
    <w:semiHidden/>
    <w:rsid w:val="00E7535E"/>
  </w:style>
  <w:style w:type="character" w:styleId="FootnoteReference">
    <w:name w:val="footnote reference"/>
    <w:basedOn w:val="DefaultParagraphFont"/>
    <w:semiHidden/>
    <w:unhideWhenUsed/>
    <w:rsid w:val="00E7535E"/>
    <w:rPr>
      <w:vertAlign w:val="superscript"/>
    </w:rPr>
  </w:style>
  <w:style w:type="table" w:customStyle="1" w:styleId="TableGrid1">
    <w:name w:val="Table Grid1"/>
    <w:basedOn w:val="TableNormal"/>
    <w:next w:val="TableGrid"/>
    <w:uiPriority w:val="59"/>
    <w:rsid w:val="00B67A28"/>
    <w:rPr>
      <w:rFonts w:asci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19A8"/>
    <w:rPr>
      <w:rFonts w:asci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2020284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523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B6CC-B0AD-4339-8D8F-AB72377E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1687</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2019-06-24T05:42:00Z</dcterms:created>
  <dcterms:modified xsi:type="dcterms:W3CDTF">2019-07-01T01:58:00Z</dcterms:modified>
</cp:coreProperties>
</file>