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22A28" w:rsidRPr="00F05AED" w:rsidRDefault="0021663D" w:rsidP="00F05AED">
      <w:pPr>
        <w:pStyle w:val="Title"/>
        <w:widowControl/>
        <w:spacing w:before="120" w:after="160"/>
        <w:ind w:left="720" w:hanging="720"/>
        <w:contextualSpacing/>
        <w:jc w:val="left"/>
        <w:rPr>
          <w:rFonts w:asciiTheme="minorHAnsi" w:eastAsiaTheme="majorEastAsia" w:hAnsiTheme="minorHAnsi" w:cstheme="majorBidi"/>
          <w:bCs w:val="0"/>
          <w:snapToGrid/>
          <w:spacing w:val="5"/>
          <w:sz w:val="36"/>
          <w:szCs w:val="36"/>
          <w:lang w:eastAsia="en-AU"/>
        </w:rPr>
      </w:pPr>
      <w:r w:rsidRPr="00F05AED">
        <w:rPr>
          <w:rFonts w:asciiTheme="minorHAnsi" w:eastAsiaTheme="majorEastAsia" w:hAnsiTheme="minorHAnsi" w:cstheme="majorBidi"/>
          <w:bCs w:val="0"/>
          <w:snapToGrid/>
          <w:spacing w:val="5"/>
          <w:sz w:val="36"/>
          <w:szCs w:val="36"/>
          <w:lang w:eastAsia="en-AU"/>
        </w:rPr>
        <w:t>6.05</w:t>
      </w:r>
      <w:r w:rsidR="00B60939" w:rsidRPr="00F05AED">
        <w:rPr>
          <w:rFonts w:asciiTheme="minorHAnsi" w:eastAsiaTheme="majorEastAsia" w:hAnsiTheme="minorHAnsi" w:cstheme="majorBidi"/>
          <w:bCs w:val="0"/>
          <w:snapToGrid/>
          <w:spacing w:val="5"/>
          <w:sz w:val="36"/>
          <w:szCs w:val="36"/>
          <w:lang w:eastAsia="en-AU"/>
        </w:rPr>
        <w:tab/>
      </w:r>
      <w:r w:rsidR="007023D3" w:rsidRPr="00F05AED">
        <w:rPr>
          <w:rFonts w:asciiTheme="minorHAnsi" w:eastAsiaTheme="majorEastAsia" w:hAnsiTheme="minorHAnsi" w:cstheme="majorBidi"/>
          <w:bCs w:val="0"/>
          <w:snapToGrid/>
          <w:spacing w:val="5"/>
          <w:sz w:val="36"/>
          <w:szCs w:val="36"/>
          <w:lang w:eastAsia="en-AU"/>
        </w:rPr>
        <w:t xml:space="preserve">IVACAFTOR, </w:t>
      </w:r>
      <w:r w:rsidR="00C22A28" w:rsidRPr="00F05AED">
        <w:rPr>
          <w:rFonts w:asciiTheme="minorHAnsi" w:eastAsiaTheme="majorEastAsia" w:hAnsiTheme="minorHAnsi" w:cstheme="majorBidi"/>
          <w:bCs w:val="0"/>
          <w:snapToGrid/>
          <w:spacing w:val="5"/>
          <w:sz w:val="36"/>
          <w:szCs w:val="36"/>
          <w:lang w:eastAsia="en-AU"/>
        </w:rPr>
        <w:tab/>
      </w:r>
    </w:p>
    <w:p w:rsidR="00C22A28" w:rsidRPr="00F05AED" w:rsidRDefault="007023D3" w:rsidP="00F05AED">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r w:rsidRPr="00F05AED">
        <w:rPr>
          <w:rFonts w:asciiTheme="minorHAnsi" w:eastAsiaTheme="majorEastAsia" w:hAnsiTheme="minorHAnsi" w:cstheme="majorBidi"/>
          <w:bCs w:val="0"/>
          <w:snapToGrid/>
          <w:spacing w:val="5"/>
          <w:sz w:val="36"/>
          <w:szCs w:val="36"/>
          <w:lang w:eastAsia="en-AU"/>
        </w:rPr>
        <w:t>Sachet containing granules 50 mg</w:t>
      </w:r>
      <w:r w:rsidR="00C22A28" w:rsidRPr="00F05AED">
        <w:rPr>
          <w:rFonts w:asciiTheme="minorHAnsi" w:eastAsiaTheme="majorEastAsia" w:hAnsiTheme="minorHAnsi" w:cstheme="majorBidi"/>
          <w:bCs w:val="0"/>
          <w:snapToGrid/>
          <w:spacing w:val="5"/>
          <w:sz w:val="36"/>
          <w:szCs w:val="36"/>
          <w:lang w:eastAsia="en-AU"/>
        </w:rPr>
        <w:t xml:space="preserve">, </w:t>
      </w:r>
      <w:r w:rsidRPr="00F05AED">
        <w:rPr>
          <w:rFonts w:asciiTheme="minorHAnsi" w:eastAsiaTheme="majorEastAsia" w:hAnsiTheme="minorHAnsi" w:cstheme="majorBidi"/>
          <w:bCs w:val="0"/>
          <w:snapToGrid/>
          <w:spacing w:val="5"/>
          <w:sz w:val="36"/>
          <w:szCs w:val="36"/>
          <w:lang w:eastAsia="en-AU"/>
        </w:rPr>
        <w:t>75 mg</w:t>
      </w:r>
      <w:r w:rsidR="00C22A28" w:rsidRPr="00F05AED">
        <w:rPr>
          <w:rFonts w:asciiTheme="minorHAnsi" w:eastAsiaTheme="majorEastAsia" w:hAnsiTheme="minorHAnsi" w:cstheme="majorBidi"/>
          <w:bCs w:val="0"/>
          <w:snapToGrid/>
          <w:spacing w:val="5"/>
          <w:sz w:val="36"/>
          <w:szCs w:val="36"/>
          <w:lang w:eastAsia="en-AU"/>
        </w:rPr>
        <w:t>,</w:t>
      </w:r>
      <w:r w:rsidR="003B44BD" w:rsidRPr="00F05AED">
        <w:rPr>
          <w:rFonts w:asciiTheme="minorHAnsi" w:eastAsiaTheme="majorEastAsia" w:hAnsiTheme="minorHAnsi" w:cstheme="majorBidi"/>
          <w:bCs w:val="0"/>
          <w:snapToGrid/>
          <w:spacing w:val="5"/>
          <w:sz w:val="36"/>
          <w:szCs w:val="36"/>
          <w:lang w:eastAsia="en-AU"/>
        </w:rPr>
        <w:t xml:space="preserve"> </w:t>
      </w:r>
      <w:proofErr w:type="spellStart"/>
      <w:r w:rsidRPr="00F05AED">
        <w:rPr>
          <w:rFonts w:asciiTheme="minorHAnsi" w:eastAsiaTheme="majorEastAsia" w:hAnsiTheme="minorHAnsi" w:cstheme="majorBidi"/>
          <w:bCs w:val="0"/>
          <w:snapToGrid/>
          <w:spacing w:val="5"/>
          <w:sz w:val="36"/>
          <w:szCs w:val="36"/>
          <w:lang w:eastAsia="en-AU"/>
        </w:rPr>
        <w:t>Kalydeco</w:t>
      </w:r>
      <w:proofErr w:type="spellEnd"/>
      <w:r w:rsidRPr="00F05AED">
        <w:rPr>
          <w:rFonts w:asciiTheme="minorHAnsi" w:eastAsiaTheme="majorEastAsia" w:hAnsiTheme="minorHAnsi" w:cstheme="majorBidi"/>
          <w:bCs w:val="0"/>
          <w:snapToGrid/>
          <w:spacing w:val="5"/>
          <w:sz w:val="36"/>
          <w:szCs w:val="36"/>
          <w:lang w:eastAsia="en-AU"/>
        </w:rPr>
        <w:t xml:space="preserve">®, </w:t>
      </w:r>
    </w:p>
    <w:p w:rsidR="003D2A14" w:rsidRPr="00F05AED" w:rsidRDefault="007023D3" w:rsidP="00F05AED">
      <w:pPr>
        <w:pStyle w:val="Title"/>
        <w:widowControl/>
        <w:spacing w:before="120" w:after="160"/>
        <w:ind w:left="1440" w:hanging="720"/>
        <w:contextualSpacing/>
        <w:jc w:val="left"/>
        <w:rPr>
          <w:rFonts w:asciiTheme="minorHAnsi" w:eastAsiaTheme="majorEastAsia" w:hAnsiTheme="minorHAnsi" w:cstheme="majorBidi"/>
          <w:bCs w:val="0"/>
          <w:snapToGrid/>
          <w:spacing w:val="5"/>
          <w:sz w:val="36"/>
          <w:szCs w:val="36"/>
          <w:lang w:eastAsia="en-AU"/>
        </w:rPr>
      </w:pPr>
      <w:r w:rsidRPr="00F05AED">
        <w:rPr>
          <w:rFonts w:asciiTheme="minorHAnsi" w:eastAsiaTheme="majorEastAsia" w:hAnsiTheme="minorHAnsi" w:cstheme="majorBidi"/>
          <w:bCs w:val="0"/>
          <w:snapToGrid/>
          <w:spacing w:val="5"/>
          <w:sz w:val="36"/>
          <w:szCs w:val="36"/>
          <w:lang w:eastAsia="en-AU"/>
        </w:rPr>
        <w:t>Vertex Pharmaceuticals Pty Ltd</w:t>
      </w:r>
      <w:r w:rsidR="00B60939" w:rsidRPr="00F05AED">
        <w:rPr>
          <w:rFonts w:asciiTheme="minorHAnsi" w:eastAsiaTheme="majorEastAsia" w:hAnsiTheme="minorHAnsi" w:cstheme="majorBidi"/>
          <w:bCs w:val="0"/>
          <w:snapToGrid/>
          <w:spacing w:val="5"/>
          <w:sz w:val="36"/>
          <w:szCs w:val="36"/>
          <w:lang w:eastAsia="en-AU"/>
        </w:rPr>
        <w:t>.</w:t>
      </w:r>
    </w:p>
    <w:p w:rsidR="00C11C2D" w:rsidRPr="00377C13" w:rsidRDefault="00C11C2D" w:rsidP="00B47A0D">
      <w:pPr>
        <w:pStyle w:val="PBACHeading1"/>
        <w:spacing w:before="240" w:after="120"/>
      </w:pPr>
      <w:bookmarkStart w:id="0" w:name="_Toc531888463"/>
      <w:r w:rsidRPr="00377C13">
        <w:t>Purpose of Application</w:t>
      </w:r>
      <w:bookmarkEnd w:id="0"/>
    </w:p>
    <w:p w:rsidR="00C11C2D" w:rsidRPr="00377C13" w:rsidRDefault="00C11C2D" w:rsidP="00B47A0D">
      <w:pPr>
        <w:widowControl/>
        <w:numPr>
          <w:ilvl w:val="1"/>
          <w:numId w:val="1"/>
        </w:numPr>
        <w:spacing w:before="120" w:after="120"/>
      </w:pPr>
      <w:r w:rsidRPr="00377C13">
        <w:t>The submission requested a Section 100 (Highly Specialised Drugs Program), Authority Required listing for ivacaftor granules for treatment of cystic fibrosis (CF) in patients aged 12 to 24 months who have a G551D mutation or other class III gating mutations in the cystic fibrosis transmembrane conductance regulator (CFTR) gene.</w:t>
      </w:r>
    </w:p>
    <w:p w:rsidR="00BF3450" w:rsidRPr="00377C13" w:rsidRDefault="00C11C2D" w:rsidP="00B47A0D">
      <w:pPr>
        <w:widowControl/>
        <w:numPr>
          <w:ilvl w:val="1"/>
          <w:numId w:val="1"/>
        </w:numPr>
        <w:spacing w:before="120" w:after="120"/>
        <w:rPr>
          <w:i/>
          <w:iCs/>
        </w:rPr>
      </w:pPr>
      <w:r w:rsidRPr="00377C13">
        <w:t>Ivacaftor is currently subsidised by the PBS for the treatment of patients aged 2 years and older who have a G551D mutation or other class III gating mutation in the CFTR gene</w:t>
      </w:r>
      <w:r w:rsidRPr="00377C13">
        <w:rPr>
          <w:i/>
          <w:iCs/>
        </w:rPr>
        <w:t xml:space="preserve">. </w:t>
      </w:r>
    </w:p>
    <w:p w:rsidR="00C11C2D" w:rsidRPr="00377C13" w:rsidRDefault="00C11C2D" w:rsidP="007D3143">
      <w:pPr>
        <w:keepNext/>
        <w:widowControl/>
        <w:rPr>
          <w:rFonts w:ascii="Arial Narrow" w:hAnsi="Arial Narrow"/>
          <w:b/>
          <w:bCs/>
          <w:sz w:val="20"/>
          <w:szCs w:val="20"/>
        </w:rPr>
      </w:pPr>
      <w:r w:rsidRPr="00377C13">
        <w:rPr>
          <w:rFonts w:ascii="Arial Narrow" w:hAnsi="Arial Narrow"/>
          <w:b/>
          <w:bCs/>
          <w:sz w:val="20"/>
          <w:szCs w:val="20"/>
        </w:rPr>
        <w:t xml:space="preserve">Table </w:t>
      </w:r>
      <w:r w:rsidR="006607EC" w:rsidRPr="00377C13">
        <w:rPr>
          <w:rFonts w:ascii="Arial Narrow" w:hAnsi="Arial Narrow"/>
          <w:b/>
          <w:bCs/>
          <w:sz w:val="20"/>
          <w:szCs w:val="20"/>
        </w:rPr>
        <w:t>1</w:t>
      </w:r>
      <w:r w:rsidRPr="00377C13">
        <w:rPr>
          <w:rFonts w:ascii="Arial Narrow" w:hAnsi="Arial Narrow"/>
          <w:b/>
          <w:bCs/>
          <w:sz w:val="20"/>
          <w:szCs w:val="20"/>
        </w:rPr>
        <w:t>: Key components of the clinical issue addressed by the submission</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1: Key components of the clinical issue addressed by the submission"/>
      </w:tblPr>
      <w:tblGrid>
        <w:gridCol w:w="1696"/>
        <w:gridCol w:w="7484"/>
      </w:tblGrid>
      <w:tr w:rsidR="00C11C2D" w:rsidRPr="00377C13" w:rsidTr="00ED741D">
        <w:trPr>
          <w:cantSplit/>
          <w:tblHeader/>
        </w:trPr>
        <w:tc>
          <w:tcPr>
            <w:tcW w:w="1696" w:type="dxa"/>
            <w:shd w:val="clear" w:color="auto" w:fill="auto"/>
          </w:tcPr>
          <w:p w:rsidR="00C11C2D" w:rsidRPr="00377C13" w:rsidRDefault="00C11C2D" w:rsidP="007D3143">
            <w:pPr>
              <w:widowControl/>
              <w:jc w:val="left"/>
              <w:rPr>
                <w:rFonts w:ascii="Arial Narrow" w:hAnsi="Arial Narrow" w:cs="Times New Roman"/>
                <w:b/>
                <w:snapToGrid/>
                <w:sz w:val="20"/>
                <w:szCs w:val="20"/>
              </w:rPr>
            </w:pPr>
            <w:r w:rsidRPr="00377C13">
              <w:rPr>
                <w:rFonts w:ascii="Arial Narrow" w:hAnsi="Arial Narrow" w:cs="Times New Roman"/>
                <w:b/>
                <w:snapToGrid/>
                <w:sz w:val="20"/>
                <w:szCs w:val="20"/>
              </w:rPr>
              <w:t>Component</w:t>
            </w:r>
          </w:p>
        </w:tc>
        <w:tc>
          <w:tcPr>
            <w:tcW w:w="7484" w:type="dxa"/>
            <w:shd w:val="clear" w:color="auto" w:fill="auto"/>
          </w:tcPr>
          <w:p w:rsidR="00C11C2D" w:rsidRPr="00377C13" w:rsidRDefault="00C11C2D" w:rsidP="007D3143">
            <w:pPr>
              <w:widowControl/>
              <w:jc w:val="left"/>
              <w:rPr>
                <w:rFonts w:ascii="Arial Narrow" w:hAnsi="Arial Narrow" w:cs="Times New Roman"/>
                <w:b/>
                <w:snapToGrid/>
                <w:sz w:val="20"/>
                <w:szCs w:val="20"/>
              </w:rPr>
            </w:pPr>
            <w:r w:rsidRPr="00377C13">
              <w:rPr>
                <w:rFonts w:ascii="Arial Narrow" w:hAnsi="Arial Narrow" w:cs="Times New Roman"/>
                <w:b/>
                <w:snapToGrid/>
                <w:sz w:val="20"/>
                <w:szCs w:val="20"/>
              </w:rPr>
              <w:t>Description</w:t>
            </w:r>
          </w:p>
        </w:tc>
      </w:tr>
      <w:tr w:rsidR="00C11C2D" w:rsidRPr="00377C13" w:rsidTr="00ED741D">
        <w:trPr>
          <w:cantSplit/>
        </w:trPr>
        <w:tc>
          <w:tcPr>
            <w:tcW w:w="1696" w:type="dxa"/>
            <w:shd w:val="clear" w:color="auto" w:fill="auto"/>
          </w:tcPr>
          <w:p w:rsidR="00C11C2D" w:rsidRPr="00377C13" w:rsidRDefault="00C11C2D" w:rsidP="007D3143">
            <w:pPr>
              <w:widowControl/>
              <w:jc w:val="left"/>
              <w:rPr>
                <w:rFonts w:ascii="Arial Narrow" w:hAnsi="Arial Narrow" w:cs="Times New Roman"/>
                <w:snapToGrid/>
                <w:sz w:val="20"/>
                <w:szCs w:val="20"/>
              </w:rPr>
            </w:pPr>
            <w:r w:rsidRPr="00377C13">
              <w:rPr>
                <w:rFonts w:ascii="Arial Narrow" w:hAnsi="Arial Narrow" w:cs="Times New Roman"/>
                <w:snapToGrid/>
                <w:sz w:val="20"/>
                <w:szCs w:val="20"/>
              </w:rPr>
              <w:t>Population</w:t>
            </w:r>
          </w:p>
        </w:tc>
        <w:tc>
          <w:tcPr>
            <w:tcW w:w="7484" w:type="dxa"/>
            <w:shd w:val="clear" w:color="auto" w:fill="auto"/>
          </w:tcPr>
          <w:p w:rsidR="00C11C2D" w:rsidRPr="00377C13" w:rsidRDefault="00C11C2D" w:rsidP="007D3143">
            <w:pPr>
              <w:widowControl/>
              <w:jc w:val="left"/>
              <w:rPr>
                <w:rFonts w:ascii="Arial Narrow" w:hAnsi="Arial Narrow" w:cs="Times New Roman"/>
                <w:snapToGrid/>
                <w:sz w:val="20"/>
                <w:szCs w:val="20"/>
              </w:rPr>
            </w:pPr>
            <w:r w:rsidRPr="00377C13">
              <w:rPr>
                <w:rFonts w:ascii="Arial Narrow" w:hAnsi="Arial Narrow" w:cs="Times New Roman"/>
                <w:snapToGrid/>
                <w:sz w:val="20"/>
                <w:szCs w:val="20"/>
              </w:rPr>
              <w:t>12–24-month old cystic fibrosis patients with a confirmed class III gating mutation on at least one allele of the CFTR gene.</w:t>
            </w:r>
          </w:p>
        </w:tc>
      </w:tr>
      <w:tr w:rsidR="00C11C2D" w:rsidRPr="00377C13" w:rsidTr="00ED741D">
        <w:trPr>
          <w:cantSplit/>
        </w:trPr>
        <w:tc>
          <w:tcPr>
            <w:tcW w:w="1696" w:type="dxa"/>
            <w:shd w:val="clear" w:color="auto" w:fill="auto"/>
          </w:tcPr>
          <w:p w:rsidR="00C11C2D" w:rsidRPr="00377C13" w:rsidRDefault="00C11C2D" w:rsidP="007D3143">
            <w:pPr>
              <w:widowControl/>
              <w:jc w:val="left"/>
              <w:rPr>
                <w:rFonts w:ascii="Arial Narrow" w:hAnsi="Arial Narrow" w:cs="Times New Roman"/>
                <w:snapToGrid/>
                <w:sz w:val="20"/>
                <w:szCs w:val="20"/>
              </w:rPr>
            </w:pPr>
            <w:r w:rsidRPr="00377C13">
              <w:rPr>
                <w:rFonts w:ascii="Arial Narrow" w:hAnsi="Arial Narrow" w:cs="Times New Roman"/>
                <w:snapToGrid/>
                <w:sz w:val="20"/>
                <w:szCs w:val="20"/>
              </w:rPr>
              <w:t>Intervention</w:t>
            </w:r>
          </w:p>
        </w:tc>
        <w:tc>
          <w:tcPr>
            <w:tcW w:w="7484" w:type="dxa"/>
          </w:tcPr>
          <w:p w:rsidR="00C11C2D" w:rsidRPr="00377C13" w:rsidRDefault="002D3E80" w:rsidP="007D3143">
            <w:pPr>
              <w:widowControl/>
              <w:jc w:val="left"/>
              <w:rPr>
                <w:rFonts w:ascii="Arial Narrow" w:hAnsi="Arial Narrow" w:cs="Times New Roman"/>
                <w:snapToGrid/>
                <w:sz w:val="20"/>
                <w:szCs w:val="20"/>
              </w:rPr>
            </w:pPr>
            <w:r w:rsidRPr="00377C13">
              <w:rPr>
                <w:rFonts w:ascii="Arial Narrow" w:hAnsi="Arial Narrow" w:cs="Times New Roman"/>
                <w:snapToGrid/>
                <w:sz w:val="20"/>
                <w:szCs w:val="20"/>
              </w:rPr>
              <w:t>I</w:t>
            </w:r>
            <w:r w:rsidR="00C11C2D" w:rsidRPr="00377C13">
              <w:rPr>
                <w:rFonts w:ascii="Arial Narrow" w:hAnsi="Arial Narrow" w:cs="Times New Roman"/>
                <w:snapToGrid/>
                <w:sz w:val="20"/>
                <w:szCs w:val="20"/>
              </w:rPr>
              <w:t>vacaftor.</w:t>
            </w:r>
          </w:p>
        </w:tc>
      </w:tr>
      <w:tr w:rsidR="00C11C2D" w:rsidRPr="00377C13" w:rsidTr="00ED741D">
        <w:trPr>
          <w:cantSplit/>
        </w:trPr>
        <w:tc>
          <w:tcPr>
            <w:tcW w:w="1696" w:type="dxa"/>
            <w:shd w:val="clear" w:color="auto" w:fill="auto"/>
          </w:tcPr>
          <w:p w:rsidR="00C11C2D" w:rsidRPr="00377C13" w:rsidRDefault="00C11C2D" w:rsidP="007D3143">
            <w:pPr>
              <w:widowControl/>
              <w:jc w:val="left"/>
              <w:rPr>
                <w:rFonts w:ascii="Arial Narrow" w:hAnsi="Arial Narrow" w:cs="Times New Roman"/>
                <w:snapToGrid/>
                <w:sz w:val="20"/>
                <w:szCs w:val="20"/>
              </w:rPr>
            </w:pPr>
            <w:r w:rsidRPr="00377C13">
              <w:rPr>
                <w:rFonts w:ascii="Arial Narrow" w:hAnsi="Arial Narrow" w:cs="Times New Roman"/>
                <w:snapToGrid/>
                <w:sz w:val="20"/>
                <w:szCs w:val="20"/>
              </w:rPr>
              <w:t>Comparator</w:t>
            </w:r>
          </w:p>
        </w:tc>
        <w:tc>
          <w:tcPr>
            <w:tcW w:w="7484" w:type="dxa"/>
          </w:tcPr>
          <w:p w:rsidR="00C11C2D" w:rsidRPr="00377C13" w:rsidRDefault="00C11C2D" w:rsidP="007D3143">
            <w:pPr>
              <w:widowControl/>
              <w:jc w:val="left"/>
              <w:rPr>
                <w:rFonts w:ascii="Arial Narrow" w:hAnsi="Arial Narrow" w:cs="Times New Roman"/>
                <w:snapToGrid/>
                <w:sz w:val="20"/>
                <w:szCs w:val="20"/>
              </w:rPr>
            </w:pPr>
            <w:r w:rsidRPr="00377C13">
              <w:rPr>
                <w:rFonts w:ascii="Arial Narrow" w:hAnsi="Arial Narrow" w:cs="Times New Roman"/>
                <w:snapToGrid/>
                <w:sz w:val="20"/>
                <w:szCs w:val="20"/>
              </w:rPr>
              <w:t>Best supportive care.</w:t>
            </w:r>
          </w:p>
        </w:tc>
      </w:tr>
      <w:tr w:rsidR="00C11C2D" w:rsidRPr="00377C13" w:rsidTr="00ED741D">
        <w:trPr>
          <w:cantSplit/>
        </w:trPr>
        <w:tc>
          <w:tcPr>
            <w:tcW w:w="1696" w:type="dxa"/>
            <w:shd w:val="clear" w:color="auto" w:fill="auto"/>
          </w:tcPr>
          <w:p w:rsidR="00C11C2D" w:rsidRPr="00377C13" w:rsidRDefault="00C11C2D" w:rsidP="007D3143">
            <w:pPr>
              <w:widowControl/>
              <w:jc w:val="left"/>
              <w:rPr>
                <w:rFonts w:ascii="Arial Narrow" w:hAnsi="Arial Narrow" w:cs="Times New Roman"/>
                <w:snapToGrid/>
                <w:sz w:val="20"/>
                <w:szCs w:val="20"/>
              </w:rPr>
            </w:pPr>
            <w:r w:rsidRPr="00377C13">
              <w:rPr>
                <w:rFonts w:ascii="Arial Narrow" w:hAnsi="Arial Narrow" w:cs="Times New Roman"/>
                <w:snapToGrid/>
                <w:sz w:val="20"/>
                <w:szCs w:val="20"/>
              </w:rPr>
              <w:t>Outcomes</w:t>
            </w:r>
          </w:p>
        </w:tc>
        <w:tc>
          <w:tcPr>
            <w:tcW w:w="7484" w:type="dxa"/>
          </w:tcPr>
          <w:p w:rsidR="00C11C2D" w:rsidRPr="00377C13" w:rsidRDefault="00C11C2D" w:rsidP="007D3143">
            <w:pPr>
              <w:widowControl/>
              <w:jc w:val="left"/>
              <w:rPr>
                <w:rFonts w:ascii="Arial Narrow" w:hAnsi="Arial Narrow"/>
                <w:sz w:val="20"/>
                <w:szCs w:val="20"/>
              </w:rPr>
            </w:pPr>
            <w:r w:rsidRPr="00377C13">
              <w:rPr>
                <w:rFonts w:ascii="Arial Narrow" w:hAnsi="Arial Narrow"/>
                <w:sz w:val="20"/>
                <w:szCs w:val="20"/>
              </w:rPr>
              <w:t>Primary outcome:</w:t>
            </w:r>
          </w:p>
          <w:p w:rsidR="00C11C2D" w:rsidRPr="00377C13" w:rsidRDefault="00C11C2D" w:rsidP="00B47A0D">
            <w:pPr>
              <w:widowControl/>
              <w:numPr>
                <w:ilvl w:val="0"/>
                <w:numId w:val="7"/>
              </w:numPr>
              <w:jc w:val="left"/>
              <w:rPr>
                <w:rFonts w:ascii="Arial Narrow" w:hAnsi="Arial Narrow"/>
                <w:sz w:val="20"/>
                <w:szCs w:val="20"/>
              </w:rPr>
            </w:pPr>
            <w:r w:rsidRPr="00377C13">
              <w:rPr>
                <w:rFonts w:ascii="Arial Narrow" w:hAnsi="Arial Narrow"/>
                <w:sz w:val="20"/>
                <w:szCs w:val="20"/>
              </w:rPr>
              <w:t>Mean ivacaftor, M1-ivacaftor, and M6-ivacaftor plasma concentrations</w:t>
            </w:r>
          </w:p>
          <w:p w:rsidR="00C11C2D" w:rsidRPr="00377C13" w:rsidRDefault="00C11C2D" w:rsidP="007D3143">
            <w:pPr>
              <w:widowControl/>
              <w:jc w:val="left"/>
              <w:rPr>
                <w:rFonts w:ascii="Arial Narrow" w:hAnsi="Arial Narrow"/>
                <w:sz w:val="20"/>
                <w:szCs w:val="20"/>
              </w:rPr>
            </w:pPr>
            <w:r w:rsidRPr="00377C13">
              <w:rPr>
                <w:rFonts w:ascii="Arial Narrow" w:hAnsi="Arial Narrow"/>
                <w:sz w:val="20"/>
                <w:szCs w:val="20"/>
              </w:rPr>
              <w:t xml:space="preserve">Secondary and tertiary outcomes: </w:t>
            </w:r>
          </w:p>
          <w:p w:rsidR="00C11C2D" w:rsidRPr="00377C13" w:rsidRDefault="00C11C2D" w:rsidP="00B47A0D">
            <w:pPr>
              <w:widowControl/>
              <w:numPr>
                <w:ilvl w:val="0"/>
                <w:numId w:val="7"/>
              </w:numPr>
              <w:jc w:val="left"/>
              <w:rPr>
                <w:rFonts w:ascii="Arial Narrow" w:hAnsi="Arial Narrow"/>
                <w:sz w:val="20"/>
                <w:szCs w:val="20"/>
              </w:rPr>
            </w:pPr>
            <w:r w:rsidRPr="00377C13">
              <w:rPr>
                <w:rFonts w:ascii="Arial Narrow" w:hAnsi="Arial Narrow"/>
                <w:sz w:val="20"/>
                <w:szCs w:val="20"/>
              </w:rPr>
              <w:t>Absolute change from baseline in nutritional status (weight, length, weight-for-length z-scores, weight-for-length-for-age z-scores, and weight-for-length percentiles).</w:t>
            </w:r>
          </w:p>
          <w:p w:rsidR="00C11C2D" w:rsidRPr="00377C13" w:rsidRDefault="00C11C2D" w:rsidP="00B47A0D">
            <w:pPr>
              <w:widowControl/>
              <w:numPr>
                <w:ilvl w:val="0"/>
                <w:numId w:val="7"/>
              </w:numPr>
              <w:jc w:val="left"/>
              <w:rPr>
                <w:rFonts w:ascii="Arial Narrow" w:hAnsi="Arial Narrow"/>
                <w:sz w:val="20"/>
                <w:szCs w:val="20"/>
              </w:rPr>
            </w:pPr>
            <w:r w:rsidRPr="00377C13">
              <w:rPr>
                <w:rFonts w:ascii="Arial Narrow" w:hAnsi="Arial Narrow"/>
                <w:sz w:val="20"/>
                <w:szCs w:val="20"/>
              </w:rPr>
              <w:t>Absolute change from baseline in sweat chloride.</w:t>
            </w:r>
          </w:p>
          <w:p w:rsidR="00C11C2D" w:rsidRPr="00377C13" w:rsidRDefault="00C11C2D" w:rsidP="00B47A0D">
            <w:pPr>
              <w:widowControl/>
              <w:numPr>
                <w:ilvl w:val="0"/>
                <w:numId w:val="7"/>
              </w:numPr>
              <w:jc w:val="left"/>
              <w:rPr>
                <w:rFonts w:ascii="Arial Narrow" w:hAnsi="Arial Narrow"/>
                <w:sz w:val="20"/>
                <w:szCs w:val="20"/>
              </w:rPr>
            </w:pPr>
            <w:r w:rsidRPr="00377C13">
              <w:rPr>
                <w:rFonts w:ascii="Arial Narrow" w:hAnsi="Arial Narrow"/>
                <w:sz w:val="20"/>
                <w:szCs w:val="20"/>
              </w:rPr>
              <w:t>Absolute change from baseline in LCI.</w:t>
            </w:r>
          </w:p>
          <w:p w:rsidR="00C11C2D" w:rsidRPr="00377C13" w:rsidRDefault="00C11C2D" w:rsidP="00B47A0D">
            <w:pPr>
              <w:widowControl/>
              <w:numPr>
                <w:ilvl w:val="0"/>
                <w:numId w:val="7"/>
              </w:numPr>
              <w:jc w:val="left"/>
              <w:rPr>
                <w:rFonts w:ascii="Arial Narrow" w:hAnsi="Arial Narrow"/>
                <w:sz w:val="20"/>
                <w:szCs w:val="20"/>
              </w:rPr>
            </w:pPr>
            <w:r w:rsidRPr="00377C13">
              <w:rPr>
                <w:rFonts w:ascii="Arial Narrow" w:hAnsi="Arial Narrow"/>
                <w:sz w:val="20"/>
                <w:szCs w:val="20"/>
              </w:rPr>
              <w:t xml:space="preserve">Absolute change from baseline in faecal elastase-1 (FE-1). </w:t>
            </w:r>
          </w:p>
          <w:p w:rsidR="00C11C2D" w:rsidRPr="00377C13" w:rsidRDefault="00C11C2D" w:rsidP="00B47A0D">
            <w:pPr>
              <w:widowControl/>
              <w:numPr>
                <w:ilvl w:val="0"/>
                <w:numId w:val="7"/>
              </w:numPr>
              <w:jc w:val="left"/>
              <w:rPr>
                <w:rFonts w:ascii="Arial Narrow" w:hAnsi="Arial Narrow"/>
                <w:sz w:val="20"/>
                <w:szCs w:val="20"/>
              </w:rPr>
            </w:pPr>
            <w:r w:rsidRPr="00377C13">
              <w:rPr>
                <w:rFonts w:ascii="Arial Narrow" w:hAnsi="Arial Narrow"/>
                <w:sz w:val="20"/>
                <w:szCs w:val="20"/>
              </w:rPr>
              <w:t>Absolute change from baseline in IRT.</w:t>
            </w:r>
          </w:p>
          <w:p w:rsidR="00C11C2D" w:rsidRPr="00377C13" w:rsidRDefault="00C11C2D" w:rsidP="00B47A0D">
            <w:pPr>
              <w:widowControl/>
              <w:numPr>
                <w:ilvl w:val="0"/>
                <w:numId w:val="7"/>
              </w:numPr>
              <w:jc w:val="left"/>
              <w:rPr>
                <w:rFonts w:ascii="Arial Narrow" w:hAnsi="Arial Narrow" w:cs="Times New Roman"/>
                <w:snapToGrid/>
                <w:sz w:val="20"/>
                <w:szCs w:val="20"/>
              </w:rPr>
            </w:pPr>
            <w:r w:rsidRPr="00377C13">
              <w:rPr>
                <w:rFonts w:ascii="Arial Narrow" w:hAnsi="Arial Narrow" w:cs="Times New Roman"/>
                <w:snapToGrid/>
                <w:sz w:val="20"/>
                <w:szCs w:val="20"/>
              </w:rPr>
              <w:t>Measures of pulmonary exacerbations (</w:t>
            </w:r>
            <w:proofErr w:type="spellStart"/>
            <w:r w:rsidRPr="00377C13">
              <w:rPr>
                <w:rFonts w:ascii="Arial Narrow" w:hAnsi="Arial Narrow" w:cs="Times New Roman"/>
                <w:snapToGrid/>
                <w:sz w:val="20"/>
                <w:szCs w:val="20"/>
              </w:rPr>
              <w:t>PEx</w:t>
            </w:r>
            <w:proofErr w:type="spellEnd"/>
            <w:r w:rsidRPr="00377C13">
              <w:rPr>
                <w:rFonts w:ascii="Arial Narrow" w:hAnsi="Arial Narrow" w:cs="Times New Roman"/>
                <w:snapToGrid/>
                <w:sz w:val="20"/>
                <w:szCs w:val="20"/>
              </w:rPr>
              <w:t>).</w:t>
            </w:r>
          </w:p>
        </w:tc>
      </w:tr>
      <w:tr w:rsidR="00C11C2D" w:rsidRPr="00377C13" w:rsidTr="00ED741D">
        <w:trPr>
          <w:cantSplit/>
        </w:trPr>
        <w:tc>
          <w:tcPr>
            <w:tcW w:w="1696" w:type="dxa"/>
            <w:shd w:val="clear" w:color="auto" w:fill="auto"/>
          </w:tcPr>
          <w:p w:rsidR="00C11C2D" w:rsidRPr="00377C13" w:rsidRDefault="00C11C2D" w:rsidP="007D3143">
            <w:pPr>
              <w:widowControl/>
              <w:jc w:val="left"/>
              <w:rPr>
                <w:rFonts w:ascii="Arial Narrow" w:hAnsi="Arial Narrow" w:cs="Times New Roman"/>
                <w:snapToGrid/>
                <w:sz w:val="20"/>
                <w:szCs w:val="20"/>
              </w:rPr>
            </w:pPr>
            <w:r w:rsidRPr="00377C13">
              <w:rPr>
                <w:rFonts w:ascii="Arial Narrow" w:hAnsi="Arial Narrow" w:cs="Times New Roman"/>
                <w:snapToGrid/>
                <w:sz w:val="20"/>
                <w:szCs w:val="20"/>
              </w:rPr>
              <w:t>Clinical claim</w:t>
            </w:r>
          </w:p>
        </w:tc>
        <w:tc>
          <w:tcPr>
            <w:tcW w:w="7484" w:type="dxa"/>
          </w:tcPr>
          <w:p w:rsidR="00C11C2D" w:rsidRPr="00377C13" w:rsidRDefault="00C11C2D" w:rsidP="007D3143">
            <w:pPr>
              <w:widowControl/>
              <w:jc w:val="left"/>
              <w:rPr>
                <w:rFonts w:ascii="Arial Narrow" w:hAnsi="Arial Narrow"/>
                <w:sz w:val="20"/>
                <w:szCs w:val="20"/>
              </w:rPr>
            </w:pPr>
            <w:r w:rsidRPr="00377C13">
              <w:rPr>
                <w:rFonts w:ascii="Arial Narrow" w:hAnsi="Arial Narrow"/>
                <w:sz w:val="20"/>
                <w:szCs w:val="20"/>
              </w:rPr>
              <w:t>Ivacaftor plus BSC is superior in terms of effectiveness compared with BSC alone</w:t>
            </w:r>
          </w:p>
          <w:p w:rsidR="00C11C2D" w:rsidRPr="00377C13" w:rsidRDefault="00C11C2D" w:rsidP="007D3143">
            <w:pPr>
              <w:widowControl/>
              <w:jc w:val="left"/>
              <w:rPr>
                <w:rFonts w:ascii="Arial Narrow" w:hAnsi="Arial Narrow" w:cs="Times New Roman"/>
                <w:snapToGrid/>
                <w:sz w:val="20"/>
                <w:szCs w:val="20"/>
              </w:rPr>
            </w:pPr>
            <w:r w:rsidRPr="00377C13">
              <w:rPr>
                <w:rFonts w:ascii="Arial Narrow" w:hAnsi="Arial Narrow" w:cs="Times New Roman"/>
                <w:snapToGrid/>
                <w:sz w:val="20"/>
                <w:szCs w:val="20"/>
              </w:rPr>
              <w:t>Ivacaftor plus BSC is non-inferior in terms of safety compared to BSC alone</w:t>
            </w:r>
          </w:p>
        </w:tc>
      </w:tr>
    </w:tbl>
    <w:p w:rsidR="00C11C2D" w:rsidRPr="00377C13" w:rsidRDefault="00C11C2D" w:rsidP="007D3143">
      <w:pPr>
        <w:widowControl/>
        <w:rPr>
          <w:rFonts w:ascii="Arial Narrow" w:hAnsi="Arial Narrow"/>
          <w:sz w:val="18"/>
        </w:rPr>
      </w:pPr>
      <w:r w:rsidRPr="00377C13">
        <w:rPr>
          <w:rFonts w:ascii="Arial Narrow" w:hAnsi="Arial Narrow"/>
          <w:sz w:val="18"/>
        </w:rPr>
        <w:t xml:space="preserve">Abbreviations: BSC=best supportive care; CFTR=cystic fibrosis transmembrane conductance regulator; FE=faecal elastase; IRT= </w:t>
      </w:r>
      <w:proofErr w:type="spellStart"/>
      <w:r w:rsidRPr="00377C13">
        <w:rPr>
          <w:rFonts w:ascii="Arial Narrow" w:hAnsi="Arial Narrow"/>
          <w:sz w:val="18"/>
        </w:rPr>
        <w:t>immunoreactive</w:t>
      </w:r>
      <w:proofErr w:type="spellEnd"/>
      <w:r w:rsidRPr="00377C13">
        <w:rPr>
          <w:rFonts w:ascii="Arial Narrow" w:hAnsi="Arial Narrow"/>
          <w:sz w:val="18"/>
        </w:rPr>
        <w:t xml:space="preserve"> trypsinogen; LCI=lung clearance index; </w:t>
      </w:r>
      <w:proofErr w:type="spellStart"/>
      <w:r w:rsidRPr="00377C13">
        <w:rPr>
          <w:rFonts w:ascii="Arial Narrow" w:hAnsi="Arial Narrow"/>
          <w:sz w:val="18"/>
        </w:rPr>
        <w:t>PEx</w:t>
      </w:r>
      <w:proofErr w:type="spellEnd"/>
      <w:r w:rsidRPr="00377C13">
        <w:rPr>
          <w:rFonts w:ascii="Arial Narrow" w:hAnsi="Arial Narrow"/>
          <w:sz w:val="18"/>
        </w:rPr>
        <w:t>=pulmonary exacerbations.</w:t>
      </w:r>
    </w:p>
    <w:p w:rsidR="00C11C2D" w:rsidRPr="00377C13" w:rsidRDefault="00C11C2D" w:rsidP="007D3143">
      <w:pPr>
        <w:widowControl/>
        <w:rPr>
          <w:rFonts w:ascii="Arial Narrow" w:hAnsi="Arial Narrow"/>
          <w:sz w:val="18"/>
        </w:rPr>
      </w:pPr>
      <w:r w:rsidRPr="00377C13">
        <w:rPr>
          <w:rFonts w:ascii="Arial Narrow" w:hAnsi="Arial Narrow"/>
          <w:sz w:val="18"/>
        </w:rPr>
        <w:t xml:space="preserve">Source: Table 1.1.1, p8 of the submission </w:t>
      </w:r>
    </w:p>
    <w:p w:rsidR="00B04D7B" w:rsidRPr="00377C13" w:rsidRDefault="00B04D7B" w:rsidP="00B47A0D">
      <w:pPr>
        <w:pStyle w:val="PBACHeading1"/>
        <w:spacing w:before="240" w:after="120"/>
      </w:pPr>
      <w:r w:rsidRPr="00377C13">
        <w:t>Requested listing</w:t>
      </w:r>
    </w:p>
    <w:p w:rsidR="00B04D7B" w:rsidRPr="00377C13" w:rsidRDefault="00B04D7B" w:rsidP="00B47A0D">
      <w:pPr>
        <w:pStyle w:val="ListParagraph"/>
        <w:widowControl/>
        <w:numPr>
          <w:ilvl w:val="1"/>
          <w:numId w:val="8"/>
        </w:numPr>
        <w:spacing w:before="120" w:after="120"/>
      </w:pPr>
      <w:r w:rsidRPr="00377C13">
        <w:t xml:space="preserve">A summary of the </w:t>
      </w:r>
      <w:r w:rsidR="007611C3" w:rsidRPr="00377C13">
        <w:t xml:space="preserve">proposed </w:t>
      </w:r>
      <w:r w:rsidRPr="00377C13">
        <w:t>listing details is provided in</w:t>
      </w:r>
      <w:r w:rsidR="00FF530C" w:rsidRPr="00377C13">
        <w:t xml:space="preserve"> Table 2</w:t>
      </w:r>
      <w:r w:rsidRPr="00377C13">
        <w:t xml:space="preserve">. </w:t>
      </w:r>
    </w:p>
    <w:p w:rsidR="00B04D7B" w:rsidRPr="00377C13" w:rsidRDefault="00B04D7B" w:rsidP="007D3143">
      <w:pPr>
        <w:keepNext/>
        <w:widowControl/>
        <w:rPr>
          <w:rFonts w:ascii="Arial Narrow" w:hAnsi="Arial Narrow"/>
          <w:b/>
          <w:bCs/>
          <w:sz w:val="20"/>
          <w:szCs w:val="20"/>
        </w:rPr>
      </w:pPr>
      <w:bookmarkStart w:id="1" w:name="_Ref532202825"/>
      <w:r w:rsidRPr="00377C13">
        <w:rPr>
          <w:rFonts w:ascii="Arial Narrow" w:hAnsi="Arial Narrow"/>
          <w:b/>
          <w:bCs/>
          <w:sz w:val="20"/>
          <w:szCs w:val="20"/>
        </w:rPr>
        <w:t>Table 2</w:t>
      </w:r>
      <w:bookmarkEnd w:id="1"/>
      <w:r w:rsidRPr="00377C13">
        <w:rPr>
          <w:rFonts w:ascii="Arial Narrow" w:hAnsi="Arial Narrow"/>
          <w:b/>
          <w:bCs/>
          <w:sz w:val="20"/>
          <w:szCs w:val="20"/>
        </w:rPr>
        <w:t>: Details of the proposed listing</w:t>
      </w:r>
    </w:p>
    <w:tbl>
      <w:tblPr>
        <w:tblW w:w="5000" w:type="pct"/>
        <w:tblBorders>
          <w:top w:val="single" w:sz="4" w:space="0" w:color="auto"/>
          <w:bottom w:val="single" w:sz="4" w:space="0" w:color="auto"/>
          <w:insideH w:val="single" w:sz="4" w:space="0" w:color="auto"/>
        </w:tblBorders>
        <w:tblLook w:val="04A0" w:firstRow="1" w:lastRow="0" w:firstColumn="1" w:lastColumn="0" w:noHBand="0" w:noVBand="1"/>
        <w:tblCaption w:val="Table 2: Details of the proposed listing"/>
      </w:tblPr>
      <w:tblGrid>
        <w:gridCol w:w="2083"/>
        <w:gridCol w:w="7"/>
        <w:gridCol w:w="1298"/>
        <w:gridCol w:w="1284"/>
        <w:gridCol w:w="919"/>
        <w:gridCol w:w="1616"/>
        <w:gridCol w:w="1820"/>
      </w:tblGrid>
      <w:tr w:rsidR="00F4285B" w:rsidRPr="00377C13" w:rsidTr="006832BC">
        <w:tc>
          <w:tcPr>
            <w:tcW w:w="1154" w:type="pct"/>
            <w:tcBorders>
              <w:bottom w:val="single" w:sz="4" w:space="0" w:color="auto"/>
            </w:tcBorders>
          </w:tcPr>
          <w:p w:rsidR="00F4285B" w:rsidRPr="00377C13" w:rsidRDefault="00F4285B" w:rsidP="007D3143">
            <w:pPr>
              <w:pStyle w:val="Tabletext"/>
              <w:rPr>
                <w:b/>
                <w:bCs/>
                <w:szCs w:val="20"/>
              </w:rPr>
            </w:pPr>
            <w:r w:rsidRPr="00377C13">
              <w:rPr>
                <w:b/>
                <w:szCs w:val="20"/>
              </w:rPr>
              <w:t>Name, restriction, manner of administration, form</w:t>
            </w:r>
          </w:p>
        </w:tc>
        <w:tc>
          <w:tcPr>
            <w:tcW w:w="723" w:type="pct"/>
            <w:gridSpan w:val="2"/>
            <w:tcBorders>
              <w:bottom w:val="single" w:sz="4" w:space="0" w:color="auto"/>
            </w:tcBorders>
          </w:tcPr>
          <w:p w:rsidR="00F4285B" w:rsidRPr="00377C13" w:rsidRDefault="00F4285B" w:rsidP="007D3143">
            <w:pPr>
              <w:pStyle w:val="Tabletext"/>
              <w:rPr>
                <w:b/>
                <w:bCs/>
                <w:szCs w:val="20"/>
              </w:rPr>
            </w:pPr>
            <w:r w:rsidRPr="00377C13">
              <w:rPr>
                <w:b/>
                <w:szCs w:val="20"/>
              </w:rPr>
              <w:t>Maximum quantity (packs)</w:t>
            </w:r>
          </w:p>
        </w:tc>
        <w:tc>
          <w:tcPr>
            <w:tcW w:w="711" w:type="pct"/>
            <w:tcBorders>
              <w:bottom w:val="single" w:sz="4" w:space="0" w:color="auto"/>
            </w:tcBorders>
          </w:tcPr>
          <w:p w:rsidR="00F4285B" w:rsidRPr="00377C13" w:rsidRDefault="00F4285B" w:rsidP="007D3143">
            <w:pPr>
              <w:pStyle w:val="Tabletext"/>
              <w:rPr>
                <w:b/>
                <w:bCs/>
                <w:szCs w:val="20"/>
              </w:rPr>
            </w:pPr>
            <w:r w:rsidRPr="00377C13">
              <w:rPr>
                <w:b/>
                <w:szCs w:val="20"/>
              </w:rPr>
              <w:t>Maximum quantity (units)</w:t>
            </w:r>
          </w:p>
        </w:tc>
        <w:tc>
          <w:tcPr>
            <w:tcW w:w="509" w:type="pct"/>
            <w:tcBorders>
              <w:bottom w:val="single" w:sz="4" w:space="0" w:color="auto"/>
            </w:tcBorders>
          </w:tcPr>
          <w:p w:rsidR="00F4285B" w:rsidRPr="00377C13" w:rsidRDefault="00F4285B" w:rsidP="007D3143">
            <w:pPr>
              <w:pStyle w:val="Tabletext"/>
              <w:rPr>
                <w:b/>
                <w:bCs/>
                <w:szCs w:val="20"/>
              </w:rPr>
            </w:pPr>
            <w:r w:rsidRPr="00377C13">
              <w:rPr>
                <w:b/>
                <w:szCs w:val="20"/>
              </w:rPr>
              <w:t>No. of repeats</w:t>
            </w:r>
          </w:p>
        </w:tc>
        <w:tc>
          <w:tcPr>
            <w:tcW w:w="895" w:type="pct"/>
            <w:tcBorders>
              <w:bottom w:val="single" w:sz="4" w:space="0" w:color="auto"/>
            </w:tcBorders>
          </w:tcPr>
          <w:p w:rsidR="00F4285B" w:rsidRPr="00377C13" w:rsidRDefault="00F4285B" w:rsidP="007D3143">
            <w:pPr>
              <w:pStyle w:val="Tabletext"/>
              <w:rPr>
                <w:b/>
                <w:bCs/>
                <w:szCs w:val="20"/>
              </w:rPr>
            </w:pPr>
            <w:r w:rsidRPr="00377C13">
              <w:rPr>
                <w:b/>
                <w:szCs w:val="20"/>
              </w:rPr>
              <w:t>Dispensed price for maximum quantity</w:t>
            </w:r>
          </w:p>
        </w:tc>
        <w:tc>
          <w:tcPr>
            <w:tcW w:w="1008" w:type="pct"/>
            <w:tcBorders>
              <w:bottom w:val="single" w:sz="4" w:space="0" w:color="auto"/>
            </w:tcBorders>
          </w:tcPr>
          <w:p w:rsidR="00F4285B" w:rsidRPr="00377C13" w:rsidRDefault="00F4285B" w:rsidP="007D3143">
            <w:pPr>
              <w:pStyle w:val="Tabletext"/>
              <w:rPr>
                <w:b/>
                <w:bCs/>
                <w:szCs w:val="20"/>
              </w:rPr>
            </w:pPr>
            <w:r w:rsidRPr="00377C13">
              <w:rPr>
                <w:b/>
                <w:szCs w:val="20"/>
              </w:rPr>
              <w:t>Proprietary name and manufacturer</w:t>
            </w:r>
          </w:p>
        </w:tc>
      </w:tr>
      <w:tr w:rsidR="00F4285B" w:rsidRPr="00377C13" w:rsidTr="006832BC">
        <w:tc>
          <w:tcPr>
            <w:tcW w:w="1154" w:type="pct"/>
            <w:tcBorders>
              <w:bottom w:val="nil"/>
            </w:tcBorders>
          </w:tcPr>
          <w:p w:rsidR="00F4285B" w:rsidRPr="00377C13" w:rsidRDefault="00F4285B" w:rsidP="007D3143">
            <w:pPr>
              <w:pStyle w:val="Tabletext"/>
              <w:rPr>
                <w:szCs w:val="20"/>
              </w:rPr>
            </w:pPr>
            <w:r w:rsidRPr="00377C13">
              <w:rPr>
                <w:szCs w:val="20"/>
              </w:rPr>
              <w:t xml:space="preserve">Ivacaftor, 50 mg granules, 4 x 14 sachets </w:t>
            </w:r>
          </w:p>
        </w:tc>
        <w:tc>
          <w:tcPr>
            <w:tcW w:w="723" w:type="pct"/>
            <w:gridSpan w:val="2"/>
            <w:tcBorders>
              <w:bottom w:val="nil"/>
            </w:tcBorders>
          </w:tcPr>
          <w:p w:rsidR="00F4285B" w:rsidRPr="00377C13" w:rsidRDefault="00F4285B" w:rsidP="007D3143">
            <w:pPr>
              <w:pStyle w:val="Tabletext"/>
              <w:rPr>
                <w:szCs w:val="20"/>
              </w:rPr>
            </w:pPr>
            <w:r w:rsidRPr="00377C13">
              <w:rPr>
                <w:szCs w:val="20"/>
              </w:rPr>
              <w:t>1</w:t>
            </w:r>
          </w:p>
        </w:tc>
        <w:tc>
          <w:tcPr>
            <w:tcW w:w="711" w:type="pct"/>
            <w:tcBorders>
              <w:bottom w:val="nil"/>
            </w:tcBorders>
          </w:tcPr>
          <w:p w:rsidR="00F4285B" w:rsidRPr="00377C13" w:rsidRDefault="00F4285B" w:rsidP="007D3143">
            <w:pPr>
              <w:pStyle w:val="Tabletext"/>
              <w:rPr>
                <w:szCs w:val="20"/>
              </w:rPr>
            </w:pPr>
            <w:r w:rsidRPr="00377C13">
              <w:rPr>
                <w:szCs w:val="20"/>
              </w:rPr>
              <w:t>56</w:t>
            </w:r>
          </w:p>
        </w:tc>
        <w:tc>
          <w:tcPr>
            <w:tcW w:w="509" w:type="pct"/>
            <w:tcBorders>
              <w:bottom w:val="nil"/>
            </w:tcBorders>
          </w:tcPr>
          <w:p w:rsidR="00F4285B" w:rsidRPr="00377C13" w:rsidRDefault="00F4285B" w:rsidP="007D3143">
            <w:pPr>
              <w:pStyle w:val="Tabletext"/>
              <w:rPr>
                <w:szCs w:val="20"/>
              </w:rPr>
            </w:pPr>
            <w:r w:rsidRPr="00377C13">
              <w:rPr>
                <w:szCs w:val="20"/>
              </w:rPr>
              <w:t>5</w:t>
            </w:r>
          </w:p>
        </w:tc>
        <w:tc>
          <w:tcPr>
            <w:tcW w:w="895" w:type="pct"/>
            <w:tcBorders>
              <w:bottom w:val="nil"/>
            </w:tcBorders>
          </w:tcPr>
          <w:p w:rsidR="00F4285B" w:rsidRPr="00377C13" w:rsidRDefault="00F4285B" w:rsidP="007D3143">
            <w:pPr>
              <w:pStyle w:val="Tabletext"/>
              <w:rPr>
                <w:szCs w:val="20"/>
              </w:rPr>
            </w:pPr>
            <w:r w:rsidRPr="00377C13">
              <w:rPr>
                <w:szCs w:val="20"/>
              </w:rPr>
              <w:t>$22,500.00</w:t>
            </w:r>
          </w:p>
        </w:tc>
        <w:tc>
          <w:tcPr>
            <w:tcW w:w="1008" w:type="pct"/>
            <w:vMerge w:val="restart"/>
          </w:tcPr>
          <w:p w:rsidR="00F4285B" w:rsidRPr="00377C13" w:rsidRDefault="00F4285B" w:rsidP="007D3143">
            <w:pPr>
              <w:pStyle w:val="Tabletext"/>
              <w:rPr>
                <w:szCs w:val="20"/>
              </w:rPr>
            </w:pPr>
            <w:proofErr w:type="spellStart"/>
            <w:r w:rsidRPr="00377C13">
              <w:rPr>
                <w:szCs w:val="20"/>
              </w:rPr>
              <w:t>Kalydeco</w:t>
            </w:r>
            <w:proofErr w:type="spellEnd"/>
            <w:r w:rsidRPr="00377C13">
              <w:rPr>
                <w:szCs w:val="20"/>
              </w:rPr>
              <w:t xml:space="preserve">®, </w:t>
            </w:r>
            <w:r w:rsidRPr="00377C13">
              <w:rPr>
                <w:szCs w:val="20"/>
              </w:rPr>
              <w:br/>
              <w:t>Vertex Pharmaceuticals</w:t>
            </w:r>
          </w:p>
        </w:tc>
      </w:tr>
      <w:tr w:rsidR="00F4285B" w:rsidRPr="00377C13" w:rsidTr="006832BC">
        <w:tc>
          <w:tcPr>
            <w:tcW w:w="1154" w:type="pct"/>
            <w:tcBorders>
              <w:top w:val="nil"/>
            </w:tcBorders>
          </w:tcPr>
          <w:p w:rsidR="00F4285B" w:rsidRPr="00377C13" w:rsidRDefault="00F4285B" w:rsidP="007D3143">
            <w:pPr>
              <w:pStyle w:val="Tabletext"/>
              <w:rPr>
                <w:szCs w:val="20"/>
              </w:rPr>
            </w:pPr>
            <w:r w:rsidRPr="00377C13">
              <w:rPr>
                <w:szCs w:val="20"/>
              </w:rPr>
              <w:t>Ivacaftor, 75 mg granules, 4 x 14 sachets</w:t>
            </w:r>
          </w:p>
        </w:tc>
        <w:tc>
          <w:tcPr>
            <w:tcW w:w="723" w:type="pct"/>
            <w:gridSpan w:val="2"/>
            <w:tcBorders>
              <w:top w:val="nil"/>
            </w:tcBorders>
          </w:tcPr>
          <w:p w:rsidR="00F4285B" w:rsidRPr="00377C13" w:rsidRDefault="00F4285B" w:rsidP="007D3143">
            <w:pPr>
              <w:pStyle w:val="Tabletext"/>
              <w:rPr>
                <w:szCs w:val="20"/>
              </w:rPr>
            </w:pPr>
            <w:r w:rsidRPr="00377C13">
              <w:rPr>
                <w:szCs w:val="20"/>
              </w:rPr>
              <w:t>1</w:t>
            </w:r>
          </w:p>
        </w:tc>
        <w:tc>
          <w:tcPr>
            <w:tcW w:w="711" w:type="pct"/>
            <w:tcBorders>
              <w:top w:val="nil"/>
            </w:tcBorders>
          </w:tcPr>
          <w:p w:rsidR="00F4285B" w:rsidRPr="00377C13" w:rsidRDefault="00F4285B" w:rsidP="007D3143">
            <w:pPr>
              <w:pStyle w:val="Tabletext"/>
              <w:rPr>
                <w:szCs w:val="20"/>
              </w:rPr>
            </w:pPr>
            <w:r w:rsidRPr="00377C13">
              <w:rPr>
                <w:szCs w:val="20"/>
              </w:rPr>
              <w:t>56</w:t>
            </w:r>
          </w:p>
        </w:tc>
        <w:tc>
          <w:tcPr>
            <w:tcW w:w="509" w:type="pct"/>
            <w:tcBorders>
              <w:top w:val="nil"/>
            </w:tcBorders>
          </w:tcPr>
          <w:p w:rsidR="00F4285B" w:rsidRPr="00377C13" w:rsidRDefault="00F4285B" w:rsidP="007D3143">
            <w:pPr>
              <w:pStyle w:val="Tabletext"/>
              <w:rPr>
                <w:szCs w:val="20"/>
              </w:rPr>
            </w:pPr>
            <w:r w:rsidRPr="00377C13">
              <w:rPr>
                <w:szCs w:val="20"/>
              </w:rPr>
              <w:t>5</w:t>
            </w:r>
          </w:p>
        </w:tc>
        <w:tc>
          <w:tcPr>
            <w:tcW w:w="895" w:type="pct"/>
            <w:tcBorders>
              <w:top w:val="nil"/>
            </w:tcBorders>
          </w:tcPr>
          <w:p w:rsidR="00F4285B" w:rsidRPr="00377C13" w:rsidRDefault="00F4285B" w:rsidP="007D3143">
            <w:pPr>
              <w:pStyle w:val="Tabletext"/>
              <w:rPr>
                <w:szCs w:val="20"/>
              </w:rPr>
            </w:pPr>
            <w:r w:rsidRPr="00377C13">
              <w:rPr>
                <w:szCs w:val="20"/>
              </w:rPr>
              <w:t>$22,500.00</w:t>
            </w:r>
          </w:p>
        </w:tc>
        <w:tc>
          <w:tcPr>
            <w:tcW w:w="1008" w:type="pct"/>
            <w:vMerge/>
          </w:tcPr>
          <w:p w:rsidR="00F4285B" w:rsidRPr="00377C13" w:rsidRDefault="00F4285B" w:rsidP="007D3143">
            <w:pPr>
              <w:pStyle w:val="Tabletext"/>
              <w:rPr>
                <w:szCs w:val="20"/>
              </w:rPr>
            </w:pPr>
          </w:p>
        </w:tc>
      </w:tr>
      <w:tr w:rsidR="00DF3C96" w:rsidRPr="00377C13" w:rsidTr="006832BC">
        <w:tblPrEx>
          <w:tblBorders>
            <w:top w:val="none" w:sz="0" w:space="0" w:color="auto"/>
            <w:bottom w:val="none" w:sz="0" w:space="0" w:color="auto"/>
            <w:insideH w:val="none" w:sz="0" w:space="0" w:color="auto"/>
          </w:tblBorders>
          <w:tblLook w:val="0000" w:firstRow="0" w:lastRow="0" w:firstColumn="0" w:lastColumn="0" w:noHBand="0" w:noVBand="0"/>
        </w:tblPrEx>
        <w:tc>
          <w:tcPr>
            <w:tcW w:w="1158" w:type="pct"/>
            <w:gridSpan w:val="2"/>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tabs>
                <w:tab w:val="right" w:pos="1911"/>
              </w:tabs>
              <w:jc w:val="left"/>
              <w:rPr>
                <w:rFonts w:ascii="Arial Narrow" w:hAnsi="Arial Narrow" w:cs="Times New Roman"/>
                <w:b/>
                <w:snapToGrid/>
                <w:sz w:val="20"/>
              </w:rPr>
            </w:pPr>
            <w:r w:rsidRPr="00377C13">
              <w:rPr>
                <w:rFonts w:ascii="Arial Narrow" w:hAnsi="Arial Narrow" w:cs="Times New Roman"/>
                <w:b/>
                <w:snapToGrid/>
                <w:sz w:val="20"/>
              </w:rPr>
              <w:lastRenderedPageBreak/>
              <w:t>Episodicity:</w:t>
            </w:r>
            <w:r w:rsidRPr="00377C13">
              <w:rPr>
                <w:rFonts w:ascii="Arial Narrow" w:hAnsi="Arial Narrow" w:cs="Times New Roman"/>
                <w:b/>
                <w:snapToGrid/>
                <w:sz w:val="20"/>
              </w:rPr>
              <w:tab/>
            </w:r>
          </w:p>
        </w:tc>
        <w:tc>
          <w:tcPr>
            <w:tcW w:w="3842" w:type="pct"/>
            <w:gridSpan w:val="5"/>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i/>
                <w:snapToGrid/>
                <w:sz w:val="20"/>
              </w:rPr>
            </w:pPr>
            <w:r w:rsidRPr="00377C13">
              <w:rPr>
                <w:rFonts w:ascii="Arial Narrow" w:hAnsi="Arial Narrow" w:cs="Times New Roman"/>
                <w:i/>
                <w:snapToGrid/>
                <w:sz w:val="20"/>
              </w:rPr>
              <w:t>Chronic</w:t>
            </w:r>
          </w:p>
        </w:tc>
      </w:tr>
      <w:tr w:rsidR="00DF3C96" w:rsidRPr="00377C13" w:rsidTr="006832BC">
        <w:tblPrEx>
          <w:tblBorders>
            <w:top w:val="none" w:sz="0" w:space="0" w:color="auto"/>
            <w:bottom w:val="none" w:sz="0" w:space="0" w:color="auto"/>
            <w:insideH w:val="none" w:sz="0" w:space="0" w:color="auto"/>
          </w:tblBorders>
          <w:tblLook w:val="0000" w:firstRow="0" w:lastRow="0" w:firstColumn="0" w:lastColumn="0" w:noHBand="0" w:noVBand="0"/>
        </w:tblPrEx>
        <w:tc>
          <w:tcPr>
            <w:tcW w:w="1158" w:type="pct"/>
            <w:gridSpan w:val="2"/>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b/>
                <w:snapToGrid/>
                <w:sz w:val="20"/>
              </w:rPr>
            </w:pPr>
            <w:r w:rsidRPr="00377C13">
              <w:rPr>
                <w:rFonts w:ascii="Arial Narrow" w:hAnsi="Arial Narrow" w:cs="Times New Roman"/>
                <w:b/>
                <w:snapToGrid/>
                <w:sz w:val="20"/>
              </w:rPr>
              <w:t>Severity:</w:t>
            </w:r>
          </w:p>
        </w:tc>
        <w:tc>
          <w:tcPr>
            <w:tcW w:w="3842" w:type="pct"/>
            <w:gridSpan w:val="5"/>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i/>
                <w:snapToGrid/>
                <w:sz w:val="20"/>
              </w:rPr>
            </w:pPr>
            <w:r w:rsidRPr="00377C13">
              <w:rPr>
                <w:rFonts w:ascii="Arial Narrow" w:hAnsi="Arial Narrow" w:cs="Times New Roman"/>
                <w:i/>
                <w:snapToGrid/>
                <w:sz w:val="20"/>
              </w:rPr>
              <w:t>N/A</w:t>
            </w:r>
          </w:p>
        </w:tc>
      </w:tr>
      <w:tr w:rsidR="00DF3C96" w:rsidRPr="00377C13" w:rsidTr="006832BC">
        <w:tblPrEx>
          <w:tblBorders>
            <w:top w:val="none" w:sz="0" w:space="0" w:color="auto"/>
            <w:bottom w:val="none" w:sz="0" w:space="0" w:color="auto"/>
            <w:insideH w:val="none" w:sz="0" w:space="0" w:color="auto"/>
          </w:tblBorders>
          <w:tblLook w:val="0000" w:firstRow="0" w:lastRow="0" w:firstColumn="0" w:lastColumn="0" w:noHBand="0" w:noVBand="0"/>
        </w:tblPrEx>
        <w:tc>
          <w:tcPr>
            <w:tcW w:w="1158" w:type="pct"/>
            <w:gridSpan w:val="2"/>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b/>
                <w:snapToGrid/>
                <w:sz w:val="20"/>
              </w:rPr>
            </w:pPr>
            <w:r w:rsidRPr="00377C13">
              <w:rPr>
                <w:rFonts w:ascii="Arial Narrow" w:hAnsi="Arial Narrow" w:cs="Times New Roman"/>
                <w:b/>
                <w:snapToGrid/>
                <w:sz w:val="20"/>
              </w:rPr>
              <w:t>Condition:</w:t>
            </w:r>
          </w:p>
        </w:tc>
        <w:tc>
          <w:tcPr>
            <w:tcW w:w="3842" w:type="pct"/>
            <w:gridSpan w:val="5"/>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Treatment of cystic fibrosis in patients aged ≥12 months and older who have a G551D or other gating (class III) mutation in the CFTR gene.</w:t>
            </w:r>
          </w:p>
        </w:tc>
      </w:tr>
      <w:tr w:rsidR="00DF3C96" w:rsidRPr="00377C13" w:rsidTr="006832BC">
        <w:tblPrEx>
          <w:tblBorders>
            <w:top w:val="none" w:sz="0" w:space="0" w:color="auto"/>
            <w:bottom w:val="none" w:sz="0" w:space="0" w:color="auto"/>
            <w:insideH w:val="none" w:sz="0" w:space="0" w:color="auto"/>
          </w:tblBorders>
          <w:tblLook w:val="0000" w:firstRow="0" w:lastRow="0" w:firstColumn="0" w:lastColumn="0" w:noHBand="0" w:noVBand="0"/>
        </w:tblPrEx>
        <w:tc>
          <w:tcPr>
            <w:tcW w:w="1158" w:type="pct"/>
            <w:gridSpan w:val="2"/>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b/>
                <w:snapToGrid/>
                <w:sz w:val="20"/>
              </w:rPr>
            </w:pPr>
            <w:r w:rsidRPr="00377C13">
              <w:rPr>
                <w:rFonts w:ascii="Arial Narrow" w:hAnsi="Arial Narrow" w:cs="Times New Roman"/>
                <w:b/>
                <w:snapToGrid/>
                <w:sz w:val="20"/>
              </w:rPr>
              <w:t>PBS Indication:</w:t>
            </w:r>
          </w:p>
        </w:tc>
        <w:tc>
          <w:tcPr>
            <w:tcW w:w="3842" w:type="pct"/>
            <w:gridSpan w:val="5"/>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Treatment of cystic fibrosis in patients 12 to</w:t>
            </w:r>
            <w:r w:rsidR="00377C13">
              <w:rPr>
                <w:rFonts w:ascii="Arial Narrow" w:hAnsi="Arial Narrow" w:cs="Times New Roman"/>
                <w:snapToGrid/>
                <w:sz w:val="20"/>
              </w:rPr>
              <w:t xml:space="preserve"> </w:t>
            </w:r>
            <w:r w:rsidRPr="00377C13">
              <w:rPr>
                <w:rFonts w:ascii="Arial Narrow" w:hAnsi="Arial Narrow" w:cs="Times New Roman"/>
                <w:snapToGrid/>
                <w:sz w:val="20"/>
              </w:rPr>
              <w:t>24 months old who have a G551D or other gating (class III) mutation in the CFTR gene on at least one allele.</w:t>
            </w:r>
          </w:p>
        </w:tc>
      </w:tr>
      <w:tr w:rsidR="00DF3C96" w:rsidRPr="00377C13" w:rsidTr="006832BC">
        <w:tblPrEx>
          <w:tblBorders>
            <w:top w:val="none" w:sz="0" w:space="0" w:color="auto"/>
            <w:bottom w:val="none" w:sz="0" w:space="0" w:color="auto"/>
            <w:insideH w:val="none" w:sz="0" w:space="0" w:color="auto"/>
          </w:tblBorders>
          <w:tblLook w:val="0000" w:firstRow="0" w:lastRow="0" w:firstColumn="0" w:lastColumn="0" w:noHBand="0" w:noVBand="0"/>
        </w:tblPrEx>
        <w:trPr>
          <w:trHeight w:val="169"/>
        </w:trPr>
        <w:tc>
          <w:tcPr>
            <w:tcW w:w="1158" w:type="pct"/>
            <w:gridSpan w:val="2"/>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b/>
                <w:snapToGrid/>
                <w:sz w:val="20"/>
              </w:rPr>
            </w:pPr>
            <w:r w:rsidRPr="00377C13">
              <w:rPr>
                <w:rFonts w:ascii="Arial Narrow" w:hAnsi="Arial Narrow" w:cs="Times New Roman"/>
                <w:b/>
                <w:snapToGrid/>
                <w:sz w:val="20"/>
              </w:rPr>
              <w:t>Treatment phase:</w:t>
            </w:r>
          </w:p>
        </w:tc>
        <w:tc>
          <w:tcPr>
            <w:tcW w:w="3842" w:type="pct"/>
            <w:gridSpan w:val="5"/>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 xml:space="preserve">Initial </w:t>
            </w:r>
          </w:p>
        </w:tc>
      </w:tr>
      <w:tr w:rsidR="00DF3C96" w:rsidRPr="00377C13" w:rsidTr="006832BC">
        <w:tblPrEx>
          <w:tblBorders>
            <w:top w:val="none" w:sz="0" w:space="0" w:color="auto"/>
            <w:bottom w:val="none" w:sz="0" w:space="0" w:color="auto"/>
            <w:insideH w:val="none" w:sz="0" w:space="0" w:color="auto"/>
          </w:tblBorders>
          <w:tblLook w:val="0000" w:firstRow="0" w:lastRow="0" w:firstColumn="0" w:lastColumn="0" w:noHBand="0" w:noVBand="0"/>
        </w:tblPrEx>
        <w:tc>
          <w:tcPr>
            <w:tcW w:w="1158" w:type="pct"/>
            <w:gridSpan w:val="2"/>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b/>
                <w:snapToGrid/>
                <w:sz w:val="20"/>
              </w:rPr>
            </w:pPr>
            <w:r w:rsidRPr="00377C13">
              <w:rPr>
                <w:rFonts w:ascii="Arial Narrow" w:hAnsi="Arial Narrow" w:cs="Times New Roman"/>
                <w:b/>
                <w:snapToGrid/>
                <w:sz w:val="20"/>
              </w:rPr>
              <w:t>Restriction:</w:t>
            </w:r>
          </w:p>
        </w:tc>
        <w:tc>
          <w:tcPr>
            <w:tcW w:w="3842" w:type="pct"/>
            <w:gridSpan w:val="5"/>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fldChar w:fldCharType="begin">
                <w:ffData>
                  <w:name w:val=""/>
                  <w:enabled/>
                  <w:calcOnExit w:val="0"/>
                  <w:checkBox>
                    <w:sizeAuto/>
                    <w:default w:val="1"/>
                  </w:checkBox>
                </w:ffData>
              </w:fldChar>
            </w:r>
            <w:r w:rsidRPr="00377C13">
              <w:rPr>
                <w:rFonts w:ascii="Arial Narrow" w:hAnsi="Arial Narrow" w:cs="Times New Roman"/>
                <w:snapToGrid/>
                <w:sz w:val="20"/>
              </w:rPr>
              <w:instrText xml:space="preserve"> FORMCHECKBOX </w:instrText>
            </w:r>
            <w:r w:rsidR="00B47A0D">
              <w:rPr>
                <w:rFonts w:ascii="Arial Narrow" w:hAnsi="Arial Narrow" w:cs="Times New Roman"/>
                <w:snapToGrid/>
                <w:sz w:val="20"/>
              </w:rPr>
            </w:r>
            <w:r w:rsidR="00B47A0D">
              <w:rPr>
                <w:rFonts w:ascii="Arial Narrow" w:hAnsi="Arial Narrow" w:cs="Times New Roman"/>
                <w:snapToGrid/>
                <w:sz w:val="20"/>
              </w:rPr>
              <w:fldChar w:fldCharType="separate"/>
            </w:r>
            <w:r w:rsidRPr="00377C13">
              <w:rPr>
                <w:rFonts w:ascii="Arial Narrow" w:hAnsi="Arial Narrow" w:cs="Times New Roman"/>
                <w:snapToGrid/>
                <w:sz w:val="20"/>
              </w:rPr>
              <w:fldChar w:fldCharType="end"/>
            </w:r>
            <w:r w:rsidRPr="00377C13">
              <w:rPr>
                <w:rFonts w:ascii="Arial Narrow" w:hAnsi="Arial Narrow" w:cs="Times New Roman"/>
                <w:snapToGrid/>
                <w:sz w:val="20"/>
              </w:rPr>
              <w:t>Authority Required - In Writing</w:t>
            </w:r>
          </w:p>
        </w:tc>
      </w:tr>
      <w:tr w:rsidR="00DF3C96" w:rsidRPr="00377C13" w:rsidTr="006832BC">
        <w:tblPrEx>
          <w:tblBorders>
            <w:top w:val="none" w:sz="0" w:space="0" w:color="auto"/>
            <w:bottom w:val="none" w:sz="0" w:space="0" w:color="auto"/>
            <w:insideH w:val="none" w:sz="0" w:space="0" w:color="auto"/>
          </w:tblBorders>
          <w:tblLook w:val="0000" w:firstRow="0" w:lastRow="0" w:firstColumn="0" w:lastColumn="0" w:noHBand="0" w:noVBand="0"/>
        </w:tblPrEx>
        <w:tc>
          <w:tcPr>
            <w:tcW w:w="1158" w:type="pct"/>
            <w:gridSpan w:val="2"/>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b/>
                <w:snapToGrid/>
                <w:sz w:val="20"/>
              </w:rPr>
            </w:pPr>
            <w:r w:rsidRPr="00377C13">
              <w:rPr>
                <w:rFonts w:ascii="Arial Narrow" w:hAnsi="Arial Narrow" w:cs="Times New Roman"/>
                <w:b/>
                <w:snapToGrid/>
                <w:sz w:val="20"/>
              </w:rPr>
              <w:t>Treatment criteria:</w:t>
            </w:r>
          </w:p>
          <w:p w:rsidR="00DF3C96" w:rsidRPr="00377C13" w:rsidRDefault="00DF3C96" w:rsidP="007D3143">
            <w:pPr>
              <w:widowControl/>
              <w:jc w:val="left"/>
              <w:rPr>
                <w:rFonts w:ascii="Arial Narrow" w:hAnsi="Arial Narrow" w:cs="Times New Roman"/>
                <w:i/>
                <w:snapToGrid/>
                <w:sz w:val="20"/>
              </w:rPr>
            </w:pPr>
          </w:p>
        </w:tc>
        <w:tc>
          <w:tcPr>
            <w:tcW w:w="3842" w:type="pct"/>
            <w:gridSpan w:val="5"/>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Patient must not receive more than 24 weeks of treatment under this restriction,</w:t>
            </w:r>
          </w:p>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AND</w:t>
            </w:r>
          </w:p>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The treatment must be given concomitantly with standard therapy for this condition.</w:t>
            </w:r>
          </w:p>
        </w:tc>
      </w:tr>
      <w:tr w:rsidR="00DF3C96" w:rsidRPr="00377C13" w:rsidTr="006832BC">
        <w:tblPrEx>
          <w:tblBorders>
            <w:top w:val="none" w:sz="0" w:space="0" w:color="auto"/>
            <w:bottom w:val="none" w:sz="0" w:space="0" w:color="auto"/>
            <w:insideH w:val="none" w:sz="0" w:space="0" w:color="auto"/>
          </w:tblBorders>
          <w:tblLook w:val="0000" w:firstRow="0" w:lastRow="0" w:firstColumn="0" w:lastColumn="0" w:noHBand="0" w:noVBand="0"/>
        </w:tblPrEx>
        <w:tc>
          <w:tcPr>
            <w:tcW w:w="1158" w:type="pct"/>
            <w:gridSpan w:val="2"/>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b/>
                <w:snapToGrid/>
                <w:sz w:val="20"/>
              </w:rPr>
            </w:pPr>
            <w:r w:rsidRPr="00377C13">
              <w:rPr>
                <w:rFonts w:ascii="Arial Narrow" w:hAnsi="Arial Narrow" w:cs="Times New Roman"/>
                <w:b/>
                <w:snapToGrid/>
                <w:sz w:val="20"/>
              </w:rPr>
              <w:t>Clinical criteria:</w:t>
            </w:r>
          </w:p>
          <w:p w:rsidR="00DF3C96" w:rsidRPr="00377C13" w:rsidRDefault="00DF3C96" w:rsidP="007D3143">
            <w:pPr>
              <w:widowControl/>
              <w:jc w:val="left"/>
              <w:rPr>
                <w:rFonts w:ascii="Arial Narrow" w:hAnsi="Arial Narrow" w:cs="Times New Roman"/>
                <w:i/>
                <w:snapToGrid/>
                <w:sz w:val="20"/>
              </w:rPr>
            </w:pPr>
          </w:p>
        </w:tc>
        <w:tc>
          <w:tcPr>
            <w:tcW w:w="3842" w:type="pct"/>
            <w:gridSpan w:val="5"/>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Patients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AND</w:t>
            </w:r>
          </w:p>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Patient must have G551D mutation in the cystic fibrosis transmembrane conductance regulator (CFTR) gene on at least 1 allele; OR</w:t>
            </w:r>
          </w:p>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Patient must have other gating (class III) mutation in the CFTR gene on at least 1 allele,</w:t>
            </w:r>
          </w:p>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 xml:space="preserve">AND </w:t>
            </w:r>
          </w:p>
        </w:tc>
      </w:tr>
      <w:tr w:rsidR="00DF3C96" w:rsidRPr="00377C13" w:rsidTr="006832BC">
        <w:tblPrEx>
          <w:tblBorders>
            <w:top w:val="none" w:sz="0" w:space="0" w:color="auto"/>
            <w:bottom w:val="none" w:sz="0" w:space="0" w:color="auto"/>
            <w:insideH w:val="none" w:sz="0" w:space="0" w:color="auto"/>
          </w:tblBorders>
          <w:tblLook w:val="0000" w:firstRow="0" w:lastRow="0" w:firstColumn="0" w:lastColumn="0" w:noHBand="0" w:noVBand="0"/>
        </w:tblPrEx>
        <w:tc>
          <w:tcPr>
            <w:tcW w:w="1158" w:type="pct"/>
            <w:gridSpan w:val="2"/>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b/>
                <w:snapToGrid/>
                <w:sz w:val="20"/>
              </w:rPr>
            </w:pPr>
            <w:r w:rsidRPr="00377C13">
              <w:rPr>
                <w:rFonts w:ascii="Arial Narrow" w:hAnsi="Arial Narrow" w:cs="Times New Roman"/>
                <w:b/>
                <w:snapToGrid/>
                <w:sz w:val="20"/>
              </w:rPr>
              <w:t>Population criteria:</w:t>
            </w:r>
          </w:p>
        </w:tc>
        <w:tc>
          <w:tcPr>
            <w:tcW w:w="3842" w:type="pct"/>
            <w:gridSpan w:val="5"/>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Patients must be aged ≥12 months</w:t>
            </w:r>
          </w:p>
        </w:tc>
      </w:tr>
      <w:tr w:rsidR="00DF3C96" w:rsidRPr="00377C13" w:rsidTr="006832BC">
        <w:tblPrEx>
          <w:tblBorders>
            <w:top w:val="none" w:sz="0" w:space="0" w:color="auto"/>
            <w:bottom w:val="none" w:sz="0" w:space="0" w:color="auto"/>
            <w:insideH w:val="none" w:sz="0" w:space="0" w:color="auto"/>
          </w:tblBorders>
          <w:tblLook w:val="0000" w:firstRow="0" w:lastRow="0" w:firstColumn="0" w:lastColumn="0" w:noHBand="0" w:noVBand="0"/>
        </w:tblPrEx>
        <w:tc>
          <w:tcPr>
            <w:tcW w:w="1158" w:type="pct"/>
            <w:gridSpan w:val="2"/>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b/>
                <w:snapToGrid/>
                <w:sz w:val="20"/>
              </w:rPr>
            </w:pPr>
            <w:r w:rsidRPr="00377C13">
              <w:rPr>
                <w:rFonts w:ascii="Arial Narrow" w:hAnsi="Arial Narrow" w:cs="Times New Roman"/>
                <w:b/>
                <w:snapToGrid/>
                <w:sz w:val="20"/>
              </w:rPr>
              <w:t>Prescriber Instructions:</w:t>
            </w:r>
          </w:p>
        </w:tc>
        <w:tc>
          <w:tcPr>
            <w:tcW w:w="3842" w:type="pct"/>
            <w:gridSpan w:val="5"/>
            <w:tcBorders>
              <w:top w:val="single" w:sz="4" w:space="0" w:color="auto"/>
              <w:left w:val="single" w:sz="4" w:space="0" w:color="auto"/>
              <w:bottom w:val="single" w:sz="4" w:space="0" w:color="auto"/>
              <w:right w:val="single" w:sz="4" w:space="0" w:color="auto"/>
            </w:tcBorders>
          </w:tcPr>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The authority application must be in writing and must include:</w:t>
            </w:r>
          </w:p>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(1) a completed authority prescription form; and</w:t>
            </w:r>
          </w:p>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(2) a completed Cystic Fibrosis Ivacaftor Authority Continuing Application Supporting Information Form; and</w:t>
            </w:r>
          </w:p>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 xml:space="preserve">(3) </w:t>
            </w:r>
            <w:proofErr w:type="gramStart"/>
            <w:r w:rsidRPr="00377C13">
              <w:rPr>
                <w:rFonts w:ascii="Arial Narrow" w:hAnsi="Arial Narrow" w:cs="Times New Roman"/>
                <w:snapToGrid/>
                <w:sz w:val="20"/>
              </w:rPr>
              <w:t>the</w:t>
            </w:r>
            <w:proofErr w:type="gramEnd"/>
            <w:r w:rsidRPr="00377C13">
              <w:rPr>
                <w:rFonts w:ascii="Arial Narrow" w:hAnsi="Arial Narrow" w:cs="Times New Roman"/>
                <w:snapToGrid/>
                <w:sz w:val="20"/>
              </w:rPr>
              <w:t xml:space="preserve"> result of a FEV</w:t>
            </w:r>
            <w:r w:rsidRPr="00377C13">
              <w:rPr>
                <w:rFonts w:ascii="Arial Narrow" w:hAnsi="Arial Narrow" w:cs="Times New Roman"/>
                <w:snapToGrid/>
                <w:sz w:val="20"/>
                <w:vertAlign w:val="subscript"/>
              </w:rPr>
              <w:t>1</w:t>
            </w:r>
            <w:r w:rsidRPr="00377C13">
              <w:rPr>
                <w:rFonts w:ascii="Arial Narrow" w:hAnsi="Arial Narrow" w:cs="Times New Roman"/>
                <w:snapToGrid/>
                <w:sz w:val="20"/>
              </w:rPr>
              <w:t xml:space="preserve"> measurement performed within one month prior to the date of application, if aged 6 years or older. Note: FEV</w:t>
            </w:r>
            <w:r w:rsidRPr="00377C13">
              <w:rPr>
                <w:rFonts w:ascii="Arial Narrow" w:hAnsi="Arial Narrow" w:cs="Times New Roman"/>
                <w:snapToGrid/>
                <w:sz w:val="20"/>
                <w:vertAlign w:val="subscript"/>
              </w:rPr>
              <w:t>1</w:t>
            </w:r>
            <w:r w:rsidRPr="00377C13">
              <w:rPr>
                <w:rFonts w:ascii="Arial Narrow" w:hAnsi="Arial Narrow" w:cs="Times New Roman"/>
                <w:snapToGrid/>
                <w:sz w:val="20"/>
              </w:rPr>
              <w:t>, must be measured in an accredited pulmonary function laboratory, with documented no acute infective exacerbation at the time FEV</w:t>
            </w:r>
            <w:r w:rsidRPr="00377C13">
              <w:rPr>
                <w:rFonts w:ascii="Arial Narrow" w:hAnsi="Arial Narrow" w:cs="Times New Roman"/>
                <w:snapToGrid/>
                <w:sz w:val="20"/>
                <w:vertAlign w:val="subscript"/>
              </w:rPr>
              <w:t>1</w:t>
            </w:r>
            <w:r w:rsidRPr="00377C13">
              <w:rPr>
                <w:rFonts w:ascii="Arial Narrow" w:hAnsi="Arial Narrow" w:cs="Times New Roman"/>
                <w:snapToGrid/>
                <w:sz w:val="20"/>
              </w:rPr>
              <w:t xml:space="preserve"> is measured; and</w:t>
            </w:r>
          </w:p>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(4) a copy of a current medication history, including any CYP3A4 inhibitors and/or CYP3A4 inducers; and</w:t>
            </w:r>
          </w:p>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(5) height and weight measurements at the time of application; and</w:t>
            </w:r>
          </w:p>
          <w:p w:rsidR="00DF3C96" w:rsidRPr="00377C13" w:rsidRDefault="00DF3C96" w:rsidP="007D3143">
            <w:pPr>
              <w:widowControl/>
              <w:jc w:val="left"/>
              <w:rPr>
                <w:rFonts w:ascii="Arial Narrow" w:hAnsi="Arial Narrow" w:cs="Times New Roman"/>
                <w:snapToGrid/>
                <w:sz w:val="20"/>
              </w:rPr>
            </w:pPr>
            <w:r w:rsidRPr="00377C13">
              <w:rPr>
                <w:rFonts w:ascii="Arial Narrow" w:hAnsi="Arial Narrow" w:cs="Times New Roman"/>
                <w:snapToGrid/>
                <w:sz w:val="20"/>
              </w:rPr>
              <w:t xml:space="preserve">(6) </w:t>
            </w:r>
            <w:proofErr w:type="gramStart"/>
            <w:r w:rsidRPr="00377C13">
              <w:rPr>
                <w:rFonts w:ascii="Arial Narrow" w:hAnsi="Arial Narrow" w:cs="Times New Roman"/>
                <w:snapToGrid/>
                <w:sz w:val="20"/>
              </w:rPr>
              <w:t>a</w:t>
            </w:r>
            <w:proofErr w:type="gramEnd"/>
            <w:r w:rsidRPr="00377C13">
              <w:rPr>
                <w:rFonts w:ascii="Arial Narrow" w:hAnsi="Arial Narrow" w:cs="Times New Roman"/>
                <w:snapToGrid/>
                <w:sz w:val="20"/>
              </w:rPr>
              <w:t xml:space="preserve"> measurement of number of days of CF-related hospitalisation (including hospital in the home) in the previous 6 months.</w:t>
            </w:r>
          </w:p>
        </w:tc>
      </w:tr>
    </w:tbl>
    <w:p w:rsidR="00F37FDA" w:rsidRPr="00377C13" w:rsidRDefault="00F37FDA" w:rsidP="007D3143">
      <w:pPr>
        <w:widowControl/>
        <w:rPr>
          <w:rFonts w:ascii="Arial Narrow" w:hAnsi="Arial Narrow"/>
          <w:sz w:val="18"/>
          <w:szCs w:val="18"/>
        </w:rPr>
      </w:pPr>
      <w:r w:rsidRPr="00377C13">
        <w:rPr>
          <w:rFonts w:ascii="Arial Narrow" w:hAnsi="Arial Narrow"/>
          <w:sz w:val="18"/>
          <w:szCs w:val="18"/>
        </w:rPr>
        <w:t>Abbreviations: CF=cystic fibrosis; CFTR=cystic fibrosis transmembrane conductance regulator; FEV</w:t>
      </w:r>
      <w:r w:rsidRPr="00377C13">
        <w:rPr>
          <w:rFonts w:ascii="Arial Narrow" w:hAnsi="Arial Narrow"/>
          <w:sz w:val="18"/>
          <w:szCs w:val="18"/>
          <w:vertAlign w:val="subscript"/>
        </w:rPr>
        <w:t>1</w:t>
      </w:r>
      <w:r w:rsidRPr="00377C13">
        <w:rPr>
          <w:rFonts w:ascii="Arial Narrow" w:hAnsi="Arial Narrow"/>
          <w:sz w:val="18"/>
          <w:szCs w:val="18"/>
        </w:rPr>
        <w:t>=forced expiratory volume in one second; N/A=not applicable; PBS=Pharmaceutical Benefits Scheme</w:t>
      </w:r>
    </w:p>
    <w:p w:rsidR="00C11C2D" w:rsidRPr="00377C13" w:rsidRDefault="00F37FDA" w:rsidP="007D3143">
      <w:pPr>
        <w:widowControl/>
        <w:rPr>
          <w:rFonts w:ascii="Arial Narrow" w:hAnsi="Arial Narrow"/>
          <w:sz w:val="18"/>
          <w:szCs w:val="18"/>
        </w:rPr>
      </w:pPr>
      <w:r w:rsidRPr="00377C13">
        <w:rPr>
          <w:rFonts w:ascii="Arial Narrow" w:hAnsi="Arial Narrow"/>
          <w:sz w:val="18"/>
          <w:szCs w:val="18"/>
        </w:rPr>
        <w:t>Source: Table 1.4.2, p29 of the submission.</w:t>
      </w:r>
    </w:p>
    <w:p w:rsidR="007511E3" w:rsidRPr="00377C13" w:rsidRDefault="007511E3" w:rsidP="00B47A0D">
      <w:pPr>
        <w:pStyle w:val="ListParagraph"/>
        <w:widowControl/>
        <w:numPr>
          <w:ilvl w:val="1"/>
          <w:numId w:val="1"/>
        </w:numPr>
        <w:spacing w:before="120" w:after="120"/>
        <w:rPr>
          <w:i/>
        </w:rPr>
      </w:pPr>
      <w:r w:rsidRPr="00377C13">
        <w:t xml:space="preserve">The proposed restriction </w:t>
      </w:r>
      <w:r w:rsidR="004F70C9" w:rsidRPr="00377C13">
        <w:t xml:space="preserve">as </w:t>
      </w:r>
      <w:r w:rsidRPr="00377C13">
        <w:t>summarised is consistent with the TGA indication. The proposed restriction criteria, pack size and repeats were appropriate and consistent with criteria currently applied to ivacaftor in patients aged 2 years and older.</w:t>
      </w:r>
    </w:p>
    <w:p w:rsidR="00C11C2D" w:rsidRPr="00377C13" w:rsidRDefault="00C11C2D" w:rsidP="00B47A0D">
      <w:pPr>
        <w:widowControl/>
        <w:numPr>
          <w:ilvl w:val="1"/>
          <w:numId w:val="1"/>
        </w:numPr>
        <w:spacing w:before="120" w:after="120"/>
        <w:rPr>
          <w:i/>
        </w:rPr>
      </w:pPr>
      <w:r w:rsidRPr="00377C13">
        <w:t xml:space="preserve">Each dose of ivacaftor granules (50 mg and 75 mg) should be mixed with one teaspoon (5 mL) of applesauce or other appropriate food for administration. Administration of ivacaftor granules mixed with food presents a wastage risk in very young children (potentially through regurgitation of the ivacaftor mixed with food, or refusal to eat, and drug stability of only one hour when mixed). This may affect the cost-effectiveness of ivacaftor in clinical practice in this setting. The submission </w:t>
      </w:r>
      <w:r w:rsidR="007611C3" w:rsidRPr="00377C13">
        <w:t xml:space="preserve">did </w:t>
      </w:r>
      <w:r w:rsidRPr="00377C13">
        <w:t>not present an economic evaluation</w:t>
      </w:r>
      <w:r w:rsidR="00175C05" w:rsidRPr="00377C13">
        <w:t>.</w:t>
      </w:r>
      <w:r w:rsidRPr="00377C13">
        <w:t xml:space="preserve"> </w:t>
      </w:r>
    </w:p>
    <w:p w:rsidR="00BF3450" w:rsidRPr="00377C13" w:rsidRDefault="00C11C2D" w:rsidP="00B47A0D">
      <w:pPr>
        <w:widowControl/>
        <w:numPr>
          <w:ilvl w:val="1"/>
          <w:numId w:val="1"/>
        </w:numPr>
        <w:spacing w:before="120" w:after="120"/>
      </w:pPr>
      <w:r w:rsidRPr="00377C13">
        <w:t xml:space="preserve">Although </w:t>
      </w:r>
      <w:r w:rsidR="00FD2CD3" w:rsidRPr="00377C13">
        <w:t xml:space="preserve">the submission did not present an </w:t>
      </w:r>
      <w:r w:rsidRPr="00377C13">
        <w:t xml:space="preserve">economic evaluation, the requested basis for listing is the same as that presented </w:t>
      </w:r>
      <w:r w:rsidR="00BA6160" w:rsidRPr="00377C13">
        <w:t xml:space="preserve">in the submission </w:t>
      </w:r>
      <w:r w:rsidRPr="00377C13">
        <w:t xml:space="preserve">for </w:t>
      </w:r>
      <w:r w:rsidR="00A356B3" w:rsidRPr="00377C13">
        <w:t xml:space="preserve">the ivacaftor granules </w:t>
      </w:r>
      <w:r w:rsidR="00A356B3" w:rsidRPr="00377C13">
        <w:lastRenderedPageBreak/>
        <w:t>(50 mg and 75 mg) for treatment of CF in patients who have a G551D mutation or other class III gating mutations in the CFTR gene in patients aged 2 to 5 years</w:t>
      </w:r>
      <w:r w:rsidR="00BA6160" w:rsidRPr="00377C13">
        <w:t xml:space="preserve">. In the 2 to 5 year age </w:t>
      </w:r>
      <w:r w:rsidR="00227B34" w:rsidRPr="00377C13">
        <w:t xml:space="preserve">group </w:t>
      </w:r>
      <w:r w:rsidR="00BA6160" w:rsidRPr="00377C13">
        <w:t>submission</w:t>
      </w:r>
      <w:r w:rsidR="00227B34" w:rsidRPr="00377C13">
        <w:t>, cost</w:t>
      </w:r>
      <w:r w:rsidRPr="00377C13">
        <w:t xml:space="preserve">-effectiveness </w:t>
      </w:r>
      <w:r w:rsidR="00BA6160" w:rsidRPr="00377C13">
        <w:t xml:space="preserve">was assessed </w:t>
      </w:r>
      <w:r w:rsidRPr="00377C13">
        <w:t xml:space="preserve">compared with best supportive care </w:t>
      </w:r>
      <w:r w:rsidR="00BA6160" w:rsidRPr="00377C13">
        <w:t>(</w:t>
      </w:r>
      <w:r w:rsidRPr="00377C13">
        <w:t>BSC)</w:t>
      </w:r>
      <w:r w:rsidR="00BA6160" w:rsidRPr="00377C13">
        <w:t>, as would apply for the current submission (12 to 24 months)</w:t>
      </w:r>
      <w:r w:rsidRPr="00377C13">
        <w:t xml:space="preserve">. </w:t>
      </w:r>
      <w:r w:rsidR="00EF0E16" w:rsidRPr="00377C13">
        <w:t>(I</w:t>
      </w:r>
      <w:r w:rsidR="00576F42" w:rsidRPr="00377C13">
        <w:t xml:space="preserve">vacaftor, </w:t>
      </w:r>
      <w:r w:rsidR="006139B4">
        <w:t>Public Summary Document (</w:t>
      </w:r>
      <w:r w:rsidR="00576F42" w:rsidRPr="00377C13">
        <w:t>PSD</w:t>
      </w:r>
      <w:r w:rsidR="006139B4">
        <w:t>)</w:t>
      </w:r>
      <w:r w:rsidR="00576F42" w:rsidRPr="00377C13">
        <w:t xml:space="preserve"> November 2016, paragraph 6.23)</w:t>
      </w:r>
      <w:r w:rsidR="00AD7FAA" w:rsidRPr="00377C13">
        <w:t>.</w:t>
      </w:r>
    </w:p>
    <w:p w:rsidR="004573C0" w:rsidRPr="00377C13" w:rsidRDefault="004573C0" w:rsidP="000F2C59">
      <w:pPr>
        <w:pStyle w:val="ListParagraph"/>
        <w:widowControl/>
        <w:spacing w:before="120" w:after="120"/>
        <w:ind w:left="709"/>
        <w:rPr>
          <w:rFonts w:asciiTheme="minorHAnsi" w:hAnsiTheme="minorHAnsi"/>
          <w:i/>
        </w:rPr>
      </w:pPr>
      <w:r w:rsidRPr="00377C13">
        <w:rPr>
          <w:rFonts w:asciiTheme="minorHAnsi" w:hAnsiTheme="minorHAnsi"/>
          <w:i/>
        </w:rPr>
        <w:t>For more detail on PBAC’s view, see section 7 PBAC outcome.</w:t>
      </w:r>
    </w:p>
    <w:p w:rsidR="00B04D7B" w:rsidRPr="00377C13" w:rsidRDefault="00B04D7B" w:rsidP="00B47A0D">
      <w:pPr>
        <w:pStyle w:val="PBACHeading1"/>
        <w:spacing w:before="240" w:after="120"/>
      </w:pPr>
      <w:r w:rsidRPr="00377C13">
        <w:t>Background</w:t>
      </w:r>
      <w:bookmarkStart w:id="2" w:name="_Toc532204375"/>
      <w:bookmarkStart w:id="3" w:name="_Toc532210675"/>
      <w:bookmarkStart w:id="4" w:name="_Toc535842625"/>
      <w:bookmarkEnd w:id="2"/>
      <w:bookmarkEnd w:id="3"/>
      <w:bookmarkEnd w:id="4"/>
    </w:p>
    <w:p w:rsidR="00B04D7B" w:rsidRPr="00377C13" w:rsidRDefault="00B04D7B" w:rsidP="000A21D4">
      <w:pPr>
        <w:widowControl/>
        <w:spacing w:after="120"/>
        <w:outlineLvl w:val="1"/>
        <w:rPr>
          <w:b/>
          <w:i/>
          <w:sz w:val="28"/>
        </w:rPr>
      </w:pPr>
      <w:r w:rsidRPr="00377C13">
        <w:rPr>
          <w:b/>
          <w:i/>
          <w:sz w:val="28"/>
        </w:rPr>
        <w:t>Registration status</w:t>
      </w:r>
    </w:p>
    <w:p w:rsidR="00A75F07" w:rsidRPr="00377C13" w:rsidRDefault="00D21337" w:rsidP="00B47A0D">
      <w:pPr>
        <w:pStyle w:val="ListParagraph"/>
        <w:widowControl/>
        <w:numPr>
          <w:ilvl w:val="1"/>
          <w:numId w:val="1"/>
        </w:numPr>
        <w:spacing w:after="120"/>
      </w:pPr>
      <w:r w:rsidRPr="00377C13">
        <w:rPr>
          <w:b/>
        </w:rPr>
        <w:t xml:space="preserve">TGA status at time of </w:t>
      </w:r>
      <w:r w:rsidR="00CC23BC" w:rsidRPr="00377C13">
        <w:rPr>
          <w:b/>
        </w:rPr>
        <w:t xml:space="preserve">PBAC </w:t>
      </w:r>
      <w:r w:rsidRPr="00377C13">
        <w:rPr>
          <w:b/>
        </w:rPr>
        <w:t>advice:</w:t>
      </w:r>
      <w:r w:rsidRPr="00377C13">
        <w:t xml:space="preserve"> </w:t>
      </w:r>
      <w:r w:rsidR="00A75F07" w:rsidRPr="00377C13">
        <w:t xml:space="preserve">The TGA delegate’s file note was available. </w:t>
      </w:r>
      <w:r w:rsidR="00202F0D" w:rsidRPr="00377C13">
        <w:t xml:space="preserve">The TGA delegate’s file note states that the delegate “has no concerns with approving the submission for registration. However, the long term benefits of treatment and relative benefits of treating at a younger age are unknown”. </w:t>
      </w:r>
    </w:p>
    <w:p w:rsidR="00C11C2D" w:rsidRPr="00377C13" w:rsidRDefault="00D21337" w:rsidP="000A21D4">
      <w:pPr>
        <w:pStyle w:val="ListParagraph"/>
        <w:widowControl/>
        <w:spacing w:after="120"/>
      </w:pPr>
      <w:r w:rsidRPr="00377C13">
        <w:t xml:space="preserve">The TGA Clinical Evaluation Report </w:t>
      </w:r>
      <w:r w:rsidR="00DF18CE" w:rsidRPr="00377C13">
        <w:t xml:space="preserve">Round 1 </w:t>
      </w:r>
      <w:r w:rsidRPr="00377C13">
        <w:t>was available.</w:t>
      </w:r>
      <w:r w:rsidR="00A75F07" w:rsidRPr="00377C13">
        <w:t xml:space="preserve"> </w:t>
      </w:r>
      <w:r w:rsidR="00C11C2D" w:rsidRPr="00377C13">
        <w:t>The submission for monotherapy with ivacaftor granules was made under the TGA/PBAC Parallel Process. The TGA CER</w:t>
      </w:r>
      <w:r w:rsidR="00AD7FAA" w:rsidRPr="00377C13">
        <w:t xml:space="preserve"> (p27)</w:t>
      </w:r>
      <w:r w:rsidR="00C11C2D" w:rsidRPr="00377C13">
        <w:t xml:space="preserve"> concluded the claim made by the sponsor </w:t>
      </w:r>
      <w:r w:rsidR="00C12870" w:rsidRPr="00377C13">
        <w:t>that</w:t>
      </w:r>
      <w:r w:rsidR="00C11C2D" w:rsidRPr="00377C13">
        <w:t xml:space="preserve"> early intervention in CF will improve long term outcomes is not very convincing and difficult to establish</w:t>
      </w:r>
      <w:r w:rsidR="00883B70" w:rsidRPr="00377C13">
        <w:t xml:space="preserve"> based on the available evidence (a small open label study in which efficacy was a tertiary and exploratory endpoint)</w:t>
      </w:r>
      <w:r w:rsidR="00C11C2D" w:rsidRPr="00377C13">
        <w:t xml:space="preserve">. </w:t>
      </w:r>
      <w:r w:rsidR="00883B70" w:rsidRPr="00377C13">
        <w:t>The CER noted there was a small improvement in nutritional status, an important marker of disease activity. The CER stated that the lack of a long-term randomised trial needs to be balanced against the challenges (including ethics) of performing one.</w:t>
      </w:r>
    </w:p>
    <w:p w:rsidR="0014014C" w:rsidRPr="00377C13" w:rsidRDefault="0014014C" w:rsidP="000A21D4">
      <w:pPr>
        <w:widowControl/>
        <w:spacing w:after="120"/>
        <w:outlineLvl w:val="1"/>
        <w:rPr>
          <w:b/>
          <w:i/>
          <w:sz w:val="28"/>
        </w:rPr>
      </w:pPr>
      <w:r w:rsidRPr="00377C13">
        <w:rPr>
          <w:b/>
          <w:i/>
          <w:sz w:val="28"/>
        </w:rPr>
        <w:t>Previous PBAC consideration</w:t>
      </w:r>
    </w:p>
    <w:p w:rsidR="003951ED" w:rsidRPr="00377C13" w:rsidRDefault="0014014C" w:rsidP="00B47A0D">
      <w:pPr>
        <w:widowControl/>
        <w:numPr>
          <w:ilvl w:val="1"/>
          <w:numId w:val="1"/>
        </w:numPr>
        <w:spacing w:after="120"/>
      </w:pPr>
      <w:r w:rsidRPr="00377C13">
        <w:t xml:space="preserve">Monotherapy with ivacaftor 50 mg and 75 mg granules for the treatment of CF patients aged 2 to 5 years that have a G551D mutation or other gating (class III) mutation in the CFTR gene has been considered by the PBAC on previous occasions. An application for listing was deferred in November </w:t>
      </w:r>
      <w:r w:rsidR="003951ED" w:rsidRPr="00377C13">
        <w:t xml:space="preserve">2016 on the basis of uncertain cost effectiveness and that further negotiation was required to ensure that the submission’s intent of the proposed listing having no net financial impact could be achieved in practice (Ivacaftor, </w:t>
      </w:r>
      <w:r w:rsidR="00B05D39">
        <w:t>PSD</w:t>
      </w:r>
      <w:r w:rsidR="00B05D39" w:rsidRPr="00377C13">
        <w:t xml:space="preserve"> </w:t>
      </w:r>
      <w:r w:rsidR="003951ED" w:rsidRPr="00377C13">
        <w:t>November 2016, paragraph 7.1).</w:t>
      </w:r>
    </w:p>
    <w:p w:rsidR="003951ED" w:rsidRPr="00377C13" w:rsidRDefault="003951ED" w:rsidP="00B47A0D">
      <w:pPr>
        <w:pStyle w:val="ListParagraph"/>
        <w:widowControl/>
        <w:numPr>
          <w:ilvl w:val="1"/>
          <w:numId w:val="1"/>
        </w:numPr>
        <w:spacing w:after="120"/>
      </w:pPr>
      <w:r w:rsidRPr="00377C13">
        <w:t xml:space="preserve">The PBAC considered that the intention of the submission </w:t>
      </w:r>
      <w:r w:rsidR="00A9188C">
        <w:rPr>
          <w:noProof/>
          <w:color w:val="000000"/>
          <w:highlight w:val="black"/>
        </w:rPr>
        <w:t>'''''' '''''' '''''''''''' ''''' ''''''''''' '''' '''''' '''''' ''''''' '''' '''''''''''''''''''''</w:t>
      </w:r>
      <w:r w:rsidRPr="00377C13">
        <w:t xml:space="preserve"> was appropriate, given the difficulty in demonstrating the incremental benefit and therefore cost-effectiveness of earlier treatment with ivacaftor. However, the PBAC did not agree with the submission’s claim that this could be achieved in practice through the existing risk sharing arrangement and patient caps. The PBAC was of the view that it would be possible to negotiate an alternative arrangement whereby the intended outcome could be achieved, for example, by requiring a </w:t>
      </w:r>
      <w:r w:rsidR="00A9188C">
        <w:rPr>
          <w:noProof/>
          <w:color w:val="000000"/>
          <w:highlight w:val="black"/>
        </w:rPr>
        <w:t>'''''''</w:t>
      </w:r>
      <w:r w:rsidRPr="00377C13">
        <w:t xml:space="preserve">% rebate for patients aged 2 to 5 years (Ivacaftor </w:t>
      </w:r>
      <w:r w:rsidR="00B05D39">
        <w:t>PSD</w:t>
      </w:r>
      <w:r w:rsidR="00B05D39" w:rsidRPr="00377C13">
        <w:t xml:space="preserve"> </w:t>
      </w:r>
      <w:r w:rsidRPr="00377C13">
        <w:t>November 2016, paragraph 7.7).</w:t>
      </w:r>
    </w:p>
    <w:p w:rsidR="0014014C" w:rsidRPr="00377C13" w:rsidRDefault="003951ED" w:rsidP="00B47A0D">
      <w:pPr>
        <w:widowControl/>
        <w:numPr>
          <w:ilvl w:val="1"/>
          <w:numId w:val="1"/>
        </w:numPr>
        <w:spacing w:after="120"/>
      </w:pPr>
      <w:r w:rsidRPr="00377C13">
        <w:lastRenderedPageBreak/>
        <w:t>At the January 2017 meeting</w:t>
      </w:r>
      <w:r w:rsidR="0014014C" w:rsidRPr="00377C13">
        <w:t xml:space="preserve"> </w:t>
      </w:r>
      <w:r w:rsidRPr="00377C13">
        <w:t>ivacaftor was</w:t>
      </w:r>
      <w:r w:rsidR="0014014C" w:rsidRPr="00377C13">
        <w:t xml:space="preserve"> recommended</w:t>
      </w:r>
      <w:r w:rsidRPr="00377C13">
        <w:t xml:space="preserve"> for the treatment of patients aged 2 to 5 years </w:t>
      </w:r>
      <w:r w:rsidR="0014014C" w:rsidRPr="00377C13">
        <w:t xml:space="preserve">based on the following:  </w:t>
      </w:r>
    </w:p>
    <w:p w:rsidR="0014014C" w:rsidRPr="00377C13" w:rsidRDefault="0014014C" w:rsidP="00B47A0D">
      <w:pPr>
        <w:widowControl/>
        <w:numPr>
          <w:ilvl w:val="3"/>
          <w:numId w:val="1"/>
        </w:numPr>
        <w:spacing w:after="120"/>
        <w:ind w:left="993"/>
      </w:pPr>
      <w:r w:rsidRPr="00377C13">
        <w:t>Updated data from the Ivacaftor Long Term Safety Study from the US CF registry which indicated a benefit in terms of: a reduction in the risk of hospitalisation and pulmonary exacerbations (</w:t>
      </w:r>
      <w:proofErr w:type="spellStart"/>
      <w:r w:rsidRPr="00377C13">
        <w:t>PEx</w:t>
      </w:r>
      <w:proofErr w:type="spellEnd"/>
      <w:r w:rsidRPr="00377C13">
        <w:t>) in patients aged</w:t>
      </w:r>
      <w:r w:rsidR="00AD30DF" w:rsidRPr="00377C13">
        <w:t xml:space="preserve"> </w:t>
      </w:r>
      <w:r w:rsidRPr="00377C13">
        <w:t xml:space="preserve">&lt;6 years who were treated with ivacaftor compared with matched controls (RR 0.68, 95%CI: 0.49-0.95). </w:t>
      </w:r>
    </w:p>
    <w:p w:rsidR="0014014C" w:rsidRPr="00377C13" w:rsidRDefault="0014014C" w:rsidP="00B47A0D">
      <w:pPr>
        <w:widowControl/>
        <w:numPr>
          <w:ilvl w:val="3"/>
          <w:numId w:val="1"/>
        </w:numPr>
        <w:spacing w:after="120"/>
        <w:ind w:left="993"/>
      </w:pPr>
      <w:r w:rsidRPr="00377C13">
        <w:t xml:space="preserve">An </w:t>
      </w:r>
      <w:r w:rsidR="00617AE8" w:rsidRPr="00377C13">
        <w:t>additional post</w:t>
      </w:r>
      <w:r w:rsidRPr="00377C13">
        <w:t xml:space="preserve"> hoc analysis from the ENVISION RCT (patients 6 years of age and older) for change from baseline in </w:t>
      </w:r>
      <w:r w:rsidR="00617AE8" w:rsidRPr="00377C13">
        <w:t>FEV</w:t>
      </w:r>
      <w:r w:rsidR="00617AE8" w:rsidRPr="00377C13">
        <w:rPr>
          <w:vertAlign w:val="subscript"/>
        </w:rPr>
        <w:t>1</w:t>
      </w:r>
      <w:r w:rsidR="00617AE8" w:rsidRPr="00377C13">
        <w:t xml:space="preserve"> which</w:t>
      </w:r>
      <w:r w:rsidRPr="00377C13">
        <w:t xml:space="preserve"> supported the conclusion that the efficacy of ivacaftor is independent of age. (</w:t>
      </w:r>
      <w:r w:rsidRPr="00377C13">
        <w:rPr>
          <w:rFonts w:asciiTheme="minorHAnsi" w:hAnsiTheme="minorHAnsi" w:cstheme="minorHAnsi"/>
          <w:szCs w:val="24"/>
        </w:rPr>
        <w:t>Ivacaftor, Addendum PSD November 2016, p18)</w:t>
      </w:r>
      <w:r w:rsidR="00377C13">
        <w:t>.</w:t>
      </w:r>
      <w:r w:rsidR="00B47A0D">
        <w:t xml:space="preserve"> </w:t>
      </w:r>
    </w:p>
    <w:p w:rsidR="0014014C" w:rsidRPr="00377C13" w:rsidRDefault="0014014C" w:rsidP="00B47A0D">
      <w:pPr>
        <w:widowControl/>
        <w:numPr>
          <w:ilvl w:val="3"/>
          <w:numId w:val="1"/>
        </w:numPr>
        <w:spacing w:after="120"/>
        <w:ind w:left="993"/>
      </w:pPr>
      <w:r w:rsidRPr="00377C13">
        <w:t>Updated cost-effectiveness analyses which suggested the cost per quality adjusted life year (QALY) was similar for the cohort aged 2-5 years (</w:t>
      </w:r>
      <w:r w:rsidR="006A1230">
        <w:t>$10</w:t>
      </w:r>
      <w:r w:rsidR="00A0766A">
        <w:t>5</w:t>
      </w:r>
      <w:r w:rsidR="006A1230">
        <w:t>,000/QALY - $200,000</w:t>
      </w:r>
      <w:r w:rsidRPr="00377C13">
        <w:t xml:space="preserve">/QALY) and the cohort aged 6+ years </w:t>
      </w:r>
      <w:r w:rsidR="006A1230">
        <w:t>$10</w:t>
      </w:r>
      <w:r w:rsidR="00A0766A">
        <w:t>5</w:t>
      </w:r>
      <w:r w:rsidR="006A1230">
        <w:t>,000/QALY - $200,000</w:t>
      </w:r>
      <w:r w:rsidRPr="00377C13">
        <w:t>/QALY)” (</w:t>
      </w:r>
      <w:r w:rsidRPr="00377C13">
        <w:rPr>
          <w:rFonts w:asciiTheme="minorHAnsi" w:hAnsiTheme="minorHAnsi" w:cstheme="minorHAnsi"/>
          <w:szCs w:val="24"/>
        </w:rPr>
        <w:t xml:space="preserve">Ivacaftor, </w:t>
      </w:r>
      <w:r w:rsidR="00B05D39">
        <w:rPr>
          <w:rFonts w:asciiTheme="minorHAnsi" w:hAnsiTheme="minorHAnsi" w:cstheme="minorHAnsi"/>
          <w:szCs w:val="24"/>
        </w:rPr>
        <w:t>PSD</w:t>
      </w:r>
      <w:r w:rsidR="00B05D39" w:rsidRPr="00377C13">
        <w:rPr>
          <w:rFonts w:asciiTheme="minorHAnsi" w:hAnsiTheme="minorHAnsi" w:cstheme="minorHAnsi"/>
          <w:szCs w:val="24"/>
        </w:rPr>
        <w:t xml:space="preserve"> </w:t>
      </w:r>
      <w:r w:rsidRPr="00377C13">
        <w:rPr>
          <w:rFonts w:asciiTheme="minorHAnsi" w:hAnsiTheme="minorHAnsi" w:cstheme="minorHAnsi"/>
          <w:szCs w:val="24"/>
        </w:rPr>
        <w:t>November 2016, p18)</w:t>
      </w:r>
      <w:r w:rsidRPr="00377C13">
        <w:t>.</w:t>
      </w:r>
    </w:p>
    <w:p w:rsidR="00E2760D" w:rsidRPr="00377C13" w:rsidRDefault="00C235F3" w:rsidP="00FE4B3D">
      <w:pPr>
        <w:widowControl/>
        <w:spacing w:after="120"/>
        <w:ind w:left="720"/>
      </w:pPr>
      <w:r w:rsidRPr="00300DE1">
        <w:t xml:space="preserve">The PBAC also recommended that, as proposed by the sponsor, </w:t>
      </w:r>
      <w:r w:rsidR="00A9188C">
        <w:rPr>
          <w:noProof/>
          <w:color w:val="000000"/>
          <w:highlight w:val="black"/>
        </w:rPr>
        <w:t>''''''' ''''''''''''''''' '''''''''' ''''''' ''''''''''' '''''''''''' '''''' ''''''''''''''''</w:t>
      </w:r>
      <w:r w:rsidRPr="00300DE1">
        <w:t xml:space="preserve"> in the current ivacaftor risk share arrangement, and </w:t>
      </w:r>
      <w:r w:rsidRPr="00FE4B3D">
        <w:t xml:space="preserve">that </w:t>
      </w:r>
      <w:r w:rsidR="00A9188C">
        <w:rPr>
          <w:noProof/>
          <w:color w:val="000000"/>
          <w:highlight w:val="black"/>
        </w:rPr>
        <w:t>''''''' '''''''''''''' ''''''''''''' ''''''' '''''''''''' ''''' ''''''''''''''''' ''''' ''''' ''''''''''''''''' '''''' ''''''''</w:t>
      </w:r>
      <w:r w:rsidRPr="00300DE1">
        <w:t xml:space="preserve"> (</w:t>
      </w:r>
      <w:r w:rsidRPr="00FE4B3D">
        <w:t>Ivacaftor, Addendum November 2016, p18)</w:t>
      </w:r>
      <w:r w:rsidRPr="00300DE1">
        <w:t>.</w:t>
      </w:r>
    </w:p>
    <w:p w:rsidR="0014014C" w:rsidRPr="00377C13" w:rsidRDefault="0014014C" w:rsidP="00B47A0D">
      <w:pPr>
        <w:widowControl/>
        <w:numPr>
          <w:ilvl w:val="1"/>
          <w:numId w:val="1"/>
        </w:numPr>
        <w:spacing w:after="120"/>
      </w:pPr>
      <w:r w:rsidRPr="00377C13">
        <w:t>At that same meeting (January 2017), the PBAC reiterated its advice that the cost per patient should be no higher if a patient over 25 kg chooses to use the ivacaftor granules, compared to the cost of treatment with the ivacaftor tablets (</w:t>
      </w:r>
      <w:r w:rsidRPr="00377C13">
        <w:rPr>
          <w:rFonts w:asciiTheme="minorHAnsi" w:hAnsiTheme="minorHAnsi" w:cstheme="minorHAnsi"/>
          <w:szCs w:val="24"/>
        </w:rPr>
        <w:t xml:space="preserve">Ivacaftor, </w:t>
      </w:r>
      <w:r w:rsidR="003951ED" w:rsidRPr="00377C13">
        <w:rPr>
          <w:rFonts w:asciiTheme="minorHAnsi" w:hAnsiTheme="minorHAnsi" w:cstheme="minorHAnsi"/>
          <w:szCs w:val="24"/>
        </w:rPr>
        <w:t xml:space="preserve">Addendum </w:t>
      </w:r>
      <w:r w:rsidRPr="00377C13">
        <w:rPr>
          <w:rFonts w:asciiTheme="minorHAnsi" w:hAnsiTheme="minorHAnsi" w:cstheme="minorHAnsi"/>
          <w:szCs w:val="24"/>
        </w:rPr>
        <w:t>PSD November 2016, p18)</w:t>
      </w:r>
      <w:r w:rsidRPr="00377C13">
        <w:t>.</w:t>
      </w:r>
    </w:p>
    <w:p w:rsidR="004573C0" w:rsidRPr="00377C13" w:rsidRDefault="004573C0" w:rsidP="000A21D4">
      <w:pPr>
        <w:widowControl/>
        <w:spacing w:after="120"/>
        <w:ind w:left="720"/>
      </w:pPr>
      <w:r w:rsidRPr="00377C13">
        <w:rPr>
          <w:rFonts w:asciiTheme="minorHAnsi" w:hAnsiTheme="minorHAnsi"/>
          <w:i/>
        </w:rPr>
        <w:t>For more detail on PBAC’s view, see section 7 PBAC outcome.</w:t>
      </w:r>
    </w:p>
    <w:p w:rsidR="007E5552" w:rsidRPr="00377C13" w:rsidRDefault="00480C94" w:rsidP="00B47A0D">
      <w:pPr>
        <w:pStyle w:val="PBACHeading1"/>
        <w:spacing w:before="240" w:after="120"/>
      </w:pPr>
      <w:r w:rsidRPr="00377C13">
        <w:t>Population and disease</w:t>
      </w:r>
      <w:bookmarkStart w:id="5" w:name="_Toc532204376"/>
      <w:bookmarkStart w:id="6" w:name="_Toc532210676"/>
      <w:bookmarkStart w:id="7" w:name="_Toc535842626"/>
      <w:bookmarkEnd w:id="5"/>
      <w:bookmarkEnd w:id="6"/>
      <w:bookmarkEnd w:id="7"/>
    </w:p>
    <w:p w:rsidR="00430917" w:rsidRPr="00377C13" w:rsidRDefault="001719FF" w:rsidP="00B47A0D">
      <w:pPr>
        <w:pStyle w:val="ListParagraph"/>
        <w:widowControl/>
        <w:numPr>
          <w:ilvl w:val="1"/>
          <w:numId w:val="1"/>
        </w:numPr>
        <w:spacing w:after="120"/>
      </w:pPr>
      <w:r w:rsidRPr="00377C13">
        <w:t>Cystic fibrosis (</w:t>
      </w:r>
      <w:r w:rsidR="00C11C2D" w:rsidRPr="00377C13">
        <w:t>CF</w:t>
      </w:r>
      <w:r w:rsidRPr="00377C13">
        <w:t>)</w:t>
      </w:r>
      <w:r w:rsidR="00C11C2D" w:rsidRPr="00377C13">
        <w:t xml:space="preserve"> is an autosomal recessive disease caused by mutations in the CFTR gene. It is a progressive multi-organ disease that primarily affects the pulmonary and digestive systems. </w:t>
      </w:r>
      <w:r w:rsidR="0042581F" w:rsidRPr="00377C13">
        <w:t>Ivacaftor is currently subsidised by the PBS for the treatment of patients aged 2 years and older who have a gating (class III) mutation in the CFTR gene. The current submission sought an extension of the PBS listing to include paediatric patients aged 12–24 months old with gating (class III) mutations in the CFTR gene</w:t>
      </w:r>
      <w:r w:rsidR="0042581F" w:rsidRPr="00377C13">
        <w:rPr>
          <w:i/>
        </w:rPr>
        <w:t xml:space="preserve">. </w:t>
      </w:r>
    </w:p>
    <w:p w:rsidR="00C11C2D" w:rsidRPr="00377C13" w:rsidRDefault="002B5056" w:rsidP="00B47A0D">
      <w:pPr>
        <w:pStyle w:val="ListParagraph"/>
        <w:widowControl/>
        <w:numPr>
          <w:ilvl w:val="1"/>
          <w:numId w:val="1"/>
        </w:numPr>
        <w:spacing w:after="120"/>
      </w:pPr>
      <w:r w:rsidRPr="00377C13">
        <w:t>The submission</w:t>
      </w:r>
      <w:r w:rsidR="00C11C2D" w:rsidRPr="00377C13">
        <w:t xml:space="preserve"> proposed that ivacaftor will be administered as an add-on to BSC.</w:t>
      </w:r>
    </w:p>
    <w:p w:rsidR="004573C0" w:rsidRPr="00377C13" w:rsidRDefault="004573C0" w:rsidP="000A21D4">
      <w:pPr>
        <w:pStyle w:val="ListParagraph"/>
        <w:widowControl/>
        <w:spacing w:after="120"/>
      </w:pPr>
      <w:r w:rsidRPr="00377C13">
        <w:rPr>
          <w:rFonts w:asciiTheme="minorHAnsi" w:hAnsiTheme="minorHAnsi"/>
          <w:i/>
        </w:rPr>
        <w:t>For more detail on PBAC’s view, see section 7 PBAC outcome.</w:t>
      </w:r>
    </w:p>
    <w:p w:rsidR="00C95A93" w:rsidRPr="00377C13" w:rsidRDefault="00841F1F" w:rsidP="00B47A0D">
      <w:pPr>
        <w:pStyle w:val="PBACHeading1"/>
        <w:spacing w:before="240" w:after="120"/>
      </w:pPr>
      <w:r w:rsidRPr="00377C13">
        <w:t>Comparator</w:t>
      </w:r>
      <w:bookmarkStart w:id="8" w:name="_Toc532204377"/>
      <w:bookmarkStart w:id="9" w:name="_Toc532210677"/>
      <w:bookmarkStart w:id="10" w:name="_Toc535842627"/>
      <w:bookmarkEnd w:id="8"/>
      <w:bookmarkEnd w:id="9"/>
      <w:bookmarkEnd w:id="10"/>
    </w:p>
    <w:p w:rsidR="00C11C2D" w:rsidRPr="00377C13" w:rsidRDefault="00C11C2D" w:rsidP="00B47A0D">
      <w:pPr>
        <w:widowControl/>
        <w:numPr>
          <w:ilvl w:val="1"/>
          <w:numId w:val="9"/>
        </w:numPr>
        <w:spacing w:after="120"/>
      </w:pPr>
      <w:r w:rsidRPr="00377C13">
        <w:t xml:space="preserve">The </w:t>
      </w:r>
      <w:r w:rsidR="006F0128" w:rsidRPr="00377C13">
        <w:t xml:space="preserve">submission </w:t>
      </w:r>
      <w:r w:rsidRPr="00377C13">
        <w:t xml:space="preserve">nominated </w:t>
      </w:r>
      <w:r w:rsidR="006F0128" w:rsidRPr="00377C13">
        <w:t xml:space="preserve">best supportive care (BSC) as the main </w:t>
      </w:r>
      <w:r w:rsidR="00430917" w:rsidRPr="00377C13">
        <w:t xml:space="preserve">comparator. </w:t>
      </w:r>
      <w:r w:rsidRPr="00377C13">
        <w:t>This was appropriate and was consistent with the approach used in previous submissions in this indication for older age groups.</w:t>
      </w:r>
    </w:p>
    <w:p w:rsidR="00943891" w:rsidRPr="00377C13" w:rsidRDefault="00943891" w:rsidP="00B47A0D">
      <w:pPr>
        <w:pStyle w:val="PBACHeading1"/>
        <w:spacing w:before="240" w:after="120"/>
      </w:pPr>
      <w:r w:rsidRPr="00377C13">
        <w:lastRenderedPageBreak/>
        <w:t>Consideration of the evidence</w:t>
      </w:r>
      <w:bookmarkStart w:id="11" w:name="_Toc532204378"/>
      <w:bookmarkStart w:id="12" w:name="_Toc532210678"/>
      <w:bookmarkStart w:id="13" w:name="_Toc535842628"/>
      <w:bookmarkEnd w:id="11"/>
      <w:bookmarkEnd w:id="12"/>
      <w:bookmarkEnd w:id="13"/>
    </w:p>
    <w:p w:rsidR="004573C0" w:rsidRPr="00377C13" w:rsidRDefault="004573C0" w:rsidP="000A21D4">
      <w:pPr>
        <w:keepNext/>
        <w:widowControl/>
        <w:spacing w:after="120"/>
        <w:outlineLvl w:val="1"/>
        <w:rPr>
          <w:b/>
          <w:i/>
          <w:sz w:val="28"/>
        </w:rPr>
      </w:pPr>
      <w:r w:rsidRPr="00377C13">
        <w:rPr>
          <w:b/>
          <w:i/>
          <w:sz w:val="28"/>
        </w:rPr>
        <w:t xml:space="preserve">Sponsor hearing </w:t>
      </w:r>
    </w:p>
    <w:p w:rsidR="004573C0" w:rsidRPr="00377C13" w:rsidRDefault="004573C0" w:rsidP="00B47A0D">
      <w:pPr>
        <w:pStyle w:val="ListParagraph"/>
        <w:widowControl/>
        <w:numPr>
          <w:ilvl w:val="1"/>
          <w:numId w:val="1"/>
        </w:numPr>
        <w:spacing w:after="120"/>
      </w:pPr>
      <w:r w:rsidRPr="00377C13">
        <w:t xml:space="preserve">There was no hearing for this item. </w:t>
      </w:r>
    </w:p>
    <w:p w:rsidR="004573C0" w:rsidRPr="00377C13" w:rsidRDefault="009C5FEB" w:rsidP="000A21D4">
      <w:pPr>
        <w:keepNext/>
        <w:widowControl/>
        <w:spacing w:after="120"/>
        <w:outlineLvl w:val="1"/>
        <w:rPr>
          <w:b/>
          <w:i/>
          <w:sz w:val="28"/>
        </w:rPr>
      </w:pPr>
      <w:r w:rsidRPr="00377C13">
        <w:rPr>
          <w:b/>
          <w:i/>
          <w:sz w:val="28"/>
        </w:rPr>
        <w:t>Consumer comments</w:t>
      </w:r>
      <w:r w:rsidR="00B47A0D">
        <w:rPr>
          <w:b/>
          <w:i/>
          <w:sz w:val="28"/>
        </w:rPr>
        <w:t xml:space="preserve"> </w:t>
      </w:r>
    </w:p>
    <w:p w:rsidR="009C5FEB" w:rsidRPr="00377C13" w:rsidRDefault="009C5FEB" w:rsidP="00B47A0D">
      <w:pPr>
        <w:widowControl/>
        <w:numPr>
          <w:ilvl w:val="1"/>
          <w:numId w:val="1"/>
        </w:numPr>
        <w:spacing w:after="120"/>
        <w:rPr>
          <w:rFonts w:asciiTheme="minorHAnsi" w:hAnsiTheme="minorHAnsi"/>
          <w:bCs/>
          <w:szCs w:val="24"/>
        </w:rPr>
      </w:pPr>
      <w:r w:rsidRPr="00377C13">
        <w:rPr>
          <w:rFonts w:asciiTheme="minorHAnsi" w:hAnsiTheme="minorHAnsi"/>
          <w:bCs/>
          <w:szCs w:val="24"/>
        </w:rPr>
        <w:t>The PBAC noted and welcomed the input from individuals (</w:t>
      </w:r>
      <w:r w:rsidR="00353912" w:rsidRPr="00377C13">
        <w:rPr>
          <w:rFonts w:asciiTheme="minorHAnsi" w:hAnsiTheme="minorHAnsi"/>
          <w:bCs/>
          <w:szCs w:val="24"/>
        </w:rPr>
        <w:t>50</w:t>
      </w:r>
      <w:r w:rsidRPr="00377C13">
        <w:rPr>
          <w:rFonts w:asciiTheme="minorHAnsi" w:hAnsiTheme="minorHAnsi"/>
          <w:bCs/>
          <w:szCs w:val="24"/>
        </w:rPr>
        <w:t>)</w:t>
      </w:r>
      <w:r w:rsidR="005D42AF" w:rsidRPr="00377C13">
        <w:rPr>
          <w:rFonts w:asciiTheme="minorHAnsi" w:hAnsiTheme="minorHAnsi"/>
          <w:bCs/>
          <w:szCs w:val="24"/>
        </w:rPr>
        <w:t xml:space="preserve">, </w:t>
      </w:r>
      <w:r w:rsidR="00E665C0" w:rsidRPr="00377C13">
        <w:rPr>
          <w:rFonts w:asciiTheme="minorHAnsi" w:hAnsiTheme="minorHAnsi"/>
          <w:bCs/>
          <w:szCs w:val="24"/>
        </w:rPr>
        <w:t>a</w:t>
      </w:r>
      <w:r w:rsidRPr="00377C13">
        <w:rPr>
          <w:rFonts w:asciiTheme="minorHAnsi" w:hAnsiTheme="minorHAnsi"/>
          <w:bCs/>
          <w:szCs w:val="24"/>
        </w:rPr>
        <w:t xml:space="preserve"> health care professional (1) </w:t>
      </w:r>
      <w:r w:rsidR="005D42AF" w:rsidRPr="00377C13">
        <w:rPr>
          <w:rFonts w:asciiTheme="minorHAnsi" w:hAnsiTheme="minorHAnsi"/>
          <w:bCs/>
          <w:szCs w:val="24"/>
        </w:rPr>
        <w:t xml:space="preserve">and Cystic Fibrosis Australia </w:t>
      </w:r>
      <w:r w:rsidRPr="00377C13">
        <w:rPr>
          <w:rFonts w:asciiTheme="minorHAnsi" w:hAnsiTheme="minorHAnsi"/>
          <w:bCs/>
          <w:szCs w:val="24"/>
        </w:rPr>
        <w:t>via the Consumer Comments facility on the PBS website</w:t>
      </w:r>
      <w:r w:rsidR="00377C13">
        <w:rPr>
          <w:rFonts w:asciiTheme="minorHAnsi" w:hAnsiTheme="minorHAnsi"/>
          <w:bCs/>
          <w:szCs w:val="24"/>
        </w:rPr>
        <w:t xml:space="preserve">. </w:t>
      </w:r>
      <w:r w:rsidRPr="00377C13">
        <w:rPr>
          <w:rFonts w:asciiTheme="minorHAnsi" w:hAnsiTheme="minorHAnsi"/>
          <w:bCs/>
          <w:szCs w:val="24"/>
        </w:rPr>
        <w:t>The comments described a range of benefits of treatment with</w:t>
      </w:r>
      <w:r w:rsidR="007B423F" w:rsidRPr="00377C13">
        <w:rPr>
          <w:rFonts w:asciiTheme="minorHAnsi" w:hAnsiTheme="minorHAnsi"/>
          <w:bCs/>
          <w:szCs w:val="24"/>
        </w:rPr>
        <w:t xml:space="preserve"> ivacaftor </w:t>
      </w:r>
      <w:r w:rsidR="00964B42" w:rsidRPr="00377C13">
        <w:rPr>
          <w:rFonts w:asciiTheme="minorHAnsi" w:hAnsiTheme="minorHAnsi"/>
          <w:bCs/>
          <w:szCs w:val="24"/>
        </w:rPr>
        <w:t>including reduction in hospital admissions, improvement in lung function and improvement in quality of life.</w:t>
      </w:r>
      <w:r w:rsidR="003C47A9" w:rsidRPr="00377C13">
        <w:rPr>
          <w:rFonts w:asciiTheme="minorHAnsi" w:hAnsiTheme="minorHAnsi"/>
          <w:bCs/>
          <w:szCs w:val="24"/>
        </w:rPr>
        <w:t xml:space="preserve"> </w:t>
      </w:r>
      <w:r w:rsidR="00A20E7D" w:rsidRPr="00377C13">
        <w:rPr>
          <w:rFonts w:asciiTheme="minorHAnsi" w:hAnsiTheme="minorHAnsi"/>
          <w:bCs/>
          <w:szCs w:val="24"/>
        </w:rPr>
        <w:t>The comments</w:t>
      </w:r>
      <w:r w:rsidR="00C663C3" w:rsidRPr="00377C13">
        <w:rPr>
          <w:rFonts w:asciiTheme="minorHAnsi" w:hAnsiTheme="minorHAnsi"/>
          <w:bCs/>
          <w:szCs w:val="24"/>
        </w:rPr>
        <w:t xml:space="preserve"> also</w:t>
      </w:r>
      <w:r w:rsidR="00A20E7D" w:rsidRPr="00377C13">
        <w:rPr>
          <w:rFonts w:asciiTheme="minorHAnsi" w:hAnsiTheme="minorHAnsi"/>
          <w:bCs/>
          <w:szCs w:val="24"/>
        </w:rPr>
        <w:t xml:space="preserve"> emphasised </w:t>
      </w:r>
      <w:r w:rsidR="00C663C3" w:rsidRPr="00377C13">
        <w:rPr>
          <w:rFonts w:asciiTheme="minorHAnsi" w:hAnsiTheme="minorHAnsi"/>
          <w:bCs/>
          <w:szCs w:val="24"/>
        </w:rPr>
        <w:t>the potential benefits of starting treatment with ivacaftor as early as possible</w:t>
      </w:r>
      <w:r w:rsidR="00B47A0D">
        <w:rPr>
          <w:rFonts w:asciiTheme="minorHAnsi" w:hAnsiTheme="minorHAnsi"/>
          <w:bCs/>
          <w:szCs w:val="24"/>
        </w:rPr>
        <w:t>.</w:t>
      </w:r>
    </w:p>
    <w:p w:rsidR="005D42AF" w:rsidRPr="00377C13" w:rsidRDefault="000354FB" w:rsidP="00B47A0D">
      <w:pPr>
        <w:widowControl/>
        <w:numPr>
          <w:ilvl w:val="1"/>
          <w:numId w:val="1"/>
        </w:numPr>
        <w:spacing w:after="120"/>
        <w:rPr>
          <w:rFonts w:asciiTheme="minorHAnsi" w:hAnsiTheme="minorHAnsi"/>
          <w:bCs/>
          <w:szCs w:val="24"/>
        </w:rPr>
      </w:pPr>
      <w:r w:rsidRPr="00377C13">
        <w:rPr>
          <w:rFonts w:asciiTheme="minorHAnsi" w:hAnsiTheme="minorHAnsi"/>
          <w:bCs/>
          <w:szCs w:val="24"/>
        </w:rPr>
        <w:t xml:space="preserve">Cystic Fibrosis Australia indicated support for ivacaftor granules to be listed on the PBS for patients aged 12 to 24 months </w:t>
      </w:r>
      <w:r w:rsidR="0091268B" w:rsidRPr="00377C13">
        <w:rPr>
          <w:rFonts w:asciiTheme="minorHAnsi" w:hAnsiTheme="minorHAnsi"/>
          <w:bCs/>
          <w:szCs w:val="24"/>
        </w:rPr>
        <w:t>emphasising the importance for patients to receive treatment early</w:t>
      </w:r>
      <w:r w:rsidR="00377C13">
        <w:rPr>
          <w:rFonts w:asciiTheme="minorHAnsi" w:hAnsiTheme="minorHAnsi"/>
          <w:bCs/>
          <w:szCs w:val="24"/>
        </w:rPr>
        <w:t xml:space="preserve">. </w:t>
      </w:r>
    </w:p>
    <w:p w:rsidR="00943891" w:rsidRPr="00377C13" w:rsidRDefault="00943891" w:rsidP="000A21D4">
      <w:pPr>
        <w:widowControl/>
        <w:spacing w:after="120"/>
        <w:outlineLvl w:val="1"/>
        <w:rPr>
          <w:b/>
          <w:i/>
          <w:sz w:val="28"/>
        </w:rPr>
      </w:pPr>
      <w:r w:rsidRPr="00377C13">
        <w:rPr>
          <w:b/>
          <w:i/>
          <w:sz w:val="28"/>
        </w:rPr>
        <w:t>Clinical trials</w:t>
      </w:r>
    </w:p>
    <w:p w:rsidR="00C11C2D" w:rsidRPr="00377C13" w:rsidRDefault="00C11C2D" w:rsidP="00B47A0D">
      <w:pPr>
        <w:pStyle w:val="ListParagraph"/>
        <w:widowControl/>
        <w:numPr>
          <w:ilvl w:val="1"/>
          <w:numId w:val="1"/>
        </w:numPr>
        <w:spacing w:after="120"/>
      </w:pPr>
      <w:r w:rsidRPr="00377C13">
        <w:t>The submission was based on one 24</w:t>
      </w:r>
      <w:r w:rsidR="00AC7544" w:rsidRPr="00377C13">
        <w:t>-</w:t>
      </w:r>
      <w:r w:rsidRPr="00377C13">
        <w:t>week open label trial evaluating the safety and efficacy of ivacaftor granules 50 mg and 75 mg (Study 124 (Part A (N=7); Part B</w:t>
      </w:r>
      <w:r w:rsidR="00CA1407" w:rsidRPr="00377C13">
        <w:t xml:space="preserve"> </w:t>
      </w:r>
      <w:r w:rsidRPr="00377C13">
        <w:t xml:space="preserve">(N=19)). There were no head-to-head randomised trials available comparing ivacaftor plus BSC with BSC. </w:t>
      </w:r>
    </w:p>
    <w:p w:rsidR="00C11C2D" w:rsidRPr="00377C13" w:rsidRDefault="00C11C2D" w:rsidP="00B47A0D">
      <w:pPr>
        <w:widowControl/>
        <w:numPr>
          <w:ilvl w:val="1"/>
          <w:numId w:val="1"/>
        </w:numPr>
        <w:spacing w:after="120"/>
      </w:pPr>
      <w:r w:rsidRPr="00377C13">
        <w:rPr>
          <w:rFonts w:cs="Calibri"/>
          <w:snapToGrid/>
          <w:szCs w:val="24"/>
          <w:lang w:eastAsia="en-AU"/>
        </w:rPr>
        <w:t xml:space="preserve">Details of the trials presented in the submission are provided in </w:t>
      </w:r>
      <w:r w:rsidR="006832BC">
        <w:rPr>
          <w:rFonts w:asciiTheme="minorHAnsi" w:hAnsiTheme="minorHAnsi" w:cstheme="minorHAnsi"/>
          <w:szCs w:val="24"/>
        </w:rPr>
        <w:t>Table 3</w:t>
      </w:r>
      <w:r w:rsidR="00377C13">
        <w:rPr>
          <w:rFonts w:cs="Calibri"/>
          <w:snapToGrid/>
          <w:szCs w:val="24"/>
          <w:lang w:eastAsia="en-AU"/>
        </w:rPr>
        <w:t xml:space="preserve">. </w:t>
      </w:r>
    </w:p>
    <w:p w:rsidR="00C11C2D" w:rsidRPr="00377C13" w:rsidRDefault="00C11C2D" w:rsidP="007D3143">
      <w:pPr>
        <w:keepNext/>
        <w:widowControl/>
        <w:rPr>
          <w:rFonts w:ascii="Arial Narrow" w:hAnsi="Arial Narrow"/>
          <w:b/>
          <w:bCs/>
          <w:sz w:val="20"/>
          <w:szCs w:val="20"/>
        </w:rPr>
      </w:pPr>
      <w:bookmarkStart w:id="14" w:name="_Ref531852618"/>
      <w:r w:rsidRPr="00377C13">
        <w:rPr>
          <w:rFonts w:ascii="Arial Narrow" w:hAnsi="Arial Narrow"/>
          <w:b/>
          <w:bCs/>
          <w:sz w:val="20"/>
          <w:szCs w:val="20"/>
        </w:rPr>
        <w:lastRenderedPageBreak/>
        <w:t xml:space="preserve">Table </w:t>
      </w:r>
      <w:bookmarkEnd w:id="14"/>
      <w:r w:rsidR="006832BC">
        <w:rPr>
          <w:rFonts w:ascii="Arial Narrow" w:hAnsi="Arial Narrow"/>
          <w:b/>
          <w:bCs/>
          <w:sz w:val="20"/>
          <w:szCs w:val="20"/>
        </w:rPr>
        <w:t>3</w:t>
      </w:r>
      <w:r w:rsidRPr="00377C13">
        <w:rPr>
          <w:rFonts w:ascii="Arial Narrow" w:hAnsi="Arial Narrow"/>
          <w:b/>
          <w:bCs/>
          <w:sz w:val="20"/>
          <w:szCs w:val="20"/>
        </w:rPr>
        <w:t>: Trials and associated reports presented in the submission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Caption w:val="Table 3: Trials and associated reports presented in the submission"/>
      </w:tblPr>
      <w:tblGrid>
        <w:gridCol w:w="1555"/>
        <w:gridCol w:w="5529"/>
        <w:gridCol w:w="1933"/>
      </w:tblGrid>
      <w:tr w:rsidR="00C11C2D" w:rsidRPr="00377C13" w:rsidTr="00ED741D">
        <w:trPr>
          <w:tblHeader/>
        </w:trPr>
        <w:tc>
          <w:tcPr>
            <w:tcW w:w="862" w:type="pct"/>
            <w:vAlign w:val="center"/>
          </w:tcPr>
          <w:p w:rsidR="00C11C2D" w:rsidRPr="00377C13" w:rsidRDefault="00C11C2D" w:rsidP="007D3143">
            <w:pPr>
              <w:keepNext/>
              <w:widowControl/>
              <w:jc w:val="left"/>
              <w:rPr>
                <w:rFonts w:ascii="Arial Narrow" w:hAnsi="Arial Narrow" w:cs="Times New Roman"/>
                <w:b/>
                <w:snapToGrid/>
                <w:sz w:val="20"/>
                <w:szCs w:val="20"/>
              </w:rPr>
            </w:pPr>
            <w:r w:rsidRPr="00377C13">
              <w:rPr>
                <w:rFonts w:ascii="Arial Narrow" w:hAnsi="Arial Narrow" w:cs="Times New Roman"/>
                <w:b/>
                <w:snapToGrid/>
                <w:sz w:val="20"/>
                <w:szCs w:val="20"/>
              </w:rPr>
              <w:t>Trial ID</w:t>
            </w:r>
          </w:p>
        </w:tc>
        <w:tc>
          <w:tcPr>
            <w:tcW w:w="3066" w:type="pct"/>
            <w:vAlign w:val="center"/>
          </w:tcPr>
          <w:p w:rsidR="00C11C2D" w:rsidRPr="00377C13" w:rsidRDefault="00C11C2D" w:rsidP="007D3143">
            <w:pPr>
              <w:keepNext/>
              <w:widowControl/>
              <w:jc w:val="center"/>
              <w:rPr>
                <w:rFonts w:ascii="Arial Narrow" w:hAnsi="Arial Narrow" w:cs="Times New Roman"/>
                <w:b/>
                <w:snapToGrid/>
                <w:sz w:val="20"/>
                <w:szCs w:val="20"/>
              </w:rPr>
            </w:pPr>
            <w:r w:rsidRPr="00377C13">
              <w:rPr>
                <w:rFonts w:ascii="Arial Narrow" w:hAnsi="Arial Narrow" w:cs="Times New Roman"/>
                <w:b/>
                <w:snapToGrid/>
                <w:sz w:val="20"/>
                <w:szCs w:val="20"/>
              </w:rPr>
              <w:t>Protocol title/ Publication title</w:t>
            </w:r>
          </w:p>
        </w:tc>
        <w:tc>
          <w:tcPr>
            <w:tcW w:w="1072" w:type="pct"/>
            <w:vAlign w:val="center"/>
          </w:tcPr>
          <w:p w:rsidR="00C11C2D" w:rsidRPr="00377C13" w:rsidRDefault="00C11C2D" w:rsidP="007D3143">
            <w:pPr>
              <w:keepNext/>
              <w:widowControl/>
              <w:jc w:val="center"/>
              <w:rPr>
                <w:rFonts w:ascii="Arial Narrow" w:hAnsi="Arial Narrow" w:cs="Times New Roman"/>
                <w:b/>
                <w:snapToGrid/>
                <w:sz w:val="20"/>
                <w:szCs w:val="20"/>
              </w:rPr>
            </w:pPr>
            <w:r w:rsidRPr="00377C13">
              <w:rPr>
                <w:rFonts w:ascii="Arial Narrow" w:hAnsi="Arial Narrow" w:cs="Times New Roman"/>
                <w:b/>
                <w:snapToGrid/>
                <w:sz w:val="20"/>
                <w:szCs w:val="20"/>
              </w:rPr>
              <w:t>Publication citation</w:t>
            </w:r>
          </w:p>
        </w:tc>
      </w:tr>
      <w:tr w:rsidR="00C11C2D" w:rsidRPr="00377C13" w:rsidTr="007E5552">
        <w:tc>
          <w:tcPr>
            <w:tcW w:w="862" w:type="pct"/>
            <w:tcBorders>
              <w:bottom w:val="nil"/>
            </w:tcBorders>
            <w:vAlign w:val="center"/>
          </w:tcPr>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rPr>
              <w:t>Trials meeting the selection criteria:</w:t>
            </w:r>
          </w:p>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rPr>
              <w:t>Study VX15-770-124 (Study 124)</w:t>
            </w:r>
          </w:p>
        </w:tc>
        <w:tc>
          <w:tcPr>
            <w:tcW w:w="3066" w:type="pct"/>
            <w:tcBorders>
              <w:bottom w:val="nil"/>
            </w:tcBorders>
            <w:vAlign w:val="center"/>
          </w:tcPr>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rPr>
              <w:t xml:space="preserve">A phase III, 2-part, open label, non-randomised, multicentre study to evaluate the safety, pharmacokinetics and pharmacodynamics of ivacaftor in subjects with cystic fibrosis who are less than 24 months of age at treatment initiation and have a CFTR gating mutation. </w:t>
            </w:r>
          </w:p>
        </w:tc>
        <w:tc>
          <w:tcPr>
            <w:tcW w:w="1072" w:type="pct"/>
            <w:tcBorders>
              <w:bottom w:val="nil"/>
            </w:tcBorders>
          </w:tcPr>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rPr>
              <w:t>February 2015</w:t>
            </w:r>
          </w:p>
        </w:tc>
      </w:tr>
      <w:tr w:rsidR="00C11C2D" w:rsidRPr="00377C13" w:rsidTr="007E5552">
        <w:tc>
          <w:tcPr>
            <w:tcW w:w="862" w:type="pct"/>
            <w:tcBorders>
              <w:top w:val="nil"/>
              <w:left w:val="single" w:sz="4" w:space="0" w:color="auto"/>
              <w:bottom w:val="nil"/>
              <w:right w:val="single" w:sz="4" w:space="0" w:color="auto"/>
            </w:tcBorders>
            <w:vAlign w:val="center"/>
          </w:tcPr>
          <w:p w:rsidR="00C11C2D" w:rsidRPr="00377C13" w:rsidRDefault="00C11C2D" w:rsidP="007D3143">
            <w:pPr>
              <w:keepNext/>
              <w:widowControl/>
              <w:jc w:val="left"/>
              <w:rPr>
                <w:rFonts w:ascii="Arial Narrow" w:hAnsi="Arial Narrow" w:cs="Times New Roman"/>
                <w:snapToGrid/>
                <w:sz w:val="20"/>
                <w:szCs w:val="20"/>
              </w:rPr>
            </w:pPr>
          </w:p>
        </w:tc>
        <w:tc>
          <w:tcPr>
            <w:tcW w:w="3066" w:type="pct"/>
            <w:tcBorders>
              <w:top w:val="nil"/>
              <w:left w:val="single" w:sz="4" w:space="0" w:color="auto"/>
              <w:bottom w:val="nil"/>
              <w:right w:val="single" w:sz="4" w:space="0" w:color="auto"/>
            </w:tcBorders>
            <w:vAlign w:val="center"/>
          </w:tcPr>
          <w:p w:rsidR="007E5552" w:rsidRPr="00377C13" w:rsidRDefault="007E5552" w:rsidP="007D3143">
            <w:pPr>
              <w:keepNext/>
              <w:widowControl/>
              <w:jc w:val="left"/>
              <w:rPr>
                <w:rFonts w:ascii="Arial Narrow" w:hAnsi="Arial Narrow" w:cs="Times New Roman"/>
                <w:snapToGrid/>
                <w:sz w:val="20"/>
                <w:szCs w:val="20"/>
              </w:rPr>
            </w:pPr>
          </w:p>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rPr>
              <w:t xml:space="preserve">Rosenfeld, M.; Wainwright, C. E.; Higgins, M.; Wang, L. T.; McKee, C.; Campbell, D.; Tian, S.; Schneider, J.; Cunningham, S.; Davies, J. C.; Harris, W.; </w:t>
            </w:r>
            <w:proofErr w:type="spellStart"/>
            <w:r w:rsidRPr="00377C13">
              <w:rPr>
                <w:rFonts w:ascii="Arial Narrow" w:hAnsi="Arial Narrow" w:cs="Times New Roman"/>
                <w:snapToGrid/>
                <w:sz w:val="20"/>
                <w:szCs w:val="20"/>
              </w:rPr>
              <w:t>Mogayzel</w:t>
            </w:r>
            <w:proofErr w:type="spellEnd"/>
            <w:r w:rsidRPr="00377C13">
              <w:rPr>
                <w:rFonts w:ascii="Arial Narrow" w:hAnsi="Arial Narrow" w:cs="Times New Roman"/>
                <w:snapToGrid/>
                <w:sz w:val="20"/>
                <w:szCs w:val="20"/>
              </w:rPr>
              <w:t xml:space="preserve">, P.; McCoy, K.; </w:t>
            </w:r>
            <w:proofErr w:type="spellStart"/>
            <w:r w:rsidRPr="00377C13">
              <w:rPr>
                <w:rFonts w:ascii="Arial Narrow" w:hAnsi="Arial Narrow" w:cs="Times New Roman"/>
                <w:snapToGrid/>
                <w:sz w:val="20"/>
                <w:szCs w:val="20"/>
              </w:rPr>
              <w:t>Milla</w:t>
            </w:r>
            <w:proofErr w:type="spellEnd"/>
            <w:r w:rsidRPr="00377C13">
              <w:rPr>
                <w:rFonts w:ascii="Arial Narrow" w:hAnsi="Arial Narrow" w:cs="Times New Roman"/>
                <w:snapToGrid/>
                <w:sz w:val="20"/>
                <w:szCs w:val="20"/>
              </w:rPr>
              <w:t xml:space="preserve">, C.; Rubenstein, R.; Walker, S.; Black, P.; Montgomery, G.; </w:t>
            </w:r>
            <w:proofErr w:type="spellStart"/>
            <w:r w:rsidRPr="00377C13">
              <w:rPr>
                <w:rFonts w:ascii="Arial Narrow" w:hAnsi="Arial Narrow" w:cs="Times New Roman"/>
                <w:snapToGrid/>
                <w:sz w:val="20"/>
                <w:szCs w:val="20"/>
              </w:rPr>
              <w:t>McColley</w:t>
            </w:r>
            <w:proofErr w:type="spellEnd"/>
            <w:r w:rsidRPr="00377C13">
              <w:rPr>
                <w:rFonts w:ascii="Arial Narrow" w:hAnsi="Arial Narrow" w:cs="Times New Roman"/>
                <w:snapToGrid/>
                <w:sz w:val="20"/>
                <w:szCs w:val="20"/>
              </w:rPr>
              <w:t xml:space="preserve">, S.; Hiatt, P.; </w:t>
            </w:r>
            <w:proofErr w:type="spellStart"/>
            <w:r w:rsidRPr="00377C13">
              <w:rPr>
                <w:rFonts w:ascii="Arial Narrow" w:hAnsi="Arial Narrow" w:cs="Times New Roman"/>
                <w:snapToGrid/>
                <w:sz w:val="20"/>
                <w:szCs w:val="20"/>
              </w:rPr>
              <w:t>Sawicki</w:t>
            </w:r>
            <w:proofErr w:type="spellEnd"/>
            <w:r w:rsidRPr="00377C13">
              <w:rPr>
                <w:rFonts w:ascii="Arial Narrow" w:hAnsi="Arial Narrow" w:cs="Times New Roman"/>
                <w:snapToGrid/>
                <w:sz w:val="20"/>
                <w:szCs w:val="20"/>
              </w:rPr>
              <w:t xml:space="preserve">, G.; Rock, M.; Aurora, P.; </w:t>
            </w:r>
            <w:proofErr w:type="spellStart"/>
            <w:r w:rsidRPr="00377C13">
              <w:rPr>
                <w:rFonts w:ascii="Arial Narrow" w:hAnsi="Arial Narrow" w:cs="Times New Roman"/>
                <w:snapToGrid/>
                <w:sz w:val="20"/>
                <w:szCs w:val="20"/>
              </w:rPr>
              <w:t>Ratjen</w:t>
            </w:r>
            <w:proofErr w:type="spellEnd"/>
            <w:r w:rsidRPr="00377C13">
              <w:rPr>
                <w:rFonts w:ascii="Arial Narrow" w:hAnsi="Arial Narrow" w:cs="Times New Roman"/>
                <w:snapToGrid/>
                <w:sz w:val="20"/>
                <w:szCs w:val="20"/>
              </w:rPr>
              <w:t xml:space="preserve">, F.; </w:t>
            </w:r>
            <w:proofErr w:type="spellStart"/>
            <w:r w:rsidRPr="00377C13">
              <w:rPr>
                <w:rFonts w:ascii="Arial Narrow" w:hAnsi="Arial Narrow" w:cs="Times New Roman"/>
                <w:snapToGrid/>
                <w:sz w:val="20"/>
                <w:szCs w:val="20"/>
              </w:rPr>
              <w:t>Maitra</w:t>
            </w:r>
            <w:proofErr w:type="spellEnd"/>
            <w:r w:rsidRPr="00377C13">
              <w:rPr>
                <w:rFonts w:ascii="Arial Narrow" w:hAnsi="Arial Narrow" w:cs="Times New Roman"/>
                <w:snapToGrid/>
                <w:sz w:val="20"/>
                <w:szCs w:val="20"/>
              </w:rPr>
              <w:t xml:space="preserve">, A.; Ives, A.; Gaillard, E.; </w:t>
            </w:r>
            <w:proofErr w:type="spellStart"/>
            <w:r w:rsidRPr="00377C13">
              <w:rPr>
                <w:rFonts w:ascii="Arial Narrow" w:hAnsi="Arial Narrow" w:cs="Times New Roman"/>
                <w:snapToGrid/>
                <w:sz w:val="20"/>
                <w:szCs w:val="20"/>
              </w:rPr>
              <w:t>McNalley</w:t>
            </w:r>
            <w:proofErr w:type="spellEnd"/>
            <w:r w:rsidRPr="00377C13">
              <w:rPr>
                <w:rFonts w:ascii="Arial Narrow" w:hAnsi="Arial Narrow" w:cs="Times New Roman"/>
                <w:snapToGrid/>
                <w:sz w:val="20"/>
                <w:szCs w:val="20"/>
              </w:rPr>
              <w:t xml:space="preserve">, P.; </w:t>
            </w:r>
            <w:proofErr w:type="spellStart"/>
            <w:r w:rsidRPr="00377C13">
              <w:rPr>
                <w:rFonts w:ascii="Arial Narrow" w:hAnsi="Arial Narrow" w:cs="Times New Roman"/>
                <w:snapToGrid/>
                <w:sz w:val="20"/>
                <w:szCs w:val="20"/>
              </w:rPr>
              <w:t>Selvadurai</w:t>
            </w:r>
            <w:proofErr w:type="spellEnd"/>
            <w:r w:rsidRPr="00377C13">
              <w:rPr>
                <w:rFonts w:ascii="Arial Narrow" w:hAnsi="Arial Narrow" w:cs="Times New Roman"/>
                <w:snapToGrid/>
                <w:sz w:val="20"/>
                <w:szCs w:val="20"/>
              </w:rPr>
              <w:t>, H.; Robinson, P. Ivacaftor treatment of cystic fibrosis in children aged 12 to &lt;24 months and with a CFTR gating mutation (ARRIVAL): a phase 3 single-arm study.</w:t>
            </w:r>
          </w:p>
        </w:tc>
        <w:tc>
          <w:tcPr>
            <w:tcW w:w="1072" w:type="pct"/>
            <w:tcBorders>
              <w:top w:val="nil"/>
              <w:left w:val="single" w:sz="4" w:space="0" w:color="auto"/>
              <w:bottom w:val="nil"/>
              <w:right w:val="single" w:sz="4" w:space="0" w:color="auto"/>
            </w:tcBorders>
          </w:tcPr>
          <w:p w:rsidR="007E5552" w:rsidRPr="00377C13" w:rsidRDefault="007E5552" w:rsidP="007D3143">
            <w:pPr>
              <w:keepNext/>
              <w:widowControl/>
              <w:jc w:val="left"/>
              <w:rPr>
                <w:rFonts w:ascii="Arial Narrow" w:hAnsi="Arial Narrow" w:cs="Times New Roman"/>
                <w:snapToGrid/>
                <w:sz w:val="20"/>
                <w:szCs w:val="20"/>
              </w:rPr>
            </w:pPr>
          </w:p>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rPr>
              <w:t>The Lancet Respiratory Medicine. 2018; 6(7):545-553</w:t>
            </w:r>
          </w:p>
        </w:tc>
      </w:tr>
      <w:tr w:rsidR="00C11C2D" w:rsidRPr="00377C13" w:rsidTr="007E5552">
        <w:tc>
          <w:tcPr>
            <w:tcW w:w="862" w:type="pct"/>
            <w:tcBorders>
              <w:top w:val="nil"/>
              <w:left w:val="single" w:sz="4" w:space="0" w:color="auto"/>
              <w:bottom w:val="nil"/>
              <w:right w:val="single" w:sz="4" w:space="0" w:color="auto"/>
            </w:tcBorders>
            <w:vAlign w:val="center"/>
          </w:tcPr>
          <w:p w:rsidR="00C11C2D" w:rsidRPr="00377C13" w:rsidRDefault="00C11C2D" w:rsidP="007D3143">
            <w:pPr>
              <w:keepNext/>
              <w:widowControl/>
              <w:jc w:val="left"/>
              <w:rPr>
                <w:rFonts w:ascii="Arial Narrow" w:hAnsi="Arial Narrow" w:cs="Times New Roman"/>
                <w:snapToGrid/>
                <w:sz w:val="20"/>
                <w:szCs w:val="20"/>
              </w:rPr>
            </w:pPr>
          </w:p>
        </w:tc>
        <w:tc>
          <w:tcPr>
            <w:tcW w:w="3066" w:type="pct"/>
            <w:tcBorders>
              <w:top w:val="nil"/>
              <w:left w:val="single" w:sz="4" w:space="0" w:color="auto"/>
              <w:bottom w:val="nil"/>
              <w:right w:val="single" w:sz="4" w:space="0" w:color="auto"/>
            </w:tcBorders>
            <w:vAlign w:val="center"/>
          </w:tcPr>
          <w:p w:rsidR="007E5552" w:rsidRPr="00377C13" w:rsidRDefault="007E5552" w:rsidP="007D3143">
            <w:pPr>
              <w:keepNext/>
              <w:widowControl/>
              <w:jc w:val="left"/>
              <w:rPr>
                <w:rFonts w:ascii="Arial Narrow" w:hAnsi="Arial Narrow" w:cs="Times New Roman"/>
                <w:snapToGrid/>
                <w:sz w:val="20"/>
                <w:szCs w:val="20"/>
                <w:lang w:eastAsia="en-AU"/>
              </w:rPr>
            </w:pPr>
          </w:p>
          <w:p w:rsidR="00C11C2D" w:rsidRPr="00377C13" w:rsidRDefault="00C11C2D" w:rsidP="007D3143">
            <w:pPr>
              <w:keepNext/>
              <w:widowControl/>
              <w:jc w:val="lef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Rosenfeld, M.; Wainwright, C.; McKee, C.; Higgins, M.; Wang, L.; Campbell, D.; Tian, S.; Schneider, J.; Cunningham, S.; Davies, J. C. A phase 3, 2-part, single-arm study of ivacaftor treatment in patients &lt;2 years with a CFTR gating mutation: results from the ARRIVAL study in patients 1 to 2 years.</w:t>
            </w:r>
          </w:p>
        </w:tc>
        <w:tc>
          <w:tcPr>
            <w:tcW w:w="1072" w:type="pct"/>
            <w:tcBorders>
              <w:top w:val="nil"/>
              <w:left w:val="single" w:sz="4" w:space="0" w:color="auto"/>
              <w:bottom w:val="nil"/>
              <w:right w:val="single" w:sz="4" w:space="0" w:color="auto"/>
            </w:tcBorders>
          </w:tcPr>
          <w:p w:rsidR="007E5552" w:rsidRPr="00377C13" w:rsidRDefault="007E5552" w:rsidP="007D3143">
            <w:pPr>
              <w:keepNext/>
              <w:widowControl/>
              <w:jc w:val="left"/>
              <w:rPr>
                <w:rFonts w:ascii="Arial Narrow" w:hAnsi="Arial Narrow" w:cs="Times New Roman"/>
                <w:snapToGrid/>
                <w:sz w:val="20"/>
                <w:szCs w:val="20"/>
                <w:lang w:eastAsia="en-AU"/>
              </w:rPr>
            </w:pPr>
          </w:p>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lang w:eastAsia="en-AU"/>
              </w:rPr>
              <w:t>Journal of Cystic Fibrosis. 2018; 17(Supplement 3): S1</w:t>
            </w:r>
          </w:p>
        </w:tc>
      </w:tr>
      <w:tr w:rsidR="00C11C2D" w:rsidRPr="00377C13" w:rsidTr="007E5552">
        <w:tc>
          <w:tcPr>
            <w:tcW w:w="862" w:type="pct"/>
            <w:tcBorders>
              <w:top w:val="nil"/>
              <w:left w:val="single" w:sz="4" w:space="0" w:color="auto"/>
              <w:bottom w:val="nil"/>
              <w:right w:val="single" w:sz="4" w:space="0" w:color="auto"/>
            </w:tcBorders>
            <w:vAlign w:val="center"/>
          </w:tcPr>
          <w:p w:rsidR="00C11C2D" w:rsidRPr="00377C13" w:rsidRDefault="00C11C2D" w:rsidP="007D3143">
            <w:pPr>
              <w:keepNext/>
              <w:widowControl/>
              <w:jc w:val="left"/>
              <w:rPr>
                <w:rFonts w:ascii="Arial Narrow" w:hAnsi="Arial Narrow" w:cs="Times New Roman"/>
                <w:snapToGrid/>
                <w:sz w:val="20"/>
                <w:szCs w:val="20"/>
              </w:rPr>
            </w:pPr>
          </w:p>
        </w:tc>
        <w:tc>
          <w:tcPr>
            <w:tcW w:w="3066" w:type="pct"/>
            <w:tcBorders>
              <w:top w:val="nil"/>
              <w:left w:val="single" w:sz="4" w:space="0" w:color="auto"/>
              <w:bottom w:val="nil"/>
              <w:right w:val="single" w:sz="4" w:space="0" w:color="auto"/>
            </w:tcBorders>
            <w:vAlign w:val="center"/>
          </w:tcPr>
          <w:p w:rsidR="007E5552" w:rsidRPr="00377C13" w:rsidRDefault="007E5552" w:rsidP="007D3143">
            <w:pPr>
              <w:keepNext/>
              <w:widowControl/>
              <w:jc w:val="left"/>
              <w:rPr>
                <w:rFonts w:ascii="Arial Narrow" w:hAnsi="Arial Narrow" w:cs="Times New Roman"/>
                <w:snapToGrid/>
                <w:sz w:val="20"/>
                <w:szCs w:val="20"/>
                <w:lang w:eastAsia="en-AU"/>
              </w:rPr>
            </w:pPr>
          </w:p>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lang w:eastAsia="en-AU"/>
              </w:rPr>
              <w:t>Vertex Pharmaceuticals Incorporated. A Study to Evaluate the Safety, Pharmacokinetics, and Pharmacodynamics of Ivacaftor in Subjects With Cystic Fibrosis Who Are Less Than 24 Months of Age and Have a CFTR Gating Mutation</w:t>
            </w:r>
          </w:p>
        </w:tc>
        <w:tc>
          <w:tcPr>
            <w:tcW w:w="1072" w:type="pct"/>
            <w:tcBorders>
              <w:top w:val="nil"/>
              <w:left w:val="single" w:sz="4" w:space="0" w:color="auto"/>
              <w:bottom w:val="nil"/>
              <w:right w:val="single" w:sz="4" w:space="0" w:color="auto"/>
            </w:tcBorders>
          </w:tcPr>
          <w:p w:rsidR="007E5552" w:rsidRPr="00377C13" w:rsidRDefault="007E5552" w:rsidP="007D3143">
            <w:pPr>
              <w:keepNext/>
              <w:widowControl/>
              <w:jc w:val="left"/>
              <w:rPr>
                <w:rFonts w:ascii="Arial Narrow" w:hAnsi="Arial Narrow" w:cs="Times New Roman"/>
                <w:snapToGrid/>
                <w:sz w:val="20"/>
                <w:szCs w:val="20"/>
              </w:rPr>
            </w:pPr>
          </w:p>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rPr>
              <w:t>2016 https://ClinicalTrials.gov/show/NCT02725567</w:t>
            </w:r>
          </w:p>
        </w:tc>
      </w:tr>
      <w:tr w:rsidR="00C11C2D" w:rsidRPr="00377C13" w:rsidTr="007E5552">
        <w:tc>
          <w:tcPr>
            <w:tcW w:w="862" w:type="pct"/>
            <w:tcBorders>
              <w:top w:val="nil"/>
              <w:left w:val="single" w:sz="4" w:space="0" w:color="auto"/>
              <w:bottom w:val="single" w:sz="4" w:space="0" w:color="auto"/>
              <w:right w:val="single" w:sz="4" w:space="0" w:color="auto"/>
            </w:tcBorders>
            <w:vAlign w:val="center"/>
          </w:tcPr>
          <w:p w:rsidR="00C11C2D" w:rsidRPr="00377C13" w:rsidRDefault="00C11C2D" w:rsidP="007D3143">
            <w:pPr>
              <w:keepNext/>
              <w:widowControl/>
              <w:jc w:val="left"/>
              <w:rPr>
                <w:rFonts w:ascii="Arial Narrow" w:hAnsi="Arial Narrow" w:cs="Times New Roman"/>
                <w:snapToGrid/>
                <w:sz w:val="20"/>
                <w:szCs w:val="20"/>
              </w:rPr>
            </w:pPr>
          </w:p>
        </w:tc>
        <w:tc>
          <w:tcPr>
            <w:tcW w:w="3066" w:type="pct"/>
            <w:tcBorders>
              <w:top w:val="nil"/>
              <w:left w:val="single" w:sz="4" w:space="0" w:color="auto"/>
              <w:bottom w:val="single" w:sz="4" w:space="0" w:color="auto"/>
              <w:right w:val="single" w:sz="4" w:space="0" w:color="auto"/>
            </w:tcBorders>
            <w:vAlign w:val="center"/>
          </w:tcPr>
          <w:p w:rsidR="007E5552" w:rsidRPr="00377C13" w:rsidRDefault="007E5552" w:rsidP="007D3143">
            <w:pPr>
              <w:keepNext/>
              <w:widowControl/>
              <w:jc w:val="left"/>
              <w:rPr>
                <w:rFonts w:ascii="Arial Narrow" w:hAnsi="Arial Narrow" w:cs="Times New Roman"/>
                <w:snapToGrid/>
                <w:sz w:val="20"/>
                <w:szCs w:val="20"/>
                <w:lang w:eastAsia="en-AU"/>
              </w:rPr>
            </w:pPr>
          </w:p>
          <w:p w:rsidR="00C11C2D" w:rsidRPr="00377C13" w:rsidRDefault="00C11C2D" w:rsidP="007D3143">
            <w:pPr>
              <w:keepNext/>
              <w:widowControl/>
              <w:jc w:val="lef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Vertex Pharmaceuticals Incorporated. A study to assess the safety, pharmacokinetics, and pharmacodynamics of ivacaftor in children less than 24 months of age with cystic fibrosis (a rare hereditary disease that affects the lungs, digestive system and other organs)</w:t>
            </w:r>
          </w:p>
        </w:tc>
        <w:tc>
          <w:tcPr>
            <w:tcW w:w="1072" w:type="pct"/>
            <w:tcBorders>
              <w:top w:val="nil"/>
              <w:left w:val="single" w:sz="4" w:space="0" w:color="auto"/>
              <w:bottom w:val="single" w:sz="4" w:space="0" w:color="auto"/>
              <w:right w:val="single" w:sz="4" w:space="0" w:color="auto"/>
            </w:tcBorders>
          </w:tcPr>
          <w:p w:rsidR="007E5552" w:rsidRPr="00377C13" w:rsidRDefault="007E5552" w:rsidP="007D3143">
            <w:pPr>
              <w:keepNext/>
              <w:widowControl/>
              <w:jc w:val="left"/>
              <w:rPr>
                <w:rFonts w:ascii="Arial Narrow" w:hAnsi="Arial Narrow" w:cs="Times New Roman"/>
                <w:snapToGrid/>
                <w:sz w:val="20"/>
                <w:szCs w:val="20"/>
              </w:rPr>
            </w:pPr>
          </w:p>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rPr>
              <w:t>2016. EUCTR2015-001997-16-GB</w:t>
            </w:r>
          </w:p>
        </w:tc>
      </w:tr>
      <w:tr w:rsidR="00C11C2D" w:rsidRPr="00377C13" w:rsidTr="007E5552">
        <w:tc>
          <w:tcPr>
            <w:tcW w:w="862" w:type="pct"/>
            <w:tcBorders>
              <w:top w:val="single" w:sz="4" w:space="0" w:color="auto"/>
              <w:bottom w:val="single" w:sz="4" w:space="0" w:color="auto"/>
            </w:tcBorders>
          </w:tcPr>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rPr>
              <w:t xml:space="preserve">Trials excluded from analysis: </w:t>
            </w:r>
          </w:p>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rPr>
              <w:t>Study 126</w:t>
            </w:r>
          </w:p>
        </w:tc>
        <w:tc>
          <w:tcPr>
            <w:tcW w:w="3066" w:type="pct"/>
            <w:tcBorders>
              <w:top w:val="single" w:sz="4" w:space="0" w:color="auto"/>
              <w:bottom w:val="single" w:sz="4" w:space="0" w:color="auto"/>
            </w:tcBorders>
            <w:vAlign w:val="center"/>
          </w:tcPr>
          <w:p w:rsidR="00C11C2D" w:rsidRPr="00377C13" w:rsidRDefault="00C11C2D" w:rsidP="007D3143">
            <w:pPr>
              <w:keepNext/>
              <w:widowControl/>
              <w:jc w:val="lef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A Phase 3, 2-Arm, Open-label Study to Evaluate the Safety and Pharmacodynamics of Long-term Ivacaftor Treatment in Subjects With Cystic Fibrosis Who Are Less Than 24 Months of Age at Treatment Initiation and Have an Approved Ivacaftor-Responsive Mutation.</w:t>
            </w:r>
          </w:p>
        </w:tc>
        <w:tc>
          <w:tcPr>
            <w:tcW w:w="1072" w:type="pct"/>
            <w:tcBorders>
              <w:top w:val="single" w:sz="4" w:space="0" w:color="auto"/>
              <w:bottom w:val="single" w:sz="4" w:space="0" w:color="auto"/>
            </w:tcBorders>
          </w:tcPr>
          <w:p w:rsidR="00C11C2D" w:rsidRPr="00377C13" w:rsidRDefault="00C11C2D" w:rsidP="007D3143">
            <w:pPr>
              <w:keepNext/>
              <w:widowControl/>
              <w:jc w:val="left"/>
              <w:rPr>
                <w:rFonts w:ascii="Arial Narrow" w:hAnsi="Arial Narrow" w:cs="Times New Roman"/>
                <w:snapToGrid/>
                <w:sz w:val="20"/>
                <w:szCs w:val="20"/>
              </w:rPr>
            </w:pPr>
            <w:r w:rsidRPr="00377C13">
              <w:rPr>
                <w:rFonts w:ascii="Arial Narrow" w:hAnsi="Arial Narrow" w:cs="Times New Roman"/>
                <w:snapToGrid/>
                <w:sz w:val="20"/>
                <w:szCs w:val="20"/>
              </w:rPr>
              <w:t>2017</w:t>
            </w:r>
          </w:p>
        </w:tc>
      </w:tr>
    </w:tbl>
    <w:p w:rsidR="00C11C2D" w:rsidRPr="00377C13" w:rsidRDefault="00C11C2D" w:rsidP="007D3143">
      <w:pPr>
        <w:widowControl/>
        <w:rPr>
          <w:rFonts w:ascii="Arial Narrow" w:hAnsi="Arial Narrow"/>
          <w:sz w:val="18"/>
        </w:rPr>
      </w:pPr>
      <w:r w:rsidRPr="00377C13">
        <w:rPr>
          <w:rFonts w:ascii="Arial Narrow" w:hAnsi="Arial Narrow"/>
          <w:sz w:val="18"/>
        </w:rPr>
        <w:t>Abbreviations: CFTR= cystic fibrosis transmembrane conductance regulator.</w:t>
      </w:r>
    </w:p>
    <w:p w:rsidR="00C11C2D" w:rsidRPr="00377C13" w:rsidRDefault="00C11C2D" w:rsidP="007D3143">
      <w:pPr>
        <w:widowControl/>
        <w:rPr>
          <w:rFonts w:ascii="Arial Narrow" w:hAnsi="Arial Narrow"/>
          <w:sz w:val="20"/>
        </w:rPr>
      </w:pPr>
      <w:r w:rsidRPr="00377C13">
        <w:rPr>
          <w:rFonts w:ascii="Arial Narrow" w:hAnsi="Arial Narrow"/>
          <w:sz w:val="18"/>
        </w:rPr>
        <w:t xml:space="preserve">Source: Table 2.2.1, p35 of the </w:t>
      </w:r>
      <w:r w:rsidR="00F37FDA" w:rsidRPr="00377C13">
        <w:rPr>
          <w:rFonts w:ascii="Arial Narrow" w:hAnsi="Arial Narrow"/>
          <w:sz w:val="18"/>
        </w:rPr>
        <w:t>submission.</w:t>
      </w:r>
    </w:p>
    <w:p w:rsidR="008D2A97" w:rsidRPr="00377C13" w:rsidRDefault="008D2A97" w:rsidP="00B47A0D">
      <w:pPr>
        <w:widowControl/>
        <w:numPr>
          <w:ilvl w:val="1"/>
          <w:numId w:val="1"/>
        </w:numPr>
        <w:spacing w:before="120" w:after="120"/>
        <w:rPr>
          <w:i/>
        </w:rPr>
      </w:pPr>
      <w:r w:rsidRPr="00377C13">
        <w:t>The submission excluded Study 126 from analysis, as it was ongoing. This was appropriate.</w:t>
      </w:r>
    </w:p>
    <w:p w:rsidR="00C11C2D" w:rsidRPr="00377C13" w:rsidRDefault="00C11C2D" w:rsidP="00B47A0D">
      <w:pPr>
        <w:widowControl/>
        <w:numPr>
          <w:ilvl w:val="1"/>
          <w:numId w:val="1"/>
        </w:numPr>
        <w:spacing w:before="120" w:after="120"/>
      </w:pPr>
      <w:r w:rsidRPr="00377C13">
        <w:t>The key features o</w:t>
      </w:r>
      <w:r w:rsidR="00FF530C" w:rsidRPr="00377C13">
        <w:t>f the included evidence</w:t>
      </w:r>
      <w:r w:rsidRPr="00377C13">
        <w:t xml:space="preserve"> are summarised in </w:t>
      </w:r>
      <w:r w:rsidR="006832BC">
        <w:rPr>
          <w:rFonts w:asciiTheme="minorHAnsi" w:hAnsiTheme="minorHAnsi" w:cstheme="minorHAnsi"/>
          <w:szCs w:val="24"/>
        </w:rPr>
        <w:t>Table 4</w:t>
      </w:r>
      <w:r w:rsidRPr="00377C13">
        <w:t>.</w:t>
      </w:r>
    </w:p>
    <w:p w:rsidR="00C11C2D" w:rsidRPr="00377C13" w:rsidRDefault="00C11C2D" w:rsidP="007D3143">
      <w:pPr>
        <w:keepNext/>
        <w:keepLines/>
        <w:widowControl/>
        <w:jc w:val="left"/>
        <w:rPr>
          <w:rFonts w:ascii="Arial Narrow" w:hAnsi="Arial Narrow"/>
          <w:b/>
          <w:bCs/>
          <w:color w:val="4F81BD" w:themeColor="accent1"/>
          <w:sz w:val="20"/>
          <w:szCs w:val="16"/>
        </w:rPr>
      </w:pPr>
      <w:bookmarkStart w:id="15" w:name="_Ref531853058"/>
      <w:r w:rsidRPr="00377C13">
        <w:rPr>
          <w:rFonts w:ascii="Arial Narrow" w:hAnsi="Arial Narrow"/>
          <w:b/>
          <w:bCs/>
          <w:sz w:val="20"/>
          <w:szCs w:val="20"/>
        </w:rPr>
        <w:t xml:space="preserve">Table </w:t>
      </w:r>
      <w:bookmarkEnd w:id="15"/>
      <w:r w:rsidR="006832BC">
        <w:rPr>
          <w:rFonts w:ascii="Arial Narrow" w:hAnsi="Arial Narrow"/>
          <w:b/>
          <w:bCs/>
          <w:sz w:val="20"/>
          <w:szCs w:val="20"/>
        </w:rPr>
        <w:t>4</w:t>
      </w:r>
      <w:r w:rsidRPr="00377C13">
        <w:rPr>
          <w:rFonts w:ascii="Arial Narrow" w:hAnsi="Arial Narrow"/>
          <w:b/>
          <w:bCs/>
          <w:sz w:val="20"/>
          <w:szCs w:val="20"/>
        </w:rPr>
        <w:t>: Key features of the included evidence</w:t>
      </w:r>
    </w:p>
    <w:tbl>
      <w:tblPr>
        <w:tblW w:w="5000"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Caption w:val="Table 4: Key features of the included evidence"/>
      </w:tblPr>
      <w:tblGrid>
        <w:gridCol w:w="976"/>
        <w:gridCol w:w="562"/>
        <w:gridCol w:w="1540"/>
        <w:gridCol w:w="977"/>
        <w:gridCol w:w="1820"/>
        <w:gridCol w:w="3142"/>
      </w:tblGrid>
      <w:tr w:rsidR="00C11C2D" w:rsidRPr="00377C13" w:rsidTr="002D3E80">
        <w:tc>
          <w:tcPr>
            <w:tcW w:w="542" w:type="pct"/>
            <w:shd w:val="clear" w:color="auto" w:fill="auto"/>
            <w:vAlign w:val="center"/>
          </w:tcPr>
          <w:p w:rsidR="00C11C2D" w:rsidRPr="00377C13" w:rsidRDefault="00C11C2D" w:rsidP="007D3143">
            <w:pPr>
              <w:keepNext/>
              <w:keepLines/>
              <w:widowControl/>
              <w:jc w:val="left"/>
              <w:rPr>
                <w:rFonts w:ascii="Arial Narrow" w:hAnsi="Arial Narrow"/>
                <w:b/>
                <w:sz w:val="20"/>
                <w:szCs w:val="20"/>
              </w:rPr>
            </w:pPr>
            <w:r w:rsidRPr="00377C13">
              <w:rPr>
                <w:rFonts w:ascii="Arial Narrow" w:hAnsi="Arial Narrow"/>
                <w:b/>
                <w:sz w:val="20"/>
                <w:szCs w:val="20"/>
              </w:rPr>
              <w:t>Trial</w:t>
            </w:r>
          </w:p>
        </w:tc>
        <w:tc>
          <w:tcPr>
            <w:tcW w:w="311" w:type="pct"/>
            <w:shd w:val="clear" w:color="auto" w:fill="auto"/>
            <w:vAlign w:val="center"/>
          </w:tcPr>
          <w:p w:rsidR="00C11C2D" w:rsidRPr="00377C13" w:rsidRDefault="00C11C2D" w:rsidP="007D3143">
            <w:pPr>
              <w:keepNext/>
              <w:keepLines/>
              <w:widowControl/>
              <w:jc w:val="left"/>
              <w:rPr>
                <w:rFonts w:ascii="Arial Narrow" w:hAnsi="Arial Narrow"/>
                <w:b/>
                <w:sz w:val="20"/>
                <w:szCs w:val="20"/>
              </w:rPr>
            </w:pPr>
            <w:r w:rsidRPr="00377C13">
              <w:rPr>
                <w:rFonts w:ascii="Arial Narrow" w:hAnsi="Arial Narrow"/>
                <w:b/>
                <w:sz w:val="20"/>
                <w:szCs w:val="20"/>
              </w:rPr>
              <w:t>N</w:t>
            </w:r>
          </w:p>
        </w:tc>
        <w:tc>
          <w:tcPr>
            <w:tcW w:w="854" w:type="pct"/>
            <w:shd w:val="clear" w:color="auto" w:fill="auto"/>
            <w:vAlign w:val="center"/>
          </w:tcPr>
          <w:p w:rsidR="00C11C2D" w:rsidRPr="00377C13" w:rsidRDefault="00C11C2D" w:rsidP="007D3143">
            <w:pPr>
              <w:keepNext/>
              <w:keepLines/>
              <w:widowControl/>
              <w:jc w:val="left"/>
              <w:rPr>
                <w:rFonts w:ascii="Arial Narrow" w:hAnsi="Arial Narrow"/>
                <w:b/>
                <w:sz w:val="20"/>
                <w:szCs w:val="20"/>
              </w:rPr>
            </w:pPr>
            <w:r w:rsidRPr="00377C13">
              <w:rPr>
                <w:rFonts w:ascii="Arial Narrow" w:hAnsi="Arial Narrow"/>
                <w:b/>
                <w:sz w:val="20"/>
                <w:szCs w:val="20"/>
              </w:rPr>
              <w:t>Design/ duration</w:t>
            </w:r>
          </w:p>
        </w:tc>
        <w:tc>
          <w:tcPr>
            <w:tcW w:w="542" w:type="pct"/>
            <w:shd w:val="clear" w:color="auto" w:fill="auto"/>
            <w:vAlign w:val="center"/>
          </w:tcPr>
          <w:p w:rsidR="00C11C2D" w:rsidRPr="00377C13" w:rsidRDefault="00C11C2D" w:rsidP="007D3143">
            <w:pPr>
              <w:keepNext/>
              <w:keepLines/>
              <w:widowControl/>
              <w:jc w:val="left"/>
              <w:rPr>
                <w:rFonts w:ascii="Arial Narrow" w:hAnsi="Arial Narrow"/>
                <w:b/>
                <w:sz w:val="20"/>
                <w:szCs w:val="20"/>
              </w:rPr>
            </w:pPr>
            <w:r w:rsidRPr="00377C13">
              <w:rPr>
                <w:rFonts w:ascii="Arial Narrow" w:hAnsi="Arial Narrow"/>
                <w:b/>
                <w:sz w:val="20"/>
                <w:szCs w:val="20"/>
              </w:rPr>
              <w:t>Risk of bias</w:t>
            </w:r>
          </w:p>
        </w:tc>
        <w:tc>
          <w:tcPr>
            <w:tcW w:w="1009" w:type="pct"/>
            <w:shd w:val="clear" w:color="auto" w:fill="auto"/>
            <w:vAlign w:val="center"/>
          </w:tcPr>
          <w:p w:rsidR="00C11C2D" w:rsidRPr="00377C13" w:rsidRDefault="00C11C2D" w:rsidP="007D3143">
            <w:pPr>
              <w:keepNext/>
              <w:keepLines/>
              <w:widowControl/>
              <w:jc w:val="left"/>
              <w:rPr>
                <w:rFonts w:ascii="Arial Narrow" w:hAnsi="Arial Narrow"/>
                <w:b/>
                <w:sz w:val="20"/>
                <w:szCs w:val="20"/>
              </w:rPr>
            </w:pPr>
            <w:r w:rsidRPr="00377C13">
              <w:rPr>
                <w:rFonts w:ascii="Arial Narrow" w:hAnsi="Arial Narrow"/>
                <w:b/>
                <w:sz w:val="20"/>
                <w:szCs w:val="20"/>
              </w:rPr>
              <w:t>Patient population</w:t>
            </w:r>
          </w:p>
        </w:tc>
        <w:tc>
          <w:tcPr>
            <w:tcW w:w="1743" w:type="pct"/>
            <w:shd w:val="clear" w:color="auto" w:fill="auto"/>
            <w:vAlign w:val="center"/>
          </w:tcPr>
          <w:p w:rsidR="00C11C2D" w:rsidRPr="00377C13" w:rsidRDefault="00C11C2D" w:rsidP="007D3143">
            <w:pPr>
              <w:keepNext/>
              <w:keepLines/>
              <w:widowControl/>
              <w:jc w:val="left"/>
              <w:rPr>
                <w:rFonts w:ascii="Arial Narrow" w:hAnsi="Arial Narrow"/>
                <w:b/>
                <w:sz w:val="20"/>
                <w:szCs w:val="20"/>
              </w:rPr>
            </w:pPr>
            <w:r w:rsidRPr="00377C13">
              <w:rPr>
                <w:rFonts w:ascii="Arial Narrow" w:hAnsi="Arial Narrow"/>
                <w:b/>
                <w:sz w:val="20"/>
                <w:szCs w:val="20"/>
              </w:rPr>
              <w:t>Outcome(s)</w:t>
            </w:r>
          </w:p>
        </w:tc>
      </w:tr>
      <w:tr w:rsidR="00C11C2D" w:rsidRPr="00377C13" w:rsidTr="002D3E80">
        <w:tc>
          <w:tcPr>
            <w:tcW w:w="5000" w:type="pct"/>
            <w:gridSpan w:val="6"/>
            <w:shd w:val="clear" w:color="auto" w:fill="auto"/>
            <w:vAlign w:val="center"/>
          </w:tcPr>
          <w:p w:rsidR="00C11C2D" w:rsidRPr="00377C13" w:rsidRDefault="00C11C2D" w:rsidP="007D3143">
            <w:pPr>
              <w:keepNext/>
              <w:keepLines/>
              <w:widowControl/>
              <w:jc w:val="left"/>
              <w:rPr>
                <w:rFonts w:ascii="Arial Narrow" w:hAnsi="Arial Narrow"/>
                <w:b/>
                <w:sz w:val="20"/>
                <w:szCs w:val="20"/>
              </w:rPr>
            </w:pPr>
            <w:r w:rsidRPr="00377C13">
              <w:rPr>
                <w:rFonts w:ascii="Arial Narrow" w:hAnsi="Arial Narrow"/>
                <w:b/>
                <w:sz w:val="20"/>
                <w:szCs w:val="20"/>
              </w:rPr>
              <w:t>Ivacaftor + BSC</w:t>
            </w:r>
          </w:p>
        </w:tc>
      </w:tr>
      <w:tr w:rsidR="00C11C2D" w:rsidRPr="00377C13" w:rsidTr="00864F9B">
        <w:tc>
          <w:tcPr>
            <w:tcW w:w="542" w:type="pct"/>
            <w:shd w:val="clear" w:color="auto" w:fill="auto"/>
          </w:tcPr>
          <w:p w:rsidR="00C11C2D" w:rsidRPr="00377C13" w:rsidRDefault="00C11C2D" w:rsidP="007D3143">
            <w:pPr>
              <w:keepNext/>
              <w:keepLines/>
              <w:widowControl/>
              <w:jc w:val="left"/>
              <w:rPr>
                <w:rFonts w:ascii="Arial Narrow" w:hAnsi="Arial Narrow"/>
                <w:sz w:val="20"/>
                <w:szCs w:val="20"/>
              </w:rPr>
            </w:pPr>
            <w:r w:rsidRPr="00377C13">
              <w:rPr>
                <w:rFonts w:ascii="Arial Narrow" w:hAnsi="Arial Narrow"/>
                <w:sz w:val="20"/>
                <w:szCs w:val="20"/>
              </w:rPr>
              <w:t>Study 124</w:t>
            </w:r>
          </w:p>
        </w:tc>
        <w:tc>
          <w:tcPr>
            <w:tcW w:w="311" w:type="pct"/>
            <w:shd w:val="clear" w:color="auto" w:fill="auto"/>
          </w:tcPr>
          <w:p w:rsidR="00C11C2D" w:rsidRPr="00377C13" w:rsidRDefault="00C11C2D" w:rsidP="007D3143">
            <w:pPr>
              <w:keepNext/>
              <w:keepLines/>
              <w:widowControl/>
              <w:jc w:val="left"/>
              <w:rPr>
                <w:rFonts w:ascii="Arial Narrow" w:hAnsi="Arial Narrow"/>
                <w:sz w:val="20"/>
                <w:szCs w:val="20"/>
              </w:rPr>
            </w:pPr>
            <w:r w:rsidRPr="00377C13">
              <w:rPr>
                <w:rFonts w:ascii="Arial Narrow" w:hAnsi="Arial Narrow"/>
                <w:sz w:val="20"/>
                <w:szCs w:val="20"/>
              </w:rPr>
              <w:t>Part A</w:t>
            </w:r>
            <w:r w:rsidR="00B47A0D">
              <w:rPr>
                <w:rFonts w:ascii="Arial Narrow" w:hAnsi="Arial Narrow"/>
                <w:sz w:val="20"/>
                <w:szCs w:val="20"/>
              </w:rPr>
              <w:t xml:space="preserve"> </w:t>
            </w:r>
            <w:r w:rsidRPr="00377C13">
              <w:rPr>
                <w:rFonts w:ascii="Arial Narrow" w:hAnsi="Arial Narrow"/>
                <w:sz w:val="20"/>
                <w:szCs w:val="20"/>
              </w:rPr>
              <w:t>(N=7)</w:t>
            </w:r>
          </w:p>
          <w:p w:rsidR="00C11C2D" w:rsidRPr="00377C13" w:rsidRDefault="00C11C2D" w:rsidP="007D3143">
            <w:pPr>
              <w:keepNext/>
              <w:keepLines/>
              <w:widowControl/>
              <w:jc w:val="left"/>
              <w:rPr>
                <w:rFonts w:ascii="Arial Narrow" w:hAnsi="Arial Narrow"/>
                <w:sz w:val="20"/>
                <w:szCs w:val="20"/>
              </w:rPr>
            </w:pPr>
            <w:r w:rsidRPr="00377C13">
              <w:rPr>
                <w:rFonts w:ascii="Arial Narrow" w:hAnsi="Arial Narrow"/>
                <w:sz w:val="20"/>
                <w:szCs w:val="20"/>
              </w:rPr>
              <w:t>Part B (N=19)</w:t>
            </w:r>
          </w:p>
        </w:tc>
        <w:tc>
          <w:tcPr>
            <w:tcW w:w="854" w:type="pct"/>
            <w:shd w:val="clear" w:color="auto" w:fill="auto"/>
          </w:tcPr>
          <w:p w:rsidR="00C11C2D" w:rsidRPr="00377C13" w:rsidRDefault="00C11C2D" w:rsidP="007D3143">
            <w:pPr>
              <w:keepNext/>
              <w:keepLines/>
              <w:widowControl/>
              <w:jc w:val="left"/>
              <w:rPr>
                <w:rFonts w:ascii="Arial Narrow" w:hAnsi="Arial Narrow"/>
                <w:sz w:val="20"/>
                <w:szCs w:val="20"/>
              </w:rPr>
            </w:pPr>
            <w:r w:rsidRPr="00377C13">
              <w:rPr>
                <w:rFonts w:ascii="Arial Narrow" w:hAnsi="Arial Narrow"/>
                <w:sz w:val="20"/>
                <w:szCs w:val="20"/>
              </w:rPr>
              <w:t>OL, MC, single arm, 2-part study</w:t>
            </w:r>
          </w:p>
          <w:p w:rsidR="00C11C2D" w:rsidRPr="00377C13" w:rsidRDefault="00C11C2D" w:rsidP="007D3143">
            <w:pPr>
              <w:keepNext/>
              <w:keepLines/>
              <w:widowControl/>
              <w:jc w:val="left"/>
              <w:rPr>
                <w:rFonts w:ascii="Arial Narrow" w:hAnsi="Arial Narrow"/>
                <w:sz w:val="20"/>
                <w:szCs w:val="20"/>
              </w:rPr>
            </w:pPr>
            <w:r w:rsidRPr="00377C13">
              <w:rPr>
                <w:rFonts w:ascii="Arial Narrow" w:hAnsi="Arial Narrow"/>
                <w:sz w:val="20"/>
                <w:szCs w:val="20"/>
              </w:rPr>
              <w:t>Part A: 4 days</w:t>
            </w:r>
          </w:p>
          <w:p w:rsidR="00C11C2D" w:rsidRPr="00377C13" w:rsidRDefault="00C11C2D" w:rsidP="007D3143">
            <w:pPr>
              <w:keepNext/>
              <w:keepLines/>
              <w:widowControl/>
              <w:jc w:val="left"/>
              <w:rPr>
                <w:rFonts w:ascii="Arial Narrow" w:hAnsi="Arial Narrow"/>
                <w:sz w:val="20"/>
                <w:szCs w:val="20"/>
              </w:rPr>
            </w:pPr>
            <w:r w:rsidRPr="00377C13">
              <w:rPr>
                <w:rFonts w:ascii="Arial Narrow" w:hAnsi="Arial Narrow"/>
                <w:sz w:val="20"/>
                <w:szCs w:val="20"/>
              </w:rPr>
              <w:t>Part B: 24 weeks</w:t>
            </w:r>
          </w:p>
        </w:tc>
        <w:tc>
          <w:tcPr>
            <w:tcW w:w="542" w:type="pct"/>
            <w:shd w:val="clear" w:color="auto" w:fill="auto"/>
          </w:tcPr>
          <w:p w:rsidR="00C11C2D" w:rsidRPr="00377C13" w:rsidRDefault="00C11C2D" w:rsidP="007D3143">
            <w:pPr>
              <w:keepNext/>
              <w:keepLines/>
              <w:widowControl/>
              <w:jc w:val="left"/>
              <w:rPr>
                <w:rFonts w:ascii="Arial Narrow" w:hAnsi="Arial Narrow"/>
                <w:sz w:val="20"/>
                <w:szCs w:val="20"/>
              </w:rPr>
            </w:pPr>
            <w:r w:rsidRPr="00377C13">
              <w:rPr>
                <w:rFonts w:ascii="Arial Narrow" w:hAnsi="Arial Narrow"/>
                <w:sz w:val="20"/>
                <w:szCs w:val="20"/>
              </w:rPr>
              <w:t>High</w:t>
            </w:r>
          </w:p>
        </w:tc>
        <w:tc>
          <w:tcPr>
            <w:tcW w:w="1009" w:type="pct"/>
            <w:shd w:val="clear" w:color="auto" w:fill="auto"/>
          </w:tcPr>
          <w:p w:rsidR="00C11C2D" w:rsidRPr="00377C13" w:rsidRDefault="00C11C2D" w:rsidP="007D3143">
            <w:pPr>
              <w:keepNext/>
              <w:keepLines/>
              <w:widowControl/>
              <w:jc w:val="left"/>
              <w:rPr>
                <w:rFonts w:ascii="Arial Narrow" w:hAnsi="Arial Narrow"/>
                <w:sz w:val="20"/>
                <w:szCs w:val="20"/>
              </w:rPr>
            </w:pPr>
            <w:r w:rsidRPr="00377C13">
              <w:rPr>
                <w:rFonts w:ascii="Arial Narrow" w:hAnsi="Arial Narrow"/>
                <w:sz w:val="20"/>
                <w:szCs w:val="20"/>
              </w:rPr>
              <w:t xml:space="preserve">Aged 12 to 24 </w:t>
            </w:r>
            <w:r w:rsidR="00514A28" w:rsidRPr="00377C13">
              <w:rPr>
                <w:rFonts w:ascii="Arial Narrow" w:hAnsi="Arial Narrow"/>
                <w:sz w:val="20"/>
                <w:szCs w:val="20"/>
              </w:rPr>
              <w:t>mont</w:t>
            </w:r>
            <w:r w:rsidR="00363488" w:rsidRPr="00377C13">
              <w:rPr>
                <w:rFonts w:ascii="Arial Narrow" w:hAnsi="Arial Narrow"/>
                <w:sz w:val="20"/>
                <w:szCs w:val="20"/>
              </w:rPr>
              <w:t xml:space="preserve">hs </w:t>
            </w:r>
            <w:r w:rsidRPr="00377C13">
              <w:rPr>
                <w:rFonts w:ascii="Arial Narrow" w:hAnsi="Arial Narrow"/>
                <w:sz w:val="20"/>
                <w:szCs w:val="20"/>
              </w:rPr>
              <w:t xml:space="preserve">with CF with a CFTR gating mutation on at least one allele. </w:t>
            </w:r>
          </w:p>
        </w:tc>
        <w:tc>
          <w:tcPr>
            <w:tcW w:w="1743" w:type="pct"/>
            <w:shd w:val="clear" w:color="auto" w:fill="auto"/>
            <w:vAlign w:val="center"/>
          </w:tcPr>
          <w:p w:rsidR="00C11C2D" w:rsidRPr="00377C13" w:rsidRDefault="00C11C2D" w:rsidP="007D3143">
            <w:pPr>
              <w:keepNext/>
              <w:keepLines/>
              <w:widowControl/>
              <w:jc w:val="left"/>
              <w:rPr>
                <w:rFonts w:ascii="Arial Narrow" w:hAnsi="Arial Narrow"/>
                <w:sz w:val="20"/>
                <w:szCs w:val="20"/>
              </w:rPr>
            </w:pPr>
            <w:r w:rsidRPr="00377C13">
              <w:rPr>
                <w:rFonts w:ascii="Arial Narrow" w:hAnsi="Arial Narrow"/>
                <w:sz w:val="20"/>
                <w:szCs w:val="20"/>
              </w:rPr>
              <w:t>Absolute change from baseline in sweat chloride concentration, pancreatic function (FE-1, IRT), nutritional status (length and weight), pulmonary exacerbations (</w:t>
            </w:r>
            <w:proofErr w:type="spellStart"/>
            <w:r w:rsidRPr="00377C13">
              <w:rPr>
                <w:rFonts w:ascii="Arial Narrow" w:hAnsi="Arial Narrow"/>
                <w:sz w:val="20"/>
                <w:szCs w:val="20"/>
              </w:rPr>
              <w:t>PEx</w:t>
            </w:r>
            <w:proofErr w:type="spellEnd"/>
            <w:r w:rsidRPr="00377C13">
              <w:rPr>
                <w:rFonts w:ascii="Arial Narrow" w:hAnsi="Arial Narrow"/>
                <w:sz w:val="20"/>
                <w:szCs w:val="20"/>
              </w:rPr>
              <w:t>) and CF-related hospitali</w:t>
            </w:r>
            <w:r w:rsidR="00244847" w:rsidRPr="00377C13">
              <w:rPr>
                <w:rFonts w:ascii="Arial Narrow" w:hAnsi="Arial Narrow"/>
                <w:sz w:val="20"/>
                <w:szCs w:val="20"/>
              </w:rPr>
              <w:t>s</w:t>
            </w:r>
            <w:r w:rsidRPr="00377C13">
              <w:rPr>
                <w:rFonts w:ascii="Arial Narrow" w:hAnsi="Arial Narrow"/>
                <w:sz w:val="20"/>
                <w:szCs w:val="20"/>
              </w:rPr>
              <w:t>ations</w:t>
            </w:r>
          </w:p>
        </w:tc>
      </w:tr>
    </w:tbl>
    <w:p w:rsidR="00C11C2D" w:rsidRPr="00377C13" w:rsidRDefault="00C11C2D" w:rsidP="007D3143">
      <w:pPr>
        <w:keepLines/>
        <w:widowControl/>
        <w:jc w:val="left"/>
        <w:rPr>
          <w:rFonts w:ascii="Arial Narrow" w:hAnsi="Arial Narrow"/>
          <w:sz w:val="18"/>
          <w:szCs w:val="18"/>
        </w:rPr>
      </w:pPr>
      <w:r w:rsidRPr="00377C13">
        <w:rPr>
          <w:rFonts w:ascii="Arial Narrow" w:hAnsi="Arial Narrow"/>
          <w:sz w:val="18"/>
          <w:szCs w:val="18"/>
        </w:rPr>
        <w:t xml:space="preserve">Abbreviations: CF=cystic fibrosis; CFTR=CF transmembrane conductance regulator gene; FE=faecal elastase; IRT= </w:t>
      </w:r>
      <w:proofErr w:type="spellStart"/>
      <w:r w:rsidRPr="00377C13">
        <w:rPr>
          <w:rFonts w:ascii="Arial Narrow" w:hAnsi="Arial Narrow"/>
          <w:sz w:val="18"/>
          <w:szCs w:val="18"/>
        </w:rPr>
        <w:t>immunoreactive</w:t>
      </w:r>
      <w:proofErr w:type="spellEnd"/>
      <w:r w:rsidRPr="00377C13">
        <w:rPr>
          <w:rFonts w:ascii="Arial Narrow" w:hAnsi="Arial Narrow"/>
          <w:sz w:val="18"/>
          <w:szCs w:val="18"/>
        </w:rPr>
        <w:t xml:space="preserve"> trypsinogen; MC=multi-centre; OL=open label; </w:t>
      </w:r>
      <w:proofErr w:type="spellStart"/>
      <w:r w:rsidRPr="00377C13">
        <w:rPr>
          <w:rFonts w:ascii="Arial Narrow" w:hAnsi="Arial Narrow"/>
          <w:sz w:val="18"/>
          <w:szCs w:val="18"/>
        </w:rPr>
        <w:t>PEx</w:t>
      </w:r>
      <w:proofErr w:type="spellEnd"/>
      <w:r w:rsidRPr="00377C13">
        <w:rPr>
          <w:rFonts w:ascii="Arial Narrow" w:hAnsi="Arial Narrow"/>
          <w:sz w:val="18"/>
          <w:szCs w:val="18"/>
        </w:rPr>
        <w:t>=pulmonary exacerbations; ppFEV</w:t>
      </w:r>
      <w:r w:rsidRPr="00377C13">
        <w:rPr>
          <w:rFonts w:ascii="Arial Narrow" w:hAnsi="Arial Narrow"/>
          <w:sz w:val="18"/>
          <w:szCs w:val="18"/>
          <w:vertAlign w:val="subscript"/>
        </w:rPr>
        <w:t>1</w:t>
      </w:r>
      <w:r w:rsidRPr="00377C13">
        <w:rPr>
          <w:rFonts w:ascii="Arial Narrow" w:hAnsi="Arial Narrow"/>
          <w:sz w:val="18"/>
          <w:szCs w:val="18"/>
        </w:rPr>
        <w:t>=percent predicted forced expiratory volume in 1 second.</w:t>
      </w:r>
    </w:p>
    <w:p w:rsidR="00C11C2D" w:rsidRPr="00377C13" w:rsidRDefault="00C11C2D" w:rsidP="007D3143">
      <w:pPr>
        <w:keepLines/>
        <w:widowControl/>
        <w:jc w:val="left"/>
        <w:rPr>
          <w:rFonts w:ascii="Arial Narrow" w:hAnsi="Arial Narrow"/>
          <w:sz w:val="20"/>
          <w:szCs w:val="20"/>
        </w:rPr>
      </w:pPr>
      <w:r w:rsidRPr="00377C13">
        <w:rPr>
          <w:rFonts w:ascii="Arial Narrow" w:hAnsi="Arial Narrow"/>
          <w:sz w:val="18"/>
          <w:szCs w:val="18"/>
        </w:rPr>
        <w:t>Source: Compiled during the evaluation.</w:t>
      </w:r>
    </w:p>
    <w:p w:rsidR="000E1FBC" w:rsidRPr="00377C13" w:rsidRDefault="000E1FBC" w:rsidP="00B47A0D">
      <w:pPr>
        <w:widowControl/>
        <w:numPr>
          <w:ilvl w:val="1"/>
          <w:numId w:val="1"/>
        </w:numPr>
        <w:spacing w:after="120"/>
        <w:rPr>
          <w:i/>
        </w:rPr>
      </w:pPr>
      <w:r w:rsidRPr="00377C13">
        <w:lastRenderedPageBreak/>
        <w:t>Only Part B of Study 124 assessed efficacy outcomes to 24 weeks (Part A reported on safety and pharmacokinetic outcomes only).</w:t>
      </w:r>
    </w:p>
    <w:p w:rsidR="00C11C2D" w:rsidRPr="00377C13" w:rsidRDefault="00C11C2D" w:rsidP="00B47A0D">
      <w:pPr>
        <w:widowControl/>
        <w:numPr>
          <w:ilvl w:val="1"/>
          <w:numId w:val="1"/>
        </w:numPr>
        <w:spacing w:after="120"/>
      </w:pPr>
      <w:r w:rsidRPr="00377C13">
        <w:t>The following issues were identified with regards to the study design, analysis and its implications:</w:t>
      </w:r>
    </w:p>
    <w:p w:rsidR="00C11C2D" w:rsidRPr="00377C13" w:rsidRDefault="00C11C2D" w:rsidP="00B47A0D">
      <w:pPr>
        <w:widowControl/>
        <w:numPr>
          <w:ilvl w:val="0"/>
          <w:numId w:val="5"/>
        </w:numPr>
        <w:spacing w:after="120"/>
      </w:pPr>
      <w:r w:rsidRPr="00377C13">
        <w:t>Study 124 was a non-randomised, singl</w:t>
      </w:r>
      <w:r w:rsidR="00EF6443" w:rsidRPr="00377C13">
        <w:t>e</w:t>
      </w:r>
      <w:r w:rsidRPr="00377C13">
        <w:t xml:space="preserve">-arm, open label trial. The study was designed to demonstrate the safety, pharmacokinetics and pharmacodynamics of ivacaftor in children aged 12 to 24 months. The overall risk of bias for the trials was high due to its non-randomised and open-label nature. However, the key efficacy outcomes are objective measures, and sweat chloride, </w:t>
      </w:r>
      <w:r w:rsidR="00343F5D" w:rsidRPr="00377C13">
        <w:t xml:space="preserve">pancreatic function (FE-1, IRT), </w:t>
      </w:r>
      <w:r w:rsidRPr="00377C13">
        <w:t>weight, stature</w:t>
      </w:r>
      <w:r w:rsidR="001C1D69" w:rsidRPr="00377C13">
        <w:t xml:space="preserve"> (length)</w:t>
      </w:r>
      <w:r w:rsidRPr="00377C13">
        <w:t xml:space="preserve"> were based on objective laboratory analyses. Safety was the primary outcome for Study 124, and the safety populations were used as the basis of analysis. </w:t>
      </w:r>
    </w:p>
    <w:p w:rsidR="00C11C2D" w:rsidRPr="00377C13" w:rsidRDefault="00C11C2D" w:rsidP="00B47A0D">
      <w:pPr>
        <w:widowControl/>
        <w:numPr>
          <w:ilvl w:val="0"/>
          <w:numId w:val="5"/>
        </w:numPr>
        <w:spacing w:after="120"/>
      </w:pPr>
      <w:r w:rsidRPr="00377C13">
        <w:t xml:space="preserve"> </w:t>
      </w:r>
      <w:r w:rsidR="00C50335" w:rsidRPr="00377C13">
        <w:t>T</w:t>
      </w:r>
      <w:r w:rsidRPr="00377C13">
        <w:t xml:space="preserve">he sample size was small and results are only available up to 24 weeks. </w:t>
      </w:r>
    </w:p>
    <w:p w:rsidR="00C11C2D" w:rsidRPr="00377C13" w:rsidRDefault="00C11C2D" w:rsidP="00B47A0D">
      <w:pPr>
        <w:widowControl/>
        <w:numPr>
          <w:ilvl w:val="0"/>
          <w:numId w:val="5"/>
        </w:numPr>
        <w:spacing w:after="120"/>
      </w:pPr>
      <w:r w:rsidRPr="00377C13">
        <w:t>The absence of a comparator group means it is not possible to assess the comparative safety/efficacy outcomes for ivacaftor in this patient group.</w:t>
      </w:r>
    </w:p>
    <w:p w:rsidR="00A73045" w:rsidRPr="00377C13" w:rsidRDefault="00A73045" w:rsidP="00B47A0D">
      <w:pPr>
        <w:widowControl/>
        <w:numPr>
          <w:ilvl w:val="0"/>
          <w:numId w:val="5"/>
        </w:numPr>
        <w:spacing w:after="120"/>
      </w:pPr>
      <w:r w:rsidRPr="00377C13">
        <w:t xml:space="preserve">The </w:t>
      </w:r>
      <w:r w:rsidR="009C5FEB" w:rsidRPr="00377C13">
        <w:t>Pre-Sub-Committee Response (PSCR</w:t>
      </w:r>
      <w:r w:rsidRPr="00377C13">
        <w:t>) stated that due to the young age of the study population, the small number of available patients and withholding a known effective treatment in the study of young children, conducting a randomised controlled trial was deemed inappropriate. The ESC acknowledged the difficulties in obtaining randomised control</w:t>
      </w:r>
      <w:r w:rsidR="00F77E89" w:rsidRPr="00377C13">
        <w:t>led</w:t>
      </w:r>
      <w:r w:rsidRPr="00377C13">
        <w:t xml:space="preserve"> trial data for this patient population.</w:t>
      </w:r>
    </w:p>
    <w:p w:rsidR="000E1FBC" w:rsidRPr="00377C13" w:rsidRDefault="00C11C2D" w:rsidP="000A21D4">
      <w:pPr>
        <w:widowControl/>
        <w:spacing w:after="120"/>
        <w:outlineLvl w:val="1"/>
      </w:pPr>
      <w:bookmarkStart w:id="16" w:name="_Toc531888470"/>
      <w:r w:rsidRPr="00377C13">
        <w:rPr>
          <w:b/>
          <w:i/>
          <w:sz w:val="28"/>
        </w:rPr>
        <w:t>Comparative effectiveness</w:t>
      </w:r>
      <w:bookmarkEnd w:id="16"/>
    </w:p>
    <w:p w:rsidR="00C11C2D" w:rsidRPr="00377C13" w:rsidRDefault="00C11C2D" w:rsidP="00B47A0D">
      <w:pPr>
        <w:widowControl/>
        <w:numPr>
          <w:ilvl w:val="1"/>
          <w:numId w:val="1"/>
        </w:numPr>
        <w:spacing w:after="120"/>
        <w:rPr>
          <w:rFonts w:asciiTheme="minorHAnsi" w:hAnsiTheme="minorHAnsi" w:cstheme="minorHAnsi"/>
          <w:szCs w:val="24"/>
        </w:rPr>
      </w:pPr>
      <w:r w:rsidRPr="00377C13">
        <w:t>Study 124 did not include outcomes for ppFEV</w:t>
      </w:r>
      <w:r w:rsidRPr="00377C13">
        <w:rPr>
          <w:vertAlign w:val="subscript"/>
        </w:rPr>
        <w:t>1</w:t>
      </w:r>
      <w:r w:rsidR="00931DC7" w:rsidRPr="00377C13">
        <w:t xml:space="preserve"> (percent predicted forced expiratory volume in 1 second)</w:t>
      </w:r>
      <w:r w:rsidRPr="00377C13">
        <w:t>. The submission noted that this was due to the difficulty of assessing ppFEV</w:t>
      </w:r>
      <w:r w:rsidRPr="00377C13">
        <w:rPr>
          <w:vertAlign w:val="subscript"/>
        </w:rPr>
        <w:t>1</w:t>
      </w:r>
      <w:r w:rsidRPr="00377C13">
        <w:t xml:space="preserve"> in this young cohort. </w:t>
      </w:r>
      <w:r w:rsidR="00C62DBA" w:rsidRPr="00377C13">
        <w:t xml:space="preserve">The evaluation considered this </w:t>
      </w:r>
      <w:r w:rsidRPr="00377C13">
        <w:t xml:space="preserve">was reasonable. The use of the lung-clearance index (LCI) as a measure of the impact of treatment on lung function was proposed. </w:t>
      </w:r>
      <w:r w:rsidR="00931DC7" w:rsidRPr="00377C13">
        <w:t>However, r</w:t>
      </w:r>
      <w:r w:rsidRPr="00377C13">
        <w:t xml:space="preserve">esults for the change in LCI were available for one </w:t>
      </w:r>
      <w:r w:rsidR="00253862" w:rsidRPr="00377C13">
        <w:t>patient</w:t>
      </w:r>
      <w:r w:rsidRPr="00377C13">
        <w:t xml:space="preserve"> only in Study 124. The available</w:t>
      </w:r>
      <w:r w:rsidRPr="00377C13">
        <w:rPr>
          <w:i/>
        </w:rPr>
        <w:t xml:space="preserve"> </w:t>
      </w:r>
      <w:r w:rsidRPr="00377C13">
        <w:t xml:space="preserve">results from Study 124 showed treatment with ivacaftor resulted in an improvement from baseline in the following </w:t>
      </w:r>
      <w:r w:rsidRPr="00377C13">
        <w:rPr>
          <w:rFonts w:asciiTheme="minorHAnsi" w:hAnsiTheme="minorHAnsi" w:cstheme="minorHAnsi"/>
          <w:szCs w:val="24"/>
        </w:rPr>
        <w:t>outcomes</w:t>
      </w:r>
      <w:r w:rsidR="00343F5D" w:rsidRPr="00377C13">
        <w:rPr>
          <w:rFonts w:asciiTheme="minorHAnsi" w:hAnsiTheme="minorHAnsi" w:cstheme="minorHAnsi"/>
          <w:szCs w:val="24"/>
        </w:rPr>
        <w:t xml:space="preserve"> (see </w:t>
      </w:r>
      <w:r w:rsidR="001719FF" w:rsidRPr="00377C13">
        <w:rPr>
          <w:rFonts w:asciiTheme="minorHAnsi" w:hAnsiTheme="minorHAnsi" w:cstheme="minorHAnsi"/>
          <w:bCs/>
          <w:szCs w:val="24"/>
        </w:rPr>
        <w:t>Table 7</w:t>
      </w:r>
      <w:r w:rsidR="00343F5D" w:rsidRPr="00377C13">
        <w:rPr>
          <w:rFonts w:asciiTheme="minorHAnsi" w:hAnsiTheme="minorHAnsi" w:cstheme="minorHAnsi"/>
          <w:szCs w:val="24"/>
        </w:rPr>
        <w:t>)</w:t>
      </w:r>
      <w:r w:rsidRPr="00377C13">
        <w:rPr>
          <w:rFonts w:asciiTheme="minorHAnsi" w:hAnsiTheme="minorHAnsi" w:cstheme="minorHAnsi"/>
          <w:szCs w:val="24"/>
        </w:rPr>
        <w:t xml:space="preserve">: </w:t>
      </w:r>
    </w:p>
    <w:p w:rsidR="00C11C2D" w:rsidRPr="00377C13" w:rsidRDefault="00C11C2D" w:rsidP="00B47A0D">
      <w:pPr>
        <w:widowControl/>
        <w:numPr>
          <w:ilvl w:val="0"/>
          <w:numId w:val="6"/>
        </w:numPr>
        <w:spacing w:after="120"/>
      </w:pPr>
      <w:r w:rsidRPr="00377C13">
        <w:t xml:space="preserve">Mean absolute improvement in sweat chloride of -73.5 (SD=17.5, p=NR) </w:t>
      </w:r>
      <w:proofErr w:type="spellStart"/>
      <w:r w:rsidRPr="00377C13">
        <w:t>mmol</w:t>
      </w:r>
      <w:proofErr w:type="spellEnd"/>
      <w:r w:rsidRPr="00377C13">
        <w:t>/L at 24 weeks.</w:t>
      </w:r>
      <w:r w:rsidR="00F24951" w:rsidRPr="00377C13">
        <w:t xml:space="preserve"> The ESC noted that the mean improvement in sweat chloride </w:t>
      </w:r>
      <w:r w:rsidR="008A65A5" w:rsidRPr="00377C13">
        <w:t>exceeded the improvement in sweat chloride</w:t>
      </w:r>
      <w:r w:rsidR="00F24951" w:rsidRPr="00377C13">
        <w:t xml:space="preserve"> </w:t>
      </w:r>
      <w:r w:rsidR="009E28E2" w:rsidRPr="00377C13">
        <w:t>demonstrated</w:t>
      </w:r>
      <w:r w:rsidR="00F24951" w:rsidRPr="00377C13">
        <w:t xml:space="preserve"> in</w:t>
      </w:r>
      <w:r w:rsidR="00023F5D" w:rsidRPr="00377C13">
        <w:t xml:space="preserve"> older patients treated with ivacaftor</w:t>
      </w:r>
      <w:r w:rsidR="00296B32" w:rsidRPr="00377C13">
        <w:t xml:space="preserve"> in</w:t>
      </w:r>
      <w:r w:rsidR="009E28E2" w:rsidRPr="00377C13">
        <w:t xml:space="preserve"> the</w:t>
      </w:r>
      <w:r w:rsidR="00F24951" w:rsidRPr="00377C13">
        <w:t xml:space="preserve"> KIWI (2-5 years), ENVISION (≥6 years) and STRIVE (≥6 years)</w:t>
      </w:r>
      <w:r w:rsidR="009E28E2" w:rsidRPr="00377C13">
        <w:t xml:space="preserve"> </w:t>
      </w:r>
      <w:r w:rsidR="00B3799C" w:rsidRPr="00377C13">
        <w:t>trials</w:t>
      </w:r>
      <w:r w:rsidR="00B1186F" w:rsidRPr="00377C13">
        <w:t xml:space="preserve">. Further, the ESC noted that the mean sweat chloride at </w:t>
      </w:r>
      <w:r w:rsidR="00D307C9" w:rsidRPr="00377C13">
        <w:t xml:space="preserve">Week </w:t>
      </w:r>
      <w:r w:rsidR="00B1186F" w:rsidRPr="00377C13">
        <w:t xml:space="preserve">24 (33.8 </w:t>
      </w:r>
      <w:proofErr w:type="spellStart"/>
      <w:r w:rsidR="00B1186F" w:rsidRPr="00377C13">
        <w:t>mmol</w:t>
      </w:r>
      <w:proofErr w:type="spellEnd"/>
      <w:r w:rsidR="00B1186F" w:rsidRPr="00377C13">
        <w:t xml:space="preserve">/L) </w:t>
      </w:r>
      <w:r w:rsidR="00CC3DC4" w:rsidRPr="00377C13">
        <w:t>approaches</w:t>
      </w:r>
      <w:r w:rsidR="00B1186F" w:rsidRPr="00377C13">
        <w:t xml:space="preserve"> the threshold of ≤30 </w:t>
      </w:r>
      <w:proofErr w:type="spellStart"/>
      <w:r w:rsidR="00B1186F" w:rsidRPr="00377C13">
        <w:t>mmol</w:t>
      </w:r>
      <w:proofErr w:type="spellEnd"/>
      <w:r w:rsidR="00B1186F" w:rsidRPr="00377C13">
        <w:t xml:space="preserve">/L </w:t>
      </w:r>
      <w:r w:rsidR="00CC3DC4" w:rsidRPr="00377C13">
        <w:t>which is the diagnostic cut-off for normal sweat chloride in this patient population</w:t>
      </w:r>
      <w:r w:rsidR="00C07102" w:rsidRPr="00377C13">
        <w:t xml:space="preserve"> (Study 124 Clinical Study Report, p8)</w:t>
      </w:r>
      <w:r w:rsidR="00377C13">
        <w:t xml:space="preserve">. </w:t>
      </w:r>
    </w:p>
    <w:p w:rsidR="00C11C2D" w:rsidRPr="00377C13" w:rsidRDefault="00C11C2D" w:rsidP="00B47A0D">
      <w:pPr>
        <w:widowControl/>
        <w:numPr>
          <w:ilvl w:val="0"/>
          <w:numId w:val="6"/>
        </w:numPr>
        <w:spacing w:after="120"/>
      </w:pPr>
      <w:r w:rsidRPr="00377C13">
        <w:t xml:space="preserve">The mean absolute improvement from baseline to </w:t>
      </w:r>
      <w:r w:rsidR="00D307C9" w:rsidRPr="00377C13">
        <w:t>W</w:t>
      </w:r>
      <w:r w:rsidRPr="00377C13">
        <w:t xml:space="preserve">eek 24 in FE-1 concentration of 164.7 </w:t>
      </w:r>
      <w:r w:rsidR="00DF18CE" w:rsidRPr="00377C13">
        <w:t xml:space="preserve">µg/g </w:t>
      </w:r>
      <w:r w:rsidRPr="00377C13">
        <w:t>(SD=151.9, p=NR).</w:t>
      </w:r>
    </w:p>
    <w:p w:rsidR="00C11C2D" w:rsidRPr="00377C13" w:rsidRDefault="00C11C2D" w:rsidP="00B47A0D">
      <w:pPr>
        <w:widowControl/>
        <w:numPr>
          <w:ilvl w:val="0"/>
          <w:numId w:val="6"/>
        </w:numPr>
        <w:spacing w:after="120"/>
      </w:pPr>
      <w:r w:rsidRPr="00377C13">
        <w:lastRenderedPageBreak/>
        <w:t xml:space="preserve">Reductions in IRT concentration were seen by Week 2 and sustained to Week 24; a 56% mean improvement from baseline to Week 24 of -647.1 </w:t>
      </w:r>
      <w:r w:rsidR="00DF18CE" w:rsidRPr="00377C13">
        <w:t xml:space="preserve">ng/mL </w:t>
      </w:r>
      <w:r w:rsidRPr="00377C13">
        <w:t xml:space="preserve">(SD=339.3, p=NR). </w:t>
      </w:r>
    </w:p>
    <w:p w:rsidR="00C11C2D" w:rsidRPr="00377C13" w:rsidRDefault="00C11C2D" w:rsidP="00B47A0D">
      <w:pPr>
        <w:widowControl/>
        <w:numPr>
          <w:ilvl w:val="0"/>
          <w:numId w:val="6"/>
        </w:numPr>
        <w:spacing w:after="120"/>
      </w:pPr>
      <w:r w:rsidRPr="00377C13">
        <w:t xml:space="preserve">Mean weight was increased at each time point to Week 24 from 10.5 kg (SD=1.3) at baseline to 12.0 kg (SD=1.4). The mean absolute change in weight from baseline at Week 24 was 1.4 kg (SD=0.6). Mean weight-for-age z-score was generally sustained or increased at each time point to Week 24 from 0.31 (SD=0.74, p=NR) at baseline to 0.48 (SD=0.83). </w:t>
      </w:r>
    </w:p>
    <w:p w:rsidR="00C11C2D" w:rsidRPr="00377C13" w:rsidRDefault="00C11C2D" w:rsidP="00B47A0D">
      <w:pPr>
        <w:widowControl/>
        <w:numPr>
          <w:ilvl w:val="0"/>
          <w:numId w:val="6"/>
        </w:numPr>
        <w:spacing w:after="120"/>
      </w:pPr>
      <w:r w:rsidRPr="00377C13">
        <w:t>Mean length was increased at each time point to Week 24 from 78.0 cm (SD=3.7) at baseline to 84.3 cm (SD=4.0). Mean length-for-age z-score was generally sustained at each time point to Week 24 from -0.30 (SD 0.82, p=NR) at baseline to 0.03 (SD 0.91).</w:t>
      </w:r>
    </w:p>
    <w:p w:rsidR="00C11C2D" w:rsidRPr="00377C13" w:rsidRDefault="00C11C2D" w:rsidP="00B47A0D">
      <w:pPr>
        <w:widowControl/>
        <w:numPr>
          <w:ilvl w:val="0"/>
          <w:numId w:val="6"/>
        </w:numPr>
        <w:spacing w:after="120"/>
      </w:pPr>
      <w:r w:rsidRPr="00377C13">
        <w:t>Mean weight-for-length percentile was increased or sustained at each time point to Week 24 from 68.2% (SD=6.0) at baseline to 69.9% (SD=17.1). Mean weight-for-length-for-age z-score at baseline (0.61%, SD=0.90) was generally sustained at Week 24 (0.69%, SD=0.98, p=NR).</w:t>
      </w:r>
    </w:p>
    <w:p w:rsidR="00C11C2D" w:rsidRPr="00377C13" w:rsidRDefault="00220796" w:rsidP="00B47A0D">
      <w:pPr>
        <w:widowControl/>
        <w:numPr>
          <w:ilvl w:val="0"/>
          <w:numId w:val="6"/>
        </w:numPr>
        <w:spacing w:after="120"/>
      </w:pPr>
      <w:r w:rsidRPr="00377C13">
        <w:t xml:space="preserve">The submission used two definitions for analysis of </w:t>
      </w:r>
      <w:proofErr w:type="spellStart"/>
      <w:r w:rsidRPr="00377C13">
        <w:t>PEx</w:t>
      </w:r>
      <w:proofErr w:type="spellEnd"/>
      <w:r w:rsidRPr="00377C13">
        <w:t xml:space="preserve"> due to the absence of a consensus definition for this patient group. </w:t>
      </w:r>
      <w:r w:rsidR="00C11C2D" w:rsidRPr="00377C13">
        <w:t xml:space="preserve">Eight </w:t>
      </w:r>
      <w:r w:rsidR="00253862" w:rsidRPr="00377C13">
        <w:t>patient</w:t>
      </w:r>
      <w:r w:rsidR="00C11C2D" w:rsidRPr="00377C13">
        <w:t xml:space="preserve">s (42.1%) had a total of 13 </w:t>
      </w:r>
      <w:proofErr w:type="spellStart"/>
      <w:r w:rsidR="00C11C2D" w:rsidRPr="00377C13">
        <w:t>PEx</w:t>
      </w:r>
      <w:proofErr w:type="spellEnd"/>
      <w:r w:rsidR="00C11C2D" w:rsidRPr="00377C13">
        <w:t xml:space="preserve"> as defined by Definition 1 (event rate/year = 1.55), or five subjects (26.3) had a total of eight </w:t>
      </w:r>
      <w:proofErr w:type="spellStart"/>
      <w:r w:rsidR="00C11C2D" w:rsidRPr="00377C13">
        <w:t>PEx</w:t>
      </w:r>
      <w:proofErr w:type="spellEnd"/>
      <w:r w:rsidR="00C11C2D" w:rsidRPr="00377C13">
        <w:t xml:space="preserve"> according to Definition 2 (event rate/year = 0.95).</w:t>
      </w:r>
    </w:p>
    <w:p w:rsidR="008A65A5" w:rsidRPr="00377C13" w:rsidRDefault="0036346D" w:rsidP="00B47A0D">
      <w:pPr>
        <w:widowControl/>
        <w:numPr>
          <w:ilvl w:val="1"/>
          <w:numId w:val="1"/>
        </w:numPr>
        <w:spacing w:after="120"/>
      </w:pPr>
      <w:r w:rsidRPr="00377C13">
        <w:t>The ESC considered that intermediate outcomes from Study 124 which demonstrated an increase in patient weight</w:t>
      </w:r>
      <w:r w:rsidR="00462651" w:rsidRPr="00377C13">
        <w:t xml:space="preserve"> could indicate</w:t>
      </w:r>
      <w:r w:rsidRPr="00377C13">
        <w:t xml:space="preserve"> benefit in early treatment as patients in this age group often have difficulty with weight gain. </w:t>
      </w:r>
      <w:r w:rsidR="00462651" w:rsidRPr="00377C13">
        <w:t xml:space="preserve">However, the ESC considered there was uncertainty in interpreting these results given open label design, short duration and small sample size of Study 124. </w:t>
      </w:r>
      <w:r w:rsidR="00912DAF" w:rsidRPr="00377C13">
        <w:t>The ESC noted the magnitude of</w:t>
      </w:r>
      <w:r w:rsidR="00F667D5" w:rsidRPr="00377C13">
        <w:t xml:space="preserve"> </w:t>
      </w:r>
      <w:r w:rsidR="00EE4F8B" w:rsidRPr="00377C13">
        <w:t>the increase from baseline of weight-for-age z-score and stature-for-age z-score</w:t>
      </w:r>
      <w:r w:rsidR="00912DAF" w:rsidRPr="00377C13">
        <w:t xml:space="preserve"> </w:t>
      </w:r>
      <w:r w:rsidR="007C0A2A" w:rsidRPr="00377C13">
        <w:t xml:space="preserve">were generally comparable across Study 124 and KIWI/KLIMB </w:t>
      </w:r>
      <w:r w:rsidR="00B3799C" w:rsidRPr="00377C13">
        <w:t>trials</w:t>
      </w:r>
      <w:r w:rsidR="007C0A2A" w:rsidRPr="00377C13">
        <w:t xml:space="preserve">. </w:t>
      </w:r>
    </w:p>
    <w:p w:rsidR="00C11C2D" w:rsidRPr="00377C13" w:rsidRDefault="00C11C2D" w:rsidP="000A21D4">
      <w:pPr>
        <w:keepNext/>
        <w:widowControl/>
        <w:spacing w:after="120"/>
        <w:outlineLvl w:val="1"/>
        <w:rPr>
          <w:b/>
          <w:i/>
          <w:sz w:val="28"/>
        </w:rPr>
      </w:pPr>
      <w:bookmarkStart w:id="17" w:name="_Toc531888471"/>
      <w:r w:rsidRPr="00377C13">
        <w:rPr>
          <w:b/>
          <w:i/>
          <w:sz w:val="28"/>
        </w:rPr>
        <w:t>Comparative harms</w:t>
      </w:r>
      <w:bookmarkEnd w:id="17"/>
    </w:p>
    <w:p w:rsidR="00C11C2D" w:rsidRPr="00377C13" w:rsidRDefault="00C11C2D" w:rsidP="00B47A0D">
      <w:pPr>
        <w:widowControl/>
        <w:numPr>
          <w:ilvl w:val="1"/>
          <w:numId w:val="1"/>
        </w:numPr>
        <w:spacing w:after="120"/>
      </w:pPr>
      <w:r w:rsidRPr="00377C13">
        <w:t xml:space="preserve">The submission reported no deaths, no serious adverse events (SAEs), no AEs that led to permanent treatment discontinuation, and no AEs that led to treatment interruption </w:t>
      </w:r>
      <w:r w:rsidR="001645D9" w:rsidRPr="00377C13">
        <w:t xml:space="preserve">in participants aged 12 to &lt;24 months in </w:t>
      </w:r>
      <w:r w:rsidRPr="00377C13">
        <w:t xml:space="preserve">in Part A. The submission reported no deaths in </w:t>
      </w:r>
      <w:r w:rsidR="001645D9" w:rsidRPr="00377C13">
        <w:t xml:space="preserve">participants aged 12 to &lt;24 months in </w:t>
      </w:r>
      <w:r w:rsidRPr="00377C13">
        <w:t>Part B</w:t>
      </w:r>
      <w:r w:rsidR="001645D9" w:rsidRPr="00377C13">
        <w:t xml:space="preserve"> of the study</w:t>
      </w:r>
      <w:r w:rsidRPr="00377C13">
        <w:t xml:space="preserve">. The submission reported 18 of the 19 </w:t>
      </w:r>
      <w:r w:rsidR="00253862" w:rsidRPr="00377C13">
        <w:t>patient</w:t>
      </w:r>
      <w:r w:rsidRPr="00377C13">
        <w:t>s</w:t>
      </w:r>
      <w:r w:rsidR="001645D9" w:rsidRPr="00377C13">
        <w:t xml:space="preserve"> in Part B </w:t>
      </w:r>
      <w:r w:rsidRPr="00377C13">
        <w:t>experienced AEs. A summary of the key adverse events for ivacaftor</w:t>
      </w:r>
      <w:r w:rsidR="001645D9" w:rsidRPr="00377C13">
        <w:t xml:space="preserve"> from Part B of Study 124</w:t>
      </w:r>
      <w:r w:rsidRPr="00377C13">
        <w:t xml:space="preserve"> is presented in </w:t>
      </w:r>
      <w:r w:rsidR="006832BC">
        <w:rPr>
          <w:rFonts w:asciiTheme="minorHAnsi" w:hAnsiTheme="minorHAnsi" w:cstheme="minorHAnsi"/>
          <w:szCs w:val="24"/>
        </w:rPr>
        <w:t>Table 5</w:t>
      </w:r>
      <w:r w:rsidRPr="00377C13">
        <w:rPr>
          <w:rFonts w:asciiTheme="minorHAnsi" w:hAnsiTheme="minorHAnsi" w:cstheme="minorHAnsi"/>
          <w:szCs w:val="24"/>
        </w:rPr>
        <w:t>.</w:t>
      </w:r>
      <w:r w:rsidRPr="00377C13">
        <w:t xml:space="preserve"> </w:t>
      </w:r>
    </w:p>
    <w:p w:rsidR="00C11C2D" w:rsidRPr="00377C13" w:rsidRDefault="00C11C2D" w:rsidP="007D3143">
      <w:pPr>
        <w:keepNext/>
        <w:keepLines/>
        <w:widowControl/>
        <w:jc w:val="left"/>
        <w:rPr>
          <w:rFonts w:ascii="Arial Narrow" w:hAnsi="Arial Narrow"/>
          <w:b/>
          <w:bCs/>
          <w:sz w:val="20"/>
          <w:szCs w:val="20"/>
        </w:rPr>
      </w:pPr>
      <w:bookmarkStart w:id="18" w:name="_Ref531854227"/>
      <w:r w:rsidRPr="00377C13">
        <w:rPr>
          <w:rFonts w:ascii="Arial Narrow" w:hAnsi="Arial Narrow"/>
          <w:b/>
          <w:bCs/>
          <w:sz w:val="20"/>
          <w:szCs w:val="20"/>
        </w:rPr>
        <w:lastRenderedPageBreak/>
        <w:t xml:space="preserve">Table </w:t>
      </w:r>
      <w:bookmarkEnd w:id="18"/>
      <w:r w:rsidR="006832BC">
        <w:rPr>
          <w:rFonts w:ascii="Arial Narrow" w:hAnsi="Arial Narrow"/>
          <w:b/>
          <w:bCs/>
          <w:sz w:val="20"/>
          <w:szCs w:val="20"/>
        </w:rPr>
        <w:t>5</w:t>
      </w:r>
      <w:r w:rsidRPr="00377C13">
        <w:rPr>
          <w:rFonts w:ascii="Arial Narrow" w:hAnsi="Arial Narrow"/>
          <w:b/>
          <w:bCs/>
          <w:sz w:val="20"/>
          <w:szCs w:val="20"/>
        </w:rPr>
        <w:t xml:space="preserve">: Summary of key adverse events in Study 124 occurring in at least two subjects by system organ class and preferred term, Safety set, Part B </w:t>
      </w:r>
      <w:r w:rsidR="001645D9" w:rsidRPr="00377C13">
        <w:rPr>
          <w:rFonts w:ascii="Arial Narrow" w:hAnsi="Arial Narrow"/>
          <w:b/>
          <w:bCs/>
          <w:sz w:val="20"/>
          <w:szCs w:val="20"/>
        </w:rPr>
        <w:t>(participants aged 12 to &lt;24 months)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Table 5: Summary of key adverse events in Study 124 occurring in at least two subjects by system organ class and preferred term, Safety set, Part B (participants aged 12 to &lt;24 months)"/>
      </w:tblPr>
      <w:tblGrid>
        <w:gridCol w:w="5098"/>
        <w:gridCol w:w="3828"/>
      </w:tblGrid>
      <w:tr w:rsidR="00C11C2D" w:rsidRPr="00377C13" w:rsidTr="003601A8">
        <w:trPr>
          <w:tblHeader/>
        </w:trPr>
        <w:tc>
          <w:tcPr>
            <w:tcW w:w="5098" w:type="dxa"/>
            <w:vAlign w:val="center"/>
          </w:tcPr>
          <w:p w:rsidR="00C11C2D" w:rsidRPr="00377C13" w:rsidRDefault="00C11C2D" w:rsidP="007D3143">
            <w:pPr>
              <w:keepNext/>
              <w:keepLines/>
              <w:widowControl/>
              <w:jc w:val="left"/>
              <w:rPr>
                <w:rFonts w:ascii="Arial Narrow" w:hAnsi="Arial Narrow" w:cs="Times New Roman"/>
                <w:b/>
                <w:snapToGrid/>
                <w:sz w:val="20"/>
              </w:rPr>
            </w:pPr>
            <w:r w:rsidRPr="00377C13">
              <w:rPr>
                <w:rFonts w:ascii="Arial Narrow" w:hAnsi="Arial Narrow" w:cs="Times New Roman"/>
                <w:b/>
                <w:snapToGrid/>
                <w:sz w:val="20"/>
              </w:rPr>
              <w:t xml:space="preserve">System Organ </w:t>
            </w:r>
            <w:proofErr w:type="spellStart"/>
            <w:r w:rsidRPr="00377C13">
              <w:rPr>
                <w:rFonts w:ascii="Arial Narrow" w:hAnsi="Arial Narrow" w:cs="Times New Roman"/>
                <w:b/>
                <w:snapToGrid/>
                <w:sz w:val="20"/>
              </w:rPr>
              <w:t>Class</w:t>
            </w:r>
            <w:r w:rsidRPr="00377C13">
              <w:rPr>
                <w:rFonts w:ascii="Arial Narrow" w:hAnsi="Arial Narrow" w:cs="Times New Roman"/>
                <w:b/>
                <w:snapToGrid/>
                <w:sz w:val="20"/>
                <w:vertAlign w:val="superscript"/>
              </w:rPr>
              <w:t>a</w:t>
            </w:r>
            <w:proofErr w:type="spellEnd"/>
          </w:p>
          <w:p w:rsidR="00C11C2D" w:rsidRPr="00377C13" w:rsidRDefault="00C11C2D" w:rsidP="007D3143">
            <w:pPr>
              <w:keepNext/>
              <w:keepLines/>
              <w:widowControl/>
              <w:jc w:val="left"/>
              <w:rPr>
                <w:rFonts w:ascii="Arial Narrow" w:hAnsi="Arial Narrow" w:cs="Times New Roman"/>
                <w:snapToGrid/>
                <w:sz w:val="20"/>
              </w:rPr>
            </w:pPr>
            <w:r w:rsidRPr="00377C13">
              <w:rPr>
                <w:rFonts w:ascii="Arial Narrow" w:hAnsi="Arial Narrow" w:cs="Times New Roman"/>
                <w:snapToGrid/>
                <w:sz w:val="20"/>
              </w:rPr>
              <w:t>Preferred Term</w:t>
            </w:r>
          </w:p>
        </w:tc>
        <w:tc>
          <w:tcPr>
            <w:tcW w:w="3828" w:type="dxa"/>
            <w:vAlign w:val="center"/>
          </w:tcPr>
          <w:p w:rsidR="00C11C2D" w:rsidRPr="00377C13" w:rsidRDefault="00C11C2D" w:rsidP="007D3143">
            <w:pPr>
              <w:keepNext/>
              <w:keepLines/>
              <w:widowControl/>
              <w:jc w:val="center"/>
              <w:rPr>
                <w:rFonts w:ascii="Arial Narrow" w:hAnsi="Arial Narrow" w:cs="Times New Roman"/>
                <w:b/>
                <w:snapToGrid/>
                <w:sz w:val="20"/>
              </w:rPr>
            </w:pPr>
            <w:r w:rsidRPr="00377C13">
              <w:rPr>
                <w:rFonts w:ascii="Arial Narrow" w:hAnsi="Arial Narrow" w:cs="Times New Roman"/>
                <w:b/>
                <w:snapToGrid/>
                <w:sz w:val="20"/>
              </w:rPr>
              <w:t>Ivacaftor 50 mg</w:t>
            </w:r>
          </w:p>
          <w:p w:rsidR="00C11C2D" w:rsidRPr="00377C13" w:rsidRDefault="00C11C2D" w:rsidP="007D3143">
            <w:pPr>
              <w:keepNext/>
              <w:keepLines/>
              <w:widowControl/>
              <w:jc w:val="center"/>
              <w:rPr>
                <w:rFonts w:ascii="Arial Narrow" w:hAnsi="Arial Narrow" w:cs="Times New Roman"/>
                <w:b/>
                <w:snapToGrid/>
                <w:sz w:val="20"/>
              </w:rPr>
            </w:pPr>
            <w:r w:rsidRPr="00377C13">
              <w:rPr>
                <w:rFonts w:ascii="Arial Narrow" w:hAnsi="Arial Narrow" w:cs="Times New Roman"/>
                <w:b/>
                <w:snapToGrid/>
                <w:sz w:val="20"/>
              </w:rPr>
              <w:t>N=19 n (%)</w:t>
            </w:r>
          </w:p>
        </w:tc>
      </w:tr>
      <w:tr w:rsidR="00C11C2D" w:rsidRPr="00377C13" w:rsidTr="003601A8">
        <w:tc>
          <w:tcPr>
            <w:tcW w:w="5098" w:type="dxa"/>
          </w:tcPr>
          <w:p w:rsidR="00C11C2D" w:rsidRPr="00377C13" w:rsidRDefault="00253862" w:rsidP="007D3143">
            <w:pPr>
              <w:keepNext/>
              <w:keepLines/>
              <w:widowControl/>
              <w:jc w:val="left"/>
              <w:rPr>
                <w:rFonts w:ascii="Arial Narrow" w:hAnsi="Arial Narrow" w:cs="Times New Roman"/>
                <w:b/>
                <w:snapToGrid/>
                <w:sz w:val="20"/>
              </w:rPr>
            </w:pPr>
            <w:r w:rsidRPr="00377C13">
              <w:rPr>
                <w:rFonts w:ascii="Arial Narrow" w:hAnsi="Arial Narrow" w:cs="Times New Roman"/>
                <w:b/>
                <w:snapToGrid/>
                <w:sz w:val="20"/>
              </w:rPr>
              <w:t>Patient</w:t>
            </w:r>
            <w:r w:rsidR="00C11C2D" w:rsidRPr="00377C13">
              <w:rPr>
                <w:rFonts w:ascii="Arial Narrow" w:hAnsi="Arial Narrow" w:cs="Times New Roman"/>
                <w:b/>
                <w:snapToGrid/>
                <w:sz w:val="20"/>
              </w:rPr>
              <w:t>s with</w:t>
            </w:r>
            <w:r w:rsidR="00C11C2D" w:rsidRPr="00377C13">
              <w:rPr>
                <w:rFonts w:ascii="Arial Narrow" w:hAnsi="Arial Narrow" w:cs="Times New Roman"/>
                <w:b/>
                <w:snapToGrid/>
                <w:spacing w:val="-5"/>
                <w:sz w:val="20"/>
              </w:rPr>
              <w:t xml:space="preserve"> </w:t>
            </w:r>
            <w:r w:rsidR="00C11C2D" w:rsidRPr="00377C13">
              <w:rPr>
                <w:rFonts w:ascii="Arial Narrow" w:hAnsi="Arial Narrow" w:cs="Times New Roman"/>
                <w:b/>
                <w:snapToGrid/>
                <w:sz w:val="20"/>
              </w:rPr>
              <w:t>any</w:t>
            </w:r>
            <w:r w:rsidR="00C11C2D" w:rsidRPr="00377C13">
              <w:rPr>
                <w:rFonts w:ascii="Arial Narrow" w:hAnsi="Arial Narrow" w:cs="Times New Roman"/>
                <w:b/>
                <w:snapToGrid/>
                <w:spacing w:val="-1"/>
                <w:sz w:val="20"/>
              </w:rPr>
              <w:t xml:space="preserve"> </w:t>
            </w:r>
            <w:r w:rsidR="00C11C2D" w:rsidRPr="00377C13">
              <w:rPr>
                <w:rFonts w:ascii="Arial Narrow" w:hAnsi="Arial Narrow" w:cs="Times New Roman"/>
                <w:b/>
                <w:snapToGrid/>
                <w:sz w:val="20"/>
              </w:rPr>
              <w:t>AEs</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18 (94.7)</w:t>
            </w:r>
          </w:p>
        </w:tc>
      </w:tr>
      <w:tr w:rsidR="00C11C2D" w:rsidRPr="00377C13" w:rsidTr="003601A8">
        <w:tc>
          <w:tcPr>
            <w:tcW w:w="5098" w:type="dxa"/>
          </w:tcPr>
          <w:p w:rsidR="00C11C2D" w:rsidRPr="00377C13" w:rsidRDefault="00C11C2D" w:rsidP="007D3143">
            <w:pPr>
              <w:keepNext/>
              <w:keepLines/>
              <w:widowControl/>
              <w:jc w:val="left"/>
              <w:rPr>
                <w:rFonts w:ascii="Arial Narrow" w:hAnsi="Arial Narrow" w:cs="Times New Roman"/>
                <w:b/>
                <w:snapToGrid/>
                <w:sz w:val="20"/>
              </w:rPr>
            </w:pPr>
            <w:r w:rsidRPr="00377C13">
              <w:rPr>
                <w:rFonts w:ascii="Arial Narrow" w:hAnsi="Arial Narrow" w:cs="Times New Roman"/>
                <w:b/>
                <w:snapToGrid/>
                <w:sz w:val="20"/>
              </w:rPr>
              <w:t>Respiratory, thoracic, and</w:t>
            </w:r>
            <w:r w:rsidRPr="00377C13">
              <w:rPr>
                <w:rFonts w:ascii="Arial Narrow" w:hAnsi="Arial Narrow" w:cs="Times New Roman"/>
                <w:b/>
                <w:snapToGrid/>
                <w:spacing w:val="-13"/>
                <w:sz w:val="20"/>
              </w:rPr>
              <w:t xml:space="preserve"> </w:t>
            </w:r>
            <w:r w:rsidRPr="00377C13">
              <w:rPr>
                <w:rFonts w:ascii="Arial Narrow" w:hAnsi="Arial Narrow" w:cs="Times New Roman"/>
                <w:b/>
                <w:snapToGrid/>
                <w:sz w:val="20"/>
              </w:rPr>
              <w:t>mediastinal</w:t>
            </w:r>
            <w:r w:rsidRPr="00377C13">
              <w:rPr>
                <w:rFonts w:ascii="Arial Narrow" w:hAnsi="Arial Narrow" w:cs="Times New Roman"/>
                <w:b/>
                <w:snapToGrid/>
                <w:spacing w:val="-4"/>
                <w:sz w:val="20"/>
              </w:rPr>
              <w:t xml:space="preserve"> </w:t>
            </w:r>
            <w:r w:rsidRPr="00377C13">
              <w:rPr>
                <w:rFonts w:ascii="Arial Narrow" w:hAnsi="Arial Narrow" w:cs="Times New Roman"/>
                <w:b/>
                <w:snapToGrid/>
                <w:sz w:val="20"/>
              </w:rPr>
              <w:t>disorders</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16 (84.2)</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Cough</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14 (73.7)</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Rhinorrhoea</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6 (31.6)</w:t>
            </w:r>
          </w:p>
        </w:tc>
      </w:tr>
      <w:tr w:rsidR="00C11C2D" w:rsidRPr="00377C13" w:rsidTr="003601A8">
        <w:tc>
          <w:tcPr>
            <w:tcW w:w="5098" w:type="dxa"/>
          </w:tcPr>
          <w:p w:rsidR="00C11C2D" w:rsidRPr="00377C13" w:rsidRDefault="00C11C2D" w:rsidP="007D3143">
            <w:pPr>
              <w:keepNext/>
              <w:keepLines/>
              <w:widowControl/>
              <w:jc w:val="left"/>
              <w:rPr>
                <w:rFonts w:ascii="Arial Narrow" w:hAnsi="Arial Narrow" w:cs="Times New Roman"/>
                <w:b/>
                <w:snapToGrid/>
                <w:sz w:val="20"/>
              </w:rPr>
            </w:pPr>
            <w:r w:rsidRPr="00377C13">
              <w:rPr>
                <w:rFonts w:ascii="Arial Narrow" w:hAnsi="Arial Narrow" w:cs="Times New Roman"/>
                <w:b/>
                <w:snapToGrid/>
                <w:sz w:val="20"/>
              </w:rPr>
              <w:t>Infections</w:t>
            </w:r>
            <w:r w:rsidRPr="00377C13">
              <w:rPr>
                <w:rFonts w:ascii="Arial Narrow" w:hAnsi="Arial Narrow" w:cs="Times New Roman"/>
                <w:b/>
                <w:snapToGrid/>
                <w:spacing w:val="-4"/>
                <w:sz w:val="20"/>
              </w:rPr>
              <w:t xml:space="preserve"> </w:t>
            </w:r>
            <w:r w:rsidRPr="00377C13">
              <w:rPr>
                <w:rFonts w:ascii="Arial Narrow" w:hAnsi="Arial Narrow" w:cs="Times New Roman"/>
                <w:b/>
                <w:snapToGrid/>
                <w:sz w:val="20"/>
              </w:rPr>
              <w:t>and</w:t>
            </w:r>
            <w:r w:rsidRPr="00377C13">
              <w:rPr>
                <w:rFonts w:ascii="Arial Narrow" w:hAnsi="Arial Narrow" w:cs="Times New Roman"/>
                <w:b/>
                <w:snapToGrid/>
                <w:spacing w:val="-4"/>
                <w:sz w:val="20"/>
              </w:rPr>
              <w:t xml:space="preserve"> </w:t>
            </w:r>
            <w:r w:rsidRPr="00377C13">
              <w:rPr>
                <w:rFonts w:ascii="Arial Narrow" w:hAnsi="Arial Narrow" w:cs="Times New Roman"/>
                <w:b/>
                <w:snapToGrid/>
                <w:sz w:val="20"/>
              </w:rPr>
              <w:t>infestations</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10 (52.6)</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Otitis</w:t>
            </w:r>
            <w:r w:rsidRPr="00377C13">
              <w:rPr>
                <w:rFonts w:ascii="Arial Narrow" w:hAnsi="Arial Narrow" w:cs="Times New Roman"/>
                <w:snapToGrid/>
                <w:spacing w:val="-2"/>
                <w:sz w:val="20"/>
              </w:rPr>
              <w:t xml:space="preserve"> </w:t>
            </w:r>
            <w:r w:rsidRPr="00377C13">
              <w:rPr>
                <w:rFonts w:ascii="Arial Narrow" w:hAnsi="Arial Narrow" w:cs="Times New Roman"/>
                <w:snapToGrid/>
                <w:sz w:val="20"/>
              </w:rPr>
              <w:t>media</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4</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(21.1)</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Upper respiratory</w:t>
            </w:r>
            <w:r w:rsidRPr="00377C13">
              <w:rPr>
                <w:rFonts w:ascii="Arial Narrow" w:hAnsi="Arial Narrow" w:cs="Times New Roman"/>
                <w:snapToGrid/>
                <w:spacing w:val="-7"/>
                <w:sz w:val="20"/>
              </w:rPr>
              <w:t xml:space="preserve"> </w:t>
            </w:r>
            <w:r w:rsidRPr="00377C13">
              <w:rPr>
                <w:rFonts w:ascii="Arial Narrow" w:hAnsi="Arial Narrow" w:cs="Times New Roman"/>
                <w:snapToGrid/>
                <w:sz w:val="20"/>
              </w:rPr>
              <w:t>tract</w:t>
            </w:r>
            <w:r w:rsidRPr="00377C13">
              <w:rPr>
                <w:rFonts w:ascii="Arial Narrow" w:hAnsi="Arial Narrow" w:cs="Times New Roman"/>
                <w:snapToGrid/>
                <w:spacing w:val="-3"/>
                <w:sz w:val="20"/>
              </w:rPr>
              <w:t xml:space="preserve"> </w:t>
            </w:r>
            <w:r w:rsidRPr="00377C13">
              <w:rPr>
                <w:rFonts w:ascii="Arial Narrow" w:hAnsi="Arial Narrow" w:cs="Times New Roman"/>
                <w:snapToGrid/>
                <w:sz w:val="20"/>
              </w:rPr>
              <w:t>infection</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4</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(21.1)</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Conjunctivitis</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2</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(10.5)</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Rhinitis</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2</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(10.5)</w:t>
            </w:r>
          </w:p>
        </w:tc>
      </w:tr>
      <w:tr w:rsidR="00C11C2D" w:rsidRPr="00377C13" w:rsidTr="003601A8">
        <w:tc>
          <w:tcPr>
            <w:tcW w:w="5098" w:type="dxa"/>
          </w:tcPr>
          <w:p w:rsidR="00C11C2D" w:rsidRPr="00377C13" w:rsidRDefault="00C11C2D" w:rsidP="007D3143">
            <w:pPr>
              <w:keepNext/>
              <w:keepLines/>
              <w:widowControl/>
              <w:jc w:val="left"/>
              <w:rPr>
                <w:rFonts w:ascii="Arial Narrow" w:hAnsi="Arial Narrow" w:cs="Times New Roman"/>
                <w:b/>
                <w:snapToGrid/>
                <w:sz w:val="20"/>
              </w:rPr>
            </w:pPr>
            <w:r w:rsidRPr="00377C13">
              <w:rPr>
                <w:rFonts w:ascii="Arial Narrow" w:hAnsi="Arial Narrow" w:cs="Times New Roman"/>
                <w:b/>
                <w:snapToGrid/>
                <w:sz w:val="20"/>
              </w:rPr>
              <w:t>Investigations</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10 (52.6)</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Aspartate</w:t>
            </w:r>
            <w:r w:rsidRPr="00377C13">
              <w:rPr>
                <w:rFonts w:ascii="Arial Narrow" w:hAnsi="Arial Narrow" w:cs="Times New Roman"/>
                <w:snapToGrid/>
                <w:spacing w:val="-4"/>
                <w:sz w:val="20"/>
              </w:rPr>
              <w:t xml:space="preserve"> </w:t>
            </w:r>
            <w:r w:rsidRPr="00377C13">
              <w:rPr>
                <w:rFonts w:ascii="Arial Narrow" w:hAnsi="Arial Narrow" w:cs="Times New Roman"/>
                <w:snapToGrid/>
                <w:sz w:val="20"/>
              </w:rPr>
              <w:t>transaminase</w:t>
            </w:r>
            <w:r w:rsidRPr="00377C13">
              <w:rPr>
                <w:rFonts w:ascii="Arial Narrow" w:hAnsi="Arial Narrow" w:cs="Times New Roman"/>
                <w:snapToGrid/>
                <w:spacing w:val="-4"/>
                <w:sz w:val="20"/>
              </w:rPr>
              <w:t xml:space="preserve"> </w:t>
            </w:r>
            <w:r w:rsidRPr="00377C13">
              <w:rPr>
                <w:rFonts w:ascii="Arial Narrow" w:hAnsi="Arial Narrow" w:cs="Times New Roman"/>
                <w:snapToGrid/>
                <w:sz w:val="20"/>
              </w:rPr>
              <w:t>increased</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7</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(36.8)</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Alanine</w:t>
            </w:r>
            <w:r w:rsidRPr="00377C13">
              <w:rPr>
                <w:rFonts w:ascii="Arial Narrow" w:hAnsi="Arial Narrow" w:cs="Times New Roman"/>
                <w:snapToGrid/>
                <w:spacing w:val="-4"/>
                <w:sz w:val="20"/>
              </w:rPr>
              <w:t xml:space="preserve"> </w:t>
            </w:r>
            <w:r w:rsidRPr="00377C13">
              <w:rPr>
                <w:rFonts w:ascii="Arial Narrow" w:hAnsi="Arial Narrow" w:cs="Times New Roman"/>
                <w:snapToGrid/>
                <w:sz w:val="20"/>
              </w:rPr>
              <w:t>transaminase</w:t>
            </w:r>
            <w:r w:rsidRPr="00377C13">
              <w:rPr>
                <w:rFonts w:ascii="Arial Narrow" w:hAnsi="Arial Narrow" w:cs="Times New Roman"/>
                <w:snapToGrid/>
                <w:spacing w:val="-3"/>
                <w:sz w:val="20"/>
              </w:rPr>
              <w:t xml:space="preserve"> </w:t>
            </w:r>
            <w:r w:rsidRPr="00377C13">
              <w:rPr>
                <w:rFonts w:ascii="Arial Narrow" w:hAnsi="Arial Narrow" w:cs="Times New Roman"/>
                <w:snapToGrid/>
                <w:sz w:val="20"/>
              </w:rPr>
              <w:t>increased</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6</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(31.6)</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Blood</w:t>
            </w:r>
            <w:r w:rsidRPr="00377C13">
              <w:rPr>
                <w:rFonts w:ascii="Arial Narrow" w:hAnsi="Arial Narrow" w:cs="Times New Roman"/>
                <w:snapToGrid/>
                <w:spacing w:val="-4"/>
                <w:sz w:val="20"/>
              </w:rPr>
              <w:t xml:space="preserve"> </w:t>
            </w:r>
            <w:r w:rsidRPr="00377C13">
              <w:rPr>
                <w:rFonts w:ascii="Arial Narrow" w:hAnsi="Arial Narrow" w:cs="Times New Roman"/>
                <w:snapToGrid/>
                <w:sz w:val="20"/>
              </w:rPr>
              <w:t>pressure</w:t>
            </w:r>
            <w:r w:rsidRPr="00377C13">
              <w:rPr>
                <w:rFonts w:ascii="Arial Narrow" w:hAnsi="Arial Narrow" w:cs="Times New Roman"/>
                <w:snapToGrid/>
                <w:spacing w:val="-3"/>
                <w:sz w:val="20"/>
              </w:rPr>
              <w:t xml:space="preserve"> </w:t>
            </w:r>
            <w:r w:rsidRPr="00377C13">
              <w:rPr>
                <w:rFonts w:ascii="Arial Narrow" w:hAnsi="Arial Narrow" w:cs="Times New Roman"/>
                <w:snapToGrid/>
                <w:sz w:val="20"/>
              </w:rPr>
              <w:t>increased</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3</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(15.8)</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Gamma-</w:t>
            </w:r>
            <w:proofErr w:type="spellStart"/>
            <w:r w:rsidRPr="00377C13">
              <w:rPr>
                <w:rFonts w:ascii="Arial Narrow" w:hAnsi="Arial Narrow" w:cs="Times New Roman"/>
                <w:snapToGrid/>
                <w:sz w:val="20"/>
              </w:rPr>
              <w:t>glutamyltransferase</w:t>
            </w:r>
            <w:proofErr w:type="spellEnd"/>
            <w:r w:rsidRPr="00377C13">
              <w:rPr>
                <w:rFonts w:ascii="Arial Narrow" w:hAnsi="Arial Narrow" w:cs="Times New Roman"/>
                <w:snapToGrid/>
                <w:spacing w:val="-7"/>
                <w:sz w:val="20"/>
              </w:rPr>
              <w:t xml:space="preserve"> </w:t>
            </w:r>
            <w:r w:rsidRPr="00377C13">
              <w:rPr>
                <w:rFonts w:ascii="Arial Narrow" w:hAnsi="Arial Narrow" w:cs="Times New Roman"/>
                <w:snapToGrid/>
                <w:sz w:val="20"/>
              </w:rPr>
              <w:t>increased</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3</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(15.8)</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Pseudomonas</w:t>
            </w:r>
            <w:r w:rsidRPr="00377C13">
              <w:rPr>
                <w:rFonts w:ascii="Arial Narrow" w:hAnsi="Arial Narrow" w:cs="Times New Roman"/>
                <w:snapToGrid/>
                <w:spacing w:val="-4"/>
                <w:sz w:val="20"/>
              </w:rPr>
              <w:t xml:space="preserve"> </w:t>
            </w:r>
            <w:r w:rsidRPr="00377C13">
              <w:rPr>
                <w:rFonts w:ascii="Arial Narrow" w:hAnsi="Arial Narrow" w:cs="Times New Roman"/>
                <w:snapToGrid/>
                <w:sz w:val="20"/>
              </w:rPr>
              <w:t>test</w:t>
            </w:r>
            <w:r w:rsidRPr="00377C13">
              <w:rPr>
                <w:rFonts w:ascii="Arial Narrow" w:hAnsi="Arial Narrow" w:cs="Times New Roman"/>
                <w:snapToGrid/>
                <w:spacing w:val="-3"/>
                <w:sz w:val="20"/>
              </w:rPr>
              <w:t xml:space="preserve"> </w:t>
            </w:r>
            <w:r w:rsidRPr="00377C13">
              <w:rPr>
                <w:rFonts w:ascii="Arial Narrow" w:hAnsi="Arial Narrow" w:cs="Times New Roman"/>
                <w:snapToGrid/>
                <w:sz w:val="20"/>
              </w:rPr>
              <w:t>positive</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3</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(15.8)</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Blood lactate</w:t>
            </w:r>
            <w:r w:rsidRPr="00377C13">
              <w:rPr>
                <w:rFonts w:ascii="Arial Narrow" w:hAnsi="Arial Narrow" w:cs="Times New Roman"/>
                <w:snapToGrid/>
                <w:spacing w:val="-7"/>
                <w:sz w:val="20"/>
              </w:rPr>
              <w:t xml:space="preserve"> </w:t>
            </w:r>
            <w:r w:rsidRPr="00377C13">
              <w:rPr>
                <w:rFonts w:ascii="Arial Narrow" w:hAnsi="Arial Narrow" w:cs="Times New Roman"/>
                <w:snapToGrid/>
                <w:sz w:val="20"/>
              </w:rPr>
              <w:t>dehydrogenase</w:t>
            </w:r>
            <w:r w:rsidRPr="00377C13">
              <w:rPr>
                <w:rFonts w:ascii="Arial Narrow" w:hAnsi="Arial Narrow" w:cs="Times New Roman"/>
                <w:snapToGrid/>
                <w:spacing w:val="-4"/>
                <w:sz w:val="20"/>
              </w:rPr>
              <w:t xml:space="preserve"> </w:t>
            </w:r>
            <w:r w:rsidRPr="00377C13">
              <w:rPr>
                <w:rFonts w:ascii="Arial Narrow" w:hAnsi="Arial Narrow" w:cs="Times New Roman"/>
                <w:snapToGrid/>
                <w:sz w:val="20"/>
              </w:rPr>
              <w:t>increased</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2</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(10.5)</w:t>
            </w:r>
          </w:p>
        </w:tc>
      </w:tr>
      <w:tr w:rsidR="00C11C2D" w:rsidRPr="00377C13" w:rsidTr="003601A8">
        <w:tc>
          <w:tcPr>
            <w:tcW w:w="5098" w:type="dxa"/>
          </w:tcPr>
          <w:p w:rsidR="00C11C2D" w:rsidRPr="00377C13" w:rsidRDefault="00C11C2D" w:rsidP="007D3143">
            <w:pPr>
              <w:keepNext/>
              <w:keepLines/>
              <w:widowControl/>
              <w:jc w:val="left"/>
              <w:rPr>
                <w:rFonts w:ascii="Arial Narrow" w:hAnsi="Arial Narrow" w:cs="Times New Roman"/>
                <w:b/>
                <w:snapToGrid/>
                <w:sz w:val="20"/>
              </w:rPr>
            </w:pPr>
            <w:r w:rsidRPr="00377C13">
              <w:rPr>
                <w:rFonts w:ascii="Arial Narrow" w:hAnsi="Arial Narrow" w:cs="Times New Roman"/>
                <w:b/>
                <w:snapToGrid/>
                <w:sz w:val="20"/>
              </w:rPr>
              <w:t>General disorders and administration</w:t>
            </w:r>
            <w:r w:rsidRPr="00377C13">
              <w:rPr>
                <w:rFonts w:ascii="Arial Narrow" w:hAnsi="Arial Narrow" w:cs="Times New Roman"/>
                <w:b/>
                <w:snapToGrid/>
                <w:spacing w:val="-15"/>
                <w:sz w:val="20"/>
              </w:rPr>
              <w:t xml:space="preserve"> </w:t>
            </w:r>
            <w:r w:rsidRPr="00377C13">
              <w:rPr>
                <w:rFonts w:ascii="Arial Narrow" w:hAnsi="Arial Narrow" w:cs="Times New Roman"/>
                <w:b/>
                <w:snapToGrid/>
                <w:sz w:val="20"/>
              </w:rPr>
              <w:t>site</w:t>
            </w:r>
            <w:r w:rsidRPr="00377C13">
              <w:rPr>
                <w:rFonts w:ascii="Arial Narrow" w:hAnsi="Arial Narrow" w:cs="Times New Roman"/>
                <w:b/>
                <w:snapToGrid/>
                <w:spacing w:val="-4"/>
                <w:sz w:val="20"/>
              </w:rPr>
              <w:t xml:space="preserve"> </w:t>
            </w:r>
            <w:r w:rsidRPr="00377C13">
              <w:rPr>
                <w:rFonts w:ascii="Arial Narrow" w:hAnsi="Arial Narrow" w:cs="Times New Roman"/>
                <w:b/>
                <w:snapToGrid/>
                <w:sz w:val="20"/>
              </w:rPr>
              <w:t>conditions</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7</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(36.8)</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Pyrexia</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7</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(36.8)</w:t>
            </w:r>
          </w:p>
        </w:tc>
      </w:tr>
      <w:tr w:rsidR="00C11C2D" w:rsidRPr="00377C13" w:rsidTr="003601A8">
        <w:tc>
          <w:tcPr>
            <w:tcW w:w="5098" w:type="dxa"/>
          </w:tcPr>
          <w:p w:rsidR="00C11C2D" w:rsidRPr="00377C13" w:rsidRDefault="00C11C2D" w:rsidP="007D3143">
            <w:pPr>
              <w:keepNext/>
              <w:keepLines/>
              <w:widowControl/>
              <w:jc w:val="left"/>
              <w:rPr>
                <w:rFonts w:ascii="Arial Narrow" w:hAnsi="Arial Narrow" w:cs="Times New Roman"/>
                <w:b/>
                <w:snapToGrid/>
                <w:sz w:val="20"/>
              </w:rPr>
            </w:pPr>
            <w:r w:rsidRPr="00377C13">
              <w:rPr>
                <w:rFonts w:ascii="Arial Narrow" w:hAnsi="Arial Narrow" w:cs="Times New Roman"/>
                <w:b/>
                <w:snapToGrid/>
                <w:sz w:val="20"/>
              </w:rPr>
              <w:t>Gastrointestinal</w:t>
            </w:r>
            <w:r w:rsidRPr="00377C13">
              <w:rPr>
                <w:rFonts w:ascii="Arial Narrow" w:hAnsi="Arial Narrow" w:cs="Times New Roman"/>
                <w:b/>
                <w:snapToGrid/>
                <w:spacing w:val="-5"/>
                <w:sz w:val="20"/>
              </w:rPr>
              <w:t xml:space="preserve"> </w:t>
            </w:r>
            <w:r w:rsidRPr="00377C13">
              <w:rPr>
                <w:rFonts w:ascii="Arial Narrow" w:hAnsi="Arial Narrow" w:cs="Times New Roman"/>
                <w:b/>
                <w:snapToGrid/>
                <w:sz w:val="20"/>
              </w:rPr>
              <w:t>disorders</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6</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(31.6)</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Constipation</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3</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(15.8)</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Vomiting</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3</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(15.8)</w:t>
            </w:r>
          </w:p>
        </w:tc>
      </w:tr>
      <w:tr w:rsidR="00C11C2D" w:rsidRPr="00377C13" w:rsidTr="003601A8">
        <w:tc>
          <w:tcPr>
            <w:tcW w:w="5098" w:type="dxa"/>
          </w:tcPr>
          <w:p w:rsidR="00C11C2D" w:rsidRPr="00377C13" w:rsidRDefault="00C11C2D" w:rsidP="007D3143">
            <w:pPr>
              <w:keepNext/>
              <w:keepLines/>
              <w:widowControl/>
              <w:jc w:val="left"/>
              <w:rPr>
                <w:rFonts w:ascii="Arial Narrow" w:hAnsi="Arial Narrow" w:cs="Times New Roman"/>
                <w:b/>
                <w:snapToGrid/>
                <w:sz w:val="20"/>
              </w:rPr>
            </w:pPr>
            <w:r w:rsidRPr="00377C13">
              <w:rPr>
                <w:rFonts w:ascii="Arial Narrow" w:hAnsi="Arial Narrow" w:cs="Times New Roman"/>
                <w:b/>
                <w:snapToGrid/>
                <w:sz w:val="20"/>
              </w:rPr>
              <w:t>Metabolism and</w:t>
            </w:r>
            <w:r w:rsidRPr="00377C13">
              <w:rPr>
                <w:rFonts w:ascii="Arial Narrow" w:hAnsi="Arial Narrow" w:cs="Times New Roman"/>
                <w:b/>
                <w:snapToGrid/>
                <w:spacing w:val="-8"/>
                <w:sz w:val="20"/>
              </w:rPr>
              <w:t xml:space="preserve"> </w:t>
            </w:r>
            <w:r w:rsidRPr="00377C13">
              <w:rPr>
                <w:rFonts w:ascii="Arial Narrow" w:hAnsi="Arial Narrow" w:cs="Times New Roman"/>
                <w:b/>
                <w:snapToGrid/>
                <w:sz w:val="20"/>
              </w:rPr>
              <w:t>nutrition</w:t>
            </w:r>
            <w:r w:rsidRPr="00377C13">
              <w:rPr>
                <w:rFonts w:ascii="Arial Narrow" w:hAnsi="Arial Narrow" w:cs="Times New Roman"/>
                <w:b/>
                <w:snapToGrid/>
                <w:spacing w:val="-4"/>
                <w:sz w:val="20"/>
              </w:rPr>
              <w:t xml:space="preserve"> </w:t>
            </w:r>
            <w:r w:rsidRPr="00377C13">
              <w:rPr>
                <w:rFonts w:ascii="Arial Narrow" w:hAnsi="Arial Narrow" w:cs="Times New Roman"/>
                <w:b/>
                <w:snapToGrid/>
                <w:sz w:val="20"/>
              </w:rPr>
              <w:t>disorders</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2</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(10.5)</w:t>
            </w:r>
          </w:p>
        </w:tc>
      </w:tr>
      <w:tr w:rsidR="00C11C2D" w:rsidRPr="00377C13" w:rsidTr="003601A8">
        <w:tc>
          <w:tcPr>
            <w:tcW w:w="5098" w:type="dxa"/>
          </w:tcPr>
          <w:p w:rsidR="00C11C2D" w:rsidRPr="00377C13" w:rsidRDefault="00C11C2D" w:rsidP="007D3143">
            <w:pPr>
              <w:keepNext/>
              <w:keepLines/>
              <w:widowControl/>
              <w:ind w:left="317"/>
              <w:jc w:val="left"/>
              <w:rPr>
                <w:rFonts w:ascii="Arial Narrow" w:hAnsi="Arial Narrow" w:cs="Times New Roman"/>
                <w:snapToGrid/>
                <w:sz w:val="20"/>
              </w:rPr>
            </w:pPr>
            <w:r w:rsidRPr="00377C13">
              <w:rPr>
                <w:rFonts w:ascii="Arial Narrow" w:hAnsi="Arial Narrow" w:cs="Times New Roman"/>
                <w:snapToGrid/>
                <w:sz w:val="20"/>
              </w:rPr>
              <w:t>Dehydration</w:t>
            </w:r>
          </w:p>
        </w:tc>
        <w:tc>
          <w:tcPr>
            <w:tcW w:w="3828" w:type="dxa"/>
          </w:tcPr>
          <w:p w:rsidR="00C11C2D" w:rsidRPr="00377C13" w:rsidRDefault="00C11C2D" w:rsidP="007D3143">
            <w:pPr>
              <w:keepNext/>
              <w:keepLines/>
              <w:widowControl/>
              <w:jc w:val="center"/>
              <w:rPr>
                <w:rFonts w:ascii="Arial Narrow" w:hAnsi="Arial Narrow" w:cs="Times New Roman"/>
                <w:snapToGrid/>
                <w:sz w:val="20"/>
              </w:rPr>
            </w:pPr>
            <w:r w:rsidRPr="00377C13">
              <w:rPr>
                <w:rFonts w:ascii="Arial Narrow" w:hAnsi="Arial Narrow" w:cs="Times New Roman"/>
                <w:snapToGrid/>
                <w:sz w:val="20"/>
              </w:rPr>
              <w:t>2</w:t>
            </w:r>
            <w:r w:rsidRPr="00377C13">
              <w:rPr>
                <w:rFonts w:ascii="Arial Narrow" w:hAnsi="Arial Narrow" w:cs="Times New Roman"/>
                <w:snapToGrid/>
                <w:spacing w:val="-1"/>
                <w:sz w:val="20"/>
              </w:rPr>
              <w:t xml:space="preserve"> </w:t>
            </w:r>
            <w:r w:rsidRPr="00377C13">
              <w:rPr>
                <w:rFonts w:ascii="Arial Narrow" w:hAnsi="Arial Narrow" w:cs="Times New Roman"/>
                <w:snapToGrid/>
                <w:sz w:val="20"/>
              </w:rPr>
              <w:t>(10.5)</w:t>
            </w:r>
          </w:p>
        </w:tc>
      </w:tr>
    </w:tbl>
    <w:p w:rsidR="00C11C2D" w:rsidRPr="00377C13" w:rsidRDefault="00C11C2D" w:rsidP="007D3143">
      <w:pPr>
        <w:widowControl/>
        <w:rPr>
          <w:rFonts w:ascii="Arial Narrow" w:hAnsi="Arial Narrow"/>
          <w:sz w:val="18"/>
        </w:rPr>
      </w:pPr>
      <w:r w:rsidRPr="00377C13">
        <w:rPr>
          <w:rFonts w:ascii="Arial Narrow" w:hAnsi="Arial Narrow"/>
          <w:sz w:val="18"/>
        </w:rPr>
        <w:t>Abbreviations: AE=adverse event; IVA=ivacaftor; n=size of subsample; N=total sample size; SOC=System Organ Class; PT=Preferred Term</w:t>
      </w:r>
    </w:p>
    <w:p w:rsidR="00C11C2D" w:rsidRPr="00377C13" w:rsidRDefault="00C11C2D" w:rsidP="007D3143">
      <w:pPr>
        <w:widowControl/>
        <w:rPr>
          <w:rFonts w:ascii="Arial Narrow" w:hAnsi="Arial Narrow"/>
          <w:sz w:val="18"/>
        </w:rPr>
      </w:pPr>
      <w:r w:rsidRPr="00377C13">
        <w:rPr>
          <w:rFonts w:ascii="Arial Narrow" w:hAnsi="Arial Narrow"/>
          <w:sz w:val="18"/>
        </w:rPr>
        <w:t xml:space="preserve">Note: </w:t>
      </w:r>
      <w:proofErr w:type="gramStart"/>
      <w:r w:rsidRPr="00377C13">
        <w:rPr>
          <w:rFonts w:ascii="Arial Narrow" w:hAnsi="Arial Narrow"/>
          <w:sz w:val="18"/>
          <w:vertAlign w:val="superscript"/>
        </w:rPr>
        <w:t>a</w:t>
      </w:r>
      <w:proofErr w:type="gramEnd"/>
      <w:r w:rsidRPr="00377C13">
        <w:rPr>
          <w:rFonts w:ascii="Arial Narrow" w:hAnsi="Arial Narrow"/>
          <w:sz w:val="18"/>
        </w:rPr>
        <w:t xml:space="preserve"> </w:t>
      </w:r>
      <w:proofErr w:type="spellStart"/>
      <w:r w:rsidRPr="00377C13">
        <w:rPr>
          <w:rFonts w:ascii="Arial Narrow" w:hAnsi="Arial Narrow"/>
          <w:sz w:val="18"/>
        </w:rPr>
        <w:t>A</w:t>
      </w:r>
      <w:proofErr w:type="spellEnd"/>
      <w:r w:rsidRPr="00377C13">
        <w:rPr>
          <w:rFonts w:ascii="Arial Narrow" w:hAnsi="Arial Narrow"/>
          <w:sz w:val="18"/>
        </w:rPr>
        <w:t xml:space="preserve"> </w:t>
      </w:r>
      <w:r w:rsidR="00253862" w:rsidRPr="00377C13">
        <w:rPr>
          <w:rFonts w:ascii="Arial Narrow" w:hAnsi="Arial Narrow"/>
          <w:sz w:val="18"/>
        </w:rPr>
        <w:t>patient</w:t>
      </w:r>
      <w:r w:rsidRPr="00377C13">
        <w:rPr>
          <w:rFonts w:ascii="Arial Narrow" w:hAnsi="Arial Narrow"/>
          <w:sz w:val="18"/>
        </w:rPr>
        <w:t xml:space="preserve"> with multiple events within a category (Any, SOC, or PT) was counted only once in that category.</w:t>
      </w:r>
    </w:p>
    <w:p w:rsidR="00C11C2D" w:rsidRPr="00377C13" w:rsidRDefault="00C11C2D" w:rsidP="007D3143">
      <w:pPr>
        <w:widowControl/>
        <w:rPr>
          <w:rFonts w:ascii="Arial Narrow" w:hAnsi="Arial Narrow"/>
          <w:sz w:val="18"/>
        </w:rPr>
      </w:pPr>
      <w:r w:rsidRPr="00377C13">
        <w:rPr>
          <w:rFonts w:ascii="Arial Narrow" w:hAnsi="Arial Narrow"/>
          <w:sz w:val="18"/>
        </w:rPr>
        <w:t xml:space="preserve">Source: Table 2.5.17, p71 of the submission </w:t>
      </w:r>
    </w:p>
    <w:p w:rsidR="00C11C2D" w:rsidRPr="00377C13" w:rsidRDefault="00C11C2D" w:rsidP="00584D31">
      <w:pPr>
        <w:widowControl/>
        <w:spacing w:before="120" w:after="120"/>
        <w:outlineLvl w:val="1"/>
        <w:rPr>
          <w:b/>
          <w:i/>
          <w:sz w:val="28"/>
        </w:rPr>
      </w:pPr>
      <w:bookmarkStart w:id="19" w:name="_Toc531888472"/>
      <w:r w:rsidRPr="00377C13">
        <w:rPr>
          <w:b/>
          <w:i/>
          <w:sz w:val="28"/>
        </w:rPr>
        <w:t>Benefits/harms</w:t>
      </w:r>
      <w:bookmarkEnd w:id="19"/>
    </w:p>
    <w:p w:rsidR="00C11C2D" w:rsidRPr="00377C13" w:rsidRDefault="00C11C2D" w:rsidP="00B47A0D">
      <w:pPr>
        <w:widowControl/>
        <w:numPr>
          <w:ilvl w:val="1"/>
          <w:numId w:val="1"/>
        </w:numPr>
        <w:spacing w:before="120" w:after="120"/>
      </w:pPr>
      <w:r w:rsidRPr="00377C13">
        <w:t>Study 124 was a single-arm study. As such</w:t>
      </w:r>
      <w:r w:rsidR="003637E6" w:rsidRPr="00377C13">
        <w:t>,</w:t>
      </w:r>
      <w:r w:rsidRPr="00377C13">
        <w:t xml:space="preserve"> it </w:t>
      </w:r>
      <w:r w:rsidR="001645D9" w:rsidRPr="00377C13">
        <w:t>wa</w:t>
      </w:r>
      <w:r w:rsidRPr="00377C13">
        <w:t>s not possible to present a comparative benefit-to-harms summary.</w:t>
      </w:r>
    </w:p>
    <w:p w:rsidR="00C11C2D" w:rsidRPr="00377C13" w:rsidRDefault="00C11C2D" w:rsidP="00584D31">
      <w:pPr>
        <w:widowControl/>
        <w:spacing w:before="120" w:after="120"/>
        <w:outlineLvl w:val="1"/>
        <w:rPr>
          <w:b/>
          <w:i/>
          <w:sz w:val="28"/>
        </w:rPr>
      </w:pPr>
      <w:bookmarkStart w:id="20" w:name="_Toc531888473"/>
      <w:r w:rsidRPr="00377C13">
        <w:rPr>
          <w:b/>
          <w:i/>
          <w:sz w:val="28"/>
        </w:rPr>
        <w:t>Clinical claim</w:t>
      </w:r>
      <w:bookmarkEnd w:id="20"/>
    </w:p>
    <w:p w:rsidR="00C11C2D" w:rsidRPr="00377C13" w:rsidRDefault="00C11C2D" w:rsidP="00B47A0D">
      <w:pPr>
        <w:widowControl/>
        <w:numPr>
          <w:ilvl w:val="1"/>
          <w:numId w:val="1"/>
        </w:numPr>
        <w:spacing w:before="120" w:after="120"/>
      </w:pPr>
      <w:r w:rsidRPr="00377C13">
        <w:t xml:space="preserve">The submission described ivacaftor plus BSC as superior in terms of effectiveness compared with BSC alone and non-inferior in terms of safety compared </w:t>
      </w:r>
      <w:r w:rsidR="00AE008C" w:rsidRPr="00377C13">
        <w:t xml:space="preserve">with </w:t>
      </w:r>
      <w:r w:rsidRPr="00377C13">
        <w:t>BSC alone. Given the absence of a comparator group and the small patient numbers in Study 124, the therapeutic conclusion presented was not adequately supported by the evidence presented in the submission.</w:t>
      </w:r>
      <w:r w:rsidRPr="00377C13">
        <w:rPr>
          <w:i/>
        </w:rPr>
        <w:t xml:space="preserve"> </w:t>
      </w:r>
    </w:p>
    <w:p w:rsidR="00C11C2D" w:rsidRPr="00377C13" w:rsidRDefault="00C11C2D" w:rsidP="00B47A0D">
      <w:pPr>
        <w:widowControl/>
        <w:numPr>
          <w:ilvl w:val="1"/>
          <w:numId w:val="1"/>
        </w:numPr>
        <w:spacing w:before="120" w:after="120"/>
      </w:pPr>
      <w:r w:rsidRPr="00377C13">
        <w:t xml:space="preserve">The submission assumed ivacaftor plus BSC is similar in terms of comparative effectiveness and safety in patients aged from 12 to </w:t>
      </w:r>
      <w:r w:rsidR="001100CF" w:rsidRPr="00377C13">
        <w:t>&lt;</w:t>
      </w:r>
      <w:r w:rsidRPr="00377C13">
        <w:t>24 mont</w:t>
      </w:r>
      <w:bookmarkStart w:id="21" w:name="_GoBack"/>
      <w:bookmarkEnd w:id="21"/>
      <w:r w:rsidRPr="00377C13">
        <w:t xml:space="preserve">hs compared with patients aged 2 years and older. </w:t>
      </w:r>
    </w:p>
    <w:p w:rsidR="00C11C2D" w:rsidRPr="00377C13" w:rsidRDefault="00C11C2D" w:rsidP="00B47A0D">
      <w:pPr>
        <w:widowControl/>
        <w:numPr>
          <w:ilvl w:val="1"/>
          <w:numId w:val="1"/>
        </w:numPr>
        <w:spacing w:before="120" w:after="120"/>
      </w:pPr>
      <w:r w:rsidRPr="00377C13">
        <w:rPr>
          <w:rFonts w:cs="Calibri"/>
          <w:snapToGrid/>
          <w:szCs w:val="24"/>
          <w:lang w:eastAsia="en-AU"/>
        </w:rPr>
        <w:t>The PBAC has previously considered ppFEV</w:t>
      </w:r>
      <w:r w:rsidRPr="00377C13">
        <w:rPr>
          <w:rFonts w:cs="Calibri"/>
          <w:snapToGrid/>
          <w:szCs w:val="24"/>
          <w:vertAlign w:val="subscript"/>
          <w:lang w:eastAsia="en-AU"/>
        </w:rPr>
        <w:t>1</w:t>
      </w:r>
      <w:r w:rsidRPr="00377C13">
        <w:rPr>
          <w:rFonts w:cs="Calibri"/>
          <w:snapToGrid/>
          <w:szCs w:val="24"/>
          <w:lang w:eastAsia="en-AU"/>
        </w:rPr>
        <w:t xml:space="preserve"> as the outcome of interest in CF patients</w:t>
      </w:r>
      <w:r w:rsidR="00286B8C" w:rsidRPr="00377C13">
        <w:rPr>
          <w:rFonts w:cs="Calibri"/>
          <w:snapToGrid/>
          <w:szCs w:val="24"/>
          <w:lang w:eastAsia="en-AU"/>
        </w:rPr>
        <w:t xml:space="preserve"> aged ≥ 2 years</w:t>
      </w:r>
      <w:r w:rsidRPr="00377C13">
        <w:rPr>
          <w:rFonts w:cs="Calibri"/>
          <w:snapToGrid/>
          <w:szCs w:val="24"/>
          <w:lang w:eastAsia="en-AU"/>
        </w:rPr>
        <w:t xml:space="preserve">. In the absence of that outcome in this patient cohort, </w:t>
      </w:r>
      <w:r w:rsidR="00AD30DF" w:rsidRPr="00377C13">
        <w:rPr>
          <w:rFonts w:cs="Calibri"/>
          <w:snapToGrid/>
          <w:szCs w:val="24"/>
          <w:lang w:eastAsia="en-AU"/>
        </w:rPr>
        <w:t xml:space="preserve">the evaluation presented </w:t>
      </w:r>
      <w:r w:rsidRPr="00377C13">
        <w:rPr>
          <w:rFonts w:cs="Calibri"/>
          <w:snapToGrid/>
          <w:szCs w:val="24"/>
          <w:lang w:eastAsia="en-AU"/>
        </w:rPr>
        <w:t>a frame of reference comparison (</w:t>
      </w:r>
      <w:r w:rsidR="001D55D7" w:rsidRPr="00377C13">
        <w:rPr>
          <w:rFonts w:asciiTheme="minorHAnsi" w:hAnsiTheme="minorHAnsi" w:cstheme="minorHAnsi"/>
          <w:szCs w:val="24"/>
        </w:rPr>
        <w:t>Table</w:t>
      </w:r>
      <w:r w:rsidR="001100CF" w:rsidRPr="00377C13">
        <w:rPr>
          <w:rFonts w:asciiTheme="minorHAnsi" w:hAnsiTheme="minorHAnsi" w:cstheme="minorHAnsi"/>
          <w:szCs w:val="24"/>
        </w:rPr>
        <w:t xml:space="preserve"> </w:t>
      </w:r>
      <w:r w:rsidR="001D55D7" w:rsidRPr="00377C13">
        <w:rPr>
          <w:rFonts w:asciiTheme="minorHAnsi" w:hAnsiTheme="minorHAnsi" w:cstheme="minorHAnsi"/>
          <w:szCs w:val="24"/>
        </w:rPr>
        <w:t>7</w:t>
      </w:r>
      <w:r w:rsidRPr="00377C13">
        <w:rPr>
          <w:rFonts w:cs="Calibri"/>
          <w:snapToGrid/>
          <w:szCs w:val="24"/>
          <w:lang w:eastAsia="en-AU"/>
        </w:rPr>
        <w:t>)</w:t>
      </w:r>
      <w:r w:rsidRPr="00377C13">
        <w:rPr>
          <w:rFonts w:asciiTheme="minorHAnsi" w:hAnsiTheme="minorHAnsi" w:cstheme="minorHAnsi"/>
          <w:snapToGrid/>
          <w:szCs w:val="24"/>
          <w:lang w:eastAsia="en-AU"/>
        </w:rPr>
        <w:t xml:space="preserve"> of the results available in Study 124 with comparable results from previous studies in older age groups in the same </w:t>
      </w:r>
      <w:r w:rsidRPr="00377C13">
        <w:rPr>
          <w:rFonts w:asciiTheme="minorHAnsi" w:hAnsiTheme="minorHAnsi" w:cstheme="minorHAnsi"/>
          <w:snapToGrid/>
          <w:szCs w:val="24"/>
          <w:lang w:eastAsia="en-AU"/>
        </w:rPr>
        <w:lastRenderedPageBreak/>
        <w:t xml:space="preserve">indication. Comparison of those data suggests that changes in sweat chloride and morphometric measures for </w:t>
      </w:r>
      <w:r w:rsidR="00253862" w:rsidRPr="00377C13">
        <w:rPr>
          <w:rFonts w:asciiTheme="minorHAnsi" w:hAnsiTheme="minorHAnsi" w:cstheme="minorHAnsi"/>
          <w:snapToGrid/>
          <w:szCs w:val="24"/>
          <w:lang w:eastAsia="en-AU"/>
        </w:rPr>
        <w:t>patient</w:t>
      </w:r>
      <w:r w:rsidRPr="00377C13">
        <w:rPr>
          <w:rFonts w:asciiTheme="minorHAnsi" w:hAnsiTheme="minorHAnsi" w:cstheme="minorHAnsi"/>
          <w:snapToGrid/>
          <w:szCs w:val="24"/>
          <w:lang w:eastAsia="en-AU"/>
        </w:rPr>
        <w:t xml:space="preserve">s in Study 124 were consistent (within the bounds of the reported SD) with those for </w:t>
      </w:r>
      <w:r w:rsidR="00253862" w:rsidRPr="00377C13">
        <w:rPr>
          <w:rFonts w:asciiTheme="minorHAnsi" w:hAnsiTheme="minorHAnsi" w:cstheme="minorHAnsi"/>
          <w:snapToGrid/>
          <w:szCs w:val="24"/>
          <w:lang w:eastAsia="en-AU"/>
        </w:rPr>
        <w:t>patient</w:t>
      </w:r>
      <w:r w:rsidRPr="00377C13">
        <w:rPr>
          <w:rFonts w:asciiTheme="minorHAnsi" w:hAnsiTheme="minorHAnsi" w:cstheme="minorHAnsi"/>
          <w:snapToGrid/>
          <w:szCs w:val="24"/>
          <w:lang w:eastAsia="en-AU"/>
        </w:rPr>
        <w:t xml:space="preserve">s </w:t>
      </w:r>
      <w:r w:rsidR="00C7600E" w:rsidRPr="00377C13">
        <w:rPr>
          <w:rFonts w:asciiTheme="minorHAnsi" w:hAnsiTheme="minorHAnsi" w:cstheme="minorHAnsi"/>
          <w:snapToGrid/>
          <w:szCs w:val="24"/>
          <w:lang w:eastAsia="en-AU"/>
        </w:rPr>
        <w:t>in older age groups (</w:t>
      </w:r>
      <w:r w:rsidRPr="00377C13">
        <w:rPr>
          <w:rFonts w:asciiTheme="minorHAnsi" w:hAnsiTheme="minorHAnsi" w:cstheme="minorHAnsi"/>
          <w:snapToGrid/>
          <w:szCs w:val="24"/>
          <w:lang w:eastAsia="en-AU"/>
        </w:rPr>
        <w:t>aged 2-5 years</w:t>
      </w:r>
      <w:r w:rsidR="00676B3A" w:rsidRPr="00377C13">
        <w:rPr>
          <w:rFonts w:asciiTheme="minorHAnsi" w:hAnsiTheme="minorHAnsi" w:cstheme="minorHAnsi"/>
          <w:snapToGrid/>
          <w:szCs w:val="24"/>
          <w:lang w:eastAsia="en-AU"/>
        </w:rPr>
        <w:t xml:space="preserve"> </w:t>
      </w:r>
      <w:r w:rsidR="00C7600E" w:rsidRPr="00377C13">
        <w:rPr>
          <w:rFonts w:asciiTheme="minorHAnsi" w:hAnsiTheme="minorHAnsi" w:cstheme="minorHAnsi"/>
          <w:snapToGrid/>
          <w:szCs w:val="24"/>
          <w:lang w:eastAsia="en-AU"/>
        </w:rPr>
        <w:t xml:space="preserve">or </w:t>
      </w:r>
      <w:r w:rsidR="00676B3A" w:rsidRPr="00377C13">
        <w:rPr>
          <w:rFonts w:asciiTheme="minorHAnsi" w:hAnsiTheme="minorHAnsi" w:cstheme="minorHAnsi"/>
          <w:snapToGrid/>
          <w:szCs w:val="24"/>
          <w:lang w:eastAsia="en-AU"/>
        </w:rPr>
        <w:t>6</w:t>
      </w:r>
      <w:r w:rsidR="001135DC" w:rsidRPr="00377C13">
        <w:rPr>
          <w:rFonts w:asciiTheme="minorHAnsi" w:hAnsiTheme="minorHAnsi" w:cstheme="minorHAnsi"/>
          <w:snapToGrid/>
          <w:szCs w:val="24"/>
          <w:lang w:eastAsia="en-AU"/>
        </w:rPr>
        <w:t> </w:t>
      </w:r>
      <w:r w:rsidR="00676B3A" w:rsidRPr="00377C13">
        <w:rPr>
          <w:rFonts w:asciiTheme="minorHAnsi" w:hAnsiTheme="minorHAnsi" w:cstheme="minorHAnsi"/>
          <w:snapToGrid/>
          <w:szCs w:val="24"/>
          <w:lang w:eastAsia="en-AU"/>
        </w:rPr>
        <w:t>years and older</w:t>
      </w:r>
      <w:r w:rsidR="00C7600E" w:rsidRPr="00377C13">
        <w:rPr>
          <w:rFonts w:asciiTheme="minorHAnsi" w:hAnsiTheme="minorHAnsi" w:cstheme="minorHAnsi"/>
          <w:snapToGrid/>
          <w:szCs w:val="24"/>
          <w:lang w:eastAsia="en-AU"/>
        </w:rPr>
        <w:t>)</w:t>
      </w:r>
      <w:r w:rsidRPr="00377C13">
        <w:rPr>
          <w:rFonts w:asciiTheme="minorHAnsi" w:hAnsiTheme="minorHAnsi" w:cstheme="minorHAnsi"/>
          <w:snapToGrid/>
          <w:szCs w:val="24"/>
          <w:lang w:eastAsia="en-AU"/>
        </w:rPr>
        <w:t xml:space="preserve">. However, there were slightly more </w:t>
      </w:r>
      <w:proofErr w:type="spellStart"/>
      <w:r w:rsidRPr="00377C13">
        <w:rPr>
          <w:rFonts w:asciiTheme="minorHAnsi" w:hAnsiTheme="minorHAnsi" w:cstheme="minorHAnsi"/>
          <w:snapToGrid/>
          <w:szCs w:val="24"/>
          <w:lang w:eastAsia="en-AU"/>
        </w:rPr>
        <w:t>PEx</w:t>
      </w:r>
      <w:proofErr w:type="spellEnd"/>
      <w:r w:rsidRPr="00377C13">
        <w:rPr>
          <w:rFonts w:asciiTheme="minorHAnsi" w:hAnsiTheme="minorHAnsi" w:cstheme="minorHAnsi"/>
          <w:snapToGrid/>
          <w:szCs w:val="24"/>
          <w:lang w:eastAsia="en-AU"/>
        </w:rPr>
        <w:t xml:space="preserve"> in </w:t>
      </w:r>
      <w:r w:rsidR="00253862" w:rsidRPr="00377C13">
        <w:rPr>
          <w:rFonts w:asciiTheme="minorHAnsi" w:hAnsiTheme="minorHAnsi" w:cstheme="minorHAnsi"/>
          <w:snapToGrid/>
          <w:szCs w:val="24"/>
          <w:lang w:eastAsia="en-AU"/>
        </w:rPr>
        <w:t>patient</w:t>
      </w:r>
      <w:r w:rsidRPr="00377C13">
        <w:rPr>
          <w:rFonts w:asciiTheme="minorHAnsi" w:hAnsiTheme="minorHAnsi" w:cstheme="minorHAnsi"/>
          <w:snapToGrid/>
          <w:szCs w:val="24"/>
          <w:lang w:eastAsia="en-AU"/>
        </w:rPr>
        <w:t xml:space="preserve">s aged 12 to </w:t>
      </w:r>
      <w:r w:rsidR="00147511" w:rsidRPr="00377C13">
        <w:rPr>
          <w:rFonts w:asciiTheme="minorHAnsi" w:hAnsiTheme="minorHAnsi" w:cstheme="minorHAnsi"/>
          <w:snapToGrid/>
          <w:szCs w:val="24"/>
          <w:lang w:eastAsia="en-AU"/>
        </w:rPr>
        <w:t>&lt;</w:t>
      </w:r>
      <w:r w:rsidRPr="00377C13">
        <w:rPr>
          <w:rFonts w:asciiTheme="minorHAnsi" w:hAnsiTheme="minorHAnsi" w:cstheme="minorHAnsi"/>
          <w:snapToGrid/>
          <w:szCs w:val="24"/>
          <w:lang w:eastAsia="en-AU"/>
        </w:rPr>
        <w:t>24 months than in older age groups.</w:t>
      </w:r>
    </w:p>
    <w:p w:rsidR="00C11C2D" w:rsidRPr="00377C13" w:rsidRDefault="00C11C2D" w:rsidP="007D3143">
      <w:pPr>
        <w:keepNext/>
        <w:widowControl/>
        <w:rPr>
          <w:rFonts w:ascii="Arial Narrow" w:hAnsi="Arial Narrow" w:cstheme="minorHAnsi"/>
          <w:b/>
          <w:bCs/>
          <w:sz w:val="20"/>
          <w:szCs w:val="20"/>
        </w:rPr>
      </w:pPr>
      <w:bookmarkStart w:id="22" w:name="_Ref531944952"/>
      <w:r w:rsidRPr="00377C13">
        <w:rPr>
          <w:rFonts w:ascii="Arial Narrow" w:hAnsi="Arial Narrow" w:cstheme="minorHAnsi"/>
          <w:b/>
          <w:bCs/>
          <w:sz w:val="20"/>
          <w:szCs w:val="20"/>
        </w:rPr>
        <w:t>Table</w:t>
      </w:r>
      <w:r w:rsidR="00C7600E" w:rsidRPr="00377C13">
        <w:rPr>
          <w:rFonts w:ascii="Arial Narrow" w:hAnsi="Arial Narrow" w:cstheme="minorHAnsi"/>
          <w:b/>
          <w:bCs/>
          <w:sz w:val="20"/>
          <w:szCs w:val="20"/>
        </w:rPr>
        <w:t xml:space="preserve"> </w:t>
      </w:r>
      <w:bookmarkEnd w:id="22"/>
      <w:r w:rsidR="006832BC">
        <w:rPr>
          <w:rFonts w:ascii="Arial Narrow" w:hAnsi="Arial Narrow" w:cstheme="minorHAnsi"/>
          <w:b/>
          <w:bCs/>
          <w:sz w:val="20"/>
          <w:szCs w:val="20"/>
        </w:rPr>
        <w:t>6</w:t>
      </w:r>
      <w:r w:rsidRPr="00377C13">
        <w:rPr>
          <w:rFonts w:ascii="Arial Narrow" w:hAnsi="Arial Narrow" w:cstheme="minorHAnsi"/>
          <w:b/>
          <w:bCs/>
          <w:sz w:val="20"/>
          <w:szCs w:val="20"/>
        </w:rPr>
        <w:t xml:space="preserve">: </w:t>
      </w:r>
      <w:r w:rsidRPr="00377C13">
        <w:rPr>
          <w:rFonts w:ascii="Arial Narrow" w:hAnsi="Arial Narrow" w:cstheme="minorHAnsi"/>
          <w:b/>
          <w:bCs/>
          <w:snapToGrid/>
          <w:sz w:val="20"/>
          <w:szCs w:val="20"/>
          <w:lang w:eastAsia="en-AU"/>
        </w:rPr>
        <w:t>Comparison of efficacy outcomes for ivacaftor across trials</w:t>
      </w:r>
    </w:p>
    <w:tbl>
      <w:tblPr>
        <w:tblStyle w:val="TableGrid"/>
        <w:tblW w:w="5185" w:type="pct"/>
        <w:tblLayout w:type="fixed"/>
        <w:tblLook w:val="04A0" w:firstRow="1" w:lastRow="0" w:firstColumn="1" w:lastColumn="0" w:noHBand="0" w:noVBand="1"/>
        <w:tblCaption w:val="Table 6: Comparison of efficacy outcomes for ivacaftor across trials"/>
      </w:tblPr>
      <w:tblGrid>
        <w:gridCol w:w="1697"/>
        <w:gridCol w:w="849"/>
        <w:gridCol w:w="851"/>
        <w:gridCol w:w="851"/>
        <w:gridCol w:w="890"/>
        <w:gridCol w:w="817"/>
        <w:gridCol w:w="842"/>
        <w:gridCol w:w="853"/>
        <w:gridCol w:w="7"/>
        <w:gridCol w:w="845"/>
        <w:gridCol w:w="849"/>
      </w:tblGrid>
      <w:tr w:rsidR="00C11C2D" w:rsidRPr="00377C13" w:rsidTr="00D077FC">
        <w:trPr>
          <w:trHeight w:val="298"/>
          <w:tblHeader/>
        </w:trPr>
        <w:tc>
          <w:tcPr>
            <w:tcW w:w="907" w:type="pct"/>
            <w:tcMar>
              <w:left w:w="28" w:type="dxa"/>
              <w:right w:w="28" w:type="dxa"/>
            </w:tcMar>
          </w:tcPr>
          <w:p w:rsidR="00C11C2D" w:rsidRPr="00377C13" w:rsidRDefault="00C11C2D" w:rsidP="007D3143">
            <w:pPr>
              <w:widowControl/>
              <w:spacing w:before="40" w:after="40"/>
              <w:ind w:right="72"/>
              <w:jc w:val="left"/>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Age group</w:t>
            </w:r>
          </w:p>
        </w:tc>
        <w:tc>
          <w:tcPr>
            <w:tcW w:w="454" w:type="pct"/>
            <w:tcMar>
              <w:left w:w="28" w:type="dxa"/>
              <w:right w:w="28" w:type="dxa"/>
            </w:tcMar>
          </w:tcPr>
          <w:p w:rsidR="00C11C2D" w:rsidRPr="00377C13" w:rsidRDefault="00C11C2D" w:rsidP="007D3143">
            <w:pPr>
              <w:widowControl/>
              <w:spacing w:before="40" w:after="40"/>
              <w:ind w:left="-285"/>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 xml:space="preserve">12 to </w:t>
            </w:r>
            <w:r w:rsidR="00147511" w:rsidRPr="00377C13">
              <w:rPr>
                <w:rFonts w:ascii="Arial Narrow" w:eastAsia="SimSun" w:hAnsi="Arial Narrow" w:cs="Arial Narrow"/>
                <w:b/>
                <w:bCs/>
                <w:snapToGrid/>
                <w:sz w:val="20"/>
                <w:szCs w:val="20"/>
              </w:rPr>
              <w:t>&lt;</w:t>
            </w:r>
            <w:r w:rsidRPr="00377C13">
              <w:rPr>
                <w:rFonts w:ascii="Arial Narrow" w:eastAsia="SimSun" w:hAnsi="Arial Narrow" w:cs="Arial Narrow"/>
                <w:b/>
                <w:bCs/>
                <w:snapToGrid/>
                <w:sz w:val="20"/>
                <w:szCs w:val="20"/>
              </w:rPr>
              <w:t>24 months</w:t>
            </w:r>
          </w:p>
        </w:tc>
        <w:tc>
          <w:tcPr>
            <w:tcW w:w="1823" w:type="pct"/>
            <w:gridSpan w:val="4"/>
            <w:tcMar>
              <w:left w:w="28" w:type="dxa"/>
              <w:right w:w="28" w:type="dxa"/>
            </w:tcMar>
          </w:tcPr>
          <w:p w:rsidR="00C11C2D" w:rsidRPr="00377C13" w:rsidRDefault="00C11C2D" w:rsidP="007D3143">
            <w:pPr>
              <w:widowControl/>
              <w:spacing w:before="40" w:after="40"/>
              <w:ind w:left="172"/>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2 – 5 years</w:t>
            </w:r>
          </w:p>
        </w:tc>
        <w:tc>
          <w:tcPr>
            <w:tcW w:w="1816" w:type="pct"/>
            <w:gridSpan w:val="5"/>
            <w:tcBorders>
              <w:bottom w:val="single" w:sz="4" w:space="0" w:color="auto"/>
            </w:tcBorders>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 6 years</w:t>
            </w:r>
          </w:p>
        </w:tc>
      </w:tr>
      <w:tr w:rsidR="00C11C2D" w:rsidRPr="00377C13" w:rsidTr="00D077FC">
        <w:trPr>
          <w:trHeight w:val="287"/>
          <w:tblHeader/>
        </w:trPr>
        <w:tc>
          <w:tcPr>
            <w:tcW w:w="907" w:type="pct"/>
            <w:tcMar>
              <w:left w:w="28" w:type="dxa"/>
              <w:right w:w="28" w:type="dxa"/>
            </w:tcMar>
          </w:tcPr>
          <w:p w:rsidR="00C11C2D" w:rsidRPr="00377C13" w:rsidRDefault="00C11C2D" w:rsidP="007D3143">
            <w:pPr>
              <w:widowControl/>
              <w:spacing w:before="40" w:after="40"/>
              <w:jc w:val="left"/>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Study ID</w:t>
            </w:r>
          </w:p>
        </w:tc>
        <w:tc>
          <w:tcPr>
            <w:tcW w:w="454" w:type="pct"/>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Study 124</w:t>
            </w:r>
          </w:p>
        </w:tc>
        <w:tc>
          <w:tcPr>
            <w:tcW w:w="910" w:type="pct"/>
            <w:gridSpan w:val="2"/>
            <w:tcBorders>
              <w:bottom w:val="single" w:sz="4" w:space="0" w:color="auto"/>
            </w:tcBorders>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KIWI</w:t>
            </w:r>
          </w:p>
        </w:tc>
        <w:tc>
          <w:tcPr>
            <w:tcW w:w="913" w:type="pct"/>
            <w:gridSpan w:val="2"/>
            <w:tcBorders>
              <w:bottom w:val="single" w:sz="4" w:space="0" w:color="auto"/>
            </w:tcBorders>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KLIMB</w:t>
            </w:r>
          </w:p>
        </w:tc>
        <w:tc>
          <w:tcPr>
            <w:tcW w:w="910" w:type="pct"/>
            <w:gridSpan w:val="3"/>
            <w:tcBorders>
              <w:bottom w:val="single" w:sz="4" w:space="0" w:color="auto"/>
            </w:tcBorders>
            <w:tcMar>
              <w:left w:w="28" w:type="dxa"/>
              <w:right w:w="28" w:type="dxa"/>
            </w:tcMar>
          </w:tcPr>
          <w:p w:rsidR="00C11C2D" w:rsidRPr="00377C13" w:rsidRDefault="00C11C2D" w:rsidP="007D3143">
            <w:pPr>
              <w:widowControl/>
              <w:spacing w:before="40" w:after="40"/>
              <w:ind w:left="-113" w:right="-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ENVISION/ PERSIST</w:t>
            </w:r>
          </w:p>
        </w:tc>
        <w:tc>
          <w:tcPr>
            <w:tcW w:w="906" w:type="pct"/>
            <w:gridSpan w:val="2"/>
            <w:tcBorders>
              <w:bottom w:val="single" w:sz="4" w:space="0" w:color="auto"/>
            </w:tcBorders>
            <w:tcMar>
              <w:left w:w="28" w:type="dxa"/>
              <w:right w:w="28" w:type="dxa"/>
            </w:tcMar>
          </w:tcPr>
          <w:p w:rsidR="00C11C2D" w:rsidRPr="00377C13" w:rsidRDefault="00C11C2D" w:rsidP="007D3143">
            <w:pPr>
              <w:widowControl/>
              <w:spacing w:before="40" w:after="40"/>
              <w:ind w:left="-113" w:right="-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STRIVE/ PERSIST</w:t>
            </w:r>
          </w:p>
        </w:tc>
      </w:tr>
      <w:tr w:rsidR="00C11C2D" w:rsidRPr="00377C13" w:rsidTr="00D077FC">
        <w:trPr>
          <w:trHeight w:val="298"/>
          <w:tblHeader/>
        </w:trPr>
        <w:tc>
          <w:tcPr>
            <w:tcW w:w="907" w:type="pct"/>
            <w:vMerge w:val="restart"/>
            <w:tcMar>
              <w:left w:w="28" w:type="dxa"/>
              <w:right w:w="28" w:type="dxa"/>
            </w:tcMar>
          </w:tcPr>
          <w:p w:rsidR="00C11C2D" w:rsidRPr="00377C13" w:rsidRDefault="00C11C2D" w:rsidP="007D3143">
            <w:pPr>
              <w:widowControl/>
              <w:spacing w:before="40" w:after="40"/>
              <w:jc w:val="left"/>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Mean ∆ (SD) from baseline</w:t>
            </w:r>
          </w:p>
        </w:tc>
        <w:tc>
          <w:tcPr>
            <w:tcW w:w="454" w:type="pct"/>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 xml:space="preserve">24 </w:t>
            </w:r>
            <w:proofErr w:type="spellStart"/>
            <w:r w:rsidRPr="00377C13">
              <w:rPr>
                <w:rFonts w:ascii="Arial Narrow" w:eastAsia="SimSun" w:hAnsi="Arial Narrow" w:cs="Arial Narrow"/>
                <w:b/>
                <w:bCs/>
                <w:snapToGrid/>
                <w:sz w:val="20"/>
                <w:szCs w:val="20"/>
              </w:rPr>
              <w:t>wks</w:t>
            </w:r>
            <w:proofErr w:type="spellEnd"/>
          </w:p>
        </w:tc>
        <w:tc>
          <w:tcPr>
            <w:tcW w:w="910" w:type="pct"/>
            <w:gridSpan w:val="2"/>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 xml:space="preserve">24 </w:t>
            </w:r>
            <w:proofErr w:type="spellStart"/>
            <w:r w:rsidRPr="00377C13">
              <w:rPr>
                <w:rFonts w:ascii="Arial Narrow" w:eastAsia="SimSun" w:hAnsi="Arial Narrow" w:cs="Arial Narrow"/>
                <w:b/>
                <w:bCs/>
                <w:snapToGrid/>
                <w:sz w:val="20"/>
                <w:szCs w:val="20"/>
              </w:rPr>
              <w:t>wks</w:t>
            </w:r>
            <w:proofErr w:type="spellEnd"/>
          </w:p>
        </w:tc>
        <w:tc>
          <w:tcPr>
            <w:tcW w:w="913" w:type="pct"/>
            <w:gridSpan w:val="2"/>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 xml:space="preserve">108 </w:t>
            </w:r>
            <w:proofErr w:type="spellStart"/>
            <w:r w:rsidRPr="00377C13">
              <w:rPr>
                <w:rFonts w:ascii="Arial Narrow" w:eastAsia="SimSun" w:hAnsi="Arial Narrow" w:cs="Arial Narrow"/>
                <w:b/>
                <w:bCs/>
                <w:snapToGrid/>
                <w:sz w:val="20"/>
                <w:szCs w:val="20"/>
              </w:rPr>
              <w:t>wks</w:t>
            </w:r>
            <w:r w:rsidRPr="00377C13">
              <w:rPr>
                <w:rFonts w:ascii="Arial Narrow" w:eastAsia="SimSun" w:hAnsi="Arial Narrow" w:cs="Arial Narrow"/>
                <w:b/>
                <w:bCs/>
                <w:snapToGrid/>
                <w:sz w:val="20"/>
                <w:szCs w:val="20"/>
                <w:vertAlign w:val="superscript"/>
              </w:rPr>
              <w:t>a</w:t>
            </w:r>
            <w:proofErr w:type="spellEnd"/>
          </w:p>
        </w:tc>
        <w:tc>
          <w:tcPr>
            <w:tcW w:w="450" w:type="pct"/>
            <w:tcBorders>
              <w:right w:val="single" w:sz="4" w:space="0" w:color="auto"/>
            </w:tcBorders>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 xml:space="preserve">24 </w:t>
            </w:r>
            <w:proofErr w:type="spellStart"/>
            <w:r w:rsidRPr="00377C13">
              <w:rPr>
                <w:rFonts w:ascii="Arial Narrow" w:eastAsia="SimSun" w:hAnsi="Arial Narrow" w:cs="Arial Narrow"/>
                <w:b/>
                <w:bCs/>
                <w:snapToGrid/>
                <w:sz w:val="20"/>
                <w:szCs w:val="20"/>
              </w:rPr>
              <w:t>wks</w:t>
            </w:r>
            <w:proofErr w:type="spellEnd"/>
          </w:p>
        </w:tc>
        <w:tc>
          <w:tcPr>
            <w:tcW w:w="460" w:type="pct"/>
            <w:gridSpan w:val="2"/>
            <w:tcBorders>
              <w:left w:val="single" w:sz="4" w:space="0" w:color="auto"/>
              <w:bottom w:val="single" w:sz="4" w:space="0" w:color="auto"/>
              <w:right w:val="single" w:sz="4" w:space="0" w:color="auto"/>
            </w:tcBorders>
            <w:tcMar>
              <w:left w:w="28" w:type="dxa"/>
              <w:right w:w="28" w:type="dxa"/>
            </w:tcMar>
          </w:tcPr>
          <w:p w:rsidR="00C11C2D" w:rsidRPr="00377C13" w:rsidRDefault="00C11C2D" w:rsidP="007D3143">
            <w:pPr>
              <w:widowControl/>
              <w:spacing w:before="40" w:after="40"/>
              <w:ind w:left="-61"/>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 xml:space="preserve">144 </w:t>
            </w:r>
            <w:proofErr w:type="spellStart"/>
            <w:r w:rsidRPr="00377C13">
              <w:rPr>
                <w:rFonts w:ascii="Arial Narrow" w:eastAsia="SimSun" w:hAnsi="Arial Narrow" w:cs="Arial Narrow"/>
                <w:b/>
                <w:bCs/>
                <w:snapToGrid/>
                <w:sz w:val="20"/>
                <w:szCs w:val="20"/>
              </w:rPr>
              <w:t>wks</w:t>
            </w:r>
            <w:r w:rsidRPr="00377C13">
              <w:rPr>
                <w:rFonts w:ascii="Arial Narrow" w:eastAsia="SimSun" w:hAnsi="Arial Narrow" w:cs="Arial Narrow"/>
                <w:b/>
                <w:bCs/>
                <w:snapToGrid/>
                <w:sz w:val="20"/>
                <w:szCs w:val="20"/>
                <w:vertAlign w:val="superscript"/>
              </w:rPr>
              <w:t>b</w:t>
            </w:r>
            <w:proofErr w:type="spellEnd"/>
          </w:p>
        </w:tc>
        <w:tc>
          <w:tcPr>
            <w:tcW w:w="452" w:type="pct"/>
            <w:tcBorders>
              <w:left w:val="single" w:sz="4" w:space="0" w:color="auto"/>
              <w:bottom w:val="single" w:sz="4" w:space="0" w:color="auto"/>
            </w:tcBorders>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 xml:space="preserve">24 </w:t>
            </w:r>
            <w:proofErr w:type="spellStart"/>
            <w:r w:rsidRPr="00377C13">
              <w:rPr>
                <w:rFonts w:ascii="Arial Narrow" w:eastAsia="SimSun" w:hAnsi="Arial Narrow" w:cs="Arial Narrow"/>
                <w:b/>
                <w:bCs/>
                <w:snapToGrid/>
                <w:sz w:val="20"/>
                <w:szCs w:val="20"/>
              </w:rPr>
              <w:t>wks</w:t>
            </w:r>
            <w:proofErr w:type="spellEnd"/>
          </w:p>
        </w:tc>
        <w:tc>
          <w:tcPr>
            <w:tcW w:w="454" w:type="pct"/>
            <w:tcBorders>
              <w:left w:val="nil"/>
            </w:tcBorders>
            <w:tcMar>
              <w:left w:w="28" w:type="dxa"/>
              <w:right w:w="28" w:type="dxa"/>
            </w:tcMar>
          </w:tcPr>
          <w:p w:rsidR="00C11C2D" w:rsidRPr="00377C13" w:rsidRDefault="00C11C2D" w:rsidP="007D3143">
            <w:pPr>
              <w:widowControl/>
              <w:spacing w:before="40" w:after="40"/>
              <w:ind w:left="-61"/>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 xml:space="preserve">144 </w:t>
            </w:r>
            <w:proofErr w:type="spellStart"/>
            <w:r w:rsidRPr="00377C13">
              <w:rPr>
                <w:rFonts w:ascii="Arial Narrow" w:eastAsia="SimSun" w:hAnsi="Arial Narrow" w:cs="Arial Narrow"/>
                <w:b/>
                <w:bCs/>
                <w:snapToGrid/>
                <w:sz w:val="20"/>
                <w:szCs w:val="20"/>
              </w:rPr>
              <w:t>wks</w:t>
            </w:r>
            <w:r w:rsidRPr="00377C13">
              <w:rPr>
                <w:rFonts w:ascii="Arial Narrow" w:eastAsia="SimSun" w:hAnsi="Arial Narrow" w:cs="Arial Narrow"/>
                <w:b/>
                <w:bCs/>
                <w:snapToGrid/>
                <w:sz w:val="20"/>
                <w:szCs w:val="20"/>
                <w:vertAlign w:val="superscript"/>
              </w:rPr>
              <w:t>b</w:t>
            </w:r>
            <w:proofErr w:type="spellEnd"/>
          </w:p>
        </w:tc>
      </w:tr>
      <w:tr w:rsidR="00C11C2D" w:rsidRPr="00377C13" w:rsidTr="00D077FC">
        <w:trPr>
          <w:trHeight w:val="562"/>
          <w:tblHeader/>
        </w:trPr>
        <w:tc>
          <w:tcPr>
            <w:tcW w:w="907" w:type="pct"/>
            <w:vMerge/>
            <w:tcMar>
              <w:left w:w="28" w:type="dxa"/>
              <w:right w:w="28" w:type="dxa"/>
            </w:tcMar>
          </w:tcPr>
          <w:p w:rsidR="00C11C2D" w:rsidRPr="00377C13" w:rsidRDefault="00C11C2D" w:rsidP="007D3143">
            <w:pPr>
              <w:widowControl/>
              <w:spacing w:before="40" w:after="40"/>
              <w:jc w:val="left"/>
              <w:rPr>
                <w:rFonts w:ascii="Arial Narrow" w:eastAsia="SimSun" w:hAnsi="Arial Narrow" w:cs="Arial Narrow"/>
                <w:b/>
                <w:bCs/>
                <w:snapToGrid/>
                <w:sz w:val="20"/>
                <w:szCs w:val="20"/>
              </w:rPr>
            </w:pPr>
          </w:p>
        </w:tc>
        <w:tc>
          <w:tcPr>
            <w:tcW w:w="454" w:type="pct"/>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50 mg</w:t>
            </w:r>
          </w:p>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N=19</w:t>
            </w:r>
          </w:p>
        </w:tc>
        <w:tc>
          <w:tcPr>
            <w:tcW w:w="455" w:type="pct"/>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50 mg</w:t>
            </w:r>
            <w:r w:rsidRPr="00377C13">
              <w:rPr>
                <w:rFonts w:ascii="Arial Narrow" w:eastAsia="SimSun" w:hAnsi="Arial Narrow" w:cs="Arial Narrow"/>
                <w:b/>
                <w:bCs/>
                <w:snapToGrid/>
                <w:sz w:val="20"/>
                <w:szCs w:val="20"/>
              </w:rPr>
              <w:br/>
              <w:t>N=10</w:t>
            </w:r>
          </w:p>
        </w:tc>
        <w:tc>
          <w:tcPr>
            <w:tcW w:w="455" w:type="pct"/>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75 mg</w:t>
            </w:r>
            <w:r w:rsidRPr="00377C13">
              <w:rPr>
                <w:rFonts w:ascii="Arial Narrow" w:eastAsia="SimSun" w:hAnsi="Arial Narrow" w:cs="Arial Narrow"/>
                <w:b/>
                <w:bCs/>
                <w:snapToGrid/>
                <w:sz w:val="20"/>
                <w:szCs w:val="20"/>
              </w:rPr>
              <w:br/>
              <w:t>N=24</w:t>
            </w:r>
          </w:p>
        </w:tc>
        <w:tc>
          <w:tcPr>
            <w:tcW w:w="476" w:type="pct"/>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50 mg</w:t>
            </w:r>
            <w:r w:rsidRPr="00377C13">
              <w:rPr>
                <w:rFonts w:ascii="Arial Narrow" w:eastAsia="SimSun" w:hAnsi="Arial Narrow" w:cs="Arial Narrow"/>
                <w:b/>
                <w:bCs/>
                <w:snapToGrid/>
                <w:sz w:val="20"/>
                <w:szCs w:val="20"/>
              </w:rPr>
              <w:br/>
              <w:t>N=9</w:t>
            </w:r>
          </w:p>
        </w:tc>
        <w:tc>
          <w:tcPr>
            <w:tcW w:w="437" w:type="pct"/>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75 mg</w:t>
            </w:r>
            <w:r w:rsidRPr="00377C13">
              <w:rPr>
                <w:rFonts w:ascii="Arial Narrow" w:eastAsia="SimSun" w:hAnsi="Arial Narrow" w:cs="Arial Narrow"/>
                <w:b/>
                <w:bCs/>
                <w:snapToGrid/>
                <w:sz w:val="20"/>
                <w:szCs w:val="20"/>
              </w:rPr>
              <w:br/>
              <w:t>N=24</w:t>
            </w:r>
          </w:p>
        </w:tc>
        <w:tc>
          <w:tcPr>
            <w:tcW w:w="450" w:type="pct"/>
            <w:tcBorders>
              <w:right w:val="nil"/>
            </w:tcBorders>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150 mg</w:t>
            </w:r>
            <w:r w:rsidRPr="00377C13">
              <w:rPr>
                <w:rFonts w:ascii="Arial Narrow" w:eastAsia="SimSun" w:hAnsi="Arial Narrow" w:cs="Arial Narrow"/>
                <w:b/>
                <w:bCs/>
                <w:snapToGrid/>
                <w:sz w:val="20"/>
                <w:szCs w:val="20"/>
              </w:rPr>
              <w:br/>
              <w:t>N=52</w:t>
            </w:r>
          </w:p>
        </w:tc>
        <w:tc>
          <w:tcPr>
            <w:tcW w:w="460" w:type="pct"/>
            <w:gridSpan w:val="2"/>
            <w:tcBorders>
              <w:right w:val="single" w:sz="4" w:space="0" w:color="auto"/>
            </w:tcBorders>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150 mg</w:t>
            </w:r>
            <w:r w:rsidRPr="00377C13">
              <w:rPr>
                <w:rFonts w:ascii="Arial Narrow" w:eastAsia="SimSun" w:hAnsi="Arial Narrow" w:cs="Arial Narrow"/>
                <w:b/>
                <w:bCs/>
                <w:snapToGrid/>
                <w:sz w:val="20"/>
                <w:szCs w:val="20"/>
              </w:rPr>
              <w:br/>
              <w:t>N=25</w:t>
            </w:r>
          </w:p>
        </w:tc>
        <w:tc>
          <w:tcPr>
            <w:tcW w:w="452" w:type="pct"/>
            <w:tcBorders>
              <w:left w:val="single" w:sz="4" w:space="0" w:color="auto"/>
            </w:tcBorders>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150 mg</w:t>
            </w:r>
            <w:r w:rsidRPr="00377C13">
              <w:rPr>
                <w:rFonts w:ascii="Arial Narrow" w:eastAsia="SimSun" w:hAnsi="Arial Narrow" w:cs="Arial Narrow"/>
                <w:b/>
                <w:bCs/>
                <w:snapToGrid/>
                <w:sz w:val="20"/>
                <w:szCs w:val="20"/>
              </w:rPr>
              <w:br/>
              <w:t>N=161</w:t>
            </w:r>
          </w:p>
        </w:tc>
        <w:tc>
          <w:tcPr>
            <w:tcW w:w="454" w:type="pct"/>
            <w:tcBorders>
              <w:left w:val="nil"/>
            </w:tcBorders>
            <w:tcMar>
              <w:left w:w="28" w:type="dxa"/>
              <w:right w:w="28" w:type="dxa"/>
            </w:tcMar>
          </w:tcPr>
          <w:p w:rsidR="00C11C2D" w:rsidRPr="00377C13" w:rsidRDefault="00C11C2D" w:rsidP="007D3143">
            <w:pPr>
              <w:widowControl/>
              <w:spacing w:before="40" w:after="40"/>
              <w:jc w:val="center"/>
              <w:rPr>
                <w:rFonts w:ascii="Arial Narrow" w:eastAsia="SimSun" w:hAnsi="Arial Narrow" w:cs="Arial Narrow"/>
                <w:b/>
                <w:bCs/>
                <w:snapToGrid/>
                <w:sz w:val="20"/>
                <w:szCs w:val="20"/>
              </w:rPr>
            </w:pPr>
            <w:r w:rsidRPr="00377C13">
              <w:rPr>
                <w:rFonts w:ascii="Arial Narrow" w:eastAsia="SimSun" w:hAnsi="Arial Narrow" w:cs="Arial Narrow"/>
                <w:b/>
                <w:bCs/>
                <w:snapToGrid/>
                <w:sz w:val="20"/>
                <w:szCs w:val="20"/>
              </w:rPr>
              <w:t>150 mg</w:t>
            </w:r>
            <w:r w:rsidRPr="00377C13">
              <w:rPr>
                <w:rFonts w:ascii="Arial Narrow" w:eastAsia="SimSun" w:hAnsi="Arial Narrow" w:cs="Arial Narrow"/>
                <w:b/>
                <w:bCs/>
                <w:snapToGrid/>
                <w:sz w:val="20"/>
                <w:szCs w:val="20"/>
              </w:rPr>
              <w:br/>
              <w:t>N=72</w:t>
            </w:r>
          </w:p>
        </w:tc>
      </w:tr>
      <w:tr w:rsidR="00C11C2D" w:rsidRPr="00377C13" w:rsidTr="00D077FC">
        <w:trPr>
          <w:trHeight w:val="502"/>
        </w:trPr>
        <w:tc>
          <w:tcPr>
            <w:tcW w:w="907" w:type="pct"/>
            <w:tcMar>
              <w:left w:w="28" w:type="dxa"/>
              <w:right w:w="28" w:type="dxa"/>
            </w:tcMar>
          </w:tcPr>
          <w:p w:rsidR="00C11C2D" w:rsidRPr="00377C13" w:rsidRDefault="00C11C2D" w:rsidP="007D3143">
            <w:pPr>
              <w:widowControl/>
              <w:ind w:right="-74"/>
              <w:jc w:val="left"/>
              <w:rPr>
                <w:rFonts w:ascii="Arial Narrow" w:eastAsia="SimSun" w:hAnsi="Arial Narrow" w:cs="Arial Narrow"/>
                <w:snapToGrid/>
                <w:sz w:val="20"/>
                <w:szCs w:val="20"/>
              </w:rPr>
            </w:pPr>
            <w:r w:rsidRPr="00377C13">
              <w:rPr>
                <w:rFonts w:ascii="Arial Narrow" w:eastAsia="SimSun" w:hAnsi="Arial Narrow" w:cs="Arial Narrow"/>
                <w:snapToGrid/>
                <w:sz w:val="20"/>
                <w:szCs w:val="20"/>
              </w:rPr>
              <w:t>ppFEV</w:t>
            </w:r>
            <w:r w:rsidRPr="00377C13">
              <w:rPr>
                <w:rFonts w:ascii="Arial Narrow" w:eastAsia="SimSun" w:hAnsi="Arial Narrow" w:cs="Arial Narrow"/>
                <w:snapToGrid/>
                <w:sz w:val="20"/>
                <w:szCs w:val="20"/>
                <w:vertAlign w:val="subscript"/>
              </w:rPr>
              <w:t>1</w:t>
            </w:r>
            <w:r w:rsidRPr="00377C13">
              <w:rPr>
                <w:rFonts w:ascii="Arial Narrow" w:eastAsia="SimSun" w:hAnsi="Arial Narrow" w:cs="Arial Narrow"/>
                <w:snapToGrid/>
                <w:sz w:val="20"/>
                <w:szCs w:val="20"/>
              </w:rPr>
              <w:t xml:space="preserve"> (% points)</w:t>
            </w:r>
          </w:p>
        </w:tc>
        <w:tc>
          <w:tcPr>
            <w:tcW w:w="454"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5"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-12.5 (30.12)</w:t>
            </w:r>
          </w:p>
        </w:tc>
        <w:tc>
          <w:tcPr>
            <w:tcW w:w="455"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4.3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(14.78)</w:t>
            </w:r>
          </w:p>
        </w:tc>
        <w:tc>
          <w:tcPr>
            <w:tcW w:w="476" w:type="pct"/>
            <w:tcMar>
              <w:left w:w="28" w:type="dxa"/>
              <w:right w:w="28" w:type="dxa"/>
            </w:tcMar>
          </w:tcPr>
          <w:p w:rsidR="00C11C2D" w:rsidRPr="00377C13" w:rsidRDefault="00C11C2D" w:rsidP="007D3143">
            <w:pPr>
              <w:widowControl/>
              <w:spacing w:before="20" w:after="2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3.8 </w:t>
            </w:r>
            <w:r w:rsidRPr="00377C13">
              <w:rPr>
                <w:rFonts w:ascii="Arial Narrow" w:eastAsia="SimSun" w:hAnsi="Arial Narrow" w:cs="Arial Narrow"/>
                <w:snapToGrid/>
                <w:sz w:val="20"/>
                <w:szCs w:val="20"/>
              </w:rPr>
              <w:br/>
              <w:t>(18.1)</w:t>
            </w:r>
          </w:p>
        </w:tc>
        <w:tc>
          <w:tcPr>
            <w:tcW w:w="437" w:type="pct"/>
            <w:tcMar>
              <w:left w:w="28" w:type="dxa"/>
              <w:right w:w="28" w:type="dxa"/>
            </w:tcMar>
          </w:tcPr>
          <w:p w:rsidR="00C11C2D" w:rsidRPr="00377C13" w:rsidRDefault="00C11C2D" w:rsidP="007D3143">
            <w:pPr>
              <w:widowControl/>
              <w:spacing w:before="20" w:after="2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13.8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(20.0)</w:t>
            </w:r>
          </w:p>
        </w:tc>
        <w:tc>
          <w:tcPr>
            <w:tcW w:w="450"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10.67</w:t>
            </w:r>
            <w:r w:rsidRPr="00377C13">
              <w:rPr>
                <w:rFonts w:ascii="Arial Narrow" w:eastAsia="SimSun" w:hAnsi="Arial Narrow" w:cs="Arial Narrow"/>
                <w:snapToGrid/>
                <w:sz w:val="20"/>
                <w:szCs w:val="20"/>
              </w:rPr>
              <w:br/>
            </w:r>
          </w:p>
        </w:tc>
        <w:tc>
          <w:tcPr>
            <w:tcW w:w="460" w:type="pct"/>
            <w:gridSpan w:val="2"/>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10.30</w:t>
            </w:r>
            <w:r w:rsidRPr="00377C13">
              <w:rPr>
                <w:rFonts w:ascii="Arial Narrow" w:eastAsia="SimSun" w:hAnsi="Arial Narrow" w:cs="Arial Narrow"/>
                <w:snapToGrid/>
                <w:sz w:val="20"/>
                <w:szCs w:val="20"/>
              </w:rPr>
              <w:br/>
              <w:t>(12.4)</w:t>
            </w:r>
          </w:p>
        </w:tc>
        <w:tc>
          <w:tcPr>
            <w:tcW w:w="452"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10.13</w:t>
            </w:r>
            <w:r w:rsidRPr="00377C13">
              <w:rPr>
                <w:rFonts w:ascii="Arial Narrow" w:eastAsia="SimSun" w:hAnsi="Arial Narrow" w:cs="Arial Narrow"/>
                <w:snapToGrid/>
                <w:sz w:val="20"/>
                <w:szCs w:val="20"/>
              </w:rPr>
              <w:br/>
            </w:r>
          </w:p>
        </w:tc>
        <w:tc>
          <w:tcPr>
            <w:tcW w:w="454"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9.40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(10.8)</w:t>
            </w:r>
          </w:p>
        </w:tc>
      </w:tr>
      <w:tr w:rsidR="00C11C2D" w:rsidRPr="00377C13" w:rsidTr="00D077FC">
        <w:trPr>
          <w:trHeight w:val="513"/>
        </w:trPr>
        <w:tc>
          <w:tcPr>
            <w:tcW w:w="907" w:type="pct"/>
            <w:tcMar>
              <w:left w:w="28" w:type="dxa"/>
              <w:right w:w="28" w:type="dxa"/>
            </w:tcMar>
          </w:tcPr>
          <w:p w:rsidR="00C11C2D" w:rsidRPr="00377C13" w:rsidRDefault="00C11C2D" w:rsidP="007D3143">
            <w:pPr>
              <w:widowControl/>
              <w:ind w:right="-74"/>
              <w:jc w:val="left"/>
              <w:rPr>
                <w:rFonts w:ascii="Arial Narrow" w:eastAsia="SimSun" w:hAnsi="Arial Narrow" w:cs="Arial Narrow"/>
                <w:snapToGrid/>
                <w:sz w:val="20"/>
                <w:szCs w:val="20"/>
              </w:rPr>
            </w:pPr>
            <w:r w:rsidRPr="00377C13">
              <w:rPr>
                <w:rFonts w:ascii="Arial Narrow" w:eastAsia="SimSun" w:hAnsi="Arial Narrow" w:cs="Arial Narrow"/>
                <w:snapToGrid/>
                <w:sz w:val="20"/>
                <w:szCs w:val="20"/>
              </w:rPr>
              <w:t>Sweat chloride (</w:t>
            </w:r>
            <w:proofErr w:type="spellStart"/>
            <w:r w:rsidRPr="00377C13">
              <w:rPr>
                <w:rFonts w:ascii="Arial Narrow" w:eastAsia="SimSun" w:hAnsi="Arial Narrow" w:cs="Arial Narrow"/>
                <w:snapToGrid/>
                <w:sz w:val="20"/>
                <w:szCs w:val="20"/>
              </w:rPr>
              <w:t>mmol</w:t>
            </w:r>
            <w:proofErr w:type="spellEnd"/>
            <w:r w:rsidRPr="00377C13">
              <w:rPr>
                <w:rFonts w:ascii="Arial Narrow" w:eastAsia="SimSun" w:hAnsi="Arial Narrow" w:cs="Arial Narrow"/>
                <w:snapToGrid/>
                <w:sz w:val="20"/>
                <w:szCs w:val="20"/>
              </w:rPr>
              <w:t>/L)</w:t>
            </w:r>
          </w:p>
        </w:tc>
        <w:tc>
          <w:tcPr>
            <w:tcW w:w="454"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-73.5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(17.5)</w:t>
            </w:r>
          </w:p>
        </w:tc>
        <w:tc>
          <w:tcPr>
            <w:tcW w:w="455"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-47.1 (24.26)</w:t>
            </w:r>
          </w:p>
        </w:tc>
        <w:tc>
          <w:tcPr>
            <w:tcW w:w="455"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-46.8 (27.58)</w:t>
            </w:r>
          </w:p>
        </w:tc>
        <w:tc>
          <w:tcPr>
            <w:tcW w:w="476"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-46.5 </w:t>
            </w:r>
            <w:r w:rsidR="00D077FC"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(31.0)</w:t>
            </w:r>
          </w:p>
        </w:tc>
        <w:tc>
          <w:tcPr>
            <w:tcW w:w="437"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-58.1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(23.9)</w:t>
            </w:r>
          </w:p>
        </w:tc>
        <w:tc>
          <w:tcPr>
            <w:tcW w:w="450"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-58.6</w:t>
            </w:r>
            <w:r w:rsidRPr="00377C13">
              <w:rPr>
                <w:rFonts w:ascii="Arial Narrow" w:eastAsia="SimSun" w:hAnsi="Arial Narrow" w:cs="Arial Narrow"/>
                <w:snapToGrid/>
                <w:sz w:val="20"/>
                <w:szCs w:val="20"/>
              </w:rPr>
              <w:br/>
            </w:r>
          </w:p>
        </w:tc>
        <w:tc>
          <w:tcPr>
            <w:tcW w:w="460" w:type="pct"/>
            <w:gridSpan w:val="2"/>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r w:rsidRPr="00377C13">
              <w:rPr>
                <w:rFonts w:ascii="Arial Narrow" w:eastAsia="SimSun" w:hAnsi="Arial Narrow" w:cs="Arial Narrow"/>
                <w:snapToGrid/>
                <w:sz w:val="20"/>
                <w:szCs w:val="20"/>
              </w:rPr>
              <w:br/>
            </w:r>
          </w:p>
        </w:tc>
        <w:tc>
          <w:tcPr>
            <w:tcW w:w="452"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-52.2 </w:t>
            </w:r>
            <w:r w:rsidRPr="00377C13">
              <w:rPr>
                <w:rFonts w:ascii="Arial Narrow" w:eastAsia="SimSun" w:hAnsi="Arial Narrow" w:cs="Arial Narrow"/>
                <w:snapToGrid/>
                <w:sz w:val="20"/>
                <w:szCs w:val="20"/>
              </w:rPr>
              <w:br/>
            </w:r>
          </w:p>
        </w:tc>
        <w:tc>
          <w:tcPr>
            <w:tcW w:w="454"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r w:rsidRPr="00377C13">
              <w:rPr>
                <w:rFonts w:ascii="Arial Narrow" w:eastAsia="SimSun" w:hAnsi="Arial Narrow" w:cs="Arial Narrow"/>
                <w:snapToGrid/>
                <w:sz w:val="20"/>
                <w:szCs w:val="20"/>
              </w:rPr>
              <w:br/>
            </w:r>
          </w:p>
        </w:tc>
      </w:tr>
      <w:tr w:rsidR="00C11C2D" w:rsidRPr="00377C13" w:rsidTr="00D077FC">
        <w:trPr>
          <w:trHeight w:val="513"/>
        </w:trPr>
        <w:tc>
          <w:tcPr>
            <w:tcW w:w="907" w:type="pct"/>
            <w:tcMar>
              <w:left w:w="28" w:type="dxa"/>
              <w:right w:w="28" w:type="dxa"/>
            </w:tcMar>
          </w:tcPr>
          <w:p w:rsidR="00C11C2D" w:rsidRPr="00377C13" w:rsidRDefault="00C11C2D" w:rsidP="007D3143">
            <w:pPr>
              <w:widowControl/>
              <w:ind w:right="-74"/>
              <w:jc w:val="left"/>
              <w:rPr>
                <w:rFonts w:ascii="Arial Narrow" w:eastAsia="SimSun" w:hAnsi="Arial Narrow" w:cs="Arial Narrow"/>
                <w:snapToGrid/>
                <w:sz w:val="20"/>
                <w:szCs w:val="20"/>
              </w:rPr>
            </w:pPr>
            <w:r w:rsidRPr="00377C13">
              <w:rPr>
                <w:rFonts w:ascii="Arial Narrow" w:eastAsia="SimSun" w:hAnsi="Arial Narrow" w:cs="Arial Narrow"/>
                <w:snapToGrid/>
                <w:sz w:val="20"/>
                <w:szCs w:val="20"/>
              </w:rPr>
              <w:t>BMI-for-age z-score (units)</w:t>
            </w:r>
          </w:p>
        </w:tc>
        <w:tc>
          <w:tcPr>
            <w:tcW w:w="454"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0.07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(0.65)</w:t>
            </w:r>
          </w:p>
        </w:tc>
        <w:tc>
          <w:tcPr>
            <w:tcW w:w="455"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0.46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(0.456)</w:t>
            </w:r>
          </w:p>
        </w:tc>
        <w:tc>
          <w:tcPr>
            <w:tcW w:w="455"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0.34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(0.417)</w:t>
            </w:r>
          </w:p>
        </w:tc>
        <w:tc>
          <w:tcPr>
            <w:tcW w:w="476" w:type="pct"/>
            <w:tcMar>
              <w:left w:w="28" w:type="dxa"/>
              <w:right w:w="28" w:type="dxa"/>
            </w:tcMar>
          </w:tcPr>
          <w:p w:rsidR="00C11C2D" w:rsidRPr="00377C13" w:rsidRDefault="00C11C2D" w:rsidP="007D3143">
            <w:pPr>
              <w:widowControl/>
              <w:spacing w:before="20" w:after="2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0.40 </w:t>
            </w:r>
            <w:r w:rsidR="00D077FC"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(0.77)</w:t>
            </w:r>
          </w:p>
        </w:tc>
        <w:tc>
          <w:tcPr>
            <w:tcW w:w="437" w:type="pct"/>
            <w:tcMar>
              <w:left w:w="28" w:type="dxa"/>
              <w:right w:w="28" w:type="dxa"/>
            </w:tcMar>
          </w:tcPr>
          <w:p w:rsidR="00C11C2D" w:rsidRPr="00377C13" w:rsidRDefault="00C11C2D" w:rsidP="007D3143">
            <w:pPr>
              <w:widowControl/>
              <w:spacing w:before="20" w:after="2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0.21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(0.59)</w:t>
            </w:r>
          </w:p>
        </w:tc>
        <w:tc>
          <w:tcPr>
            <w:tcW w:w="450"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0.33</w:t>
            </w:r>
            <w:r w:rsidRPr="00377C13">
              <w:rPr>
                <w:rFonts w:ascii="Arial Narrow" w:eastAsia="SimSun" w:hAnsi="Arial Narrow" w:cs="Arial Narrow"/>
                <w:snapToGrid/>
                <w:sz w:val="20"/>
                <w:szCs w:val="20"/>
                <w:vertAlign w:val="superscript"/>
              </w:rPr>
              <w:br/>
            </w:r>
          </w:p>
        </w:tc>
        <w:tc>
          <w:tcPr>
            <w:tcW w:w="460" w:type="pct"/>
            <w:gridSpan w:val="2"/>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r w:rsidRPr="00377C13">
              <w:rPr>
                <w:rFonts w:ascii="Arial Narrow" w:eastAsia="SimSun" w:hAnsi="Arial Narrow" w:cs="Arial Narrow"/>
                <w:snapToGrid/>
                <w:sz w:val="20"/>
                <w:szCs w:val="20"/>
              </w:rPr>
              <w:br/>
            </w:r>
          </w:p>
        </w:tc>
        <w:tc>
          <w:tcPr>
            <w:tcW w:w="452"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0.36</w:t>
            </w:r>
            <w:r w:rsidRPr="00377C13">
              <w:rPr>
                <w:rFonts w:ascii="Arial Narrow" w:eastAsia="SimSun" w:hAnsi="Arial Narrow" w:cs="Arial Narrow"/>
                <w:snapToGrid/>
                <w:sz w:val="20"/>
                <w:szCs w:val="20"/>
                <w:vertAlign w:val="superscript"/>
              </w:rPr>
              <w:t xml:space="preserve"> </w:t>
            </w:r>
            <w:r w:rsidRPr="00377C13">
              <w:rPr>
                <w:rFonts w:ascii="Arial Narrow" w:eastAsia="SimSun" w:hAnsi="Arial Narrow" w:cs="Arial Narrow"/>
                <w:snapToGrid/>
                <w:sz w:val="20"/>
                <w:szCs w:val="20"/>
                <w:vertAlign w:val="superscript"/>
              </w:rPr>
              <w:br/>
            </w:r>
          </w:p>
        </w:tc>
        <w:tc>
          <w:tcPr>
            <w:tcW w:w="454"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r w:rsidRPr="00377C13">
              <w:rPr>
                <w:rFonts w:ascii="Arial Narrow" w:eastAsia="SimSun" w:hAnsi="Arial Narrow" w:cs="Arial Narrow"/>
                <w:snapToGrid/>
                <w:sz w:val="20"/>
                <w:szCs w:val="20"/>
              </w:rPr>
              <w:br/>
            </w:r>
          </w:p>
        </w:tc>
      </w:tr>
      <w:tr w:rsidR="00C11C2D" w:rsidRPr="00377C13" w:rsidTr="00D077FC">
        <w:trPr>
          <w:trHeight w:val="513"/>
        </w:trPr>
        <w:tc>
          <w:tcPr>
            <w:tcW w:w="907" w:type="pct"/>
            <w:tcMar>
              <w:left w:w="28" w:type="dxa"/>
              <w:right w:w="28" w:type="dxa"/>
            </w:tcMar>
          </w:tcPr>
          <w:p w:rsidR="00C11C2D" w:rsidRPr="00377C13" w:rsidRDefault="00C11C2D" w:rsidP="007D3143">
            <w:pPr>
              <w:widowControl/>
              <w:ind w:right="-74"/>
              <w:jc w:val="left"/>
              <w:rPr>
                <w:rFonts w:ascii="Arial Narrow" w:eastAsia="SimSun" w:hAnsi="Arial Narrow" w:cs="Arial Narrow"/>
                <w:snapToGrid/>
                <w:sz w:val="20"/>
                <w:szCs w:val="20"/>
              </w:rPr>
            </w:pPr>
            <w:r w:rsidRPr="00377C13">
              <w:rPr>
                <w:rFonts w:ascii="Arial Narrow" w:eastAsia="SimSun" w:hAnsi="Arial Narrow" w:cs="Arial Narrow"/>
                <w:snapToGrid/>
                <w:sz w:val="20"/>
                <w:szCs w:val="20"/>
              </w:rPr>
              <w:t>BMI (kg/m</w:t>
            </w:r>
            <w:r w:rsidRPr="00377C13">
              <w:rPr>
                <w:rFonts w:ascii="Arial Narrow" w:eastAsia="SimSun" w:hAnsi="Arial Narrow" w:cs="Arial Narrow"/>
                <w:snapToGrid/>
                <w:sz w:val="20"/>
                <w:szCs w:val="20"/>
                <w:vertAlign w:val="superscript"/>
              </w:rPr>
              <w:t>2</w:t>
            </w:r>
            <w:r w:rsidRPr="00377C13">
              <w:rPr>
                <w:rFonts w:ascii="Arial Narrow" w:eastAsia="SimSun" w:hAnsi="Arial Narrow" w:cs="Arial Narrow"/>
                <w:snapToGrid/>
                <w:sz w:val="20"/>
                <w:szCs w:val="20"/>
              </w:rPr>
              <w:t>)</w:t>
            </w:r>
          </w:p>
        </w:tc>
        <w:tc>
          <w:tcPr>
            <w:tcW w:w="454"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5"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0.33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(0.539)</w:t>
            </w:r>
          </w:p>
        </w:tc>
        <w:tc>
          <w:tcPr>
            <w:tcW w:w="455"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0.31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(0.549)</w:t>
            </w:r>
          </w:p>
        </w:tc>
        <w:tc>
          <w:tcPr>
            <w:tcW w:w="476"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-0.16 </w:t>
            </w:r>
            <w:r w:rsidR="00D077FC"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(0.96)</w:t>
            </w:r>
          </w:p>
        </w:tc>
        <w:tc>
          <w:tcPr>
            <w:tcW w:w="437"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0.28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(0.97)</w:t>
            </w:r>
          </w:p>
        </w:tc>
        <w:tc>
          <w:tcPr>
            <w:tcW w:w="450"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0.28</w:t>
            </w:r>
            <w:r w:rsidRPr="00377C13">
              <w:rPr>
                <w:rFonts w:ascii="Arial Narrow" w:eastAsia="SimSun" w:hAnsi="Arial Narrow" w:cs="Arial Narrow"/>
                <w:snapToGrid/>
                <w:sz w:val="20"/>
                <w:szCs w:val="20"/>
              </w:rPr>
              <w:br/>
            </w:r>
          </w:p>
        </w:tc>
        <w:tc>
          <w:tcPr>
            <w:tcW w:w="460" w:type="pct"/>
            <w:gridSpan w:val="2"/>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2.5 </w:t>
            </w:r>
            <w:r w:rsidRPr="00377C13">
              <w:rPr>
                <w:rFonts w:ascii="Arial Narrow" w:eastAsia="SimSun" w:hAnsi="Arial Narrow" w:cs="Arial Narrow"/>
                <w:snapToGrid/>
                <w:sz w:val="20"/>
                <w:szCs w:val="20"/>
              </w:rPr>
              <w:br/>
              <w:t>(1.6)</w:t>
            </w:r>
          </w:p>
        </w:tc>
        <w:tc>
          <w:tcPr>
            <w:tcW w:w="452"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0.91</w:t>
            </w:r>
            <w:r w:rsidRPr="00377C13">
              <w:rPr>
                <w:rFonts w:ascii="Arial Narrow" w:eastAsia="SimSun" w:hAnsi="Arial Narrow" w:cs="Arial Narrow"/>
                <w:snapToGrid/>
                <w:sz w:val="20"/>
                <w:szCs w:val="20"/>
              </w:rPr>
              <w:br/>
            </w:r>
          </w:p>
        </w:tc>
        <w:tc>
          <w:tcPr>
            <w:tcW w:w="454"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1.2 </w:t>
            </w:r>
            <w:r w:rsidRPr="00377C13">
              <w:rPr>
                <w:rFonts w:ascii="Arial Narrow" w:eastAsia="SimSun" w:hAnsi="Arial Narrow" w:cs="Arial Narrow"/>
                <w:snapToGrid/>
                <w:sz w:val="20"/>
                <w:szCs w:val="20"/>
              </w:rPr>
              <w:br/>
              <w:t>(2.2)</w:t>
            </w:r>
          </w:p>
        </w:tc>
      </w:tr>
      <w:tr w:rsidR="00C11C2D" w:rsidRPr="00377C13" w:rsidTr="00D077FC">
        <w:trPr>
          <w:trHeight w:val="513"/>
        </w:trPr>
        <w:tc>
          <w:tcPr>
            <w:tcW w:w="907" w:type="pct"/>
            <w:tcMar>
              <w:left w:w="28" w:type="dxa"/>
              <w:right w:w="28" w:type="dxa"/>
            </w:tcMar>
          </w:tcPr>
          <w:p w:rsidR="00C11C2D" w:rsidRPr="00377C13" w:rsidRDefault="00C11C2D" w:rsidP="007D3143">
            <w:pPr>
              <w:widowControl/>
              <w:ind w:right="-74"/>
              <w:jc w:val="left"/>
              <w:rPr>
                <w:rFonts w:ascii="Arial Narrow" w:eastAsia="SimSun" w:hAnsi="Arial Narrow" w:cs="Arial Narrow"/>
                <w:snapToGrid/>
                <w:sz w:val="20"/>
                <w:szCs w:val="20"/>
              </w:rPr>
            </w:pPr>
            <w:r w:rsidRPr="00377C13">
              <w:rPr>
                <w:rFonts w:ascii="Arial Narrow" w:eastAsia="SimSun" w:hAnsi="Arial Narrow" w:cs="Arial Narrow"/>
                <w:snapToGrid/>
                <w:sz w:val="20"/>
                <w:szCs w:val="20"/>
              </w:rPr>
              <w:t>Weight-for-age z-score (units)</w:t>
            </w:r>
          </w:p>
        </w:tc>
        <w:tc>
          <w:tcPr>
            <w:tcW w:w="454"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0.15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(0.42)</w:t>
            </w:r>
          </w:p>
        </w:tc>
        <w:tc>
          <w:tcPr>
            <w:tcW w:w="455"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0.18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(0.317)</w:t>
            </w:r>
          </w:p>
        </w:tc>
        <w:tc>
          <w:tcPr>
            <w:tcW w:w="455"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0.21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(0.228)</w:t>
            </w:r>
          </w:p>
        </w:tc>
        <w:tc>
          <w:tcPr>
            <w:tcW w:w="476"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0.16 </w:t>
            </w:r>
            <w:r w:rsidR="00D077FC"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(0.78)</w:t>
            </w:r>
          </w:p>
        </w:tc>
        <w:tc>
          <w:tcPr>
            <w:tcW w:w="437"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0.21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(0.55)</w:t>
            </w:r>
          </w:p>
        </w:tc>
        <w:tc>
          <w:tcPr>
            <w:tcW w:w="450"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0.30</w:t>
            </w:r>
            <w:r w:rsidRPr="00377C13">
              <w:rPr>
                <w:rFonts w:ascii="Arial Narrow" w:eastAsia="SimSun" w:hAnsi="Arial Narrow" w:cs="Arial Narrow"/>
                <w:snapToGrid/>
                <w:sz w:val="20"/>
                <w:szCs w:val="20"/>
                <w:vertAlign w:val="superscript"/>
              </w:rPr>
              <w:br/>
            </w:r>
          </w:p>
        </w:tc>
        <w:tc>
          <w:tcPr>
            <w:tcW w:w="460" w:type="pct"/>
            <w:gridSpan w:val="2"/>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r w:rsidRPr="00377C13">
              <w:rPr>
                <w:rFonts w:ascii="Arial Narrow" w:eastAsia="SimSun" w:hAnsi="Arial Narrow" w:cs="Arial Narrow"/>
                <w:snapToGrid/>
                <w:sz w:val="20"/>
                <w:szCs w:val="20"/>
              </w:rPr>
              <w:br/>
            </w:r>
          </w:p>
        </w:tc>
        <w:tc>
          <w:tcPr>
            <w:tcW w:w="452"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0.33</w:t>
            </w:r>
            <w:r w:rsidRPr="00377C13">
              <w:rPr>
                <w:rFonts w:ascii="Arial Narrow" w:eastAsia="SimSun" w:hAnsi="Arial Narrow" w:cs="Arial Narrow"/>
                <w:snapToGrid/>
                <w:sz w:val="20"/>
                <w:szCs w:val="20"/>
                <w:vertAlign w:val="superscript"/>
              </w:rPr>
              <w:br/>
            </w:r>
          </w:p>
        </w:tc>
        <w:tc>
          <w:tcPr>
            <w:tcW w:w="454"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r w:rsidRPr="00377C13">
              <w:rPr>
                <w:rFonts w:ascii="Arial Narrow" w:eastAsia="SimSun" w:hAnsi="Arial Narrow" w:cs="Arial Narrow"/>
                <w:snapToGrid/>
                <w:sz w:val="20"/>
                <w:szCs w:val="20"/>
              </w:rPr>
              <w:br/>
            </w:r>
          </w:p>
        </w:tc>
      </w:tr>
      <w:tr w:rsidR="00C11C2D" w:rsidRPr="00377C13" w:rsidTr="00D077FC">
        <w:trPr>
          <w:trHeight w:val="287"/>
        </w:trPr>
        <w:tc>
          <w:tcPr>
            <w:tcW w:w="907" w:type="pct"/>
            <w:tcMar>
              <w:left w:w="28" w:type="dxa"/>
              <w:right w:w="28" w:type="dxa"/>
            </w:tcMar>
          </w:tcPr>
          <w:p w:rsidR="00C11C2D" w:rsidRPr="00377C13" w:rsidRDefault="00C11C2D" w:rsidP="007D3143">
            <w:pPr>
              <w:widowControl/>
              <w:ind w:right="-74"/>
              <w:jc w:val="left"/>
              <w:rPr>
                <w:rFonts w:ascii="Arial Narrow" w:eastAsia="SimSun" w:hAnsi="Arial Narrow" w:cs="Arial Narrow"/>
                <w:snapToGrid/>
                <w:sz w:val="20"/>
                <w:szCs w:val="20"/>
              </w:rPr>
            </w:pPr>
            <w:r w:rsidRPr="00377C13">
              <w:rPr>
                <w:rFonts w:ascii="Arial Narrow" w:eastAsia="SimSun" w:hAnsi="Arial Narrow" w:cs="Arial Narrow"/>
                <w:snapToGrid/>
                <w:sz w:val="20"/>
                <w:szCs w:val="20"/>
              </w:rPr>
              <w:t>Weight (kg)</w:t>
            </w:r>
          </w:p>
        </w:tc>
        <w:tc>
          <w:tcPr>
            <w:tcW w:w="454"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1.4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(0.60)</w:t>
            </w:r>
          </w:p>
        </w:tc>
        <w:tc>
          <w:tcPr>
            <w:tcW w:w="455"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1.0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(0.42)</w:t>
            </w:r>
          </w:p>
        </w:tc>
        <w:tc>
          <w:tcPr>
            <w:tcW w:w="455"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1.5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(0.55)</w:t>
            </w:r>
          </w:p>
        </w:tc>
        <w:tc>
          <w:tcPr>
            <w:tcW w:w="476"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4.0 </w:t>
            </w:r>
            <w:r w:rsidR="00D077FC"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(1.2)</w:t>
            </w:r>
          </w:p>
        </w:tc>
        <w:tc>
          <w:tcPr>
            <w:tcW w:w="437"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5.7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(1.9)</w:t>
            </w:r>
          </w:p>
        </w:tc>
        <w:tc>
          <w:tcPr>
            <w:tcW w:w="450"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3.69</w:t>
            </w:r>
          </w:p>
        </w:tc>
        <w:tc>
          <w:tcPr>
            <w:tcW w:w="460" w:type="pct"/>
            <w:gridSpan w:val="2"/>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14.8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(5.7)</w:t>
            </w:r>
          </w:p>
        </w:tc>
        <w:tc>
          <w:tcPr>
            <w:tcW w:w="452"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vertAlign w:val="superscript"/>
              </w:rPr>
            </w:pPr>
            <w:r w:rsidRPr="00377C13">
              <w:rPr>
                <w:rFonts w:ascii="Arial Narrow" w:eastAsia="SimSun" w:hAnsi="Arial Narrow" w:cs="Arial Narrow"/>
                <w:snapToGrid/>
                <w:sz w:val="20"/>
                <w:szCs w:val="20"/>
              </w:rPr>
              <w:t>3.11</w:t>
            </w:r>
          </w:p>
        </w:tc>
        <w:tc>
          <w:tcPr>
            <w:tcW w:w="454" w:type="pct"/>
            <w:tcMar>
              <w:left w:w="28" w:type="dxa"/>
              <w:right w:w="28" w:type="dxa"/>
            </w:tcMar>
          </w:tcPr>
          <w:p w:rsidR="00C11C2D" w:rsidRPr="00377C13" w:rsidRDefault="00C11C2D"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4.1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(7.1)</w:t>
            </w:r>
          </w:p>
        </w:tc>
      </w:tr>
      <w:tr w:rsidR="0053521A" w:rsidRPr="00377C13" w:rsidTr="00D077FC">
        <w:trPr>
          <w:trHeight w:val="513"/>
        </w:trPr>
        <w:tc>
          <w:tcPr>
            <w:tcW w:w="907" w:type="pct"/>
            <w:tcMar>
              <w:left w:w="28" w:type="dxa"/>
              <w:right w:w="28" w:type="dxa"/>
            </w:tcMar>
          </w:tcPr>
          <w:p w:rsidR="0053521A" w:rsidRPr="00377C13" w:rsidRDefault="0053521A" w:rsidP="007D3143">
            <w:pPr>
              <w:widowControl/>
              <w:ind w:right="-74"/>
              <w:jc w:val="left"/>
              <w:rPr>
                <w:rFonts w:ascii="Arial Narrow" w:eastAsia="SimSun" w:hAnsi="Arial Narrow" w:cs="Arial Narrow"/>
                <w:snapToGrid/>
                <w:sz w:val="20"/>
                <w:szCs w:val="20"/>
              </w:rPr>
            </w:pPr>
            <w:r w:rsidRPr="00377C13">
              <w:rPr>
                <w:rFonts w:ascii="Arial Narrow" w:eastAsia="SimSun" w:hAnsi="Arial Narrow" w:cs="Arial Narrow"/>
                <w:snapToGrid/>
                <w:sz w:val="20"/>
                <w:szCs w:val="20"/>
              </w:rPr>
              <w:t>Stature-for-age z-score (units)</w:t>
            </w:r>
          </w:p>
        </w:tc>
        <w:tc>
          <w:tcPr>
            <w:tcW w:w="454"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0.28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(0.60)</w:t>
            </w:r>
          </w:p>
        </w:tc>
        <w:tc>
          <w:tcPr>
            <w:tcW w:w="455"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-0.25 (0.448)</w:t>
            </w:r>
          </w:p>
        </w:tc>
        <w:tc>
          <w:tcPr>
            <w:tcW w:w="455"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0.08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(0.216)</w:t>
            </w:r>
          </w:p>
        </w:tc>
        <w:tc>
          <w:tcPr>
            <w:tcW w:w="476" w:type="pct"/>
            <w:tcMar>
              <w:left w:w="28" w:type="dxa"/>
              <w:right w:w="28" w:type="dxa"/>
            </w:tcMar>
          </w:tcPr>
          <w:p w:rsidR="0053521A" w:rsidRPr="00377C13" w:rsidRDefault="0053521A" w:rsidP="007D3143">
            <w:pPr>
              <w:widowControl/>
              <w:adjustRightInd w:val="0"/>
              <w:spacing w:before="29" w:after="29"/>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-0.14 </w:t>
            </w:r>
            <w:r w:rsidR="00D077FC"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(0.41)</w:t>
            </w:r>
          </w:p>
        </w:tc>
        <w:tc>
          <w:tcPr>
            <w:tcW w:w="437" w:type="pct"/>
            <w:tcMar>
              <w:left w:w="28" w:type="dxa"/>
              <w:right w:w="28" w:type="dxa"/>
            </w:tcMar>
          </w:tcPr>
          <w:p w:rsidR="0053521A" w:rsidRPr="00377C13" w:rsidRDefault="0053521A" w:rsidP="007D3143">
            <w:pPr>
              <w:widowControl/>
              <w:adjustRightInd w:val="0"/>
              <w:spacing w:before="29" w:after="29"/>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0.24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(0.40)</w:t>
            </w:r>
          </w:p>
        </w:tc>
        <w:tc>
          <w:tcPr>
            <w:tcW w:w="450"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6" w:type="pct"/>
            <w:tcMar>
              <w:left w:w="28" w:type="dxa"/>
              <w:right w:w="28" w:type="dxa"/>
            </w:tcMar>
          </w:tcPr>
          <w:p w:rsidR="0053521A" w:rsidRPr="00377C13" w:rsidRDefault="00E919A3"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6" w:type="pct"/>
            <w:gridSpan w:val="2"/>
            <w:tcMar>
              <w:left w:w="28" w:type="dxa"/>
              <w:right w:w="28" w:type="dxa"/>
            </w:tcMar>
          </w:tcPr>
          <w:p w:rsidR="0053521A" w:rsidRPr="00377C13" w:rsidRDefault="00E919A3"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4" w:type="pct"/>
            <w:tcMar>
              <w:left w:w="28" w:type="dxa"/>
              <w:right w:w="28" w:type="dxa"/>
            </w:tcMar>
          </w:tcPr>
          <w:p w:rsidR="0053521A" w:rsidRPr="00377C13" w:rsidRDefault="00E919A3"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r>
      <w:tr w:rsidR="0053521A" w:rsidRPr="00377C13" w:rsidTr="00D077FC">
        <w:trPr>
          <w:trHeight w:val="298"/>
        </w:trPr>
        <w:tc>
          <w:tcPr>
            <w:tcW w:w="907" w:type="pct"/>
            <w:tcMar>
              <w:left w:w="28" w:type="dxa"/>
              <w:right w:w="28" w:type="dxa"/>
            </w:tcMar>
          </w:tcPr>
          <w:p w:rsidR="0053521A" w:rsidRPr="00377C13" w:rsidRDefault="0053521A" w:rsidP="007D3143">
            <w:pPr>
              <w:widowControl/>
              <w:ind w:right="-74"/>
              <w:jc w:val="left"/>
              <w:rPr>
                <w:rFonts w:ascii="Arial Narrow" w:eastAsia="SimSun" w:hAnsi="Arial Narrow" w:cs="Arial Narrow"/>
                <w:snapToGrid/>
                <w:sz w:val="20"/>
                <w:szCs w:val="20"/>
              </w:rPr>
            </w:pPr>
            <w:r w:rsidRPr="00377C13">
              <w:rPr>
                <w:rFonts w:ascii="Arial Narrow" w:eastAsia="SimSun" w:hAnsi="Arial Narrow" w:cs="Arial Narrow"/>
                <w:snapToGrid/>
                <w:sz w:val="20"/>
                <w:szCs w:val="20"/>
              </w:rPr>
              <w:t>Stature (cm)</w:t>
            </w:r>
          </w:p>
        </w:tc>
        <w:tc>
          <w:tcPr>
            <w:tcW w:w="454"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6.1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(1.6)</w:t>
            </w:r>
          </w:p>
        </w:tc>
        <w:tc>
          <w:tcPr>
            <w:tcW w:w="455"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2.5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(1.45)</w:t>
            </w:r>
          </w:p>
        </w:tc>
        <w:tc>
          <w:tcPr>
            <w:tcW w:w="455"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3.5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(0.93)</w:t>
            </w:r>
          </w:p>
        </w:tc>
        <w:tc>
          <w:tcPr>
            <w:tcW w:w="476"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13.6 </w:t>
            </w:r>
            <w:r w:rsidR="00D077FC"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(2.3)</w:t>
            </w:r>
          </w:p>
        </w:tc>
        <w:tc>
          <w:tcPr>
            <w:tcW w:w="437"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15.0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(2.3)</w:t>
            </w:r>
          </w:p>
        </w:tc>
        <w:tc>
          <w:tcPr>
            <w:tcW w:w="450"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6" w:type="pct"/>
            <w:tcMar>
              <w:left w:w="28" w:type="dxa"/>
              <w:right w:w="28" w:type="dxa"/>
            </w:tcMar>
          </w:tcPr>
          <w:p w:rsidR="0053521A" w:rsidRPr="00377C13" w:rsidRDefault="00E919A3"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6" w:type="pct"/>
            <w:gridSpan w:val="2"/>
            <w:tcMar>
              <w:left w:w="28" w:type="dxa"/>
              <w:right w:w="28" w:type="dxa"/>
            </w:tcMar>
          </w:tcPr>
          <w:p w:rsidR="0053521A" w:rsidRPr="00377C13" w:rsidRDefault="00E919A3"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4" w:type="pct"/>
            <w:tcMar>
              <w:left w:w="28" w:type="dxa"/>
              <w:right w:w="28" w:type="dxa"/>
            </w:tcMar>
          </w:tcPr>
          <w:p w:rsidR="0053521A" w:rsidRPr="00377C13" w:rsidRDefault="00E919A3"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r>
      <w:tr w:rsidR="0053521A" w:rsidRPr="00377C13" w:rsidTr="00D077FC">
        <w:trPr>
          <w:trHeight w:val="430"/>
        </w:trPr>
        <w:tc>
          <w:tcPr>
            <w:tcW w:w="907" w:type="pct"/>
            <w:tcMar>
              <w:left w:w="28" w:type="dxa"/>
              <w:right w:w="28" w:type="dxa"/>
            </w:tcMar>
          </w:tcPr>
          <w:p w:rsidR="0053521A" w:rsidRPr="00377C13" w:rsidRDefault="0053521A" w:rsidP="007D3143">
            <w:pPr>
              <w:widowControl/>
              <w:ind w:right="-74"/>
              <w:jc w:val="left"/>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Pulmonary exacerbations </w:t>
            </w:r>
            <w:r w:rsidR="00C7600E" w:rsidRPr="00377C13">
              <w:rPr>
                <w:rFonts w:ascii="Arial Narrow" w:eastAsia="SimSun" w:hAnsi="Arial Narrow" w:cs="Arial Narrow"/>
                <w:snapToGrid/>
                <w:sz w:val="20"/>
                <w:szCs w:val="20"/>
              </w:rPr>
              <w:t xml:space="preserve">- </w:t>
            </w:r>
            <w:r w:rsidRPr="00377C13">
              <w:rPr>
                <w:rFonts w:ascii="Arial Narrow" w:eastAsia="SimSun" w:hAnsi="Arial Narrow" w:cs="Arial Narrow"/>
                <w:snapToGrid/>
                <w:sz w:val="20"/>
                <w:szCs w:val="20"/>
              </w:rPr>
              <w:t>no. events (observed event</w:t>
            </w:r>
            <w:r w:rsidR="00C7600E" w:rsidRPr="00377C13">
              <w:rPr>
                <w:rFonts w:ascii="Arial Narrow" w:eastAsia="SimSun" w:hAnsi="Arial Narrow" w:cs="Arial Narrow"/>
                <w:snapToGrid/>
                <w:sz w:val="20"/>
                <w:szCs w:val="20"/>
              </w:rPr>
              <w:t>s per patient</w:t>
            </w:r>
            <w:r w:rsidR="00B47A0D">
              <w:rPr>
                <w:rFonts w:ascii="Arial Narrow" w:eastAsia="SimSun" w:hAnsi="Arial Narrow" w:cs="Arial Narrow"/>
                <w:snapToGrid/>
                <w:sz w:val="20"/>
                <w:szCs w:val="20"/>
              </w:rPr>
              <w:t xml:space="preserve"> </w:t>
            </w:r>
            <w:r w:rsidRPr="00377C13">
              <w:rPr>
                <w:rFonts w:ascii="Arial Narrow" w:eastAsia="SimSun" w:hAnsi="Arial Narrow" w:cs="Arial Narrow"/>
                <w:snapToGrid/>
                <w:sz w:val="20"/>
                <w:szCs w:val="20"/>
              </w:rPr>
              <w:t>per year) Definition 1</w:t>
            </w:r>
            <w:r w:rsidRPr="00377C13">
              <w:rPr>
                <w:rFonts w:ascii="Arial Narrow" w:eastAsia="SimSun" w:hAnsi="Arial Narrow" w:cs="Arial Narrow"/>
                <w:snapToGrid/>
                <w:sz w:val="20"/>
                <w:szCs w:val="20"/>
                <w:vertAlign w:val="superscript"/>
              </w:rPr>
              <w:t>a</w:t>
            </w:r>
            <w:r w:rsidRPr="00377C13">
              <w:rPr>
                <w:rFonts w:ascii="Arial Narrow" w:eastAsia="SimSun" w:hAnsi="Arial Narrow" w:cs="Arial Narrow"/>
                <w:snapToGrid/>
                <w:sz w:val="20"/>
                <w:szCs w:val="20"/>
              </w:rPr>
              <w:t xml:space="preserve"> </w:t>
            </w:r>
          </w:p>
        </w:tc>
        <w:tc>
          <w:tcPr>
            <w:tcW w:w="454"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13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(1.55)</w:t>
            </w:r>
          </w:p>
        </w:tc>
        <w:tc>
          <w:tcPr>
            <w:tcW w:w="455" w:type="pct"/>
            <w:tcBorders>
              <w:top w:val="single" w:sz="4" w:space="0" w:color="auto"/>
              <w:bottom w:val="single" w:sz="4" w:space="0" w:color="auto"/>
            </w:tcBorders>
            <w:tcMar>
              <w:left w:w="28" w:type="dxa"/>
              <w:right w:w="28" w:type="dxa"/>
            </w:tcMar>
          </w:tcPr>
          <w:p w:rsidR="0053521A" w:rsidRPr="00377C13" w:rsidRDefault="0053521A" w:rsidP="007D3143">
            <w:pPr>
              <w:widowControl/>
              <w:spacing w:before="40" w:after="40"/>
              <w:ind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5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(0.54)</w:t>
            </w:r>
          </w:p>
          <w:p w:rsidR="0053521A" w:rsidRPr="00377C13" w:rsidRDefault="0053521A" w:rsidP="007D3143">
            <w:pPr>
              <w:widowControl/>
              <w:spacing w:before="40" w:after="40"/>
              <w:ind w:right="-71"/>
              <w:jc w:val="center"/>
              <w:rPr>
                <w:rFonts w:ascii="Arial Narrow" w:eastAsia="SimSun" w:hAnsi="Arial Narrow" w:cs="Arial Narrow"/>
                <w:snapToGrid/>
                <w:sz w:val="20"/>
                <w:szCs w:val="20"/>
              </w:rPr>
            </w:pPr>
          </w:p>
        </w:tc>
        <w:tc>
          <w:tcPr>
            <w:tcW w:w="455" w:type="pct"/>
            <w:tcBorders>
              <w:top w:val="single" w:sz="4" w:space="0" w:color="auto"/>
              <w:bottom w:val="single" w:sz="4" w:space="0" w:color="auto"/>
            </w:tcBorders>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30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(1.24)</w:t>
            </w:r>
          </w:p>
        </w:tc>
        <w:tc>
          <w:tcPr>
            <w:tcW w:w="476" w:type="pct"/>
            <w:tcBorders>
              <w:top w:val="single" w:sz="4" w:space="0" w:color="auto"/>
              <w:bottom w:val="single" w:sz="4" w:space="0" w:color="auto"/>
            </w:tcBorders>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17 </w:t>
            </w:r>
            <w:r w:rsidR="00D077FC"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(1.75)</w:t>
            </w:r>
          </w:p>
        </w:tc>
        <w:tc>
          <w:tcPr>
            <w:tcW w:w="437" w:type="pct"/>
            <w:tcBorders>
              <w:top w:val="single" w:sz="4" w:space="0" w:color="auto"/>
              <w:bottom w:val="single" w:sz="4" w:space="0" w:color="auto"/>
            </w:tcBorders>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23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(0.97)</w:t>
            </w:r>
          </w:p>
        </w:tc>
        <w:tc>
          <w:tcPr>
            <w:tcW w:w="450"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6" w:type="pct"/>
            <w:tcMar>
              <w:left w:w="28" w:type="dxa"/>
              <w:right w:w="28" w:type="dxa"/>
            </w:tcMar>
          </w:tcPr>
          <w:p w:rsidR="0053521A" w:rsidRPr="00377C13" w:rsidRDefault="00E919A3"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6" w:type="pct"/>
            <w:gridSpan w:val="2"/>
            <w:tcMar>
              <w:left w:w="28" w:type="dxa"/>
              <w:right w:w="28" w:type="dxa"/>
            </w:tcMar>
          </w:tcPr>
          <w:p w:rsidR="0053521A" w:rsidRPr="00377C13" w:rsidRDefault="00E919A3"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4" w:type="pct"/>
            <w:tcMar>
              <w:left w:w="28" w:type="dxa"/>
              <w:right w:w="28" w:type="dxa"/>
            </w:tcMar>
          </w:tcPr>
          <w:p w:rsidR="0053521A" w:rsidRPr="00377C13" w:rsidRDefault="00E919A3"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r>
      <w:tr w:rsidR="0053521A" w:rsidRPr="00377C13" w:rsidTr="00D077FC">
        <w:trPr>
          <w:trHeight w:val="442"/>
        </w:trPr>
        <w:tc>
          <w:tcPr>
            <w:tcW w:w="907" w:type="pct"/>
            <w:tcMar>
              <w:left w:w="28" w:type="dxa"/>
              <w:right w:w="28" w:type="dxa"/>
            </w:tcMar>
          </w:tcPr>
          <w:p w:rsidR="0053521A" w:rsidRPr="00377C13" w:rsidRDefault="0053521A" w:rsidP="007D3143">
            <w:pPr>
              <w:widowControl/>
              <w:ind w:right="-74"/>
              <w:jc w:val="left"/>
              <w:rPr>
                <w:rFonts w:ascii="Arial Narrow" w:eastAsia="SimSun" w:hAnsi="Arial Narrow" w:cs="Arial Narrow"/>
                <w:snapToGrid/>
                <w:sz w:val="20"/>
                <w:szCs w:val="20"/>
                <w:vertAlign w:val="superscript"/>
              </w:rPr>
            </w:pPr>
            <w:r w:rsidRPr="00377C13">
              <w:rPr>
                <w:rFonts w:ascii="Arial Narrow" w:eastAsia="SimSun" w:hAnsi="Arial Narrow" w:cs="Arial Narrow"/>
                <w:snapToGrid/>
                <w:sz w:val="20"/>
                <w:szCs w:val="20"/>
              </w:rPr>
              <w:t>Pulmonary exacerbations (no. events (event rate) Definition 2</w:t>
            </w:r>
            <w:r w:rsidRPr="00377C13">
              <w:rPr>
                <w:rFonts w:ascii="Arial Narrow" w:eastAsia="SimSun" w:hAnsi="Arial Narrow" w:cs="Arial Narrow"/>
                <w:snapToGrid/>
                <w:sz w:val="20"/>
                <w:szCs w:val="20"/>
                <w:vertAlign w:val="superscript"/>
              </w:rPr>
              <w:t>a</w:t>
            </w:r>
          </w:p>
        </w:tc>
        <w:tc>
          <w:tcPr>
            <w:tcW w:w="454"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8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(0.95)</w:t>
            </w:r>
          </w:p>
        </w:tc>
        <w:tc>
          <w:tcPr>
            <w:tcW w:w="455" w:type="pct"/>
            <w:tcBorders>
              <w:top w:val="single" w:sz="4" w:space="0" w:color="auto"/>
              <w:bottom w:val="single" w:sz="4" w:space="0" w:color="auto"/>
            </w:tcBorders>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2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(0.21)</w:t>
            </w:r>
          </w:p>
        </w:tc>
        <w:tc>
          <w:tcPr>
            <w:tcW w:w="455" w:type="pct"/>
            <w:tcBorders>
              <w:top w:val="single" w:sz="4" w:space="0" w:color="auto"/>
              <w:bottom w:val="single" w:sz="4" w:space="0" w:color="auto"/>
            </w:tcBorders>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4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(0.17)</w:t>
            </w:r>
          </w:p>
        </w:tc>
        <w:tc>
          <w:tcPr>
            <w:tcW w:w="476" w:type="pct"/>
            <w:tcBorders>
              <w:top w:val="single" w:sz="4" w:space="0" w:color="auto"/>
              <w:bottom w:val="single" w:sz="4" w:space="0" w:color="auto"/>
            </w:tcBorders>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4 </w:t>
            </w:r>
            <w:r w:rsidR="00D077FC"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(0.41)</w:t>
            </w:r>
          </w:p>
        </w:tc>
        <w:tc>
          <w:tcPr>
            <w:tcW w:w="437" w:type="pct"/>
            <w:tcBorders>
              <w:top w:val="single" w:sz="4" w:space="0" w:color="auto"/>
              <w:bottom w:val="single" w:sz="4" w:space="0" w:color="auto"/>
            </w:tcBorders>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 xml:space="preserve">5 </w:t>
            </w:r>
            <w:r w:rsidR="0097579B" w:rsidRPr="00377C13">
              <w:rPr>
                <w:rFonts w:ascii="Arial Narrow" w:eastAsia="SimSun" w:hAnsi="Arial Narrow" w:cs="Arial Narrow"/>
                <w:snapToGrid/>
                <w:sz w:val="20"/>
                <w:szCs w:val="20"/>
              </w:rPr>
              <w:br/>
            </w:r>
            <w:r w:rsidRPr="00377C13">
              <w:rPr>
                <w:rFonts w:ascii="Arial Narrow" w:eastAsia="SimSun" w:hAnsi="Arial Narrow" w:cs="Arial Narrow"/>
                <w:snapToGrid/>
                <w:sz w:val="20"/>
                <w:szCs w:val="20"/>
              </w:rPr>
              <w:t>(0.21)</w:t>
            </w:r>
          </w:p>
        </w:tc>
        <w:tc>
          <w:tcPr>
            <w:tcW w:w="450" w:type="pct"/>
            <w:tcMar>
              <w:left w:w="28" w:type="dxa"/>
              <w:right w:w="28" w:type="dxa"/>
            </w:tcMar>
          </w:tcPr>
          <w:p w:rsidR="0053521A" w:rsidRPr="00377C13" w:rsidRDefault="0053521A"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6" w:type="pct"/>
            <w:tcMar>
              <w:left w:w="28" w:type="dxa"/>
              <w:right w:w="28" w:type="dxa"/>
            </w:tcMar>
          </w:tcPr>
          <w:p w:rsidR="0053521A" w:rsidRPr="00377C13" w:rsidRDefault="00E919A3"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6" w:type="pct"/>
            <w:gridSpan w:val="2"/>
            <w:tcMar>
              <w:left w:w="28" w:type="dxa"/>
              <w:right w:w="28" w:type="dxa"/>
            </w:tcMar>
          </w:tcPr>
          <w:p w:rsidR="0053521A" w:rsidRPr="00377C13" w:rsidRDefault="00E919A3"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c>
          <w:tcPr>
            <w:tcW w:w="454" w:type="pct"/>
            <w:tcMar>
              <w:left w:w="28" w:type="dxa"/>
              <w:right w:w="28" w:type="dxa"/>
            </w:tcMar>
          </w:tcPr>
          <w:p w:rsidR="0053521A" w:rsidRPr="00377C13" w:rsidRDefault="00E919A3" w:rsidP="007D3143">
            <w:pPr>
              <w:widowControl/>
              <w:spacing w:before="40" w:after="40"/>
              <w:ind w:left="-72" w:right="-71"/>
              <w:jc w:val="center"/>
              <w:rPr>
                <w:rFonts w:ascii="Arial Narrow" w:eastAsia="SimSun" w:hAnsi="Arial Narrow" w:cs="Arial Narrow"/>
                <w:snapToGrid/>
                <w:sz w:val="20"/>
                <w:szCs w:val="20"/>
              </w:rPr>
            </w:pPr>
            <w:r w:rsidRPr="00377C13">
              <w:rPr>
                <w:rFonts w:ascii="Arial Narrow" w:eastAsia="SimSun" w:hAnsi="Arial Narrow" w:cs="Arial Narrow"/>
                <w:snapToGrid/>
                <w:sz w:val="20"/>
                <w:szCs w:val="20"/>
              </w:rPr>
              <w:t>NR</w:t>
            </w:r>
          </w:p>
        </w:tc>
      </w:tr>
    </w:tbl>
    <w:p w:rsidR="00C11C2D" w:rsidRPr="00377C13" w:rsidRDefault="00C11C2D" w:rsidP="007D3143">
      <w:pPr>
        <w:widowControl/>
        <w:rPr>
          <w:rFonts w:ascii="Arial Narrow" w:hAnsi="Arial Narrow"/>
          <w:sz w:val="18"/>
        </w:rPr>
      </w:pPr>
      <w:r w:rsidRPr="00377C13">
        <w:rPr>
          <w:rFonts w:ascii="Arial Narrow" w:hAnsi="Arial Narrow"/>
          <w:sz w:val="18"/>
        </w:rPr>
        <w:t xml:space="preserve">Abbreviations: BMI=body mass index; mg=milligrams; </w:t>
      </w:r>
      <w:proofErr w:type="spellStart"/>
      <w:r w:rsidRPr="00377C13">
        <w:rPr>
          <w:rFonts w:ascii="Arial Narrow" w:hAnsi="Arial Narrow"/>
          <w:sz w:val="18"/>
        </w:rPr>
        <w:t>mmol</w:t>
      </w:r>
      <w:proofErr w:type="spellEnd"/>
      <w:r w:rsidRPr="00377C13">
        <w:rPr>
          <w:rFonts w:ascii="Arial Narrow" w:hAnsi="Arial Narrow"/>
          <w:sz w:val="18"/>
        </w:rPr>
        <w:t xml:space="preserve">/L= </w:t>
      </w:r>
      <w:proofErr w:type="spellStart"/>
      <w:r w:rsidRPr="00377C13">
        <w:rPr>
          <w:rFonts w:ascii="Arial Narrow" w:hAnsi="Arial Narrow"/>
          <w:sz w:val="18"/>
        </w:rPr>
        <w:t>millimoles</w:t>
      </w:r>
      <w:proofErr w:type="spellEnd"/>
      <w:r w:rsidRPr="00377C13">
        <w:rPr>
          <w:rFonts w:ascii="Arial Narrow" w:hAnsi="Arial Narrow"/>
          <w:sz w:val="18"/>
        </w:rPr>
        <w:t xml:space="preserve"> per litre, </w:t>
      </w:r>
      <w:proofErr w:type="spellStart"/>
      <w:r w:rsidRPr="00377C13">
        <w:rPr>
          <w:rFonts w:ascii="Arial Narrow" w:hAnsi="Arial Narrow"/>
          <w:sz w:val="18"/>
        </w:rPr>
        <w:t>m</w:t>
      </w:r>
      <w:r w:rsidRPr="00377C13">
        <w:rPr>
          <w:rFonts w:ascii="Arial Narrow" w:hAnsi="Arial Narrow"/>
          <w:sz w:val="18"/>
          <w:vertAlign w:val="superscript"/>
        </w:rPr>
        <w:t>z</w:t>
      </w:r>
      <w:proofErr w:type="spellEnd"/>
      <w:r w:rsidR="00AC7544" w:rsidRPr="00377C13">
        <w:rPr>
          <w:rFonts w:ascii="Arial Narrow" w:hAnsi="Arial Narrow"/>
          <w:sz w:val="18"/>
        </w:rPr>
        <w:t>=square meter,</w:t>
      </w:r>
      <w:r w:rsidRPr="00377C13">
        <w:rPr>
          <w:rFonts w:ascii="Arial Narrow" w:hAnsi="Arial Narrow"/>
          <w:sz w:val="18"/>
        </w:rPr>
        <w:t xml:space="preserve"> n=number; N=total sample size; </w:t>
      </w:r>
      <w:r w:rsidRPr="00377C13">
        <w:rPr>
          <w:rFonts w:ascii="Arial Narrow" w:hAnsi="Arial Narrow"/>
          <w:bCs/>
          <w:sz w:val="18"/>
          <w:szCs w:val="18"/>
        </w:rPr>
        <w:t>NR=not reported;</w:t>
      </w:r>
      <w:r w:rsidRPr="00377C13">
        <w:rPr>
          <w:rFonts w:ascii="Arial Narrow" w:hAnsi="Arial Narrow"/>
          <w:sz w:val="18"/>
        </w:rPr>
        <w:t xml:space="preserve"> ppFEV</w:t>
      </w:r>
      <w:r w:rsidRPr="00377C13">
        <w:rPr>
          <w:rFonts w:ascii="Arial Narrow" w:hAnsi="Arial Narrow"/>
          <w:sz w:val="18"/>
          <w:vertAlign w:val="subscript"/>
        </w:rPr>
        <w:t>1</w:t>
      </w:r>
      <w:r w:rsidRPr="00377C13">
        <w:rPr>
          <w:rFonts w:ascii="Arial Narrow" w:hAnsi="Arial Narrow"/>
          <w:sz w:val="18"/>
        </w:rPr>
        <w:t xml:space="preserve">=percent predicted forced expiratory volume in 1 second; kg= kilogram, SD=standard deviation, </w:t>
      </w:r>
      <w:proofErr w:type="spellStart"/>
      <w:r w:rsidRPr="00377C13">
        <w:rPr>
          <w:rFonts w:ascii="Arial Narrow" w:hAnsi="Arial Narrow"/>
          <w:sz w:val="18"/>
        </w:rPr>
        <w:t>wks</w:t>
      </w:r>
      <w:proofErr w:type="spellEnd"/>
      <w:r w:rsidRPr="00377C13">
        <w:rPr>
          <w:rFonts w:ascii="Arial Narrow" w:hAnsi="Arial Narrow"/>
          <w:sz w:val="18"/>
        </w:rPr>
        <w:t>=weeks</w:t>
      </w:r>
    </w:p>
    <w:p w:rsidR="00C11C2D" w:rsidRPr="00377C13" w:rsidRDefault="00C11C2D" w:rsidP="007D3143">
      <w:pPr>
        <w:widowControl/>
        <w:autoSpaceDE w:val="0"/>
        <w:autoSpaceDN w:val="0"/>
        <w:adjustRightInd w:val="0"/>
        <w:ind w:left="14" w:right="-154"/>
        <w:rPr>
          <w:rFonts w:ascii="Arial Narrow" w:hAnsi="Arial Narrow" w:cs="Times New Roman"/>
          <w:bCs/>
          <w:snapToGrid/>
          <w:color w:val="000000"/>
          <w:sz w:val="18"/>
          <w:szCs w:val="18"/>
        </w:rPr>
      </w:pPr>
      <w:r w:rsidRPr="00377C13">
        <w:rPr>
          <w:rFonts w:ascii="Arial Narrow" w:hAnsi="Arial Narrow" w:cs="Times New Roman"/>
          <w:snapToGrid/>
          <w:color w:val="000000"/>
          <w:sz w:val="18"/>
          <w:szCs w:val="24"/>
        </w:rPr>
        <w:t xml:space="preserve">Notes: a Definition 1 and Definition 2 differs across the trials, b </w:t>
      </w:r>
      <w:r w:rsidRPr="00377C13">
        <w:rPr>
          <w:rFonts w:ascii="Arial Narrow" w:hAnsi="Arial Narrow" w:cs="Times New Roman"/>
          <w:bCs/>
          <w:snapToGrid/>
          <w:color w:val="000000"/>
          <w:sz w:val="18"/>
          <w:szCs w:val="18"/>
        </w:rPr>
        <w:t>Results are 144 weeks for patient enrolled in ENVISION and STRIVE that continued open-label extension study PERSIST</w:t>
      </w:r>
    </w:p>
    <w:p w:rsidR="00C11C2D" w:rsidRPr="00377C13" w:rsidRDefault="00C11C2D" w:rsidP="007D3143">
      <w:pPr>
        <w:widowControl/>
        <w:rPr>
          <w:rFonts w:ascii="Arial Narrow" w:hAnsi="Arial Narrow"/>
          <w:sz w:val="18"/>
        </w:rPr>
      </w:pPr>
      <w:r w:rsidRPr="00377C13">
        <w:rPr>
          <w:rFonts w:ascii="Arial Narrow" w:hAnsi="Arial Narrow"/>
          <w:sz w:val="18"/>
        </w:rPr>
        <w:t>S</w:t>
      </w:r>
      <w:r w:rsidR="003601A8" w:rsidRPr="00377C13">
        <w:rPr>
          <w:rFonts w:ascii="Arial Narrow" w:hAnsi="Arial Narrow"/>
          <w:sz w:val="18"/>
        </w:rPr>
        <w:t>ource:</w:t>
      </w:r>
      <w:r w:rsidR="00B47A0D">
        <w:rPr>
          <w:rFonts w:ascii="Arial Narrow" w:hAnsi="Arial Narrow"/>
          <w:sz w:val="18"/>
        </w:rPr>
        <w:t xml:space="preserve"> </w:t>
      </w:r>
      <w:r w:rsidR="003601A8" w:rsidRPr="00377C13">
        <w:rPr>
          <w:rFonts w:ascii="Arial Narrow" w:hAnsi="Arial Narrow"/>
          <w:sz w:val="18"/>
        </w:rPr>
        <w:t>Table B (ii).6.1 p38 (KI</w:t>
      </w:r>
      <w:r w:rsidR="00AC7544" w:rsidRPr="00377C13">
        <w:rPr>
          <w:rFonts w:ascii="Arial Narrow" w:hAnsi="Arial Narrow"/>
          <w:sz w:val="18"/>
        </w:rPr>
        <w:t>WI, KLIMB),</w:t>
      </w:r>
      <w:r w:rsidRPr="00377C13">
        <w:rPr>
          <w:rFonts w:ascii="Arial Narrow" w:hAnsi="Arial Narrow"/>
          <w:sz w:val="18"/>
        </w:rPr>
        <w:t xml:space="preserve"> Table B (ii) 6.2 p40 (ENVISION/PERSIST, STRIVE/PERSIST) of the Commentary of Ivacaftor (November 2016), Table 2.5.3 p57, Table 2.5.4 p59, Table 2.5.5 p60, Table 2.5.6 p62, Table 2.5.7 p63, Table 2.5.9 p65, Table 2.5.10 p67, Table 2.5.11 p67 of the Submission </w:t>
      </w:r>
    </w:p>
    <w:p w:rsidR="00C11C2D" w:rsidRPr="00377C13" w:rsidRDefault="00C11C2D" w:rsidP="00B47A0D">
      <w:pPr>
        <w:widowControl/>
        <w:numPr>
          <w:ilvl w:val="1"/>
          <w:numId w:val="1"/>
        </w:numPr>
        <w:spacing w:before="120" w:after="120"/>
      </w:pPr>
      <w:r w:rsidRPr="00377C13">
        <w:t xml:space="preserve">The PBAC previously </w:t>
      </w:r>
      <w:r w:rsidR="00DA60A4" w:rsidRPr="00377C13">
        <w:t xml:space="preserve">considered it was plausible </w:t>
      </w:r>
      <w:r w:rsidRPr="00377C13">
        <w:t>that the</w:t>
      </w:r>
      <w:r w:rsidR="00DA60A4" w:rsidRPr="00377C13">
        <w:t xml:space="preserve"> claim of</w:t>
      </w:r>
      <w:r w:rsidRPr="00377C13">
        <w:t xml:space="preserve"> superior efficacy and non-inferior safety of ivacaftor over BSC in patients aged 6 and older could be </w:t>
      </w:r>
      <w:r w:rsidR="00DA60A4" w:rsidRPr="00377C13">
        <w:lastRenderedPageBreak/>
        <w:t xml:space="preserve">reasonably </w:t>
      </w:r>
      <w:r w:rsidRPr="00377C13">
        <w:t>extrapolated to patients aged 2-5 years</w:t>
      </w:r>
      <w:r w:rsidR="009A61EC" w:rsidRPr="00377C13">
        <w:t xml:space="preserve"> </w:t>
      </w:r>
      <w:r w:rsidRPr="00377C13">
        <w:t>(Ivacaftor, PSD November 2016</w:t>
      </w:r>
      <w:r w:rsidR="001F0A15" w:rsidRPr="00377C13">
        <w:t xml:space="preserve">, paragraph </w:t>
      </w:r>
      <w:r w:rsidR="00177FBC" w:rsidRPr="00377C13">
        <w:t>6.23</w:t>
      </w:r>
      <w:r w:rsidRPr="00377C13">
        <w:t>).</w:t>
      </w:r>
    </w:p>
    <w:p w:rsidR="004877DF" w:rsidRPr="00377C13" w:rsidRDefault="004877DF" w:rsidP="00B47A0D">
      <w:pPr>
        <w:widowControl/>
        <w:numPr>
          <w:ilvl w:val="1"/>
          <w:numId w:val="1"/>
        </w:numPr>
        <w:spacing w:before="120" w:after="120"/>
      </w:pPr>
      <w:r w:rsidRPr="00377C13">
        <w:t xml:space="preserve">The ESC considered that </w:t>
      </w:r>
      <w:r w:rsidR="00740CC8" w:rsidRPr="00377C13">
        <w:t xml:space="preserve">given the </w:t>
      </w:r>
      <w:r w:rsidR="004E531A" w:rsidRPr="00377C13">
        <w:t>aetiology</w:t>
      </w:r>
      <w:r w:rsidR="00740CC8" w:rsidRPr="00377C13">
        <w:t xml:space="preserve"> of CF, difficulties in obtaining comparative data in this patient population, </w:t>
      </w:r>
      <w:r w:rsidRPr="00377C13">
        <w:t>and</w:t>
      </w:r>
      <w:r w:rsidR="00740CC8" w:rsidRPr="00377C13">
        <w:t xml:space="preserve"> the</w:t>
      </w:r>
      <w:r w:rsidRPr="00377C13">
        <w:t xml:space="preserve"> </w:t>
      </w:r>
      <w:r w:rsidR="003F7BA4" w:rsidRPr="00377C13">
        <w:t xml:space="preserve">results of intermediate </w:t>
      </w:r>
      <w:r w:rsidR="00633900" w:rsidRPr="00377C13">
        <w:t>outcome</w:t>
      </w:r>
      <w:r w:rsidR="003F7BA4" w:rsidRPr="00377C13">
        <w:t>s</w:t>
      </w:r>
      <w:r w:rsidR="00633900" w:rsidRPr="00377C13">
        <w:t xml:space="preserve"> </w:t>
      </w:r>
      <w:r w:rsidR="003E3E01" w:rsidRPr="00377C13">
        <w:t>from Study 124</w:t>
      </w:r>
      <w:r w:rsidR="005E102A" w:rsidRPr="00377C13">
        <w:t xml:space="preserve"> (including reduction in sweat chloride)</w:t>
      </w:r>
      <w:r w:rsidR="003E3E01" w:rsidRPr="00377C13">
        <w:t xml:space="preserve">, the claim of superior efficacy compared with BSC alone </w:t>
      </w:r>
      <w:r w:rsidR="003F7BA4" w:rsidRPr="00377C13">
        <w:t>was biologically</w:t>
      </w:r>
      <w:r w:rsidR="003E3E01" w:rsidRPr="00377C13">
        <w:t xml:space="preserve"> plausible. </w:t>
      </w:r>
      <w:r w:rsidR="004E531A" w:rsidRPr="00377C13">
        <w:t>However the ESC noted the magnitude of benefit</w:t>
      </w:r>
      <w:r w:rsidR="003F7BA4" w:rsidRPr="00377C13">
        <w:t xml:space="preserve"> over both </w:t>
      </w:r>
      <w:r w:rsidR="00687515" w:rsidRPr="00377C13">
        <w:t xml:space="preserve">the </w:t>
      </w:r>
      <w:r w:rsidR="003F7BA4" w:rsidRPr="00377C13">
        <w:t>short</w:t>
      </w:r>
      <w:r w:rsidR="00687515" w:rsidRPr="00377C13">
        <w:t>-term</w:t>
      </w:r>
      <w:r w:rsidR="003F7BA4" w:rsidRPr="00377C13">
        <w:t xml:space="preserve"> and </w:t>
      </w:r>
      <w:r w:rsidR="00C80094" w:rsidRPr="00377C13">
        <w:t>a lifetime</w:t>
      </w:r>
      <w:r w:rsidR="004E531A" w:rsidRPr="00377C13">
        <w:t xml:space="preserve"> was unknown </w:t>
      </w:r>
      <w:r w:rsidR="003F7BA4" w:rsidRPr="00377C13">
        <w:t>as the supportive evidence was limited by the lack of a control</w:t>
      </w:r>
      <w:r w:rsidR="00672070" w:rsidRPr="00377C13">
        <w:t xml:space="preserve"> and of ppFEV</w:t>
      </w:r>
      <w:r w:rsidR="00672070" w:rsidRPr="00377C13">
        <w:rPr>
          <w:vertAlign w:val="subscript"/>
        </w:rPr>
        <w:t>1</w:t>
      </w:r>
      <w:r w:rsidR="00672070" w:rsidRPr="00377C13">
        <w:t xml:space="preserve"> outcomes (which were previously considered the primary endpoint upon which to assess the efficacy of ivacaftor)</w:t>
      </w:r>
      <w:r w:rsidR="003F7BA4" w:rsidRPr="00377C13">
        <w:t xml:space="preserve"> and the short duration</w:t>
      </w:r>
      <w:r w:rsidR="00672070" w:rsidRPr="00377C13">
        <w:t xml:space="preserve"> (24 weeks)</w:t>
      </w:r>
      <w:r w:rsidR="003F7BA4" w:rsidRPr="00377C13">
        <w:t xml:space="preserve"> of Study 124. </w:t>
      </w:r>
    </w:p>
    <w:p w:rsidR="00C80094" w:rsidRPr="00377C13" w:rsidRDefault="00C80094" w:rsidP="00B47A0D">
      <w:pPr>
        <w:widowControl/>
        <w:numPr>
          <w:ilvl w:val="1"/>
          <w:numId w:val="1"/>
        </w:numPr>
        <w:spacing w:before="120" w:after="120"/>
      </w:pPr>
      <w:r w:rsidRPr="00377C13">
        <w:t>The ESC considered</w:t>
      </w:r>
      <w:r w:rsidR="00253468" w:rsidRPr="00377C13">
        <w:t xml:space="preserve"> that the submission’s claim</w:t>
      </w:r>
      <w:r w:rsidR="00BB579B" w:rsidRPr="00377C13">
        <w:t xml:space="preserve"> of similar safety compared to</w:t>
      </w:r>
      <w:r w:rsidR="00970DD9" w:rsidRPr="00377C13">
        <w:t xml:space="preserve"> patients aged</w:t>
      </w:r>
      <w:r w:rsidR="00F73152" w:rsidRPr="00377C13">
        <w:t xml:space="preserve"> </w:t>
      </w:r>
      <w:r w:rsidR="00970DD9" w:rsidRPr="00377C13">
        <w:t xml:space="preserve">2 years and older </w:t>
      </w:r>
      <w:r w:rsidR="00F73152" w:rsidRPr="00377C13">
        <w:t xml:space="preserve">may be reasonable noting that the safety profile of ivacaftor in Study 124 was comparable to that in patients aged 2-5 years in the KIWI </w:t>
      </w:r>
      <w:r w:rsidR="00B3799C" w:rsidRPr="00377C13">
        <w:t>trial</w:t>
      </w:r>
      <w:r w:rsidR="00F73152" w:rsidRPr="00377C13">
        <w:t xml:space="preserve"> (N=34</w:t>
      </w:r>
      <w:r w:rsidR="00165725" w:rsidRPr="00377C13">
        <w:t>,</w:t>
      </w:r>
      <w:r w:rsidR="00B3799C" w:rsidRPr="00377C13">
        <w:t xml:space="preserve"> 33 patients with any AEs,</w:t>
      </w:r>
      <w:r w:rsidR="00165725" w:rsidRPr="00377C13">
        <w:t xml:space="preserve"> 6</w:t>
      </w:r>
      <w:r w:rsidR="00F73152" w:rsidRPr="00377C13">
        <w:t xml:space="preserve"> patients with SAEs, 11 patients with AEs leading to drug interruption and 1 patient with AEs leading to study drug withdrawal)</w:t>
      </w:r>
      <w:r w:rsidR="00377C13">
        <w:t xml:space="preserve">. </w:t>
      </w:r>
      <w:r w:rsidR="004864AC" w:rsidRPr="00377C13">
        <w:t>However, t</w:t>
      </w:r>
      <w:r w:rsidRPr="00377C13">
        <w:t>he ESC noted that the long</w:t>
      </w:r>
      <w:r w:rsidR="00D5753F" w:rsidRPr="00377C13">
        <w:t>-</w:t>
      </w:r>
      <w:r w:rsidRPr="00377C13">
        <w:t xml:space="preserve">term safety of ivacaftor was unknown. </w:t>
      </w:r>
    </w:p>
    <w:p w:rsidR="002A6343" w:rsidRPr="00377C13" w:rsidRDefault="0012697E" w:rsidP="00B47A0D">
      <w:pPr>
        <w:widowControl/>
        <w:numPr>
          <w:ilvl w:val="1"/>
          <w:numId w:val="1"/>
        </w:numPr>
        <w:spacing w:before="120" w:after="120"/>
      </w:pPr>
      <w:r w:rsidRPr="00377C13">
        <w:t>The PSCR</w:t>
      </w:r>
      <w:r w:rsidR="00EE060A" w:rsidRPr="00377C13">
        <w:t xml:space="preserve"> presented analyses of patients from </w:t>
      </w:r>
      <w:r w:rsidR="00531CC8" w:rsidRPr="00377C13">
        <w:t xml:space="preserve">the </w:t>
      </w:r>
      <w:r w:rsidR="000F1835" w:rsidRPr="00377C13">
        <w:t>UK and US</w:t>
      </w:r>
      <w:r w:rsidR="00531CC8" w:rsidRPr="00377C13">
        <w:t xml:space="preserve"> CF registries </w:t>
      </w:r>
      <w:r w:rsidR="00EE060A" w:rsidRPr="00377C13">
        <w:t>in 2014 (2 and 3 years following commercia</w:t>
      </w:r>
      <w:r w:rsidR="000F1835" w:rsidRPr="00377C13">
        <w:t>l availability in the UK and US</w:t>
      </w:r>
      <w:r w:rsidR="00EE060A" w:rsidRPr="00377C13">
        <w:t xml:space="preserve">, respectively) </w:t>
      </w:r>
      <w:r w:rsidR="003B723A" w:rsidRPr="00377C13">
        <w:t xml:space="preserve">comparing ivacaftor treated patients with a matched cohort of untreated patients from </w:t>
      </w:r>
      <w:proofErr w:type="spellStart"/>
      <w:r w:rsidR="003B723A" w:rsidRPr="00377C13">
        <w:t>Bessonova</w:t>
      </w:r>
      <w:proofErr w:type="spellEnd"/>
      <w:r w:rsidR="003B723A" w:rsidRPr="00377C13">
        <w:t xml:space="preserve"> et al., 2018 (Figures 1 and 2 below).</w:t>
      </w:r>
      <w:r w:rsidR="00593645" w:rsidRPr="00377C13">
        <w:t xml:space="preserve"> </w:t>
      </w:r>
    </w:p>
    <w:p w:rsidR="00290198" w:rsidRPr="00377C13" w:rsidRDefault="00290198" w:rsidP="007D3143">
      <w:pPr>
        <w:keepNext/>
        <w:widowControl/>
        <w:rPr>
          <w:rFonts w:ascii="Arial Narrow" w:hAnsi="Arial Narrow" w:cstheme="minorHAnsi"/>
          <w:b/>
          <w:bCs/>
          <w:sz w:val="20"/>
          <w:szCs w:val="20"/>
        </w:rPr>
      </w:pPr>
      <w:r w:rsidRPr="00377C13">
        <w:rPr>
          <w:rFonts w:ascii="Arial Narrow" w:hAnsi="Arial Narrow" w:cstheme="minorHAnsi"/>
          <w:b/>
          <w:bCs/>
          <w:sz w:val="20"/>
          <w:szCs w:val="20"/>
        </w:rPr>
        <w:t xml:space="preserve">Figure 1: Hospitalisations </w:t>
      </w:r>
      <w:r w:rsidR="000F1835" w:rsidRPr="00377C13">
        <w:rPr>
          <w:rFonts w:ascii="Arial Narrow" w:hAnsi="Arial Narrow" w:cstheme="minorHAnsi"/>
          <w:b/>
          <w:bCs/>
          <w:sz w:val="20"/>
          <w:szCs w:val="20"/>
        </w:rPr>
        <w:t xml:space="preserve">and pulmonary exacerbations in </w:t>
      </w:r>
      <w:r w:rsidRPr="00377C13">
        <w:rPr>
          <w:rFonts w:ascii="Arial Narrow" w:hAnsi="Arial Narrow" w:cstheme="minorHAnsi"/>
          <w:b/>
          <w:bCs/>
          <w:sz w:val="20"/>
          <w:szCs w:val="20"/>
        </w:rPr>
        <w:t xml:space="preserve">ivacaftor and matched comparator cohorts </w:t>
      </w:r>
    </w:p>
    <w:p w:rsidR="00003A53" w:rsidRPr="00377C13" w:rsidRDefault="003B723A" w:rsidP="007D3143">
      <w:pPr>
        <w:keepNext/>
        <w:widowControl/>
        <w:ind w:left="720"/>
        <w:jc w:val="left"/>
        <w:rPr>
          <w:rFonts w:ascii="Arial Narrow" w:hAnsi="Arial Narrow"/>
          <w:sz w:val="18"/>
        </w:rPr>
      </w:pPr>
      <w:r w:rsidRPr="00377C13">
        <w:rPr>
          <w:noProof/>
          <w:snapToGrid/>
          <w:lang w:eastAsia="en-AU"/>
        </w:rPr>
        <w:drawing>
          <wp:inline distT="0" distB="0" distL="0" distR="0" wp14:anchorId="5F39B126" wp14:editId="57A43ED6">
            <wp:extent cx="5732145" cy="2117725"/>
            <wp:effectExtent l="0" t="0" r="1905" b="0"/>
            <wp:docPr id="1" name="Picture 1" title="Figure 1: Hospitalisations and pulmonary exacerbations in ivacaftor and matched comparator coho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32145" cy="2117725"/>
                    </a:xfrm>
                    <a:prstGeom prst="rect">
                      <a:avLst/>
                    </a:prstGeom>
                  </pic:spPr>
                </pic:pic>
              </a:graphicData>
            </a:graphic>
          </wp:inline>
        </w:drawing>
      </w:r>
      <w:r w:rsidR="00003A53" w:rsidRPr="00377C13">
        <w:rPr>
          <w:rFonts w:ascii="Arial Narrow" w:hAnsi="Arial Narrow"/>
          <w:sz w:val="18"/>
        </w:rPr>
        <w:t>Source:</w:t>
      </w:r>
      <w:r w:rsidR="00B47A0D">
        <w:rPr>
          <w:rFonts w:ascii="Arial Narrow" w:hAnsi="Arial Narrow"/>
          <w:sz w:val="18"/>
        </w:rPr>
        <w:t xml:space="preserve"> </w:t>
      </w:r>
      <w:r w:rsidR="00A10D29" w:rsidRPr="00377C13">
        <w:rPr>
          <w:rFonts w:ascii="Arial Narrow" w:hAnsi="Arial Narrow"/>
          <w:sz w:val="18"/>
        </w:rPr>
        <w:t xml:space="preserve">Figure 1 of </w:t>
      </w:r>
      <w:proofErr w:type="spellStart"/>
      <w:r w:rsidR="00A10D29" w:rsidRPr="00377C13">
        <w:rPr>
          <w:rFonts w:ascii="Arial Narrow" w:hAnsi="Arial Narrow"/>
          <w:sz w:val="18"/>
        </w:rPr>
        <w:t>Bessonova</w:t>
      </w:r>
      <w:proofErr w:type="spellEnd"/>
      <w:r w:rsidR="00A10D29" w:rsidRPr="00377C13">
        <w:rPr>
          <w:rFonts w:ascii="Arial Narrow" w:hAnsi="Arial Narrow"/>
          <w:sz w:val="18"/>
        </w:rPr>
        <w:t xml:space="preserve"> et al., 2018</w:t>
      </w:r>
    </w:p>
    <w:p w:rsidR="00A10D29" w:rsidRPr="00377C13" w:rsidRDefault="00A10D29" w:rsidP="007D3143">
      <w:pPr>
        <w:widowControl/>
        <w:ind w:left="720"/>
        <w:jc w:val="left"/>
        <w:rPr>
          <w:rFonts w:ascii="Arial Narrow" w:hAnsi="Arial Narrow"/>
          <w:sz w:val="18"/>
        </w:rPr>
      </w:pPr>
      <w:r w:rsidRPr="00377C13">
        <w:rPr>
          <w:rFonts w:ascii="Arial Narrow" w:hAnsi="Arial Narrow"/>
          <w:sz w:val="18"/>
        </w:rPr>
        <w:t xml:space="preserve">Notes: a Hospitalisation due to any reason, b </w:t>
      </w:r>
      <w:proofErr w:type="spellStart"/>
      <w:r w:rsidRPr="00377C13">
        <w:rPr>
          <w:rFonts w:ascii="Arial Narrow" w:hAnsi="Arial Narrow"/>
          <w:sz w:val="18"/>
        </w:rPr>
        <w:t>PEx</w:t>
      </w:r>
      <w:proofErr w:type="spellEnd"/>
      <w:r w:rsidRPr="00377C13">
        <w:rPr>
          <w:rFonts w:ascii="Arial Narrow" w:hAnsi="Arial Narrow"/>
          <w:sz w:val="18"/>
        </w:rPr>
        <w:t xml:space="preserve"> defined as the requirement of intravenous antibiotic use at home or in the hospital. </w:t>
      </w:r>
    </w:p>
    <w:p w:rsidR="00402C2E" w:rsidRPr="00377C13" w:rsidRDefault="00F250B3" w:rsidP="00B47A0D">
      <w:pPr>
        <w:widowControl/>
        <w:spacing w:after="160"/>
        <w:ind w:left="720"/>
        <w:jc w:val="left"/>
        <w:rPr>
          <w:rFonts w:ascii="Arial Narrow" w:hAnsi="Arial Narrow"/>
          <w:sz w:val="18"/>
        </w:rPr>
      </w:pPr>
      <w:r w:rsidRPr="00377C13">
        <w:rPr>
          <w:rFonts w:ascii="Arial Narrow" w:hAnsi="Arial Narrow"/>
          <w:sz w:val="18"/>
        </w:rPr>
        <w:t xml:space="preserve">Abbreviations: CFFPR = Cystic Fibrosis Foundation Patient Registry; CFR = </w:t>
      </w:r>
      <w:r w:rsidR="000F1835" w:rsidRPr="00377C13">
        <w:rPr>
          <w:rFonts w:ascii="Arial Narrow" w:hAnsi="Arial Narrow"/>
          <w:sz w:val="18"/>
        </w:rPr>
        <w:t xml:space="preserve">Cystic Fibrosis Registry; </w:t>
      </w:r>
      <w:proofErr w:type="spellStart"/>
      <w:r w:rsidR="000F1835" w:rsidRPr="00377C13">
        <w:rPr>
          <w:rFonts w:ascii="Arial Narrow" w:hAnsi="Arial Narrow"/>
          <w:sz w:val="18"/>
        </w:rPr>
        <w:t>PEx</w:t>
      </w:r>
      <w:proofErr w:type="spellEnd"/>
      <w:r w:rsidR="000F1835" w:rsidRPr="00377C13">
        <w:rPr>
          <w:rFonts w:ascii="Arial Narrow" w:hAnsi="Arial Narrow"/>
          <w:sz w:val="18"/>
        </w:rPr>
        <w:t xml:space="preserve"> = pulmonary exacerbations; RR = relative risk.</w:t>
      </w:r>
    </w:p>
    <w:p w:rsidR="000F1835" w:rsidRPr="006832BC" w:rsidRDefault="000F1835" w:rsidP="006832BC">
      <w:pPr>
        <w:keepNext/>
        <w:widowControl/>
        <w:rPr>
          <w:rFonts w:ascii="Arial Narrow" w:hAnsi="Arial Narrow" w:cstheme="minorHAnsi"/>
          <w:b/>
          <w:bCs/>
          <w:sz w:val="20"/>
          <w:szCs w:val="20"/>
        </w:rPr>
      </w:pPr>
      <w:r w:rsidRPr="00377C13">
        <w:rPr>
          <w:rFonts w:ascii="Arial Narrow" w:hAnsi="Arial Narrow" w:cstheme="minorHAnsi"/>
          <w:b/>
          <w:bCs/>
          <w:sz w:val="20"/>
          <w:szCs w:val="20"/>
        </w:rPr>
        <w:lastRenderedPageBreak/>
        <w:t xml:space="preserve">Figure 2: </w:t>
      </w:r>
      <w:r w:rsidR="001B58F7" w:rsidRPr="00377C13">
        <w:rPr>
          <w:rFonts w:ascii="Arial Narrow" w:hAnsi="Arial Narrow" w:cstheme="minorHAnsi"/>
          <w:b/>
          <w:bCs/>
          <w:sz w:val="20"/>
          <w:szCs w:val="20"/>
        </w:rPr>
        <w:t>Deaths an organ transplantation in</w:t>
      </w:r>
      <w:r w:rsidRPr="00377C13">
        <w:rPr>
          <w:rFonts w:ascii="Arial Narrow" w:hAnsi="Arial Narrow" w:cstheme="minorHAnsi"/>
          <w:b/>
          <w:bCs/>
          <w:sz w:val="20"/>
          <w:szCs w:val="20"/>
        </w:rPr>
        <w:t xml:space="preserve"> ivacaftor and matched comparator cohorts </w:t>
      </w:r>
    </w:p>
    <w:p w:rsidR="001B58F7" w:rsidRPr="00377C13" w:rsidRDefault="000F1835" w:rsidP="007D3143">
      <w:pPr>
        <w:widowControl/>
        <w:ind w:left="720"/>
        <w:jc w:val="left"/>
      </w:pPr>
      <w:r w:rsidRPr="00377C13">
        <w:rPr>
          <w:i/>
          <w:noProof/>
          <w:snapToGrid/>
          <w:lang w:eastAsia="en-AU"/>
        </w:rPr>
        <w:drawing>
          <wp:inline distT="0" distB="0" distL="0" distR="0" wp14:anchorId="568999FA" wp14:editId="49FDA77C">
            <wp:extent cx="5731200" cy="2117016"/>
            <wp:effectExtent l="0" t="0" r="3175" b="0"/>
            <wp:docPr id="2" name="Picture 2" title="Figure 2: Deaths an organ transplantation in ivacaftor and matched comparator cohort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200" cy="2117016"/>
                    </a:xfrm>
                    <a:prstGeom prst="rect">
                      <a:avLst/>
                    </a:prstGeom>
                  </pic:spPr>
                </pic:pic>
              </a:graphicData>
            </a:graphic>
          </wp:inline>
        </w:drawing>
      </w:r>
      <w:r w:rsidR="001B58F7" w:rsidRPr="00377C13">
        <w:rPr>
          <w:rFonts w:ascii="Arial Narrow" w:hAnsi="Arial Narrow"/>
          <w:sz w:val="18"/>
        </w:rPr>
        <w:t>Source:</w:t>
      </w:r>
      <w:r w:rsidR="00B47A0D">
        <w:rPr>
          <w:rFonts w:ascii="Arial Narrow" w:hAnsi="Arial Narrow"/>
          <w:sz w:val="18"/>
        </w:rPr>
        <w:t xml:space="preserve"> </w:t>
      </w:r>
      <w:r w:rsidR="001B58F7" w:rsidRPr="00377C13">
        <w:rPr>
          <w:rFonts w:ascii="Arial Narrow" w:hAnsi="Arial Narrow"/>
          <w:sz w:val="18"/>
        </w:rPr>
        <w:t xml:space="preserve">Figure 1 of </w:t>
      </w:r>
      <w:proofErr w:type="spellStart"/>
      <w:r w:rsidR="001B58F7" w:rsidRPr="00377C13">
        <w:rPr>
          <w:rFonts w:ascii="Arial Narrow" w:hAnsi="Arial Narrow"/>
          <w:sz w:val="18"/>
        </w:rPr>
        <w:t>Bessonova</w:t>
      </w:r>
      <w:proofErr w:type="spellEnd"/>
      <w:r w:rsidR="001B58F7" w:rsidRPr="00377C13">
        <w:rPr>
          <w:rFonts w:ascii="Arial Narrow" w:hAnsi="Arial Narrow"/>
          <w:sz w:val="18"/>
        </w:rPr>
        <w:t xml:space="preserve"> et al., 2018</w:t>
      </w:r>
    </w:p>
    <w:p w:rsidR="001B58F7" w:rsidRPr="00377C13" w:rsidRDefault="001B58F7" w:rsidP="007D3143">
      <w:pPr>
        <w:widowControl/>
        <w:ind w:left="720"/>
        <w:jc w:val="left"/>
        <w:rPr>
          <w:rFonts w:ascii="Arial Narrow" w:hAnsi="Arial Narrow"/>
          <w:sz w:val="18"/>
        </w:rPr>
      </w:pPr>
      <w:r w:rsidRPr="00377C13">
        <w:rPr>
          <w:rFonts w:ascii="Arial Narrow" w:hAnsi="Arial Narrow"/>
          <w:sz w:val="18"/>
        </w:rPr>
        <w:t xml:space="preserve">Abbreviations: CFFPR = Cystic Fibrosis Foundation Patient Registry; CFR = Cystic Fibrosis Registry; </w:t>
      </w:r>
      <w:proofErr w:type="spellStart"/>
      <w:r w:rsidRPr="00377C13">
        <w:rPr>
          <w:rFonts w:ascii="Arial Narrow" w:hAnsi="Arial Narrow"/>
          <w:sz w:val="18"/>
        </w:rPr>
        <w:t>PEx</w:t>
      </w:r>
      <w:proofErr w:type="spellEnd"/>
      <w:r w:rsidRPr="00377C13">
        <w:rPr>
          <w:rFonts w:ascii="Arial Narrow" w:hAnsi="Arial Narrow"/>
          <w:sz w:val="18"/>
        </w:rPr>
        <w:t xml:space="preserve"> = pulmonary exacerbations; RR = relative risk.</w:t>
      </w:r>
    </w:p>
    <w:p w:rsidR="00593645" w:rsidRPr="00377C13" w:rsidRDefault="00593645" w:rsidP="00B47A0D">
      <w:pPr>
        <w:widowControl/>
        <w:numPr>
          <w:ilvl w:val="1"/>
          <w:numId w:val="1"/>
        </w:numPr>
        <w:spacing w:before="120" w:after="120"/>
      </w:pPr>
      <w:r w:rsidRPr="00377C13">
        <w:t xml:space="preserve">The PSCR </w:t>
      </w:r>
      <w:r w:rsidR="00852C5E" w:rsidRPr="00377C13">
        <w:t xml:space="preserve">noted that ivacaftor-treated patients had fewer hospitalisations and pulmonary exacerbations as well as a statistically significant lower risk of death and organ transplantation. </w:t>
      </w:r>
      <w:r w:rsidR="008E7F06" w:rsidRPr="00377C13">
        <w:t xml:space="preserve">The PSCR </w:t>
      </w:r>
      <w:r w:rsidR="003E7554" w:rsidRPr="00377C13">
        <w:t xml:space="preserve">noted that the risk of death and organ transplantation was not statistically significant between ivacaftor treated patients from the UK CF registry and matched controls however, considered this was likely due to the smaller sample size in the UK registry compared to the US registry. </w:t>
      </w:r>
      <w:r w:rsidR="001323B7" w:rsidRPr="00377C13">
        <w:t xml:space="preserve">The PSCR indicated that these data provide evidence of long term efficacy of ivacaftor treatment. </w:t>
      </w:r>
      <w:r w:rsidR="0060638E" w:rsidRPr="00377C13">
        <w:t xml:space="preserve">The ESC considered </w:t>
      </w:r>
      <w:r w:rsidR="00CB427A" w:rsidRPr="00377C13">
        <w:t xml:space="preserve">that while these data support a long-term treatment effect with ivacaftor, the applicability of these results to the Australian population is </w:t>
      </w:r>
      <w:r w:rsidR="00915A8C" w:rsidRPr="00377C13">
        <w:t>uncertain. The ESC noted that this data has not been evaluated as it was not provided with the submission</w:t>
      </w:r>
      <w:r w:rsidR="00377C13">
        <w:t xml:space="preserve">. </w:t>
      </w:r>
    </w:p>
    <w:p w:rsidR="00375E92" w:rsidRPr="00377C13" w:rsidRDefault="00375E92" w:rsidP="00B47A0D">
      <w:pPr>
        <w:widowControl/>
        <w:numPr>
          <w:ilvl w:val="1"/>
          <w:numId w:val="1"/>
        </w:numPr>
        <w:spacing w:before="120" w:after="120"/>
      </w:pPr>
      <w:r w:rsidRPr="00377C13">
        <w:t xml:space="preserve">Acknowledging the difficulties of obtaining clinical data in this population, the PBAC considered the claim of superior efficacy over BSC was </w:t>
      </w:r>
      <w:r w:rsidR="00925B16">
        <w:t>reasonable</w:t>
      </w:r>
      <w:r w:rsidR="00925B16" w:rsidRPr="00377C13">
        <w:t xml:space="preserve"> </w:t>
      </w:r>
      <w:r w:rsidRPr="00377C13">
        <w:t xml:space="preserve">in this context given </w:t>
      </w:r>
      <w:r w:rsidR="00925B16">
        <w:t>the clinical efficacy demonstrated in previous studies in older age groups, and the evidence of biological activity as indicated by the sweat chloride response in Study 124</w:t>
      </w:r>
      <w:r w:rsidRPr="00377C13">
        <w:t>. The PBAC considered that the claim of similar effectiveness compared with patients aged 2 years and older was uncertain although plausible</w:t>
      </w:r>
      <w:r w:rsidR="00377C13">
        <w:t xml:space="preserve">. </w:t>
      </w:r>
    </w:p>
    <w:p w:rsidR="00375E92" w:rsidRPr="00377C13" w:rsidRDefault="00375E92" w:rsidP="00B47A0D">
      <w:pPr>
        <w:widowControl/>
        <w:numPr>
          <w:ilvl w:val="1"/>
          <w:numId w:val="1"/>
        </w:numPr>
        <w:spacing w:before="120" w:after="120"/>
      </w:pPr>
      <w:r w:rsidRPr="00377C13">
        <w:t xml:space="preserve">The PBAC considered the claim of non-inferior safety to BSC was reasonable in this context noting there were no major safety signals in the context of the known safety profile of ivacaftor in older patients. </w:t>
      </w:r>
    </w:p>
    <w:p w:rsidR="00C11C2D" w:rsidRPr="00377C13" w:rsidRDefault="00C11C2D" w:rsidP="00584D31">
      <w:pPr>
        <w:widowControl/>
        <w:spacing w:before="120" w:after="120"/>
        <w:outlineLvl w:val="1"/>
        <w:rPr>
          <w:b/>
          <w:i/>
          <w:sz w:val="28"/>
        </w:rPr>
      </w:pPr>
      <w:bookmarkStart w:id="23" w:name="_Toc531888474"/>
      <w:r w:rsidRPr="00377C13">
        <w:rPr>
          <w:b/>
          <w:i/>
          <w:sz w:val="28"/>
        </w:rPr>
        <w:t>Economic analysis</w:t>
      </w:r>
      <w:bookmarkEnd w:id="23"/>
      <w:r w:rsidRPr="00377C13">
        <w:rPr>
          <w:b/>
          <w:i/>
          <w:sz w:val="28"/>
        </w:rPr>
        <w:t xml:space="preserve"> </w:t>
      </w:r>
    </w:p>
    <w:p w:rsidR="00C11C2D" w:rsidRPr="00377C13" w:rsidRDefault="00C11C2D" w:rsidP="00B47A0D">
      <w:pPr>
        <w:widowControl/>
        <w:numPr>
          <w:ilvl w:val="1"/>
          <w:numId w:val="1"/>
        </w:numPr>
        <w:spacing w:before="120" w:after="120"/>
      </w:pPr>
      <w:r w:rsidRPr="00377C13">
        <w:t>The submission did not present an economic evaluation,</w:t>
      </w:r>
      <w:r w:rsidR="008F08FA" w:rsidRPr="00377C13">
        <w:t xml:space="preserve"> on the basis of</w:t>
      </w:r>
      <w:r w:rsidRPr="00377C13">
        <w:t xml:space="preserve"> the small number of eligible patients in Australia (n=6)</w:t>
      </w:r>
      <w:r w:rsidR="008F08FA" w:rsidRPr="00377C13">
        <w:t xml:space="preserve"> and an assumption that the cost-effectiveness would likely be similar to patients aged 2 years and older</w:t>
      </w:r>
      <w:r w:rsidRPr="00377C13">
        <w:t xml:space="preserve">. This </w:t>
      </w:r>
      <w:r w:rsidR="000D716E" w:rsidRPr="00377C13">
        <w:t xml:space="preserve">assumption </w:t>
      </w:r>
      <w:r w:rsidRPr="00377C13">
        <w:t xml:space="preserve">is </w:t>
      </w:r>
      <w:r w:rsidR="007C6119" w:rsidRPr="00377C13">
        <w:t xml:space="preserve">uncertain </w:t>
      </w:r>
      <w:r w:rsidRPr="00377C13">
        <w:t xml:space="preserve">given that not all the efficacy outcomes presented were </w:t>
      </w:r>
      <w:r w:rsidRPr="00377C13">
        <w:lastRenderedPageBreak/>
        <w:t>directly comparable across the indications – most importantly, the lack of ppFEV</w:t>
      </w:r>
      <w:r w:rsidRPr="00377C13">
        <w:rPr>
          <w:vertAlign w:val="subscript"/>
        </w:rPr>
        <w:t>1</w:t>
      </w:r>
      <w:r w:rsidRPr="00377C13">
        <w:t xml:space="preserve"> for 12 to 24</w:t>
      </w:r>
      <w:r w:rsidR="00AC7544" w:rsidRPr="00377C13">
        <w:t>-</w:t>
      </w:r>
      <w:r w:rsidRPr="00377C13">
        <w:t>month olds.</w:t>
      </w:r>
      <w:r w:rsidRPr="00377C13" w:rsidDel="00FC6F89">
        <w:t xml:space="preserve"> </w:t>
      </w:r>
    </w:p>
    <w:p w:rsidR="00C11C2D" w:rsidRPr="00377C13" w:rsidRDefault="00C11C2D" w:rsidP="00B47A0D">
      <w:pPr>
        <w:widowControl/>
        <w:numPr>
          <w:ilvl w:val="1"/>
          <w:numId w:val="1"/>
        </w:numPr>
        <w:spacing w:after="120"/>
      </w:pPr>
      <w:r w:rsidRPr="00377C13">
        <w:t>The PBAC previously considered that as the incremental benefit of starting ivacaftor treatment at a younger age was unknown and difficult to demonstrate, the cost-effectiveness of the additional years of treatment was highly uncertain (Ivacaftor, PSD November 2016</w:t>
      </w:r>
      <w:r w:rsidR="009802D7" w:rsidRPr="00377C13">
        <w:t>, paragraph 6.27</w:t>
      </w:r>
      <w:r w:rsidRPr="00377C13">
        <w:t>). The same consideration would apply for the proposed listing: the cost-effectiveness of the additional year of treatment with ivacaftor</w:t>
      </w:r>
      <w:r w:rsidR="001F6990" w:rsidRPr="00377C13">
        <w:t xml:space="preserve">, compared with BSC, </w:t>
      </w:r>
      <w:r w:rsidRPr="00377C13">
        <w:t>is unknown</w:t>
      </w:r>
      <w:r w:rsidR="001F6990" w:rsidRPr="00377C13">
        <w:t>; however, the ESC considered that the incremental cost per QALY gained o</w:t>
      </w:r>
      <w:r w:rsidR="00CE35E7" w:rsidRPr="00377C13">
        <w:t>f the additional year of treatment</w:t>
      </w:r>
      <w:r w:rsidR="001F6990" w:rsidRPr="00377C13">
        <w:t xml:space="preserve"> was likely to be high</w:t>
      </w:r>
      <w:r w:rsidRPr="00377C13">
        <w:t>.</w:t>
      </w:r>
      <w:r w:rsidR="001F6990" w:rsidRPr="00377C13">
        <w:t xml:space="preserve"> </w:t>
      </w:r>
      <w:r w:rsidR="00CE35E7" w:rsidRPr="00377C13">
        <w:t xml:space="preserve">The ESC noted that the intention of the previous submission for 2-5 year olds </w:t>
      </w:r>
      <w:r w:rsidR="00A9188C">
        <w:rPr>
          <w:noProof/>
          <w:color w:val="000000"/>
          <w:highlight w:val="black"/>
        </w:rPr>
        <w:t>''''''' '''' '''''''''' ''''' '''''' '''''''' '''' ''''''' ''''''' '''''''''''''''''' ''''''''' '''''''''''''''''''' '''''' ''''''''''''''''''''''</w:t>
      </w:r>
      <w:r w:rsidR="00921F69" w:rsidRPr="00B40D3A">
        <w:t xml:space="preserve"> </w:t>
      </w:r>
      <w:r w:rsidR="00FF05A3" w:rsidRPr="00B40D3A">
        <w:t xml:space="preserve">The </w:t>
      </w:r>
      <w:r w:rsidR="00A403FF" w:rsidRPr="00B40D3A">
        <w:t xml:space="preserve">PBAC </w:t>
      </w:r>
      <w:r w:rsidR="00FF05A3" w:rsidRPr="00B40D3A">
        <w:t xml:space="preserve">previously </w:t>
      </w:r>
      <w:r w:rsidR="00A403FF" w:rsidRPr="00B40D3A">
        <w:t xml:space="preserve">considered </w:t>
      </w:r>
      <w:r w:rsidR="00FF05A3" w:rsidRPr="00B40D3A">
        <w:t xml:space="preserve">the intention of </w:t>
      </w:r>
      <w:r w:rsidR="00A9188C">
        <w:rPr>
          <w:noProof/>
          <w:color w:val="000000"/>
          <w:highlight w:val="black"/>
        </w:rPr>
        <w:t>''''' ''''''' '''''''</w:t>
      </w:r>
      <w:r w:rsidR="00921F69" w:rsidRPr="00B40D3A">
        <w:t xml:space="preserve"> </w:t>
      </w:r>
      <w:r w:rsidR="00A403FF" w:rsidRPr="00B40D3A">
        <w:t>was appropriate</w:t>
      </w:r>
      <w:r w:rsidR="00A403FF" w:rsidRPr="00377C13">
        <w:t>, given the difficulty in demonstrating the incremental benefit and therefore cost-effectiveness of earlier treatment with ivacaftor</w:t>
      </w:r>
      <w:r w:rsidR="00CE35E7" w:rsidRPr="00377C13">
        <w:t xml:space="preserve"> (</w:t>
      </w:r>
      <w:r w:rsidR="00A403FF" w:rsidRPr="00377C13">
        <w:t>ivacaftor, PSD November 2016</w:t>
      </w:r>
      <w:r w:rsidR="001872E9" w:rsidRPr="00377C13">
        <w:t>, paragraph 7.7;</w:t>
      </w:r>
      <w:r w:rsidR="00A403FF" w:rsidRPr="00377C13">
        <w:t xml:space="preserve"> </w:t>
      </w:r>
      <w:r w:rsidR="00CE35E7" w:rsidRPr="00377C13">
        <w:t>see paragraph 3.</w:t>
      </w:r>
      <w:r w:rsidR="00E64DBB" w:rsidRPr="00377C13">
        <w:t>2 and 3.</w:t>
      </w:r>
      <w:r w:rsidR="00890293" w:rsidRPr="00377C13">
        <w:t>3</w:t>
      </w:r>
      <w:r w:rsidR="00A403FF" w:rsidRPr="00377C13">
        <w:t xml:space="preserve"> for further details</w:t>
      </w:r>
      <w:r w:rsidR="00CE35E7" w:rsidRPr="00377C13">
        <w:t>).</w:t>
      </w:r>
      <w:r w:rsidRPr="00377C13">
        <w:t xml:space="preserve"> </w:t>
      </w:r>
    </w:p>
    <w:p w:rsidR="0006169B" w:rsidRPr="00377C13" w:rsidRDefault="0006169B" w:rsidP="00B47A0D">
      <w:pPr>
        <w:widowControl/>
        <w:numPr>
          <w:ilvl w:val="1"/>
          <w:numId w:val="1"/>
        </w:numPr>
        <w:spacing w:after="120"/>
      </w:pPr>
      <w:r w:rsidRPr="00377C13">
        <w:t xml:space="preserve">The Pre-PBAC Response </w:t>
      </w:r>
      <w:r w:rsidR="00383299" w:rsidRPr="00377C13">
        <w:t xml:space="preserve">provided results of an indicative cost-effectiveness analysis </w:t>
      </w:r>
      <w:r w:rsidR="009D3541" w:rsidRPr="00377C13">
        <w:t xml:space="preserve">claiming this was performed </w:t>
      </w:r>
      <w:r w:rsidR="00383299" w:rsidRPr="00377C13">
        <w:t xml:space="preserve">using the same methodology used </w:t>
      </w:r>
      <w:r w:rsidR="00902CF5" w:rsidRPr="00377C13">
        <w:t>to estimate the</w:t>
      </w:r>
      <w:r w:rsidR="00383299" w:rsidRPr="00377C13">
        <w:t xml:space="preserve"> cost-effectiveness </w:t>
      </w:r>
      <w:r w:rsidR="00902CF5" w:rsidRPr="00377C13">
        <w:t xml:space="preserve">for patients aged 2-5 years presented at the January 2017 meeting. The Pre-PBAC Response </w:t>
      </w:r>
      <w:r w:rsidR="00CA65A5" w:rsidRPr="00377C13">
        <w:t>claimed</w:t>
      </w:r>
      <w:r w:rsidR="00902CF5" w:rsidRPr="00377C13">
        <w:t xml:space="preserve"> that the cost per quality adjusted life year</w:t>
      </w:r>
      <w:r w:rsidR="00B47A0D">
        <w:t xml:space="preserve"> </w:t>
      </w:r>
      <w:r w:rsidR="00902CF5" w:rsidRPr="00377C13">
        <w:t>(QALY) for patients aged 12 – 24 months (</w:t>
      </w:r>
      <w:r w:rsidR="00CA65A5" w:rsidRPr="00377C13">
        <w:t xml:space="preserve">of </w:t>
      </w:r>
      <w:r w:rsidR="00396AAD">
        <w:t>$105,000/QALY - $200,000</w:t>
      </w:r>
      <w:r w:rsidR="00902CF5" w:rsidRPr="00377C13">
        <w:t xml:space="preserve">/QALY) </w:t>
      </w:r>
      <w:r w:rsidR="00F06A02" w:rsidRPr="00377C13">
        <w:t xml:space="preserve">is similar to that for </w:t>
      </w:r>
      <w:r w:rsidR="00902CF5" w:rsidRPr="00377C13">
        <w:t>patients aged 2-5 years (</w:t>
      </w:r>
      <w:r w:rsidR="00CA65A5" w:rsidRPr="00377C13">
        <w:t xml:space="preserve">of </w:t>
      </w:r>
      <w:r w:rsidR="00902CF5" w:rsidRPr="00377C13">
        <w:t xml:space="preserve">$170,334/QALY) and </w:t>
      </w:r>
      <w:r w:rsidR="00F06A02" w:rsidRPr="00377C13">
        <w:t>patients aged 6+ years (</w:t>
      </w:r>
      <w:r w:rsidR="00CA65A5" w:rsidRPr="00377C13">
        <w:t xml:space="preserve">of </w:t>
      </w:r>
      <w:r w:rsidR="00396AAD">
        <w:t>$105,000/QALY - $200,000</w:t>
      </w:r>
      <w:r w:rsidR="00F06A02" w:rsidRPr="00377C13">
        <w:t>/QALY).</w:t>
      </w:r>
      <w:r w:rsidR="009D3541" w:rsidRPr="00377C13">
        <w:t xml:space="preserve"> As this analysis was not presented with the submission, it has not been independently evaluated.</w:t>
      </w:r>
    </w:p>
    <w:p w:rsidR="00C11C2D" w:rsidRPr="003E16E3" w:rsidRDefault="00C11C2D" w:rsidP="00B47A0D">
      <w:pPr>
        <w:widowControl/>
        <w:numPr>
          <w:ilvl w:val="1"/>
          <w:numId w:val="1"/>
        </w:numPr>
        <w:spacing w:after="120"/>
      </w:pPr>
      <w:r w:rsidRPr="003E16E3">
        <w:t xml:space="preserve">The requested price for 50 mg and 75 mg ivacaftor granules </w:t>
      </w:r>
      <w:r w:rsidR="00CA65A5" w:rsidRPr="003E16E3">
        <w:t xml:space="preserve">for patients aged 12-24 months </w:t>
      </w:r>
      <w:r w:rsidRPr="003E16E3">
        <w:t>is the same (AEMP $22,500 per pack), whilst the price for ivacaftor tablets 150 mg is lower on a per mg basis</w:t>
      </w:r>
      <w:r w:rsidR="00CA65A5" w:rsidRPr="003E16E3">
        <w:t>,</w:t>
      </w:r>
      <w:r w:rsidRPr="003E16E3">
        <w:t xml:space="preserve"> </w:t>
      </w:r>
      <w:r w:rsidR="00CA65A5" w:rsidRPr="003E16E3">
        <w:t xml:space="preserve">compared with </w:t>
      </w:r>
      <w:r w:rsidRPr="003E16E3">
        <w:t xml:space="preserve">the </w:t>
      </w:r>
      <w:r w:rsidR="00CA65A5" w:rsidRPr="003E16E3">
        <w:t xml:space="preserve">current listing for the </w:t>
      </w:r>
      <w:r w:rsidRPr="003E16E3">
        <w:t>granule formulation.</w:t>
      </w:r>
      <w:r w:rsidR="00C7600E" w:rsidRPr="003E16E3">
        <w:t xml:space="preserve"> </w:t>
      </w:r>
      <w:r w:rsidR="003C14CA" w:rsidRPr="003E16E3">
        <w:t xml:space="preserve">The </w:t>
      </w:r>
      <w:r w:rsidR="00C7600E" w:rsidRPr="003E16E3">
        <w:t>existing D</w:t>
      </w:r>
      <w:r w:rsidR="003C14CA" w:rsidRPr="003E16E3">
        <w:t xml:space="preserve">eed of </w:t>
      </w:r>
      <w:r w:rsidR="00C7600E" w:rsidRPr="003E16E3">
        <w:t>A</w:t>
      </w:r>
      <w:r w:rsidR="003C14CA" w:rsidRPr="003E16E3">
        <w:t>greement includ</w:t>
      </w:r>
      <w:r w:rsidR="00C7600E" w:rsidRPr="003E16E3">
        <w:t xml:space="preserve">es </w:t>
      </w:r>
      <w:r w:rsidR="00A9188C">
        <w:rPr>
          <w:noProof/>
          <w:color w:val="000000"/>
          <w:highlight w:val="black"/>
        </w:rPr>
        <w:t>''' '''''''''''''' ''''''''''''' ''''''''''''' '''''''''''' '''' '''''''''''''''''' ''''' ''''''' '''''''' ''''' '''''' ''' '''''''''''''''' '''''''''' '''''' ''''''''''' ''''' '''''''''''''' ''''''''''''''''''' '''''''''''''' '''''''''''''''' '''''' '''''''''''' '''''''' '''''''''''''''' '''''''''''''''''''''''</w:t>
      </w:r>
      <w:r w:rsidR="00C7600E" w:rsidRPr="003E16E3">
        <w:t>;</w:t>
      </w:r>
      <w:r w:rsidR="003C14CA" w:rsidRPr="003E16E3">
        <w:t xml:space="preserve"> </w:t>
      </w:r>
      <w:r w:rsidR="00C7600E" w:rsidRPr="003E16E3">
        <w:t xml:space="preserve">a similar arrangement </w:t>
      </w:r>
      <w:r w:rsidR="003C14CA" w:rsidRPr="003E16E3">
        <w:t xml:space="preserve">would </w:t>
      </w:r>
      <w:r w:rsidR="00C7600E" w:rsidRPr="003E16E3">
        <w:t xml:space="preserve">need to </w:t>
      </w:r>
      <w:r w:rsidR="003C14CA" w:rsidRPr="003E16E3">
        <w:t>be applied to the requested listing.</w:t>
      </w:r>
    </w:p>
    <w:p w:rsidR="00C11C2D" w:rsidRPr="00377C13" w:rsidRDefault="00C11C2D" w:rsidP="00491854">
      <w:pPr>
        <w:widowControl/>
        <w:spacing w:after="120"/>
        <w:outlineLvl w:val="1"/>
        <w:rPr>
          <w:b/>
          <w:i/>
          <w:sz w:val="28"/>
        </w:rPr>
      </w:pPr>
      <w:r w:rsidRPr="00377C13">
        <w:rPr>
          <w:b/>
          <w:i/>
          <w:sz w:val="28"/>
        </w:rPr>
        <w:t>Drug cost/patient/year:</w:t>
      </w:r>
    </w:p>
    <w:p w:rsidR="00BF3450" w:rsidRPr="00377C13" w:rsidRDefault="00C11C2D" w:rsidP="00B47A0D">
      <w:pPr>
        <w:widowControl/>
        <w:numPr>
          <w:ilvl w:val="1"/>
          <w:numId w:val="1"/>
        </w:numPr>
        <w:spacing w:after="120"/>
      </w:pPr>
      <w:r w:rsidRPr="00377C13">
        <w:t xml:space="preserve">The cost per pack of ivacaftor (28 days treatment) is $22,500. </w:t>
      </w:r>
      <w:r w:rsidR="008D2A23" w:rsidRPr="00377C13">
        <w:t>The submission a</w:t>
      </w:r>
      <w:r w:rsidRPr="00377C13">
        <w:t>ssum</w:t>
      </w:r>
      <w:r w:rsidR="008D2A23" w:rsidRPr="00377C13">
        <w:t>ed</w:t>
      </w:r>
      <w:r w:rsidRPr="00377C13">
        <w:t xml:space="preserve"> 9.6 packs per patient per year are dispensed</w:t>
      </w:r>
      <w:r w:rsidR="008D2A23" w:rsidRPr="00377C13">
        <w:t xml:space="preserve"> (after adjusting for use of CYP3A4 inhibitors and hepatic impairment),</w:t>
      </w:r>
      <w:r w:rsidRPr="00377C13">
        <w:t xml:space="preserve"> </w:t>
      </w:r>
      <w:r w:rsidR="008D2A23" w:rsidRPr="00377C13">
        <w:t xml:space="preserve">resulting in a </w:t>
      </w:r>
      <w:r w:rsidRPr="00377C13">
        <w:t xml:space="preserve">total cost </w:t>
      </w:r>
      <w:r w:rsidR="008D2A23" w:rsidRPr="00377C13">
        <w:t xml:space="preserve">of </w:t>
      </w:r>
      <w:r w:rsidRPr="00377C13">
        <w:t>$216,000 per patient per year. Treatment is ongoing for the lifetime of the patient.</w:t>
      </w:r>
    </w:p>
    <w:p w:rsidR="00C11C2D" w:rsidRPr="00377C13" w:rsidRDefault="00C11C2D" w:rsidP="00491854">
      <w:pPr>
        <w:keepNext/>
        <w:widowControl/>
        <w:spacing w:after="120"/>
        <w:outlineLvl w:val="1"/>
        <w:rPr>
          <w:b/>
          <w:i/>
          <w:sz w:val="28"/>
        </w:rPr>
      </w:pPr>
      <w:bookmarkStart w:id="24" w:name="_Toc531888475"/>
      <w:r w:rsidRPr="00377C13">
        <w:rPr>
          <w:b/>
          <w:i/>
          <w:sz w:val="28"/>
        </w:rPr>
        <w:t>Estimated PBS usage &amp; financial implications</w:t>
      </w:r>
      <w:bookmarkEnd w:id="24"/>
    </w:p>
    <w:p w:rsidR="00C11C2D" w:rsidRPr="00377C13" w:rsidRDefault="00C11C2D" w:rsidP="00B47A0D">
      <w:pPr>
        <w:widowControl/>
        <w:numPr>
          <w:ilvl w:val="1"/>
          <w:numId w:val="1"/>
        </w:numPr>
        <w:spacing w:after="120"/>
      </w:pPr>
      <w:r w:rsidRPr="00377C13">
        <w:t xml:space="preserve">This submission </w:t>
      </w:r>
      <w:r w:rsidR="002212BD" w:rsidRPr="00377C13">
        <w:t>was not</w:t>
      </w:r>
      <w:r w:rsidRPr="00377C13">
        <w:t xml:space="preserve"> considered by DUSC. The 2018 DUSC analysis reported that since the listing of ivacaftor in December 2014, a total of 268 patients have been supplied ivacaftor for CF, fewer than predicted. However, the number of prescriptions </w:t>
      </w:r>
      <w:r w:rsidRPr="00377C13">
        <w:lastRenderedPageBreak/>
        <w:t>per patient was higher than predicted. The DUSC concluded that this might have been due to higher adherence and/or less dose reduction for patients with hepatic impairment or concomitant CYP3A4</w:t>
      </w:r>
      <w:r w:rsidR="00A24402" w:rsidRPr="00377C13">
        <w:t xml:space="preserve"> inhibitors</w:t>
      </w:r>
      <w:r w:rsidRPr="00377C13">
        <w:t>. The overall expenditure was close to that predicted in the submission (prior to performance rebates) (Ivacaftor DUSC, 2018).</w:t>
      </w:r>
    </w:p>
    <w:p w:rsidR="00C11C2D" w:rsidRPr="00377C13" w:rsidRDefault="00C11C2D" w:rsidP="00B47A0D">
      <w:pPr>
        <w:widowControl/>
        <w:numPr>
          <w:ilvl w:val="1"/>
          <w:numId w:val="1"/>
        </w:numPr>
        <w:spacing w:after="120"/>
      </w:pPr>
      <w:r w:rsidRPr="00377C13">
        <w:t>The submission adopted an epidemiological approach in estimating the patient numbers. The submission estimate</w:t>
      </w:r>
      <w:r w:rsidR="00531758" w:rsidRPr="00377C13">
        <w:t>d</w:t>
      </w:r>
      <w:r w:rsidRPr="00377C13">
        <w:t xml:space="preserve"> that </w:t>
      </w:r>
      <w:r w:rsidR="00FF1A49">
        <w:t>less than 10,000</w:t>
      </w:r>
      <w:r w:rsidR="00FF1A49" w:rsidRPr="00377C13">
        <w:t xml:space="preserve"> </w:t>
      </w:r>
      <w:r w:rsidRPr="00377C13">
        <w:t xml:space="preserve">patients aged 12 to </w:t>
      </w:r>
      <w:r w:rsidR="00A24402" w:rsidRPr="00377C13">
        <w:t>&lt;</w:t>
      </w:r>
      <w:r w:rsidRPr="00377C13">
        <w:t>24 months will be treated each year with ivacaftor granules.</w:t>
      </w:r>
      <w:r w:rsidRPr="00377C13">
        <w:rPr>
          <w:i/>
        </w:rPr>
        <w:t xml:space="preserve"> </w:t>
      </w:r>
      <w:r w:rsidRPr="00377C13">
        <w:t xml:space="preserve">The number of patients may be underestimated as patients 12 to </w:t>
      </w:r>
      <w:r w:rsidR="00A24402" w:rsidRPr="00377C13">
        <w:t>&lt;</w:t>
      </w:r>
      <w:r w:rsidRPr="00377C13">
        <w:t>24 months old who started treatment in Year 1 and who have not moved onto tablets in the subsequent years will be joined by newly diagnosed patients.</w:t>
      </w:r>
      <w:r w:rsidR="00915A8C" w:rsidRPr="00377C13">
        <w:t xml:space="preserve"> </w:t>
      </w:r>
      <w:r w:rsidR="007603D3" w:rsidRPr="00377C13">
        <w:t>In November 2016, in its consideration of the submission for patients aged 2-5 years, t</w:t>
      </w:r>
      <w:r w:rsidR="002521B2" w:rsidRPr="00377C13">
        <w:t>he PBAC noted that only if the number of newly diagnosed patients precisely matches the number of current patients moving onto ivacaftor tablets will the number of patients accessing ivacaftor granules remain static (Ivacaftor, PSD November 2016, paragraph 6.34)</w:t>
      </w:r>
      <w:r w:rsidR="00377C13">
        <w:t xml:space="preserve">. </w:t>
      </w:r>
      <w:r w:rsidRPr="00377C13">
        <w:t xml:space="preserve">Moreover, </w:t>
      </w:r>
      <w:r w:rsidR="00010E53" w:rsidRPr="00377C13">
        <w:t xml:space="preserve">while the submission stated that it included </w:t>
      </w:r>
      <w:r w:rsidRPr="00377C13">
        <w:t xml:space="preserve">patients with other </w:t>
      </w:r>
      <w:r w:rsidR="00531758" w:rsidRPr="00377C13">
        <w:t>g</w:t>
      </w:r>
      <w:r w:rsidRPr="00377C13">
        <w:t xml:space="preserve">ating </w:t>
      </w:r>
      <w:r w:rsidR="00531758" w:rsidRPr="00377C13">
        <w:t>(</w:t>
      </w:r>
      <w:r w:rsidRPr="00377C13">
        <w:t>class</w:t>
      </w:r>
      <w:r w:rsidR="00531758" w:rsidRPr="00377C13">
        <w:t xml:space="preserve"> III)</w:t>
      </w:r>
      <w:r w:rsidR="00C7600E" w:rsidRPr="00377C13">
        <w:t xml:space="preserve"> </w:t>
      </w:r>
      <w:r w:rsidRPr="00377C13">
        <w:t>mutations</w:t>
      </w:r>
      <w:r w:rsidR="00010E53" w:rsidRPr="00377C13">
        <w:t>,</w:t>
      </w:r>
      <w:r w:rsidR="0050447B" w:rsidRPr="00377C13">
        <w:t xml:space="preserve"> </w:t>
      </w:r>
      <w:r w:rsidR="00010E53" w:rsidRPr="00377C13">
        <w:t>this could not be verified by the evaluation</w:t>
      </w:r>
      <w:r w:rsidRPr="00377C13">
        <w:t>.</w:t>
      </w:r>
    </w:p>
    <w:p w:rsidR="00C11C2D" w:rsidRPr="00377C13" w:rsidRDefault="00C11C2D" w:rsidP="00B47A0D">
      <w:pPr>
        <w:widowControl/>
        <w:numPr>
          <w:ilvl w:val="1"/>
          <w:numId w:val="1"/>
        </w:numPr>
        <w:spacing w:after="120"/>
        <w:rPr>
          <w:rFonts w:asciiTheme="minorHAnsi" w:hAnsiTheme="minorHAnsi" w:cstheme="minorHAnsi"/>
          <w:szCs w:val="24"/>
        </w:rPr>
      </w:pPr>
      <w:r w:rsidRPr="00377C13">
        <w:t xml:space="preserve">The overall financial impact for the Australian Government health budget over six years estimated by the submission is presented in </w:t>
      </w:r>
      <w:r w:rsidR="006832BC">
        <w:rPr>
          <w:rFonts w:asciiTheme="minorHAnsi" w:hAnsiTheme="minorHAnsi" w:cstheme="minorHAnsi"/>
          <w:szCs w:val="24"/>
        </w:rPr>
        <w:t>Table 7</w:t>
      </w:r>
      <w:r w:rsidRPr="00377C13">
        <w:rPr>
          <w:rFonts w:asciiTheme="minorHAnsi" w:hAnsiTheme="minorHAnsi" w:cstheme="minorHAnsi"/>
          <w:szCs w:val="24"/>
        </w:rPr>
        <w:t xml:space="preserve">. </w:t>
      </w:r>
    </w:p>
    <w:p w:rsidR="00C11C2D" w:rsidRPr="00377C13" w:rsidRDefault="006832BC" w:rsidP="007D3143">
      <w:pPr>
        <w:keepNext/>
        <w:widowControl/>
        <w:rPr>
          <w:rFonts w:ascii="Arial Narrow" w:hAnsi="Arial Narrow"/>
          <w:b/>
          <w:bCs/>
          <w:sz w:val="20"/>
          <w:szCs w:val="20"/>
        </w:rPr>
      </w:pPr>
      <w:bookmarkStart w:id="25" w:name="_Ref531854299"/>
      <w:r>
        <w:rPr>
          <w:rFonts w:ascii="Arial Narrow" w:hAnsi="Arial Narrow"/>
          <w:b/>
          <w:bCs/>
          <w:sz w:val="20"/>
          <w:szCs w:val="20"/>
        </w:rPr>
        <w:t>Table 7</w:t>
      </w:r>
      <w:r w:rsidR="008D7E7C" w:rsidRPr="00377C13">
        <w:rPr>
          <w:rFonts w:ascii="Arial Narrow" w:hAnsi="Arial Narrow"/>
          <w:b/>
          <w:bCs/>
          <w:sz w:val="20"/>
          <w:szCs w:val="20"/>
        </w:rPr>
        <w:t>: Overall impact on government health budgets</w:t>
      </w:r>
      <w:bookmarkEnd w:id="25"/>
      <w:r w:rsidR="00B47A0D">
        <w:rPr>
          <w:rFonts w:ascii="Arial Narrow" w:hAnsi="Arial Narrow"/>
          <w:b/>
          <w:bCs/>
          <w:sz w:val="20"/>
          <w:szCs w:val="20"/>
        </w:rPr>
        <w:t xml:space="preserve"> </w:t>
      </w:r>
    </w:p>
    <w:tbl>
      <w:tblPr>
        <w:tblStyle w:val="HTATableshaded4"/>
        <w:tblW w:w="4871" w:type="pct"/>
        <w:tblLayout w:type="fixed"/>
        <w:tblLook w:val="0000" w:firstRow="0" w:lastRow="0" w:firstColumn="0" w:lastColumn="0" w:noHBand="0" w:noVBand="0"/>
        <w:tblCaption w:val="Table 7: Overall impact on government health budgets  "/>
      </w:tblPr>
      <w:tblGrid>
        <w:gridCol w:w="2830"/>
        <w:gridCol w:w="993"/>
        <w:gridCol w:w="991"/>
        <w:gridCol w:w="993"/>
        <w:gridCol w:w="991"/>
        <w:gridCol w:w="993"/>
        <w:gridCol w:w="993"/>
      </w:tblGrid>
      <w:tr w:rsidR="00C11C2D" w:rsidRPr="00377C13" w:rsidTr="006832BC">
        <w:trPr>
          <w:trHeight w:val="20"/>
          <w:tblHeader/>
        </w:trPr>
        <w:tc>
          <w:tcPr>
            <w:tcW w:w="1611" w:type="pct"/>
            <w:shd w:val="clear" w:color="auto" w:fill="auto"/>
          </w:tcPr>
          <w:p w:rsidR="00C11C2D" w:rsidRPr="00377C13" w:rsidRDefault="00C11C2D" w:rsidP="007D3143">
            <w:pPr>
              <w:keepNext/>
              <w:widowControl/>
              <w:jc w:val="left"/>
              <w:rPr>
                <w:rFonts w:ascii="Arial Narrow" w:hAnsi="Arial Narrow" w:cs="Calibri"/>
                <w:snapToGrid/>
                <w:sz w:val="20"/>
                <w:szCs w:val="20"/>
                <w:lang w:eastAsia="en-AU"/>
              </w:rPr>
            </w:pPr>
            <w:r w:rsidRPr="00377C13">
              <w:rPr>
                <w:rFonts w:ascii="Arial Narrow" w:hAnsi="Arial Narrow" w:cs="Calibri"/>
                <w:b/>
                <w:bCs/>
                <w:snapToGrid/>
                <w:sz w:val="20"/>
                <w:szCs w:val="20"/>
                <w:lang w:eastAsia="en-AU"/>
              </w:rPr>
              <w:t>Description</w:t>
            </w:r>
          </w:p>
        </w:tc>
        <w:tc>
          <w:tcPr>
            <w:tcW w:w="565" w:type="pct"/>
            <w:shd w:val="clear" w:color="auto" w:fill="auto"/>
            <w:noWrap/>
          </w:tcPr>
          <w:p w:rsidR="00C11C2D" w:rsidRPr="00377C13" w:rsidRDefault="00C11C2D" w:rsidP="007D3143">
            <w:pPr>
              <w:keepNext/>
              <w:widowControl/>
              <w:spacing w:before="20"/>
              <w:jc w:val="center"/>
              <w:rPr>
                <w:rFonts w:ascii="Arial Narrow" w:hAnsi="Arial Narrow" w:cs="Times New Roman"/>
                <w:snapToGrid/>
                <w:sz w:val="20"/>
                <w:szCs w:val="20"/>
                <w:lang w:eastAsia="en-AU"/>
              </w:rPr>
            </w:pPr>
            <w:r w:rsidRPr="00377C13">
              <w:rPr>
                <w:rFonts w:ascii="Arial Narrow" w:hAnsi="Arial Narrow" w:cs="Calibri"/>
                <w:b/>
                <w:bCs/>
                <w:snapToGrid/>
                <w:sz w:val="20"/>
                <w:szCs w:val="20"/>
                <w:lang w:eastAsia="en-AU"/>
              </w:rPr>
              <w:t>Year 1</w:t>
            </w:r>
          </w:p>
        </w:tc>
        <w:tc>
          <w:tcPr>
            <w:tcW w:w="564" w:type="pct"/>
            <w:shd w:val="clear" w:color="auto" w:fill="auto"/>
            <w:noWrap/>
          </w:tcPr>
          <w:p w:rsidR="00C11C2D" w:rsidRPr="00377C13" w:rsidRDefault="00C11C2D" w:rsidP="007D3143">
            <w:pPr>
              <w:keepNext/>
              <w:widowControl/>
              <w:spacing w:before="20"/>
              <w:jc w:val="center"/>
              <w:rPr>
                <w:rFonts w:ascii="Arial Narrow" w:hAnsi="Arial Narrow" w:cs="Times New Roman"/>
                <w:snapToGrid/>
                <w:sz w:val="20"/>
                <w:szCs w:val="20"/>
                <w:lang w:eastAsia="en-AU"/>
              </w:rPr>
            </w:pPr>
            <w:r w:rsidRPr="00377C13">
              <w:rPr>
                <w:rFonts w:ascii="Arial Narrow" w:hAnsi="Arial Narrow" w:cs="Calibri"/>
                <w:b/>
                <w:bCs/>
                <w:snapToGrid/>
                <w:sz w:val="20"/>
                <w:szCs w:val="20"/>
                <w:lang w:eastAsia="en-AU"/>
              </w:rPr>
              <w:t>Year 2</w:t>
            </w:r>
          </w:p>
        </w:tc>
        <w:tc>
          <w:tcPr>
            <w:tcW w:w="565" w:type="pct"/>
            <w:shd w:val="clear" w:color="auto" w:fill="auto"/>
            <w:noWrap/>
          </w:tcPr>
          <w:p w:rsidR="00C11C2D" w:rsidRPr="00377C13" w:rsidRDefault="00C11C2D" w:rsidP="007D3143">
            <w:pPr>
              <w:keepNext/>
              <w:widowControl/>
              <w:spacing w:before="20"/>
              <w:jc w:val="center"/>
              <w:rPr>
                <w:rFonts w:ascii="Arial Narrow" w:hAnsi="Arial Narrow" w:cs="Times New Roman"/>
                <w:snapToGrid/>
                <w:sz w:val="20"/>
                <w:szCs w:val="20"/>
                <w:lang w:eastAsia="en-AU"/>
              </w:rPr>
            </w:pPr>
            <w:r w:rsidRPr="00377C13">
              <w:rPr>
                <w:rFonts w:ascii="Arial Narrow" w:hAnsi="Arial Narrow" w:cs="Calibri"/>
                <w:b/>
                <w:bCs/>
                <w:snapToGrid/>
                <w:sz w:val="20"/>
                <w:szCs w:val="20"/>
                <w:lang w:eastAsia="en-AU"/>
              </w:rPr>
              <w:t>Year 3</w:t>
            </w:r>
          </w:p>
        </w:tc>
        <w:tc>
          <w:tcPr>
            <w:tcW w:w="564" w:type="pct"/>
            <w:shd w:val="clear" w:color="auto" w:fill="auto"/>
            <w:noWrap/>
          </w:tcPr>
          <w:p w:rsidR="00C11C2D" w:rsidRPr="00377C13" w:rsidRDefault="00C11C2D" w:rsidP="007D3143">
            <w:pPr>
              <w:keepNext/>
              <w:widowControl/>
              <w:spacing w:before="20"/>
              <w:jc w:val="center"/>
              <w:rPr>
                <w:rFonts w:ascii="Arial Narrow" w:hAnsi="Arial Narrow" w:cs="Times New Roman"/>
                <w:snapToGrid/>
                <w:sz w:val="20"/>
                <w:szCs w:val="20"/>
                <w:lang w:eastAsia="en-AU"/>
              </w:rPr>
            </w:pPr>
            <w:r w:rsidRPr="00377C13">
              <w:rPr>
                <w:rFonts w:ascii="Arial Narrow" w:hAnsi="Arial Narrow" w:cs="Calibri"/>
                <w:b/>
                <w:bCs/>
                <w:snapToGrid/>
                <w:sz w:val="20"/>
                <w:szCs w:val="20"/>
                <w:lang w:eastAsia="en-AU"/>
              </w:rPr>
              <w:t>Year 4</w:t>
            </w:r>
          </w:p>
        </w:tc>
        <w:tc>
          <w:tcPr>
            <w:tcW w:w="565" w:type="pct"/>
            <w:shd w:val="clear" w:color="auto" w:fill="auto"/>
            <w:noWrap/>
          </w:tcPr>
          <w:p w:rsidR="00C11C2D" w:rsidRPr="00377C13" w:rsidRDefault="00C11C2D" w:rsidP="007D3143">
            <w:pPr>
              <w:keepNext/>
              <w:widowControl/>
              <w:spacing w:before="20"/>
              <w:jc w:val="center"/>
              <w:rPr>
                <w:rFonts w:ascii="Arial Narrow" w:hAnsi="Arial Narrow" w:cs="Times New Roman"/>
                <w:snapToGrid/>
                <w:sz w:val="20"/>
                <w:szCs w:val="20"/>
                <w:lang w:eastAsia="en-AU"/>
              </w:rPr>
            </w:pPr>
            <w:r w:rsidRPr="00377C13">
              <w:rPr>
                <w:rFonts w:ascii="Arial Narrow" w:hAnsi="Arial Narrow" w:cs="Calibri"/>
                <w:b/>
                <w:bCs/>
                <w:snapToGrid/>
                <w:sz w:val="20"/>
                <w:szCs w:val="20"/>
                <w:lang w:eastAsia="en-AU"/>
              </w:rPr>
              <w:t>Year 5</w:t>
            </w:r>
          </w:p>
        </w:tc>
        <w:tc>
          <w:tcPr>
            <w:tcW w:w="565" w:type="pct"/>
            <w:shd w:val="clear" w:color="auto" w:fill="auto"/>
          </w:tcPr>
          <w:p w:rsidR="00C11C2D" w:rsidRPr="00377C13" w:rsidRDefault="00C11C2D" w:rsidP="007D3143">
            <w:pPr>
              <w:keepNext/>
              <w:widowControl/>
              <w:spacing w:before="20"/>
              <w:jc w:val="center"/>
              <w:rPr>
                <w:rFonts w:ascii="Arial Narrow" w:hAnsi="Arial Narrow" w:cs="Times New Roman"/>
                <w:snapToGrid/>
                <w:sz w:val="20"/>
                <w:szCs w:val="20"/>
                <w:lang w:eastAsia="en-AU"/>
              </w:rPr>
            </w:pPr>
            <w:r w:rsidRPr="00377C13">
              <w:rPr>
                <w:rFonts w:ascii="Arial Narrow" w:hAnsi="Arial Narrow" w:cs="Calibri"/>
                <w:b/>
                <w:bCs/>
                <w:snapToGrid/>
                <w:sz w:val="20"/>
                <w:szCs w:val="20"/>
                <w:lang w:eastAsia="en-AU"/>
              </w:rPr>
              <w:t>Year 6</w:t>
            </w:r>
          </w:p>
        </w:tc>
      </w:tr>
      <w:tr w:rsidR="007F460B" w:rsidRPr="00377C13" w:rsidTr="00E04A23">
        <w:trPr>
          <w:trHeight w:val="20"/>
        </w:trPr>
        <w:tc>
          <w:tcPr>
            <w:tcW w:w="1611" w:type="pct"/>
          </w:tcPr>
          <w:p w:rsidR="007F460B" w:rsidRPr="00377C13" w:rsidRDefault="00C7600E" w:rsidP="007D3143">
            <w:pPr>
              <w:keepNext/>
              <w:widowControl/>
              <w:tabs>
                <w:tab w:val="left" w:pos="416"/>
                <w:tab w:val="left" w:pos="582"/>
              </w:tabs>
              <w:jc w:val="left"/>
              <w:rPr>
                <w:rFonts w:ascii="Arial Narrow" w:hAnsi="Arial Narrow" w:cs="Calibri"/>
                <w:snapToGrid/>
                <w:sz w:val="20"/>
                <w:szCs w:val="20"/>
                <w:lang w:eastAsia="en-AU"/>
              </w:rPr>
            </w:pPr>
            <w:r w:rsidRPr="00377C13">
              <w:rPr>
                <w:rFonts w:ascii="Arial Narrow" w:hAnsi="Arial Narrow" w:cs="Calibri"/>
                <w:snapToGrid/>
                <w:sz w:val="20"/>
                <w:szCs w:val="20"/>
                <w:lang w:eastAsia="en-AU"/>
              </w:rPr>
              <w:t>Estimated</w:t>
            </w:r>
            <w:r w:rsidR="007F460B" w:rsidRPr="00377C13">
              <w:rPr>
                <w:rFonts w:ascii="Arial Narrow" w:hAnsi="Arial Narrow" w:cs="Calibri"/>
                <w:snapToGrid/>
                <w:sz w:val="20"/>
                <w:szCs w:val="20"/>
                <w:lang w:eastAsia="en-AU"/>
              </w:rPr>
              <w:t xml:space="preserve"> number of patients to receive ivacaftor</w:t>
            </w:r>
          </w:p>
        </w:tc>
        <w:tc>
          <w:tcPr>
            <w:tcW w:w="565" w:type="pct"/>
            <w:noWrap/>
          </w:tcPr>
          <w:p w:rsidR="007F460B" w:rsidRPr="00A9188C" w:rsidRDefault="00A9188C" w:rsidP="007D3143">
            <w:pPr>
              <w:keepNext/>
              <w:widowControl/>
              <w:spacing w:before="20"/>
              <w:jc w:val="center"/>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64" w:type="pct"/>
            <w:noWrap/>
          </w:tcPr>
          <w:p w:rsidR="007F460B" w:rsidRPr="00A9188C" w:rsidRDefault="00A9188C" w:rsidP="007D3143">
            <w:pPr>
              <w:keepNext/>
              <w:widowControl/>
              <w:spacing w:before="20"/>
              <w:jc w:val="center"/>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65" w:type="pct"/>
            <w:noWrap/>
          </w:tcPr>
          <w:p w:rsidR="007F460B" w:rsidRPr="00A9188C" w:rsidRDefault="00A9188C" w:rsidP="007D3143">
            <w:pPr>
              <w:keepNext/>
              <w:widowControl/>
              <w:spacing w:before="20"/>
              <w:jc w:val="center"/>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64" w:type="pct"/>
            <w:noWrap/>
          </w:tcPr>
          <w:p w:rsidR="007F460B" w:rsidRPr="00A9188C" w:rsidRDefault="00A9188C" w:rsidP="007D3143">
            <w:pPr>
              <w:keepNext/>
              <w:widowControl/>
              <w:spacing w:before="20"/>
              <w:jc w:val="center"/>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65" w:type="pct"/>
            <w:noWrap/>
          </w:tcPr>
          <w:p w:rsidR="007F460B" w:rsidRPr="00A9188C" w:rsidRDefault="00A9188C" w:rsidP="007D3143">
            <w:pPr>
              <w:keepNext/>
              <w:widowControl/>
              <w:spacing w:before="20"/>
              <w:jc w:val="center"/>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c>
          <w:tcPr>
            <w:tcW w:w="565" w:type="pct"/>
          </w:tcPr>
          <w:p w:rsidR="007F460B" w:rsidRPr="00A9188C" w:rsidRDefault="00A9188C" w:rsidP="007D3143">
            <w:pPr>
              <w:keepNext/>
              <w:widowControl/>
              <w:spacing w:before="20"/>
              <w:jc w:val="center"/>
              <w:rPr>
                <w:rFonts w:ascii="Arial Narrow" w:hAnsi="Arial Narrow" w:cs="Times New Roman"/>
                <w:snapToGrid/>
                <w:sz w:val="20"/>
                <w:szCs w:val="20"/>
                <w:highlight w:val="black"/>
                <w:lang w:eastAsia="en-AU"/>
              </w:rPr>
            </w:pPr>
            <w:r>
              <w:rPr>
                <w:rFonts w:ascii="Arial Narrow" w:hAnsi="Arial Narrow" w:cs="Times New Roman"/>
                <w:noProof/>
                <w:snapToGrid/>
                <w:color w:val="000000"/>
                <w:sz w:val="20"/>
                <w:szCs w:val="20"/>
                <w:highlight w:val="black"/>
                <w:lang w:eastAsia="en-AU"/>
              </w:rPr>
              <w:t>'''</w:t>
            </w:r>
          </w:p>
        </w:tc>
      </w:tr>
      <w:tr w:rsidR="00C11C2D" w:rsidRPr="00377C13" w:rsidTr="00E04A23">
        <w:trPr>
          <w:trHeight w:val="20"/>
        </w:trPr>
        <w:tc>
          <w:tcPr>
            <w:tcW w:w="1611" w:type="pct"/>
          </w:tcPr>
          <w:p w:rsidR="00C11C2D" w:rsidRPr="00377C13" w:rsidRDefault="00C11C2D" w:rsidP="007D3143">
            <w:pPr>
              <w:keepNext/>
              <w:widowControl/>
              <w:tabs>
                <w:tab w:val="left" w:pos="416"/>
                <w:tab w:val="left" w:pos="582"/>
              </w:tabs>
              <w:jc w:val="left"/>
              <w:rPr>
                <w:rFonts w:ascii="Arial Narrow" w:hAnsi="Arial Narrow" w:cs="Calibri"/>
                <w:snapToGrid/>
                <w:sz w:val="20"/>
                <w:szCs w:val="20"/>
                <w:lang w:eastAsia="en-AU"/>
              </w:rPr>
            </w:pPr>
            <w:r w:rsidRPr="00377C13">
              <w:rPr>
                <w:rFonts w:ascii="Arial Narrow" w:hAnsi="Arial Narrow" w:cs="Calibri"/>
                <w:snapToGrid/>
                <w:sz w:val="20"/>
                <w:szCs w:val="20"/>
                <w:lang w:eastAsia="en-AU"/>
              </w:rPr>
              <w:t>Overall cost of ivacaftor to PBS (</w:t>
            </w:r>
            <w:r w:rsidRPr="00377C13">
              <w:rPr>
                <w:rFonts w:ascii="Arial Narrow" w:hAnsi="Arial Narrow" w:cs="Times New Roman"/>
                <w:snapToGrid/>
                <w:sz w:val="20"/>
                <w:szCs w:val="20"/>
                <w:lang w:eastAsia="en-AU"/>
              </w:rPr>
              <w:t>Not including performance-based rebate)</w:t>
            </w:r>
          </w:p>
        </w:tc>
        <w:tc>
          <w:tcPr>
            <w:tcW w:w="565" w:type="pct"/>
            <w:noWrap/>
          </w:tcPr>
          <w:p w:rsidR="00C11C2D" w:rsidRPr="00377C13" w:rsidRDefault="00C11C2D" w:rsidP="007D3143">
            <w:pPr>
              <w:keepNext/>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4" w:type="pct"/>
            <w:noWrap/>
          </w:tcPr>
          <w:p w:rsidR="00C11C2D" w:rsidRPr="00377C13" w:rsidRDefault="00C11C2D" w:rsidP="007D3143">
            <w:pPr>
              <w:keepNext/>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5" w:type="pct"/>
            <w:noWrap/>
          </w:tcPr>
          <w:p w:rsidR="00C11C2D" w:rsidRPr="00377C13" w:rsidRDefault="00C11C2D" w:rsidP="007D3143">
            <w:pPr>
              <w:keepNext/>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4" w:type="pct"/>
            <w:noWrap/>
          </w:tcPr>
          <w:p w:rsidR="00C11C2D" w:rsidRPr="00377C13" w:rsidRDefault="00C11C2D" w:rsidP="007D3143">
            <w:pPr>
              <w:keepNext/>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5" w:type="pct"/>
            <w:noWrap/>
          </w:tcPr>
          <w:p w:rsidR="00C11C2D" w:rsidRPr="00377C13" w:rsidRDefault="00C11C2D" w:rsidP="007D3143">
            <w:pPr>
              <w:keepNext/>
              <w:widowControl/>
              <w:spacing w:before="20"/>
              <w:jc w:val="right"/>
              <w:rPr>
                <w:rFonts w:ascii="Arial Narrow" w:hAnsi="Arial Narrow" w:cs="Times New Roman"/>
                <w:snapToGrid/>
                <w:sz w:val="20"/>
                <w:szCs w:val="20"/>
                <w:highlight w:val="yellow"/>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5" w:type="pct"/>
          </w:tcPr>
          <w:p w:rsidR="00C11C2D" w:rsidRPr="00377C13" w:rsidRDefault="00C11C2D" w:rsidP="007D3143">
            <w:pPr>
              <w:keepNext/>
              <w:widowControl/>
              <w:spacing w:before="20"/>
              <w:jc w:val="right"/>
              <w:rPr>
                <w:rFonts w:ascii="Arial Narrow" w:hAnsi="Arial Narrow" w:cs="Times New Roman"/>
                <w:snapToGrid/>
                <w:sz w:val="20"/>
                <w:szCs w:val="20"/>
                <w:highlight w:val="yellow"/>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r>
      <w:tr w:rsidR="00C11C2D" w:rsidRPr="00377C13" w:rsidTr="00E04A23">
        <w:trPr>
          <w:trHeight w:val="20"/>
        </w:trPr>
        <w:tc>
          <w:tcPr>
            <w:tcW w:w="1611" w:type="pct"/>
          </w:tcPr>
          <w:p w:rsidR="00C11C2D" w:rsidRPr="00377C13" w:rsidRDefault="00C11C2D" w:rsidP="007D3143">
            <w:pPr>
              <w:keepNext/>
              <w:widowControl/>
              <w:tabs>
                <w:tab w:val="left" w:pos="416"/>
                <w:tab w:val="left" w:pos="582"/>
              </w:tabs>
              <w:jc w:val="left"/>
              <w:rPr>
                <w:rFonts w:ascii="Arial Narrow" w:hAnsi="Arial Narrow" w:cs="Calibri"/>
                <w:snapToGrid/>
                <w:sz w:val="20"/>
                <w:szCs w:val="20"/>
                <w:lang w:eastAsia="en-AU"/>
              </w:rPr>
            </w:pPr>
            <w:r w:rsidRPr="00377C13">
              <w:rPr>
                <w:rFonts w:ascii="Arial Narrow" w:hAnsi="Arial Narrow" w:cs="Calibri"/>
                <w:snapToGrid/>
                <w:sz w:val="20"/>
                <w:szCs w:val="20"/>
                <w:lang w:eastAsia="en-AU"/>
              </w:rPr>
              <w:t>Overall net cost of ivacaftor to non-PBS services</w:t>
            </w:r>
          </w:p>
        </w:tc>
        <w:tc>
          <w:tcPr>
            <w:tcW w:w="565" w:type="pct"/>
            <w:noWrap/>
          </w:tcPr>
          <w:p w:rsidR="00C11C2D" w:rsidRPr="00377C13" w:rsidRDefault="00C11C2D" w:rsidP="007D3143">
            <w:pPr>
              <w:keepNext/>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4" w:type="pct"/>
            <w:noWrap/>
          </w:tcPr>
          <w:p w:rsidR="00C11C2D" w:rsidRPr="00377C13" w:rsidRDefault="00C11C2D" w:rsidP="007D3143">
            <w:pPr>
              <w:keepNext/>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5" w:type="pct"/>
            <w:noWrap/>
          </w:tcPr>
          <w:p w:rsidR="00C11C2D" w:rsidRPr="00377C13" w:rsidRDefault="00C11C2D" w:rsidP="007D3143">
            <w:pPr>
              <w:keepNext/>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4" w:type="pct"/>
            <w:noWrap/>
          </w:tcPr>
          <w:p w:rsidR="00C11C2D" w:rsidRPr="00377C13" w:rsidRDefault="00C11C2D" w:rsidP="007D3143">
            <w:pPr>
              <w:keepNext/>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5" w:type="pct"/>
            <w:noWrap/>
          </w:tcPr>
          <w:p w:rsidR="00C11C2D" w:rsidRPr="00377C13" w:rsidRDefault="00C11C2D" w:rsidP="007D3143">
            <w:pPr>
              <w:keepNext/>
              <w:widowControl/>
              <w:spacing w:before="20"/>
              <w:jc w:val="right"/>
              <w:rPr>
                <w:rFonts w:ascii="Arial Narrow" w:hAnsi="Arial Narrow" w:cs="Times New Roman"/>
                <w:snapToGrid/>
                <w:sz w:val="20"/>
                <w:szCs w:val="20"/>
                <w:highlight w:val="yellow"/>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5" w:type="pct"/>
          </w:tcPr>
          <w:p w:rsidR="00C11C2D" w:rsidRPr="00377C13" w:rsidRDefault="00C11C2D" w:rsidP="007D3143">
            <w:pPr>
              <w:keepNext/>
              <w:widowControl/>
              <w:spacing w:before="20"/>
              <w:jc w:val="right"/>
              <w:rPr>
                <w:rFonts w:ascii="Arial Narrow" w:hAnsi="Arial Narrow" w:cs="Times New Roman"/>
                <w:snapToGrid/>
                <w:sz w:val="20"/>
                <w:szCs w:val="20"/>
                <w:highlight w:val="yellow"/>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r>
      <w:tr w:rsidR="00C11C2D" w:rsidRPr="00377C13" w:rsidTr="00E04A23">
        <w:trPr>
          <w:trHeight w:val="20"/>
        </w:trPr>
        <w:tc>
          <w:tcPr>
            <w:tcW w:w="1611" w:type="pct"/>
          </w:tcPr>
          <w:p w:rsidR="00C11C2D" w:rsidRPr="00377C13" w:rsidRDefault="00C11C2D" w:rsidP="007D3143">
            <w:pPr>
              <w:widowControl/>
              <w:tabs>
                <w:tab w:val="left" w:pos="416"/>
                <w:tab w:val="left" w:pos="582"/>
              </w:tabs>
              <w:jc w:val="left"/>
              <w:rPr>
                <w:rFonts w:ascii="Arial Narrow" w:hAnsi="Arial Narrow" w:cs="Calibri"/>
                <w:snapToGrid/>
                <w:sz w:val="20"/>
                <w:szCs w:val="20"/>
                <w:lang w:eastAsia="en-AU"/>
              </w:rPr>
            </w:pPr>
            <w:r w:rsidRPr="00377C13">
              <w:rPr>
                <w:rFonts w:ascii="Arial Narrow" w:hAnsi="Arial Narrow" w:cs="Calibri"/>
                <w:snapToGrid/>
                <w:sz w:val="20"/>
                <w:szCs w:val="20"/>
                <w:lang w:eastAsia="en-AU"/>
              </w:rPr>
              <w:t>Overall impact on government health budgets</w:t>
            </w:r>
            <w:r w:rsidR="00CB188D" w:rsidRPr="00377C13">
              <w:rPr>
                <w:rFonts w:ascii="Arial Narrow" w:hAnsi="Arial Narrow" w:cs="Times New Roman"/>
                <w:snapToGrid/>
                <w:sz w:val="20"/>
                <w:szCs w:val="20"/>
                <w:lang w:eastAsia="en-AU"/>
              </w:rPr>
              <w:t xml:space="preserve"> </w:t>
            </w:r>
            <w:r w:rsidRPr="00377C13">
              <w:rPr>
                <w:rFonts w:ascii="Arial Narrow" w:hAnsi="Arial Narrow" w:cs="Times New Roman"/>
                <w:snapToGrid/>
                <w:sz w:val="20"/>
                <w:szCs w:val="20"/>
                <w:lang w:eastAsia="en-AU"/>
              </w:rPr>
              <w:t>(</w:t>
            </w:r>
            <w:r w:rsidR="00CB188D" w:rsidRPr="00377C13">
              <w:rPr>
                <w:rFonts w:ascii="Arial Narrow" w:hAnsi="Arial Narrow" w:cs="Times New Roman"/>
                <w:snapToGrid/>
                <w:sz w:val="20"/>
                <w:szCs w:val="20"/>
                <w:lang w:eastAsia="en-AU"/>
              </w:rPr>
              <w:t>n</w:t>
            </w:r>
            <w:r w:rsidRPr="00377C13">
              <w:rPr>
                <w:rFonts w:ascii="Arial Narrow" w:hAnsi="Arial Narrow" w:cs="Times New Roman"/>
                <w:snapToGrid/>
                <w:sz w:val="20"/>
                <w:szCs w:val="20"/>
                <w:lang w:eastAsia="en-AU"/>
              </w:rPr>
              <w:t>ot including performance-based rebate)</w:t>
            </w:r>
            <w:r w:rsidRPr="00377C13">
              <w:rPr>
                <w:rFonts w:ascii="Arial Narrow" w:hAnsi="Arial Narrow" w:cs="Calibri"/>
                <w:snapToGrid/>
                <w:sz w:val="20"/>
                <w:szCs w:val="20"/>
                <w:lang w:eastAsia="en-AU"/>
              </w:rPr>
              <w:t xml:space="preserve"> </w:t>
            </w:r>
          </w:p>
        </w:tc>
        <w:tc>
          <w:tcPr>
            <w:tcW w:w="565" w:type="pct"/>
            <w:noWrap/>
          </w:tcPr>
          <w:p w:rsidR="00C11C2D" w:rsidRPr="00377C13" w:rsidRDefault="00C11C2D" w:rsidP="007D3143">
            <w:pPr>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4" w:type="pct"/>
            <w:noWrap/>
          </w:tcPr>
          <w:p w:rsidR="00C11C2D" w:rsidRPr="00377C13" w:rsidRDefault="00C11C2D" w:rsidP="007D3143">
            <w:pPr>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5" w:type="pct"/>
            <w:noWrap/>
          </w:tcPr>
          <w:p w:rsidR="00C11C2D" w:rsidRPr="00377C13" w:rsidRDefault="00C11C2D" w:rsidP="007D3143">
            <w:pPr>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4" w:type="pct"/>
            <w:noWrap/>
          </w:tcPr>
          <w:p w:rsidR="00C11C2D" w:rsidRPr="00377C13" w:rsidRDefault="00C11C2D" w:rsidP="007D3143">
            <w:pPr>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5" w:type="pct"/>
            <w:noWrap/>
          </w:tcPr>
          <w:p w:rsidR="00C11C2D" w:rsidRPr="00377C13" w:rsidRDefault="00C11C2D" w:rsidP="007D3143">
            <w:pPr>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c>
          <w:tcPr>
            <w:tcW w:w="565" w:type="pct"/>
          </w:tcPr>
          <w:p w:rsidR="00C11C2D" w:rsidRPr="00377C13" w:rsidRDefault="00C11C2D" w:rsidP="007D3143">
            <w:pPr>
              <w:widowControl/>
              <w:spacing w:before="20"/>
              <w:jc w:val="right"/>
              <w:rPr>
                <w:rFonts w:ascii="Arial Narrow" w:hAnsi="Arial Narrow" w:cs="Times New Roman"/>
                <w:snapToGrid/>
                <w:sz w:val="20"/>
                <w:szCs w:val="20"/>
                <w:lang w:eastAsia="en-AU"/>
              </w:rPr>
            </w:pPr>
            <w:r w:rsidRPr="00377C13">
              <w:rPr>
                <w:rFonts w:ascii="Arial Narrow" w:hAnsi="Arial Narrow" w:cs="Times New Roman"/>
                <w:snapToGrid/>
                <w:sz w:val="20"/>
                <w:szCs w:val="20"/>
                <w:lang w:eastAsia="en-AU"/>
              </w:rPr>
              <w:t>$</w:t>
            </w:r>
            <w:r w:rsidR="00A9188C">
              <w:rPr>
                <w:rFonts w:ascii="Arial Narrow" w:hAnsi="Arial Narrow" w:cs="Times New Roman"/>
                <w:noProof/>
                <w:snapToGrid/>
                <w:color w:val="000000"/>
                <w:sz w:val="20"/>
                <w:szCs w:val="20"/>
                <w:highlight w:val="black"/>
                <w:lang w:eastAsia="en-AU"/>
              </w:rPr>
              <w:t>''''''''''''''''''''</w:t>
            </w:r>
          </w:p>
        </w:tc>
      </w:tr>
    </w:tbl>
    <w:p w:rsidR="00C11C2D" w:rsidRPr="00377C13" w:rsidRDefault="00C11C2D" w:rsidP="007B3AD0">
      <w:pPr>
        <w:widowControl/>
        <w:spacing w:after="120"/>
        <w:rPr>
          <w:rFonts w:ascii="Arial Narrow" w:hAnsi="Arial Narrow"/>
          <w:sz w:val="18"/>
          <w:szCs w:val="18"/>
        </w:rPr>
      </w:pPr>
      <w:r w:rsidRPr="00377C13">
        <w:rPr>
          <w:rFonts w:ascii="Arial Narrow" w:hAnsi="Arial Narrow"/>
          <w:sz w:val="18"/>
          <w:szCs w:val="18"/>
        </w:rPr>
        <w:t>Source: Table 4.5.2, p88 of the submission</w:t>
      </w:r>
    </w:p>
    <w:p w:rsidR="007B3AD0" w:rsidRPr="00377C13" w:rsidRDefault="007B3AD0" w:rsidP="007B3AD0">
      <w:pPr>
        <w:widowControl/>
        <w:spacing w:after="120"/>
        <w:rPr>
          <w:i/>
        </w:rPr>
      </w:pPr>
      <w:r>
        <w:rPr>
          <w:i/>
        </w:rPr>
        <w:t xml:space="preserve">The redacted tablet shows that at Year 6, the estimated number of patients was less than 10,000 and the net cost to the PBS would be less than $10 million. </w:t>
      </w:r>
    </w:p>
    <w:p w:rsidR="00C11C2D" w:rsidRPr="00377C13" w:rsidRDefault="00C11C2D" w:rsidP="00491854">
      <w:pPr>
        <w:keepNext/>
        <w:widowControl/>
        <w:spacing w:after="120"/>
        <w:outlineLvl w:val="1"/>
        <w:rPr>
          <w:b/>
          <w:i/>
          <w:sz w:val="28"/>
        </w:rPr>
      </w:pPr>
      <w:bookmarkStart w:id="26" w:name="_Toc531888476"/>
      <w:r w:rsidRPr="00377C13">
        <w:rPr>
          <w:b/>
          <w:i/>
          <w:sz w:val="28"/>
        </w:rPr>
        <w:t>Quality Use of Medicines</w:t>
      </w:r>
      <w:bookmarkEnd w:id="26"/>
    </w:p>
    <w:p w:rsidR="00C11C2D" w:rsidRPr="00377C13" w:rsidRDefault="00C11C2D" w:rsidP="00B47A0D">
      <w:pPr>
        <w:keepNext/>
        <w:widowControl/>
        <w:numPr>
          <w:ilvl w:val="1"/>
          <w:numId w:val="1"/>
        </w:numPr>
        <w:spacing w:after="120"/>
      </w:pPr>
      <w:r w:rsidRPr="00377C13">
        <w:t xml:space="preserve">The submission did not present a discussion of quality use of medicine issues. </w:t>
      </w:r>
      <w:r w:rsidR="00B50FDC" w:rsidRPr="00377C13">
        <w:t>However</w:t>
      </w:r>
      <w:r w:rsidRPr="00377C13">
        <w:t xml:space="preserve">, the administration of ivacaftor granules mixed with food presents a wastage risk in very young children (potentially through regurgitation of the ivacaftor mixed with food, or refusal to eat, and drug stability of only one hour when mixed) (Ivacaftor, </w:t>
      </w:r>
      <w:r w:rsidRPr="00377C13">
        <w:lastRenderedPageBreak/>
        <w:t xml:space="preserve">PSD November 2016, </w:t>
      </w:r>
      <w:r w:rsidR="00C757A9" w:rsidRPr="00377C13">
        <w:t xml:space="preserve">paragraph </w:t>
      </w:r>
      <w:r w:rsidRPr="00377C13">
        <w:t>2.3)</w:t>
      </w:r>
      <w:r w:rsidR="00C757A9" w:rsidRPr="00377C13">
        <w:t>.</w:t>
      </w:r>
      <w:r w:rsidR="00D85C88" w:rsidRPr="00377C13">
        <w:t xml:space="preserve"> The ESC considered that wastage may have</w:t>
      </w:r>
      <w:r w:rsidR="00C611E3" w:rsidRPr="00377C13">
        <w:t xml:space="preserve"> a considerable impact on cost-effectiveness of ivacaftor in clinical practice. </w:t>
      </w:r>
    </w:p>
    <w:p w:rsidR="00C11C2D" w:rsidRPr="00377C13" w:rsidRDefault="00C11C2D" w:rsidP="00491854">
      <w:pPr>
        <w:widowControl/>
        <w:spacing w:after="120"/>
        <w:outlineLvl w:val="1"/>
        <w:rPr>
          <w:b/>
          <w:i/>
          <w:sz w:val="28"/>
        </w:rPr>
      </w:pPr>
      <w:bookmarkStart w:id="27" w:name="_Toc531888477"/>
      <w:r w:rsidRPr="00377C13">
        <w:rPr>
          <w:b/>
          <w:i/>
          <w:sz w:val="28"/>
        </w:rPr>
        <w:t>Financial Management – Risk Sharing Arrangements</w:t>
      </w:r>
      <w:bookmarkEnd w:id="27"/>
    </w:p>
    <w:p w:rsidR="002B4AE1" w:rsidRPr="00A40F98" w:rsidRDefault="00C11C2D" w:rsidP="00B47A0D">
      <w:pPr>
        <w:widowControl/>
        <w:numPr>
          <w:ilvl w:val="1"/>
          <w:numId w:val="1"/>
        </w:numPr>
        <w:spacing w:after="120"/>
      </w:pPr>
      <w:r w:rsidRPr="00377C13">
        <w:t>The submission proposed</w:t>
      </w:r>
      <w:r w:rsidR="00AA0865" w:rsidRPr="00377C13">
        <w:t xml:space="preserve"> increasing the number of patients in the patient number cap arrangement under the existing </w:t>
      </w:r>
      <w:r w:rsidR="00011508" w:rsidRPr="00377C13">
        <w:t>R</w:t>
      </w:r>
      <w:r w:rsidR="00AA0865" w:rsidRPr="00377C13">
        <w:t xml:space="preserve">isk </w:t>
      </w:r>
      <w:r w:rsidR="00011508" w:rsidRPr="00377C13">
        <w:t>S</w:t>
      </w:r>
      <w:r w:rsidR="00AA0865" w:rsidRPr="00377C13">
        <w:t>har</w:t>
      </w:r>
      <w:r w:rsidR="00011508" w:rsidRPr="00377C13">
        <w:t>ing</w:t>
      </w:r>
      <w:r w:rsidR="00AA0865" w:rsidRPr="00377C13">
        <w:t xml:space="preserve"> </w:t>
      </w:r>
      <w:r w:rsidR="00011508" w:rsidRPr="00377C13">
        <w:t>A</w:t>
      </w:r>
      <w:r w:rsidR="00AA0865" w:rsidRPr="00377C13">
        <w:t>rrangement</w:t>
      </w:r>
      <w:r w:rsidRPr="00377C13">
        <w:t xml:space="preserve"> </w:t>
      </w:r>
      <w:r w:rsidR="00377C13">
        <w:t xml:space="preserve">(RSA) </w:t>
      </w:r>
      <w:r w:rsidR="00AA0865" w:rsidRPr="00377C13">
        <w:t xml:space="preserve">to include </w:t>
      </w:r>
      <w:r w:rsidRPr="00377C13">
        <w:t xml:space="preserve">patients aged 12 to </w:t>
      </w:r>
      <w:r w:rsidR="00011508" w:rsidRPr="00377C13">
        <w:t>&lt;</w:t>
      </w:r>
      <w:r w:rsidRPr="00377C13">
        <w:t xml:space="preserve">24 months. </w:t>
      </w:r>
      <w:r w:rsidR="002B4AE1" w:rsidRPr="00377C13">
        <w:t xml:space="preserve">The submission proposed that if the patients aged 12 to </w:t>
      </w:r>
      <w:r w:rsidR="00011508" w:rsidRPr="00377C13">
        <w:t>&lt;</w:t>
      </w:r>
      <w:r w:rsidR="002B4AE1" w:rsidRPr="00377C13">
        <w:t xml:space="preserve">24 months are added to the PBS listing for ivacaftor, the patient number currently included in the RSA cap would need to be increased </w:t>
      </w:r>
      <w:r w:rsidR="00BB579B" w:rsidRPr="00377C13">
        <w:t xml:space="preserve">by </w:t>
      </w:r>
      <w:r w:rsidR="00377C13">
        <w:t xml:space="preserve">the corresponding number </w:t>
      </w:r>
      <w:r w:rsidR="00377C13" w:rsidRPr="00A40F98">
        <w:t>(</w:t>
      </w:r>
      <w:r w:rsidR="00A9188C">
        <w:rPr>
          <w:noProof/>
          <w:color w:val="000000"/>
          <w:highlight w:val="black"/>
        </w:rPr>
        <w:t>''''''''''</w:t>
      </w:r>
      <w:r w:rsidR="00377C13" w:rsidRPr="00A40F98">
        <w:t>)</w:t>
      </w:r>
      <w:r w:rsidR="002B4AE1" w:rsidRPr="00A40F98">
        <w:t>.</w:t>
      </w:r>
      <w:r w:rsidR="003E7CD6" w:rsidRPr="00377C13">
        <w:t xml:space="preserve"> The ESC noted </w:t>
      </w:r>
      <w:r w:rsidR="004F70C9" w:rsidRPr="00377C13">
        <w:t>that increasing</w:t>
      </w:r>
      <w:r w:rsidR="003E7CD6" w:rsidRPr="00377C13">
        <w:rPr>
          <w:rFonts w:asciiTheme="minorHAnsi" w:hAnsiTheme="minorHAnsi" w:cstheme="minorHAnsi"/>
          <w:color w:val="000000" w:themeColor="text1"/>
          <w:szCs w:val="24"/>
        </w:rPr>
        <w:t xml:space="preserve"> the current caps to include these patients (12 to </w:t>
      </w:r>
      <w:r w:rsidR="00686DF7" w:rsidRPr="00377C13">
        <w:rPr>
          <w:rFonts w:asciiTheme="minorHAnsi" w:hAnsiTheme="minorHAnsi" w:cstheme="minorHAnsi"/>
          <w:color w:val="000000" w:themeColor="text1"/>
          <w:szCs w:val="24"/>
        </w:rPr>
        <w:t>&lt;</w:t>
      </w:r>
      <w:r w:rsidR="003E7CD6" w:rsidRPr="00377C13">
        <w:rPr>
          <w:rFonts w:asciiTheme="minorHAnsi" w:hAnsiTheme="minorHAnsi" w:cstheme="minorHAnsi"/>
          <w:color w:val="000000" w:themeColor="text1"/>
          <w:szCs w:val="24"/>
        </w:rPr>
        <w:t xml:space="preserve">24 months) assumes that ivacaftor is as cost-effective in this group as other indications which </w:t>
      </w:r>
      <w:r w:rsidR="00686DF7" w:rsidRPr="00377C13">
        <w:rPr>
          <w:rFonts w:asciiTheme="minorHAnsi" w:hAnsiTheme="minorHAnsi" w:cstheme="minorHAnsi"/>
          <w:color w:val="000000" w:themeColor="text1"/>
          <w:szCs w:val="24"/>
        </w:rPr>
        <w:t xml:space="preserve">was </w:t>
      </w:r>
      <w:r w:rsidR="003E7CD6" w:rsidRPr="00377C13">
        <w:rPr>
          <w:rFonts w:asciiTheme="minorHAnsi" w:hAnsiTheme="minorHAnsi" w:cstheme="minorHAnsi"/>
          <w:color w:val="000000" w:themeColor="text1"/>
          <w:szCs w:val="24"/>
        </w:rPr>
        <w:t>not demonstrated by the submission</w:t>
      </w:r>
      <w:r w:rsidR="00686DF7" w:rsidRPr="00377C13">
        <w:rPr>
          <w:rFonts w:asciiTheme="minorHAnsi" w:hAnsiTheme="minorHAnsi" w:cstheme="minorHAnsi"/>
          <w:color w:val="000000" w:themeColor="text1"/>
          <w:szCs w:val="24"/>
        </w:rPr>
        <w:t>,</w:t>
      </w:r>
      <w:r w:rsidR="003E7CD6" w:rsidRPr="00377C13">
        <w:rPr>
          <w:rFonts w:asciiTheme="minorHAnsi" w:hAnsiTheme="minorHAnsi" w:cstheme="minorHAnsi"/>
          <w:color w:val="000000" w:themeColor="text1"/>
          <w:szCs w:val="24"/>
        </w:rPr>
        <w:t xml:space="preserve"> give</w:t>
      </w:r>
      <w:r w:rsidR="007A5607" w:rsidRPr="00377C13">
        <w:rPr>
          <w:rFonts w:asciiTheme="minorHAnsi" w:hAnsiTheme="minorHAnsi" w:cstheme="minorHAnsi"/>
          <w:color w:val="000000" w:themeColor="text1"/>
          <w:szCs w:val="24"/>
        </w:rPr>
        <w:t>n</w:t>
      </w:r>
      <w:r w:rsidR="003E7CD6" w:rsidRPr="00377C13">
        <w:rPr>
          <w:rFonts w:asciiTheme="minorHAnsi" w:hAnsiTheme="minorHAnsi" w:cstheme="minorHAnsi"/>
          <w:color w:val="000000" w:themeColor="text1"/>
          <w:szCs w:val="24"/>
        </w:rPr>
        <w:t xml:space="preserve"> it did not include an economic evaluation.</w:t>
      </w:r>
      <w:r w:rsidR="005F7381" w:rsidRPr="00377C13">
        <w:rPr>
          <w:rFonts w:asciiTheme="minorHAnsi" w:hAnsiTheme="minorHAnsi" w:cstheme="minorHAnsi"/>
          <w:color w:val="000000" w:themeColor="text1"/>
          <w:szCs w:val="24"/>
        </w:rPr>
        <w:t xml:space="preserve"> The ESC noted that in its consideration of the November 2016 submission for ivacaftor for 2 to 5 year olds, the PBAC considered it would be possible to negotiate an arrangement to extend the listing for </w:t>
      </w:r>
      <w:r w:rsidR="005F7381" w:rsidRPr="00A40F98">
        <w:rPr>
          <w:rFonts w:asciiTheme="minorHAnsi" w:hAnsiTheme="minorHAnsi" w:cstheme="minorHAnsi"/>
          <w:color w:val="000000" w:themeColor="text1"/>
          <w:szCs w:val="24"/>
        </w:rPr>
        <w:t xml:space="preserve">ivacaftor </w:t>
      </w:r>
      <w:r w:rsidR="00A9188C">
        <w:rPr>
          <w:rFonts w:asciiTheme="minorHAnsi" w:hAnsiTheme="minorHAnsi" w:cstheme="minorHAnsi"/>
          <w:noProof/>
          <w:color w:val="000000"/>
          <w:szCs w:val="24"/>
          <w:highlight w:val="black"/>
        </w:rPr>
        <w:t xml:space="preserve">'''' ''''' '''''' ''''''' '''' ''''''''''''''''''''''''' </w:t>
      </w:r>
      <w:r w:rsidR="005F7381" w:rsidRPr="00A40F98">
        <w:rPr>
          <w:rFonts w:asciiTheme="minorHAnsi" w:hAnsiTheme="minorHAnsi" w:cstheme="minorHAnsi"/>
          <w:color w:val="000000" w:themeColor="text1"/>
          <w:szCs w:val="24"/>
        </w:rPr>
        <w:t>(see paragraph 3.3).</w:t>
      </w:r>
      <w:r w:rsidR="00841265" w:rsidRPr="00A40F98">
        <w:rPr>
          <w:rFonts w:asciiTheme="minorHAnsi" w:hAnsiTheme="minorHAnsi" w:cstheme="minorHAnsi"/>
          <w:color w:val="000000" w:themeColor="text1"/>
          <w:szCs w:val="24"/>
        </w:rPr>
        <w:t xml:space="preserve"> The ESC considered that in the absence of evidence</w:t>
      </w:r>
      <w:r w:rsidR="00841265" w:rsidRPr="00377C13">
        <w:rPr>
          <w:rFonts w:asciiTheme="minorHAnsi" w:hAnsiTheme="minorHAnsi" w:cstheme="minorHAnsi"/>
          <w:color w:val="000000" w:themeColor="text1"/>
          <w:szCs w:val="24"/>
        </w:rPr>
        <w:t xml:space="preserve"> demonstrating the</w:t>
      </w:r>
      <w:r w:rsidR="005F7381" w:rsidRPr="00377C13">
        <w:rPr>
          <w:rFonts w:asciiTheme="minorHAnsi" w:hAnsiTheme="minorHAnsi" w:cstheme="minorHAnsi"/>
          <w:color w:val="000000" w:themeColor="text1"/>
          <w:szCs w:val="24"/>
        </w:rPr>
        <w:t xml:space="preserve"> incremental cost</w:t>
      </w:r>
      <w:r w:rsidR="00841265" w:rsidRPr="00377C13">
        <w:rPr>
          <w:rFonts w:asciiTheme="minorHAnsi" w:hAnsiTheme="minorHAnsi" w:cstheme="minorHAnsi"/>
          <w:color w:val="000000" w:themeColor="text1"/>
          <w:szCs w:val="24"/>
        </w:rPr>
        <w:t xml:space="preserve"> </w:t>
      </w:r>
      <w:r w:rsidR="00841265" w:rsidRPr="00A40F98">
        <w:rPr>
          <w:rFonts w:asciiTheme="minorHAnsi" w:hAnsiTheme="minorHAnsi" w:cstheme="minorHAnsi"/>
          <w:color w:val="000000" w:themeColor="text1"/>
          <w:szCs w:val="24"/>
        </w:rPr>
        <w:t xml:space="preserve">cost-effectiveness of ivacaftor in this setting, </w:t>
      </w:r>
      <w:r w:rsidR="002D1629" w:rsidRPr="00A40F98">
        <w:rPr>
          <w:rFonts w:asciiTheme="minorHAnsi" w:hAnsiTheme="minorHAnsi" w:cstheme="minorHAnsi"/>
          <w:color w:val="000000" w:themeColor="text1"/>
          <w:szCs w:val="24"/>
        </w:rPr>
        <w:t xml:space="preserve">it </w:t>
      </w:r>
      <w:r w:rsidR="005F7381" w:rsidRPr="00A40F98">
        <w:rPr>
          <w:rFonts w:asciiTheme="minorHAnsi" w:hAnsiTheme="minorHAnsi" w:cstheme="minorHAnsi"/>
          <w:color w:val="000000" w:themeColor="text1"/>
          <w:szCs w:val="24"/>
        </w:rPr>
        <w:t>would be</w:t>
      </w:r>
      <w:r w:rsidR="002D1629" w:rsidRPr="00A40F98">
        <w:rPr>
          <w:rFonts w:asciiTheme="minorHAnsi" w:hAnsiTheme="minorHAnsi" w:cstheme="minorHAnsi"/>
          <w:color w:val="000000" w:themeColor="text1"/>
          <w:szCs w:val="24"/>
        </w:rPr>
        <w:t xml:space="preserve"> appropriate to list ivacaftor at</w:t>
      </w:r>
      <w:r w:rsidR="005F7381" w:rsidRPr="00A40F98">
        <w:rPr>
          <w:rFonts w:asciiTheme="minorHAnsi" w:hAnsiTheme="minorHAnsi" w:cstheme="minorHAnsi"/>
          <w:color w:val="000000" w:themeColor="text1"/>
          <w:szCs w:val="24"/>
        </w:rPr>
        <w:t xml:space="preserve"> </w:t>
      </w:r>
      <w:r w:rsidR="00A9188C">
        <w:rPr>
          <w:rFonts w:asciiTheme="minorHAnsi" w:hAnsiTheme="minorHAnsi" w:cstheme="minorHAnsi"/>
          <w:noProof/>
          <w:color w:val="000000"/>
          <w:szCs w:val="24"/>
          <w:highlight w:val="black"/>
        </w:rPr>
        <w:t>'''''' '''''''''''''''''''' '''''' '''''''' ''''' ''''''''''''''''''''''''</w:t>
      </w:r>
      <w:r w:rsidR="002106FB" w:rsidRPr="00A40F98">
        <w:rPr>
          <w:rFonts w:asciiTheme="minorHAnsi" w:hAnsiTheme="minorHAnsi" w:cstheme="minorHAnsi"/>
          <w:color w:val="000000" w:themeColor="text1"/>
          <w:szCs w:val="24"/>
        </w:rPr>
        <w:t xml:space="preserve"> </w:t>
      </w:r>
      <w:r w:rsidR="005F7381" w:rsidRPr="00A40F98">
        <w:rPr>
          <w:rFonts w:asciiTheme="minorHAnsi" w:hAnsiTheme="minorHAnsi" w:cstheme="minorHAnsi"/>
          <w:color w:val="000000" w:themeColor="text1"/>
          <w:szCs w:val="24"/>
        </w:rPr>
        <w:t>such as by listing</w:t>
      </w:r>
      <w:r w:rsidR="006E79E5" w:rsidRPr="00A40F98">
        <w:rPr>
          <w:rFonts w:asciiTheme="minorHAnsi" w:hAnsiTheme="minorHAnsi" w:cstheme="minorHAnsi"/>
          <w:color w:val="000000" w:themeColor="text1"/>
          <w:szCs w:val="24"/>
        </w:rPr>
        <w:t xml:space="preserve"> </w:t>
      </w:r>
      <w:r w:rsidR="00EA577E" w:rsidRPr="00A40F98">
        <w:rPr>
          <w:rFonts w:asciiTheme="minorHAnsi" w:hAnsiTheme="minorHAnsi" w:cstheme="minorHAnsi"/>
          <w:color w:val="000000" w:themeColor="text1"/>
          <w:szCs w:val="24"/>
        </w:rPr>
        <w:t xml:space="preserve">patients aged 12 to 24 </w:t>
      </w:r>
      <w:r w:rsidR="00A9188C">
        <w:rPr>
          <w:rFonts w:asciiTheme="minorHAnsi" w:hAnsiTheme="minorHAnsi" w:cstheme="minorHAnsi"/>
          <w:noProof/>
          <w:color w:val="000000"/>
          <w:szCs w:val="24"/>
          <w:highlight w:val="black"/>
        </w:rPr>
        <w:t>''''''''''''''' ''''''''''''''''' ''''''' ''''''''''''''' '''' ''''''''''' ''''''''' '''''''''''''''' ''''''' '''''''</w:t>
      </w:r>
      <w:r w:rsidR="006E79E5" w:rsidRPr="00A40F98">
        <w:rPr>
          <w:rFonts w:asciiTheme="minorHAnsi" w:hAnsiTheme="minorHAnsi" w:cstheme="minorHAnsi"/>
          <w:color w:val="000000" w:themeColor="text1"/>
          <w:szCs w:val="24"/>
        </w:rPr>
        <w:t>.</w:t>
      </w:r>
      <w:r w:rsidR="002D1629" w:rsidRPr="00A40F98">
        <w:rPr>
          <w:rFonts w:asciiTheme="minorHAnsi" w:hAnsiTheme="minorHAnsi" w:cstheme="minorHAnsi"/>
          <w:color w:val="000000" w:themeColor="text1"/>
          <w:szCs w:val="24"/>
        </w:rPr>
        <w:t xml:space="preserve"> </w:t>
      </w:r>
      <w:r w:rsidR="003E7CD6" w:rsidRPr="00A40F98">
        <w:rPr>
          <w:rFonts w:asciiTheme="minorHAnsi" w:hAnsiTheme="minorHAnsi" w:cstheme="minorHAnsi"/>
          <w:color w:val="000000" w:themeColor="text1"/>
          <w:szCs w:val="24"/>
        </w:rPr>
        <w:t>The PBAC has previously considered that the cost-effectiveness of commencing ivacaftor earlier is uncertain (see p</w:t>
      </w:r>
      <w:r w:rsidR="00F22786" w:rsidRPr="00A40F98">
        <w:rPr>
          <w:rFonts w:asciiTheme="minorHAnsi" w:hAnsiTheme="minorHAnsi" w:cstheme="minorHAnsi"/>
          <w:color w:val="000000" w:themeColor="text1"/>
          <w:szCs w:val="24"/>
        </w:rPr>
        <w:t>aragraph 6.25</w:t>
      </w:r>
      <w:r w:rsidR="003E7CD6" w:rsidRPr="00A40F98">
        <w:rPr>
          <w:rFonts w:asciiTheme="minorHAnsi" w:hAnsiTheme="minorHAnsi" w:cstheme="minorHAnsi"/>
          <w:color w:val="000000" w:themeColor="text1"/>
          <w:szCs w:val="24"/>
        </w:rPr>
        <w:t xml:space="preserve"> above). However the PBAC noted the cost-effectiveness analysis provided by the sponsor subsequent to the November 2016 meeting suggested the cost per QALY was similar for the cohort aged 2-5 years and the cohort aged &lt;6 years </w:t>
      </w:r>
      <w:r w:rsidR="003E7CD6" w:rsidRPr="00A40F98">
        <w:t>(</w:t>
      </w:r>
      <w:r w:rsidR="007A5607" w:rsidRPr="00A40F98">
        <w:rPr>
          <w:rFonts w:asciiTheme="minorHAnsi" w:hAnsiTheme="minorHAnsi" w:cstheme="minorHAnsi"/>
          <w:szCs w:val="24"/>
        </w:rPr>
        <w:t>see paragraph 3.4</w:t>
      </w:r>
      <w:r w:rsidR="003E7CD6" w:rsidRPr="00A40F98">
        <w:rPr>
          <w:rFonts w:asciiTheme="minorHAnsi" w:hAnsiTheme="minorHAnsi" w:cstheme="minorHAnsi"/>
          <w:szCs w:val="24"/>
        </w:rPr>
        <w:t xml:space="preserve">). </w:t>
      </w:r>
      <w:r w:rsidR="00DE2D32" w:rsidRPr="00A40F98">
        <w:rPr>
          <w:rFonts w:asciiTheme="minorHAnsi" w:hAnsiTheme="minorHAnsi" w:cstheme="minorHAnsi"/>
          <w:szCs w:val="24"/>
        </w:rPr>
        <w:t xml:space="preserve">The pre-PBAC Response </w:t>
      </w:r>
      <w:r w:rsidR="00671345" w:rsidRPr="00A40F98">
        <w:rPr>
          <w:rFonts w:asciiTheme="minorHAnsi" w:hAnsiTheme="minorHAnsi" w:cstheme="minorHAnsi"/>
          <w:szCs w:val="24"/>
        </w:rPr>
        <w:t>stated</w:t>
      </w:r>
      <w:r w:rsidR="00DE2D32" w:rsidRPr="00A40F98">
        <w:rPr>
          <w:rFonts w:asciiTheme="minorHAnsi" w:hAnsiTheme="minorHAnsi" w:cstheme="minorHAnsi"/>
          <w:szCs w:val="24"/>
        </w:rPr>
        <w:t xml:space="preserve"> </w:t>
      </w:r>
      <w:r w:rsidR="00207687" w:rsidRPr="00A40F98">
        <w:rPr>
          <w:rFonts w:asciiTheme="minorHAnsi" w:hAnsiTheme="minorHAnsi" w:cstheme="minorHAnsi"/>
          <w:szCs w:val="24"/>
        </w:rPr>
        <w:t xml:space="preserve">that the sponsor was no longer requesting </w:t>
      </w:r>
      <w:r w:rsidR="00A9188C">
        <w:rPr>
          <w:rFonts w:asciiTheme="minorHAnsi" w:hAnsiTheme="minorHAnsi" w:cstheme="minorHAnsi"/>
          <w:noProof/>
          <w:color w:val="000000"/>
          <w:szCs w:val="24"/>
          <w:highlight w:val="black"/>
        </w:rPr>
        <w:t>''''' '''''''''''''''' '''' '''''' ''''''' ''''''''''' ''''''' ''''''''' '''''''''''''' ''''' ''''''''''''''''' ''''''''''''''''</w:t>
      </w:r>
      <w:r w:rsidR="00207687" w:rsidRPr="00A40F98">
        <w:rPr>
          <w:rFonts w:asciiTheme="minorHAnsi" w:hAnsiTheme="minorHAnsi" w:cstheme="minorHAnsi"/>
          <w:szCs w:val="24"/>
        </w:rPr>
        <w:t xml:space="preserve">. </w:t>
      </w:r>
    </w:p>
    <w:p w:rsidR="00C11C2D" w:rsidRPr="00A9188C" w:rsidRDefault="00A37C27" w:rsidP="00B47A0D">
      <w:pPr>
        <w:widowControl/>
        <w:numPr>
          <w:ilvl w:val="1"/>
          <w:numId w:val="1"/>
        </w:numPr>
        <w:spacing w:after="120"/>
      </w:pPr>
      <w:r w:rsidRPr="00377C13">
        <w:t xml:space="preserve">The ESC noted </w:t>
      </w:r>
      <w:r w:rsidR="006E527A" w:rsidRPr="00377C13">
        <w:t>the</w:t>
      </w:r>
      <w:r w:rsidRPr="00377C13">
        <w:t xml:space="preserve"> existing pay-for-performance</w:t>
      </w:r>
      <w:r w:rsidR="00A13C14" w:rsidRPr="00377C13">
        <w:t xml:space="preserve"> (PFP)</w:t>
      </w:r>
      <w:r w:rsidRPr="00377C13">
        <w:t xml:space="preserve"> </w:t>
      </w:r>
      <w:r w:rsidR="00A4748A" w:rsidRPr="00377C13">
        <w:t>scheme</w:t>
      </w:r>
      <w:r w:rsidRPr="00377C13">
        <w:t xml:space="preserve"> in place for ivacaftor requires patients’ baseline ppFEV</w:t>
      </w:r>
      <w:r w:rsidRPr="00377C13">
        <w:rPr>
          <w:vertAlign w:val="subscript"/>
        </w:rPr>
        <w:t>1</w:t>
      </w:r>
      <w:r w:rsidRPr="00377C13">
        <w:t xml:space="preserve"> </w:t>
      </w:r>
      <w:r w:rsidR="00A4748A" w:rsidRPr="00377C13">
        <w:t>values</w:t>
      </w:r>
      <w:r w:rsidR="00840248" w:rsidRPr="00377C13">
        <w:t xml:space="preserve"> to be collected</w:t>
      </w:r>
      <w:r w:rsidR="00A4748A" w:rsidRPr="00377C13">
        <w:t xml:space="preserve"> </w:t>
      </w:r>
      <w:r w:rsidR="00840248" w:rsidRPr="00377C13">
        <w:t xml:space="preserve">which would not be feasible for </w:t>
      </w:r>
      <w:r w:rsidR="00A4748A" w:rsidRPr="00377C13">
        <w:t>patients treated with ivacaftor granules from the age of 12 to 24 months</w:t>
      </w:r>
      <w:r w:rsidR="006E527A" w:rsidRPr="00377C13">
        <w:t xml:space="preserve">. </w:t>
      </w:r>
      <w:r w:rsidR="00A4748A" w:rsidRPr="00377C13">
        <w:t>However t</w:t>
      </w:r>
      <w:r w:rsidR="003C3EA6" w:rsidRPr="00377C13">
        <w:t xml:space="preserve">he ESC noted that the current ivacaftor deed had reached the end of its </w:t>
      </w:r>
      <w:r w:rsidR="00A4748A" w:rsidRPr="00377C13">
        <w:t>term and that</w:t>
      </w:r>
      <w:r w:rsidR="003807A9" w:rsidRPr="00377C13">
        <w:t xml:space="preserve"> the conditions for the last year of the deed would be in effect until a new deed has been finalised</w:t>
      </w:r>
      <w:r w:rsidR="003C3EA6" w:rsidRPr="00377C13">
        <w:t>.</w:t>
      </w:r>
      <w:r w:rsidR="00C11C2D" w:rsidRPr="00377C13">
        <w:t xml:space="preserve"> </w:t>
      </w:r>
      <w:r w:rsidR="003C3EA6" w:rsidRPr="00377C13">
        <w:t>The PSCR indicated that the sponsor is currently in the process</w:t>
      </w:r>
      <w:r w:rsidR="007945F3" w:rsidRPr="00377C13">
        <w:t xml:space="preserve"> of finalising a new </w:t>
      </w:r>
      <w:r w:rsidR="00377C13">
        <w:t xml:space="preserve">RSA </w:t>
      </w:r>
      <w:r w:rsidR="00A4748A" w:rsidRPr="00377C13">
        <w:t xml:space="preserve">with the </w:t>
      </w:r>
      <w:r w:rsidR="00A9188C">
        <w:rPr>
          <w:noProof/>
          <w:color w:val="000000"/>
          <w:highlight w:val="black"/>
        </w:rPr>
        <w:t>''''''''''''''''''''''' '''''''''' '''''' ''''''''''''''''' '''''''' ''''''''' '''''''''''''''' '''''' '''''''' '''''''''''''''' ''''''' ''''' ''' ''''''''''' '''''' '''''''''' ''''' ''''''''''''''''' '''''''''''''' ''''''' '''''' '''''''''''' ''''' '''''''''''''''''''''</w:t>
      </w:r>
    </w:p>
    <w:p w:rsidR="002713AA" w:rsidRPr="00377C13" w:rsidRDefault="004573C0" w:rsidP="00584D31">
      <w:pPr>
        <w:widowControl/>
        <w:spacing w:after="120"/>
        <w:ind w:firstLine="720"/>
        <w:jc w:val="left"/>
        <w:rPr>
          <w:rFonts w:ascii="Arial Narrow" w:hAnsi="Arial Narrow"/>
          <w:sz w:val="18"/>
          <w:szCs w:val="18"/>
        </w:rPr>
      </w:pPr>
      <w:r w:rsidRPr="00377C13">
        <w:rPr>
          <w:rFonts w:asciiTheme="minorHAnsi" w:hAnsiTheme="minorHAnsi"/>
          <w:i/>
        </w:rPr>
        <w:t>For more detail on PBAC’s view, see section 7 PBAC outcome.</w:t>
      </w:r>
    </w:p>
    <w:p w:rsidR="009C5FEB" w:rsidRPr="00377C13" w:rsidRDefault="009C5FEB" w:rsidP="00B47A0D">
      <w:pPr>
        <w:pStyle w:val="PBACHeading1"/>
        <w:spacing w:before="240" w:after="120"/>
      </w:pPr>
      <w:r w:rsidRPr="00377C13">
        <w:t xml:space="preserve">PBAC Outcome </w:t>
      </w:r>
    </w:p>
    <w:p w:rsidR="009C5FEB" w:rsidRPr="00377C13" w:rsidRDefault="009C5FEB" w:rsidP="00B47A0D">
      <w:pPr>
        <w:widowControl/>
        <w:numPr>
          <w:ilvl w:val="1"/>
          <w:numId w:val="1"/>
        </w:numPr>
        <w:spacing w:after="120"/>
        <w:rPr>
          <w:rFonts w:asciiTheme="minorHAnsi" w:hAnsiTheme="minorHAnsi"/>
          <w:bCs/>
          <w:szCs w:val="24"/>
        </w:rPr>
      </w:pPr>
      <w:r w:rsidRPr="00377C13">
        <w:rPr>
          <w:rFonts w:asciiTheme="minorHAnsi" w:hAnsiTheme="minorHAnsi"/>
          <w:bCs/>
          <w:szCs w:val="24"/>
        </w:rPr>
        <w:t xml:space="preserve">The PBAC recommended </w:t>
      </w:r>
      <w:r w:rsidR="00AF0C95" w:rsidRPr="00377C13">
        <w:rPr>
          <w:rFonts w:asciiTheme="minorHAnsi" w:hAnsiTheme="minorHAnsi"/>
          <w:bCs/>
          <w:szCs w:val="24"/>
        </w:rPr>
        <w:t xml:space="preserve">extending </w:t>
      </w:r>
      <w:r w:rsidRPr="00377C13">
        <w:rPr>
          <w:rFonts w:asciiTheme="minorHAnsi" w:hAnsiTheme="minorHAnsi"/>
          <w:bCs/>
          <w:szCs w:val="24"/>
        </w:rPr>
        <w:t>the</w:t>
      </w:r>
      <w:r w:rsidR="00AF0C95" w:rsidRPr="00377C13">
        <w:rPr>
          <w:rFonts w:asciiTheme="minorHAnsi" w:hAnsiTheme="minorHAnsi"/>
          <w:bCs/>
          <w:szCs w:val="24"/>
        </w:rPr>
        <w:t xml:space="preserve"> Section 100 (Highly Specialised Drugs Program), Authority </w:t>
      </w:r>
      <w:proofErr w:type="gramStart"/>
      <w:r w:rsidR="00AF0C95" w:rsidRPr="00377C13">
        <w:rPr>
          <w:rFonts w:asciiTheme="minorHAnsi" w:hAnsiTheme="minorHAnsi"/>
          <w:bCs/>
          <w:szCs w:val="24"/>
        </w:rPr>
        <w:t>Required</w:t>
      </w:r>
      <w:proofErr w:type="gramEnd"/>
      <w:r w:rsidRPr="00377C13">
        <w:rPr>
          <w:rFonts w:asciiTheme="minorHAnsi" w:hAnsiTheme="minorHAnsi"/>
          <w:bCs/>
          <w:szCs w:val="24"/>
        </w:rPr>
        <w:t xml:space="preserve"> listing of </w:t>
      </w:r>
      <w:r w:rsidR="00AC5386" w:rsidRPr="00377C13">
        <w:rPr>
          <w:rFonts w:asciiTheme="minorHAnsi" w:hAnsiTheme="minorHAnsi"/>
          <w:bCs/>
          <w:szCs w:val="24"/>
        </w:rPr>
        <w:t>ivacaftor granules to include</w:t>
      </w:r>
      <w:r w:rsidR="00AF0C95" w:rsidRPr="00377C13">
        <w:rPr>
          <w:rFonts w:asciiTheme="minorHAnsi" w:hAnsiTheme="minorHAnsi"/>
          <w:bCs/>
          <w:szCs w:val="24"/>
        </w:rPr>
        <w:t xml:space="preserve"> treatment of </w:t>
      </w:r>
      <w:r w:rsidR="00671345" w:rsidRPr="00377C13">
        <w:rPr>
          <w:rFonts w:asciiTheme="minorHAnsi" w:hAnsiTheme="minorHAnsi"/>
          <w:bCs/>
          <w:szCs w:val="24"/>
        </w:rPr>
        <w:t xml:space="preserve">CF </w:t>
      </w:r>
      <w:r w:rsidR="00671345" w:rsidRPr="00377C13">
        <w:rPr>
          <w:rFonts w:asciiTheme="minorHAnsi" w:hAnsiTheme="minorHAnsi"/>
          <w:bCs/>
          <w:szCs w:val="24"/>
        </w:rPr>
        <w:lastRenderedPageBreak/>
        <w:t xml:space="preserve">in </w:t>
      </w:r>
      <w:r w:rsidR="00AF0C95" w:rsidRPr="00377C13">
        <w:rPr>
          <w:rFonts w:asciiTheme="minorHAnsi" w:hAnsiTheme="minorHAnsi"/>
          <w:bCs/>
          <w:szCs w:val="24"/>
        </w:rPr>
        <w:t xml:space="preserve">patients aged 12 to </w:t>
      </w:r>
      <w:r w:rsidR="00671345" w:rsidRPr="00377C13">
        <w:rPr>
          <w:rFonts w:asciiTheme="minorHAnsi" w:hAnsiTheme="minorHAnsi"/>
          <w:bCs/>
          <w:szCs w:val="24"/>
        </w:rPr>
        <w:t>&lt;</w:t>
      </w:r>
      <w:r w:rsidR="00AF0C95" w:rsidRPr="00377C13">
        <w:rPr>
          <w:rFonts w:asciiTheme="minorHAnsi" w:hAnsiTheme="minorHAnsi"/>
          <w:bCs/>
          <w:szCs w:val="24"/>
        </w:rPr>
        <w:t>24 months who have a G551D mutation or other class III gating mutations in the CFTR gene</w:t>
      </w:r>
      <w:r w:rsidR="00AC5386" w:rsidRPr="00377C13">
        <w:rPr>
          <w:rFonts w:asciiTheme="minorHAnsi" w:hAnsiTheme="minorHAnsi"/>
          <w:bCs/>
          <w:szCs w:val="24"/>
        </w:rPr>
        <w:t>.</w:t>
      </w:r>
      <w:r w:rsidR="000456B4" w:rsidRPr="00377C13">
        <w:rPr>
          <w:rFonts w:asciiTheme="minorHAnsi" w:hAnsiTheme="minorHAnsi"/>
          <w:bCs/>
          <w:szCs w:val="24"/>
        </w:rPr>
        <w:t xml:space="preserve"> </w:t>
      </w:r>
    </w:p>
    <w:p w:rsidR="004F7CC1" w:rsidRPr="00377C13" w:rsidRDefault="004F7CC1" w:rsidP="00B47A0D">
      <w:pPr>
        <w:widowControl/>
        <w:numPr>
          <w:ilvl w:val="1"/>
          <w:numId w:val="1"/>
        </w:numPr>
        <w:spacing w:after="120"/>
        <w:rPr>
          <w:rFonts w:asciiTheme="minorHAnsi" w:hAnsiTheme="minorHAnsi"/>
          <w:bCs/>
          <w:szCs w:val="24"/>
        </w:rPr>
      </w:pPr>
      <w:r w:rsidRPr="00377C13">
        <w:rPr>
          <w:rFonts w:asciiTheme="minorHAnsi" w:hAnsiTheme="minorHAnsi"/>
          <w:bCs/>
          <w:szCs w:val="24"/>
        </w:rPr>
        <w:t xml:space="preserve">The PBAC acknowledged </w:t>
      </w:r>
      <w:r w:rsidR="00B546AE" w:rsidRPr="00377C13">
        <w:rPr>
          <w:rFonts w:asciiTheme="minorHAnsi" w:hAnsiTheme="minorHAnsi"/>
          <w:bCs/>
          <w:szCs w:val="24"/>
        </w:rPr>
        <w:t xml:space="preserve">that </w:t>
      </w:r>
      <w:r w:rsidRPr="00377C13">
        <w:rPr>
          <w:rFonts w:asciiTheme="minorHAnsi" w:hAnsiTheme="minorHAnsi"/>
          <w:bCs/>
          <w:szCs w:val="24"/>
        </w:rPr>
        <w:t xml:space="preserve">the consumer comments received from carers of patients with CF indicated strong support for earlier access to treatment. </w:t>
      </w:r>
    </w:p>
    <w:p w:rsidR="005542F2" w:rsidRPr="00377C13" w:rsidRDefault="00F15037" w:rsidP="00B47A0D">
      <w:pPr>
        <w:widowControl/>
        <w:numPr>
          <w:ilvl w:val="1"/>
          <w:numId w:val="1"/>
        </w:numPr>
        <w:spacing w:after="120"/>
        <w:rPr>
          <w:rFonts w:asciiTheme="minorHAnsi" w:hAnsiTheme="minorHAnsi"/>
          <w:bCs/>
          <w:szCs w:val="24"/>
        </w:rPr>
      </w:pPr>
      <w:r w:rsidRPr="00377C13">
        <w:rPr>
          <w:rFonts w:asciiTheme="minorHAnsi" w:hAnsiTheme="minorHAnsi"/>
          <w:bCs/>
          <w:szCs w:val="24"/>
        </w:rPr>
        <w:t xml:space="preserve">The PBAC noted the submission was based </w:t>
      </w:r>
      <w:r w:rsidR="007A7979" w:rsidRPr="00377C13">
        <w:rPr>
          <w:rFonts w:asciiTheme="minorHAnsi" w:hAnsiTheme="minorHAnsi"/>
          <w:bCs/>
          <w:szCs w:val="24"/>
        </w:rPr>
        <w:t>on</w:t>
      </w:r>
      <w:r w:rsidRPr="00377C13">
        <w:rPr>
          <w:rFonts w:asciiTheme="minorHAnsi" w:hAnsiTheme="minorHAnsi"/>
          <w:bCs/>
          <w:szCs w:val="24"/>
        </w:rPr>
        <w:t xml:space="preserve"> a 24-week single arm, open label study</w:t>
      </w:r>
      <w:r w:rsidR="00F33CBC" w:rsidRPr="00377C13">
        <w:rPr>
          <w:rFonts w:asciiTheme="minorHAnsi" w:hAnsiTheme="minorHAnsi"/>
          <w:bCs/>
          <w:szCs w:val="24"/>
        </w:rPr>
        <w:t xml:space="preserve"> (Study 124)</w:t>
      </w:r>
      <w:r w:rsidRPr="00377C13">
        <w:rPr>
          <w:rFonts w:asciiTheme="minorHAnsi" w:hAnsiTheme="minorHAnsi"/>
          <w:bCs/>
          <w:szCs w:val="24"/>
        </w:rPr>
        <w:t xml:space="preserve"> </w:t>
      </w:r>
      <w:r w:rsidR="007A7979" w:rsidRPr="00377C13">
        <w:rPr>
          <w:rFonts w:asciiTheme="minorHAnsi" w:hAnsiTheme="minorHAnsi"/>
          <w:bCs/>
          <w:szCs w:val="24"/>
        </w:rPr>
        <w:t>which assessed surrogate markers of treatment efficacy</w:t>
      </w:r>
      <w:r w:rsidR="007B4265" w:rsidRPr="00377C13">
        <w:rPr>
          <w:rFonts w:asciiTheme="minorHAnsi" w:hAnsiTheme="minorHAnsi"/>
          <w:bCs/>
          <w:szCs w:val="24"/>
        </w:rPr>
        <w:t xml:space="preserve"> without ppFEV</w:t>
      </w:r>
      <w:r w:rsidR="007B4265" w:rsidRPr="00377C13">
        <w:rPr>
          <w:rFonts w:asciiTheme="minorHAnsi" w:hAnsiTheme="minorHAnsi"/>
          <w:bCs/>
          <w:szCs w:val="24"/>
          <w:vertAlign w:val="subscript"/>
        </w:rPr>
        <w:t>1</w:t>
      </w:r>
      <w:r w:rsidR="007B4265" w:rsidRPr="00377C13">
        <w:rPr>
          <w:rFonts w:asciiTheme="minorHAnsi" w:hAnsiTheme="minorHAnsi"/>
          <w:bCs/>
          <w:szCs w:val="24"/>
        </w:rPr>
        <w:t xml:space="preserve"> outcomes</w:t>
      </w:r>
      <w:r w:rsidR="007A7979" w:rsidRPr="00377C13">
        <w:rPr>
          <w:rFonts w:asciiTheme="minorHAnsi" w:hAnsiTheme="minorHAnsi"/>
          <w:bCs/>
          <w:szCs w:val="24"/>
        </w:rPr>
        <w:t xml:space="preserve">. </w:t>
      </w:r>
      <w:r w:rsidR="00F66A5E" w:rsidRPr="00377C13">
        <w:rPr>
          <w:rFonts w:asciiTheme="minorHAnsi" w:hAnsiTheme="minorHAnsi"/>
          <w:bCs/>
          <w:szCs w:val="24"/>
        </w:rPr>
        <w:t xml:space="preserve">The PBAC noted </w:t>
      </w:r>
      <w:r w:rsidR="003472F1" w:rsidRPr="00377C13">
        <w:rPr>
          <w:rFonts w:asciiTheme="minorHAnsi" w:hAnsiTheme="minorHAnsi"/>
          <w:bCs/>
          <w:szCs w:val="24"/>
        </w:rPr>
        <w:t xml:space="preserve">that </w:t>
      </w:r>
      <w:r w:rsidR="00F66A5E" w:rsidRPr="00377C13">
        <w:rPr>
          <w:rFonts w:asciiTheme="minorHAnsi" w:hAnsiTheme="minorHAnsi"/>
          <w:bCs/>
          <w:szCs w:val="24"/>
        </w:rPr>
        <w:t>t</w:t>
      </w:r>
      <w:r w:rsidR="009B2736" w:rsidRPr="00377C13">
        <w:rPr>
          <w:rFonts w:asciiTheme="minorHAnsi" w:hAnsiTheme="minorHAnsi"/>
          <w:bCs/>
          <w:szCs w:val="24"/>
        </w:rPr>
        <w:t xml:space="preserve">he magnitude of mean absolute improvement in sweat chloride (-73.5 </w:t>
      </w:r>
      <w:proofErr w:type="spellStart"/>
      <w:r w:rsidR="009B2736" w:rsidRPr="00377C13">
        <w:rPr>
          <w:rFonts w:asciiTheme="minorHAnsi" w:hAnsiTheme="minorHAnsi"/>
          <w:bCs/>
          <w:szCs w:val="24"/>
        </w:rPr>
        <w:t>mmol</w:t>
      </w:r>
      <w:proofErr w:type="spellEnd"/>
      <w:r w:rsidR="009B2736" w:rsidRPr="00377C13">
        <w:rPr>
          <w:rFonts w:asciiTheme="minorHAnsi" w:hAnsiTheme="minorHAnsi"/>
          <w:bCs/>
          <w:szCs w:val="24"/>
        </w:rPr>
        <w:t>/L</w:t>
      </w:r>
      <w:r w:rsidR="001F47C5" w:rsidRPr="00377C13">
        <w:rPr>
          <w:rFonts w:asciiTheme="minorHAnsi" w:hAnsiTheme="minorHAnsi"/>
          <w:bCs/>
          <w:szCs w:val="24"/>
        </w:rPr>
        <w:t xml:space="preserve"> from baseline</w:t>
      </w:r>
      <w:r w:rsidR="009B2736" w:rsidRPr="00377C13">
        <w:rPr>
          <w:rFonts w:asciiTheme="minorHAnsi" w:hAnsiTheme="minorHAnsi"/>
          <w:bCs/>
          <w:szCs w:val="24"/>
        </w:rPr>
        <w:t xml:space="preserve">) was comparable </w:t>
      </w:r>
      <w:r w:rsidR="003472F1" w:rsidRPr="00377C13">
        <w:rPr>
          <w:rFonts w:asciiTheme="minorHAnsi" w:hAnsiTheme="minorHAnsi"/>
          <w:bCs/>
          <w:szCs w:val="24"/>
        </w:rPr>
        <w:t xml:space="preserve">to </w:t>
      </w:r>
      <w:r w:rsidR="00327F34" w:rsidRPr="00377C13">
        <w:rPr>
          <w:rFonts w:asciiTheme="minorHAnsi" w:hAnsiTheme="minorHAnsi"/>
          <w:bCs/>
          <w:szCs w:val="24"/>
        </w:rPr>
        <w:t xml:space="preserve">that </w:t>
      </w:r>
      <w:r w:rsidR="003472F1" w:rsidRPr="00377C13">
        <w:rPr>
          <w:rFonts w:asciiTheme="minorHAnsi" w:hAnsiTheme="minorHAnsi"/>
          <w:bCs/>
          <w:szCs w:val="24"/>
        </w:rPr>
        <w:t xml:space="preserve">previously observed in patients </w:t>
      </w:r>
      <w:r w:rsidR="001F47C5" w:rsidRPr="00377C13">
        <w:rPr>
          <w:rFonts w:asciiTheme="minorHAnsi" w:hAnsiTheme="minorHAnsi"/>
          <w:bCs/>
          <w:szCs w:val="24"/>
        </w:rPr>
        <w:t>aged</w:t>
      </w:r>
      <w:r w:rsidR="003472F1" w:rsidRPr="00377C13">
        <w:rPr>
          <w:rFonts w:asciiTheme="minorHAnsi" w:hAnsiTheme="minorHAnsi"/>
          <w:bCs/>
          <w:szCs w:val="24"/>
        </w:rPr>
        <w:t xml:space="preserve"> 2-5 years and </w:t>
      </w:r>
      <w:r w:rsidR="003472F1" w:rsidRPr="00377C13">
        <w:rPr>
          <w:rFonts w:asciiTheme="minorHAnsi" w:hAnsiTheme="minorHAnsi" w:cstheme="minorHAnsi"/>
          <w:bCs/>
          <w:szCs w:val="24"/>
        </w:rPr>
        <w:t xml:space="preserve">≥ 6 </w:t>
      </w:r>
      <w:r w:rsidR="00A34D70" w:rsidRPr="00377C13">
        <w:rPr>
          <w:rFonts w:asciiTheme="minorHAnsi" w:hAnsiTheme="minorHAnsi" w:cstheme="minorHAnsi"/>
          <w:bCs/>
          <w:szCs w:val="24"/>
        </w:rPr>
        <w:t>years. The PB</w:t>
      </w:r>
      <w:r w:rsidR="008C235F" w:rsidRPr="00377C13">
        <w:rPr>
          <w:rFonts w:asciiTheme="minorHAnsi" w:hAnsiTheme="minorHAnsi" w:cstheme="minorHAnsi"/>
          <w:bCs/>
          <w:szCs w:val="24"/>
        </w:rPr>
        <w:t xml:space="preserve">AC also noted improvements in other outcome measures at 24 weeks </w:t>
      </w:r>
      <w:r w:rsidR="00E02ECB" w:rsidRPr="00377C13">
        <w:rPr>
          <w:rFonts w:asciiTheme="minorHAnsi" w:hAnsiTheme="minorHAnsi" w:cstheme="minorHAnsi"/>
          <w:bCs/>
          <w:szCs w:val="24"/>
        </w:rPr>
        <w:t>for</w:t>
      </w:r>
      <w:r w:rsidR="008C235F" w:rsidRPr="00377C13">
        <w:rPr>
          <w:rFonts w:asciiTheme="minorHAnsi" w:hAnsiTheme="minorHAnsi" w:cstheme="minorHAnsi"/>
          <w:bCs/>
          <w:szCs w:val="24"/>
        </w:rPr>
        <w:t xml:space="preserve"> weight, length, FE-1</w:t>
      </w:r>
      <w:r w:rsidR="00E02ECB" w:rsidRPr="00377C13">
        <w:rPr>
          <w:rFonts w:asciiTheme="minorHAnsi" w:hAnsiTheme="minorHAnsi" w:cstheme="minorHAnsi"/>
          <w:bCs/>
          <w:szCs w:val="24"/>
        </w:rPr>
        <w:t xml:space="preserve"> concentration</w:t>
      </w:r>
      <w:r w:rsidR="008C235F" w:rsidRPr="00377C13">
        <w:rPr>
          <w:rFonts w:asciiTheme="minorHAnsi" w:hAnsiTheme="minorHAnsi" w:cstheme="minorHAnsi"/>
          <w:bCs/>
          <w:szCs w:val="24"/>
        </w:rPr>
        <w:t xml:space="preserve"> and IRT</w:t>
      </w:r>
      <w:r w:rsidR="00E02ECB" w:rsidRPr="00377C13">
        <w:rPr>
          <w:rFonts w:asciiTheme="minorHAnsi" w:hAnsiTheme="minorHAnsi" w:cstheme="minorHAnsi"/>
          <w:bCs/>
          <w:szCs w:val="24"/>
        </w:rPr>
        <w:t xml:space="preserve"> concentration</w:t>
      </w:r>
      <w:r w:rsidR="00671345" w:rsidRPr="00377C13">
        <w:rPr>
          <w:rFonts w:asciiTheme="minorHAnsi" w:hAnsiTheme="minorHAnsi" w:cstheme="minorHAnsi"/>
          <w:bCs/>
          <w:szCs w:val="24"/>
        </w:rPr>
        <w:t>;</w:t>
      </w:r>
      <w:r w:rsidR="008C235F" w:rsidRPr="00377C13">
        <w:rPr>
          <w:rFonts w:asciiTheme="minorHAnsi" w:hAnsiTheme="minorHAnsi" w:cstheme="minorHAnsi"/>
          <w:bCs/>
          <w:szCs w:val="24"/>
        </w:rPr>
        <w:t xml:space="preserve"> however, </w:t>
      </w:r>
      <w:r w:rsidR="00671345" w:rsidRPr="00377C13">
        <w:rPr>
          <w:rFonts w:asciiTheme="minorHAnsi" w:hAnsiTheme="minorHAnsi" w:cstheme="minorHAnsi"/>
          <w:bCs/>
          <w:szCs w:val="24"/>
        </w:rPr>
        <w:t xml:space="preserve">the PBAC </w:t>
      </w:r>
      <w:r w:rsidR="008C235F" w:rsidRPr="00377C13">
        <w:rPr>
          <w:rFonts w:asciiTheme="minorHAnsi" w:hAnsiTheme="minorHAnsi" w:cstheme="minorHAnsi"/>
          <w:bCs/>
          <w:szCs w:val="24"/>
        </w:rPr>
        <w:t>considered</w:t>
      </w:r>
      <w:r w:rsidR="00E02ECB" w:rsidRPr="00377C13">
        <w:rPr>
          <w:rFonts w:asciiTheme="minorHAnsi" w:hAnsiTheme="minorHAnsi" w:cstheme="minorHAnsi"/>
          <w:bCs/>
          <w:szCs w:val="24"/>
        </w:rPr>
        <w:t xml:space="preserve"> it was </w:t>
      </w:r>
      <w:r w:rsidR="00707453" w:rsidRPr="00377C13">
        <w:rPr>
          <w:rFonts w:asciiTheme="minorHAnsi" w:hAnsiTheme="minorHAnsi" w:cstheme="minorHAnsi"/>
          <w:bCs/>
          <w:szCs w:val="24"/>
        </w:rPr>
        <w:t>difficult to interpret</w:t>
      </w:r>
      <w:r w:rsidR="00E02ECB" w:rsidRPr="00377C13">
        <w:rPr>
          <w:rFonts w:asciiTheme="minorHAnsi" w:hAnsiTheme="minorHAnsi" w:cstheme="minorHAnsi"/>
          <w:bCs/>
          <w:szCs w:val="24"/>
        </w:rPr>
        <w:t xml:space="preserve"> these outcomes given the short duration of the t</w:t>
      </w:r>
      <w:r w:rsidR="00A9781E" w:rsidRPr="00377C13">
        <w:rPr>
          <w:rFonts w:asciiTheme="minorHAnsi" w:hAnsiTheme="minorHAnsi" w:cstheme="minorHAnsi"/>
          <w:bCs/>
          <w:szCs w:val="24"/>
        </w:rPr>
        <w:t xml:space="preserve">rial. </w:t>
      </w:r>
    </w:p>
    <w:p w:rsidR="00AE7259" w:rsidRPr="00377C13" w:rsidRDefault="00AE7259" w:rsidP="00B47A0D">
      <w:pPr>
        <w:widowControl/>
        <w:numPr>
          <w:ilvl w:val="1"/>
          <w:numId w:val="1"/>
        </w:numPr>
        <w:spacing w:after="120"/>
        <w:rPr>
          <w:rFonts w:asciiTheme="minorHAnsi" w:hAnsiTheme="minorHAnsi"/>
          <w:bCs/>
          <w:szCs w:val="24"/>
        </w:rPr>
      </w:pPr>
      <w:r w:rsidRPr="00377C13">
        <w:rPr>
          <w:rFonts w:asciiTheme="minorHAnsi" w:hAnsiTheme="minorHAnsi"/>
          <w:bCs/>
          <w:szCs w:val="24"/>
        </w:rPr>
        <w:t>The PBAC recalled</w:t>
      </w:r>
      <w:r w:rsidR="00671345" w:rsidRPr="00377C13">
        <w:rPr>
          <w:rFonts w:asciiTheme="minorHAnsi" w:hAnsiTheme="minorHAnsi"/>
          <w:bCs/>
          <w:szCs w:val="24"/>
        </w:rPr>
        <w:t xml:space="preserve"> that the primary outcome in </w:t>
      </w:r>
      <w:r w:rsidR="005D4310" w:rsidRPr="00377C13">
        <w:rPr>
          <w:rFonts w:asciiTheme="minorHAnsi" w:hAnsiTheme="minorHAnsi"/>
          <w:bCs/>
          <w:szCs w:val="24"/>
        </w:rPr>
        <w:t xml:space="preserve">clinical trials for </w:t>
      </w:r>
      <w:r w:rsidR="00671345" w:rsidRPr="00377C13">
        <w:rPr>
          <w:rFonts w:asciiTheme="minorHAnsi" w:hAnsiTheme="minorHAnsi"/>
          <w:bCs/>
          <w:szCs w:val="24"/>
        </w:rPr>
        <w:t xml:space="preserve">ivacaftor for patients aged </w:t>
      </w:r>
      <w:r w:rsidR="00671345" w:rsidRPr="00377C13">
        <w:rPr>
          <w:rFonts w:cs="Calibri"/>
          <w:snapToGrid/>
          <w:szCs w:val="24"/>
          <w:lang w:eastAsia="en-AU"/>
        </w:rPr>
        <w:t>≥ 2 years</w:t>
      </w:r>
      <w:r w:rsidR="00671345" w:rsidRPr="00377C13">
        <w:rPr>
          <w:rFonts w:asciiTheme="minorHAnsi" w:hAnsiTheme="minorHAnsi"/>
          <w:bCs/>
          <w:szCs w:val="24"/>
        </w:rPr>
        <w:t xml:space="preserve"> was absolute change in </w:t>
      </w:r>
      <w:r w:rsidRPr="00377C13">
        <w:rPr>
          <w:rFonts w:asciiTheme="minorHAnsi" w:hAnsiTheme="minorHAnsi"/>
          <w:bCs/>
          <w:szCs w:val="24"/>
        </w:rPr>
        <w:t>ppFEV</w:t>
      </w:r>
      <w:r w:rsidRPr="00377C13">
        <w:rPr>
          <w:rFonts w:asciiTheme="minorHAnsi" w:hAnsiTheme="minorHAnsi"/>
          <w:bCs/>
          <w:szCs w:val="24"/>
          <w:vertAlign w:val="subscript"/>
        </w:rPr>
        <w:t>1</w:t>
      </w:r>
      <w:r w:rsidR="003C424A" w:rsidRPr="00377C13">
        <w:rPr>
          <w:rFonts w:asciiTheme="minorHAnsi" w:hAnsiTheme="minorHAnsi"/>
          <w:bCs/>
          <w:szCs w:val="24"/>
        </w:rPr>
        <w:t xml:space="preserve"> </w:t>
      </w:r>
      <w:r w:rsidR="00671345" w:rsidRPr="00377C13">
        <w:rPr>
          <w:rFonts w:asciiTheme="minorHAnsi" w:hAnsiTheme="minorHAnsi"/>
          <w:bCs/>
          <w:szCs w:val="24"/>
        </w:rPr>
        <w:t xml:space="preserve">since baseline; </w:t>
      </w:r>
      <w:r w:rsidR="001344B0" w:rsidRPr="00377C13">
        <w:rPr>
          <w:rFonts w:cs="Calibri"/>
          <w:snapToGrid/>
          <w:szCs w:val="24"/>
          <w:lang w:eastAsia="en-AU"/>
        </w:rPr>
        <w:t>however, the PBAC acknowledged the difficulties associated with assessing ppFEV</w:t>
      </w:r>
      <w:r w:rsidR="001344B0" w:rsidRPr="00377C13">
        <w:rPr>
          <w:rFonts w:cs="Calibri"/>
          <w:snapToGrid/>
          <w:szCs w:val="24"/>
          <w:vertAlign w:val="subscript"/>
          <w:lang w:eastAsia="en-AU"/>
        </w:rPr>
        <w:t>1</w:t>
      </w:r>
      <w:r w:rsidR="009463A3" w:rsidRPr="00377C13">
        <w:rPr>
          <w:rFonts w:cs="Calibri"/>
          <w:snapToGrid/>
          <w:szCs w:val="24"/>
          <w:lang w:eastAsia="en-AU"/>
        </w:rPr>
        <w:t xml:space="preserve"> and </w:t>
      </w:r>
      <w:r w:rsidR="002D60ED" w:rsidRPr="00377C13">
        <w:rPr>
          <w:rFonts w:cs="Calibri"/>
          <w:snapToGrid/>
          <w:szCs w:val="24"/>
          <w:lang w:eastAsia="en-AU"/>
        </w:rPr>
        <w:t xml:space="preserve">obtaining </w:t>
      </w:r>
      <w:r w:rsidR="009463A3" w:rsidRPr="00377C13">
        <w:rPr>
          <w:rFonts w:cs="Calibri"/>
          <w:snapToGrid/>
          <w:szCs w:val="24"/>
          <w:lang w:eastAsia="en-AU"/>
        </w:rPr>
        <w:t xml:space="preserve">clinical data in general, </w:t>
      </w:r>
      <w:r w:rsidR="005D4310" w:rsidRPr="00377C13">
        <w:rPr>
          <w:rFonts w:cs="Calibri"/>
          <w:snapToGrid/>
          <w:szCs w:val="24"/>
          <w:lang w:eastAsia="en-AU"/>
        </w:rPr>
        <w:t>for this patient population</w:t>
      </w:r>
      <w:r w:rsidR="001344B0" w:rsidRPr="00377C13">
        <w:rPr>
          <w:rFonts w:cs="Calibri"/>
          <w:snapToGrid/>
          <w:szCs w:val="24"/>
          <w:lang w:eastAsia="en-AU"/>
        </w:rPr>
        <w:t xml:space="preserve">. </w:t>
      </w:r>
      <w:r w:rsidR="001344B0" w:rsidRPr="00377C13">
        <w:rPr>
          <w:rFonts w:asciiTheme="minorHAnsi" w:hAnsiTheme="minorHAnsi" w:cstheme="minorHAnsi"/>
          <w:bCs/>
          <w:szCs w:val="24"/>
        </w:rPr>
        <w:t>Based on the overall evidence,</w:t>
      </w:r>
      <w:r w:rsidR="00925B16">
        <w:rPr>
          <w:rFonts w:asciiTheme="minorHAnsi" w:hAnsiTheme="minorHAnsi" w:cstheme="minorHAnsi"/>
          <w:bCs/>
          <w:szCs w:val="24"/>
        </w:rPr>
        <w:t xml:space="preserve"> including the demonstrated clinical efficacy in older age groups,</w:t>
      </w:r>
      <w:r w:rsidR="001344B0" w:rsidRPr="00377C13">
        <w:rPr>
          <w:rFonts w:asciiTheme="minorHAnsi" w:hAnsiTheme="minorHAnsi" w:cstheme="minorHAnsi"/>
          <w:bCs/>
          <w:szCs w:val="24"/>
        </w:rPr>
        <w:t xml:space="preserve"> the PBAC considered the claim of superior efficacy over BSC was </w:t>
      </w:r>
      <w:r w:rsidR="005D4310" w:rsidRPr="00377C13">
        <w:rPr>
          <w:rFonts w:asciiTheme="minorHAnsi" w:hAnsiTheme="minorHAnsi" w:cstheme="minorHAnsi"/>
          <w:bCs/>
          <w:szCs w:val="24"/>
        </w:rPr>
        <w:t>uncertain although plausible</w:t>
      </w:r>
      <w:r w:rsidR="001344B0" w:rsidRPr="00377C13">
        <w:rPr>
          <w:rFonts w:asciiTheme="minorHAnsi" w:hAnsiTheme="minorHAnsi" w:cstheme="minorHAnsi"/>
          <w:bCs/>
          <w:szCs w:val="24"/>
        </w:rPr>
        <w:t xml:space="preserve">. </w:t>
      </w:r>
    </w:p>
    <w:p w:rsidR="00626A19" w:rsidRPr="00377C13" w:rsidRDefault="00626A19" w:rsidP="00B47A0D">
      <w:pPr>
        <w:widowControl/>
        <w:numPr>
          <w:ilvl w:val="1"/>
          <w:numId w:val="1"/>
        </w:numPr>
        <w:spacing w:after="120"/>
        <w:rPr>
          <w:rFonts w:asciiTheme="minorHAnsi" w:hAnsiTheme="minorHAnsi"/>
          <w:bCs/>
          <w:szCs w:val="24"/>
        </w:rPr>
      </w:pPr>
      <w:r w:rsidRPr="00377C13">
        <w:rPr>
          <w:rFonts w:asciiTheme="minorHAnsi" w:hAnsiTheme="minorHAnsi"/>
          <w:bCs/>
          <w:szCs w:val="24"/>
        </w:rPr>
        <w:t>The PBAC recalled that the post hoc analysis presented at the January 2017 meeting of the treatment difference (ivacaftor versus placebo) for change from baseline in ppFEV</w:t>
      </w:r>
      <w:r w:rsidRPr="00377C13">
        <w:rPr>
          <w:rFonts w:asciiTheme="minorHAnsi" w:hAnsiTheme="minorHAnsi"/>
          <w:bCs/>
          <w:szCs w:val="24"/>
          <w:vertAlign w:val="subscript"/>
        </w:rPr>
        <w:t>1</w:t>
      </w:r>
      <w:r w:rsidRPr="00377C13">
        <w:rPr>
          <w:rFonts w:asciiTheme="minorHAnsi" w:hAnsiTheme="minorHAnsi"/>
          <w:bCs/>
          <w:szCs w:val="24"/>
        </w:rPr>
        <w:t xml:space="preserve"> from the ENVISION trial for patients indicated similar ppFEV</w:t>
      </w:r>
      <w:r w:rsidRPr="00377C13">
        <w:rPr>
          <w:rFonts w:asciiTheme="minorHAnsi" w:hAnsiTheme="minorHAnsi"/>
          <w:bCs/>
          <w:szCs w:val="24"/>
          <w:vertAlign w:val="subscript"/>
        </w:rPr>
        <w:t>1</w:t>
      </w:r>
      <w:r w:rsidRPr="00377C13">
        <w:rPr>
          <w:rFonts w:asciiTheme="minorHAnsi" w:hAnsiTheme="minorHAnsi"/>
          <w:bCs/>
          <w:szCs w:val="24"/>
        </w:rPr>
        <w:t xml:space="preserve"> responses in the 6-8 year age group compared with the older age groups, supported that the efficacy of ivacaftor is independent of age.</w:t>
      </w:r>
    </w:p>
    <w:p w:rsidR="004821C1" w:rsidRPr="00377C13" w:rsidRDefault="00707453" w:rsidP="00B47A0D">
      <w:pPr>
        <w:widowControl/>
        <w:numPr>
          <w:ilvl w:val="1"/>
          <w:numId w:val="1"/>
        </w:numPr>
        <w:spacing w:after="120"/>
        <w:rPr>
          <w:rFonts w:asciiTheme="minorHAnsi" w:hAnsiTheme="minorHAnsi"/>
          <w:bCs/>
          <w:szCs w:val="24"/>
        </w:rPr>
      </w:pPr>
      <w:r w:rsidRPr="00377C13">
        <w:rPr>
          <w:rFonts w:asciiTheme="minorHAnsi" w:hAnsiTheme="minorHAnsi"/>
          <w:bCs/>
          <w:szCs w:val="24"/>
        </w:rPr>
        <w:t xml:space="preserve">The PBAC noted there were no major safety signals </w:t>
      </w:r>
      <w:r w:rsidR="000C4640" w:rsidRPr="00377C13">
        <w:rPr>
          <w:rFonts w:asciiTheme="minorHAnsi" w:hAnsiTheme="minorHAnsi"/>
          <w:bCs/>
          <w:szCs w:val="24"/>
        </w:rPr>
        <w:t>associated with ivacaftor in this patient population in the context of the known safety profile of ivacaftor in older patients.</w:t>
      </w:r>
      <w:r w:rsidR="00E444E9" w:rsidRPr="00377C13">
        <w:rPr>
          <w:rFonts w:asciiTheme="minorHAnsi" w:hAnsiTheme="minorHAnsi"/>
          <w:bCs/>
          <w:szCs w:val="24"/>
        </w:rPr>
        <w:t xml:space="preserve"> The PBAC therefore considered </w:t>
      </w:r>
      <w:r w:rsidR="00220E6F" w:rsidRPr="00377C13">
        <w:rPr>
          <w:rFonts w:asciiTheme="minorHAnsi" w:hAnsiTheme="minorHAnsi"/>
          <w:bCs/>
          <w:szCs w:val="24"/>
        </w:rPr>
        <w:t>that the</w:t>
      </w:r>
      <w:r w:rsidR="00E444E9" w:rsidRPr="00377C13">
        <w:rPr>
          <w:rFonts w:asciiTheme="minorHAnsi" w:hAnsiTheme="minorHAnsi"/>
          <w:bCs/>
          <w:szCs w:val="24"/>
        </w:rPr>
        <w:t xml:space="preserve"> claim of non-inferior safety was </w:t>
      </w:r>
      <w:r w:rsidR="00220E6F" w:rsidRPr="00377C13">
        <w:rPr>
          <w:rFonts w:asciiTheme="minorHAnsi" w:hAnsiTheme="minorHAnsi"/>
          <w:bCs/>
          <w:szCs w:val="24"/>
        </w:rPr>
        <w:t>reasonable</w:t>
      </w:r>
      <w:r w:rsidR="00E444E9" w:rsidRPr="00377C13">
        <w:rPr>
          <w:rFonts w:asciiTheme="minorHAnsi" w:hAnsiTheme="minorHAnsi"/>
          <w:bCs/>
          <w:szCs w:val="24"/>
        </w:rPr>
        <w:t xml:space="preserve"> in this situation. </w:t>
      </w:r>
    </w:p>
    <w:p w:rsidR="00382DCF" w:rsidRPr="00A40F98" w:rsidRDefault="005542F2" w:rsidP="00B47A0D">
      <w:pPr>
        <w:widowControl/>
        <w:numPr>
          <w:ilvl w:val="1"/>
          <w:numId w:val="1"/>
        </w:numPr>
        <w:spacing w:after="120"/>
        <w:rPr>
          <w:rFonts w:asciiTheme="minorHAnsi" w:hAnsiTheme="minorHAnsi"/>
          <w:bCs/>
          <w:szCs w:val="24"/>
        </w:rPr>
      </w:pPr>
      <w:r w:rsidRPr="00377C13">
        <w:rPr>
          <w:rFonts w:asciiTheme="minorHAnsi" w:hAnsiTheme="minorHAnsi" w:cstheme="minorHAnsi"/>
          <w:bCs/>
          <w:szCs w:val="24"/>
        </w:rPr>
        <w:t xml:space="preserve">The PBAC considered that </w:t>
      </w:r>
      <w:r w:rsidR="006A76AF" w:rsidRPr="00377C13">
        <w:rPr>
          <w:rFonts w:asciiTheme="minorHAnsi" w:hAnsiTheme="minorHAnsi" w:cstheme="minorHAnsi"/>
          <w:bCs/>
          <w:szCs w:val="24"/>
        </w:rPr>
        <w:t>the magnitude of the incremental</w:t>
      </w:r>
      <w:r w:rsidRPr="00377C13">
        <w:rPr>
          <w:rFonts w:asciiTheme="minorHAnsi" w:hAnsiTheme="minorHAnsi" w:cstheme="minorHAnsi"/>
          <w:bCs/>
          <w:szCs w:val="24"/>
        </w:rPr>
        <w:t xml:space="preserve"> benefit in </w:t>
      </w:r>
      <w:r w:rsidR="00AE7259" w:rsidRPr="00377C13">
        <w:rPr>
          <w:rFonts w:asciiTheme="minorHAnsi" w:hAnsiTheme="minorHAnsi" w:cstheme="minorHAnsi"/>
          <w:bCs/>
          <w:szCs w:val="24"/>
        </w:rPr>
        <w:t>commencing</w:t>
      </w:r>
      <w:r w:rsidRPr="00377C13">
        <w:rPr>
          <w:rFonts w:asciiTheme="minorHAnsi" w:hAnsiTheme="minorHAnsi" w:cstheme="minorHAnsi"/>
          <w:bCs/>
          <w:szCs w:val="24"/>
        </w:rPr>
        <w:t xml:space="preserve"> treatment with ivacaftor </w:t>
      </w:r>
      <w:r w:rsidR="006A76AF" w:rsidRPr="00377C13">
        <w:rPr>
          <w:rFonts w:asciiTheme="minorHAnsi" w:hAnsiTheme="minorHAnsi" w:cstheme="minorHAnsi"/>
          <w:bCs/>
          <w:szCs w:val="24"/>
        </w:rPr>
        <w:t xml:space="preserve">at a younger age </w:t>
      </w:r>
      <w:r w:rsidRPr="00377C13">
        <w:rPr>
          <w:rFonts w:asciiTheme="minorHAnsi" w:hAnsiTheme="minorHAnsi" w:cstheme="minorHAnsi"/>
          <w:bCs/>
          <w:szCs w:val="24"/>
        </w:rPr>
        <w:t xml:space="preserve">was </w:t>
      </w:r>
      <w:r w:rsidR="006A76AF" w:rsidRPr="00377C13">
        <w:rPr>
          <w:rFonts w:asciiTheme="minorHAnsi" w:hAnsiTheme="minorHAnsi" w:cstheme="minorHAnsi"/>
          <w:bCs/>
          <w:szCs w:val="24"/>
        </w:rPr>
        <w:t xml:space="preserve">unknown and, </w:t>
      </w:r>
      <w:r w:rsidR="009463A3" w:rsidRPr="00377C13">
        <w:rPr>
          <w:rFonts w:asciiTheme="minorHAnsi" w:hAnsiTheme="minorHAnsi" w:cstheme="minorHAnsi"/>
          <w:bCs/>
          <w:szCs w:val="24"/>
        </w:rPr>
        <w:t>therefore</w:t>
      </w:r>
      <w:r w:rsidR="004821C1" w:rsidRPr="00377C13">
        <w:rPr>
          <w:rFonts w:asciiTheme="minorHAnsi" w:hAnsiTheme="minorHAnsi" w:cstheme="minorHAnsi"/>
          <w:bCs/>
          <w:szCs w:val="24"/>
        </w:rPr>
        <w:t>,</w:t>
      </w:r>
      <w:r w:rsidR="0064694D" w:rsidRPr="00377C13">
        <w:rPr>
          <w:rFonts w:asciiTheme="minorHAnsi" w:hAnsiTheme="minorHAnsi" w:cstheme="minorHAnsi"/>
          <w:bCs/>
          <w:szCs w:val="24"/>
        </w:rPr>
        <w:t xml:space="preserve"> </w:t>
      </w:r>
      <w:r w:rsidR="005D4310" w:rsidRPr="00377C13">
        <w:rPr>
          <w:rFonts w:asciiTheme="minorHAnsi" w:hAnsiTheme="minorHAnsi" w:cstheme="minorHAnsi"/>
          <w:bCs/>
          <w:szCs w:val="24"/>
        </w:rPr>
        <w:t xml:space="preserve">the </w:t>
      </w:r>
      <w:r w:rsidR="004821C1" w:rsidRPr="00377C13">
        <w:rPr>
          <w:rFonts w:asciiTheme="minorHAnsi" w:hAnsiTheme="minorHAnsi" w:cstheme="minorHAnsi"/>
          <w:bCs/>
          <w:szCs w:val="24"/>
        </w:rPr>
        <w:t xml:space="preserve">incremental </w:t>
      </w:r>
      <w:r w:rsidR="0064694D" w:rsidRPr="00377C13">
        <w:rPr>
          <w:rFonts w:asciiTheme="minorHAnsi" w:hAnsiTheme="minorHAnsi" w:cstheme="minorHAnsi"/>
          <w:bCs/>
          <w:szCs w:val="24"/>
        </w:rPr>
        <w:t xml:space="preserve">cost-effectiveness of </w:t>
      </w:r>
      <w:r w:rsidR="00AE7259" w:rsidRPr="00377C13">
        <w:rPr>
          <w:rFonts w:asciiTheme="minorHAnsi" w:hAnsiTheme="minorHAnsi" w:cstheme="minorHAnsi"/>
          <w:bCs/>
          <w:szCs w:val="24"/>
        </w:rPr>
        <w:t>commencing</w:t>
      </w:r>
      <w:r w:rsidR="0064694D" w:rsidRPr="00377C13">
        <w:rPr>
          <w:rFonts w:asciiTheme="minorHAnsi" w:hAnsiTheme="minorHAnsi" w:cstheme="minorHAnsi"/>
          <w:bCs/>
          <w:szCs w:val="24"/>
        </w:rPr>
        <w:t xml:space="preserve"> treatment in this age group was uncertain. </w:t>
      </w:r>
      <w:r w:rsidR="00763E3A" w:rsidRPr="00377C13">
        <w:rPr>
          <w:rFonts w:asciiTheme="minorHAnsi" w:hAnsiTheme="minorHAnsi"/>
          <w:bCs/>
          <w:szCs w:val="24"/>
        </w:rPr>
        <w:t xml:space="preserve">Noting the difficulty in demonstrating cost-effectiveness of earlier treatment with ivacaftor, the PBAC </w:t>
      </w:r>
      <w:r w:rsidR="00B10E29" w:rsidRPr="00377C13">
        <w:rPr>
          <w:rFonts w:asciiTheme="minorHAnsi" w:hAnsiTheme="minorHAnsi"/>
          <w:bCs/>
          <w:szCs w:val="24"/>
        </w:rPr>
        <w:t xml:space="preserve">advised that the extension to the listing of ivacaftor should be implemented </w:t>
      </w:r>
      <w:r w:rsidR="00A9188C">
        <w:rPr>
          <w:rFonts w:asciiTheme="minorHAnsi" w:hAnsiTheme="minorHAnsi"/>
          <w:bCs/>
          <w:noProof/>
          <w:color w:val="000000"/>
          <w:szCs w:val="24"/>
          <w:highlight w:val="black"/>
        </w:rPr>
        <w:t>'''''''''' ''''' ''''''''''''''' '''''''''''''' '''' '''''''''''''''''''''''''</w:t>
      </w:r>
      <w:r w:rsidR="00B47A0D">
        <w:rPr>
          <w:rFonts w:asciiTheme="minorHAnsi" w:hAnsiTheme="minorHAnsi"/>
          <w:bCs/>
          <w:noProof/>
          <w:color w:val="000000"/>
          <w:szCs w:val="24"/>
          <w:highlight w:val="black"/>
        </w:rPr>
        <w:t xml:space="preserve"> </w:t>
      </w:r>
      <w:r w:rsidR="00A9188C">
        <w:rPr>
          <w:rFonts w:asciiTheme="minorHAnsi" w:hAnsiTheme="minorHAnsi"/>
          <w:bCs/>
          <w:noProof/>
          <w:color w:val="000000"/>
          <w:szCs w:val="24"/>
          <w:highlight w:val="black"/>
        </w:rPr>
        <w:t>'''''''' '''''''''''''''''''''' '''''''''''''''''''' ''''''''' ''''''' ''''''''''' ''''' ''''''''''''''''' ''''' '''''''''''''''''''''' ''''''' '''''''''''''' '''''''' '''''''''''''''''''''' ''''' '''''''''''''''''' '''' '''''' '''''''''''''' ''''''''''''</w:t>
      </w:r>
    </w:p>
    <w:p w:rsidR="0011044B" w:rsidRPr="00377C13" w:rsidRDefault="0011044B" w:rsidP="00B47A0D">
      <w:pPr>
        <w:widowControl/>
        <w:numPr>
          <w:ilvl w:val="1"/>
          <w:numId w:val="1"/>
        </w:numPr>
        <w:spacing w:after="120"/>
        <w:rPr>
          <w:rFonts w:asciiTheme="minorHAnsi" w:hAnsiTheme="minorHAnsi"/>
          <w:bCs/>
          <w:szCs w:val="24"/>
        </w:rPr>
      </w:pPr>
      <w:r w:rsidRPr="00377C13">
        <w:rPr>
          <w:rFonts w:asciiTheme="minorHAnsi" w:hAnsiTheme="minorHAnsi"/>
          <w:bCs/>
          <w:szCs w:val="24"/>
        </w:rPr>
        <w:t xml:space="preserve">The PBAC also recommended that the extension to the listing to include patients aged 12-24 months be flowed-on to the ivacaftor tablet form. </w:t>
      </w:r>
    </w:p>
    <w:p w:rsidR="00281560" w:rsidRPr="00377C13" w:rsidRDefault="00281560" w:rsidP="00B47A0D">
      <w:pPr>
        <w:widowControl/>
        <w:numPr>
          <w:ilvl w:val="1"/>
          <w:numId w:val="1"/>
        </w:numPr>
        <w:spacing w:after="120"/>
        <w:rPr>
          <w:rFonts w:asciiTheme="minorHAnsi" w:hAnsiTheme="minorHAnsi"/>
          <w:bCs/>
          <w:szCs w:val="24"/>
        </w:rPr>
      </w:pPr>
      <w:r w:rsidRPr="00377C13">
        <w:rPr>
          <w:rFonts w:asciiTheme="minorHAnsi" w:hAnsiTheme="minorHAnsi" w:cstheme="minorHAnsi"/>
          <w:bCs/>
          <w:szCs w:val="24"/>
        </w:rPr>
        <w:t xml:space="preserve">The PBAC did not consider that ivacaftor granules should be treated as interchangeable with any other drugs. </w:t>
      </w:r>
    </w:p>
    <w:p w:rsidR="00281560" w:rsidRPr="00377C13" w:rsidRDefault="00281560" w:rsidP="00B47A0D">
      <w:pPr>
        <w:widowControl/>
        <w:numPr>
          <w:ilvl w:val="1"/>
          <w:numId w:val="1"/>
        </w:numPr>
        <w:spacing w:after="120"/>
        <w:rPr>
          <w:rFonts w:asciiTheme="minorHAnsi" w:hAnsiTheme="minorHAnsi"/>
          <w:bCs/>
          <w:szCs w:val="24"/>
        </w:rPr>
      </w:pPr>
      <w:r w:rsidRPr="00377C13">
        <w:rPr>
          <w:rFonts w:asciiTheme="minorHAnsi" w:hAnsiTheme="minorHAnsi" w:cstheme="minorHAnsi"/>
          <w:bCs/>
          <w:szCs w:val="24"/>
        </w:rPr>
        <w:lastRenderedPageBreak/>
        <w:t xml:space="preserve">The PBAC advised that ivacaftor granules are not suitable for prescribing by nurse practitioners. </w:t>
      </w:r>
    </w:p>
    <w:p w:rsidR="00281560" w:rsidRPr="00377C13" w:rsidRDefault="00281560" w:rsidP="00B47A0D">
      <w:pPr>
        <w:widowControl/>
        <w:numPr>
          <w:ilvl w:val="1"/>
          <w:numId w:val="1"/>
        </w:numPr>
        <w:spacing w:after="120"/>
        <w:rPr>
          <w:rFonts w:asciiTheme="minorHAnsi" w:hAnsiTheme="minorHAnsi"/>
          <w:bCs/>
          <w:szCs w:val="24"/>
        </w:rPr>
      </w:pPr>
      <w:r w:rsidRPr="00377C13">
        <w:rPr>
          <w:rFonts w:asciiTheme="minorHAnsi" w:hAnsiTheme="minorHAnsi" w:cstheme="minorHAnsi"/>
          <w:bCs/>
          <w:szCs w:val="24"/>
        </w:rPr>
        <w:t xml:space="preserve">The PBAC recommended that the Early Supply Rule should apply. </w:t>
      </w:r>
    </w:p>
    <w:p w:rsidR="009463A3" w:rsidRPr="00377C13" w:rsidRDefault="00281560" w:rsidP="00B47A0D">
      <w:pPr>
        <w:widowControl/>
        <w:numPr>
          <w:ilvl w:val="1"/>
          <w:numId w:val="1"/>
        </w:numPr>
        <w:spacing w:after="120"/>
        <w:rPr>
          <w:rFonts w:asciiTheme="minorHAnsi" w:hAnsiTheme="minorHAnsi"/>
          <w:bCs/>
          <w:szCs w:val="24"/>
        </w:rPr>
      </w:pPr>
      <w:r w:rsidRPr="00377C13">
        <w:rPr>
          <w:rFonts w:asciiTheme="minorHAnsi" w:hAnsiTheme="minorHAnsi"/>
          <w:bCs/>
          <w:szCs w:val="24"/>
        </w:rPr>
        <w:t xml:space="preserve">The PBAC noted the submission is not eligible for an Independent Review because the PBAC has made a positive recommendation. </w:t>
      </w:r>
    </w:p>
    <w:p w:rsidR="009C5FEB" w:rsidRPr="00377C13" w:rsidRDefault="009C5FEB" w:rsidP="00584D31">
      <w:pPr>
        <w:widowControl/>
        <w:spacing w:before="240" w:after="120"/>
        <w:rPr>
          <w:rFonts w:asciiTheme="minorHAnsi" w:hAnsiTheme="minorHAnsi"/>
          <w:b/>
          <w:bCs/>
          <w:szCs w:val="24"/>
        </w:rPr>
      </w:pPr>
      <w:r w:rsidRPr="00377C13">
        <w:rPr>
          <w:rFonts w:asciiTheme="minorHAnsi" w:hAnsiTheme="minorHAnsi"/>
          <w:b/>
          <w:bCs/>
          <w:szCs w:val="24"/>
        </w:rPr>
        <w:t>Outcome:</w:t>
      </w:r>
    </w:p>
    <w:p w:rsidR="009C5FEB" w:rsidRPr="00377C13" w:rsidRDefault="009C5FEB" w:rsidP="00584D31">
      <w:pPr>
        <w:widowControl/>
        <w:spacing w:after="120"/>
        <w:rPr>
          <w:rFonts w:asciiTheme="minorHAnsi" w:hAnsiTheme="minorHAnsi"/>
          <w:bCs/>
          <w:szCs w:val="24"/>
        </w:rPr>
      </w:pPr>
      <w:r w:rsidRPr="00377C13">
        <w:rPr>
          <w:rFonts w:asciiTheme="minorHAnsi" w:hAnsiTheme="minorHAnsi"/>
          <w:bCs/>
          <w:szCs w:val="24"/>
        </w:rPr>
        <w:t xml:space="preserve">Recommended </w:t>
      </w:r>
    </w:p>
    <w:p w:rsidR="009C5FEB" w:rsidRPr="00377C13" w:rsidRDefault="009C5FEB" w:rsidP="00B47A0D">
      <w:pPr>
        <w:pStyle w:val="PBACHeading1"/>
        <w:spacing w:before="240" w:after="120"/>
      </w:pPr>
      <w:r w:rsidRPr="00377C13">
        <w:t xml:space="preserve">Recommended listing </w:t>
      </w:r>
    </w:p>
    <w:p w:rsidR="009C5FEB" w:rsidRPr="00377C13" w:rsidRDefault="009C5FEB" w:rsidP="00B47A0D">
      <w:pPr>
        <w:widowControl/>
        <w:numPr>
          <w:ilvl w:val="1"/>
          <w:numId w:val="1"/>
        </w:numPr>
        <w:spacing w:before="120" w:after="120"/>
        <w:rPr>
          <w:rFonts w:asciiTheme="minorHAnsi" w:hAnsiTheme="minorHAnsi" w:cstheme="minorHAnsi"/>
          <w:bCs/>
          <w:szCs w:val="24"/>
        </w:rPr>
      </w:pPr>
      <w:r w:rsidRPr="00377C13">
        <w:rPr>
          <w:rFonts w:asciiTheme="minorHAnsi" w:hAnsiTheme="minorHAnsi" w:cstheme="minorHAnsi"/>
          <w:bCs/>
          <w:szCs w:val="24"/>
        </w:rPr>
        <w:t>A</w:t>
      </w:r>
      <w:r w:rsidR="001E53DB" w:rsidRPr="00377C13">
        <w:rPr>
          <w:rFonts w:asciiTheme="minorHAnsi" w:hAnsiTheme="minorHAnsi" w:cstheme="minorHAnsi"/>
          <w:bCs/>
          <w:szCs w:val="24"/>
        </w:rPr>
        <w:t>mend existing listings as follows</w:t>
      </w:r>
      <w:r w:rsidRPr="00377C13">
        <w:rPr>
          <w:rFonts w:asciiTheme="minorHAnsi" w:hAnsiTheme="minorHAnsi" w:cstheme="minorHAnsi"/>
          <w:bCs/>
          <w:szCs w:val="24"/>
        </w:rPr>
        <w:t>:</w:t>
      </w:r>
    </w:p>
    <w:tbl>
      <w:tblPr>
        <w:tblW w:w="5082" w:type="pct"/>
        <w:tblLook w:val="0000" w:firstRow="0" w:lastRow="0" w:firstColumn="0" w:lastColumn="0" w:noHBand="0" w:noVBand="0"/>
      </w:tblPr>
      <w:tblGrid>
        <w:gridCol w:w="4363"/>
        <w:gridCol w:w="530"/>
        <w:gridCol w:w="624"/>
        <w:gridCol w:w="1050"/>
        <w:gridCol w:w="2608"/>
      </w:tblGrid>
      <w:tr w:rsidR="00BB532C" w:rsidRPr="00377C13" w:rsidTr="00EE7A1A">
        <w:trPr>
          <w:cantSplit/>
          <w:trHeight w:val="503"/>
        </w:trPr>
        <w:tc>
          <w:tcPr>
            <w:tcW w:w="2378" w:type="pct"/>
            <w:tcBorders>
              <w:bottom w:val="single" w:sz="4" w:space="0" w:color="auto"/>
            </w:tcBorders>
          </w:tcPr>
          <w:p w:rsidR="00BB532C" w:rsidRPr="00377C13" w:rsidRDefault="00BB532C" w:rsidP="007D3143">
            <w:pPr>
              <w:keepNext/>
              <w:widowControl/>
              <w:ind w:left="-108"/>
              <w:rPr>
                <w:rFonts w:ascii="Arial Narrow" w:hAnsi="Arial Narrow"/>
                <w:sz w:val="20"/>
              </w:rPr>
            </w:pPr>
            <w:r w:rsidRPr="00377C13">
              <w:rPr>
                <w:rFonts w:ascii="Arial Narrow" w:hAnsi="Arial Narrow"/>
                <w:sz w:val="20"/>
              </w:rPr>
              <w:t>Name, Restriction,</w:t>
            </w:r>
          </w:p>
          <w:p w:rsidR="00BB532C" w:rsidRPr="00377C13" w:rsidRDefault="00BB532C" w:rsidP="007D3143">
            <w:pPr>
              <w:keepNext/>
              <w:widowControl/>
              <w:ind w:left="-108"/>
              <w:rPr>
                <w:rFonts w:ascii="Arial Narrow" w:hAnsi="Arial Narrow"/>
                <w:sz w:val="20"/>
              </w:rPr>
            </w:pPr>
            <w:r w:rsidRPr="00377C13">
              <w:rPr>
                <w:rFonts w:ascii="Arial Narrow" w:hAnsi="Arial Narrow"/>
                <w:sz w:val="20"/>
              </w:rPr>
              <w:t>Manner of administration and form</w:t>
            </w:r>
          </w:p>
        </w:tc>
        <w:tc>
          <w:tcPr>
            <w:tcW w:w="289" w:type="pct"/>
            <w:tcBorders>
              <w:bottom w:val="single" w:sz="4" w:space="0" w:color="auto"/>
            </w:tcBorders>
          </w:tcPr>
          <w:p w:rsidR="00BB532C" w:rsidRPr="00377C13" w:rsidRDefault="00BB532C" w:rsidP="007D3143">
            <w:pPr>
              <w:keepNext/>
              <w:widowControl/>
              <w:ind w:left="-108"/>
              <w:rPr>
                <w:rFonts w:ascii="Arial Narrow" w:hAnsi="Arial Narrow"/>
                <w:sz w:val="20"/>
              </w:rPr>
            </w:pPr>
            <w:r w:rsidRPr="00377C13">
              <w:rPr>
                <w:rFonts w:ascii="Arial Narrow" w:hAnsi="Arial Narrow"/>
                <w:sz w:val="20"/>
              </w:rPr>
              <w:t>Max.</w:t>
            </w:r>
          </w:p>
          <w:p w:rsidR="00BB532C" w:rsidRPr="00377C13" w:rsidRDefault="00BB532C" w:rsidP="007D3143">
            <w:pPr>
              <w:keepNext/>
              <w:widowControl/>
              <w:ind w:left="-108"/>
              <w:rPr>
                <w:rFonts w:ascii="Arial Narrow" w:hAnsi="Arial Narrow"/>
                <w:sz w:val="20"/>
              </w:rPr>
            </w:pPr>
            <w:proofErr w:type="spellStart"/>
            <w:r w:rsidRPr="00377C13">
              <w:rPr>
                <w:rFonts w:ascii="Arial Narrow" w:hAnsi="Arial Narrow"/>
                <w:sz w:val="20"/>
              </w:rPr>
              <w:t>Qty</w:t>
            </w:r>
            <w:proofErr w:type="spellEnd"/>
          </w:p>
        </w:tc>
        <w:tc>
          <w:tcPr>
            <w:tcW w:w="340" w:type="pct"/>
            <w:tcBorders>
              <w:bottom w:val="single" w:sz="4" w:space="0" w:color="auto"/>
            </w:tcBorders>
          </w:tcPr>
          <w:p w:rsidR="00BB532C" w:rsidRPr="00377C13" w:rsidRDefault="00BB532C" w:rsidP="007D3143">
            <w:pPr>
              <w:keepNext/>
              <w:widowControl/>
              <w:ind w:left="-108"/>
              <w:rPr>
                <w:rFonts w:ascii="Arial Narrow" w:hAnsi="Arial Narrow"/>
                <w:sz w:val="20"/>
              </w:rPr>
            </w:pPr>
            <w:r w:rsidRPr="00377C13">
              <w:rPr>
                <w:rFonts w:ascii="Arial Narrow" w:hAnsi="Arial Narrow"/>
                <w:sz w:val="20"/>
              </w:rPr>
              <w:t>№.of</w:t>
            </w:r>
          </w:p>
          <w:p w:rsidR="00BB532C" w:rsidRPr="00377C13" w:rsidRDefault="00BB532C" w:rsidP="007D3143">
            <w:pPr>
              <w:keepNext/>
              <w:widowControl/>
              <w:ind w:left="-108"/>
              <w:rPr>
                <w:rFonts w:ascii="Arial Narrow" w:hAnsi="Arial Narrow"/>
                <w:sz w:val="20"/>
              </w:rPr>
            </w:pPr>
            <w:proofErr w:type="spellStart"/>
            <w:r w:rsidRPr="00377C13">
              <w:rPr>
                <w:rFonts w:ascii="Arial Narrow" w:hAnsi="Arial Narrow"/>
                <w:sz w:val="20"/>
              </w:rPr>
              <w:t>Rpts</w:t>
            </w:r>
            <w:proofErr w:type="spellEnd"/>
          </w:p>
        </w:tc>
        <w:tc>
          <w:tcPr>
            <w:tcW w:w="1993" w:type="pct"/>
            <w:gridSpan w:val="2"/>
            <w:tcBorders>
              <w:bottom w:val="single" w:sz="4" w:space="0" w:color="auto"/>
            </w:tcBorders>
          </w:tcPr>
          <w:p w:rsidR="00BB532C" w:rsidRPr="00377C13" w:rsidRDefault="00BB532C" w:rsidP="007D3143">
            <w:pPr>
              <w:keepNext/>
              <w:widowControl/>
              <w:rPr>
                <w:rFonts w:ascii="Arial Narrow" w:hAnsi="Arial Narrow"/>
                <w:sz w:val="20"/>
              </w:rPr>
            </w:pPr>
            <w:r w:rsidRPr="00377C13">
              <w:rPr>
                <w:rFonts w:ascii="Arial Narrow" w:hAnsi="Arial Narrow"/>
                <w:sz w:val="20"/>
              </w:rPr>
              <w:t>Proprietary Name and Manufacturer</w:t>
            </w:r>
          </w:p>
        </w:tc>
      </w:tr>
      <w:tr w:rsidR="00BB532C" w:rsidRPr="00377C13" w:rsidTr="00EE7A1A">
        <w:trPr>
          <w:cantSplit/>
          <w:trHeight w:val="617"/>
        </w:trPr>
        <w:tc>
          <w:tcPr>
            <w:tcW w:w="2378" w:type="pct"/>
            <w:tcBorders>
              <w:top w:val="single" w:sz="4" w:space="0" w:color="auto"/>
            </w:tcBorders>
          </w:tcPr>
          <w:p w:rsidR="00BB532C" w:rsidRPr="00377C13" w:rsidRDefault="00BB532C" w:rsidP="007D3143">
            <w:pPr>
              <w:keepNext/>
              <w:widowControl/>
              <w:ind w:left="-108"/>
              <w:rPr>
                <w:rFonts w:ascii="Arial Narrow" w:hAnsi="Arial Narrow"/>
                <w:sz w:val="20"/>
              </w:rPr>
            </w:pPr>
            <w:r w:rsidRPr="00377C13">
              <w:rPr>
                <w:rFonts w:ascii="Arial Narrow" w:hAnsi="Arial Narrow"/>
                <w:smallCaps/>
                <w:sz w:val="20"/>
              </w:rPr>
              <w:t>IVACAFTOR</w:t>
            </w:r>
          </w:p>
          <w:p w:rsidR="00BB532C" w:rsidRPr="00377C13" w:rsidRDefault="00545312" w:rsidP="007D3143">
            <w:pPr>
              <w:keepNext/>
              <w:widowControl/>
              <w:ind w:left="-108"/>
              <w:rPr>
                <w:rFonts w:ascii="Arial Narrow" w:hAnsi="Arial Narrow"/>
                <w:sz w:val="20"/>
              </w:rPr>
            </w:pPr>
            <w:r w:rsidRPr="00377C13">
              <w:rPr>
                <w:rFonts w:ascii="Arial Narrow" w:hAnsi="Arial Narrow"/>
                <w:sz w:val="20"/>
              </w:rPr>
              <w:t>I</w:t>
            </w:r>
            <w:r w:rsidR="00BB532C" w:rsidRPr="00377C13">
              <w:rPr>
                <w:rFonts w:ascii="Arial Narrow" w:hAnsi="Arial Narrow"/>
                <w:sz w:val="20"/>
              </w:rPr>
              <w:t xml:space="preserve">vacaftor </w:t>
            </w:r>
            <w:r w:rsidRPr="00377C13">
              <w:rPr>
                <w:rFonts w:ascii="Arial Narrow" w:hAnsi="Arial Narrow"/>
                <w:sz w:val="20"/>
              </w:rPr>
              <w:t>50 mg granules, 4 x 14 sachets</w:t>
            </w:r>
          </w:p>
          <w:p w:rsidR="009547E9" w:rsidRPr="00377C13" w:rsidRDefault="009547E9" w:rsidP="007D3143">
            <w:pPr>
              <w:keepNext/>
              <w:widowControl/>
              <w:ind w:left="-108"/>
              <w:rPr>
                <w:rFonts w:ascii="Arial Narrow" w:hAnsi="Arial Narrow"/>
                <w:sz w:val="20"/>
              </w:rPr>
            </w:pPr>
            <w:r w:rsidRPr="00377C13">
              <w:rPr>
                <w:rFonts w:ascii="Arial Narrow" w:hAnsi="Arial Narrow"/>
                <w:sz w:val="20"/>
              </w:rPr>
              <w:t>Ivacaftor 75 mg granules, 4 x 14 sachets</w:t>
            </w:r>
          </w:p>
        </w:tc>
        <w:tc>
          <w:tcPr>
            <w:tcW w:w="289" w:type="pct"/>
            <w:tcBorders>
              <w:top w:val="single" w:sz="4" w:space="0" w:color="auto"/>
            </w:tcBorders>
          </w:tcPr>
          <w:p w:rsidR="00BB532C" w:rsidRPr="00377C13" w:rsidRDefault="00BB532C" w:rsidP="007D3143">
            <w:pPr>
              <w:keepNext/>
              <w:widowControl/>
              <w:ind w:left="-108"/>
              <w:rPr>
                <w:rFonts w:ascii="Arial Narrow" w:hAnsi="Arial Narrow"/>
                <w:sz w:val="20"/>
              </w:rPr>
            </w:pPr>
          </w:p>
          <w:p w:rsidR="00BB532C" w:rsidRPr="00377C13" w:rsidRDefault="00BB532C" w:rsidP="007D3143">
            <w:pPr>
              <w:keepNext/>
              <w:widowControl/>
              <w:ind w:left="-108"/>
              <w:rPr>
                <w:rFonts w:ascii="Arial Narrow" w:hAnsi="Arial Narrow"/>
                <w:sz w:val="20"/>
              </w:rPr>
            </w:pPr>
            <w:r w:rsidRPr="00377C13">
              <w:rPr>
                <w:rFonts w:ascii="Arial Narrow" w:hAnsi="Arial Narrow"/>
                <w:sz w:val="20"/>
              </w:rPr>
              <w:t>1</w:t>
            </w:r>
          </w:p>
          <w:p w:rsidR="009547E9" w:rsidRPr="00377C13" w:rsidRDefault="009547E9" w:rsidP="007D3143">
            <w:pPr>
              <w:keepNext/>
              <w:widowControl/>
              <w:ind w:left="-108"/>
              <w:rPr>
                <w:rFonts w:ascii="Arial Narrow" w:hAnsi="Arial Narrow"/>
                <w:sz w:val="20"/>
              </w:rPr>
            </w:pPr>
            <w:r w:rsidRPr="00377C13">
              <w:rPr>
                <w:rFonts w:ascii="Arial Narrow" w:hAnsi="Arial Narrow"/>
                <w:sz w:val="20"/>
              </w:rPr>
              <w:t>1</w:t>
            </w:r>
          </w:p>
        </w:tc>
        <w:tc>
          <w:tcPr>
            <w:tcW w:w="340" w:type="pct"/>
            <w:tcBorders>
              <w:top w:val="single" w:sz="4" w:space="0" w:color="auto"/>
            </w:tcBorders>
          </w:tcPr>
          <w:p w:rsidR="00BB532C" w:rsidRPr="00377C13" w:rsidRDefault="00BB532C" w:rsidP="007D3143">
            <w:pPr>
              <w:keepNext/>
              <w:widowControl/>
              <w:ind w:left="-108"/>
              <w:rPr>
                <w:rFonts w:ascii="Arial Narrow" w:hAnsi="Arial Narrow"/>
                <w:sz w:val="20"/>
              </w:rPr>
            </w:pPr>
          </w:p>
          <w:p w:rsidR="00BB532C" w:rsidRPr="00377C13" w:rsidRDefault="00BB532C" w:rsidP="007D3143">
            <w:pPr>
              <w:keepNext/>
              <w:widowControl/>
              <w:ind w:left="-108"/>
              <w:rPr>
                <w:rFonts w:ascii="Arial Narrow" w:hAnsi="Arial Narrow"/>
                <w:sz w:val="20"/>
              </w:rPr>
            </w:pPr>
            <w:r w:rsidRPr="00377C13">
              <w:rPr>
                <w:rFonts w:ascii="Arial Narrow" w:hAnsi="Arial Narrow"/>
                <w:sz w:val="20"/>
              </w:rPr>
              <w:t>5</w:t>
            </w:r>
          </w:p>
          <w:p w:rsidR="009547E9" w:rsidRPr="00377C13" w:rsidRDefault="009547E9" w:rsidP="007D3143">
            <w:pPr>
              <w:keepNext/>
              <w:widowControl/>
              <w:ind w:left="-108"/>
              <w:rPr>
                <w:rFonts w:ascii="Arial Narrow" w:hAnsi="Arial Narrow"/>
                <w:sz w:val="20"/>
              </w:rPr>
            </w:pPr>
            <w:r w:rsidRPr="00377C13">
              <w:rPr>
                <w:rFonts w:ascii="Arial Narrow" w:hAnsi="Arial Narrow"/>
                <w:sz w:val="20"/>
              </w:rPr>
              <w:t>5</w:t>
            </w:r>
          </w:p>
        </w:tc>
        <w:tc>
          <w:tcPr>
            <w:tcW w:w="572" w:type="pct"/>
            <w:tcBorders>
              <w:top w:val="single" w:sz="4" w:space="0" w:color="auto"/>
            </w:tcBorders>
          </w:tcPr>
          <w:p w:rsidR="00BB532C" w:rsidRPr="00377C13" w:rsidRDefault="00BB532C" w:rsidP="007D3143">
            <w:pPr>
              <w:keepNext/>
              <w:widowControl/>
              <w:rPr>
                <w:rFonts w:ascii="Arial Narrow" w:hAnsi="Arial Narrow"/>
                <w:sz w:val="20"/>
              </w:rPr>
            </w:pPr>
          </w:p>
          <w:p w:rsidR="00BB532C" w:rsidRPr="00377C13" w:rsidRDefault="00377C13" w:rsidP="007D3143">
            <w:pPr>
              <w:keepNext/>
              <w:widowControl/>
              <w:rPr>
                <w:rFonts w:ascii="Arial Narrow" w:hAnsi="Arial Narrow"/>
                <w:sz w:val="20"/>
              </w:rPr>
            </w:pPr>
            <w:proofErr w:type="spellStart"/>
            <w:r w:rsidRPr="00377C13">
              <w:rPr>
                <w:rFonts w:ascii="Arial Narrow" w:hAnsi="Arial Narrow"/>
                <w:sz w:val="20"/>
              </w:rPr>
              <w:t>Kalydeco</w:t>
            </w:r>
            <w:proofErr w:type="spellEnd"/>
            <w:r w:rsidRPr="00377C13" w:rsidDel="00377C13">
              <w:rPr>
                <w:rFonts w:ascii="Arial Narrow" w:hAnsi="Arial Narrow"/>
                <w:sz w:val="20"/>
              </w:rPr>
              <w:t xml:space="preserve"> </w:t>
            </w:r>
            <w:r w:rsidR="00BB532C" w:rsidRPr="00377C13">
              <w:rPr>
                <w:rFonts w:ascii="Arial Narrow" w:hAnsi="Arial Narrow"/>
                <w:sz w:val="20"/>
              </w:rPr>
              <w:t>®</w:t>
            </w:r>
          </w:p>
        </w:tc>
        <w:tc>
          <w:tcPr>
            <w:tcW w:w="1421" w:type="pct"/>
            <w:tcBorders>
              <w:top w:val="single" w:sz="4" w:space="0" w:color="auto"/>
            </w:tcBorders>
          </w:tcPr>
          <w:p w:rsidR="00BB532C" w:rsidRPr="00377C13" w:rsidRDefault="00BB532C" w:rsidP="007D3143">
            <w:pPr>
              <w:keepNext/>
              <w:widowControl/>
              <w:rPr>
                <w:rFonts w:ascii="Arial Narrow" w:hAnsi="Arial Narrow"/>
                <w:sz w:val="20"/>
              </w:rPr>
            </w:pPr>
          </w:p>
          <w:p w:rsidR="00BB532C" w:rsidRPr="00377C13" w:rsidRDefault="00BB532C" w:rsidP="007D3143">
            <w:pPr>
              <w:keepNext/>
              <w:widowControl/>
              <w:jc w:val="left"/>
              <w:rPr>
                <w:rFonts w:ascii="Arial Narrow" w:hAnsi="Arial Narrow"/>
                <w:sz w:val="20"/>
              </w:rPr>
            </w:pPr>
            <w:r w:rsidRPr="00377C13">
              <w:rPr>
                <w:rFonts w:ascii="Arial Narrow" w:hAnsi="Arial Narrow"/>
                <w:sz w:val="20"/>
              </w:rPr>
              <w:t>Vertex Pharmaceuticals (Australia) Pty Ltd</w:t>
            </w:r>
          </w:p>
        </w:tc>
      </w:tr>
    </w:tbl>
    <w:p w:rsidR="00BB532C" w:rsidRPr="00377C13" w:rsidRDefault="00BB532C" w:rsidP="007D3143">
      <w:pPr>
        <w:widowControl/>
        <w:rPr>
          <w:rFonts w:ascii="Arial Narrow" w:hAnsi="Arial Narrow"/>
          <w:b/>
          <w:sz w:val="20"/>
          <w:szCs w:val="16"/>
        </w:rPr>
      </w:pPr>
    </w:p>
    <w:p w:rsidR="00BB532C" w:rsidRPr="00377C13" w:rsidRDefault="00BB532C" w:rsidP="007D3143">
      <w:pPr>
        <w:widowControl/>
        <w:rPr>
          <w:rFonts w:ascii="Arial Narrow" w:hAnsi="Arial Narrow"/>
          <w:b/>
          <w:sz w:val="20"/>
          <w:szCs w:val="16"/>
        </w:rPr>
      </w:pPr>
    </w:p>
    <w:tbl>
      <w:tblPr>
        <w:tblW w:w="5000" w:type="pct"/>
        <w:tblLook w:val="0000" w:firstRow="0" w:lastRow="0" w:firstColumn="0" w:lastColumn="0" w:noHBand="0" w:noVBand="0"/>
      </w:tblPr>
      <w:tblGrid>
        <w:gridCol w:w="2294"/>
        <w:gridCol w:w="6723"/>
      </w:tblGrid>
      <w:tr w:rsidR="00BB532C" w:rsidRPr="00377C13" w:rsidTr="00356F81">
        <w:tc>
          <w:tcPr>
            <w:tcW w:w="1272"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b/>
                <w:sz w:val="20"/>
              </w:rPr>
            </w:pPr>
            <w:r w:rsidRPr="00377C13">
              <w:rPr>
                <w:rFonts w:ascii="Arial Narrow" w:hAnsi="Arial Narrow"/>
                <w:b/>
                <w:sz w:val="20"/>
              </w:rPr>
              <w:t xml:space="preserve">Category / </w:t>
            </w:r>
          </w:p>
          <w:p w:rsidR="00BB532C" w:rsidRPr="00377C13" w:rsidRDefault="00BB532C" w:rsidP="007D3143">
            <w:pPr>
              <w:widowControl/>
              <w:rPr>
                <w:rFonts w:ascii="Arial Narrow" w:hAnsi="Arial Narrow"/>
                <w:b/>
                <w:sz w:val="20"/>
              </w:rPr>
            </w:pPr>
            <w:r w:rsidRPr="00377C13">
              <w:rPr>
                <w:rFonts w:ascii="Arial Narrow" w:hAnsi="Arial Narrow"/>
                <w:b/>
                <w:sz w:val="20"/>
              </w:rPr>
              <w:t>Program</w:t>
            </w:r>
          </w:p>
        </w:tc>
        <w:tc>
          <w:tcPr>
            <w:tcW w:w="3728"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sz w:val="20"/>
              </w:rPr>
            </w:pPr>
            <w:r w:rsidRPr="00377C13">
              <w:rPr>
                <w:rFonts w:ascii="Arial Narrow" w:hAnsi="Arial Narrow"/>
                <w:sz w:val="20"/>
              </w:rPr>
              <w:t>Section 100 – Highly Specialised Drugs Program</w:t>
            </w:r>
          </w:p>
          <w:p w:rsidR="00BB532C" w:rsidRPr="00377C13" w:rsidRDefault="00BB532C" w:rsidP="007D3143">
            <w:pPr>
              <w:widowControl/>
              <w:rPr>
                <w:rFonts w:ascii="Arial Narrow" w:hAnsi="Arial Narrow"/>
                <w:sz w:val="20"/>
              </w:rPr>
            </w:pPr>
          </w:p>
        </w:tc>
      </w:tr>
      <w:tr w:rsidR="00BB532C" w:rsidRPr="00377C13" w:rsidTr="00356F81">
        <w:tc>
          <w:tcPr>
            <w:tcW w:w="1272"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b/>
                <w:sz w:val="20"/>
              </w:rPr>
            </w:pPr>
            <w:r w:rsidRPr="00377C13">
              <w:rPr>
                <w:rFonts w:ascii="Arial Narrow" w:hAnsi="Arial Narrow"/>
                <w:b/>
                <w:sz w:val="20"/>
              </w:rPr>
              <w:t>Prescriber type:</w:t>
            </w:r>
          </w:p>
          <w:p w:rsidR="00BB532C" w:rsidRPr="00377C13" w:rsidRDefault="00BB532C" w:rsidP="007D3143">
            <w:pPr>
              <w:widowControl/>
              <w:rPr>
                <w:rFonts w:ascii="Arial Narrow" w:hAnsi="Arial Narrow"/>
                <w:b/>
                <w:sz w:val="20"/>
              </w:rPr>
            </w:pPr>
          </w:p>
        </w:tc>
        <w:tc>
          <w:tcPr>
            <w:tcW w:w="3728"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sz w:val="20"/>
              </w:rPr>
            </w:pPr>
            <w:r w:rsidRPr="00377C13">
              <w:rPr>
                <w:rFonts w:ascii="Arial Narrow" w:hAnsi="Arial Narrow"/>
                <w:sz w:val="20"/>
              </w:rPr>
              <w:fldChar w:fldCharType="begin">
                <w:ffData>
                  <w:name w:val="Check1"/>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 xml:space="preserve">Dental  </w:t>
            </w:r>
            <w:r w:rsidRPr="00377C13">
              <w:rPr>
                <w:rFonts w:ascii="Arial Narrow" w:hAnsi="Arial Narrow"/>
                <w:sz w:val="20"/>
              </w:rPr>
              <w:fldChar w:fldCharType="begin">
                <w:ffData>
                  <w:name w:val=""/>
                  <w:enabled/>
                  <w:calcOnExit w:val="0"/>
                  <w:checkBox>
                    <w:sizeAuto/>
                    <w:default w:val="1"/>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 xml:space="preserve">Medical Practitioners  </w:t>
            </w:r>
            <w:r w:rsidRPr="00377C13">
              <w:rPr>
                <w:rFonts w:ascii="Arial Narrow" w:hAnsi="Arial Narrow"/>
                <w:sz w:val="20"/>
              </w:rPr>
              <w:fldChar w:fldCharType="begin">
                <w:ffData>
                  <w:name w:val="Check3"/>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 xml:space="preserve">Nurse practitioners  </w:t>
            </w:r>
            <w:r w:rsidRPr="00377C13">
              <w:rPr>
                <w:rFonts w:ascii="Arial Narrow" w:hAnsi="Arial Narrow"/>
                <w:sz w:val="20"/>
              </w:rPr>
              <w:fldChar w:fldCharType="begin">
                <w:ffData>
                  <w:name w:val=""/>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Optometrists</w:t>
            </w:r>
          </w:p>
          <w:p w:rsidR="00BB532C" w:rsidRPr="00377C13" w:rsidRDefault="00BB532C" w:rsidP="007D3143">
            <w:pPr>
              <w:widowControl/>
              <w:rPr>
                <w:rFonts w:ascii="Arial Narrow" w:hAnsi="Arial Narrow"/>
                <w:sz w:val="20"/>
              </w:rPr>
            </w:pPr>
            <w:r w:rsidRPr="00377C13">
              <w:rPr>
                <w:rFonts w:ascii="Arial Narrow" w:hAnsi="Arial Narrow"/>
                <w:sz w:val="20"/>
              </w:rPr>
              <w:fldChar w:fldCharType="begin">
                <w:ffData>
                  <w:name w:val="Check5"/>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Midwives</w:t>
            </w:r>
          </w:p>
        </w:tc>
      </w:tr>
      <w:tr w:rsidR="00BB532C" w:rsidRPr="00377C13" w:rsidTr="00356F81">
        <w:tc>
          <w:tcPr>
            <w:tcW w:w="1272"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b/>
                <w:sz w:val="20"/>
              </w:rPr>
            </w:pPr>
            <w:r w:rsidRPr="00377C13">
              <w:rPr>
                <w:rFonts w:ascii="Arial Narrow" w:hAnsi="Arial Narrow"/>
                <w:b/>
                <w:sz w:val="20"/>
              </w:rPr>
              <w:t>PBS Indication:</w:t>
            </w:r>
          </w:p>
        </w:tc>
        <w:tc>
          <w:tcPr>
            <w:tcW w:w="3728"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strike/>
                <w:sz w:val="20"/>
              </w:rPr>
            </w:pPr>
            <w:r w:rsidRPr="00377C13">
              <w:rPr>
                <w:rFonts w:ascii="Arial Narrow" w:hAnsi="Arial Narrow"/>
                <w:sz w:val="20"/>
              </w:rPr>
              <w:t>Cystic Fibrosis</w:t>
            </w:r>
          </w:p>
        </w:tc>
      </w:tr>
      <w:tr w:rsidR="00BB532C" w:rsidRPr="00377C13" w:rsidTr="00356F81">
        <w:trPr>
          <w:trHeight w:val="157"/>
        </w:trPr>
        <w:tc>
          <w:tcPr>
            <w:tcW w:w="1272"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b/>
                <w:sz w:val="20"/>
              </w:rPr>
            </w:pPr>
            <w:r w:rsidRPr="00377C13">
              <w:rPr>
                <w:rFonts w:ascii="Arial Narrow" w:hAnsi="Arial Narrow"/>
                <w:b/>
                <w:sz w:val="20"/>
              </w:rPr>
              <w:t>Treatment phase:</w:t>
            </w:r>
          </w:p>
        </w:tc>
        <w:tc>
          <w:tcPr>
            <w:tcW w:w="3728"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sz w:val="20"/>
              </w:rPr>
            </w:pPr>
            <w:r w:rsidRPr="00377C13">
              <w:rPr>
                <w:rFonts w:ascii="Arial Narrow" w:hAnsi="Arial Narrow"/>
                <w:sz w:val="20"/>
              </w:rPr>
              <w:t>Initial</w:t>
            </w:r>
            <w:r w:rsidR="00A21421" w:rsidRPr="00377C13">
              <w:rPr>
                <w:rFonts w:ascii="Arial Narrow" w:hAnsi="Arial Narrow"/>
                <w:sz w:val="20"/>
              </w:rPr>
              <w:t xml:space="preserve"> treatment – New patients </w:t>
            </w:r>
          </w:p>
        </w:tc>
      </w:tr>
      <w:tr w:rsidR="00BB532C" w:rsidRPr="00377C13" w:rsidTr="00356F81">
        <w:tc>
          <w:tcPr>
            <w:tcW w:w="1272"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b/>
                <w:sz w:val="20"/>
              </w:rPr>
            </w:pPr>
            <w:r w:rsidRPr="00377C13">
              <w:rPr>
                <w:rFonts w:ascii="Arial Narrow" w:hAnsi="Arial Narrow"/>
                <w:b/>
                <w:sz w:val="20"/>
              </w:rPr>
              <w:t>Restriction:</w:t>
            </w:r>
          </w:p>
          <w:p w:rsidR="00BB532C" w:rsidRPr="00377C13" w:rsidRDefault="00BB532C" w:rsidP="007D3143">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sz w:val="20"/>
              </w:rPr>
            </w:pPr>
            <w:r w:rsidRPr="00377C13">
              <w:rPr>
                <w:rFonts w:ascii="Arial Narrow" w:hAnsi="Arial Narrow"/>
                <w:sz w:val="20"/>
              </w:rPr>
              <w:fldChar w:fldCharType="begin">
                <w:ffData>
                  <w:name w:val="Check1"/>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Restricted benefit</w:t>
            </w:r>
          </w:p>
          <w:p w:rsidR="00BB532C" w:rsidRPr="00377C13" w:rsidRDefault="00BB532C" w:rsidP="007D3143">
            <w:pPr>
              <w:widowControl/>
              <w:rPr>
                <w:rFonts w:ascii="Arial Narrow" w:hAnsi="Arial Narrow"/>
                <w:sz w:val="20"/>
              </w:rPr>
            </w:pPr>
            <w:r w:rsidRPr="00377C13">
              <w:rPr>
                <w:rFonts w:ascii="Arial Narrow" w:hAnsi="Arial Narrow"/>
                <w:sz w:val="20"/>
              </w:rPr>
              <w:fldChar w:fldCharType="begin">
                <w:ffData>
                  <w:name w:val=""/>
                  <w:enabled/>
                  <w:calcOnExit w:val="0"/>
                  <w:checkBox>
                    <w:sizeAuto/>
                    <w:default w:val="1"/>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In Writing</w:t>
            </w:r>
          </w:p>
          <w:p w:rsidR="00BB532C" w:rsidRPr="00377C13" w:rsidRDefault="00BB532C" w:rsidP="007D3143">
            <w:pPr>
              <w:widowControl/>
              <w:rPr>
                <w:rFonts w:ascii="Arial Narrow" w:hAnsi="Arial Narrow"/>
                <w:sz w:val="20"/>
              </w:rPr>
            </w:pPr>
            <w:r w:rsidRPr="00377C13">
              <w:rPr>
                <w:rFonts w:ascii="Arial Narrow" w:hAnsi="Arial Narrow"/>
                <w:sz w:val="20"/>
              </w:rPr>
              <w:fldChar w:fldCharType="begin">
                <w:ffData>
                  <w:name w:val="Check3"/>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Telephone</w:t>
            </w:r>
          </w:p>
          <w:p w:rsidR="00BB532C" w:rsidRPr="00377C13" w:rsidRDefault="00BB532C" w:rsidP="007D3143">
            <w:pPr>
              <w:widowControl/>
              <w:rPr>
                <w:rFonts w:ascii="Arial Narrow" w:hAnsi="Arial Narrow"/>
                <w:sz w:val="20"/>
              </w:rPr>
            </w:pPr>
            <w:r w:rsidRPr="00377C13">
              <w:rPr>
                <w:rFonts w:ascii="Arial Narrow" w:hAnsi="Arial Narrow"/>
                <w:sz w:val="20"/>
              </w:rPr>
              <w:fldChar w:fldCharType="begin">
                <w:ffData>
                  <w:name w:val=""/>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Emergency</w:t>
            </w:r>
          </w:p>
          <w:p w:rsidR="00BB532C" w:rsidRPr="00377C13" w:rsidRDefault="00BB532C" w:rsidP="007D3143">
            <w:pPr>
              <w:widowControl/>
              <w:rPr>
                <w:rFonts w:ascii="Arial Narrow" w:hAnsi="Arial Narrow"/>
                <w:sz w:val="20"/>
              </w:rPr>
            </w:pPr>
            <w:r w:rsidRPr="00377C13">
              <w:rPr>
                <w:rFonts w:ascii="Arial Narrow" w:hAnsi="Arial Narrow"/>
                <w:sz w:val="20"/>
              </w:rPr>
              <w:fldChar w:fldCharType="begin">
                <w:ffData>
                  <w:name w:val="Check5"/>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Electronic</w:t>
            </w:r>
          </w:p>
          <w:p w:rsidR="00BB532C" w:rsidRPr="00377C13" w:rsidRDefault="00BB532C" w:rsidP="007D3143">
            <w:pPr>
              <w:widowControl/>
              <w:rPr>
                <w:rFonts w:ascii="Arial Narrow" w:hAnsi="Arial Narrow"/>
                <w:sz w:val="20"/>
              </w:rPr>
            </w:pPr>
            <w:r w:rsidRPr="00377C13">
              <w:rPr>
                <w:rFonts w:ascii="Arial Narrow" w:hAnsi="Arial Narrow"/>
                <w:sz w:val="20"/>
              </w:rPr>
              <w:fldChar w:fldCharType="begin">
                <w:ffData>
                  <w:name w:val="Check5"/>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Streamlined</w:t>
            </w:r>
          </w:p>
        </w:tc>
      </w:tr>
      <w:tr w:rsidR="00BB532C" w:rsidRPr="00377C13" w:rsidTr="00356F81">
        <w:tc>
          <w:tcPr>
            <w:tcW w:w="1272"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b/>
                <w:sz w:val="20"/>
              </w:rPr>
            </w:pPr>
            <w:r w:rsidRPr="00377C13">
              <w:rPr>
                <w:rFonts w:ascii="Arial Narrow" w:hAnsi="Arial Narrow"/>
                <w:b/>
                <w:sz w:val="20"/>
              </w:rPr>
              <w:t>Clinical criteria:</w:t>
            </w:r>
          </w:p>
          <w:p w:rsidR="00BB532C" w:rsidRPr="00377C13" w:rsidRDefault="00BB532C" w:rsidP="007D3143">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BB532C" w:rsidRPr="00377C13" w:rsidRDefault="00A21421" w:rsidP="007D3143">
            <w:pPr>
              <w:widowControl/>
              <w:rPr>
                <w:rFonts w:ascii="Arial Narrow" w:hAnsi="Arial Narrow"/>
                <w:sz w:val="20"/>
              </w:rPr>
            </w:pPr>
            <w:r w:rsidRPr="00377C13">
              <w:rPr>
                <w:rFonts w:ascii="Arial Narrow" w:hAnsi="Arial Narrow"/>
                <w:sz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p w:rsidR="00A21421" w:rsidRPr="00377C13" w:rsidRDefault="00A21421" w:rsidP="007D3143">
            <w:pPr>
              <w:widowControl/>
              <w:rPr>
                <w:rFonts w:ascii="Arial Narrow" w:hAnsi="Arial Narrow"/>
                <w:sz w:val="20"/>
              </w:rPr>
            </w:pPr>
            <w:r w:rsidRPr="00377C13">
              <w:rPr>
                <w:rFonts w:ascii="Arial Narrow" w:hAnsi="Arial Narrow"/>
                <w:sz w:val="20"/>
              </w:rPr>
              <w:t>AND</w:t>
            </w:r>
          </w:p>
          <w:p w:rsidR="00A21421" w:rsidRPr="00377C13" w:rsidRDefault="00A21421" w:rsidP="007D3143">
            <w:pPr>
              <w:widowControl/>
              <w:rPr>
                <w:rFonts w:ascii="Arial Narrow" w:hAnsi="Arial Narrow"/>
                <w:sz w:val="20"/>
              </w:rPr>
            </w:pPr>
            <w:r w:rsidRPr="00377C13">
              <w:rPr>
                <w:rFonts w:ascii="Arial Narrow" w:hAnsi="Arial Narrow"/>
                <w:sz w:val="20"/>
              </w:rPr>
              <w:t>Patient must have G551D mutation in the cystic fibrosis transmembrane conductance regulator (CFTR) gene on at least 1 allele; or</w:t>
            </w:r>
          </w:p>
          <w:p w:rsidR="00A21421" w:rsidRPr="00377C13" w:rsidRDefault="00A21421" w:rsidP="007D3143">
            <w:pPr>
              <w:widowControl/>
              <w:rPr>
                <w:rFonts w:ascii="Arial Narrow" w:hAnsi="Arial Narrow"/>
                <w:sz w:val="20"/>
              </w:rPr>
            </w:pPr>
            <w:r w:rsidRPr="00377C13">
              <w:rPr>
                <w:rFonts w:ascii="Arial Narrow" w:hAnsi="Arial Narrow"/>
                <w:sz w:val="20"/>
              </w:rPr>
              <w:t>Patient must have other gating (class III) mutation in the CFTR gene on at least 1 allele;</w:t>
            </w:r>
          </w:p>
          <w:p w:rsidR="00A21421" w:rsidRPr="00377C13" w:rsidRDefault="00A21421" w:rsidP="007D3143">
            <w:pPr>
              <w:widowControl/>
              <w:rPr>
                <w:rFonts w:ascii="Arial Narrow" w:hAnsi="Arial Narrow"/>
                <w:sz w:val="20"/>
              </w:rPr>
            </w:pPr>
            <w:r w:rsidRPr="00377C13">
              <w:rPr>
                <w:rFonts w:ascii="Arial Narrow" w:hAnsi="Arial Narrow"/>
                <w:sz w:val="20"/>
              </w:rPr>
              <w:t>AND</w:t>
            </w:r>
          </w:p>
          <w:p w:rsidR="00A21421" w:rsidRPr="00377C13" w:rsidRDefault="00A21421" w:rsidP="007D3143">
            <w:pPr>
              <w:widowControl/>
              <w:rPr>
                <w:rFonts w:ascii="Arial Narrow" w:hAnsi="Arial Narrow"/>
                <w:sz w:val="20"/>
              </w:rPr>
            </w:pPr>
            <w:r w:rsidRPr="00377C13">
              <w:rPr>
                <w:rFonts w:ascii="Arial Narrow" w:hAnsi="Arial Narrow"/>
                <w:sz w:val="20"/>
              </w:rPr>
              <w:t xml:space="preserve">Patient must have a sweat chloride value of at least 60 </w:t>
            </w:r>
            <w:proofErr w:type="spellStart"/>
            <w:r w:rsidRPr="00377C13">
              <w:rPr>
                <w:rFonts w:ascii="Arial Narrow" w:hAnsi="Arial Narrow"/>
                <w:sz w:val="20"/>
              </w:rPr>
              <w:t>mmol</w:t>
            </w:r>
            <w:proofErr w:type="spellEnd"/>
            <w:r w:rsidRPr="00377C13">
              <w:rPr>
                <w:rFonts w:ascii="Arial Narrow" w:hAnsi="Arial Narrow"/>
                <w:sz w:val="20"/>
              </w:rPr>
              <w:t>/L by quantitative pilocarpine iontophoresis;</w:t>
            </w:r>
          </w:p>
          <w:p w:rsidR="00A21421" w:rsidRPr="00377C13" w:rsidRDefault="00A21421" w:rsidP="007D3143">
            <w:pPr>
              <w:widowControl/>
              <w:rPr>
                <w:rFonts w:ascii="Arial Narrow" w:hAnsi="Arial Narrow"/>
                <w:sz w:val="20"/>
              </w:rPr>
            </w:pPr>
            <w:r w:rsidRPr="00377C13">
              <w:rPr>
                <w:rFonts w:ascii="Arial Narrow" w:hAnsi="Arial Narrow"/>
                <w:sz w:val="20"/>
              </w:rPr>
              <w:t>AND</w:t>
            </w:r>
          </w:p>
          <w:p w:rsidR="00A21421" w:rsidRPr="00377C13" w:rsidRDefault="00A21421" w:rsidP="007D3143">
            <w:pPr>
              <w:widowControl/>
              <w:rPr>
                <w:rFonts w:ascii="Arial Narrow" w:hAnsi="Arial Narrow"/>
                <w:sz w:val="20"/>
              </w:rPr>
            </w:pPr>
            <w:r w:rsidRPr="00377C13">
              <w:rPr>
                <w:rFonts w:ascii="Arial Narrow" w:hAnsi="Arial Narrow"/>
                <w:sz w:val="20"/>
              </w:rPr>
              <w:t>Patient must not receive more than 24 weeks of treatment under this restriction;</w:t>
            </w:r>
          </w:p>
          <w:p w:rsidR="00A21421" w:rsidRPr="00377C13" w:rsidRDefault="00A21421" w:rsidP="007D3143">
            <w:pPr>
              <w:widowControl/>
              <w:rPr>
                <w:rFonts w:ascii="Arial Narrow" w:hAnsi="Arial Narrow"/>
                <w:sz w:val="20"/>
              </w:rPr>
            </w:pPr>
            <w:r w:rsidRPr="00377C13">
              <w:rPr>
                <w:rFonts w:ascii="Arial Narrow" w:hAnsi="Arial Narrow"/>
                <w:sz w:val="20"/>
              </w:rPr>
              <w:t xml:space="preserve">AND </w:t>
            </w:r>
          </w:p>
          <w:p w:rsidR="00A21421" w:rsidRPr="00377C13" w:rsidRDefault="00A21421" w:rsidP="007D3143">
            <w:pPr>
              <w:widowControl/>
              <w:rPr>
                <w:rFonts w:ascii="Arial Narrow" w:hAnsi="Arial Narrow"/>
                <w:sz w:val="20"/>
              </w:rPr>
            </w:pPr>
            <w:r w:rsidRPr="00377C13">
              <w:rPr>
                <w:rFonts w:ascii="Arial Narrow" w:hAnsi="Arial Narrow"/>
                <w:sz w:val="20"/>
              </w:rPr>
              <w:t>The treatment must be given concomitantly with standard therapy for this condition.</w:t>
            </w:r>
          </w:p>
        </w:tc>
      </w:tr>
      <w:tr w:rsidR="00BB532C" w:rsidRPr="00377C13" w:rsidTr="00356F81">
        <w:tc>
          <w:tcPr>
            <w:tcW w:w="1272"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i/>
                <w:sz w:val="20"/>
              </w:rPr>
            </w:pPr>
            <w:r w:rsidRPr="00377C13">
              <w:rPr>
                <w:rFonts w:ascii="Arial Narrow" w:hAnsi="Arial Narrow"/>
                <w:b/>
                <w:sz w:val="20"/>
              </w:rPr>
              <w:t>Population criteria:</w:t>
            </w:r>
          </w:p>
        </w:tc>
        <w:tc>
          <w:tcPr>
            <w:tcW w:w="3728" w:type="pct"/>
            <w:tcBorders>
              <w:top w:val="single" w:sz="4" w:space="0" w:color="auto"/>
              <w:left w:val="single" w:sz="4" w:space="0" w:color="auto"/>
              <w:bottom w:val="single" w:sz="4" w:space="0" w:color="auto"/>
              <w:right w:val="single" w:sz="4" w:space="0" w:color="auto"/>
            </w:tcBorders>
          </w:tcPr>
          <w:p w:rsidR="00BB532C" w:rsidRPr="00377C13" w:rsidRDefault="00BB532C" w:rsidP="001D42F7">
            <w:pPr>
              <w:widowControl/>
              <w:rPr>
                <w:rFonts w:ascii="Arial Narrow" w:hAnsi="Arial Narrow"/>
                <w:sz w:val="20"/>
              </w:rPr>
            </w:pPr>
            <w:r w:rsidRPr="00377C13">
              <w:rPr>
                <w:rFonts w:ascii="Arial Narrow" w:hAnsi="Arial Narrow"/>
                <w:sz w:val="20"/>
              </w:rPr>
              <w:t xml:space="preserve">Patient must be </w:t>
            </w:r>
            <w:r w:rsidR="001D42F7" w:rsidRPr="00377C13">
              <w:rPr>
                <w:rFonts w:ascii="Arial Narrow" w:hAnsi="Arial Narrow"/>
                <w:sz w:val="20"/>
              </w:rPr>
              <w:t xml:space="preserve">aged </w:t>
            </w:r>
            <w:r w:rsidR="001D42F7" w:rsidRPr="00377C13">
              <w:rPr>
                <w:rFonts w:ascii="Arial Narrow" w:hAnsi="Arial Narrow"/>
                <w:i/>
                <w:sz w:val="20"/>
              </w:rPr>
              <w:t>12 months</w:t>
            </w:r>
            <w:r w:rsidR="001D42F7" w:rsidRPr="00377C13">
              <w:rPr>
                <w:rFonts w:ascii="Arial Narrow" w:hAnsi="Arial Narrow"/>
                <w:sz w:val="20"/>
              </w:rPr>
              <w:t xml:space="preserve"> </w:t>
            </w:r>
            <w:r w:rsidR="001D42F7" w:rsidRPr="00377C13">
              <w:rPr>
                <w:rFonts w:ascii="Arial Narrow" w:hAnsi="Arial Narrow"/>
                <w:strike/>
                <w:sz w:val="20"/>
              </w:rPr>
              <w:t>2 years</w:t>
            </w:r>
            <w:r w:rsidR="001D42F7" w:rsidRPr="00377C13">
              <w:rPr>
                <w:rFonts w:ascii="Arial Narrow" w:hAnsi="Arial Narrow"/>
                <w:sz w:val="20"/>
              </w:rPr>
              <w:t xml:space="preserve"> or older.</w:t>
            </w:r>
          </w:p>
        </w:tc>
      </w:tr>
      <w:tr w:rsidR="00BB532C" w:rsidRPr="00377C13" w:rsidTr="00356F81">
        <w:tc>
          <w:tcPr>
            <w:tcW w:w="1272"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b/>
                <w:sz w:val="20"/>
              </w:rPr>
            </w:pPr>
            <w:r w:rsidRPr="00377C13">
              <w:rPr>
                <w:rFonts w:ascii="Arial Narrow" w:hAnsi="Arial Narrow"/>
                <w:b/>
                <w:sz w:val="20"/>
              </w:rPr>
              <w:t>Prescriber Instructions:</w:t>
            </w:r>
          </w:p>
        </w:tc>
        <w:tc>
          <w:tcPr>
            <w:tcW w:w="3728" w:type="pct"/>
            <w:tcBorders>
              <w:top w:val="single" w:sz="4" w:space="0" w:color="auto"/>
              <w:left w:val="single" w:sz="4" w:space="0" w:color="auto"/>
              <w:bottom w:val="single" w:sz="4" w:space="0" w:color="auto"/>
              <w:right w:val="single" w:sz="4" w:space="0" w:color="auto"/>
            </w:tcBorders>
          </w:tcPr>
          <w:p w:rsidR="00A21421" w:rsidRPr="00377C13" w:rsidRDefault="00A21421" w:rsidP="007D3143">
            <w:pPr>
              <w:widowControl/>
              <w:rPr>
                <w:rFonts w:ascii="Arial Narrow" w:hAnsi="Arial Narrow"/>
                <w:sz w:val="20"/>
              </w:rPr>
            </w:pPr>
            <w:r w:rsidRPr="00377C13">
              <w:rPr>
                <w:rFonts w:ascii="Arial Narrow" w:hAnsi="Arial Narrow"/>
                <w:sz w:val="20"/>
              </w:rPr>
              <w:t>Patients receiving PBS-subsidised ivacaftor must be registered in the Australian Cystic Fibrosis Database Registry.</w:t>
            </w:r>
          </w:p>
          <w:p w:rsidR="00A21421" w:rsidRPr="00377C13" w:rsidRDefault="00A21421" w:rsidP="007D3143">
            <w:pPr>
              <w:widowControl/>
              <w:rPr>
                <w:rFonts w:ascii="Arial Narrow" w:hAnsi="Arial Narrow"/>
                <w:sz w:val="20"/>
              </w:rPr>
            </w:pPr>
          </w:p>
          <w:p w:rsidR="00BB532C" w:rsidRPr="00377C13" w:rsidRDefault="00A21421" w:rsidP="007D3143">
            <w:pPr>
              <w:widowControl/>
              <w:rPr>
                <w:rFonts w:ascii="Arial Narrow" w:hAnsi="Arial Narrow"/>
                <w:sz w:val="20"/>
              </w:rPr>
            </w:pPr>
            <w:r w:rsidRPr="00377C13">
              <w:rPr>
                <w:rFonts w:ascii="Arial Narrow" w:hAnsi="Arial Narrow"/>
                <w:sz w:val="20"/>
              </w:rPr>
              <w:t>Treatment must not be given to a patient who has an acute upper or lower respiratory infection, pulmonary exacerbation, or changes in therapy (including antibiotics) for pulmonary disease in the last 4 weeks prior to commencing this drug.</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 xml:space="preserve">Dosage of ivacaftor must not exceed the dose of one tablet (150 mg) or one sachet twice a week, if the patient is concomitantly receiving one of the following strong CYP3A4 drugs inhibitors: </w:t>
            </w:r>
            <w:proofErr w:type="spellStart"/>
            <w:r w:rsidRPr="00377C13">
              <w:rPr>
                <w:rFonts w:ascii="Arial Narrow" w:hAnsi="Arial Narrow"/>
                <w:sz w:val="20"/>
              </w:rPr>
              <w:t>boceprevir</w:t>
            </w:r>
            <w:proofErr w:type="spellEnd"/>
            <w:r w:rsidRPr="00377C13">
              <w:rPr>
                <w:rFonts w:ascii="Arial Narrow" w:hAnsi="Arial Narrow"/>
                <w:sz w:val="20"/>
              </w:rPr>
              <w:t xml:space="preserve">, clarithromycin, </w:t>
            </w:r>
            <w:proofErr w:type="spellStart"/>
            <w:r w:rsidRPr="00377C13">
              <w:rPr>
                <w:rFonts w:ascii="Arial Narrow" w:hAnsi="Arial Narrow"/>
                <w:sz w:val="20"/>
              </w:rPr>
              <w:t>conivaptan</w:t>
            </w:r>
            <w:proofErr w:type="spellEnd"/>
            <w:r w:rsidRPr="00377C13">
              <w:rPr>
                <w:rFonts w:ascii="Arial Narrow" w:hAnsi="Arial Narrow"/>
                <w:sz w:val="20"/>
              </w:rPr>
              <w:t xml:space="preserve">, </w:t>
            </w:r>
            <w:proofErr w:type="spellStart"/>
            <w:r w:rsidRPr="00377C13">
              <w:rPr>
                <w:rFonts w:ascii="Arial Narrow" w:hAnsi="Arial Narrow"/>
                <w:sz w:val="20"/>
              </w:rPr>
              <w:t>indinavir</w:t>
            </w:r>
            <w:proofErr w:type="spellEnd"/>
            <w:r w:rsidRPr="00377C13">
              <w:rPr>
                <w:rFonts w:ascii="Arial Narrow" w:hAnsi="Arial Narrow"/>
                <w:sz w:val="20"/>
              </w:rPr>
              <w:t xml:space="preserve">, </w:t>
            </w:r>
            <w:proofErr w:type="spellStart"/>
            <w:r w:rsidRPr="00377C13">
              <w:rPr>
                <w:rFonts w:ascii="Arial Narrow" w:hAnsi="Arial Narrow"/>
                <w:sz w:val="20"/>
              </w:rPr>
              <w:t>itraconazole</w:t>
            </w:r>
            <w:proofErr w:type="spellEnd"/>
            <w:r w:rsidRPr="00377C13">
              <w:rPr>
                <w:rFonts w:ascii="Arial Narrow" w:hAnsi="Arial Narrow"/>
                <w:sz w:val="20"/>
              </w:rPr>
              <w:t xml:space="preserve">, ketoconazole, </w:t>
            </w:r>
            <w:proofErr w:type="spellStart"/>
            <w:r w:rsidRPr="00377C13">
              <w:rPr>
                <w:rFonts w:ascii="Arial Narrow" w:hAnsi="Arial Narrow"/>
                <w:sz w:val="20"/>
              </w:rPr>
              <w:t>lopinavir</w:t>
            </w:r>
            <w:proofErr w:type="spellEnd"/>
            <w:r w:rsidRPr="00377C13">
              <w:rPr>
                <w:rFonts w:ascii="Arial Narrow" w:hAnsi="Arial Narrow"/>
                <w:sz w:val="20"/>
              </w:rPr>
              <w:t xml:space="preserve">/ritonavir, </w:t>
            </w:r>
            <w:proofErr w:type="spellStart"/>
            <w:r w:rsidRPr="00377C13">
              <w:rPr>
                <w:rFonts w:ascii="Arial Narrow" w:hAnsi="Arial Narrow"/>
                <w:sz w:val="20"/>
              </w:rPr>
              <w:t>mibefradil</w:t>
            </w:r>
            <w:proofErr w:type="spellEnd"/>
            <w:r w:rsidRPr="00377C13">
              <w:rPr>
                <w:rFonts w:ascii="Arial Narrow" w:hAnsi="Arial Narrow"/>
                <w:sz w:val="20"/>
              </w:rPr>
              <w:t xml:space="preserve">, </w:t>
            </w:r>
            <w:proofErr w:type="spellStart"/>
            <w:r w:rsidRPr="00377C13">
              <w:rPr>
                <w:rFonts w:ascii="Arial Narrow" w:hAnsi="Arial Narrow"/>
                <w:sz w:val="20"/>
              </w:rPr>
              <w:t>nefazodone</w:t>
            </w:r>
            <w:proofErr w:type="spellEnd"/>
            <w:r w:rsidRPr="00377C13">
              <w:rPr>
                <w:rFonts w:ascii="Arial Narrow" w:hAnsi="Arial Narrow"/>
                <w:sz w:val="20"/>
              </w:rPr>
              <w:t xml:space="preserve">, nelfinavir, </w:t>
            </w:r>
            <w:proofErr w:type="spellStart"/>
            <w:r w:rsidRPr="00377C13">
              <w:rPr>
                <w:rFonts w:ascii="Arial Narrow" w:hAnsi="Arial Narrow"/>
                <w:sz w:val="20"/>
              </w:rPr>
              <w:t>posaconazole</w:t>
            </w:r>
            <w:proofErr w:type="spellEnd"/>
            <w:r w:rsidRPr="00377C13">
              <w:rPr>
                <w:rFonts w:ascii="Arial Narrow" w:hAnsi="Arial Narrow"/>
                <w:sz w:val="20"/>
              </w:rPr>
              <w:t xml:space="preserve">, ritonavir, </w:t>
            </w:r>
            <w:proofErr w:type="spellStart"/>
            <w:r w:rsidRPr="00377C13">
              <w:rPr>
                <w:rFonts w:ascii="Arial Narrow" w:hAnsi="Arial Narrow"/>
                <w:sz w:val="20"/>
              </w:rPr>
              <w:t>saquinavir</w:t>
            </w:r>
            <w:proofErr w:type="spellEnd"/>
            <w:r w:rsidRPr="00377C13">
              <w:rPr>
                <w:rFonts w:ascii="Arial Narrow" w:hAnsi="Arial Narrow"/>
                <w:sz w:val="20"/>
              </w:rPr>
              <w:t xml:space="preserve">, </w:t>
            </w:r>
            <w:proofErr w:type="spellStart"/>
            <w:r w:rsidRPr="00377C13">
              <w:rPr>
                <w:rFonts w:ascii="Arial Narrow" w:hAnsi="Arial Narrow"/>
                <w:sz w:val="20"/>
              </w:rPr>
              <w:t>telaprevir</w:t>
            </w:r>
            <w:proofErr w:type="spellEnd"/>
            <w:r w:rsidRPr="00377C13">
              <w:rPr>
                <w:rFonts w:ascii="Arial Narrow" w:hAnsi="Arial Narrow"/>
                <w:sz w:val="20"/>
              </w:rPr>
              <w:t xml:space="preserve">, </w:t>
            </w:r>
            <w:proofErr w:type="spellStart"/>
            <w:r w:rsidRPr="00377C13">
              <w:rPr>
                <w:rFonts w:ascii="Arial Narrow" w:hAnsi="Arial Narrow"/>
                <w:sz w:val="20"/>
              </w:rPr>
              <w:t>telithromycin</w:t>
            </w:r>
            <w:proofErr w:type="spellEnd"/>
            <w:r w:rsidRPr="00377C13">
              <w:rPr>
                <w:rFonts w:ascii="Arial Narrow" w:hAnsi="Arial Narrow"/>
                <w:sz w:val="20"/>
              </w:rPr>
              <w:t xml:space="preserve">, </w:t>
            </w:r>
            <w:proofErr w:type="spellStart"/>
            <w:r w:rsidRPr="00377C13">
              <w:rPr>
                <w:rFonts w:ascii="Arial Narrow" w:hAnsi="Arial Narrow"/>
                <w:sz w:val="20"/>
              </w:rPr>
              <w:t>voriconazole</w:t>
            </w:r>
            <w:proofErr w:type="spellEnd"/>
            <w:r w:rsidRPr="00377C13">
              <w:rPr>
                <w:rFonts w:ascii="Arial Narrow" w:hAnsi="Arial Narrow"/>
                <w:sz w:val="20"/>
              </w:rPr>
              <w:t>. Where a patient is concomitantly receiving a strong CYP3A4 inhibitor, a single supply of 56 tablets or sachets of ivacaftor will last for 28 weeks.</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 xml:space="preserve">Dosage of ivacaftor must not exceed the dose of one tablet (150 mg) or one sachet once daily, if the patient is concomitantly receiving one of the following moderate CYP3A4 inhibitors: </w:t>
            </w:r>
            <w:proofErr w:type="spellStart"/>
            <w:r w:rsidRPr="00377C13">
              <w:rPr>
                <w:rFonts w:ascii="Arial Narrow" w:hAnsi="Arial Narrow"/>
                <w:sz w:val="20"/>
              </w:rPr>
              <w:t>amprenavir</w:t>
            </w:r>
            <w:proofErr w:type="spellEnd"/>
            <w:r w:rsidRPr="00377C13">
              <w:rPr>
                <w:rFonts w:ascii="Arial Narrow" w:hAnsi="Arial Narrow"/>
                <w:sz w:val="20"/>
              </w:rPr>
              <w:t xml:space="preserve">, </w:t>
            </w:r>
            <w:proofErr w:type="spellStart"/>
            <w:r w:rsidRPr="00377C13">
              <w:rPr>
                <w:rFonts w:ascii="Arial Narrow" w:hAnsi="Arial Narrow"/>
                <w:sz w:val="20"/>
              </w:rPr>
              <w:t>aprepitant</w:t>
            </w:r>
            <w:proofErr w:type="spellEnd"/>
            <w:r w:rsidRPr="00377C13">
              <w:rPr>
                <w:rFonts w:ascii="Arial Narrow" w:hAnsi="Arial Narrow"/>
                <w:sz w:val="20"/>
              </w:rPr>
              <w:t xml:space="preserve">, </w:t>
            </w:r>
            <w:proofErr w:type="spellStart"/>
            <w:r w:rsidRPr="00377C13">
              <w:rPr>
                <w:rFonts w:ascii="Arial Narrow" w:hAnsi="Arial Narrow"/>
                <w:sz w:val="20"/>
              </w:rPr>
              <w:t>atazanavir</w:t>
            </w:r>
            <w:proofErr w:type="spellEnd"/>
            <w:r w:rsidRPr="00377C13">
              <w:rPr>
                <w:rFonts w:ascii="Arial Narrow" w:hAnsi="Arial Narrow"/>
                <w:sz w:val="20"/>
              </w:rPr>
              <w:t xml:space="preserve">, </w:t>
            </w:r>
            <w:proofErr w:type="spellStart"/>
            <w:r w:rsidRPr="00377C13">
              <w:rPr>
                <w:rFonts w:ascii="Arial Narrow" w:hAnsi="Arial Narrow"/>
                <w:sz w:val="20"/>
              </w:rPr>
              <w:t>darunavir</w:t>
            </w:r>
            <w:proofErr w:type="spellEnd"/>
            <w:r w:rsidRPr="00377C13">
              <w:rPr>
                <w:rFonts w:ascii="Arial Narrow" w:hAnsi="Arial Narrow"/>
                <w:sz w:val="20"/>
              </w:rPr>
              <w:t xml:space="preserve">/ritonavir, diltiazem, erythromycin, fluconazole, </w:t>
            </w:r>
            <w:proofErr w:type="spellStart"/>
            <w:r w:rsidRPr="00377C13">
              <w:rPr>
                <w:rFonts w:ascii="Arial Narrow" w:hAnsi="Arial Narrow"/>
                <w:sz w:val="20"/>
              </w:rPr>
              <w:t>fosamprenavir</w:t>
            </w:r>
            <w:proofErr w:type="spellEnd"/>
            <w:r w:rsidRPr="00377C13">
              <w:rPr>
                <w:rFonts w:ascii="Arial Narrow" w:hAnsi="Arial Narrow"/>
                <w:sz w:val="20"/>
              </w:rPr>
              <w:t xml:space="preserve">, </w:t>
            </w:r>
            <w:proofErr w:type="spellStart"/>
            <w:r w:rsidRPr="00377C13">
              <w:rPr>
                <w:rFonts w:ascii="Arial Narrow" w:hAnsi="Arial Narrow"/>
                <w:sz w:val="20"/>
              </w:rPr>
              <w:t>imatinib</w:t>
            </w:r>
            <w:proofErr w:type="spellEnd"/>
            <w:r w:rsidRPr="00377C13">
              <w:rPr>
                <w:rFonts w:ascii="Arial Narrow" w:hAnsi="Arial Narrow"/>
                <w:sz w:val="20"/>
              </w:rPr>
              <w:t>, verapamil. Where a patient is concomitantly receiving a moderate CYP3A4 inhibitor, a single supply of 56 tablets or sachets of ivacaftor will last for 8 weeks.</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Ivacaftor is not PBS-subsidised for this condition as a sole therapy.</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Ivacaftor is not PBS-subsidised for this condition in a patient who is currently receiving one of the following CYP3A4 inducers:</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 xml:space="preserve">Strong CYP3A4 inducers: </w:t>
            </w:r>
            <w:proofErr w:type="spellStart"/>
            <w:r w:rsidRPr="00377C13">
              <w:rPr>
                <w:rFonts w:ascii="Arial Narrow" w:hAnsi="Arial Narrow"/>
                <w:sz w:val="20"/>
              </w:rPr>
              <w:t>avasimibe</w:t>
            </w:r>
            <w:proofErr w:type="spellEnd"/>
            <w:r w:rsidRPr="00377C13">
              <w:rPr>
                <w:rFonts w:ascii="Arial Narrow" w:hAnsi="Arial Narrow"/>
                <w:sz w:val="20"/>
              </w:rPr>
              <w:t xml:space="preserve">, carbamazepine, phenobarbital, phenytoin, </w:t>
            </w:r>
            <w:proofErr w:type="spellStart"/>
            <w:r w:rsidRPr="00377C13">
              <w:rPr>
                <w:rFonts w:ascii="Arial Narrow" w:hAnsi="Arial Narrow"/>
                <w:sz w:val="20"/>
              </w:rPr>
              <w:t>rifabutin</w:t>
            </w:r>
            <w:proofErr w:type="spellEnd"/>
            <w:r w:rsidRPr="00377C13">
              <w:rPr>
                <w:rFonts w:ascii="Arial Narrow" w:hAnsi="Arial Narrow"/>
                <w:sz w:val="20"/>
              </w:rPr>
              <w:t xml:space="preserve">, rifampicin, St. John's </w:t>
            </w:r>
            <w:proofErr w:type="spellStart"/>
            <w:r w:rsidRPr="00377C13">
              <w:rPr>
                <w:rFonts w:ascii="Arial Narrow" w:hAnsi="Arial Narrow"/>
                <w:sz w:val="20"/>
              </w:rPr>
              <w:t>wort</w:t>
            </w:r>
            <w:proofErr w:type="spellEnd"/>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 xml:space="preserve">Moderate CYP3A4 inducers: </w:t>
            </w:r>
            <w:proofErr w:type="spellStart"/>
            <w:r w:rsidRPr="00377C13">
              <w:rPr>
                <w:rFonts w:ascii="Arial Narrow" w:hAnsi="Arial Narrow"/>
                <w:sz w:val="20"/>
              </w:rPr>
              <w:t>bosentan</w:t>
            </w:r>
            <w:proofErr w:type="spellEnd"/>
            <w:r w:rsidRPr="00377C13">
              <w:rPr>
                <w:rFonts w:ascii="Arial Narrow" w:hAnsi="Arial Narrow"/>
                <w:sz w:val="20"/>
              </w:rPr>
              <w:t xml:space="preserve">, </w:t>
            </w:r>
            <w:proofErr w:type="spellStart"/>
            <w:r w:rsidRPr="00377C13">
              <w:rPr>
                <w:rFonts w:ascii="Arial Narrow" w:hAnsi="Arial Narrow"/>
                <w:sz w:val="20"/>
              </w:rPr>
              <w:t>efavirenz</w:t>
            </w:r>
            <w:proofErr w:type="spellEnd"/>
            <w:r w:rsidRPr="00377C13">
              <w:rPr>
                <w:rFonts w:ascii="Arial Narrow" w:hAnsi="Arial Narrow"/>
                <w:sz w:val="20"/>
              </w:rPr>
              <w:t xml:space="preserve">, </w:t>
            </w:r>
            <w:proofErr w:type="spellStart"/>
            <w:r w:rsidRPr="00377C13">
              <w:rPr>
                <w:rFonts w:ascii="Arial Narrow" w:hAnsi="Arial Narrow"/>
                <w:sz w:val="20"/>
              </w:rPr>
              <w:t>etravirine</w:t>
            </w:r>
            <w:proofErr w:type="spellEnd"/>
            <w:r w:rsidRPr="00377C13">
              <w:rPr>
                <w:rFonts w:ascii="Arial Narrow" w:hAnsi="Arial Narrow"/>
                <w:sz w:val="20"/>
              </w:rPr>
              <w:t xml:space="preserve">, </w:t>
            </w:r>
            <w:proofErr w:type="spellStart"/>
            <w:r w:rsidRPr="00377C13">
              <w:rPr>
                <w:rFonts w:ascii="Arial Narrow" w:hAnsi="Arial Narrow"/>
                <w:sz w:val="20"/>
              </w:rPr>
              <w:t>modafinil</w:t>
            </w:r>
            <w:proofErr w:type="spellEnd"/>
            <w:r w:rsidRPr="00377C13">
              <w:rPr>
                <w:rFonts w:ascii="Arial Narrow" w:hAnsi="Arial Narrow"/>
                <w:sz w:val="20"/>
              </w:rPr>
              <w:t xml:space="preserve">, </w:t>
            </w:r>
            <w:proofErr w:type="spellStart"/>
            <w:r w:rsidRPr="00377C13">
              <w:rPr>
                <w:rFonts w:ascii="Arial Narrow" w:hAnsi="Arial Narrow"/>
                <w:sz w:val="20"/>
              </w:rPr>
              <w:t>nafcillin</w:t>
            </w:r>
            <w:proofErr w:type="spellEnd"/>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 xml:space="preserve">Weak CYP3A4 inducers: </w:t>
            </w:r>
            <w:proofErr w:type="spellStart"/>
            <w:r w:rsidRPr="00377C13">
              <w:rPr>
                <w:rFonts w:ascii="Arial Narrow" w:hAnsi="Arial Narrow"/>
                <w:sz w:val="20"/>
              </w:rPr>
              <w:t>armodafinil</w:t>
            </w:r>
            <w:proofErr w:type="spellEnd"/>
            <w:r w:rsidRPr="00377C13">
              <w:rPr>
                <w:rFonts w:ascii="Arial Narrow" w:hAnsi="Arial Narrow"/>
                <w:sz w:val="20"/>
              </w:rPr>
              <w:t xml:space="preserve">, </w:t>
            </w:r>
            <w:proofErr w:type="spellStart"/>
            <w:r w:rsidRPr="00377C13">
              <w:rPr>
                <w:rFonts w:ascii="Arial Narrow" w:hAnsi="Arial Narrow"/>
                <w:sz w:val="20"/>
              </w:rPr>
              <w:t>echinacea</w:t>
            </w:r>
            <w:proofErr w:type="spellEnd"/>
            <w:r w:rsidRPr="00377C13">
              <w:rPr>
                <w:rFonts w:ascii="Arial Narrow" w:hAnsi="Arial Narrow"/>
                <w:sz w:val="20"/>
              </w:rPr>
              <w:t xml:space="preserve">, pioglitazone, </w:t>
            </w:r>
            <w:proofErr w:type="spellStart"/>
            <w:r w:rsidRPr="00377C13">
              <w:rPr>
                <w:rFonts w:ascii="Arial Narrow" w:hAnsi="Arial Narrow"/>
                <w:sz w:val="20"/>
              </w:rPr>
              <w:t>rufinamide</w:t>
            </w:r>
            <w:proofErr w:type="spellEnd"/>
            <w:r w:rsidRPr="00377C13">
              <w:rPr>
                <w:rFonts w:ascii="Arial Narrow" w:hAnsi="Arial Narrow"/>
                <w:sz w:val="20"/>
              </w:rPr>
              <w:t>.</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The authority application must be in writing and must include:</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(1) a completed authority prescription form; and</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(2) a completed Cystic Fibrosis Ivacaftor Authority Application Supporting Information Form; and</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(3) a signed patient acknowledgement; or an acknowledgement signed by a parent or authorised guardian, if applicable; and</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(4) a copy of the pathology report detailing the molecular testing for G551D mutation or other gating (class III) mutation on the CFTR gene; and</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 xml:space="preserve">(5) </w:t>
            </w:r>
            <w:proofErr w:type="gramStart"/>
            <w:r w:rsidRPr="00377C13">
              <w:rPr>
                <w:rFonts w:ascii="Arial Narrow" w:hAnsi="Arial Narrow"/>
                <w:sz w:val="20"/>
              </w:rPr>
              <w:t>the</w:t>
            </w:r>
            <w:proofErr w:type="gramEnd"/>
            <w:r w:rsidRPr="00377C13">
              <w:rPr>
                <w:rFonts w:ascii="Arial Narrow" w:hAnsi="Arial Narrow"/>
                <w:sz w:val="20"/>
              </w:rPr>
              <w:t xml:space="preserve"> result of a FEV1 measurement performed within a month prior to the date of application, if aged from 6 years or older. Note: FEV1, must be measured in an accredited pulmonary function laboratory, with documented no acute infective exacerbation at the time FEV1 is measured; and</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(6) a copy of a current medication history, including any CYP3A4 inhibitors and/or CYP3A4 inducers; and</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(7) a copy of a sweat chloride result; and</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(8) height and weight measurements at the time of application; and</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 xml:space="preserve">(9) </w:t>
            </w:r>
            <w:proofErr w:type="gramStart"/>
            <w:r w:rsidRPr="00377C13">
              <w:rPr>
                <w:rFonts w:ascii="Arial Narrow" w:hAnsi="Arial Narrow"/>
                <w:sz w:val="20"/>
              </w:rPr>
              <w:t>a</w:t>
            </w:r>
            <w:proofErr w:type="gramEnd"/>
            <w:r w:rsidRPr="00377C13">
              <w:rPr>
                <w:rFonts w:ascii="Arial Narrow" w:hAnsi="Arial Narrow"/>
                <w:sz w:val="20"/>
              </w:rPr>
              <w:t xml:space="preserve"> baseline measurement of the number of days of CF-related hospitalisation (including hospital-in-the home) in the previous 12 months.</w:t>
            </w:r>
          </w:p>
        </w:tc>
      </w:tr>
      <w:tr w:rsidR="00BB532C" w:rsidRPr="00377C13" w:rsidTr="00356F81">
        <w:tc>
          <w:tcPr>
            <w:tcW w:w="1272" w:type="pct"/>
            <w:tcBorders>
              <w:top w:val="single" w:sz="4" w:space="0" w:color="auto"/>
              <w:left w:val="single" w:sz="4" w:space="0" w:color="auto"/>
              <w:bottom w:val="single" w:sz="4" w:space="0" w:color="auto"/>
              <w:right w:val="single" w:sz="4" w:space="0" w:color="auto"/>
            </w:tcBorders>
          </w:tcPr>
          <w:p w:rsidR="00BB532C" w:rsidRPr="00377C13" w:rsidRDefault="00BB532C" w:rsidP="007D3143">
            <w:pPr>
              <w:widowControl/>
              <w:rPr>
                <w:rFonts w:ascii="Arial Narrow" w:hAnsi="Arial Narrow"/>
                <w:b/>
                <w:sz w:val="20"/>
              </w:rPr>
            </w:pPr>
            <w:r w:rsidRPr="00377C13">
              <w:rPr>
                <w:rFonts w:ascii="Arial Narrow" w:hAnsi="Arial Narrow"/>
                <w:b/>
                <w:sz w:val="20"/>
              </w:rPr>
              <w:lastRenderedPageBreak/>
              <w:t>Administrative Advice:</w:t>
            </w:r>
          </w:p>
        </w:tc>
        <w:tc>
          <w:tcPr>
            <w:tcW w:w="3728" w:type="pct"/>
            <w:tcBorders>
              <w:top w:val="single" w:sz="4" w:space="0" w:color="auto"/>
              <w:left w:val="single" w:sz="4" w:space="0" w:color="auto"/>
              <w:bottom w:val="single" w:sz="4" w:space="0" w:color="auto"/>
              <w:right w:val="single" w:sz="4" w:space="0" w:color="auto"/>
            </w:tcBorders>
          </w:tcPr>
          <w:p w:rsidR="00A21421" w:rsidRPr="00377C13" w:rsidRDefault="00A21421" w:rsidP="007D3143">
            <w:pPr>
              <w:widowControl/>
              <w:rPr>
                <w:rFonts w:ascii="Arial Narrow" w:hAnsi="Arial Narrow"/>
                <w:sz w:val="20"/>
              </w:rPr>
            </w:pPr>
            <w:r w:rsidRPr="00377C13">
              <w:rPr>
                <w:rFonts w:ascii="Arial Narrow" w:hAnsi="Arial Narrow"/>
                <w:sz w:val="20"/>
              </w:rPr>
              <w:t>Any queries concerning the arrangements to prescribe may be directed to the Department of Human Services on 1800 700 270 (hours of operation 8 a.m. to 5 p.m. EST Monday to Friday).</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Applications for authority to prescribe should be forwarded to:</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Department of Human Services</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Complex Drugs</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Reply Paid 9826</w:t>
            </w:r>
          </w:p>
          <w:p w:rsidR="00A21421" w:rsidRPr="00377C13" w:rsidRDefault="00A21421" w:rsidP="007D3143">
            <w:pPr>
              <w:widowControl/>
              <w:rPr>
                <w:rFonts w:ascii="Arial Narrow" w:hAnsi="Arial Narrow"/>
                <w:sz w:val="20"/>
              </w:rPr>
            </w:pPr>
          </w:p>
          <w:p w:rsidR="00BB532C" w:rsidRPr="00377C13" w:rsidRDefault="00A21421" w:rsidP="007D3143">
            <w:pPr>
              <w:widowControl/>
              <w:rPr>
                <w:rFonts w:ascii="Arial Narrow" w:hAnsi="Arial Narrow"/>
                <w:sz w:val="20"/>
              </w:rPr>
            </w:pPr>
            <w:r w:rsidRPr="00377C13">
              <w:rPr>
                <w:rFonts w:ascii="Arial Narrow" w:hAnsi="Arial Narrow"/>
                <w:sz w:val="20"/>
              </w:rPr>
              <w:t>HOBART TAS 7001</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Special Pricing Arrangements apply.</w:t>
            </w:r>
          </w:p>
          <w:p w:rsidR="00A21421" w:rsidRPr="00377C13" w:rsidRDefault="00A21421" w:rsidP="007D3143">
            <w:pPr>
              <w:widowControl/>
              <w:rPr>
                <w:rFonts w:ascii="Arial Narrow" w:hAnsi="Arial Narrow"/>
                <w:sz w:val="20"/>
              </w:rPr>
            </w:pPr>
          </w:p>
          <w:p w:rsidR="00A21421" w:rsidRPr="00377C13" w:rsidRDefault="00A21421" w:rsidP="007D3143">
            <w:pPr>
              <w:widowControl/>
              <w:rPr>
                <w:rFonts w:ascii="Arial Narrow" w:hAnsi="Arial Narrow"/>
                <w:sz w:val="20"/>
              </w:rPr>
            </w:pPr>
            <w:r w:rsidRPr="00377C13">
              <w:rPr>
                <w:rFonts w:ascii="Arial Narrow" w:hAnsi="Arial Narrow"/>
                <w:sz w:val="20"/>
              </w:rPr>
              <w:t>No increase in the maximum number of repeats may be authorised.</w:t>
            </w:r>
          </w:p>
        </w:tc>
      </w:tr>
    </w:tbl>
    <w:p w:rsidR="009C5FEB" w:rsidRPr="00377C13" w:rsidRDefault="009C5FEB" w:rsidP="007D3143">
      <w:pPr>
        <w:widowControl/>
        <w:jc w:val="left"/>
        <w:rPr>
          <w:rFonts w:ascii="Times New Roman" w:hAnsi="Times New Roman" w:cs="Times New Roman"/>
          <w:snapToGrid/>
          <w:szCs w:val="24"/>
        </w:rPr>
      </w:pPr>
    </w:p>
    <w:tbl>
      <w:tblPr>
        <w:tblW w:w="5000" w:type="pct"/>
        <w:tblLook w:val="0000" w:firstRow="0" w:lastRow="0" w:firstColumn="0" w:lastColumn="0" w:noHBand="0" w:noVBand="0"/>
      </w:tblPr>
      <w:tblGrid>
        <w:gridCol w:w="2294"/>
        <w:gridCol w:w="6723"/>
      </w:tblGrid>
      <w:tr w:rsidR="00EC111F" w:rsidRPr="00377C13" w:rsidTr="00356F81">
        <w:tc>
          <w:tcPr>
            <w:tcW w:w="1272"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b/>
                <w:sz w:val="20"/>
              </w:rPr>
            </w:pPr>
            <w:r w:rsidRPr="00377C13">
              <w:rPr>
                <w:rFonts w:ascii="Arial Narrow" w:hAnsi="Arial Narrow"/>
                <w:b/>
                <w:sz w:val="20"/>
              </w:rPr>
              <w:t xml:space="preserve">Category / </w:t>
            </w:r>
          </w:p>
          <w:p w:rsidR="00EC111F" w:rsidRPr="00377C13" w:rsidRDefault="00EC111F" w:rsidP="007D3143">
            <w:pPr>
              <w:widowControl/>
              <w:rPr>
                <w:rFonts w:ascii="Arial Narrow" w:hAnsi="Arial Narrow"/>
                <w:b/>
                <w:sz w:val="20"/>
              </w:rPr>
            </w:pPr>
            <w:r w:rsidRPr="00377C13">
              <w:rPr>
                <w:rFonts w:ascii="Arial Narrow" w:hAnsi="Arial Narrow"/>
                <w:b/>
                <w:sz w:val="20"/>
              </w:rPr>
              <w:t>Program</w:t>
            </w:r>
          </w:p>
        </w:tc>
        <w:tc>
          <w:tcPr>
            <w:tcW w:w="3728"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sz w:val="20"/>
              </w:rPr>
            </w:pPr>
            <w:r w:rsidRPr="00377C13">
              <w:rPr>
                <w:rFonts w:ascii="Arial Narrow" w:hAnsi="Arial Narrow"/>
                <w:sz w:val="20"/>
              </w:rPr>
              <w:t>Section 100 – Highly Specialised Drugs Program</w:t>
            </w:r>
          </w:p>
          <w:p w:rsidR="00EC111F" w:rsidRPr="00377C13" w:rsidRDefault="00EC111F" w:rsidP="007D3143">
            <w:pPr>
              <w:widowControl/>
              <w:rPr>
                <w:rFonts w:ascii="Arial Narrow" w:hAnsi="Arial Narrow"/>
                <w:sz w:val="20"/>
              </w:rPr>
            </w:pPr>
          </w:p>
        </w:tc>
      </w:tr>
      <w:tr w:rsidR="00EC111F" w:rsidRPr="00377C13" w:rsidTr="00356F81">
        <w:tc>
          <w:tcPr>
            <w:tcW w:w="1272"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b/>
                <w:sz w:val="20"/>
              </w:rPr>
            </w:pPr>
            <w:r w:rsidRPr="00377C13">
              <w:rPr>
                <w:rFonts w:ascii="Arial Narrow" w:hAnsi="Arial Narrow"/>
                <w:b/>
                <w:sz w:val="20"/>
              </w:rPr>
              <w:t>Prescriber type:</w:t>
            </w:r>
          </w:p>
          <w:p w:rsidR="00EC111F" w:rsidRPr="00377C13" w:rsidRDefault="00EC111F" w:rsidP="007D3143">
            <w:pPr>
              <w:widowControl/>
              <w:rPr>
                <w:rFonts w:ascii="Arial Narrow" w:hAnsi="Arial Narrow"/>
                <w:b/>
                <w:sz w:val="20"/>
              </w:rPr>
            </w:pPr>
          </w:p>
        </w:tc>
        <w:tc>
          <w:tcPr>
            <w:tcW w:w="3728"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sz w:val="20"/>
              </w:rPr>
            </w:pPr>
            <w:r w:rsidRPr="00377C13">
              <w:rPr>
                <w:rFonts w:ascii="Arial Narrow" w:hAnsi="Arial Narrow"/>
                <w:sz w:val="20"/>
              </w:rPr>
              <w:fldChar w:fldCharType="begin">
                <w:ffData>
                  <w:name w:val="Check1"/>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 xml:space="preserve">Dental  </w:t>
            </w:r>
            <w:r w:rsidRPr="00377C13">
              <w:rPr>
                <w:rFonts w:ascii="Arial Narrow" w:hAnsi="Arial Narrow"/>
                <w:sz w:val="20"/>
              </w:rPr>
              <w:fldChar w:fldCharType="begin">
                <w:ffData>
                  <w:name w:val=""/>
                  <w:enabled/>
                  <w:calcOnExit w:val="0"/>
                  <w:checkBox>
                    <w:sizeAuto/>
                    <w:default w:val="1"/>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 xml:space="preserve">Medical Practitioners  </w:t>
            </w:r>
            <w:r w:rsidRPr="00377C13">
              <w:rPr>
                <w:rFonts w:ascii="Arial Narrow" w:hAnsi="Arial Narrow"/>
                <w:sz w:val="20"/>
              </w:rPr>
              <w:fldChar w:fldCharType="begin">
                <w:ffData>
                  <w:name w:val="Check3"/>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 xml:space="preserve">Nurse practitioners  </w:t>
            </w:r>
            <w:r w:rsidRPr="00377C13">
              <w:rPr>
                <w:rFonts w:ascii="Arial Narrow" w:hAnsi="Arial Narrow"/>
                <w:sz w:val="20"/>
              </w:rPr>
              <w:fldChar w:fldCharType="begin">
                <w:ffData>
                  <w:name w:val=""/>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Optometrists</w:t>
            </w:r>
          </w:p>
          <w:p w:rsidR="00EC111F" w:rsidRPr="00377C13" w:rsidRDefault="00EC111F" w:rsidP="007D3143">
            <w:pPr>
              <w:widowControl/>
              <w:rPr>
                <w:rFonts w:ascii="Arial Narrow" w:hAnsi="Arial Narrow"/>
                <w:sz w:val="20"/>
              </w:rPr>
            </w:pPr>
            <w:r w:rsidRPr="00377C13">
              <w:rPr>
                <w:rFonts w:ascii="Arial Narrow" w:hAnsi="Arial Narrow"/>
                <w:sz w:val="20"/>
              </w:rPr>
              <w:fldChar w:fldCharType="begin">
                <w:ffData>
                  <w:name w:val="Check5"/>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Midwives</w:t>
            </w:r>
          </w:p>
        </w:tc>
      </w:tr>
      <w:tr w:rsidR="00EC111F" w:rsidRPr="00377C13" w:rsidTr="00356F81">
        <w:tc>
          <w:tcPr>
            <w:tcW w:w="1272"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b/>
                <w:sz w:val="20"/>
              </w:rPr>
            </w:pPr>
            <w:r w:rsidRPr="00377C13">
              <w:rPr>
                <w:rFonts w:ascii="Arial Narrow" w:hAnsi="Arial Narrow"/>
                <w:b/>
                <w:sz w:val="20"/>
              </w:rPr>
              <w:t>PBS Indication:</w:t>
            </w:r>
          </w:p>
        </w:tc>
        <w:tc>
          <w:tcPr>
            <w:tcW w:w="3728"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strike/>
                <w:sz w:val="20"/>
              </w:rPr>
            </w:pPr>
            <w:r w:rsidRPr="00377C13">
              <w:rPr>
                <w:rFonts w:ascii="Arial Narrow" w:hAnsi="Arial Narrow"/>
                <w:sz w:val="20"/>
              </w:rPr>
              <w:t>Cystic Fibrosis</w:t>
            </w:r>
          </w:p>
        </w:tc>
      </w:tr>
      <w:tr w:rsidR="00EC111F" w:rsidRPr="00377C13" w:rsidTr="00356F81">
        <w:trPr>
          <w:trHeight w:val="157"/>
        </w:trPr>
        <w:tc>
          <w:tcPr>
            <w:tcW w:w="1272"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b/>
                <w:sz w:val="20"/>
              </w:rPr>
            </w:pPr>
            <w:r w:rsidRPr="00377C13">
              <w:rPr>
                <w:rFonts w:ascii="Arial Narrow" w:hAnsi="Arial Narrow"/>
                <w:b/>
                <w:sz w:val="20"/>
              </w:rPr>
              <w:t>Treatment phase:</w:t>
            </w:r>
          </w:p>
        </w:tc>
        <w:tc>
          <w:tcPr>
            <w:tcW w:w="3728"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sz w:val="20"/>
              </w:rPr>
            </w:pPr>
            <w:r w:rsidRPr="00377C13">
              <w:rPr>
                <w:rFonts w:ascii="Arial Narrow" w:hAnsi="Arial Narrow"/>
                <w:sz w:val="20"/>
              </w:rPr>
              <w:t xml:space="preserve">Continuing treatment  </w:t>
            </w:r>
          </w:p>
        </w:tc>
      </w:tr>
      <w:tr w:rsidR="00EC111F" w:rsidRPr="00377C13" w:rsidTr="00356F81">
        <w:tc>
          <w:tcPr>
            <w:tcW w:w="1272"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b/>
                <w:sz w:val="20"/>
              </w:rPr>
            </w:pPr>
            <w:r w:rsidRPr="00377C13">
              <w:rPr>
                <w:rFonts w:ascii="Arial Narrow" w:hAnsi="Arial Narrow"/>
                <w:b/>
                <w:sz w:val="20"/>
              </w:rPr>
              <w:t>Restriction:</w:t>
            </w:r>
          </w:p>
          <w:p w:rsidR="00EC111F" w:rsidRPr="00377C13" w:rsidRDefault="00EC111F" w:rsidP="007D3143">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sz w:val="20"/>
              </w:rPr>
            </w:pPr>
            <w:r w:rsidRPr="00377C13">
              <w:rPr>
                <w:rFonts w:ascii="Arial Narrow" w:hAnsi="Arial Narrow"/>
                <w:sz w:val="20"/>
              </w:rPr>
              <w:fldChar w:fldCharType="begin">
                <w:ffData>
                  <w:name w:val="Check1"/>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Restricted benefit</w:t>
            </w:r>
          </w:p>
          <w:p w:rsidR="00EC111F" w:rsidRPr="00377C13" w:rsidRDefault="00EC111F" w:rsidP="007D3143">
            <w:pPr>
              <w:widowControl/>
              <w:rPr>
                <w:rFonts w:ascii="Arial Narrow" w:hAnsi="Arial Narrow"/>
                <w:sz w:val="20"/>
              </w:rPr>
            </w:pPr>
            <w:r w:rsidRPr="00377C13">
              <w:rPr>
                <w:rFonts w:ascii="Arial Narrow" w:hAnsi="Arial Narrow"/>
                <w:sz w:val="20"/>
              </w:rPr>
              <w:fldChar w:fldCharType="begin">
                <w:ffData>
                  <w:name w:val=""/>
                  <w:enabled/>
                  <w:calcOnExit w:val="0"/>
                  <w:checkBox>
                    <w:sizeAuto/>
                    <w:default w:val="1"/>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In Writing</w:t>
            </w:r>
          </w:p>
          <w:p w:rsidR="00EC111F" w:rsidRPr="00377C13" w:rsidRDefault="00EC111F" w:rsidP="007D3143">
            <w:pPr>
              <w:widowControl/>
              <w:rPr>
                <w:rFonts w:ascii="Arial Narrow" w:hAnsi="Arial Narrow"/>
                <w:sz w:val="20"/>
              </w:rPr>
            </w:pPr>
            <w:r w:rsidRPr="00377C13">
              <w:rPr>
                <w:rFonts w:ascii="Arial Narrow" w:hAnsi="Arial Narrow"/>
                <w:sz w:val="20"/>
              </w:rPr>
              <w:fldChar w:fldCharType="begin">
                <w:ffData>
                  <w:name w:val="Check3"/>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Telephone</w:t>
            </w:r>
          </w:p>
          <w:p w:rsidR="00EC111F" w:rsidRPr="00377C13" w:rsidRDefault="00EC111F" w:rsidP="007D3143">
            <w:pPr>
              <w:widowControl/>
              <w:rPr>
                <w:rFonts w:ascii="Arial Narrow" w:hAnsi="Arial Narrow"/>
                <w:sz w:val="20"/>
              </w:rPr>
            </w:pPr>
            <w:r w:rsidRPr="00377C13">
              <w:rPr>
                <w:rFonts w:ascii="Arial Narrow" w:hAnsi="Arial Narrow"/>
                <w:sz w:val="20"/>
              </w:rPr>
              <w:fldChar w:fldCharType="begin">
                <w:ffData>
                  <w:name w:val=""/>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Emergency</w:t>
            </w:r>
          </w:p>
          <w:p w:rsidR="00EC111F" w:rsidRPr="00377C13" w:rsidRDefault="00EC111F" w:rsidP="007D3143">
            <w:pPr>
              <w:widowControl/>
              <w:rPr>
                <w:rFonts w:ascii="Arial Narrow" w:hAnsi="Arial Narrow"/>
                <w:sz w:val="20"/>
              </w:rPr>
            </w:pPr>
            <w:r w:rsidRPr="00377C13">
              <w:rPr>
                <w:rFonts w:ascii="Arial Narrow" w:hAnsi="Arial Narrow"/>
                <w:sz w:val="20"/>
              </w:rPr>
              <w:fldChar w:fldCharType="begin">
                <w:ffData>
                  <w:name w:val="Check5"/>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Electronic</w:t>
            </w:r>
          </w:p>
          <w:p w:rsidR="00EC111F" w:rsidRPr="00377C13" w:rsidRDefault="00EC111F" w:rsidP="007D3143">
            <w:pPr>
              <w:widowControl/>
              <w:rPr>
                <w:rFonts w:ascii="Arial Narrow" w:hAnsi="Arial Narrow"/>
                <w:sz w:val="20"/>
              </w:rPr>
            </w:pPr>
            <w:r w:rsidRPr="00377C13">
              <w:rPr>
                <w:rFonts w:ascii="Arial Narrow" w:hAnsi="Arial Narrow"/>
                <w:sz w:val="20"/>
              </w:rPr>
              <w:fldChar w:fldCharType="begin">
                <w:ffData>
                  <w:name w:val="Check5"/>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Streamlined</w:t>
            </w:r>
          </w:p>
        </w:tc>
      </w:tr>
      <w:tr w:rsidR="00EC111F" w:rsidRPr="00377C13" w:rsidTr="00356F81">
        <w:tc>
          <w:tcPr>
            <w:tcW w:w="1272"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b/>
                <w:sz w:val="20"/>
              </w:rPr>
            </w:pPr>
            <w:r w:rsidRPr="00377C13">
              <w:rPr>
                <w:rFonts w:ascii="Arial Narrow" w:hAnsi="Arial Narrow"/>
                <w:b/>
                <w:sz w:val="20"/>
              </w:rPr>
              <w:t>Clinical criteria:</w:t>
            </w:r>
          </w:p>
          <w:p w:rsidR="00EC111F" w:rsidRPr="00377C13" w:rsidRDefault="00EC111F" w:rsidP="007D3143">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sz w:val="20"/>
              </w:rPr>
            </w:pPr>
            <w:r w:rsidRPr="00377C13">
              <w:rPr>
                <w:rFonts w:ascii="Arial Narrow" w:hAnsi="Arial Narrow"/>
                <w:sz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p w:rsidR="00EC111F" w:rsidRPr="00377C13" w:rsidRDefault="00EC111F" w:rsidP="007D3143">
            <w:pPr>
              <w:widowControl/>
              <w:rPr>
                <w:rFonts w:ascii="Arial Narrow" w:hAnsi="Arial Narrow"/>
                <w:sz w:val="20"/>
              </w:rPr>
            </w:pPr>
            <w:r w:rsidRPr="00377C13">
              <w:rPr>
                <w:rFonts w:ascii="Arial Narrow" w:hAnsi="Arial Narrow"/>
                <w:sz w:val="20"/>
              </w:rPr>
              <w:t>AND</w:t>
            </w:r>
          </w:p>
          <w:p w:rsidR="00EC111F" w:rsidRPr="00377C13" w:rsidRDefault="00EC111F" w:rsidP="007D3143">
            <w:pPr>
              <w:widowControl/>
              <w:rPr>
                <w:rFonts w:ascii="Arial Narrow" w:hAnsi="Arial Narrow"/>
                <w:sz w:val="20"/>
              </w:rPr>
            </w:pPr>
            <w:r w:rsidRPr="00377C13">
              <w:rPr>
                <w:rFonts w:ascii="Arial Narrow" w:hAnsi="Arial Narrow"/>
                <w:sz w:val="20"/>
              </w:rPr>
              <w:t>Patient must have received PBS-subsidised initial therapy with ivacaftor, given concomitantly with standard therapy, for this condition;</w:t>
            </w:r>
          </w:p>
          <w:p w:rsidR="00EC111F" w:rsidRPr="00377C13" w:rsidRDefault="00EC111F" w:rsidP="007D3143">
            <w:pPr>
              <w:widowControl/>
              <w:rPr>
                <w:rFonts w:ascii="Arial Narrow" w:hAnsi="Arial Narrow"/>
                <w:sz w:val="20"/>
              </w:rPr>
            </w:pPr>
            <w:r w:rsidRPr="00377C13">
              <w:rPr>
                <w:rFonts w:ascii="Arial Narrow" w:hAnsi="Arial Narrow"/>
                <w:sz w:val="20"/>
              </w:rPr>
              <w:t>AND</w:t>
            </w:r>
          </w:p>
          <w:p w:rsidR="00EC111F" w:rsidRPr="00377C13" w:rsidRDefault="00EC111F" w:rsidP="007D3143">
            <w:pPr>
              <w:widowControl/>
              <w:rPr>
                <w:rFonts w:ascii="Arial Narrow" w:hAnsi="Arial Narrow"/>
                <w:sz w:val="20"/>
              </w:rPr>
            </w:pPr>
            <w:r w:rsidRPr="00377C13">
              <w:rPr>
                <w:rFonts w:ascii="Arial Narrow" w:hAnsi="Arial Narrow"/>
                <w:sz w:val="20"/>
              </w:rPr>
              <w:t>Patient must not receive more than 24 weeks of treatment under this restriction;</w:t>
            </w:r>
          </w:p>
          <w:p w:rsidR="00EC111F" w:rsidRPr="00377C13" w:rsidRDefault="00EC111F" w:rsidP="007D3143">
            <w:pPr>
              <w:widowControl/>
              <w:rPr>
                <w:rFonts w:ascii="Arial Narrow" w:hAnsi="Arial Narrow"/>
                <w:sz w:val="20"/>
              </w:rPr>
            </w:pPr>
            <w:r w:rsidRPr="00377C13">
              <w:rPr>
                <w:rFonts w:ascii="Arial Narrow" w:hAnsi="Arial Narrow"/>
                <w:sz w:val="20"/>
              </w:rPr>
              <w:t xml:space="preserve">AND </w:t>
            </w:r>
          </w:p>
          <w:p w:rsidR="00EC111F" w:rsidRPr="00377C13" w:rsidRDefault="00EC111F" w:rsidP="007D3143">
            <w:pPr>
              <w:widowControl/>
              <w:rPr>
                <w:rFonts w:ascii="Arial Narrow" w:hAnsi="Arial Narrow"/>
                <w:sz w:val="20"/>
              </w:rPr>
            </w:pPr>
            <w:r w:rsidRPr="00377C13">
              <w:rPr>
                <w:rFonts w:ascii="Arial Narrow" w:hAnsi="Arial Narrow"/>
                <w:sz w:val="20"/>
              </w:rPr>
              <w:t>The treatment must be given concomitantly with standard therapy for this condition.</w:t>
            </w:r>
          </w:p>
        </w:tc>
      </w:tr>
      <w:tr w:rsidR="00EC111F" w:rsidRPr="00377C13" w:rsidTr="00356F81">
        <w:tc>
          <w:tcPr>
            <w:tcW w:w="1272"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i/>
                <w:sz w:val="20"/>
              </w:rPr>
            </w:pPr>
            <w:r w:rsidRPr="00377C13">
              <w:rPr>
                <w:rFonts w:ascii="Arial Narrow" w:hAnsi="Arial Narrow"/>
                <w:b/>
                <w:sz w:val="20"/>
              </w:rPr>
              <w:t>Population criteria:</w:t>
            </w:r>
          </w:p>
        </w:tc>
        <w:tc>
          <w:tcPr>
            <w:tcW w:w="3728" w:type="pct"/>
            <w:tcBorders>
              <w:top w:val="single" w:sz="4" w:space="0" w:color="auto"/>
              <w:left w:val="single" w:sz="4" w:space="0" w:color="auto"/>
              <w:bottom w:val="single" w:sz="4" w:space="0" w:color="auto"/>
              <w:right w:val="single" w:sz="4" w:space="0" w:color="auto"/>
            </w:tcBorders>
          </w:tcPr>
          <w:p w:rsidR="00EC111F" w:rsidRPr="00377C13" w:rsidRDefault="005624CE" w:rsidP="007D3143">
            <w:pPr>
              <w:widowControl/>
              <w:rPr>
                <w:rFonts w:ascii="Arial Narrow" w:hAnsi="Arial Narrow"/>
                <w:sz w:val="20"/>
              </w:rPr>
            </w:pPr>
            <w:r w:rsidRPr="00377C13">
              <w:rPr>
                <w:rFonts w:ascii="Arial Narrow" w:hAnsi="Arial Narrow"/>
                <w:sz w:val="20"/>
              </w:rPr>
              <w:t xml:space="preserve">Patient must be aged </w:t>
            </w:r>
            <w:r w:rsidRPr="00377C13">
              <w:rPr>
                <w:rFonts w:ascii="Arial Narrow" w:hAnsi="Arial Narrow"/>
                <w:i/>
                <w:sz w:val="20"/>
              </w:rPr>
              <w:t>12 months</w:t>
            </w:r>
            <w:r w:rsidRPr="00377C13">
              <w:rPr>
                <w:rFonts w:ascii="Arial Narrow" w:hAnsi="Arial Narrow"/>
                <w:sz w:val="20"/>
              </w:rPr>
              <w:t xml:space="preserve"> </w:t>
            </w:r>
            <w:r w:rsidRPr="00377C13">
              <w:rPr>
                <w:rFonts w:ascii="Arial Narrow" w:hAnsi="Arial Narrow"/>
                <w:strike/>
                <w:sz w:val="20"/>
              </w:rPr>
              <w:t>2 years</w:t>
            </w:r>
            <w:r w:rsidRPr="00377C13">
              <w:rPr>
                <w:rFonts w:ascii="Arial Narrow" w:hAnsi="Arial Narrow"/>
                <w:sz w:val="20"/>
              </w:rPr>
              <w:t xml:space="preserve"> or older.</w:t>
            </w:r>
          </w:p>
        </w:tc>
      </w:tr>
      <w:tr w:rsidR="00EC111F" w:rsidRPr="00377C13" w:rsidTr="00356F81">
        <w:tc>
          <w:tcPr>
            <w:tcW w:w="1272"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b/>
                <w:sz w:val="20"/>
              </w:rPr>
            </w:pPr>
            <w:r w:rsidRPr="00377C13">
              <w:rPr>
                <w:rFonts w:ascii="Arial Narrow" w:hAnsi="Arial Narrow"/>
                <w:b/>
                <w:sz w:val="20"/>
              </w:rPr>
              <w:t>Prescriber Instructions:</w:t>
            </w:r>
          </w:p>
        </w:tc>
        <w:tc>
          <w:tcPr>
            <w:tcW w:w="3728" w:type="pct"/>
            <w:tcBorders>
              <w:top w:val="single" w:sz="4" w:space="0" w:color="auto"/>
              <w:left w:val="single" w:sz="4" w:space="0" w:color="auto"/>
              <w:bottom w:val="single" w:sz="4" w:space="0" w:color="auto"/>
              <w:right w:val="single" w:sz="4" w:space="0" w:color="auto"/>
            </w:tcBorders>
          </w:tcPr>
          <w:p w:rsidR="00C51915" w:rsidRPr="00377C13" w:rsidRDefault="00C51915" w:rsidP="007D3143">
            <w:pPr>
              <w:widowControl/>
              <w:rPr>
                <w:rFonts w:ascii="Arial Narrow" w:hAnsi="Arial Narrow"/>
                <w:sz w:val="20"/>
              </w:rPr>
            </w:pPr>
            <w:r w:rsidRPr="00377C13">
              <w:rPr>
                <w:rFonts w:ascii="Arial Narrow" w:hAnsi="Arial Narrow"/>
                <w:sz w:val="20"/>
              </w:rPr>
              <w:t>Patients receiving PBS-subsidised ivacaftor must be registered in the Australian Cystic Fibrosis Database Registry.</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lastRenderedPageBreak/>
              <w:t>Treatment must not be given to a patient who has an acute upper or lower respiratory infection, pulmonary exacerbation, or changes in therapy (including antibiotics) for pulmonary disease in the last 4 weeks prior to commencing this drug.</w:t>
            </w:r>
          </w:p>
          <w:p w:rsidR="00C51915" w:rsidRPr="00377C13" w:rsidRDefault="00C51915" w:rsidP="007D3143">
            <w:pPr>
              <w:widowControl/>
              <w:rPr>
                <w:rFonts w:ascii="Arial Narrow" w:hAnsi="Arial Narrow"/>
                <w:sz w:val="20"/>
              </w:rPr>
            </w:pPr>
          </w:p>
          <w:p w:rsidR="00EC111F" w:rsidRPr="00377C13" w:rsidRDefault="00C51915" w:rsidP="007D3143">
            <w:pPr>
              <w:widowControl/>
              <w:rPr>
                <w:rFonts w:ascii="Arial Narrow" w:hAnsi="Arial Narrow"/>
                <w:sz w:val="20"/>
              </w:rPr>
            </w:pPr>
            <w:r w:rsidRPr="00377C13">
              <w:rPr>
                <w:rFonts w:ascii="Arial Narrow" w:hAnsi="Arial Narrow"/>
                <w:sz w:val="20"/>
              </w:rPr>
              <w:t>Patients who have an acute infective exacerbation at the time of assessment for continuing therapy may receive an additional one month's supply in order to enable the assessment to be repeated following resolution of the exacerbation.</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 xml:space="preserve">Dosage of ivacaftor must not exceed the dose of one tablet (150 mg) or one sachet twice a week, if the patient is concomitantly receiving one of the following strong CYP3A4 drugs inhibitors: </w:t>
            </w:r>
            <w:proofErr w:type="spellStart"/>
            <w:r w:rsidRPr="00377C13">
              <w:rPr>
                <w:rFonts w:ascii="Arial Narrow" w:hAnsi="Arial Narrow"/>
                <w:sz w:val="20"/>
              </w:rPr>
              <w:t>boceprevir</w:t>
            </w:r>
            <w:proofErr w:type="spellEnd"/>
            <w:r w:rsidRPr="00377C13">
              <w:rPr>
                <w:rFonts w:ascii="Arial Narrow" w:hAnsi="Arial Narrow"/>
                <w:sz w:val="20"/>
              </w:rPr>
              <w:t xml:space="preserve">, clarithromycin, </w:t>
            </w:r>
            <w:proofErr w:type="spellStart"/>
            <w:r w:rsidRPr="00377C13">
              <w:rPr>
                <w:rFonts w:ascii="Arial Narrow" w:hAnsi="Arial Narrow"/>
                <w:sz w:val="20"/>
              </w:rPr>
              <w:t>conivaptan</w:t>
            </w:r>
            <w:proofErr w:type="spellEnd"/>
            <w:r w:rsidRPr="00377C13">
              <w:rPr>
                <w:rFonts w:ascii="Arial Narrow" w:hAnsi="Arial Narrow"/>
                <w:sz w:val="20"/>
              </w:rPr>
              <w:t xml:space="preserve">, </w:t>
            </w:r>
            <w:proofErr w:type="spellStart"/>
            <w:r w:rsidRPr="00377C13">
              <w:rPr>
                <w:rFonts w:ascii="Arial Narrow" w:hAnsi="Arial Narrow"/>
                <w:sz w:val="20"/>
              </w:rPr>
              <w:t>indinavir</w:t>
            </w:r>
            <w:proofErr w:type="spellEnd"/>
            <w:r w:rsidRPr="00377C13">
              <w:rPr>
                <w:rFonts w:ascii="Arial Narrow" w:hAnsi="Arial Narrow"/>
                <w:sz w:val="20"/>
              </w:rPr>
              <w:t xml:space="preserve">, </w:t>
            </w:r>
            <w:proofErr w:type="spellStart"/>
            <w:r w:rsidRPr="00377C13">
              <w:rPr>
                <w:rFonts w:ascii="Arial Narrow" w:hAnsi="Arial Narrow"/>
                <w:sz w:val="20"/>
              </w:rPr>
              <w:t>itraconazole</w:t>
            </w:r>
            <w:proofErr w:type="spellEnd"/>
            <w:r w:rsidRPr="00377C13">
              <w:rPr>
                <w:rFonts w:ascii="Arial Narrow" w:hAnsi="Arial Narrow"/>
                <w:sz w:val="20"/>
              </w:rPr>
              <w:t xml:space="preserve">, ketoconazole, </w:t>
            </w:r>
            <w:proofErr w:type="spellStart"/>
            <w:r w:rsidRPr="00377C13">
              <w:rPr>
                <w:rFonts w:ascii="Arial Narrow" w:hAnsi="Arial Narrow"/>
                <w:sz w:val="20"/>
              </w:rPr>
              <w:t>lopinavir</w:t>
            </w:r>
            <w:proofErr w:type="spellEnd"/>
            <w:r w:rsidRPr="00377C13">
              <w:rPr>
                <w:rFonts w:ascii="Arial Narrow" w:hAnsi="Arial Narrow"/>
                <w:sz w:val="20"/>
              </w:rPr>
              <w:t xml:space="preserve">/ritonavir, </w:t>
            </w:r>
            <w:proofErr w:type="spellStart"/>
            <w:r w:rsidRPr="00377C13">
              <w:rPr>
                <w:rFonts w:ascii="Arial Narrow" w:hAnsi="Arial Narrow"/>
                <w:sz w:val="20"/>
              </w:rPr>
              <w:t>mibefradil</w:t>
            </w:r>
            <w:proofErr w:type="spellEnd"/>
            <w:r w:rsidRPr="00377C13">
              <w:rPr>
                <w:rFonts w:ascii="Arial Narrow" w:hAnsi="Arial Narrow"/>
                <w:sz w:val="20"/>
              </w:rPr>
              <w:t xml:space="preserve">, </w:t>
            </w:r>
            <w:proofErr w:type="spellStart"/>
            <w:r w:rsidRPr="00377C13">
              <w:rPr>
                <w:rFonts w:ascii="Arial Narrow" w:hAnsi="Arial Narrow"/>
                <w:sz w:val="20"/>
              </w:rPr>
              <w:t>nefazodone</w:t>
            </w:r>
            <w:proofErr w:type="spellEnd"/>
            <w:r w:rsidRPr="00377C13">
              <w:rPr>
                <w:rFonts w:ascii="Arial Narrow" w:hAnsi="Arial Narrow"/>
                <w:sz w:val="20"/>
              </w:rPr>
              <w:t xml:space="preserve">, nelfinavir, </w:t>
            </w:r>
            <w:proofErr w:type="spellStart"/>
            <w:r w:rsidRPr="00377C13">
              <w:rPr>
                <w:rFonts w:ascii="Arial Narrow" w:hAnsi="Arial Narrow"/>
                <w:sz w:val="20"/>
              </w:rPr>
              <w:t>posaconazole</w:t>
            </w:r>
            <w:proofErr w:type="spellEnd"/>
            <w:r w:rsidRPr="00377C13">
              <w:rPr>
                <w:rFonts w:ascii="Arial Narrow" w:hAnsi="Arial Narrow"/>
                <w:sz w:val="20"/>
              </w:rPr>
              <w:t xml:space="preserve">, ritonavir, </w:t>
            </w:r>
            <w:proofErr w:type="spellStart"/>
            <w:r w:rsidRPr="00377C13">
              <w:rPr>
                <w:rFonts w:ascii="Arial Narrow" w:hAnsi="Arial Narrow"/>
                <w:sz w:val="20"/>
              </w:rPr>
              <w:t>saquinavir</w:t>
            </w:r>
            <w:proofErr w:type="spellEnd"/>
            <w:r w:rsidRPr="00377C13">
              <w:rPr>
                <w:rFonts w:ascii="Arial Narrow" w:hAnsi="Arial Narrow"/>
                <w:sz w:val="20"/>
              </w:rPr>
              <w:t xml:space="preserve">, </w:t>
            </w:r>
            <w:proofErr w:type="spellStart"/>
            <w:r w:rsidRPr="00377C13">
              <w:rPr>
                <w:rFonts w:ascii="Arial Narrow" w:hAnsi="Arial Narrow"/>
                <w:sz w:val="20"/>
              </w:rPr>
              <w:t>telaprevir</w:t>
            </w:r>
            <w:proofErr w:type="spellEnd"/>
            <w:r w:rsidRPr="00377C13">
              <w:rPr>
                <w:rFonts w:ascii="Arial Narrow" w:hAnsi="Arial Narrow"/>
                <w:sz w:val="20"/>
              </w:rPr>
              <w:t xml:space="preserve">, </w:t>
            </w:r>
            <w:proofErr w:type="spellStart"/>
            <w:r w:rsidRPr="00377C13">
              <w:rPr>
                <w:rFonts w:ascii="Arial Narrow" w:hAnsi="Arial Narrow"/>
                <w:sz w:val="20"/>
              </w:rPr>
              <w:t>telithromycin</w:t>
            </w:r>
            <w:proofErr w:type="spellEnd"/>
            <w:r w:rsidRPr="00377C13">
              <w:rPr>
                <w:rFonts w:ascii="Arial Narrow" w:hAnsi="Arial Narrow"/>
                <w:sz w:val="20"/>
              </w:rPr>
              <w:t xml:space="preserve">, </w:t>
            </w:r>
            <w:proofErr w:type="spellStart"/>
            <w:r w:rsidRPr="00377C13">
              <w:rPr>
                <w:rFonts w:ascii="Arial Narrow" w:hAnsi="Arial Narrow"/>
                <w:sz w:val="20"/>
              </w:rPr>
              <w:t>voriconazole</w:t>
            </w:r>
            <w:proofErr w:type="spellEnd"/>
            <w:r w:rsidRPr="00377C13">
              <w:rPr>
                <w:rFonts w:ascii="Arial Narrow" w:hAnsi="Arial Narrow"/>
                <w:sz w:val="20"/>
              </w:rPr>
              <w:t>. Where a patient is concomitantly receiving a strong CYP3A4 inhibitor, a single supply of 56 tablets or sachets of ivacaftor will last for 28 weeks.</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 xml:space="preserve">Dosage of ivacaftor must not exceed the dose of one tablet (150 mg) or one sachet once daily, if the patient is concomitantly receiving one of the following moderate CYP3A4 inhibitors: </w:t>
            </w:r>
            <w:proofErr w:type="spellStart"/>
            <w:r w:rsidRPr="00377C13">
              <w:rPr>
                <w:rFonts w:ascii="Arial Narrow" w:hAnsi="Arial Narrow"/>
                <w:sz w:val="20"/>
              </w:rPr>
              <w:t>amprenavir</w:t>
            </w:r>
            <w:proofErr w:type="spellEnd"/>
            <w:r w:rsidRPr="00377C13">
              <w:rPr>
                <w:rFonts w:ascii="Arial Narrow" w:hAnsi="Arial Narrow"/>
                <w:sz w:val="20"/>
              </w:rPr>
              <w:t xml:space="preserve">, </w:t>
            </w:r>
            <w:proofErr w:type="spellStart"/>
            <w:r w:rsidRPr="00377C13">
              <w:rPr>
                <w:rFonts w:ascii="Arial Narrow" w:hAnsi="Arial Narrow"/>
                <w:sz w:val="20"/>
              </w:rPr>
              <w:t>aprepitant</w:t>
            </w:r>
            <w:proofErr w:type="spellEnd"/>
            <w:r w:rsidRPr="00377C13">
              <w:rPr>
                <w:rFonts w:ascii="Arial Narrow" w:hAnsi="Arial Narrow"/>
                <w:sz w:val="20"/>
              </w:rPr>
              <w:t xml:space="preserve">, </w:t>
            </w:r>
            <w:proofErr w:type="spellStart"/>
            <w:r w:rsidRPr="00377C13">
              <w:rPr>
                <w:rFonts w:ascii="Arial Narrow" w:hAnsi="Arial Narrow"/>
                <w:sz w:val="20"/>
              </w:rPr>
              <w:t>atazanavir</w:t>
            </w:r>
            <w:proofErr w:type="spellEnd"/>
            <w:r w:rsidRPr="00377C13">
              <w:rPr>
                <w:rFonts w:ascii="Arial Narrow" w:hAnsi="Arial Narrow"/>
                <w:sz w:val="20"/>
              </w:rPr>
              <w:t xml:space="preserve">, </w:t>
            </w:r>
            <w:proofErr w:type="spellStart"/>
            <w:r w:rsidRPr="00377C13">
              <w:rPr>
                <w:rFonts w:ascii="Arial Narrow" w:hAnsi="Arial Narrow"/>
                <w:sz w:val="20"/>
              </w:rPr>
              <w:t>darunavir</w:t>
            </w:r>
            <w:proofErr w:type="spellEnd"/>
            <w:r w:rsidRPr="00377C13">
              <w:rPr>
                <w:rFonts w:ascii="Arial Narrow" w:hAnsi="Arial Narrow"/>
                <w:sz w:val="20"/>
              </w:rPr>
              <w:t xml:space="preserve">/ritonavir, diltiazem, erythromycin, fluconazole, </w:t>
            </w:r>
            <w:proofErr w:type="spellStart"/>
            <w:r w:rsidRPr="00377C13">
              <w:rPr>
                <w:rFonts w:ascii="Arial Narrow" w:hAnsi="Arial Narrow"/>
                <w:sz w:val="20"/>
              </w:rPr>
              <w:t>fosamprenavir</w:t>
            </w:r>
            <w:proofErr w:type="spellEnd"/>
            <w:r w:rsidRPr="00377C13">
              <w:rPr>
                <w:rFonts w:ascii="Arial Narrow" w:hAnsi="Arial Narrow"/>
                <w:sz w:val="20"/>
              </w:rPr>
              <w:t xml:space="preserve">, </w:t>
            </w:r>
            <w:proofErr w:type="spellStart"/>
            <w:r w:rsidRPr="00377C13">
              <w:rPr>
                <w:rFonts w:ascii="Arial Narrow" w:hAnsi="Arial Narrow"/>
                <w:sz w:val="20"/>
              </w:rPr>
              <w:t>imatinib</w:t>
            </w:r>
            <w:proofErr w:type="spellEnd"/>
            <w:r w:rsidRPr="00377C13">
              <w:rPr>
                <w:rFonts w:ascii="Arial Narrow" w:hAnsi="Arial Narrow"/>
                <w:sz w:val="20"/>
              </w:rPr>
              <w:t>, verapamil. Where a patient is concomitantly receiving a moderate CYP3A4 inhibitor, a single supply of 56 tablets or sachets of ivacaftor will last for 8 weeks.</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Ivacaftor is not PBS-subsidised for this condition as a sole therapy.</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Ivacaftor is not PBS-subsidised for this condition in a patient who is currently receiving one of the following CYP3A4 inducers:</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 xml:space="preserve">Strong CYP3A4 inducers: </w:t>
            </w:r>
            <w:proofErr w:type="spellStart"/>
            <w:r w:rsidRPr="00377C13">
              <w:rPr>
                <w:rFonts w:ascii="Arial Narrow" w:hAnsi="Arial Narrow"/>
                <w:sz w:val="20"/>
              </w:rPr>
              <w:t>avasimibe</w:t>
            </w:r>
            <w:proofErr w:type="spellEnd"/>
            <w:r w:rsidRPr="00377C13">
              <w:rPr>
                <w:rFonts w:ascii="Arial Narrow" w:hAnsi="Arial Narrow"/>
                <w:sz w:val="20"/>
              </w:rPr>
              <w:t xml:space="preserve">, carbamazepine, phenobarbital, phenytoin, </w:t>
            </w:r>
            <w:proofErr w:type="spellStart"/>
            <w:r w:rsidRPr="00377C13">
              <w:rPr>
                <w:rFonts w:ascii="Arial Narrow" w:hAnsi="Arial Narrow"/>
                <w:sz w:val="20"/>
              </w:rPr>
              <w:t>rifabutin</w:t>
            </w:r>
            <w:proofErr w:type="spellEnd"/>
            <w:r w:rsidRPr="00377C13">
              <w:rPr>
                <w:rFonts w:ascii="Arial Narrow" w:hAnsi="Arial Narrow"/>
                <w:sz w:val="20"/>
              </w:rPr>
              <w:t xml:space="preserve">, rifampicin, St. John's </w:t>
            </w:r>
            <w:proofErr w:type="spellStart"/>
            <w:r w:rsidRPr="00377C13">
              <w:rPr>
                <w:rFonts w:ascii="Arial Narrow" w:hAnsi="Arial Narrow"/>
                <w:sz w:val="20"/>
              </w:rPr>
              <w:t>wort</w:t>
            </w:r>
            <w:proofErr w:type="spellEnd"/>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 xml:space="preserve">Moderate CYP3A4 inducers: </w:t>
            </w:r>
            <w:proofErr w:type="spellStart"/>
            <w:r w:rsidRPr="00377C13">
              <w:rPr>
                <w:rFonts w:ascii="Arial Narrow" w:hAnsi="Arial Narrow"/>
                <w:sz w:val="20"/>
              </w:rPr>
              <w:t>bosentan</w:t>
            </w:r>
            <w:proofErr w:type="spellEnd"/>
            <w:r w:rsidRPr="00377C13">
              <w:rPr>
                <w:rFonts w:ascii="Arial Narrow" w:hAnsi="Arial Narrow"/>
                <w:sz w:val="20"/>
              </w:rPr>
              <w:t xml:space="preserve">, </w:t>
            </w:r>
            <w:proofErr w:type="spellStart"/>
            <w:r w:rsidRPr="00377C13">
              <w:rPr>
                <w:rFonts w:ascii="Arial Narrow" w:hAnsi="Arial Narrow"/>
                <w:sz w:val="20"/>
              </w:rPr>
              <w:t>efavirenz</w:t>
            </w:r>
            <w:proofErr w:type="spellEnd"/>
            <w:r w:rsidRPr="00377C13">
              <w:rPr>
                <w:rFonts w:ascii="Arial Narrow" w:hAnsi="Arial Narrow"/>
                <w:sz w:val="20"/>
              </w:rPr>
              <w:t xml:space="preserve">, </w:t>
            </w:r>
            <w:proofErr w:type="spellStart"/>
            <w:r w:rsidRPr="00377C13">
              <w:rPr>
                <w:rFonts w:ascii="Arial Narrow" w:hAnsi="Arial Narrow"/>
                <w:sz w:val="20"/>
              </w:rPr>
              <w:t>etravirine</w:t>
            </w:r>
            <w:proofErr w:type="spellEnd"/>
            <w:r w:rsidRPr="00377C13">
              <w:rPr>
                <w:rFonts w:ascii="Arial Narrow" w:hAnsi="Arial Narrow"/>
                <w:sz w:val="20"/>
              </w:rPr>
              <w:t xml:space="preserve">, </w:t>
            </w:r>
            <w:proofErr w:type="spellStart"/>
            <w:r w:rsidRPr="00377C13">
              <w:rPr>
                <w:rFonts w:ascii="Arial Narrow" w:hAnsi="Arial Narrow"/>
                <w:sz w:val="20"/>
              </w:rPr>
              <w:t>modafinil</w:t>
            </w:r>
            <w:proofErr w:type="spellEnd"/>
            <w:r w:rsidRPr="00377C13">
              <w:rPr>
                <w:rFonts w:ascii="Arial Narrow" w:hAnsi="Arial Narrow"/>
                <w:sz w:val="20"/>
              </w:rPr>
              <w:t xml:space="preserve">, </w:t>
            </w:r>
            <w:proofErr w:type="spellStart"/>
            <w:r w:rsidRPr="00377C13">
              <w:rPr>
                <w:rFonts w:ascii="Arial Narrow" w:hAnsi="Arial Narrow"/>
                <w:sz w:val="20"/>
              </w:rPr>
              <w:t>nafcillin</w:t>
            </w:r>
            <w:proofErr w:type="spellEnd"/>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 xml:space="preserve">Weak CYP3A4 inducers: </w:t>
            </w:r>
            <w:proofErr w:type="spellStart"/>
            <w:r w:rsidRPr="00377C13">
              <w:rPr>
                <w:rFonts w:ascii="Arial Narrow" w:hAnsi="Arial Narrow"/>
                <w:sz w:val="20"/>
              </w:rPr>
              <w:t>armodafinil</w:t>
            </w:r>
            <w:proofErr w:type="spellEnd"/>
            <w:r w:rsidRPr="00377C13">
              <w:rPr>
                <w:rFonts w:ascii="Arial Narrow" w:hAnsi="Arial Narrow"/>
                <w:sz w:val="20"/>
              </w:rPr>
              <w:t xml:space="preserve">, </w:t>
            </w:r>
            <w:proofErr w:type="spellStart"/>
            <w:r w:rsidRPr="00377C13">
              <w:rPr>
                <w:rFonts w:ascii="Arial Narrow" w:hAnsi="Arial Narrow"/>
                <w:sz w:val="20"/>
              </w:rPr>
              <w:t>echinacea</w:t>
            </w:r>
            <w:proofErr w:type="spellEnd"/>
            <w:r w:rsidRPr="00377C13">
              <w:rPr>
                <w:rFonts w:ascii="Arial Narrow" w:hAnsi="Arial Narrow"/>
                <w:sz w:val="20"/>
              </w:rPr>
              <w:t xml:space="preserve">, pioglitazone, </w:t>
            </w:r>
            <w:proofErr w:type="spellStart"/>
            <w:r w:rsidRPr="00377C13">
              <w:rPr>
                <w:rFonts w:ascii="Arial Narrow" w:hAnsi="Arial Narrow"/>
                <w:sz w:val="20"/>
              </w:rPr>
              <w:t>rufinamide</w:t>
            </w:r>
            <w:proofErr w:type="spellEnd"/>
            <w:r w:rsidRPr="00377C13">
              <w:rPr>
                <w:rFonts w:ascii="Arial Narrow" w:hAnsi="Arial Narrow"/>
                <w:sz w:val="20"/>
              </w:rPr>
              <w:t>.</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The authority application must be in writing and must include:</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(1) a completed authority prescription form; and</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(2) a completed Cystic Fibrosis Ivacaftor Authority Continuing Application Supporting Information Form; and</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 xml:space="preserve">(3) </w:t>
            </w:r>
            <w:proofErr w:type="gramStart"/>
            <w:r w:rsidRPr="00377C13">
              <w:rPr>
                <w:rFonts w:ascii="Arial Narrow" w:hAnsi="Arial Narrow"/>
                <w:sz w:val="20"/>
              </w:rPr>
              <w:t>the</w:t>
            </w:r>
            <w:proofErr w:type="gramEnd"/>
            <w:r w:rsidRPr="00377C13">
              <w:rPr>
                <w:rFonts w:ascii="Arial Narrow" w:hAnsi="Arial Narrow"/>
                <w:sz w:val="20"/>
              </w:rPr>
              <w:t xml:space="preserve"> result of a FEV1 measurement performed within one month prior to the date of application, if aged 6 years or older. Note: FEV1, must be measured in an accredited pulmonary function laboratory, with documented no acute infective exacerbation at the time FEV1 is measured; and</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(4) a copy of a current medication history, including any CYP3A4 inhibitors and/or CYP3A4 inducers; and</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(5) height and weight measurements at the time of application; and</w:t>
            </w:r>
          </w:p>
          <w:p w:rsidR="00C51915" w:rsidRPr="00377C13" w:rsidRDefault="00C51915" w:rsidP="007D3143">
            <w:pPr>
              <w:widowControl/>
              <w:rPr>
                <w:rFonts w:ascii="Arial Narrow" w:hAnsi="Arial Narrow"/>
                <w:sz w:val="20"/>
              </w:rPr>
            </w:pPr>
          </w:p>
          <w:p w:rsidR="00C51915" w:rsidRPr="00377C13" w:rsidRDefault="00C51915" w:rsidP="007D3143">
            <w:pPr>
              <w:widowControl/>
              <w:rPr>
                <w:rFonts w:ascii="Arial Narrow" w:hAnsi="Arial Narrow"/>
                <w:sz w:val="20"/>
              </w:rPr>
            </w:pPr>
            <w:r w:rsidRPr="00377C13">
              <w:rPr>
                <w:rFonts w:ascii="Arial Narrow" w:hAnsi="Arial Narrow"/>
                <w:sz w:val="20"/>
              </w:rPr>
              <w:t xml:space="preserve">(6) </w:t>
            </w:r>
            <w:proofErr w:type="gramStart"/>
            <w:r w:rsidRPr="00377C13">
              <w:rPr>
                <w:rFonts w:ascii="Arial Narrow" w:hAnsi="Arial Narrow"/>
                <w:sz w:val="20"/>
              </w:rPr>
              <w:t>a</w:t>
            </w:r>
            <w:proofErr w:type="gramEnd"/>
            <w:r w:rsidRPr="00377C13">
              <w:rPr>
                <w:rFonts w:ascii="Arial Narrow" w:hAnsi="Arial Narrow"/>
                <w:sz w:val="20"/>
              </w:rPr>
              <w:t xml:space="preserve"> measurement of number of days of CF-related hospitalisation (including hospital in the home) in the previous 6 months.</w:t>
            </w:r>
          </w:p>
        </w:tc>
      </w:tr>
      <w:tr w:rsidR="00EC111F" w:rsidRPr="00377C13" w:rsidTr="00356F81">
        <w:tc>
          <w:tcPr>
            <w:tcW w:w="1272"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b/>
                <w:sz w:val="20"/>
              </w:rPr>
            </w:pPr>
            <w:r w:rsidRPr="00377C13">
              <w:rPr>
                <w:rFonts w:ascii="Arial Narrow" w:hAnsi="Arial Narrow"/>
                <w:b/>
                <w:sz w:val="20"/>
              </w:rPr>
              <w:lastRenderedPageBreak/>
              <w:t>Administrative Advice:</w:t>
            </w:r>
          </w:p>
        </w:tc>
        <w:tc>
          <w:tcPr>
            <w:tcW w:w="3728" w:type="pct"/>
            <w:tcBorders>
              <w:top w:val="single" w:sz="4" w:space="0" w:color="auto"/>
              <w:left w:val="single" w:sz="4" w:space="0" w:color="auto"/>
              <w:bottom w:val="single" w:sz="4" w:space="0" w:color="auto"/>
              <w:right w:val="single" w:sz="4" w:space="0" w:color="auto"/>
            </w:tcBorders>
          </w:tcPr>
          <w:p w:rsidR="00EC111F" w:rsidRPr="00377C13" w:rsidRDefault="00EC111F" w:rsidP="007D3143">
            <w:pPr>
              <w:widowControl/>
              <w:rPr>
                <w:rFonts w:ascii="Arial Narrow" w:hAnsi="Arial Narrow"/>
                <w:sz w:val="20"/>
              </w:rPr>
            </w:pPr>
            <w:r w:rsidRPr="00377C13">
              <w:rPr>
                <w:rFonts w:ascii="Arial Narrow" w:hAnsi="Arial Narrow"/>
                <w:sz w:val="20"/>
              </w:rPr>
              <w:t>Any queries concerning the arrangements to prescribe may be directed to the Department of Human Services on 1800 700 270 (hours of operation 8 a.m. to 5 p.m. EST Monday to Friday).</w:t>
            </w:r>
          </w:p>
          <w:p w:rsidR="00EC111F" w:rsidRPr="00377C13" w:rsidRDefault="00EC111F" w:rsidP="007D3143">
            <w:pPr>
              <w:widowControl/>
              <w:rPr>
                <w:rFonts w:ascii="Arial Narrow" w:hAnsi="Arial Narrow"/>
                <w:sz w:val="20"/>
              </w:rPr>
            </w:pPr>
          </w:p>
          <w:p w:rsidR="00EC111F" w:rsidRPr="00377C13" w:rsidRDefault="00EC111F" w:rsidP="007D3143">
            <w:pPr>
              <w:widowControl/>
              <w:rPr>
                <w:rFonts w:ascii="Arial Narrow" w:hAnsi="Arial Narrow"/>
                <w:sz w:val="20"/>
              </w:rPr>
            </w:pPr>
            <w:r w:rsidRPr="00377C13">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EC111F" w:rsidRPr="00377C13" w:rsidRDefault="00EC111F" w:rsidP="007D3143">
            <w:pPr>
              <w:widowControl/>
              <w:rPr>
                <w:rFonts w:ascii="Arial Narrow" w:hAnsi="Arial Narrow"/>
                <w:sz w:val="20"/>
              </w:rPr>
            </w:pPr>
          </w:p>
          <w:p w:rsidR="00EC111F" w:rsidRPr="00377C13" w:rsidRDefault="00EC111F" w:rsidP="007D3143">
            <w:pPr>
              <w:widowControl/>
              <w:rPr>
                <w:rFonts w:ascii="Arial Narrow" w:hAnsi="Arial Narrow"/>
                <w:sz w:val="20"/>
              </w:rPr>
            </w:pPr>
            <w:r w:rsidRPr="00377C13">
              <w:rPr>
                <w:rFonts w:ascii="Arial Narrow" w:hAnsi="Arial Narrow"/>
                <w:sz w:val="20"/>
              </w:rPr>
              <w:t>Applications for authority to prescribe should be forwarded to:</w:t>
            </w:r>
          </w:p>
          <w:p w:rsidR="00EC111F" w:rsidRPr="00377C13" w:rsidRDefault="00EC111F" w:rsidP="007D3143">
            <w:pPr>
              <w:widowControl/>
              <w:rPr>
                <w:rFonts w:ascii="Arial Narrow" w:hAnsi="Arial Narrow"/>
                <w:sz w:val="20"/>
              </w:rPr>
            </w:pPr>
          </w:p>
          <w:p w:rsidR="00EC111F" w:rsidRPr="00377C13" w:rsidRDefault="00EC111F" w:rsidP="007D3143">
            <w:pPr>
              <w:widowControl/>
              <w:rPr>
                <w:rFonts w:ascii="Arial Narrow" w:hAnsi="Arial Narrow"/>
                <w:sz w:val="20"/>
              </w:rPr>
            </w:pPr>
            <w:r w:rsidRPr="00377C13">
              <w:rPr>
                <w:rFonts w:ascii="Arial Narrow" w:hAnsi="Arial Narrow"/>
                <w:sz w:val="20"/>
              </w:rPr>
              <w:t>Department of Human Services</w:t>
            </w:r>
          </w:p>
          <w:p w:rsidR="00EC111F" w:rsidRPr="00377C13" w:rsidRDefault="00EC111F" w:rsidP="007D3143">
            <w:pPr>
              <w:widowControl/>
              <w:rPr>
                <w:rFonts w:ascii="Arial Narrow" w:hAnsi="Arial Narrow"/>
                <w:sz w:val="20"/>
              </w:rPr>
            </w:pPr>
          </w:p>
          <w:p w:rsidR="00EC111F" w:rsidRPr="00377C13" w:rsidRDefault="00EC111F" w:rsidP="007D3143">
            <w:pPr>
              <w:widowControl/>
              <w:rPr>
                <w:rFonts w:ascii="Arial Narrow" w:hAnsi="Arial Narrow"/>
                <w:sz w:val="20"/>
              </w:rPr>
            </w:pPr>
            <w:r w:rsidRPr="00377C13">
              <w:rPr>
                <w:rFonts w:ascii="Arial Narrow" w:hAnsi="Arial Narrow"/>
                <w:sz w:val="20"/>
              </w:rPr>
              <w:t>Complex Drugs</w:t>
            </w:r>
          </w:p>
          <w:p w:rsidR="00EC111F" w:rsidRPr="00377C13" w:rsidRDefault="00EC111F" w:rsidP="007D3143">
            <w:pPr>
              <w:widowControl/>
              <w:rPr>
                <w:rFonts w:ascii="Arial Narrow" w:hAnsi="Arial Narrow"/>
                <w:sz w:val="20"/>
              </w:rPr>
            </w:pPr>
          </w:p>
          <w:p w:rsidR="00EC111F" w:rsidRPr="00377C13" w:rsidRDefault="00EC111F" w:rsidP="007D3143">
            <w:pPr>
              <w:widowControl/>
              <w:rPr>
                <w:rFonts w:ascii="Arial Narrow" w:hAnsi="Arial Narrow"/>
                <w:sz w:val="20"/>
              </w:rPr>
            </w:pPr>
            <w:r w:rsidRPr="00377C13">
              <w:rPr>
                <w:rFonts w:ascii="Arial Narrow" w:hAnsi="Arial Narrow"/>
                <w:sz w:val="20"/>
              </w:rPr>
              <w:t>Reply Paid 9826</w:t>
            </w:r>
          </w:p>
          <w:p w:rsidR="00EC111F" w:rsidRPr="00377C13" w:rsidRDefault="00EC111F" w:rsidP="007D3143">
            <w:pPr>
              <w:widowControl/>
              <w:rPr>
                <w:rFonts w:ascii="Arial Narrow" w:hAnsi="Arial Narrow"/>
                <w:sz w:val="20"/>
              </w:rPr>
            </w:pPr>
          </w:p>
          <w:p w:rsidR="00EC111F" w:rsidRPr="00377C13" w:rsidRDefault="00EC111F" w:rsidP="007D3143">
            <w:pPr>
              <w:widowControl/>
              <w:rPr>
                <w:rFonts w:ascii="Arial Narrow" w:hAnsi="Arial Narrow"/>
                <w:sz w:val="20"/>
              </w:rPr>
            </w:pPr>
            <w:r w:rsidRPr="00377C13">
              <w:rPr>
                <w:rFonts w:ascii="Arial Narrow" w:hAnsi="Arial Narrow"/>
                <w:sz w:val="20"/>
              </w:rPr>
              <w:t>HOBART TAS 7001</w:t>
            </w:r>
          </w:p>
          <w:p w:rsidR="00EC111F" w:rsidRPr="00377C13" w:rsidRDefault="00EC111F" w:rsidP="007D3143">
            <w:pPr>
              <w:widowControl/>
              <w:rPr>
                <w:rFonts w:ascii="Arial Narrow" w:hAnsi="Arial Narrow"/>
                <w:sz w:val="20"/>
              </w:rPr>
            </w:pPr>
          </w:p>
          <w:p w:rsidR="00EC111F" w:rsidRPr="00377C13" w:rsidRDefault="00EC111F" w:rsidP="007D3143">
            <w:pPr>
              <w:widowControl/>
              <w:rPr>
                <w:rFonts w:ascii="Arial Narrow" w:hAnsi="Arial Narrow"/>
                <w:sz w:val="20"/>
              </w:rPr>
            </w:pPr>
            <w:r w:rsidRPr="00377C13">
              <w:rPr>
                <w:rFonts w:ascii="Arial Narrow" w:hAnsi="Arial Narrow"/>
                <w:sz w:val="20"/>
              </w:rPr>
              <w:t>Special Pricing Arrangements apply.</w:t>
            </w:r>
          </w:p>
          <w:p w:rsidR="00EC111F" w:rsidRPr="00377C13" w:rsidRDefault="00EC111F" w:rsidP="007D3143">
            <w:pPr>
              <w:widowControl/>
              <w:rPr>
                <w:rFonts w:ascii="Arial Narrow" w:hAnsi="Arial Narrow"/>
                <w:sz w:val="20"/>
              </w:rPr>
            </w:pPr>
          </w:p>
          <w:p w:rsidR="00EC111F" w:rsidRPr="00377C13" w:rsidRDefault="00EC111F" w:rsidP="007D3143">
            <w:pPr>
              <w:widowControl/>
              <w:rPr>
                <w:rFonts w:ascii="Arial Narrow" w:hAnsi="Arial Narrow"/>
                <w:sz w:val="20"/>
              </w:rPr>
            </w:pPr>
            <w:r w:rsidRPr="00377C13">
              <w:rPr>
                <w:rFonts w:ascii="Arial Narrow" w:hAnsi="Arial Narrow"/>
                <w:sz w:val="20"/>
              </w:rPr>
              <w:t>No increase in the maximum number of repeats may be authorised.</w:t>
            </w:r>
          </w:p>
        </w:tc>
      </w:tr>
    </w:tbl>
    <w:p w:rsidR="00EC111F" w:rsidRPr="00377C13" w:rsidRDefault="00EC111F" w:rsidP="007D3143">
      <w:pPr>
        <w:widowControl/>
        <w:jc w:val="left"/>
        <w:rPr>
          <w:rFonts w:ascii="Times New Roman" w:hAnsi="Times New Roman" w:cs="Times New Roman"/>
          <w:snapToGrid/>
          <w:szCs w:val="24"/>
        </w:rPr>
      </w:pPr>
    </w:p>
    <w:tbl>
      <w:tblPr>
        <w:tblW w:w="5000" w:type="pct"/>
        <w:tblLook w:val="0000" w:firstRow="0" w:lastRow="0" w:firstColumn="0" w:lastColumn="0" w:noHBand="0" w:noVBand="0"/>
      </w:tblPr>
      <w:tblGrid>
        <w:gridCol w:w="2294"/>
        <w:gridCol w:w="1999"/>
        <w:gridCol w:w="522"/>
        <w:gridCol w:w="614"/>
        <w:gridCol w:w="1033"/>
        <w:gridCol w:w="2565"/>
      </w:tblGrid>
      <w:tr w:rsidR="001E53DB" w:rsidRPr="00377C13" w:rsidTr="00E36250">
        <w:trPr>
          <w:cantSplit/>
          <w:trHeight w:val="471"/>
        </w:trPr>
        <w:tc>
          <w:tcPr>
            <w:tcW w:w="2378" w:type="pct"/>
            <w:gridSpan w:val="2"/>
            <w:tcBorders>
              <w:bottom w:val="single" w:sz="4" w:space="0" w:color="auto"/>
            </w:tcBorders>
          </w:tcPr>
          <w:p w:rsidR="001E53DB" w:rsidRPr="00377C13" w:rsidRDefault="001E53DB" w:rsidP="00E36250">
            <w:pPr>
              <w:keepNext/>
              <w:widowControl/>
              <w:ind w:left="-108"/>
              <w:rPr>
                <w:rFonts w:ascii="Arial Narrow" w:hAnsi="Arial Narrow"/>
                <w:sz w:val="20"/>
              </w:rPr>
            </w:pPr>
            <w:r w:rsidRPr="00377C13">
              <w:rPr>
                <w:rFonts w:ascii="Arial Narrow" w:hAnsi="Arial Narrow"/>
                <w:sz w:val="20"/>
              </w:rPr>
              <w:t>Name, Restriction,</w:t>
            </w:r>
          </w:p>
          <w:p w:rsidR="001E53DB" w:rsidRPr="00377C13" w:rsidRDefault="001E53DB" w:rsidP="00E36250">
            <w:pPr>
              <w:keepNext/>
              <w:widowControl/>
              <w:ind w:left="-108"/>
              <w:rPr>
                <w:rFonts w:ascii="Arial Narrow" w:hAnsi="Arial Narrow"/>
                <w:sz w:val="20"/>
              </w:rPr>
            </w:pPr>
            <w:r w:rsidRPr="00377C13">
              <w:rPr>
                <w:rFonts w:ascii="Arial Narrow" w:hAnsi="Arial Narrow"/>
                <w:sz w:val="20"/>
              </w:rPr>
              <w:t>Manner of administration and form</w:t>
            </w:r>
          </w:p>
        </w:tc>
        <w:tc>
          <w:tcPr>
            <w:tcW w:w="289" w:type="pct"/>
            <w:tcBorders>
              <w:bottom w:val="single" w:sz="4" w:space="0" w:color="auto"/>
            </w:tcBorders>
          </w:tcPr>
          <w:p w:rsidR="001E53DB" w:rsidRPr="00377C13" w:rsidRDefault="001E53DB" w:rsidP="00E36250">
            <w:pPr>
              <w:keepNext/>
              <w:widowControl/>
              <w:ind w:left="-108"/>
              <w:rPr>
                <w:rFonts w:ascii="Arial Narrow" w:hAnsi="Arial Narrow"/>
                <w:sz w:val="20"/>
              </w:rPr>
            </w:pPr>
            <w:r w:rsidRPr="00377C13">
              <w:rPr>
                <w:rFonts w:ascii="Arial Narrow" w:hAnsi="Arial Narrow"/>
                <w:sz w:val="20"/>
              </w:rPr>
              <w:t>Max.</w:t>
            </w:r>
          </w:p>
          <w:p w:rsidR="001E53DB" w:rsidRPr="00377C13" w:rsidRDefault="001E53DB" w:rsidP="00E36250">
            <w:pPr>
              <w:keepNext/>
              <w:widowControl/>
              <w:ind w:left="-108"/>
              <w:rPr>
                <w:rFonts w:ascii="Arial Narrow" w:hAnsi="Arial Narrow"/>
                <w:sz w:val="20"/>
              </w:rPr>
            </w:pPr>
            <w:proofErr w:type="spellStart"/>
            <w:r w:rsidRPr="00377C13">
              <w:rPr>
                <w:rFonts w:ascii="Arial Narrow" w:hAnsi="Arial Narrow"/>
                <w:sz w:val="20"/>
              </w:rPr>
              <w:t>Qty</w:t>
            </w:r>
            <w:proofErr w:type="spellEnd"/>
          </w:p>
        </w:tc>
        <w:tc>
          <w:tcPr>
            <w:tcW w:w="340" w:type="pct"/>
            <w:tcBorders>
              <w:bottom w:val="single" w:sz="4" w:space="0" w:color="auto"/>
            </w:tcBorders>
          </w:tcPr>
          <w:p w:rsidR="001E53DB" w:rsidRPr="00377C13" w:rsidRDefault="001E53DB" w:rsidP="00E36250">
            <w:pPr>
              <w:keepNext/>
              <w:widowControl/>
              <w:ind w:left="-108"/>
              <w:rPr>
                <w:rFonts w:ascii="Arial Narrow" w:hAnsi="Arial Narrow"/>
                <w:sz w:val="20"/>
              </w:rPr>
            </w:pPr>
            <w:r w:rsidRPr="00377C13">
              <w:rPr>
                <w:rFonts w:ascii="Arial Narrow" w:hAnsi="Arial Narrow"/>
                <w:sz w:val="20"/>
              </w:rPr>
              <w:t>№.of</w:t>
            </w:r>
          </w:p>
          <w:p w:rsidR="001E53DB" w:rsidRPr="00377C13" w:rsidRDefault="001E53DB" w:rsidP="00E36250">
            <w:pPr>
              <w:keepNext/>
              <w:widowControl/>
              <w:ind w:left="-108"/>
              <w:rPr>
                <w:rFonts w:ascii="Arial Narrow" w:hAnsi="Arial Narrow"/>
                <w:sz w:val="20"/>
              </w:rPr>
            </w:pPr>
            <w:proofErr w:type="spellStart"/>
            <w:r w:rsidRPr="00377C13">
              <w:rPr>
                <w:rFonts w:ascii="Arial Narrow" w:hAnsi="Arial Narrow"/>
                <w:sz w:val="20"/>
              </w:rPr>
              <w:t>Rpts</w:t>
            </w:r>
            <w:proofErr w:type="spellEnd"/>
          </w:p>
        </w:tc>
        <w:tc>
          <w:tcPr>
            <w:tcW w:w="1993" w:type="pct"/>
            <w:gridSpan w:val="2"/>
            <w:tcBorders>
              <w:bottom w:val="single" w:sz="4" w:space="0" w:color="auto"/>
            </w:tcBorders>
          </w:tcPr>
          <w:p w:rsidR="001E53DB" w:rsidRPr="00377C13" w:rsidRDefault="001E53DB" w:rsidP="00E36250">
            <w:pPr>
              <w:keepNext/>
              <w:widowControl/>
              <w:rPr>
                <w:rFonts w:ascii="Arial Narrow" w:hAnsi="Arial Narrow"/>
                <w:sz w:val="20"/>
              </w:rPr>
            </w:pPr>
            <w:r w:rsidRPr="00377C13">
              <w:rPr>
                <w:rFonts w:ascii="Arial Narrow" w:hAnsi="Arial Narrow"/>
                <w:sz w:val="20"/>
              </w:rPr>
              <w:t>Proprietary Name and Manufacturer</w:t>
            </w:r>
          </w:p>
        </w:tc>
      </w:tr>
      <w:tr w:rsidR="001E53DB" w:rsidRPr="00377C13" w:rsidTr="00E36250">
        <w:trPr>
          <w:cantSplit/>
          <w:trHeight w:val="577"/>
        </w:trPr>
        <w:tc>
          <w:tcPr>
            <w:tcW w:w="2378" w:type="pct"/>
            <w:gridSpan w:val="2"/>
            <w:tcBorders>
              <w:top w:val="single" w:sz="4" w:space="0" w:color="auto"/>
            </w:tcBorders>
          </w:tcPr>
          <w:p w:rsidR="001E53DB" w:rsidRPr="00377C13" w:rsidRDefault="001E53DB" w:rsidP="00E36250">
            <w:pPr>
              <w:keepNext/>
              <w:widowControl/>
              <w:ind w:left="-108"/>
              <w:rPr>
                <w:rFonts w:ascii="Arial Narrow" w:hAnsi="Arial Narrow"/>
                <w:sz w:val="20"/>
              </w:rPr>
            </w:pPr>
            <w:r w:rsidRPr="00377C13">
              <w:rPr>
                <w:rFonts w:ascii="Arial Narrow" w:hAnsi="Arial Narrow"/>
                <w:smallCaps/>
                <w:sz w:val="20"/>
              </w:rPr>
              <w:t>IVACAFTOR</w:t>
            </w:r>
          </w:p>
          <w:p w:rsidR="001E53DB" w:rsidRPr="00377C13" w:rsidRDefault="001E53DB" w:rsidP="00E36250">
            <w:pPr>
              <w:keepNext/>
              <w:widowControl/>
              <w:ind w:left="-108"/>
              <w:rPr>
                <w:rFonts w:ascii="Arial Narrow" w:hAnsi="Arial Narrow"/>
                <w:sz w:val="20"/>
              </w:rPr>
            </w:pPr>
            <w:r w:rsidRPr="00377C13">
              <w:rPr>
                <w:rFonts w:ascii="Arial Narrow" w:hAnsi="Arial Narrow"/>
                <w:sz w:val="20"/>
              </w:rPr>
              <w:t xml:space="preserve">Ivacaftor 150 mg tablet, 56 </w:t>
            </w:r>
          </w:p>
          <w:p w:rsidR="001E53DB" w:rsidRPr="00377C13" w:rsidRDefault="001E53DB" w:rsidP="00E36250">
            <w:pPr>
              <w:keepNext/>
              <w:widowControl/>
              <w:ind w:left="-108"/>
              <w:rPr>
                <w:rFonts w:ascii="Arial Narrow" w:hAnsi="Arial Narrow"/>
                <w:sz w:val="20"/>
              </w:rPr>
            </w:pPr>
          </w:p>
        </w:tc>
        <w:tc>
          <w:tcPr>
            <w:tcW w:w="289" w:type="pct"/>
            <w:tcBorders>
              <w:top w:val="single" w:sz="4" w:space="0" w:color="auto"/>
            </w:tcBorders>
          </w:tcPr>
          <w:p w:rsidR="001E53DB" w:rsidRPr="00377C13" w:rsidRDefault="001E53DB" w:rsidP="00E36250">
            <w:pPr>
              <w:keepNext/>
              <w:widowControl/>
              <w:ind w:left="-108"/>
              <w:rPr>
                <w:rFonts w:ascii="Arial Narrow" w:hAnsi="Arial Narrow"/>
                <w:sz w:val="20"/>
              </w:rPr>
            </w:pPr>
          </w:p>
          <w:p w:rsidR="001E53DB" w:rsidRPr="00377C13" w:rsidRDefault="001E53DB" w:rsidP="00E36250">
            <w:pPr>
              <w:keepNext/>
              <w:widowControl/>
              <w:ind w:left="-108"/>
              <w:rPr>
                <w:rFonts w:ascii="Arial Narrow" w:hAnsi="Arial Narrow"/>
                <w:sz w:val="20"/>
              </w:rPr>
            </w:pPr>
            <w:r w:rsidRPr="00377C13">
              <w:rPr>
                <w:rFonts w:ascii="Arial Narrow" w:hAnsi="Arial Narrow"/>
                <w:sz w:val="20"/>
              </w:rPr>
              <w:t>1</w:t>
            </w:r>
          </w:p>
          <w:p w:rsidR="001E53DB" w:rsidRPr="00377C13" w:rsidRDefault="001E53DB" w:rsidP="00E36250">
            <w:pPr>
              <w:keepNext/>
              <w:widowControl/>
              <w:ind w:left="-108"/>
              <w:rPr>
                <w:rFonts w:ascii="Arial Narrow" w:hAnsi="Arial Narrow"/>
                <w:sz w:val="20"/>
              </w:rPr>
            </w:pPr>
            <w:r w:rsidRPr="00377C13">
              <w:rPr>
                <w:rFonts w:ascii="Arial Narrow" w:hAnsi="Arial Narrow"/>
                <w:sz w:val="20"/>
              </w:rPr>
              <w:t>1</w:t>
            </w:r>
          </w:p>
        </w:tc>
        <w:tc>
          <w:tcPr>
            <w:tcW w:w="340" w:type="pct"/>
            <w:tcBorders>
              <w:top w:val="single" w:sz="4" w:space="0" w:color="auto"/>
            </w:tcBorders>
          </w:tcPr>
          <w:p w:rsidR="001E53DB" w:rsidRPr="00377C13" w:rsidRDefault="001E53DB" w:rsidP="00E36250">
            <w:pPr>
              <w:keepNext/>
              <w:widowControl/>
              <w:ind w:left="-108"/>
              <w:rPr>
                <w:rFonts w:ascii="Arial Narrow" w:hAnsi="Arial Narrow"/>
                <w:sz w:val="20"/>
              </w:rPr>
            </w:pPr>
          </w:p>
          <w:p w:rsidR="001E53DB" w:rsidRPr="00377C13" w:rsidRDefault="001E53DB" w:rsidP="00E36250">
            <w:pPr>
              <w:keepNext/>
              <w:widowControl/>
              <w:ind w:left="-108"/>
              <w:rPr>
                <w:rFonts w:ascii="Arial Narrow" w:hAnsi="Arial Narrow"/>
                <w:sz w:val="20"/>
              </w:rPr>
            </w:pPr>
            <w:r w:rsidRPr="00377C13">
              <w:rPr>
                <w:rFonts w:ascii="Arial Narrow" w:hAnsi="Arial Narrow"/>
                <w:sz w:val="20"/>
              </w:rPr>
              <w:t>5</w:t>
            </w:r>
          </w:p>
          <w:p w:rsidR="001E53DB" w:rsidRPr="00377C13" w:rsidRDefault="001E53DB" w:rsidP="00E36250">
            <w:pPr>
              <w:keepNext/>
              <w:widowControl/>
              <w:ind w:left="-108"/>
              <w:rPr>
                <w:rFonts w:ascii="Arial Narrow" w:hAnsi="Arial Narrow"/>
                <w:sz w:val="20"/>
              </w:rPr>
            </w:pPr>
            <w:r w:rsidRPr="00377C13">
              <w:rPr>
                <w:rFonts w:ascii="Arial Narrow" w:hAnsi="Arial Narrow"/>
                <w:sz w:val="20"/>
              </w:rPr>
              <w:t>5</w:t>
            </w:r>
          </w:p>
        </w:tc>
        <w:tc>
          <w:tcPr>
            <w:tcW w:w="572" w:type="pct"/>
            <w:tcBorders>
              <w:top w:val="single" w:sz="4" w:space="0" w:color="auto"/>
            </w:tcBorders>
          </w:tcPr>
          <w:p w:rsidR="001E53DB" w:rsidRPr="00377C13" w:rsidRDefault="001E53DB" w:rsidP="00E36250">
            <w:pPr>
              <w:keepNext/>
              <w:widowControl/>
              <w:rPr>
                <w:rFonts w:ascii="Arial Narrow" w:hAnsi="Arial Narrow"/>
                <w:sz w:val="20"/>
              </w:rPr>
            </w:pPr>
          </w:p>
          <w:p w:rsidR="001E53DB" w:rsidRPr="00377C13" w:rsidRDefault="00377C13" w:rsidP="00E36250">
            <w:pPr>
              <w:keepNext/>
              <w:widowControl/>
              <w:rPr>
                <w:rFonts w:ascii="Arial Narrow" w:hAnsi="Arial Narrow"/>
                <w:sz w:val="20"/>
              </w:rPr>
            </w:pPr>
            <w:proofErr w:type="spellStart"/>
            <w:r w:rsidRPr="00377C13">
              <w:rPr>
                <w:rFonts w:ascii="Arial Narrow" w:hAnsi="Arial Narrow"/>
                <w:sz w:val="20"/>
              </w:rPr>
              <w:t>Kalydeco</w:t>
            </w:r>
            <w:proofErr w:type="spellEnd"/>
            <w:r w:rsidRPr="00377C13" w:rsidDel="00377C13">
              <w:rPr>
                <w:rFonts w:ascii="Arial Narrow" w:hAnsi="Arial Narrow"/>
                <w:sz w:val="20"/>
              </w:rPr>
              <w:t xml:space="preserve"> </w:t>
            </w:r>
            <w:r w:rsidR="001E53DB" w:rsidRPr="00377C13">
              <w:rPr>
                <w:rFonts w:ascii="Arial Narrow" w:hAnsi="Arial Narrow"/>
                <w:sz w:val="20"/>
              </w:rPr>
              <w:t>®</w:t>
            </w:r>
          </w:p>
        </w:tc>
        <w:tc>
          <w:tcPr>
            <w:tcW w:w="1421" w:type="pct"/>
            <w:tcBorders>
              <w:top w:val="single" w:sz="4" w:space="0" w:color="auto"/>
            </w:tcBorders>
          </w:tcPr>
          <w:p w:rsidR="001E53DB" w:rsidRPr="00377C13" w:rsidRDefault="001E53DB" w:rsidP="00E36250">
            <w:pPr>
              <w:keepNext/>
              <w:widowControl/>
              <w:rPr>
                <w:rFonts w:ascii="Arial Narrow" w:hAnsi="Arial Narrow"/>
                <w:sz w:val="20"/>
              </w:rPr>
            </w:pPr>
          </w:p>
          <w:p w:rsidR="001E53DB" w:rsidRPr="00377C13" w:rsidRDefault="001E53DB" w:rsidP="00E36250">
            <w:pPr>
              <w:keepNext/>
              <w:widowControl/>
              <w:jc w:val="left"/>
              <w:rPr>
                <w:rFonts w:ascii="Arial Narrow" w:hAnsi="Arial Narrow"/>
                <w:sz w:val="20"/>
              </w:rPr>
            </w:pPr>
            <w:r w:rsidRPr="00377C13">
              <w:rPr>
                <w:rFonts w:ascii="Arial Narrow" w:hAnsi="Arial Narrow"/>
                <w:sz w:val="20"/>
              </w:rPr>
              <w:t>Vertex Pharmaceuticals (Australia) Pty Ltd</w:t>
            </w:r>
          </w:p>
        </w:tc>
      </w:tr>
      <w:tr w:rsidR="001E53DB" w:rsidRPr="00377C13" w:rsidTr="001E53DB">
        <w:tc>
          <w:tcPr>
            <w:tcW w:w="1271"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 xml:space="preserve">Category / </w:t>
            </w:r>
          </w:p>
          <w:p w:rsidR="001E53DB" w:rsidRPr="00377C13" w:rsidRDefault="001E53DB" w:rsidP="00E36250">
            <w:pPr>
              <w:widowControl/>
              <w:rPr>
                <w:rFonts w:ascii="Arial Narrow" w:hAnsi="Arial Narrow"/>
                <w:b/>
                <w:sz w:val="20"/>
              </w:rPr>
            </w:pPr>
            <w:r w:rsidRPr="00377C13">
              <w:rPr>
                <w:rFonts w:ascii="Arial Narrow" w:hAnsi="Arial Narrow"/>
                <w:b/>
                <w:sz w:val="20"/>
              </w:rPr>
              <w:t>Program</w:t>
            </w:r>
          </w:p>
        </w:tc>
        <w:tc>
          <w:tcPr>
            <w:tcW w:w="3724" w:type="pct"/>
            <w:gridSpan w:val="5"/>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t>Section 100 – Highly Specialised Drugs Program</w:t>
            </w:r>
          </w:p>
          <w:p w:rsidR="001E53DB" w:rsidRPr="00377C13" w:rsidRDefault="001E53DB" w:rsidP="00E36250">
            <w:pPr>
              <w:widowControl/>
              <w:rPr>
                <w:rFonts w:ascii="Arial Narrow" w:hAnsi="Arial Narrow"/>
                <w:sz w:val="20"/>
              </w:rPr>
            </w:pPr>
          </w:p>
        </w:tc>
      </w:tr>
      <w:tr w:rsidR="001E53DB" w:rsidRPr="00377C13" w:rsidTr="001E53DB">
        <w:tc>
          <w:tcPr>
            <w:tcW w:w="1271"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Prescriber type:</w:t>
            </w:r>
          </w:p>
          <w:p w:rsidR="001E53DB" w:rsidRPr="00377C13" w:rsidRDefault="001E53DB" w:rsidP="00E36250">
            <w:pPr>
              <w:widowControl/>
              <w:rPr>
                <w:rFonts w:ascii="Arial Narrow" w:hAnsi="Arial Narrow"/>
                <w:b/>
                <w:sz w:val="20"/>
              </w:rPr>
            </w:pPr>
          </w:p>
        </w:tc>
        <w:tc>
          <w:tcPr>
            <w:tcW w:w="3724" w:type="pct"/>
            <w:gridSpan w:val="5"/>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Check1"/>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 xml:space="preserve">Dental  </w:t>
            </w:r>
            <w:r w:rsidRPr="00377C13">
              <w:rPr>
                <w:rFonts w:ascii="Arial Narrow" w:hAnsi="Arial Narrow"/>
                <w:sz w:val="20"/>
              </w:rPr>
              <w:fldChar w:fldCharType="begin">
                <w:ffData>
                  <w:name w:val=""/>
                  <w:enabled/>
                  <w:calcOnExit w:val="0"/>
                  <w:checkBox>
                    <w:sizeAuto/>
                    <w:default w:val="1"/>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 xml:space="preserve">Medical Practitioners  </w:t>
            </w:r>
            <w:r w:rsidRPr="00377C13">
              <w:rPr>
                <w:rFonts w:ascii="Arial Narrow" w:hAnsi="Arial Narrow"/>
                <w:sz w:val="20"/>
              </w:rPr>
              <w:fldChar w:fldCharType="begin">
                <w:ffData>
                  <w:name w:val="Check3"/>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 xml:space="preserve">Nurse practitioners  </w:t>
            </w:r>
            <w:r w:rsidRPr="00377C13">
              <w:rPr>
                <w:rFonts w:ascii="Arial Narrow" w:hAnsi="Arial Narrow"/>
                <w:sz w:val="20"/>
              </w:rPr>
              <w:fldChar w:fldCharType="begin">
                <w:ffData>
                  <w:name w:val=""/>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Optometrists</w:t>
            </w:r>
          </w:p>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Check5"/>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Midwives</w:t>
            </w:r>
          </w:p>
        </w:tc>
      </w:tr>
      <w:tr w:rsidR="001E53DB" w:rsidRPr="00377C13" w:rsidTr="001E53DB">
        <w:tc>
          <w:tcPr>
            <w:tcW w:w="1271"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PBS Indication:</w:t>
            </w:r>
          </w:p>
        </w:tc>
        <w:tc>
          <w:tcPr>
            <w:tcW w:w="3724" w:type="pct"/>
            <w:gridSpan w:val="5"/>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trike/>
                <w:sz w:val="20"/>
              </w:rPr>
            </w:pPr>
            <w:r w:rsidRPr="00377C13">
              <w:rPr>
                <w:rFonts w:ascii="Arial Narrow" w:hAnsi="Arial Narrow"/>
                <w:sz w:val="20"/>
              </w:rPr>
              <w:t>Cystic Fibrosis</w:t>
            </w:r>
          </w:p>
        </w:tc>
      </w:tr>
      <w:tr w:rsidR="001E53DB" w:rsidRPr="00377C13" w:rsidTr="001E53DB">
        <w:trPr>
          <w:trHeight w:val="157"/>
        </w:trPr>
        <w:tc>
          <w:tcPr>
            <w:tcW w:w="1271"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Treatment phase:</w:t>
            </w:r>
          </w:p>
        </w:tc>
        <w:tc>
          <w:tcPr>
            <w:tcW w:w="3724" w:type="pct"/>
            <w:gridSpan w:val="5"/>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t xml:space="preserve">Initial treatment – New patients </w:t>
            </w:r>
          </w:p>
        </w:tc>
      </w:tr>
      <w:tr w:rsidR="001E53DB" w:rsidRPr="00377C13" w:rsidTr="001E53DB">
        <w:tc>
          <w:tcPr>
            <w:tcW w:w="1271"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Restriction:</w:t>
            </w:r>
          </w:p>
          <w:p w:rsidR="001E53DB" w:rsidRPr="00377C13" w:rsidRDefault="001E53DB" w:rsidP="00E36250">
            <w:pPr>
              <w:widowControl/>
              <w:rPr>
                <w:rFonts w:ascii="Arial Narrow" w:hAnsi="Arial Narrow"/>
                <w:i/>
                <w:sz w:val="20"/>
              </w:rPr>
            </w:pPr>
          </w:p>
        </w:tc>
        <w:tc>
          <w:tcPr>
            <w:tcW w:w="3724" w:type="pct"/>
            <w:gridSpan w:val="5"/>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Check1"/>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Restricted benefit</w:t>
            </w:r>
          </w:p>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
                  <w:enabled/>
                  <w:calcOnExit w:val="0"/>
                  <w:checkBox>
                    <w:sizeAuto/>
                    <w:default w:val="1"/>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In Writing</w:t>
            </w:r>
          </w:p>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Check3"/>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Telephone</w:t>
            </w:r>
          </w:p>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Emergency</w:t>
            </w:r>
          </w:p>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Check5"/>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Electronic</w:t>
            </w:r>
          </w:p>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Check5"/>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Streamlined</w:t>
            </w:r>
          </w:p>
        </w:tc>
      </w:tr>
      <w:tr w:rsidR="001E53DB" w:rsidRPr="00377C13" w:rsidTr="001E53DB">
        <w:tc>
          <w:tcPr>
            <w:tcW w:w="1271"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Clinical criteria:</w:t>
            </w:r>
          </w:p>
          <w:p w:rsidR="001E53DB" w:rsidRPr="00377C13" w:rsidRDefault="001E53DB" w:rsidP="00E36250">
            <w:pPr>
              <w:widowControl/>
              <w:rPr>
                <w:rFonts w:ascii="Arial Narrow" w:hAnsi="Arial Narrow"/>
                <w:i/>
                <w:sz w:val="20"/>
              </w:rPr>
            </w:pPr>
          </w:p>
        </w:tc>
        <w:tc>
          <w:tcPr>
            <w:tcW w:w="3724" w:type="pct"/>
            <w:gridSpan w:val="5"/>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p w:rsidR="001E53DB" w:rsidRPr="00377C13" w:rsidRDefault="001E53DB" w:rsidP="00E36250">
            <w:pPr>
              <w:widowControl/>
              <w:rPr>
                <w:rFonts w:ascii="Arial Narrow" w:hAnsi="Arial Narrow"/>
                <w:sz w:val="20"/>
              </w:rPr>
            </w:pPr>
            <w:r w:rsidRPr="00377C13">
              <w:rPr>
                <w:rFonts w:ascii="Arial Narrow" w:hAnsi="Arial Narrow"/>
                <w:sz w:val="20"/>
              </w:rPr>
              <w:t>AND</w:t>
            </w:r>
          </w:p>
          <w:p w:rsidR="001E53DB" w:rsidRPr="00377C13" w:rsidRDefault="001E53DB" w:rsidP="00E36250">
            <w:pPr>
              <w:widowControl/>
              <w:rPr>
                <w:rFonts w:ascii="Arial Narrow" w:hAnsi="Arial Narrow"/>
                <w:sz w:val="20"/>
              </w:rPr>
            </w:pPr>
            <w:r w:rsidRPr="00377C13">
              <w:rPr>
                <w:rFonts w:ascii="Arial Narrow" w:hAnsi="Arial Narrow"/>
                <w:sz w:val="20"/>
              </w:rPr>
              <w:t>Patient must have G551D mutation in the cystic fibrosis transmembrane conductance regulator (CFTR) gene on at least 1 allele; or</w:t>
            </w:r>
          </w:p>
          <w:p w:rsidR="001E53DB" w:rsidRPr="00377C13" w:rsidRDefault="001E53DB" w:rsidP="00E36250">
            <w:pPr>
              <w:widowControl/>
              <w:rPr>
                <w:rFonts w:ascii="Arial Narrow" w:hAnsi="Arial Narrow"/>
                <w:sz w:val="20"/>
              </w:rPr>
            </w:pPr>
            <w:r w:rsidRPr="00377C13">
              <w:rPr>
                <w:rFonts w:ascii="Arial Narrow" w:hAnsi="Arial Narrow"/>
                <w:sz w:val="20"/>
              </w:rPr>
              <w:t>Patient must have other gating (class III) mutation in the CFTR gene on at least 1 allele;</w:t>
            </w:r>
          </w:p>
          <w:p w:rsidR="001E53DB" w:rsidRPr="00377C13" w:rsidRDefault="001E53DB" w:rsidP="00E36250">
            <w:pPr>
              <w:widowControl/>
              <w:rPr>
                <w:rFonts w:ascii="Arial Narrow" w:hAnsi="Arial Narrow"/>
                <w:sz w:val="20"/>
              </w:rPr>
            </w:pPr>
            <w:r w:rsidRPr="00377C13">
              <w:rPr>
                <w:rFonts w:ascii="Arial Narrow" w:hAnsi="Arial Narrow"/>
                <w:sz w:val="20"/>
              </w:rPr>
              <w:t>AND</w:t>
            </w:r>
          </w:p>
          <w:p w:rsidR="001E53DB" w:rsidRPr="00377C13" w:rsidRDefault="001E53DB" w:rsidP="00E36250">
            <w:pPr>
              <w:widowControl/>
              <w:rPr>
                <w:rFonts w:ascii="Arial Narrow" w:hAnsi="Arial Narrow"/>
                <w:sz w:val="20"/>
              </w:rPr>
            </w:pPr>
            <w:r w:rsidRPr="00377C13">
              <w:rPr>
                <w:rFonts w:ascii="Arial Narrow" w:hAnsi="Arial Narrow"/>
                <w:sz w:val="20"/>
              </w:rPr>
              <w:t xml:space="preserve">Patient must have a sweat chloride value of at least 60 </w:t>
            </w:r>
            <w:proofErr w:type="spellStart"/>
            <w:r w:rsidRPr="00377C13">
              <w:rPr>
                <w:rFonts w:ascii="Arial Narrow" w:hAnsi="Arial Narrow"/>
                <w:sz w:val="20"/>
              </w:rPr>
              <w:t>mmol</w:t>
            </w:r>
            <w:proofErr w:type="spellEnd"/>
            <w:r w:rsidRPr="00377C13">
              <w:rPr>
                <w:rFonts w:ascii="Arial Narrow" w:hAnsi="Arial Narrow"/>
                <w:sz w:val="20"/>
              </w:rPr>
              <w:t>/L by quantitative pilocarpine iontophoresis;</w:t>
            </w:r>
          </w:p>
          <w:p w:rsidR="001E53DB" w:rsidRPr="00377C13" w:rsidRDefault="001E53DB" w:rsidP="00E36250">
            <w:pPr>
              <w:widowControl/>
              <w:rPr>
                <w:rFonts w:ascii="Arial Narrow" w:hAnsi="Arial Narrow"/>
                <w:sz w:val="20"/>
              </w:rPr>
            </w:pPr>
            <w:r w:rsidRPr="00377C13">
              <w:rPr>
                <w:rFonts w:ascii="Arial Narrow" w:hAnsi="Arial Narrow"/>
                <w:sz w:val="20"/>
              </w:rPr>
              <w:t>AND</w:t>
            </w:r>
          </w:p>
          <w:p w:rsidR="001E53DB" w:rsidRPr="00377C13" w:rsidRDefault="001E53DB" w:rsidP="00E36250">
            <w:pPr>
              <w:widowControl/>
              <w:rPr>
                <w:rFonts w:ascii="Arial Narrow" w:hAnsi="Arial Narrow"/>
                <w:sz w:val="20"/>
              </w:rPr>
            </w:pPr>
            <w:r w:rsidRPr="00377C13">
              <w:rPr>
                <w:rFonts w:ascii="Arial Narrow" w:hAnsi="Arial Narrow"/>
                <w:sz w:val="20"/>
              </w:rPr>
              <w:t>Patient must not receive more than 24 weeks of treatment under this restriction;</w:t>
            </w:r>
          </w:p>
          <w:p w:rsidR="001E53DB" w:rsidRPr="00377C13" w:rsidRDefault="001E53DB" w:rsidP="00E36250">
            <w:pPr>
              <w:widowControl/>
              <w:rPr>
                <w:rFonts w:ascii="Arial Narrow" w:hAnsi="Arial Narrow"/>
                <w:sz w:val="20"/>
              </w:rPr>
            </w:pPr>
            <w:r w:rsidRPr="00377C13">
              <w:rPr>
                <w:rFonts w:ascii="Arial Narrow" w:hAnsi="Arial Narrow"/>
                <w:sz w:val="20"/>
              </w:rPr>
              <w:t xml:space="preserve">AND </w:t>
            </w:r>
          </w:p>
          <w:p w:rsidR="001E53DB" w:rsidRPr="00377C13" w:rsidRDefault="001E53DB" w:rsidP="00E36250">
            <w:pPr>
              <w:widowControl/>
              <w:rPr>
                <w:rFonts w:ascii="Arial Narrow" w:hAnsi="Arial Narrow"/>
                <w:sz w:val="20"/>
              </w:rPr>
            </w:pPr>
            <w:r w:rsidRPr="00377C13">
              <w:rPr>
                <w:rFonts w:ascii="Arial Narrow" w:hAnsi="Arial Narrow"/>
                <w:sz w:val="20"/>
              </w:rPr>
              <w:t>The treatment must be given concomitantly with standard therapy for this condition.</w:t>
            </w:r>
          </w:p>
        </w:tc>
      </w:tr>
      <w:tr w:rsidR="001E53DB" w:rsidRPr="00377C13" w:rsidTr="001E53DB">
        <w:tc>
          <w:tcPr>
            <w:tcW w:w="1271"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i/>
                <w:sz w:val="20"/>
              </w:rPr>
            </w:pPr>
            <w:r w:rsidRPr="00377C13">
              <w:rPr>
                <w:rFonts w:ascii="Arial Narrow" w:hAnsi="Arial Narrow"/>
                <w:b/>
                <w:sz w:val="20"/>
              </w:rPr>
              <w:lastRenderedPageBreak/>
              <w:t>Population criteria:</w:t>
            </w:r>
          </w:p>
        </w:tc>
        <w:tc>
          <w:tcPr>
            <w:tcW w:w="3724" w:type="pct"/>
            <w:gridSpan w:val="5"/>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t xml:space="preserve">Patient must be aged </w:t>
            </w:r>
            <w:r w:rsidRPr="00377C13">
              <w:rPr>
                <w:rFonts w:ascii="Arial Narrow" w:hAnsi="Arial Narrow"/>
                <w:i/>
                <w:sz w:val="20"/>
              </w:rPr>
              <w:t>12 months</w:t>
            </w:r>
            <w:r w:rsidRPr="00377C13">
              <w:rPr>
                <w:rFonts w:ascii="Arial Narrow" w:hAnsi="Arial Narrow"/>
                <w:sz w:val="20"/>
              </w:rPr>
              <w:t xml:space="preserve"> </w:t>
            </w:r>
            <w:r w:rsidRPr="00377C13">
              <w:rPr>
                <w:rFonts w:ascii="Arial Narrow" w:hAnsi="Arial Narrow"/>
                <w:strike/>
                <w:sz w:val="20"/>
              </w:rPr>
              <w:t>2 years</w:t>
            </w:r>
            <w:r w:rsidRPr="00377C13">
              <w:rPr>
                <w:rFonts w:ascii="Arial Narrow" w:hAnsi="Arial Narrow"/>
                <w:sz w:val="20"/>
              </w:rPr>
              <w:t xml:space="preserve"> or older.</w:t>
            </w:r>
          </w:p>
        </w:tc>
      </w:tr>
      <w:tr w:rsidR="001E53DB" w:rsidRPr="00377C13" w:rsidTr="001E53DB">
        <w:tc>
          <w:tcPr>
            <w:tcW w:w="1271"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Prescriber Instructions:</w:t>
            </w:r>
          </w:p>
        </w:tc>
        <w:tc>
          <w:tcPr>
            <w:tcW w:w="3724" w:type="pct"/>
            <w:gridSpan w:val="5"/>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t>Patients receiving PBS-subsidised ivacaftor must be registered in the Australian Cystic Fibrosis Database Registry.</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Treatment must not be given to a patient who has an acute upper or lower respiratory infection, pulmonary exacerbation, or changes in therapy (including antibiotics) for pulmonary disease in the last 4 weeks prior to commencing this drug.</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Dosage of ivacaftor must not exceed the dose of one tablet (150 mg) or one sachet twice a week, if the patient is concomitantly receiving one of the following strong CYP3A4 drugs inhibitors: </w:t>
            </w:r>
            <w:proofErr w:type="spellStart"/>
            <w:r w:rsidRPr="00377C13">
              <w:rPr>
                <w:rFonts w:ascii="Arial Narrow" w:hAnsi="Arial Narrow"/>
                <w:sz w:val="20"/>
              </w:rPr>
              <w:t>boceprevir</w:t>
            </w:r>
            <w:proofErr w:type="spellEnd"/>
            <w:r w:rsidRPr="00377C13">
              <w:rPr>
                <w:rFonts w:ascii="Arial Narrow" w:hAnsi="Arial Narrow"/>
                <w:sz w:val="20"/>
              </w:rPr>
              <w:t xml:space="preserve">, clarithromycin, </w:t>
            </w:r>
            <w:proofErr w:type="spellStart"/>
            <w:r w:rsidRPr="00377C13">
              <w:rPr>
                <w:rFonts w:ascii="Arial Narrow" w:hAnsi="Arial Narrow"/>
                <w:sz w:val="20"/>
              </w:rPr>
              <w:t>conivaptan</w:t>
            </w:r>
            <w:proofErr w:type="spellEnd"/>
            <w:r w:rsidRPr="00377C13">
              <w:rPr>
                <w:rFonts w:ascii="Arial Narrow" w:hAnsi="Arial Narrow"/>
                <w:sz w:val="20"/>
              </w:rPr>
              <w:t xml:space="preserve">, </w:t>
            </w:r>
            <w:proofErr w:type="spellStart"/>
            <w:r w:rsidRPr="00377C13">
              <w:rPr>
                <w:rFonts w:ascii="Arial Narrow" w:hAnsi="Arial Narrow"/>
                <w:sz w:val="20"/>
              </w:rPr>
              <w:t>indinavir</w:t>
            </w:r>
            <w:proofErr w:type="spellEnd"/>
            <w:r w:rsidRPr="00377C13">
              <w:rPr>
                <w:rFonts w:ascii="Arial Narrow" w:hAnsi="Arial Narrow"/>
                <w:sz w:val="20"/>
              </w:rPr>
              <w:t xml:space="preserve">, </w:t>
            </w:r>
            <w:proofErr w:type="spellStart"/>
            <w:r w:rsidRPr="00377C13">
              <w:rPr>
                <w:rFonts w:ascii="Arial Narrow" w:hAnsi="Arial Narrow"/>
                <w:sz w:val="20"/>
              </w:rPr>
              <w:t>itraconazole</w:t>
            </w:r>
            <w:proofErr w:type="spellEnd"/>
            <w:r w:rsidRPr="00377C13">
              <w:rPr>
                <w:rFonts w:ascii="Arial Narrow" w:hAnsi="Arial Narrow"/>
                <w:sz w:val="20"/>
              </w:rPr>
              <w:t xml:space="preserve">, ketoconazole, </w:t>
            </w:r>
            <w:proofErr w:type="spellStart"/>
            <w:r w:rsidRPr="00377C13">
              <w:rPr>
                <w:rFonts w:ascii="Arial Narrow" w:hAnsi="Arial Narrow"/>
                <w:sz w:val="20"/>
              </w:rPr>
              <w:t>lopinavir</w:t>
            </w:r>
            <w:proofErr w:type="spellEnd"/>
            <w:r w:rsidRPr="00377C13">
              <w:rPr>
                <w:rFonts w:ascii="Arial Narrow" w:hAnsi="Arial Narrow"/>
                <w:sz w:val="20"/>
              </w:rPr>
              <w:t xml:space="preserve">/ritonavir, </w:t>
            </w:r>
            <w:proofErr w:type="spellStart"/>
            <w:r w:rsidRPr="00377C13">
              <w:rPr>
                <w:rFonts w:ascii="Arial Narrow" w:hAnsi="Arial Narrow"/>
                <w:sz w:val="20"/>
              </w:rPr>
              <w:t>mibefradil</w:t>
            </w:r>
            <w:proofErr w:type="spellEnd"/>
            <w:r w:rsidRPr="00377C13">
              <w:rPr>
                <w:rFonts w:ascii="Arial Narrow" w:hAnsi="Arial Narrow"/>
                <w:sz w:val="20"/>
              </w:rPr>
              <w:t xml:space="preserve">, </w:t>
            </w:r>
            <w:proofErr w:type="spellStart"/>
            <w:r w:rsidRPr="00377C13">
              <w:rPr>
                <w:rFonts w:ascii="Arial Narrow" w:hAnsi="Arial Narrow"/>
                <w:sz w:val="20"/>
              </w:rPr>
              <w:t>nefazodone</w:t>
            </w:r>
            <w:proofErr w:type="spellEnd"/>
            <w:r w:rsidRPr="00377C13">
              <w:rPr>
                <w:rFonts w:ascii="Arial Narrow" w:hAnsi="Arial Narrow"/>
                <w:sz w:val="20"/>
              </w:rPr>
              <w:t xml:space="preserve">, nelfinavir, </w:t>
            </w:r>
            <w:proofErr w:type="spellStart"/>
            <w:r w:rsidRPr="00377C13">
              <w:rPr>
                <w:rFonts w:ascii="Arial Narrow" w:hAnsi="Arial Narrow"/>
                <w:sz w:val="20"/>
              </w:rPr>
              <w:t>posaconazole</w:t>
            </w:r>
            <w:proofErr w:type="spellEnd"/>
            <w:r w:rsidRPr="00377C13">
              <w:rPr>
                <w:rFonts w:ascii="Arial Narrow" w:hAnsi="Arial Narrow"/>
                <w:sz w:val="20"/>
              </w:rPr>
              <w:t xml:space="preserve">, ritonavir, </w:t>
            </w:r>
            <w:proofErr w:type="spellStart"/>
            <w:r w:rsidRPr="00377C13">
              <w:rPr>
                <w:rFonts w:ascii="Arial Narrow" w:hAnsi="Arial Narrow"/>
                <w:sz w:val="20"/>
              </w:rPr>
              <w:t>saquinavir</w:t>
            </w:r>
            <w:proofErr w:type="spellEnd"/>
            <w:r w:rsidRPr="00377C13">
              <w:rPr>
                <w:rFonts w:ascii="Arial Narrow" w:hAnsi="Arial Narrow"/>
                <w:sz w:val="20"/>
              </w:rPr>
              <w:t xml:space="preserve">, </w:t>
            </w:r>
            <w:proofErr w:type="spellStart"/>
            <w:r w:rsidRPr="00377C13">
              <w:rPr>
                <w:rFonts w:ascii="Arial Narrow" w:hAnsi="Arial Narrow"/>
                <w:sz w:val="20"/>
              </w:rPr>
              <w:t>telaprevir</w:t>
            </w:r>
            <w:proofErr w:type="spellEnd"/>
            <w:r w:rsidRPr="00377C13">
              <w:rPr>
                <w:rFonts w:ascii="Arial Narrow" w:hAnsi="Arial Narrow"/>
                <w:sz w:val="20"/>
              </w:rPr>
              <w:t xml:space="preserve">, </w:t>
            </w:r>
            <w:proofErr w:type="spellStart"/>
            <w:r w:rsidRPr="00377C13">
              <w:rPr>
                <w:rFonts w:ascii="Arial Narrow" w:hAnsi="Arial Narrow"/>
                <w:sz w:val="20"/>
              </w:rPr>
              <w:t>telithromycin</w:t>
            </w:r>
            <w:proofErr w:type="spellEnd"/>
            <w:r w:rsidRPr="00377C13">
              <w:rPr>
                <w:rFonts w:ascii="Arial Narrow" w:hAnsi="Arial Narrow"/>
                <w:sz w:val="20"/>
              </w:rPr>
              <w:t xml:space="preserve">, </w:t>
            </w:r>
            <w:proofErr w:type="spellStart"/>
            <w:r w:rsidRPr="00377C13">
              <w:rPr>
                <w:rFonts w:ascii="Arial Narrow" w:hAnsi="Arial Narrow"/>
                <w:sz w:val="20"/>
              </w:rPr>
              <w:t>voriconazole</w:t>
            </w:r>
            <w:proofErr w:type="spellEnd"/>
            <w:r w:rsidRPr="00377C13">
              <w:rPr>
                <w:rFonts w:ascii="Arial Narrow" w:hAnsi="Arial Narrow"/>
                <w:sz w:val="20"/>
              </w:rPr>
              <w:t>. Where a patient is concomitantly receiving a strong CYP3A4 inhibitor, a single supply of 56 tablets or sachets of ivacaftor will last for 28 weeks.</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Dosage of ivacaftor must not exceed the dose of one tablet (150 mg) or one sachet once daily, if the patient is concomitantly receiving one of the following moderate CYP3A4 inhibitors: </w:t>
            </w:r>
            <w:proofErr w:type="spellStart"/>
            <w:r w:rsidRPr="00377C13">
              <w:rPr>
                <w:rFonts w:ascii="Arial Narrow" w:hAnsi="Arial Narrow"/>
                <w:sz w:val="20"/>
              </w:rPr>
              <w:t>amprenavir</w:t>
            </w:r>
            <w:proofErr w:type="spellEnd"/>
            <w:r w:rsidRPr="00377C13">
              <w:rPr>
                <w:rFonts w:ascii="Arial Narrow" w:hAnsi="Arial Narrow"/>
                <w:sz w:val="20"/>
              </w:rPr>
              <w:t xml:space="preserve">, </w:t>
            </w:r>
            <w:proofErr w:type="spellStart"/>
            <w:r w:rsidRPr="00377C13">
              <w:rPr>
                <w:rFonts w:ascii="Arial Narrow" w:hAnsi="Arial Narrow"/>
                <w:sz w:val="20"/>
              </w:rPr>
              <w:t>aprepitant</w:t>
            </w:r>
            <w:proofErr w:type="spellEnd"/>
            <w:r w:rsidRPr="00377C13">
              <w:rPr>
                <w:rFonts w:ascii="Arial Narrow" w:hAnsi="Arial Narrow"/>
                <w:sz w:val="20"/>
              </w:rPr>
              <w:t xml:space="preserve">, </w:t>
            </w:r>
            <w:proofErr w:type="spellStart"/>
            <w:r w:rsidRPr="00377C13">
              <w:rPr>
                <w:rFonts w:ascii="Arial Narrow" w:hAnsi="Arial Narrow"/>
                <w:sz w:val="20"/>
              </w:rPr>
              <w:t>atazanavir</w:t>
            </w:r>
            <w:proofErr w:type="spellEnd"/>
            <w:r w:rsidRPr="00377C13">
              <w:rPr>
                <w:rFonts w:ascii="Arial Narrow" w:hAnsi="Arial Narrow"/>
                <w:sz w:val="20"/>
              </w:rPr>
              <w:t xml:space="preserve">, </w:t>
            </w:r>
            <w:proofErr w:type="spellStart"/>
            <w:r w:rsidRPr="00377C13">
              <w:rPr>
                <w:rFonts w:ascii="Arial Narrow" w:hAnsi="Arial Narrow"/>
                <w:sz w:val="20"/>
              </w:rPr>
              <w:t>darunavir</w:t>
            </w:r>
            <w:proofErr w:type="spellEnd"/>
            <w:r w:rsidRPr="00377C13">
              <w:rPr>
                <w:rFonts w:ascii="Arial Narrow" w:hAnsi="Arial Narrow"/>
                <w:sz w:val="20"/>
              </w:rPr>
              <w:t xml:space="preserve">/ritonavir, diltiazem, erythromycin, fluconazole, </w:t>
            </w:r>
            <w:proofErr w:type="spellStart"/>
            <w:r w:rsidRPr="00377C13">
              <w:rPr>
                <w:rFonts w:ascii="Arial Narrow" w:hAnsi="Arial Narrow"/>
                <w:sz w:val="20"/>
              </w:rPr>
              <w:t>fosamprenavir</w:t>
            </w:r>
            <w:proofErr w:type="spellEnd"/>
            <w:r w:rsidRPr="00377C13">
              <w:rPr>
                <w:rFonts w:ascii="Arial Narrow" w:hAnsi="Arial Narrow"/>
                <w:sz w:val="20"/>
              </w:rPr>
              <w:t xml:space="preserve">, </w:t>
            </w:r>
            <w:proofErr w:type="spellStart"/>
            <w:r w:rsidRPr="00377C13">
              <w:rPr>
                <w:rFonts w:ascii="Arial Narrow" w:hAnsi="Arial Narrow"/>
                <w:sz w:val="20"/>
              </w:rPr>
              <w:t>imatinib</w:t>
            </w:r>
            <w:proofErr w:type="spellEnd"/>
            <w:r w:rsidRPr="00377C13">
              <w:rPr>
                <w:rFonts w:ascii="Arial Narrow" w:hAnsi="Arial Narrow"/>
                <w:sz w:val="20"/>
              </w:rPr>
              <w:t>, verapamil. Where a patient is concomitantly receiving a moderate CYP3A4 inhibitor, a single supply of 56 tablets or sachets of ivacaftor will last for 8 weeks.</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Ivacaftor is not PBS-subsidised for this condition as a sole therapy.</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Ivacaftor is not PBS-subsidised for this condition in a patient who is currently receiving one of the following CYP3A4 inducers:</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Strong CYP3A4 inducers: </w:t>
            </w:r>
            <w:proofErr w:type="spellStart"/>
            <w:r w:rsidRPr="00377C13">
              <w:rPr>
                <w:rFonts w:ascii="Arial Narrow" w:hAnsi="Arial Narrow"/>
                <w:sz w:val="20"/>
              </w:rPr>
              <w:t>avasimibe</w:t>
            </w:r>
            <w:proofErr w:type="spellEnd"/>
            <w:r w:rsidRPr="00377C13">
              <w:rPr>
                <w:rFonts w:ascii="Arial Narrow" w:hAnsi="Arial Narrow"/>
                <w:sz w:val="20"/>
              </w:rPr>
              <w:t xml:space="preserve">, carbamazepine, phenobarbital, phenytoin, </w:t>
            </w:r>
            <w:proofErr w:type="spellStart"/>
            <w:r w:rsidRPr="00377C13">
              <w:rPr>
                <w:rFonts w:ascii="Arial Narrow" w:hAnsi="Arial Narrow"/>
                <w:sz w:val="20"/>
              </w:rPr>
              <w:t>rifabutin</w:t>
            </w:r>
            <w:proofErr w:type="spellEnd"/>
            <w:r w:rsidRPr="00377C13">
              <w:rPr>
                <w:rFonts w:ascii="Arial Narrow" w:hAnsi="Arial Narrow"/>
                <w:sz w:val="20"/>
              </w:rPr>
              <w:t xml:space="preserve">, rifampicin, St. John's </w:t>
            </w:r>
            <w:proofErr w:type="spellStart"/>
            <w:r w:rsidRPr="00377C13">
              <w:rPr>
                <w:rFonts w:ascii="Arial Narrow" w:hAnsi="Arial Narrow"/>
                <w:sz w:val="20"/>
              </w:rPr>
              <w:t>wort</w:t>
            </w:r>
            <w:proofErr w:type="spellEnd"/>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Moderate CYP3A4 inducers: </w:t>
            </w:r>
            <w:proofErr w:type="spellStart"/>
            <w:r w:rsidRPr="00377C13">
              <w:rPr>
                <w:rFonts w:ascii="Arial Narrow" w:hAnsi="Arial Narrow"/>
                <w:sz w:val="20"/>
              </w:rPr>
              <w:t>bosentan</w:t>
            </w:r>
            <w:proofErr w:type="spellEnd"/>
            <w:r w:rsidRPr="00377C13">
              <w:rPr>
                <w:rFonts w:ascii="Arial Narrow" w:hAnsi="Arial Narrow"/>
                <w:sz w:val="20"/>
              </w:rPr>
              <w:t xml:space="preserve">, </w:t>
            </w:r>
            <w:proofErr w:type="spellStart"/>
            <w:r w:rsidRPr="00377C13">
              <w:rPr>
                <w:rFonts w:ascii="Arial Narrow" w:hAnsi="Arial Narrow"/>
                <w:sz w:val="20"/>
              </w:rPr>
              <w:t>efavirenz</w:t>
            </w:r>
            <w:proofErr w:type="spellEnd"/>
            <w:r w:rsidRPr="00377C13">
              <w:rPr>
                <w:rFonts w:ascii="Arial Narrow" w:hAnsi="Arial Narrow"/>
                <w:sz w:val="20"/>
              </w:rPr>
              <w:t xml:space="preserve">, </w:t>
            </w:r>
            <w:proofErr w:type="spellStart"/>
            <w:r w:rsidRPr="00377C13">
              <w:rPr>
                <w:rFonts w:ascii="Arial Narrow" w:hAnsi="Arial Narrow"/>
                <w:sz w:val="20"/>
              </w:rPr>
              <w:t>etravirine</w:t>
            </w:r>
            <w:proofErr w:type="spellEnd"/>
            <w:r w:rsidRPr="00377C13">
              <w:rPr>
                <w:rFonts w:ascii="Arial Narrow" w:hAnsi="Arial Narrow"/>
                <w:sz w:val="20"/>
              </w:rPr>
              <w:t xml:space="preserve">, </w:t>
            </w:r>
            <w:proofErr w:type="spellStart"/>
            <w:r w:rsidRPr="00377C13">
              <w:rPr>
                <w:rFonts w:ascii="Arial Narrow" w:hAnsi="Arial Narrow"/>
                <w:sz w:val="20"/>
              </w:rPr>
              <w:t>modafinil</w:t>
            </w:r>
            <w:proofErr w:type="spellEnd"/>
            <w:r w:rsidRPr="00377C13">
              <w:rPr>
                <w:rFonts w:ascii="Arial Narrow" w:hAnsi="Arial Narrow"/>
                <w:sz w:val="20"/>
              </w:rPr>
              <w:t xml:space="preserve">, </w:t>
            </w:r>
            <w:proofErr w:type="spellStart"/>
            <w:r w:rsidRPr="00377C13">
              <w:rPr>
                <w:rFonts w:ascii="Arial Narrow" w:hAnsi="Arial Narrow"/>
                <w:sz w:val="20"/>
              </w:rPr>
              <w:t>nafcillin</w:t>
            </w:r>
            <w:proofErr w:type="spellEnd"/>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Weak CYP3A4 inducers: </w:t>
            </w:r>
            <w:proofErr w:type="spellStart"/>
            <w:r w:rsidRPr="00377C13">
              <w:rPr>
                <w:rFonts w:ascii="Arial Narrow" w:hAnsi="Arial Narrow"/>
                <w:sz w:val="20"/>
              </w:rPr>
              <w:t>armodafinil</w:t>
            </w:r>
            <w:proofErr w:type="spellEnd"/>
            <w:r w:rsidRPr="00377C13">
              <w:rPr>
                <w:rFonts w:ascii="Arial Narrow" w:hAnsi="Arial Narrow"/>
                <w:sz w:val="20"/>
              </w:rPr>
              <w:t xml:space="preserve">, </w:t>
            </w:r>
            <w:proofErr w:type="spellStart"/>
            <w:r w:rsidRPr="00377C13">
              <w:rPr>
                <w:rFonts w:ascii="Arial Narrow" w:hAnsi="Arial Narrow"/>
                <w:sz w:val="20"/>
              </w:rPr>
              <w:t>echinacea</w:t>
            </w:r>
            <w:proofErr w:type="spellEnd"/>
            <w:r w:rsidRPr="00377C13">
              <w:rPr>
                <w:rFonts w:ascii="Arial Narrow" w:hAnsi="Arial Narrow"/>
                <w:sz w:val="20"/>
              </w:rPr>
              <w:t xml:space="preserve">, pioglitazone, </w:t>
            </w:r>
            <w:proofErr w:type="spellStart"/>
            <w:r w:rsidRPr="00377C13">
              <w:rPr>
                <w:rFonts w:ascii="Arial Narrow" w:hAnsi="Arial Narrow"/>
                <w:sz w:val="20"/>
              </w:rPr>
              <w:t>rufinamide</w:t>
            </w:r>
            <w:proofErr w:type="spellEnd"/>
            <w:r w:rsidRPr="00377C13">
              <w:rPr>
                <w:rFonts w:ascii="Arial Narrow" w:hAnsi="Arial Narrow"/>
                <w:sz w:val="20"/>
              </w:rPr>
              <w:t>.</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The authority application must be in writing and must include:</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(1) a completed authority prescription form;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(2) a completed Cystic Fibrosis Ivacaftor Authority Application Supporting Information Form;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(3) a signed patient acknowledgement; or an acknowledgement signed by a parent or authorised guardian, if applicable;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(4) a copy of the pathology report detailing the molecular testing for G551D mutation or other gating (class III) mutation on the CFTR gene;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(5) </w:t>
            </w:r>
            <w:proofErr w:type="gramStart"/>
            <w:r w:rsidRPr="00377C13">
              <w:rPr>
                <w:rFonts w:ascii="Arial Narrow" w:hAnsi="Arial Narrow"/>
                <w:sz w:val="20"/>
              </w:rPr>
              <w:t>the</w:t>
            </w:r>
            <w:proofErr w:type="gramEnd"/>
            <w:r w:rsidRPr="00377C13">
              <w:rPr>
                <w:rFonts w:ascii="Arial Narrow" w:hAnsi="Arial Narrow"/>
                <w:sz w:val="20"/>
              </w:rPr>
              <w:t xml:space="preserve"> result of a FEV1 measurement performed within a month prior to the date of application, if aged from 6 years or older. Note: FEV1, must be measured in an accredited pulmonary function laboratory, with documented no acute infective exacerbation at the time FEV1 is measured;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(6) a copy of a current medication history, including any CYP3A4 inhibitors and/or CYP3A4 inducers;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(7) a copy of a sweat chloride result;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(8) height and weight measurements at the time of application;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(9) </w:t>
            </w:r>
            <w:proofErr w:type="gramStart"/>
            <w:r w:rsidRPr="00377C13">
              <w:rPr>
                <w:rFonts w:ascii="Arial Narrow" w:hAnsi="Arial Narrow"/>
                <w:sz w:val="20"/>
              </w:rPr>
              <w:t>a</w:t>
            </w:r>
            <w:proofErr w:type="gramEnd"/>
            <w:r w:rsidRPr="00377C13">
              <w:rPr>
                <w:rFonts w:ascii="Arial Narrow" w:hAnsi="Arial Narrow"/>
                <w:sz w:val="20"/>
              </w:rPr>
              <w:t xml:space="preserve"> baseline measurement of the number of days of CF-related hospitalisation (including hospital-in-the home) in the previous 12 months.</w:t>
            </w:r>
          </w:p>
        </w:tc>
      </w:tr>
      <w:tr w:rsidR="001E53DB" w:rsidRPr="00377C13" w:rsidTr="001E53DB">
        <w:tc>
          <w:tcPr>
            <w:tcW w:w="1271"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lastRenderedPageBreak/>
              <w:t>Administrative Advice:</w:t>
            </w:r>
          </w:p>
        </w:tc>
        <w:tc>
          <w:tcPr>
            <w:tcW w:w="3724" w:type="pct"/>
            <w:gridSpan w:val="5"/>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t>Any queries concerning the arrangements to prescribe may be directed to the Department of Human Services on 1800 700 270 (hours of operation 8 a.m. to 5 p.m. EST Monday to Friday).</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Applications for authority to prescribe should be forwarded to:</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Department of Human Services</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Complex Drugs</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Reply Paid 9826</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HOBART TAS 7001</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Special Pricing Arrangements apply.</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No increase in the maximum number of repeats may be authorised.</w:t>
            </w:r>
          </w:p>
        </w:tc>
      </w:tr>
    </w:tbl>
    <w:p w:rsidR="009C5FEB" w:rsidRPr="00377C13" w:rsidRDefault="009C5FEB" w:rsidP="007D3143">
      <w:pPr>
        <w:widowControl/>
        <w:contextualSpacing/>
        <w:jc w:val="left"/>
        <w:rPr>
          <w:rFonts w:cs="Calibri"/>
          <w:snapToGrid/>
          <w:szCs w:val="24"/>
          <w:lang w:eastAsia="en-AU"/>
        </w:rPr>
      </w:pPr>
    </w:p>
    <w:tbl>
      <w:tblPr>
        <w:tblW w:w="5000" w:type="pct"/>
        <w:tblLook w:val="0000" w:firstRow="0" w:lastRow="0" w:firstColumn="0" w:lastColumn="0" w:noHBand="0" w:noVBand="0"/>
      </w:tblPr>
      <w:tblGrid>
        <w:gridCol w:w="2294"/>
        <w:gridCol w:w="6723"/>
      </w:tblGrid>
      <w:tr w:rsidR="001E53DB" w:rsidRPr="00377C13" w:rsidTr="001E53DB">
        <w:tc>
          <w:tcPr>
            <w:tcW w:w="1272"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 xml:space="preserve">Category / </w:t>
            </w:r>
          </w:p>
          <w:p w:rsidR="001E53DB" w:rsidRPr="00377C13" w:rsidRDefault="001E53DB" w:rsidP="00E36250">
            <w:pPr>
              <w:widowControl/>
              <w:rPr>
                <w:rFonts w:ascii="Arial Narrow" w:hAnsi="Arial Narrow"/>
                <w:b/>
                <w:sz w:val="20"/>
              </w:rPr>
            </w:pPr>
            <w:r w:rsidRPr="00377C13">
              <w:rPr>
                <w:rFonts w:ascii="Arial Narrow" w:hAnsi="Arial Narrow"/>
                <w:b/>
                <w:sz w:val="20"/>
              </w:rPr>
              <w:t>Program</w:t>
            </w:r>
          </w:p>
        </w:tc>
        <w:tc>
          <w:tcPr>
            <w:tcW w:w="3728"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t>Section 100 – Highly Specialised Drugs Program</w:t>
            </w:r>
          </w:p>
          <w:p w:rsidR="001E53DB" w:rsidRPr="00377C13" w:rsidRDefault="001E53DB" w:rsidP="00E36250">
            <w:pPr>
              <w:widowControl/>
              <w:rPr>
                <w:rFonts w:ascii="Arial Narrow" w:hAnsi="Arial Narrow"/>
                <w:sz w:val="20"/>
              </w:rPr>
            </w:pPr>
          </w:p>
        </w:tc>
      </w:tr>
      <w:tr w:rsidR="001E53DB" w:rsidRPr="00377C13" w:rsidTr="001E53DB">
        <w:tc>
          <w:tcPr>
            <w:tcW w:w="1272"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Prescriber type:</w:t>
            </w:r>
          </w:p>
          <w:p w:rsidR="001E53DB" w:rsidRPr="00377C13" w:rsidRDefault="001E53DB" w:rsidP="00E36250">
            <w:pPr>
              <w:widowControl/>
              <w:rPr>
                <w:rFonts w:ascii="Arial Narrow" w:hAnsi="Arial Narrow"/>
                <w:b/>
                <w:sz w:val="20"/>
              </w:rPr>
            </w:pPr>
          </w:p>
        </w:tc>
        <w:tc>
          <w:tcPr>
            <w:tcW w:w="3728"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Check1"/>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 xml:space="preserve">Dental  </w:t>
            </w:r>
            <w:r w:rsidRPr="00377C13">
              <w:rPr>
                <w:rFonts w:ascii="Arial Narrow" w:hAnsi="Arial Narrow"/>
                <w:sz w:val="20"/>
              </w:rPr>
              <w:fldChar w:fldCharType="begin">
                <w:ffData>
                  <w:name w:val=""/>
                  <w:enabled/>
                  <w:calcOnExit w:val="0"/>
                  <w:checkBox>
                    <w:sizeAuto/>
                    <w:default w:val="1"/>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 xml:space="preserve">Medical Practitioners  </w:t>
            </w:r>
            <w:r w:rsidRPr="00377C13">
              <w:rPr>
                <w:rFonts w:ascii="Arial Narrow" w:hAnsi="Arial Narrow"/>
                <w:sz w:val="20"/>
              </w:rPr>
              <w:fldChar w:fldCharType="begin">
                <w:ffData>
                  <w:name w:val="Check3"/>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 xml:space="preserve">Nurse practitioners  </w:t>
            </w:r>
            <w:r w:rsidRPr="00377C13">
              <w:rPr>
                <w:rFonts w:ascii="Arial Narrow" w:hAnsi="Arial Narrow"/>
                <w:sz w:val="20"/>
              </w:rPr>
              <w:fldChar w:fldCharType="begin">
                <w:ffData>
                  <w:name w:val=""/>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Optometrists</w:t>
            </w:r>
          </w:p>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Check5"/>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Midwives</w:t>
            </w:r>
          </w:p>
        </w:tc>
      </w:tr>
      <w:tr w:rsidR="001E53DB" w:rsidRPr="00377C13" w:rsidTr="001E53DB">
        <w:tc>
          <w:tcPr>
            <w:tcW w:w="1272"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PBS Indication:</w:t>
            </w:r>
          </w:p>
        </w:tc>
        <w:tc>
          <w:tcPr>
            <w:tcW w:w="3728"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trike/>
                <w:sz w:val="20"/>
              </w:rPr>
            </w:pPr>
            <w:r w:rsidRPr="00377C13">
              <w:rPr>
                <w:rFonts w:ascii="Arial Narrow" w:hAnsi="Arial Narrow"/>
                <w:sz w:val="20"/>
              </w:rPr>
              <w:t>Cystic Fibrosis</w:t>
            </w:r>
          </w:p>
        </w:tc>
      </w:tr>
      <w:tr w:rsidR="001E53DB" w:rsidRPr="00377C13" w:rsidTr="001E53DB">
        <w:trPr>
          <w:trHeight w:val="157"/>
        </w:trPr>
        <w:tc>
          <w:tcPr>
            <w:tcW w:w="1272"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Treatment phase:</w:t>
            </w:r>
          </w:p>
        </w:tc>
        <w:tc>
          <w:tcPr>
            <w:tcW w:w="3728"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t xml:space="preserve">Continuing treatment  </w:t>
            </w:r>
          </w:p>
        </w:tc>
      </w:tr>
      <w:tr w:rsidR="001E53DB" w:rsidRPr="00377C13" w:rsidTr="001E53DB">
        <w:tc>
          <w:tcPr>
            <w:tcW w:w="1272"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Restriction:</w:t>
            </w:r>
          </w:p>
          <w:p w:rsidR="001E53DB" w:rsidRPr="00377C13" w:rsidRDefault="001E53DB" w:rsidP="00E36250">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Check1"/>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Restricted benefit</w:t>
            </w:r>
          </w:p>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
                  <w:enabled/>
                  <w:calcOnExit w:val="0"/>
                  <w:checkBox>
                    <w:sizeAuto/>
                    <w:default w:val="1"/>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In Writing</w:t>
            </w:r>
          </w:p>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Check3"/>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Telephone</w:t>
            </w:r>
          </w:p>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Emergency</w:t>
            </w:r>
          </w:p>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Check5"/>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Authority Required - Electronic</w:t>
            </w:r>
          </w:p>
          <w:p w:rsidR="001E53DB" w:rsidRPr="00377C13" w:rsidRDefault="001E53DB" w:rsidP="00E36250">
            <w:pPr>
              <w:widowControl/>
              <w:rPr>
                <w:rFonts w:ascii="Arial Narrow" w:hAnsi="Arial Narrow"/>
                <w:sz w:val="20"/>
              </w:rPr>
            </w:pPr>
            <w:r w:rsidRPr="00377C13">
              <w:rPr>
                <w:rFonts w:ascii="Arial Narrow" w:hAnsi="Arial Narrow"/>
                <w:sz w:val="20"/>
              </w:rPr>
              <w:fldChar w:fldCharType="begin">
                <w:ffData>
                  <w:name w:val="Check5"/>
                  <w:enabled/>
                  <w:calcOnExit w:val="0"/>
                  <w:checkBox>
                    <w:sizeAuto/>
                    <w:default w:val="0"/>
                  </w:checkBox>
                </w:ffData>
              </w:fldChar>
            </w:r>
            <w:r w:rsidRPr="00377C13">
              <w:rPr>
                <w:rFonts w:ascii="Arial Narrow" w:hAnsi="Arial Narrow"/>
                <w:sz w:val="20"/>
              </w:rPr>
              <w:instrText xml:space="preserve"> FORMCHECKBOX </w:instrText>
            </w:r>
            <w:r w:rsidR="00B47A0D">
              <w:rPr>
                <w:rFonts w:ascii="Arial Narrow" w:hAnsi="Arial Narrow"/>
                <w:sz w:val="20"/>
              </w:rPr>
            </w:r>
            <w:r w:rsidR="00B47A0D">
              <w:rPr>
                <w:rFonts w:ascii="Arial Narrow" w:hAnsi="Arial Narrow"/>
                <w:sz w:val="20"/>
              </w:rPr>
              <w:fldChar w:fldCharType="separate"/>
            </w:r>
            <w:r w:rsidRPr="00377C13">
              <w:rPr>
                <w:rFonts w:ascii="Arial Narrow" w:hAnsi="Arial Narrow"/>
                <w:sz w:val="20"/>
              </w:rPr>
              <w:fldChar w:fldCharType="end"/>
            </w:r>
            <w:r w:rsidRPr="00377C13">
              <w:rPr>
                <w:rFonts w:ascii="Arial Narrow" w:hAnsi="Arial Narrow"/>
                <w:sz w:val="20"/>
              </w:rPr>
              <w:t>Streamlined</w:t>
            </w:r>
          </w:p>
        </w:tc>
      </w:tr>
      <w:tr w:rsidR="001E53DB" w:rsidRPr="00377C13" w:rsidTr="001E53DB">
        <w:tc>
          <w:tcPr>
            <w:tcW w:w="1272"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t>Clinical criteria:</w:t>
            </w:r>
          </w:p>
          <w:p w:rsidR="001E53DB" w:rsidRPr="00377C13" w:rsidRDefault="001E53DB" w:rsidP="00E36250">
            <w:pPr>
              <w:widowControl/>
              <w:rPr>
                <w:rFonts w:ascii="Arial Narrow" w:hAnsi="Arial Narrow"/>
                <w:i/>
                <w:sz w:val="20"/>
              </w:rPr>
            </w:pPr>
          </w:p>
        </w:tc>
        <w:tc>
          <w:tcPr>
            <w:tcW w:w="3728"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t>Patient must be assessed through a cystic fibrosis clinic/centre which is under the control of specialist respiratory physicians with experience and expertise in the management of cystic fibrosis. If attendance at such a unit is not possible because of geographical isolation, management (including prescribing) may be in consultation with such a unit;</w:t>
            </w:r>
          </w:p>
          <w:p w:rsidR="001E53DB" w:rsidRPr="00377C13" w:rsidRDefault="001E53DB" w:rsidP="00E36250">
            <w:pPr>
              <w:widowControl/>
              <w:rPr>
                <w:rFonts w:ascii="Arial Narrow" w:hAnsi="Arial Narrow"/>
                <w:sz w:val="20"/>
              </w:rPr>
            </w:pPr>
            <w:r w:rsidRPr="00377C13">
              <w:rPr>
                <w:rFonts w:ascii="Arial Narrow" w:hAnsi="Arial Narrow"/>
                <w:sz w:val="20"/>
              </w:rPr>
              <w:t>AND</w:t>
            </w:r>
          </w:p>
          <w:p w:rsidR="001E53DB" w:rsidRPr="00377C13" w:rsidRDefault="001E53DB" w:rsidP="00E36250">
            <w:pPr>
              <w:widowControl/>
              <w:rPr>
                <w:rFonts w:ascii="Arial Narrow" w:hAnsi="Arial Narrow"/>
                <w:sz w:val="20"/>
              </w:rPr>
            </w:pPr>
            <w:r w:rsidRPr="00377C13">
              <w:rPr>
                <w:rFonts w:ascii="Arial Narrow" w:hAnsi="Arial Narrow"/>
                <w:sz w:val="20"/>
              </w:rPr>
              <w:t>Patient must have received PBS-subsidised initial therapy with ivacaftor, given concomitantly with standard therapy, for this condition;</w:t>
            </w:r>
          </w:p>
          <w:p w:rsidR="001E53DB" w:rsidRPr="00377C13" w:rsidRDefault="001E53DB" w:rsidP="00E36250">
            <w:pPr>
              <w:widowControl/>
              <w:rPr>
                <w:rFonts w:ascii="Arial Narrow" w:hAnsi="Arial Narrow"/>
                <w:sz w:val="20"/>
              </w:rPr>
            </w:pPr>
            <w:r w:rsidRPr="00377C13">
              <w:rPr>
                <w:rFonts w:ascii="Arial Narrow" w:hAnsi="Arial Narrow"/>
                <w:sz w:val="20"/>
              </w:rPr>
              <w:t>AND</w:t>
            </w:r>
          </w:p>
          <w:p w:rsidR="001E53DB" w:rsidRPr="00377C13" w:rsidRDefault="001E53DB" w:rsidP="00E36250">
            <w:pPr>
              <w:widowControl/>
              <w:rPr>
                <w:rFonts w:ascii="Arial Narrow" w:hAnsi="Arial Narrow"/>
                <w:sz w:val="20"/>
              </w:rPr>
            </w:pPr>
            <w:r w:rsidRPr="00377C13">
              <w:rPr>
                <w:rFonts w:ascii="Arial Narrow" w:hAnsi="Arial Narrow"/>
                <w:sz w:val="20"/>
              </w:rPr>
              <w:t>Patient must not receive more than 24 weeks of treatment under this restriction;</w:t>
            </w:r>
          </w:p>
          <w:p w:rsidR="001E53DB" w:rsidRPr="00377C13" w:rsidRDefault="001E53DB" w:rsidP="00E36250">
            <w:pPr>
              <w:widowControl/>
              <w:rPr>
                <w:rFonts w:ascii="Arial Narrow" w:hAnsi="Arial Narrow"/>
                <w:sz w:val="20"/>
              </w:rPr>
            </w:pPr>
            <w:r w:rsidRPr="00377C13">
              <w:rPr>
                <w:rFonts w:ascii="Arial Narrow" w:hAnsi="Arial Narrow"/>
                <w:sz w:val="20"/>
              </w:rPr>
              <w:t xml:space="preserve">AND </w:t>
            </w:r>
          </w:p>
          <w:p w:rsidR="001E53DB" w:rsidRPr="00377C13" w:rsidRDefault="001E53DB" w:rsidP="00E36250">
            <w:pPr>
              <w:widowControl/>
              <w:rPr>
                <w:rFonts w:ascii="Arial Narrow" w:hAnsi="Arial Narrow"/>
                <w:sz w:val="20"/>
              </w:rPr>
            </w:pPr>
            <w:r w:rsidRPr="00377C13">
              <w:rPr>
                <w:rFonts w:ascii="Arial Narrow" w:hAnsi="Arial Narrow"/>
                <w:sz w:val="20"/>
              </w:rPr>
              <w:t>The treatment must be given concomitantly with standard therapy for this condition.</w:t>
            </w:r>
          </w:p>
        </w:tc>
      </w:tr>
      <w:tr w:rsidR="001E53DB" w:rsidRPr="00377C13" w:rsidTr="001E53DB">
        <w:tc>
          <w:tcPr>
            <w:tcW w:w="1272"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i/>
                <w:sz w:val="20"/>
              </w:rPr>
            </w:pPr>
            <w:r w:rsidRPr="00377C13">
              <w:rPr>
                <w:rFonts w:ascii="Arial Narrow" w:hAnsi="Arial Narrow"/>
                <w:b/>
                <w:sz w:val="20"/>
              </w:rPr>
              <w:t>Population criteria:</w:t>
            </w:r>
          </w:p>
        </w:tc>
        <w:tc>
          <w:tcPr>
            <w:tcW w:w="3728"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t xml:space="preserve">Patient must be aged </w:t>
            </w:r>
            <w:r w:rsidRPr="00377C13">
              <w:rPr>
                <w:rFonts w:ascii="Arial Narrow" w:hAnsi="Arial Narrow"/>
                <w:i/>
                <w:sz w:val="20"/>
              </w:rPr>
              <w:t>12 months</w:t>
            </w:r>
            <w:r w:rsidRPr="00377C13">
              <w:rPr>
                <w:rFonts w:ascii="Arial Narrow" w:hAnsi="Arial Narrow"/>
                <w:sz w:val="20"/>
              </w:rPr>
              <w:t xml:space="preserve"> </w:t>
            </w:r>
            <w:r w:rsidRPr="00377C13">
              <w:rPr>
                <w:rFonts w:ascii="Arial Narrow" w:hAnsi="Arial Narrow"/>
                <w:strike/>
                <w:sz w:val="20"/>
              </w:rPr>
              <w:t>2 years</w:t>
            </w:r>
            <w:r w:rsidRPr="00377C13">
              <w:rPr>
                <w:rFonts w:ascii="Arial Narrow" w:hAnsi="Arial Narrow"/>
                <w:sz w:val="20"/>
              </w:rPr>
              <w:t xml:space="preserve"> or older.</w:t>
            </w:r>
          </w:p>
        </w:tc>
      </w:tr>
      <w:tr w:rsidR="001E53DB" w:rsidRPr="00377C13" w:rsidTr="001E53DB">
        <w:tc>
          <w:tcPr>
            <w:tcW w:w="1272"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lastRenderedPageBreak/>
              <w:t>Prescriber Instructions:</w:t>
            </w:r>
          </w:p>
        </w:tc>
        <w:tc>
          <w:tcPr>
            <w:tcW w:w="3728"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t>Patients receiving PBS-subsidised ivacaftor must be registered in the Australian Cystic Fibrosis Database Registry.</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Treatment must not be given to a patient who has an acute upper or lower respiratory infection, pulmonary exacerbation, or changes in therapy (including antibiotics) for pulmonary disease in the last 4 weeks prior to commencing this drug.</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Patients who have an acute infective exacerbation at the time of assessment for continuing therapy may receive an additional one month's supply in order to enable the assessment to be repeated following resolution of the exacerbation.</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Dosage of ivacaftor must not exceed the dose of one tablet (150 mg) or one sachet twice a week, if the patient is concomitantly receiving one of the following strong CYP3A4 drugs inhibitors: </w:t>
            </w:r>
            <w:proofErr w:type="spellStart"/>
            <w:r w:rsidRPr="00377C13">
              <w:rPr>
                <w:rFonts w:ascii="Arial Narrow" w:hAnsi="Arial Narrow"/>
                <w:sz w:val="20"/>
              </w:rPr>
              <w:t>boceprevir</w:t>
            </w:r>
            <w:proofErr w:type="spellEnd"/>
            <w:r w:rsidRPr="00377C13">
              <w:rPr>
                <w:rFonts w:ascii="Arial Narrow" w:hAnsi="Arial Narrow"/>
                <w:sz w:val="20"/>
              </w:rPr>
              <w:t xml:space="preserve">, clarithromycin, </w:t>
            </w:r>
            <w:proofErr w:type="spellStart"/>
            <w:r w:rsidRPr="00377C13">
              <w:rPr>
                <w:rFonts w:ascii="Arial Narrow" w:hAnsi="Arial Narrow"/>
                <w:sz w:val="20"/>
              </w:rPr>
              <w:t>conivaptan</w:t>
            </w:r>
            <w:proofErr w:type="spellEnd"/>
            <w:r w:rsidRPr="00377C13">
              <w:rPr>
                <w:rFonts w:ascii="Arial Narrow" w:hAnsi="Arial Narrow"/>
                <w:sz w:val="20"/>
              </w:rPr>
              <w:t xml:space="preserve">, </w:t>
            </w:r>
            <w:proofErr w:type="spellStart"/>
            <w:r w:rsidRPr="00377C13">
              <w:rPr>
                <w:rFonts w:ascii="Arial Narrow" w:hAnsi="Arial Narrow"/>
                <w:sz w:val="20"/>
              </w:rPr>
              <w:t>indinavir</w:t>
            </w:r>
            <w:proofErr w:type="spellEnd"/>
            <w:r w:rsidRPr="00377C13">
              <w:rPr>
                <w:rFonts w:ascii="Arial Narrow" w:hAnsi="Arial Narrow"/>
                <w:sz w:val="20"/>
              </w:rPr>
              <w:t xml:space="preserve">, </w:t>
            </w:r>
            <w:proofErr w:type="spellStart"/>
            <w:r w:rsidRPr="00377C13">
              <w:rPr>
                <w:rFonts w:ascii="Arial Narrow" w:hAnsi="Arial Narrow"/>
                <w:sz w:val="20"/>
              </w:rPr>
              <w:t>itraconazole</w:t>
            </w:r>
            <w:proofErr w:type="spellEnd"/>
            <w:r w:rsidRPr="00377C13">
              <w:rPr>
                <w:rFonts w:ascii="Arial Narrow" w:hAnsi="Arial Narrow"/>
                <w:sz w:val="20"/>
              </w:rPr>
              <w:t xml:space="preserve">, ketoconazole, </w:t>
            </w:r>
            <w:proofErr w:type="spellStart"/>
            <w:r w:rsidRPr="00377C13">
              <w:rPr>
                <w:rFonts w:ascii="Arial Narrow" w:hAnsi="Arial Narrow"/>
                <w:sz w:val="20"/>
              </w:rPr>
              <w:t>lopinavir</w:t>
            </w:r>
            <w:proofErr w:type="spellEnd"/>
            <w:r w:rsidRPr="00377C13">
              <w:rPr>
                <w:rFonts w:ascii="Arial Narrow" w:hAnsi="Arial Narrow"/>
                <w:sz w:val="20"/>
              </w:rPr>
              <w:t xml:space="preserve">/ritonavir, </w:t>
            </w:r>
            <w:proofErr w:type="spellStart"/>
            <w:r w:rsidRPr="00377C13">
              <w:rPr>
                <w:rFonts w:ascii="Arial Narrow" w:hAnsi="Arial Narrow"/>
                <w:sz w:val="20"/>
              </w:rPr>
              <w:t>mibefradil</w:t>
            </w:r>
            <w:proofErr w:type="spellEnd"/>
            <w:r w:rsidRPr="00377C13">
              <w:rPr>
                <w:rFonts w:ascii="Arial Narrow" w:hAnsi="Arial Narrow"/>
                <w:sz w:val="20"/>
              </w:rPr>
              <w:t xml:space="preserve">, </w:t>
            </w:r>
            <w:proofErr w:type="spellStart"/>
            <w:r w:rsidRPr="00377C13">
              <w:rPr>
                <w:rFonts w:ascii="Arial Narrow" w:hAnsi="Arial Narrow"/>
                <w:sz w:val="20"/>
              </w:rPr>
              <w:t>nefazodone</w:t>
            </w:r>
            <w:proofErr w:type="spellEnd"/>
            <w:r w:rsidRPr="00377C13">
              <w:rPr>
                <w:rFonts w:ascii="Arial Narrow" w:hAnsi="Arial Narrow"/>
                <w:sz w:val="20"/>
              </w:rPr>
              <w:t xml:space="preserve">, nelfinavir, </w:t>
            </w:r>
            <w:proofErr w:type="spellStart"/>
            <w:r w:rsidRPr="00377C13">
              <w:rPr>
                <w:rFonts w:ascii="Arial Narrow" w:hAnsi="Arial Narrow"/>
                <w:sz w:val="20"/>
              </w:rPr>
              <w:t>posaconazole</w:t>
            </w:r>
            <w:proofErr w:type="spellEnd"/>
            <w:r w:rsidRPr="00377C13">
              <w:rPr>
                <w:rFonts w:ascii="Arial Narrow" w:hAnsi="Arial Narrow"/>
                <w:sz w:val="20"/>
              </w:rPr>
              <w:t xml:space="preserve">, ritonavir, </w:t>
            </w:r>
            <w:proofErr w:type="spellStart"/>
            <w:r w:rsidRPr="00377C13">
              <w:rPr>
                <w:rFonts w:ascii="Arial Narrow" w:hAnsi="Arial Narrow"/>
                <w:sz w:val="20"/>
              </w:rPr>
              <w:t>saquinavir</w:t>
            </w:r>
            <w:proofErr w:type="spellEnd"/>
            <w:r w:rsidRPr="00377C13">
              <w:rPr>
                <w:rFonts w:ascii="Arial Narrow" w:hAnsi="Arial Narrow"/>
                <w:sz w:val="20"/>
              </w:rPr>
              <w:t xml:space="preserve">, </w:t>
            </w:r>
            <w:proofErr w:type="spellStart"/>
            <w:r w:rsidRPr="00377C13">
              <w:rPr>
                <w:rFonts w:ascii="Arial Narrow" w:hAnsi="Arial Narrow"/>
                <w:sz w:val="20"/>
              </w:rPr>
              <w:t>telaprevir</w:t>
            </w:r>
            <w:proofErr w:type="spellEnd"/>
            <w:r w:rsidRPr="00377C13">
              <w:rPr>
                <w:rFonts w:ascii="Arial Narrow" w:hAnsi="Arial Narrow"/>
                <w:sz w:val="20"/>
              </w:rPr>
              <w:t xml:space="preserve">, </w:t>
            </w:r>
            <w:proofErr w:type="spellStart"/>
            <w:r w:rsidRPr="00377C13">
              <w:rPr>
                <w:rFonts w:ascii="Arial Narrow" w:hAnsi="Arial Narrow"/>
                <w:sz w:val="20"/>
              </w:rPr>
              <w:t>telithromycin</w:t>
            </w:r>
            <w:proofErr w:type="spellEnd"/>
            <w:r w:rsidRPr="00377C13">
              <w:rPr>
                <w:rFonts w:ascii="Arial Narrow" w:hAnsi="Arial Narrow"/>
                <w:sz w:val="20"/>
              </w:rPr>
              <w:t xml:space="preserve">, </w:t>
            </w:r>
            <w:proofErr w:type="spellStart"/>
            <w:r w:rsidRPr="00377C13">
              <w:rPr>
                <w:rFonts w:ascii="Arial Narrow" w:hAnsi="Arial Narrow"/>
                <w:sz w:val="20"/>
              </w:rPr>
              <w:t>voriconazole</w:t>
            </w:r>
            <w:proofErr w:type="spellEnd"/>
            <w:r w:rsidRPr="00377C13">
              <w:rPr>
                <w:rFonts w:ascii="Arial Narrow" w:hAnsi="Arial Narrow"/>
                <w:sz w:val="20"/>
              </w:rPr>
              <w:t>. Where a patient is concomitantly receiving a strong CYP3A4 inhibitor, a single supply of 56 tablets or sachets of ivacaftor will last for 28 weeks.</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Dosage of ivacaftor must not exceed the dose of one tablet (150 mg) or one sachet once daily, if the patient is concomitantly receiving one of the following moderate CYP3A4 inhibitors: </w:t>
            </w:r>
            <w:proofErr w:type="spellStart"/>
            <w:r w:rsidRPr="00377C13">
              <w:rPr>
                <w:rFonts w:ascii="Arial Narrow" w:hAnsi="Arial Narrow"/>
                <w:sz w:val="20"/>
              </w:rPr>
              <w:t>amprenavir</w:t>
            </w:r>
            <w:proofErr w:type="spellEnd"/>
            <w:r w:rsidRPr="00377C13">
              <w:rPr>
                <w:rFonts w:ascii="Arial Narrow" w:hAnsi="Arial Narrow"/>
                <w:sz w:val="20"/>
              </w:rPr>
              <w:t xml:space="preserve">, </w:t>
            </w:r>
            <w:proofErr w:type="spellStart"/>
            <w:r w:rsidRPr="00377C13">
              <w:rPr>
                <w:rFonts w:ascii="Arial Narrow" w:hAnsi="Arial Narrow"/>
                <w:sz w:val="20"/>
              </w:rPr>
              <w:t>aprepitant</w:t>
            </w:r>
            <w:proofErr w:type="spellEnd"/>
            <w:r w:rsidRPr="00377C13">
              <w:rPr>
                <w:rFonts w:ascii="Arial Narrow" w:hAnsi="Arial Narrow"/>
                <w:sz w:val="20"/>
              </w:rPr>
              <w:t xml:space="preserve">, </w:t>
            </w:r>
            <w:proofErr w:type="spellStart"/>
            <w:r w:rsidRPr="00377C13">
              <w:rPr>
                <w:rFonts w:ascii="Arial Narrow" w:hAnsi="Arial Narrow"/>
                <w:sz w:val="20"/>
              </w:rPr>
              <w:t>atazanavir</w:t>
            </w:r>
            <w:proofErr w:type="spellEnd"/>
            <w:r w:rsidRPr="00377C13">
              <w:rPr>
                <w:rFonts w:ascii="Arial Narrow" w:hAnsi="Arial Narrow"/>
                <w:sz w:val="20"/>
              </w:rPr>
              <w:t xml:space="preserve">, </w:t>
            </w:r>
            <w:proofErr w:type="spellStart"/>
            <w:r w:rsidRPr="00377C13">
              <w:rPr>
                <w:rFonts w:ascii="Arial Narrow" w:hAnsi="Arial Narrow"/>
                <w:sz w:val="20"/>
              </w:rPr>
              <w:t>darunavir</w:t>
            </w:r>
            <w:proofErr w:type="spellEnd"/>
            <w:r w:rsidRPr="00377C13">
              <w:rPr>
                <w:rFonts w:ascii="Arial Narrow" w:hAnsi="Arial Narrow"/>
                <w:sz w:val="20"/>
              </w:rPr>
              <w:t xml:space="preserve">/ritonavir, diltiazem, erythromycin, fluconazole, </w:t>
            </w:r>
            <w:proofErr w:type="spellStart"/>
            <w:r w:rsidRPr="00377C13">
              <w:rPr>
                <w:rFonts w:ascii="Arial Narrow" w:hAnsi="Arial Narrow"/>
                <w:sz w:val="20"/>
              </w:rPr>
              <w:t>fosamprenavir</w:t>
            </w:r>
            <w:proofErr w:type="spellEnd"/>
            <w:r w:rsidRPr="00377C13">
              <w:rPr>
                <w:rFonts w:ascii="Arial Narrow" w:hAnsi="Arial Narrow"/>
                <w:sz w:val="20"/>
              </w:rPr>
              <w:t xml:space="preserve">, </w:t>
            </w:r>
            <w:proofErr w:type="spellStart"/>
            <w:r w:rsidRPr="00377C13">
              <w:rPr>
                <w:rFonts w:ascii="Arial Narrow" w:hAnsi="Arial Narrow"/>
                <w:sz w:val="20"/>
              </w:rPr>
              <w:t>imatinib</w:t>
            </w:r>
            <w:proofErr w:type="spellEnd"/>
            <w:r w:rsidRPr="00377C13">
              <w:rPr>
                <w:rFonts w:ascii="Arial Narrow" w:hAnsi="Arial Narrow"/>
                <w:sz w:val="20"/>
              </w:rPr>
              <w:t>, verapamil. Where a patient is concomitantly receiving a moderate CYP3A4 inhibitor, a single supply of 56 tablets or sachets of ivacaftor will last for 8 weeks.</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Ivacaftor is not PBS-subsidised for this condition as a sole therapy.</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Ivacaftor is not PBS-subsidised for this condition in a patient who is currently receiving one of the following CYP3A4 inducers:</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Strong CYP3A4 inducers: </w:t>
            </w:r>
            <w:proofErr w:type="spellStart"/>
            <w:r w:rsidRPr="00377C13">
              <w:rPr>
                <w:rFonts w:ascii="Arial Narrow" w:hAnsi="Arial Narrow"/>
                <w:sz w:val="20"/>
              </w:rPr>
              <w:t>avasimibe</w:t>
            </w:r>
            <w:proofErr w:type="spellEnd"/>
            <w:r w:rsidRPr="00377C13">
              <w:rPr>
                <w:rFonts w:ascii="Arial Narrow" w:hAnsi="Arial Narrow"/>
                <w:sz w:val="20"/>
              </w:rPr>
              <w:t xml:space="preserve">, carbamazepine, phenobarbital, phenytoin, </w:t>
            </w:r>
            <w:proofErr w:type="spellStart"/>
            <w:r w:rsidRPr="00377C13">
              <w:rPr>
                <w:rFonts w:ascii="Arial Narrow" w:hAnsi="Arial Narrow"/>
                <w:sz w:val="20"/>
              </w:rPr>
              <w:t>rifabutin</w:t>
            </w:r>
            <w:proofErr w:type="spellEnd"/>
            <w:r w:rsidRPr="00377C13">
              <w:rPr>
                <w:rFonts w:ascii="Arial Narrow" w:hAnsi="Arial Narrow"/>
                <w:sz w:val="20"/>
              </w:rPr>
              <w:t xml:space="preserve">, rifampicin, St. John's </w:t>
            </w:r>
            <w:proofErr w:type="spellStart"/>
            <w:r w:rsidRPr="00377C13">
              <w:rPr>
                <w:rFonts w:ascii="Arial Narrow" w:hAnsi="Arial Narrow"/>
                <w:sz w:val="20"/>
              </w:rPr>
              <w:t>wort</w:t>
            </w:r>
            <w:proofErr w:type="spellEnd"/>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Moderate CYP3A4 inducers: </w:t>
            </w:r>
            <w:proofErr w:type="spellStart"/>
            <w:r w:rsidRPr="00377C13">
              <w:rPr>
                <w:rFonts w:ascii="Arial Narrow" w:hAnsi="Arial Narrow"/>
                <w:sz w:val="20"/>
              </w:rPr>
              <w:t>bosentan</w:t>
            </w:r>
            <w:proofErr w:type="spellEnd"/>
            <w:r w:rsidRPr="00377C13">
              <w:rPr>
                <w:rFonts w:ascii="Arial Narrow" w:hAnsi="Arial Narrow"/>
                <w:sz w:val="20"/>
              </w:rPr>
              <w:t xml:space="preserve">, </w:t>
            </w:r>
            <w:proofErr w:type="spellStart"/>
            <w:r w:rsidRPr="00377C13">
              <w:rPr>
                <w:rFonts w:ascii="Arial Narrow" w:hAnsi="Arial Narrow"/>
                <w:sz w:val="20"/>
              </w:rPr>
              <w:t>efavirenz</w:t>
            </w:r>
            <w:proofErr w:type="spellEnd"/>
            <w:r w:rsidRPr="00377C13">
              <w:rPr>
                <w:rFonts w:ascii="Arial Narrow" w:hAnsi="Arial Narrow"/>
                <w:sz w:val="20"/>
              </w:rPr>
              <w:t xml:space="preserve">, </w:t>
            </w:r>
            <w:proofErr w:type="spellStart"/>
            <w:r w:rsidRPr="00377C13">
              <w:rPr>
                <w:rFonts w:ascii="Arial Narrow" w:hAnsi="Arial Narrow"/>
                <w:sz w:val="20"/>
              </w:rPr>
              <w:t>etravirine</w:t>
            </w:r>
            <w:proofErr w:type="spellEnd"/>
            <w:r w:rsidRPr="00377C13">
              <w:rPr>
                <w:rFonts w:ascii="Arial Narrow" w:hAnsi="Arial Narrow"/>
                <w:sz w:val="20"/>
              </w:rPr>
              <w:t xml:space="preserve">, </w:t>
            </w:r>
            <w:proofErr w:type="spellStart"/>
            <w:r w:rsidRPr="00377C13">
              <w:rPr>
                <w:rFonts w:ascii="Arial Narrow" w:hAnsi="Arial Narrow"/>
                <w:sz w:val="20"/>
              </w:rPr>
              <w:t>modafinil</w:t>
            </w:r>
            <w:proofErr w:type="spellEnd"/>
            <w:r w:rsidRPr="00377C13">
              <w:rPr>
                <w:rFonts w:ascii="Arial Narrow" w:hAnsi="Arial Narrow"/>
                <w:sz w:val="20"/>
              </w:rPr>
              <w:t xml:space="preserve">, </w:t>
            </w:r>
            <w:proofErr w:type="spellStart"/>
            <w:r w:rsidRPr="00377C13">
              <w:rPr>
                <w:rFonts w:ascii="Arial Narrow" w:hAnsi="Arial Narrow"/>
                <w:sz w:val="20"/>
              </w:rPr>
              <w:t>nafcillin</w:t>
            </w:r>
            <w:proofErr w:type="spellEnd"/>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Weak CYP3A4 inducers: </w:t>
            </w:r>
            <w:proofErr w:type="spellStart"/>
            <w:r w:rsidRPr="00377C13">
              <w:rPr>
                <w:rFonts w:ascii="Arial Narrow" w:hAnsi="Arial Narrow"/>
                <w:sz w:val="20"/>
              </w:rPr>
              <w:t>armodafinil</w:t>
            </w:r>
            <w:proofErr w:type="spellEnd"/>
            <w:r w:rsidRPr="00377C13">
              <w:rPr>
                <w:rFonts w:ascii="Arial Narrow" w:hAnsi="Arial Narrow"/>
                <w:sz w:val="20"/>
              </w:rPr>
              <w:t xml:space="preserve">, </w:t>
            </w:r>
            <w:proofErr w:type="spellStart"/>
            <w:r w:rsidRPr="00377C13">
              <w:rPr>
                <w:rFonts w:ascii="Arial Narrow" w:hAnsi="Arial Narrow"/>
                <w:sz w:val="20"/>
              </w:rPr>
              <w:t>echinacea</w:t>
            </w:r>
            <w:proofErr w:type="spellEnd"/>
            <w:r w:rsidRPr="00377C13">
              <w:rPr>
                <w:rFonts w:ascii="Arial Narrow" w:hAnsi="Arial Narrow"/>
                <w:sz w:val="20"/>
              </w:rPr>
              <w:t xml:space="preserve">, pioglitazone, </w:t>
            </w:r>
            <w:proofErr w:type="spellStart"/>
            <w:r w:rsidRPr="00377C13">
              <w:rPr>
                <w:rFonts w:ascii="Arial Narrow" w:hAnsi="Arial Narrow"/>
                <w:sz w:val="20"/>
              </w:rPr>
              <w:t>rufinamide</w:t>
            </w:r>
            <w:proofErr w:type="spellEnd"/>
            <w:r w:rsidRPr="00377C13">
              <w:rPr>
                <w:rFonts w:ascii="Arial Narrow" w:hAnsi="Arial Narrow"/>
                <w:sz w:val="20"/>
              </w:rPr>
              <w:t>.</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The authority application must be in writing and must include:</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(1) a completed authority prescription form;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(2) a completed Cystic Fibrosis Ivacaftor Authority Continuing Application Supporting Information Form;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 xml:space="preserve">(3) </w:t>
            </w:r>
            <w:proofErr w:type="gramStart"/>
            <w:r w:rsidRPr="00377C13">
              <w:rPr>
                <w:rFonts w:ascii="Arial Narrow" w:hAnsi="Arial Narrow"/>
                <w:sz w:val="20"/>
              </w:rPr>
              <w:t>the</w:t>
            </w:r>
            <w:proofErr w:type="gramEnd"/>
            <w:r w:rsidRPr="00377C13">
              <w:rPr>
                <w:rFonts w:ascii="Arial Narrow" w:hAnsi="Arial Narrow"/>
                <w:sz w:val="20"/>
              </w:rPr>
              <w:t xml:space="preserve"> result of a FEV1 measurement performed within one month prior to the date of application, if aged 6 years or older. Note: FEV1, must be measured in an accredited pulmonary function laboratory, with documented no acute infective exacerbation at the time FEV1 is measured;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(4) a copy of a current medication history, including any CYP3A4 inhibitors and/or CYP3A4 inducers;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(5) height and weight measurements at the time of application; and</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lastRenderedPageBreak/>
              <w:t xml:space="preserve">(6) </w:t>
            </w:r>
            <w:proofErr w:type="gramStart"/>
            <w:r w:rsidRPr="00377C13">
              <w:rPr>
                <w:rFonts w:ascii="Arial Narrow" w:hAnsi="Arial Narrow"/>
                <w:sz w:val="20"/>
              </w:rPr>
              <w:t>a</w:t>
            </w:r>
            <w:proofErr w:type="gramEnd"/>
            <w:r w:rsidRPr="00377C13">
              <w:rPr>
                <w:rFonts w:ascii="Arial Narrow" w:hAnsi="Arial Narrow"/>
                <w:sz w:val="20"/>
              </w:rPr>
              <w:t xml:space="preserve"> measurement of number of days of CF-related hospitalisation (including hospital in the home) in the previous 6 months.</w:t>
            </w:r>
          </w:p>
        </w:tc>
      </w:tr>
      <w:tr w:rsidR="001E53DB" w:rsidRPr="00377C13" w:rsidTr="001E53DB">
        <w:tc>
          <w:tcPr>
            <w:tcW w:w="1272"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b/>
                <w:sz w:val="20"/>
              </w:rPr>
            </w:pPr>
            <w:r w:rsidRPr="00377C13">
              <w:rPr>
                <w:rFonts w:ascii="Arial Narrow" w:hAnsi="Arial Narrow"/>
                <w:b/>
                <w:sz w:val="20"/>
              </w:rPr>
              <w:lastRenderedPageBreak/>
              <w:t>Administrative Advice:</w:t>
            </w:r>
          </w:p>
        </w:tc>
        <w:tc>
          <w:tcPr>
            <w:tcW w:w="3728" w:type="pct"/>
            <w:tcBorders>
              <w:top w:val="single" w:sz="4" w:space="0" w:color="auto"/>
              <w:left w:val="single" w:sz="4" w:space="0" w:color="auto"/>
              <w:bottom w:val="single" w:sz="4" w:space="0" w:color="auto"/>
              <w:right w:val="single" w:sz="4" w:space="0" w:color="auto"/>
            </w:tcBorders>
          </w:tcPr>
          <w:p w:rsidR="001E53DB" w:rsidRPr="00377C13" w:rsidRDefault="001E53DB" w:rsidP="00E36250">
            <w:pPr>
              <w:widowControl/>
              <w:rPr>
                <w:rFonts w:ascii="Arial Narrow" w:hAnsi="Arial Narrow"/>
                <w:sz w:val="20"/>
              </w:rPr>
            </w:pPr>
            <w:r w:rsidRPr="00377C13">
              <w:rPr>
                <w:rFonts w:ascii="Arial Narrow" w:hAnsi="Arial Narrow"/>
                <w:sz w:val="20"/>
              </w:rPr>
              <w:t>Any queries concerning the arrangements to prescribe may be directed to the Department of Human Services on 1800 700 270 (hours of operation 8 a.m. to 5 p.m. EST Monday to Friday).</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Prescribing information (including Authority Application forms and other relevant documentation as applicable) is available on the Department of Human Services website at www.humanservices.gov.au</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Applications for authority to prescribe should be forwarded to:</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Department of Human Services</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Complex Drugs</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Reply Paid 9826</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HOBART TAS 7001</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Special Pricing Arrangements apply.</w:t>
            </w:r>
          </w:p>
          <w:p w:rsidR="001E53DB" w:rsidRPr="00377C13" w:rsidRDefault="001E53DB" w:rsidP="00E36250">
            <w:pPr>
              <w:widowControl/>
              <w:rPr>
                <w:rFonts w:ascii="Arial Narrow" w:hAnsi="Arial Narrow"/>
                <w:sz w:val="20"/>
              </w:rPr>
            </w:pPr>
          </w:p>
          <w:p w:rsidR="001E53DB" w:rsidRPr="00377C13" w:rsidRDefault="001E53DB" w:rsidP="00E36250">
            <w:pPr>
              <w:widowControl/>
              <w:rPr>
                <w:rFonts w:ascii="Arial Narrow" w:hAnsi="Arial Narrow"/>
                <w:sz w:val="20"/>
              </w:rPr>
            </w:pPr>
            <w:r w:rsidRPr="00377C13">
              <w:rPr>
                <w:rFonts w:ascii="Arial Narrow" w:hAnsi="Arial Narrow"/>
                <w:sz w:val="20"/>
              </w:rPr>
              <w:t>No increase in the maximum number of repeats may be authorised.</w:t>
            </w:r>
          </w:p>
        </w:tc>
      </w:tr>
    </w:tbl>
    <w:p w:rsidR="009D6B58" w:rsidRDefault="009D6B58" w:rsidP="007D3143">
      <w:pPr>
        <w:widowControl/>
        <w:rPr>
          <w:rFonts w:ascii="Arial Narrow" w:hAnsi="Arial Narrow"/>
          <w:sz w:val="18"/>
          <w:szCs w:val="18"/>
        </w:rPr>
      </w:pPr>
    </w:p>
    <w:p w:rsidR="003F766E" w:rsidRPr="00E40882" w:rsidRDefault="003F766E" w:rsidP="00B47A0D">
      <w:pPr>
        <w:pStyle w:val="PBACHeading1"/>
        <w:spacing w:before="240" w:after="120"/>
      </w:pPr>
      <w:r w:rsidRPr="00E40882">
        <w:t>Context for Decision</w:t>
      </w:r>
    </w:p>
    <w:p w:rsidR="003F766E" w:rsidRPr="00C07617" w:rsidRDefault="003F766E" w:rsidP="0028307F">
      <w:pPr>
        <w:spacing w:after="120"/>
        <w:ind w:left="709"/>
        <w:rPr>
          <w:rFonts w:asciiTheme="minorHAnsi" w:hAnsiTheme="minorHAnsi"/>
        </w:rPr>
      </w:pPr>
      <w:r w:rsidRPr="00C07617">
        <w:rPr>
          <w:rFonts w:asciiTheme="minorHAnsi" w:hAnsiTheme="minorHAnsi"/>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3F766E" w:rsidRPr="00E40882" w:rsidRDefault="003F766E" w:rsidP="00B47A0D">
      <w:pPr>
        <w:pStyle w:val="PBACHeading1"/>
        <w:spacing w:before="240" w:after="120"/>
      </w:pPr>
      <w:r w:rsidRPr="00E40882">
        <w:t>Sponsor’s Comment</w:t>
      </w:r>
    </w:p>
    <w:p w:rsidR="003F766E" w:rsidRPr="00C07617" w:rsidRDefault="003F766E" w:rsidP="0028307F">
      <w:pPr>
        <w:spacing w:after="120"/>
        <w:ind w:left="709"/>
        <w:rPr>
          <w:rFonts w:asciiTheme="minorHAnsi" w:hAnsiTheme="minorHAnsi"/>
          <w:bCs/>
        </w:rPr>
      </w:pPr>
      <w:r w:rsidRPr="00C07617">
        <w:rPr>
          <w:rFonts w:asciiTheme="minorHAnsi" w:hAnsiTheme="minorHAnsi"/>
          <w:bCs/>
        </w:rPr>
        <w:t>The sponsor had no comment.</w:t>
      </w:r>
    </w:p>
    <w:p w:rsidR="003F766E" w:rsidRPr="00377C13" w:rsidRDefault="003F766E" w:rsidP="007D3143">
      <w:pPr>
        <w:widowControl/>
        <w:rPr>
          <w:rFonts w:ascii="Arial Narrow" w:hAnsi="Arial Narrow"/>
          <w:sz w:val="18"/>
          <w:szCs w:val="18"/>
        </w:rPr>
      </w:pPr>
    </w:p>
    <w:sectPr w:rsidR="003F766E" w:rsidRPr="00377C13" w:rsidSect="00E21358">
      <w:headerReference w:type="even" r:id="rId10"/>
      <w:headerReference w:type="default" r:id="rId11"/>
      <w:footerReference w:type="even" r:id="rId12"/>
      <w:footerReference w:type="default" r:id="rId13"/>
      <w:headerReference w:type="first" r:id="rId14"/>
      <w:footerReference w:type="first" r:id="rId15"/>
      <w:pgSz w:w="11907" w:h="16840" w:code="9"/>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078F2EC3" w16cid:durableId="1FEE90E3"/>
  <w16cid:commentId w16cid:paraId="42661A08" w16cid:durableId="1FEE90E4"/>
  <w16cid:commentId w16cid:paraId="2D486355" w16cid:durableId="1FEE90E5"/>
  <w16cid:commentId w16cid:paraId="2D84CFFD" w16cid:durableId="1FEE90E6"/>
  <w16cid:commentId w16cid:paraId="29798B1D" w16cid:durableId="1FEE90E7"/>
  <w16cid:commentId w16cid:paraId="0FB4D400" w16cid:durableId="1FEE942F"/>
  <w16cid:commentId w16cid:paraId="1CEF2ABE" w16cid:durableId="1FEE90E8"/>
  <w16cid:commentId w16cid:paraId="52966FE0" w16cid:durableId="1FEE90EC"/>
  <w16cid:commentId w16cid:paraId="249F69C7" w16cid:durableId="1FEE90ED"/>
  <w16cid:commentId w16cid:paraId="682D4733" w16cid:durableId="1FEE90EE"/>
  <w16cid:commentId w16cid:paraId="61CD0DCB" w16cid:durableId="1FEE90EF"/>
  <w16cid:commentId w16cid:paraId="636612FF" w16cid:durableId="1FEE97BD"/>
  <w16cid:commentId w16cid:paraId="4FC99F2F" w16cid:durableId="1FEE90F0"/>
  <w16cid:commentId w16cid:paraId="05EE3CAF" w16cid:durableId="1FEE90F1"/>
  <w16cid:commentId w16cid:paraId="24E4F47E" w16cid:durableId="1FEE90F2"/>
  <w16cid:commentId w16cid:paraId="592CEEB2" w16cid:durableId="1FEE90F3"/>
  <w16cid:commentId w16cid:paraId="4F4A3014" w16cid:durableId="1FEEA43B"/>
  <w16cid:commentId w16cid:paraId="63136EA5" w16cid:durableId="1FEE90F4"/>
  <w16cid:commentId w16cid:paraId="2DCDBF90" w16cid:durableId="1FEE90F5"/>
  <w16cid:commentId w16cid:paraId="494606D1" w16cid:durableId="1FEE90F6"/>
  <w16cid:commentId w16cid:paraId="182ECE76" w16cid:durableId="1FEE90F7"/>
  <w16cid:commentId w16cid:paraId="111A35D6" w16cid:durableId="1FEE90F8"/>
  <w16cid:commentId w16cid:paraId="07140B7E" w16cid:durableId="1FEE90F9"/>
  <w16cid:commentId w16cid:paraId="56921177" w16cid:durableId="1FEE90FA"/>
  <w16cid:commentId w16cid:paraId="15C0218C" w16cid:durableId="1FEE90FB"/>
  <w16cid:commentId w16cid:paraId="5925E61D" w16cid:durableId="1FEE90FC"/>
  <w16cid:commentId w16cid:paraId="148E60FC" w16cid:durableId="1FEE90FD"/>
  <w16cid:commentId w16cid:paraId="540CD072" w16cid:durableId="1FEE90FE"/>
  <w16cid:commentId w16cid:paraId="7FE001F3" w16cid:durableId="1FEE90FF"/>
  <w16cid:commentId w16cid:paraId="745D40D5" w16cid:durableId="1FEE9100"/>
  <w16cid:commentId w16cid:paraId="28AE0B39" w16cid:durableId="1FEE9101"/>
  <w16cid:commentId w16cid:paraId="13F2C48F" w16cid:durableId="1FEE9102"/>
  <w16cid:commentId w16cid:paraId="535C4993" w16cid:durableId="1FEE9103"/>
  <w16cid:commentId w16cid:paraId="084B82D3" w16cid:durableId="1FEE9104"/>
  <w16cid:commentId w16cid:paraId="2F169A80" w16cid:durableId="1FEE9105"/>
  <w16cid:commentId w16cid:paraId="5A7E8D24" w16cid:durableId="1FEE9106"/>
  <w16cid:commentId w16cid:paraId="6C2C9478" w16cid:durableId="1FEE9107"/>
  <w16cid:commentId w16cid:paraId="3DDD3141" w16cid:durableId="1FA12F3A"/>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188C" w:rsidRDefault="00A9188C" w:rsidP="00124A51">
      <w:r>
        <w:separator/>
      </w:r>
    </w:p>
    <w:p w:rsidR="00A9188C" w:rsidRDefault="00A9188C"/>
  </w:endnote>
  <w:endnote w:type="continuationSeparator" w:id="0">
    <w:p w:rsidR="00A9188C" w:rsidRDefault="00A9188C" w:rsidP="00124A51">
      <w:r>
        <w:continuationSeparator/>
      </w:r>
    </w:p>
    <w:p w:rsidR="00A9188C" w:rsidRDefault="00A9188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Candara">
    <w:panose1 w:val="020E0502030303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88C" w:rsidRDefault="00A918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50" w:rsidRDefault="00B06350" w:rsidP="00FD2CD3">
    <w:pPr>
      <w:widowControl/>
      <w:tabs>
        <w:tab w:val="center" w:pos="4153"/>
        <w:tab w:val="right" w:pos="8306"/>
      </w:tabs>
      <w:spacing w:after="120"/>
      <w:ind w:left="360"/>
      <w:jc w:val="center"/>
      <w:rPr>
        <w:b/>
        <w:snapToGrid/>
        <w:sz w:val="20"/>
        <w:szCs w:val="24"/>
      </w:rPr>
    </w:pPr>
  </w:p>
  <w:p w:rsidR="00B06350" w:rsidRDefault="00B06350" w:rsidP="00FD2CD3">
    <w:pPr>
      <w:widowControl/>
      <w:tabs>
        <w:tab w:val="center" w:pos="4153"/>
        <w:tab w:val="right" w:pos="8306"/>
      </w:tabs>
      <w:spacing w:after="120"/>
      <w:ind w:left="360"/>
      <w:jc w:val="center"/>
    </w:pPr>
    <w:r w:rsidRPr="005D0C7A">
      <w:rPr>
        <w:b/>
        <w:snapToGrid/>
        <w:sz w:val="20"/>
        <w:szCs w:val="24"/>
      </w:rPr>
      <w:fldChar w:fldCharType="begin"/>
    </w:r>
    <w:r w:rsidRPr="005D0C7A">
      <w:rPr>
        <w:b/>
        <w:snapToGrid/>
        <w:sz w:val="20"/>
        <w:szCs w:val="24"/>
      </w:rPr>
      <w:instrText xml:space="preserve"> PAGE   \* MERGEFORMAT </w:instrText>
    </w:r>
    <w:r w:rsidRPr="005D0C7A">
      <w:rPr>
        <w:b/>
        <w:snapToGrid/>
        <w:sz w:val="20"/>
        <w:szCs w:val="24"/>
      </w:rPr>
      <w:fldChar w:fldCharType="separate"/>
    </w:r>
    <w:r w:rsidR="00B47A0D">
      <w:rPr>
        <w:b/>
        <w:noProof/>
        <w:snapToGrid/>
        <w:sz w:val="20"/>
        <w:szCs w:val="24"/>
      </w:rPr>
      <w:t>1</w:t>
    </w:r>
    <w:r w:rsidRPr="005D0C7A">
      <w:rPr>
        <w:b/>
        <w:noProof/>
        <w:snapToGrid/>
        <w:sz w:val="20"/>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88C" w:rsidRDefault="00A918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188C" w:rsidRDefault="00A9188C" w:rsidP="00124A51">
      <w:r>
        <w:separator/>
      </w:r>
    </w:p>
    <w:p w:rsidR="00A9188C" w:rsidRDefault="00A9188C"/>
  </w:footnote>
  <w:footnote w:type="continuationSeparator" w:id="0">
    <w:p w:rsidR="00A9188C" w:rsidRDefault="00A9188C" w:rsidP="00124A51">
      <w:r>
        <w:continuationSeparator/>
      </w:r>
    </w:p>
    <w:p w:rsidR="00A9188C" w:rsidRDefault="00A9188C"/>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88C" w:rsidRDefault="00A918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6350" w:rsidRPr="00495F88" w:rsidRDefault="00B06350" w:rsidP="00FD2CD3">
    <w:pPr>
      <w:widowControl/>
      <w:tabs>
        <w:tab w:val="center" w:pos="4153"/>
        <w:tab w:val="right" w:pos="8306"/>
      </w:tabs>
      <w:ind w:left="360"/>
      <w:jc w:val="center"/>
      <w:rPr>
        <w:rFonts w:asciiTheme="minorHAnsi" w:hAnsiTheme="minorHAnsi"/>
        <w:i/>
        <w:snapToGrid/>
        <w:color w:val="808080"/>
        <w:szCs w:val="24"/>
      </w:rPr>
    </w:pPr>
    <w:r w:rsidRPr="00495F88">
      <w:rPr>
        <w:rFonts w:asciiTheme="minorHAnsi" w:hAnsiTheme="minorHAnsi"/>
        <w:i/>
        <w:snapToGrid/>
        <w:color w:val="808080"/>
        <w:szCs w:val="24"/>
      </w:rPr>
      <w:t>Public Summary Document – March 2019 PBAC Meeting</w:t>
    </w:r>
  </w:p>
  <w:p w:rsidR="00B06350" w:rsidRDefault="00B06350" w:rsidP="00FD2CD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188C" w:rsidRDefault="00A918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105138"/>
    <w:multiLevelType w:val="hybridMultilevel"/>
    <w:tmpl w:val="CA2CA0CE"/>
    <w:lvl w:ilvl="0" w:tplc="842865A6">
      <w:start w:val="1"/>
      <w:numFmt w:val="bullet"/>
      <w:pStyle w:val="Dash0"/>
      <w:lvlText w:val="–"/>
      <w:lvlJc w:val="left"/>
      <w:pPr>
        <w:tabs>
          <w:tab w:val="num" w:pos="216"/>
        </w:tabs>
        <w:ind w:left="360" w:firstLine="0"/>
      </w:pPr>
      <w:rPr>
        <w:rFonts w:ascii="Times New Roman" w:hAnsi="Times New Roman" w:cs="Times New Roman"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4566A89"/>
    <w:multiLevelType w:val="hybridMultilevel"/>
    <w:tmpl w:val="3D5203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AE129F0"/>
    <w:multiLevelType w:val="hybridMultilevel"/>
    <w:tmpl w:val="21B4699E"/>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15:restartNumberingAfterBreak="0">
    <w:nsid w:val="420B6ECC"/>
    <w:multiLevelType w:val="hybridMultilevel"/>
    <w:tmpl w:val="4C70CE16"/>
    <w:lvl w:ilvl="0" w:tplc="DEFAC1A4">
      <w:start w:val="1"/>
      <w:numFmt w:val="bullet"/>
      <w:pStyle w:val="NormalBulletList"/>
      <w:lvlText w:val=""/>
      <w:lvlJc w:val="left"/>
      <w:pPr>
        <w:ind w:left="720" w:hanging="360"/>
      </w:pPr>
      <w:rPr>
        <w:rFonts w:ascii="Symbol" w:hAnsi="Symbol" w:hint="default"/>
      </w:rPr>
    </w:lvl>
    <w:lvl w:ilvl="1" w:tplc="CC2ADE4A">
      <w:start w:val="1"/>
      <w:numFmt w:val="bullet"/>
      <w:lvlText w:val="o"/>
      <w:lvlJc w:val="left"/>
      <w:pPr>
        <w:ind w:left="1440" w:hanging="360"/>
      </w:pPr>
      <w:rPr>
        <w:rFonts w:ascii="Courier New" w:hAnsi="Courier New" w:cs="Courier New" w:hint="default"/>
      </w:rPr>
    </w:lvl>
    <w:lvl w:ilvl="2" w:tplc="61E61A46" w:tentative="1">
      <w:start w:val="1"/>
      <w:numFmt w:val="bullet"/>
      <w:lvlText w:val=""/>
      <w:lvlJc w:val="left"/>
      <w:pPr>
        <w:ind w:left="2160" w:hanging="360"/>
      </w:pPr>
      <w:rPr>
        <w:rFonts w:ascii="Wingdings" w:hAnsi="Wingdings" w:hint="default"/>
      </w:rPr>
    </w:lvl>
    <w:lvl w:ilvl="3" w:tplc="48E8658E" w:tentative="1">
      <w:start w:val="1"/>
      <w:numFmt w:val="bullet"/>
      <w:lvlText w:val=""/>
      <w:lvlJc w:val="left"/>
      <w:pPr>
        <w:ind w:left="2880" w:hanging="360"/>
      </w:pPr>
      <w:rPr>
        <w:rFonts w:ascii="Symbol" w:hAnsi="Symbol" w:hint="default"/>
      </w:rPr>
    </w:lvl>
    <w:lvl w:ilvl="4" w:tplc="4EE87910" w:tentative="1">
      <w:start w:val="1"/>
      <w:numFmt w:val="bullet"/>
      <w:lvlText w:val="o"/>
      <w:lvlJc w:val="left"/>
      <w:pPr>
        <w:ind w:left="3600" w:hanging="360"/>
      </w:pPr>
      <w:rPr>
        <w:rFonts w:ascii="Courier New" w:hAnsi="Courier New" w:cs="Courier New" w:hint="default"/>
      </w:rPr>
    </w:lvl>
    <w:lvl w:ilvl="5" w:tplc="E2D8FC36" w:tentative="1">
      <w:start w:val="1"/>
      <w:numFmt w:val="bullet"/>
      <w:lvlText w:val=""/>
      <w:lvlJc w:val="left"/>
      <w:pPr>
        <w:ind w:left="4320" w:hanging="360"/>
      </w:pPr>
      <w:rPr>
        <w:rFonts w:ascii="Wingdings" w:hAnsi="Wingdings" w:hint="default"/>
      </w:rPr>
    </w:lvl>
    <w:lvl w:ilvl="6" w:tplc="4B22A9DC" w:tentative="1">
      <w:start w:val="1"/>
      <w:numFmt w:val="bullet"/>
      <w:lvlText w:val=""/>
      <w:lvlJc w:val="left"/>
      <w:pPr>
        <w:ind w:left="5040" w:hanging="360"/>
      </w:pPr>
      <w:rPr>
        <w:rFonts w:ascii="Symbol" w:hAnsi="Symbol" w:hint="default"/>
      </w:rPr>
    </w:lvl>
    <w:lvl w:ilvl="7" w:tplc="02445202" w:tentative="1">
      <w:start w:val="1"/>
      <w:numFmt w:val="bullet"/>
      <w:lvlText w:val="o"/>
      <w:lvlJc w:val="left"/>
      <w:pPr>
        <w:ind w:left="5760" w:hanging="360"/>
      </w:pPr>
      <w:rPr>
        <w:rFonts w:ascii="Courier New" w:hAnsi="Courier New" w:cs="Courier New" w:hint="default"/>
      </w:rPr>
    </w:lvl>
    <w:lvl w:ilvl="8" w:tplc="947490A4" w:tentative="1">
      <w:start w:val="1"/>
      <w:numFmt w:val="bullet"/>
      <w:lvlText w:val=""/>
      <w:lvlJc w:val="left"/>
      <w:pPr>
        <w:ind w:left="6480" w:hanging="360"/>
      </w:pPr>
      <w:rPr>
        <w:rFonts w:ascii="Wingdings" w:hAnsi="Wingdings" w:hint="default"/>
      </w:rPr>
    </w:lvl>
  </w:abstractNum>
  <w:abstractNum w:abstractNumId="4" w15:restartNumberingAfterBreak="0">
    <w:nsid w:val="44442297"/>
    <w:multiLevelType w:val="hybridMultilevel"/>
    <w:tmpl w:val="E6FE4E00"/>
    <w:lvl w:ilvl="0" w:tplc="C324F4FC">
      <w:start w:val="1"/>
      <w:numFmt w:val="bullet"/>
      <w:pStyle w:val="Bulletpoin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E5D7EEC"/>
    <w:multiLevelType w:val="hybridMultilevel"/>
    <w:tmpl w:val="E28C95C8"/>
    <w:lvl w:ilvl="0" w:tplc="0C090001">
      <w:start w:val="1"/>
      <w:numFmt w:val="bullet"/>
      <w:lvlText w:val=""/>
      <w:lvlJc w:val="left"/>
      <w:pPr>
        <w:ind w:left="1080" w:hanging="360"/>
      </w:pPr>
      <w:rPr>
        <w:rFonts w:ascii="Symbol" w:hAnsi="Symbol"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6" w15:restartNumberingAfterBreak="0">
    <w:nsid w:val="784D033C"/>
    <w:multiLevelType w:val="multilevel"/>
    <w:tmpl w:val="72220E1A"/>
    <w:lvl w:ilvl="0">
      <w:start w:val="1"/>
      <w:numFmt w:val="decimal"/>
      <w:pStyle w:val="PBACHeading1"/>
      <w:lvlText w:val="%1"/>
      <w:lvlJc w:val="left"/>
      <w:pPr>
        <w:ind w:left="720" w:hanging="720"/>
      </w:pPr>
      <w:rPr>
        <w:rFonts w:hint="default"/>
        <w:b/>
      </w:rPr>
    </w:lvl>
    <w:lvl w:ilvl="1">
      <w:start w:val="1"/>
      <w:numFmt w:val="decimal"/>
      <w:lvlText w:val="%1.%2"/>
      <w:lvlJc w:val="left"/>
      <w:pPr>
        <w:ind w:left="720" w:hanging="720"/>
      </w:pPr>
      <w:rPr>
        <w:rFonts w:hint="default"/>
        <w:b w:val="0"/>
        <w:i w:val="0"/>
      </w:rPr>
    </w:lvl>
    <w:lvl w:ilvl="2">
      <w:start w:val="1"/>
      <w:numFmt w:val="bullet"/>
      <w:lvlText w:val=""/>
      <w:lvlJc w:val="left"/>
      <w:pPr>
        <w:ind w:left="360" w:hanging="360"/>
      </w:pPr>
      <w:rPr>
        <w:rFonts w:ascii="Symbol" w:hAnsi="Symbol" w:hint="default"/>
      </w:rPr>
    </w:lvl>
    <w:lvl w:ilvl="3">
      <w:start w:val="1"/>
      <w:numFmt w:val="bullet"/>
      <w:lvlText w:val=""/>
      <w:lvlJc w:val="left"/>
      <w:pPr>
        <w:ind w:left="360" w:hanging="360"/>
      </w:pPr>
      <w:rPr>
        <w:rFonts w:ascii="Symbol" w:hAnsi="Symbol"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6"/>
  </w:num>
  <w:num w:numId="2">
    <w:abstractNumId w:val="4"/>
  </w:num>
  <w:num w:numId="3">
    <w:abstractNumId w:val="0"/>
  </w:num>
  <w:num w:numId="4">
    <w:abstractNumId w:val="3"/>
  </w:num>
  <w:num w:numId="5">
    <w:abstractNumId w:val="2"/>
  </w:num>
  <w:num w:numId="6">
    <w:abstractNumId w:val="5"/>
  </w:num>
  <w:num w:numId="7">
    <w:abstractNumId w:val="1"/>
  </w:num>
  <w:num w:numId="8">
    <w:abstractNumId w:val="6"/>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ctiveWritingStyle w:appName="MSWord" w:lang="en-AU" w:vendorID="64" w:dllVersion="131078" w:nlCheck="1" w:checkStyle="1"/>
  <w:activeWritingStyle w:appName="MSWord" w:lang="en-US" w:vendorID="64" w:dllVersion="131078" w:nlCheck="1" w:checkStyle="1"/>
  <w:activeWritingStyle w:appName="MSWord" w:lang="en-GB" w:vendorID="64" w:dllVersion="131078" w:nlCheck="1" w:checkStyle="1"/>
  <w:proofState w:spelling="clean" w:grammar="clean"/>
  <w:doNotTrackFormatting/>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E79"/>
    <w:rsid w:val="00000790"/>
    <w:rsid w:val="0000110B"/>
    <w:rsid w:val="00003499"/>
    <w:rsid w:val="000039B7"/>
    <w:rsid w:val="00003A53"/>
    <w:rsid w:val="00004D89"/>
    <w:rsid w:val="00010E53"/>
    <w:rsid w:val="00011508"/>
    <w:rsid w:val="00011739"/>
    <w:rsid w:val="00011E90"/>
    <w:rsid w:val="00012BDC"/>
    <w:rsid w:val="00013247"/>
    <w:rsid w:val="00015886"/>
    <w:rsid w:val="000162EF"/>
    <w:rsid w:val="00016E73"/>
    <w:rsid w:val="0002225F"/>
    <w:rsid w:val="00023763"/>
    <w:rsid w:val="00023F5D"/>
    <w:rsid w:val="00025B77"/>
    <w:rsid w:val="000330EC"/>
    <w:rsid w:val="0003322C"/>
    <w:rsid w:val="00033863"/>
    <w:rsid w:val="000354FB"/>
    <w:rsid w:val="00035DC0"/>
    <w:rsid w:val="00036829"/>
    <w:rsid w:val="0003773B"/>
    <w:rsid w:val="00040895"/>
    <w:rsid w:val="00043C37"/>
    <w:rsid w:val="00045017"/>
    <w:rsid w:val="0004557E"/>
    <w:rsid w:val="000456B4"/>
    <w:rsid w:val="00045735"/>
    <w:rsid w:val="00045A2B"/>
    <w:rsid w:val="0004698F"/>
    <w:rsid w:val="00052BA3"/>
    <w:rsid w:val="000539D0"/>
    <w:rsid w:val="00054621"/>
    <w:rsid w:val="000546D7"/>
    <w:rsid w:val="00055CFF"/>
    <w:rsid w:val="00057148"/>
    <w:rsid w:val="000608CF"/>
    <w:rsid w:val="0006169B"/>
    <w:rsid w:val="0006187C"/>
    <w:rsid w:val="0006381D"/>
    <w:rsid w:val="00063D37"/>
    <w:rsid w:val="00066360"/>
    <w:rsid w:val="00066DB6"/>
    <w:rsid w:val="00071248"/>
    <w:rsid w:val="000720B9"/>
    <w:rsid w:val="000726B1"/>
    <w:rsid w:val="00072B69"/>
    <w:rsid w:val="000737F7"/>
    <w:rsid w:val="0007672F"/>
    <w:rsid w:val="000774F0"/>
    <w:rsid w:val="00080909"/>
    <w:rsid w:val="000812CA"/>
    <w:rsid w:val="00081E75"/>
    <w:rsid w:val="0008258D"/>
    <w:rsid w:val="00083E99"/>
    <w:rsid w:val="000856C5"/>
    <w:rsid w:val="00086835"/>
    <w:rsid w:val="00087159"/>
    <w:rsid w:val="00090C7E"/>
    <w:rsid w:val="000923DA"/>
    <w:rsid w:val="00092600"/>
    <w:rsid w:val="0009262B"/>
    <w:rsid w:val="000926A4"/>
    <w:rsid w:val="00093310"/>
    <w:rsid w:val="00093934"/>
    <w:rsid w:val="0009445C"/>
    <w:rsid w:val="00095FE5"/>
    <w:rsid w:val="00096284"/>
    <w:rsid w:val="000A19AC"/>
    <w:rsid w:val="000A21D4"/>
    <w:rsid w:val="000A69B5"/>
    <w:rsid w:val="000A7D08"/>
    <w:rsid w:val="000B050F"/>
    <w:rsid w:val="000B0670"/>
    <w:rsid w:val="000B0DC4"/>
    <w:rsid w:val="000B0E75"/>
    <w:rsid w:val="000B1E97"/>
    <w:rsid w:val="000B2013"/>
    <w:rsid w:val="000B5631"/>
    <w:rsid w:val="000B6CAC"/>
    <w:rsid w:val="000B7612"/>
    <w:rsid w:val="000B77E4"/>
    <w:rsid w:val="000C1476"/>
    <w:rsid w:val="000C2756"/>
    <w:rsid w:val="000C3DF9"/>
    <w:rsid w:val="000C4640"/>
    <w:rsid w:val="000C63C2"/>
    <w:rsid w:val="000C6713"/>
    <w:rsid w:val="000C77EE"/>
    <w:rsid w:val="000D05A9"/>
    <w:rsid w:val="000D1BFC"/>
    <w:rsid w:val="000D2536"/>
    <w:rsid w:val="000D281A"/>
    <w:rsid w:val="000D2B7F"/>
    <w:rsid w:val="000D326A"/>
    <w:rsid w:val="000D51FB"/>
    <w:rsid w:val="000D5FEE"/>
    <w:rsid w:val="000D6922"/>
    <w:rsid w:val="000D70FD"/>
    <w:rsid w:val="000D716E"/>
    <w:rsid w:val="000D76F0"/>
    <w:rsid w:val="000E0E18"/>
    <w:rsid w:val="000E135D"/>
    <w:rsid w:val="000E1FBC"/>
    <w:rsid w:val="000E25DB"/>
    <w:rsid w:val="000E2DD0"/>
    <w:rsid w:val="000E3BFB"/>
    <w:rsid w:val="000E604B"/>
    <w:rsid w:val="000E61CE"/>
    <w:rsid w:val="000F00BA"/>
    <w:rsid w:val="000F1187"/>
    <w:rsid w:val="000F1835"/>
    <w:rsid w:val="000F25B0"/>
    <w:rsid w:val="000F2920"/>
    <w:rsid w:val="000F2C59"/>
    <w:rsid w:val="000F316A"/>
    <w:rsid w:val="000F3C74"/>
    <w:rsid w:val="000F4BB8"/>
    <w:rsid w:val="000F7127"/>
    <w:rsid w:val="00100F8A"/>
    <w:rsid w:val="001036F6"/>
    <w:rsid w:val="001045F1"/>
    <w:rsid w:val="00105AE2"/>
    <w:rsid w:val="00106B80"/>
    <w:rsid w:val="001100CF"/>
    <w:rsid w:val="0011032E"/>
    <w:rsid w:val="0011044B"/>
    <w:rsid w:val="001105A8"/>
    <w:rsid w:val="0011348B"/>
    <w:rsid w:val="001135DC"/>
    <w:rsid w:val="00115982"/>
    <w:rsid w:val="00116C53"/>
    <w:rsid w:val="0012016A"/>
    <w:rsid w:val="00120ADB"/>
    <w:rsid w:val="00121799"/>
    <w:rsid w:val="00121817"/>
    <w:rsid w:val="001222FC"/>
    <w:rsid w:val="00124A51"/>
    <w:rsid w:val="00125061"/>
    <w:rsid w:val="0012637C"/>
    <w:rsid w:val="00126621"/>
    <w:rsid w:val="0012697E"/>
    <w:rsid w:val="0012704D"/>
    <w:rsid w:val="001301E9"/>
    <w:rsid w:val="0013131E"/>
    <w:rsid w:val="00131D82"/>
    <w:rsid w:val="00131D8F"/>
    <w:rsid w:val="001323B7"/>
    <w:rsid w:val="0013383D"/>
    <w:rsid w:val="00133D36"/>
    <w:rsid w:val="00134296"/>
    <w:rsid w:val="001344B0"/>
    <w:rsid w:val="00137645"/>
    <w:rsid w:val="0014014C"/>
    <w:rsid w:val="0014015A"/>
    <w:rsid w:val="00140E99"/>
    <w:rsid w:val="0014360C"/>
    <w:rsid w:val="0014485A"/>
    <w:rsid w:val="00144FA1"/>
    <w:rsid w:val="00145540"/>
    <w:rsid w:val="001456B0"/>
    <w:rsid w:val="00146A12"/>
    <w:rsid w:val="00147511"/>
    <w:rsid w:val="00152F97"/>
    <w:rsid w:val="00153B8B"/>
    <w:rsid w:val="0015655B"/>
    <w:rsid w:val="00157130"/>
    <w:rsid w:val="001576B1"/>
    <w:rsid w:val="00157DE9"/>
    <w:rsid w:val="00157F2F"/>
    <w:rsid w:val="00157FA4"/>
    <w:rsid w:val="00160A4C"/>
    <w:rsid w:val="00162051"/>
    <w:rsid w:val="00162913"/>
    <w:rsid w:val="00163EFF"/>
    <w:rsid w:val="001645D9"/>
    <w:rsid w:val="0016482F"/>
    <w:rsid w:val="00165280"/>
    <w:rsid w:val="00165725"/>
    <w:rsid w:val="001661FB"/>
    <w:rsid w:val="00166FB9"/>
    <w:rsid w:val="001678FE"/>
    <w:rsid w:val="0017091D"/>
    <w:rsid w:val="00171375"/>
    <w:rsid w:val="001719FF"/>
    <w:rsid w:val="00173565"/>
    <w:rsid w:val="00173B07"/>
    <w:rsid w:val="00174BE9"/>
    <w:rsid w:val="001755AF"/>
    <w:rsid w:val="00175C05"/>
    <w:rsid w:val="00177EA7"/>
    <w:rsid w:val="00177FBC"/>
    <w:rsid w:val="00181D9C"/>
    <w:rsid w:val="00183EF7"/>
    <w:rsid w:val="001872E9"/>
    <w:rsid w:val="0018752F"/>
    <w:rsid w:val="00187CF5"/>
    <w:rsid w:val="001929E7"/>
    <w:rsid w:val="00192C1B"/>
    <w:rsid w:val="00194519"/>
    <w:rsid w:val="00194AE3"/>
    <w:rsid w:val="00194B25"/>
    <w:rsid w:val="00195222"/>
    <w:rsid w:val="00195971"/>
    <w:rsid w:val="00195E89"/>
    <w:rsid w:val="00196D27"/>
    <w:rsid w:val="001975D8"/>
    <w:rsid w:val="001A02C5"/>
    <w:rsid w:val="001A0ECA"/>
    <w:rsid w:val="001A3306"/>
    <w:rsid w:val="001A43FA"/>
    <w:rsid w:val="001A471B"/>
    <w:rsid w:val="001A59FB"/>
    <w:rsid w:val="001A6354"/>
    <w:rsid w:val="001A7AE8"/>
    <w:rsid w:val="001B1667"/>
    <w:rsid w:val="001B204E"/>
    <w:rsid w:val="001B3443"/>
    <w:rsid w:val="001B3D67"/>
    <w:rsid w:val="001B4D20"/>
    <w:rsid w:val="001B58F7"/>
    <w:rsid w:val="001B6F27"/>
    <w:rsid w:val="001C0424"/>
    <w:rsid w:val="001C0E28"/>
    <w:rsid w:val="001C1375"/>
    <w:rsid w:val="001C197A"/>
    <w:rsid w:val="001C1D69"/>
    <w:rsid w:val="001C24C8"/>
    <w:rsid w:val="001C2A9B"/>
    <w:rsid w:val="001C3A78"/>
    <w:rsid w:val="001C4299"/>
    <w:rsid w:val="001C5415"/>
    <w:rsid w:val="001C5F94"/>
    <w:rsid w:val="001C6E66"/>
    <w:rsid w:val="001D130F"/>
    <w:rsid w:val="001D187A"/>
    <w:rsid w:val="001D229B"/>
    <w:rsid w:val="001D28FE"/>
    <w:rsid w:val="001D34C9"/>
    <w:rsid w:val="001D3506"/>
    <w:rsid w:val="001D40D9"/>
    <w:rsid w:val="001D42F7"/>
    <w:rsid w:val="001D55D7"/>
    <w:rsid w:val="001D6BC6"/>
    <w:rsid w:val="001E0024"/>
    <w:rsid w:val="001E0641"/>
    <w:rsid w:val="001E14FC"/>
    <w:rsid w:val="001E217A"/>
    <w:rsid w:val="001E238E"/>
    <w:rsid w:val="001E2483"/>
    <w:rsid w:val="001E2A2B"/>
    <w:rsid w:val="001E2B1E"/>
    <w:rsid w:val="001E30D4"/>
    <w:rsid w:val="001E3C6C"/>
    <w:rsid w:val="001E52EB"/>
    <w:rsid w:val="001E53DB"/>
    <w:rsid w:val="001E61D2"/>
    <w:rsid w:val="001E740C"/>
    <w:rsid w:val="001F0A15"/>
    <w:rsid w:val="001F0C10"/>
    <w:rsid w:val="001F0D2A"/>
    <w:rsid w:val="001F1235"/>
    <w:rsid w:val="001F1CB3"/>
    <w:rsid w:val="001F23FE"/>
    <w:rsid w:val="001F38B5"/>
    <w:rsid w:val="001F40CA"/>
    <w:rsid w:val="001F47C5"/>
    <w:rsid w:val="001F6990"/>
    <w:rsid w:val="001F712E"/>
    <w:rsid w:val="001F7361"/>
    <w:rsid w:val="00200AE3"/>
    <w:rsid w:val="002011B0"/>
    <w:rsid w:val="00202F0D"/>
    <w:rsid w:val="00203181"/>
    <w:rsid w:val="00203783"/>
    <w:rsid w:val="0020385F"/>
    <w:rsid w:val="002040D2"/>
    <w:rsid w:val="002046B2"/>
    <w:rsid w:val="00206038"/>
    <w:rsid w:val="00207021"/>
    <w:rsid w:val="0020732F"/>
    <w:rsid w:val="00207687"/>
    <w:rsid w:val="00207D00"/>
    <w:rsid w:val="002105C1"/>
    <w:rsid w:val="002106FB"/>
    <w:rsid w:val="00212361"/>
    <w:rsid w:val="002150B5"/>
    <w:rsid w:val="0021663D"/>
    <w:rsid w:val="00217FFA"/>
    <w:rsid w:val="00220796"/>
    <w:rsid w:val="00220E6F"/>
    <w:rsid w:val="002212BD"/>
    <w:rsid w:val="00223B49"/>
    <w:rsid w:val="00224DD4"/>
    <w:rsid w:val="00225449"/>
    <w:rsid w:val="00225F5F"/>
    <w:rsid w:val="00226EFA"/>
    <w:rsid w:val="00227B34"/>
    <w:rsid w:val="002309CC"/>
    <w:rsid w:val="00230D2C"/>
    <w:rsid w:val="00231132"/>
    <w:rsid w:val="00231C49"/>
    <w:rsid w:val="0023209F"/>
    <w:rsid w:val="00233590"/>
    <w:rsid w:val="00235571"/>
    <w:rsid w:val="0023629D"/>
    <w:rsid w:val="00236B5D"/>
    <w:rsid w:val="00237255"/>
    <w:rsid w:val="00237713"/>
    <w:rsid w:val="002424AF"/>
    <w:rsid w:val="002439DC"/>
    <w:rsid w:val="00244847"/>
    <w:rsid w:val="00244C92"/>
    <w:rsid w:val="00244DC8"/>
    <w:rsid w:val="002458BA"/>
    <w:rsid w:val="0024636C"/>
    <w:rsid w:val="00247925"/>
    <w:rsid w:val="00250017"/>
    <w:rsid w:val="002515A3"/>
    <w:rsid w:val="002521B2"/>
    <w:rsid w:val="00253468"/>
    <w:rsid w:val="00253862"/>
    <w:rsid w:val="00254DCF"/>
    <w:rsid w:val="0025534B"/>
    <w:rsid w:val="00255BB7"/>
    <w:rsid w:val="00257541"/>
    <w:rsid w:val="002615B6"/>
    <w:rsid w:val="00261740"/>
    <w:rsid w:val="00262A1A"/>
    <w:rsid w:val="00262A87"/>
    <w:rsid w:val="002639D0"/>
    <w:rsid w:val="00264D26"/>
    <w:rsid w:val="00266280"/>
    <w:rsid w:val="00267642"/>
    <w:rsid w:val="00267AEA"/>
    <w:rsid w:val="002700E6"/>
    <w:rsid w:val="002713AA"/>
    <w:rsid w:val="0027294B"/>
    <w:rsid w:val="00275400"/>
    <w:rsid w:val="00275573"/>
    <w:rsid w:val="00275C5A"/>
    <w:rsid w:val="00281014"/>
    <w:rsid w:val="00281560"/>
    <w:rsid w:val="0028307F"/>
    <w:rsid w:val="00283BD3"/>
    <w:rsid w:val="00283C30"/>
    <w:rsid w:val="00285B0A"/>
    <w:rsid w:val="00286126"/>
    <w:rsid w:val="00286B8C"/>
    <w:rsid w:val="00290198"/>
    <w:rsid w:val="00292420"/>
    <w:rsid w:val="0029445C"/>
    <w:rsid w:val="00296B32"/>
    <w:rsid w:val="002A14AB"/>
    <w:rsid w:val="002A18BE"/>
    <w:rsid w:val="002A1C1C"/>
    <w:rsid w:val="002A1F51"/>
    <w:rsid w:val="002A2F50"/>
    <w:rsid w:val="002A6343"/>
    <w:rsid w:val="002B09A4"/>
    <w:rsid w:val="002B1C1F"/>
    <w:rsid w:val="002B32AB"/>
    <w:rsid w:val="002B432F"/>
    <w:rsid w:val="002B4AE1"/>
    <w:rsid w:val="002B5056"/>
    <w:rsid w:val="002B5190"/>
    <w:rsid w:val="002B62B3"/>
    <w:rsid w:val="002B6754"/>
    <w:rsid w:val="002B6833"/>
    <w:rsid w:val="002B6CCE"/>
    <w:rsid w:val="002C0017"/>
    <w:rsid w:val="002C043E"/>
    <w:rsid w:val="002C1EE6"/>
    <w:rsid w:val="002C2510"/>
    <w:rsid w:val="002C2775"/>
    <w:rsid w:val="002C27C1"/>
    <w:rsid w:val="002C5099"/>
    <w:rsid w:val="002C5889"/>
    <w:rsid w:val="002C58B5"/>
    <w:rsid w:val="002C5F91"/>
    <w:rsid w:val="002C6EF1"/>
    <w:rsid w:val="002C71CE"/>
    <w:rsid w:val="002C743A"/>
    <w:rsid w:val="002C7B4C"/>
    <w:rsid w:val="002D1629"/>
    <w:rsid w:val="002D2334"/>
    <w:rsid w:val="002D24B5"/>
    <w:rsid w:val="002D3E80"/>
    <w:rsid w:val="002D577C"/>
    <w:rsid w:val="002D60ED"/>
    <w:rsid w:val="002D6563"/>
    <w:rsid w:val="002E15B9"/>
    <w:rsid w:val="002E2158"/>
    <w:rsid w:val="002E7722"/>
    <w:rsid w:val="002F07BA"/>
    <w:rsid w:val="002F0DA9"/>
    <w:rsid w:val="002F1C90"/>
    <w:rsid w:val="002F44FA"/>
    <w:rsid w:val="002F643C"/>
    <w:rsid w:val="002F71C0"/>
    <w:rsid w:val="00300D95"/>
    <w:rsid w:val="00300DE1"/>
    <w:rsid w:val="00300F29"/>
    <w:rsid w:val="00301017"/>
    <w:rsid w:val="0030155F"/>
    <w:rsid w:val="00305738"/>
    <w:rsid w:val="0030587B"/>
    <w:rsid w:val="00306D98"/>
    <w:rsid w:val="0030786C"/>
    <w:rsid w:val="00307AF5"/>
    <w:rsid w:val="00307BE1"/>
    <w:rsid w:val="00307BF7"/>
    <w:rsid w:val="00307DF6"/>
    <w:rsid w:val="0031031A"/>
    <w:rsid w:val="00310981"/>
    <w:rsid w:val="003115BA"/>
    <w:rsid w:val="00315498"/>
    <w:rsid w:val="00315FEB"/>
    <w:rsid w:val="00316974"/>
    <w:rsid w:val="00322107"/>
    <w:rsid w:val="003227AE"/>
    <w:rsid w:val="00322846"/>
    <w:rsid w:val="00322F0C"/>
    <w:rsid w:val="003238CE"/>
    <w:rsid w:val="00325B93"/>
    <w:rsid w:val="00326DA7"/>
    <w:rsid w:val="003270E4"/>
    <w:rsid w:val="00327F34"/>
    <w:rsid w:val="00330D65"/>
    <w:rsid w:val="00330F5C"/>
    <w:rsid w:val="003341C1"/>
    <w:rsid w:val="003366C9"/>
    <w:rsid w:val="00336990"/>
    <w:rsid w:val="00336CE0"/>
    <w:rsid w:val="00336FD7"/>
    <w:rsid w:val="003371B0"/>
    <w:rsid w:val="00337895"/>
    <w:rsid w:val="00340DF1"/>
    <w:rsid w:val="00343746"/>
    <w:rsid w:val="00343B3F"/>
    <w:rsid w:val="00343F5D"/>
    <w:rsid w:val="00344844"/>
    <w:rsid w:val="00344F76"/>
    <w:rsid w:val="00345BF7"/>
    <w:rsid w:val="003472F1"/>
    <w:rsid w:val="003514DC"/>
    <w:rsid w:val="003517F9"/>
    <w:rsid w:val="00352669"/>
    <w:rsid w:val="00353912"/>
    <w:rsid w:val="0035620E"/>
    <w:rsid w:val="00356F81"/>
    <w:rsid w:val="003601A8"/>
    <w:rsid w:val="003624C4"/>
    <w:rsid w:val="003628A7"/>
    <w:rsid w:val="0036346D"/>
    <w:rsid w:val="00363488"/>
    <w:rsid w:val="003634ED"/>
    <w:rsid w:val="003637E6"/>
    <w:rsid w:val="0036549E"/>
    <w:rsid w:val="003654AC"/>
    <w:rsid w:val="00367612"/>
    <w:rsid w:val="003710CF"/>
    <w:rsid w:val="0037358A"/>
    <w:rsid w:val="00373D21"/>
    <w:rsid w:val="003750F6"/>
    <w:rsid w:val="00375E92"/>
    <w:rsid w:val="00375F51"/>
    <w:rsid w:val="003760FC"/>
    <w:rsid w:val="003763B9"/>
    <w:rsid w:val="00377C13"/>
    <w:rsid w:val="003807A9"/>
    <w:rsid w:val="00382DCF"/>
    <w:rsid w:val="00383299"/>
    <w:rsid w:val="0038365C"/>
    <w:rsid w:val="0038369B"/>
    <w:rsid w:val="00383B78"/>
    <w:rsid w:val="00385A9D"/>
    <w:rsid w:val="003902B1"/>
    <w:rsid w:val="003926EC"/>
    <w:rsid w:val="003933B5"/>
    <w:rsid w:val="003951ED"/>
    <w:rsid w:val="00396896"/>
    <w:rsid w:val="00396AAD"/>
    <w:rsid w:val="00396FD0"/>
    <w:rsid w:val="00397495"/>
    <w:rsid w:val="003A1A7A"/>
    <w:rsid w:val="003A2385"/>
    <w:rsid w:val="003A2392"/>
    <w:rsid w:val="003A2831"/>
    <w:rsid w:val="003A2982"/>
    <w:rsid w:val="003A3ED1"/>
    <w:rsid w:val="003A4C90"/>
    <w:rsid w:val="003B2157"/>
    <w:rsid w:val="003B3F22"/>
    <w:rsid w:val="003B44BD"/>
    <w:rsid w:val="003B4D30"/>
    <w:rsid w:val="003B5B61"/>
    <w:rsid w:val="003B63FA"/>
    <w:rsid w:val="003B723A"/>
    <w:rsid w:val="003C14CA"/>
    <w:rsid w:val="003C1654"/>
    <w:rsid w:val="003C2872"/>
    <w:rsid w:val="003C32CE"/>
    <w:rsid w:val="003C3EA6"/>
    <w:rsid w:val="003C41F7"/>
    <w:rsid w:val="003C424A"/>
    <w:rsid w:val="003C47A9"/>
    <w:rsid w:val="003C7D19"/>
    <w:rsid w:val="003D1828"/>
    <w:rsid w:val="003D1DE4"/>
    <w:rsid w:val="003D2422"/>
    <w:rsid w:val="003D2A14"/>
    <w:rsid w:val="003D39A1"/>
    <w:rsid w:val="003D3FBF"/>
    <w:rsid w:val="003D4127"/>
    <w:rsid w:val="003D4A30"/>
    <w:rsid w:val="003D5D7A"/>
    <w:rsid w:val="003D79BB"/>
    <w:rsid w:val="003D7C98"/>
    <w:rsid w:val="003E006D"/>
    <w:rsid w:val="003E0543"/>
    <w:rsid w:val="003E068C"/>
    <w:rsid w:val="003E16E3"/>
    <w:rsid w:val="003E3E01"/>
    <w:rsid w:val="003E43B1"/>
    <w:rsid w:val="003E600E"/>
    <w:rsid w:val="003E712B"/>
    <w:rsid w:val="003E7554"/>
    <w:rsid w:val="003E7CD6"/>
    <w:rsid w:val="003E7E1A"/>
    <w:rsid w:val="003F0848"/>
    <w:rsid w:val="003F374D"/>
    <w:rsid w:val="003F4156"/>
    <w:rsid w:val="003F590B"/>
    <w:rsid w:val="003F6FCA"/>
    <w:rsid w:val="003F766E"/>
    <w:rsid w:val="003F7BA4"/>
    <w:rsid w:val="003F7F76"/>
    <w:rsid w:val="00400A13"/>
    <w:rsid w:val="00400B29"/>
    <w:rsid w:val="00400F1B"/>
    <w:rsid w:val="004014D4"/>
    <w:rsid w:val="00402C2E"/>
    <w:rsid w:val="00404D17"/>
    <w:rsid w:val="0040504B"/>
    <w:rsid w:val="00406E02"/>
    <w:rsid w:val="00410708"/>
    <w:rsid w:val="00410EBC"/>
    <w:rsid w:val="00410EC7"/>
    <w:rsid w:val="00411B39"/>
    <w:rsid w:val="00413A1E"/>
    <w:rsid w:val="00414476"/>
    <w:rsid w:val="00414C2E"/>
    <w:rsid w:val="004151CF"/>
    <w:rsid w:val="00416364"/>
    <w:rsid w:val="0041738C"/>
    <w:rsid w:val="00420AA6"/>
    <w:rsid w:val="00420B9F"/>
    <w:rsid w:val="004221FC"/>
    <w:rsid w:val="00422260"/>
    <w:rsid w:val="00422540"/>
    <w:rsid w:val="004227BE"/>
    <w:rsid w:val="00422FD5"/>
    <w:rsid w:val="004230AB"/>
    <w:rsid w:val="0042413F"/>
    <w:rsid w:val="004241E7"/>
    <w:rsid w:val="00424766"/>
    <w:rsid w:val="0042581F"/>
    <w:rsid w:val="00426168"/>
    <w:rsid w:val="00426332"/>
    <w:rsid w:val="0042748E"/>
    <w:rsid w:val="00430917"/>
    <w:rsid w:val="004311F5"/>
    <w:rsid w:val="004319F8"/>
    <w:rsid w:val="00431E55"/>
    <w:rsid w:val="004321F6"/>
    <w:rsid w:val="00432D75"/>
    <w:rsid w:val="00433044"/>
    <w:rsid w:val="00433867"/>
    <w:rsid w:val="00434301"/>
    <w:rsid w:val="004375B9"/>
    <w:rsid w:val="0043768B"/>
    <w:rsid w:val="004428D0"/>
    <w:rsid w:val="0044322A"/>
    <w:rsid w:val="004443A7"/>
    <w:rsid w:val="0044442C"/>
    <w:rsid w:val="0044501F"/>
    <w:rsid w:val="00445941"/>
    <w:rsid w:val="00445EC3"/>
    <w:rsid w:val="004464EB"/>
    <w:rsid w:val="00447D26"/>
    <w:rsid w:val="00450D50"/>
    <w:rsid w:val="00451F0C"/>
    <w:rsid w:val="004552F3"/>
    <w:rsid w:val="00455D45"/>
    <w:rsid w:val="00455D75"/>
    <w:rsid w:val="00455D82"/>
    <w:rsid w:val="004560B6"/>
    <w:rsid w:val="004573C0"/>
    <w:rsid w:val="00461963"/>
    <w:rsid w:val="00461E90"/>
    <w:rsid w:val="00462651"/>
    <w:rsid w:val="004633E9"/>
    <w:rsid w:val="004637A3"/>
    <w:rsid w:val="00464595"/>
    <w:rsid w:val="00465018"/>
    <w:rsid w:val="00465305"/>
    <w:rsid w:val="0047062C"/>
    <w:rsid w:val="00470735"/>
    <w:rsid w:val="004722CA"/>
    <w:rsid w:val="00472A79"/>
    <w:rsid w:val="004736E9"/>
    <w:rsid w:val="00473F19"/>
    <w:rsid w:val="00475E22"/>
    <w:rsid w:val="00476493"/>
    <w:rsid w:val="004772DB"/>
    <w:rsid w:val="0047750D"/>
    <w:rsid w:val="0048088E"/>
    <w:rsid w:val="00480BDC"/>
    <w:rsid w:val="00480C94"/>
    <w:rsid w:val="004821C1"/>
    <w:rsid w:val="00482720"/>
    <w:rsid w:val="004835E7"/>
    <w:rsid w:val="0048636D"/>
    <w:rsid w:val="004864AC"/>
    <w:rsid w:val="004867E2"/>
    <w:rsid w:val="004877DF"/>
    <w:rsid w:val="004914FE"/>
    <w:rsid w:val="00491854"/>
    <w:rsid w:val="00491B3A"/>
    <w:rsid w:val="00492CFD"/>
    <w:rsid w:val="00494DD5"/>
    <w:rsid w:val="00495F88"/>
    <w:rsid w:val="004962D2"/>
    <w:rsid w:val="004A0DA1"/>
    <w:rsid w:val="004A52C8"/>
    <w:rsid w:val="004A52E9"/>
    <w:rsid w:val="004A6597"/>
    <w:rsid w:val="004A71C4"/>
    <w:rsid w:val="004A7848"/>
    <w:rsid w:val="004B0289"/>
    <w:rsid w:val="004B1CB4"/>
    <w:rsid w:val="004B216A"/>
    <w:rsid w:val="004B25B3"/>
    <w:rsid w:val="004B2F18"/>
    <w:rsid w:val="004B3DDB"/>
    <w:rsid w:val="004B44FD"/>
    <w:rsid w:val="004B5438"/>
    <w:rsid w:val="004B5CFC"/>
    <w:rsid w:val="004B774D"/>
    <w:rsid w:val="004C0D7F"/>
    <w:rsid w:val="004C1545"/>
    <w:rsid w:val="004C19A0"/>
    <w:rsid w:val="004C1C06"/>
    <w:rsid w:val="004C2037"/>
    <w:rsid w:val="004C2507"/>
    <w:rsid w:val="004C4AED"/>
    <w:rsid w:val="004C74F2"/>
    <w:rsid w:val="004D1006"/>
    <w:rsid w:val="004D2C2D"/>
    <w:rsid w:val="004D3D22"/>
    <w:rsid w:val="004D7227"/>
    <w:rsid w:val="004E0E7F"/>
    <w:rsid w:val="004E0EB8"/>
    <w:rsid w:val="004E1A09"/>
    <w:rsid w:val="004E2ADC"/>
    <w:rsid w:val="004E3A17"/>
    <w:rsid w:val="004E43B2"/>
    <w:rsid w:val="004E4E58"/>
    <w:rsid w:val="004E5154"/>
    <w:rsid w:val="004E531A"/>
    <w:rsid w:val="004E6AA4"/>
    <w:rsid w:val="004E7363"/>
    <w:rsid w:val="004F1D02"/>
    <w:rsid w:val="004F2679"/>
    <w:rsid w:val="004F2F21"/>
    <w:rsid w:val="004F6913"/>
    <w:rsid w:val="004F70C9"/>
    <w:rsid w:val="004F77AB"/>
    <w:rsid w:val="004F7865"/>
    <w:rsid w:val="004F7CC1"/>
    <w:rsid w:val="0050219B"/>
    <w:rsid w:val="00503F17"/>
    <w:rsid w:val="0050447B"/>
    <w:rsid w:val="005061CC"/>
    <w:rsid w:val="00506928"/>
    <w:rsid w:val="00507549"/>
    <w:rsid w:val="00507DA3"/>
    <w:rsid w:val="00510EA4"/>
    <w:rsid w:val="00511421"/>
    <w:rsid w:val="00511DDB"/>
    <w:rsid w:val="00514A28"/>
    <w:rsid w:val="005152B5"/>
    <w:rsid w:val="00521319"/>
    <w:rsid w:val="00522BC8"/>
    <w:rsid w:val="00523B06"/>
    <w:rsid w:val="00523C28"/>
    <w:rsid w:val="00523E9E"/>
    <w:rsid w:val="00531758"/>
    <w:rsid w:val="00531CC8"/>
    <w:rsid w:val="005346B5"/>
    <w:rsid w:val="00534908"/>
    <w:rsid w:val="0053521A"/>
    <w:rsid w:val="005358DE"/>
    <w:rsid w:val="00535A9F"/>
    <w:rsid w:val="00536F42"/>
    <w:rsid w:val="00537182"/>
    <w:rsid w:val="00537276"/>
    <w:rsid w:val="00537D87"/>
    <w:rsid w:val="00540C72"/>
    <w:rsid w:val="005415D7"/>
    <w:rsid w:val="00541B06"/>
    <w:rsid w:val="00542233"/>
    <w:rsid w:val="00542743"/>
    <w:rsid w:val="005427FB"/>
    <w:rsid w:val="00542C2D"/>
    <w:rsid w:val="00545312"/>
    <w:rsid w:val="005462DD"/>
    <w:rsid w:val="00551985"/>
    <w:rsid w:val="00552BD3"/>
    <w:rsid w:val="005542F2"/>
    <w:rsid w:val="00554B2C"/>
    <w:rsid w:val="00555109"/>
    <w:rsid w:val="005608CD"/>
    <w:rsid w:val="005624CE"/>
    <w:rsid w:val="0056350C"/>
    <w:rsid w:val="00563F03"/>
    <w:rsid w:val="0056696F"/>
    <w:rsid w:val="0057058E"/>
    <w:rsid w:val="005720CE"/>
    <w:rsid w:val="00572269"/>
    <w:rsid w:val="0057244A"/>
    <w:rsid w:val="00575D8D"/>
    <w:rsid w:val="00576972"/>
    <w:rsid w:val="00576F42"/>
    <w:rsid w:val="00577B48"/>
    <w:rsid w:val="00581493"/>
    <w:rsid w:val="00583699"/>
    <w:rsid w:val="0058379E"/>
    <w:rsid w:val="00584D31"/>
    <w:rsid w:val="00585CDD"/>
    <w:rsid w:val="00587058"/>
    <w:rsid w:val="00590B4E"/>
    <w:rsid w:val="00591957"/>
    <w:rsid w:val="00593645"/>
    <w:rsid w:val="00594DF1"/>
    <w:rsid w:val="00595E4D"/>
    <w:rsid w:val="0059784E"/>
    <w:rsid w:val="00597BF9"/>
    <w:rsid w:val="005A0757"/>
    <w:rsid w:val="005A0973"/>
    <w:rsid w:val="005A373D"/>
    <w:rsid w:val="005A6BE7"/>
    <w:rsid w:val="005B14BF"/>
    <w:rsid w:val="005B3E47"/>
    <w:rsid w:val="005B4219"/>
    <w:rsid w:val="005B5857"/>
    <w:rsid w:val="005C1B83"/>
    <w:rsid w:val="005C2D55"/>
    <w:rsid w:val="005C2EB7"/>
    <w:rsid w:val="005C346B"/>
    <w:rsid w:val="005D036B"/>
    <w:rsid w:val="005D044D"/>
    <w:rsid w:val="005D0ABD"/>
    <w:rsid w:val="005D0C7A"/>
    <w:rsid w:val="005D18AD"/>
    <w:rsid w:val="005D2070"/>
    <w:rsid w:val="005D249F"/>
    <w:rsid w:val="005D26B4"/>
    <w:rsid w:val="005D2DA6"/>
    <w:rsid w:val="005D42AF"/>
    <w:rsid w:val="005D4310"/>
    <w:rsid w:val="005D4873"/>
    <w:rsid w:val="005E09B5"/>
    <w:rsid w:val="005E0ACF"/>
    <w:rsid w:val="005E102A"/>
    <w:rsid w:val="005E48D6"/>
    <w:rsid w:val="005E54A4"/>
    <w:rsid w:val="005E6AAB"/>
    <w:rsid w:val="005E6CBC"/>
    <w:rsid w:val="005E73C0"/>
    <w:rsid w:val="005E796A"/>
    <w:rsid w:val="005F20A7"/>
    <w:rsid w:val="005F2706"/>
    <w:rsid w:val="005F6A8F"/>
    <w:rsid w:val="005F7381"/>
    <w:rsid w:val="00601CA0"/>
    <w:rsid w:val="00602E6F"/>
    <w:rsid w:val="00603DB9"/>
    <w:rsid w:val="0060638E"/>
    <w:rsid w:val="00607149"/>
    <w:rsid w:val="00607669"/>
    <w:rsid w:val="00607AFD"/>
    <w:rsid w:val="00612F97"/>
    <w:rsid w:val="0061345D"/>
    <w:rsid w:val="006139B4"/>
    <w:rsid w:val="00615279"/>
    <w:rsid w:val="006154E8"/>
    <w:rsid w:val="00616802"/>
    <w:rsid w:val="00617AE8"/>
    <w:rsid w:val="00617E12"/>
    <w:rsid w:val="006210FF"/>
    <w:rsid w:val="00621477"/>
    <w:rsid w:val="00622C31"/>
    <w:rsid w:val="006243CB"/>
    <w:rsid w:val="00626A19"/>
    <w:rsid w:val="0063158F"/>
    <w:rsid w:val="00631774"/>
    <w:rsid w:val="00631D6B"/>
    <w:rsid w:val="006330A1"/>
    <w:rsid w:val="00633900"/>
    <w:rsid w:val="0063479F"/>
    <w:rsid w:val="006353F0"/>
    <w:rsid w:val="00635A2C"/>
    <w:rsid w:val="006364A1"/>
    <w:rsid w:val="0063730D"/>
    <w:rsid w:val="00637BFD"/>
    <w:rsid w:val="00637F3D"/>
    <w:rsid w:val="006411AC"/>
    <w:rsid w:val="00641C4E"/>
    <w:rsid w:val="00642267"/>
    <w:rsid w:val="00642466"/>
    <w:rsid w:val="00642D55"/>
    <w:rsid w:val="0064694D"/>
    <w:rsid w:val="00646D6D"/>
    <w:rsid w:val="006471CC"/>
    <w:rsid w:val="0065079F"/>
    <w:rsid w:val="0065379F"/>
    <w:rsid w:val="006542B3"/>
    <w:rsid w:val="00655D83"/>
    <w:rsid w:val="006607EC"/>
    <w:rsid w:val="00661C6B"/>
    <w:rsid w:val="00662DFE"/>
    <w:rsid w:val="00670E67"/>
    <w:rsid w:val="00671345"/>
    <w:rsid w:val="00672070"/>
    <w:rsid w:val="006736E8"/>
    <w:rsid w:val="006740A1"/>
    <w:rsid w:val="00674E42"/>
    <w:rsid w:val="0067628F"/>
    <w:rsid w:val="006763DE"/>
    <w:rsid w:val="00676853"/>
    <w:rsid w:val="00676B3A"/>
    <w:rsid w:val="00682112"/>
    <w:rsid w:val="00682F0D"/>
    <w:rsid w:val="00683196"/>
    <w:rsid w:val="006832BC"/>
    <w:rsid w:val="00686957"/>
    <w:rsid w:val="00686DF7"/>
    <w:rsid w:val="006872BA"/>
    <w:rsid w:val="00687515"/>
    <w:rsid w:val="00691648"/>
    <w:rsid w:val="006917D7"/>
    <w:rsid w:val="00693912"/>
    <w:rsid w:val="00694291"/>
    <w:rsid w:val="00694362"/>
    <w:rsid w:val="00694F44"/>
    <w:rsid w:val="00696E23"/>
    <w:rsid w:val="006974A2"/>
    <w:rsid w:val="00697970"/>
    <w:rsid w:val="006A02AE"/>
    <w:rsid w:val="006A1230"/>
    <w:rsid w:val="006A593D"/>
    <w:rsid w:val="006A76AF"/>
    <w:rsid w:val="006A7E5F"/>
    <w:rsid w:val="006B0AB0"/>
    <w:rsid w:val="006B261B"/>
    <w:rsid w:val="006B2C90"/>
    <w:rsid w:val="006B3E6B"/>
    <w:rsid w:val="006B50E5"/>
    <w:rsid w:val="006B6DD0"/>
    <w:rsid w:val="006C2A8E"/>
    <w:rsid w:val="006C3909"/>
    <w:rsid w:val="006C3FFD"/>
    <w:rsid w:val="006D2D28"/>
    <w:rsid w:val="006D3C7D"/>
    <w:rsid w:val="006D5D5F"/>
    <w:rsid w:val="006E013D"/>
    <w:rsid w:val="006E527A"/>
    <w:rsid w:val="006E6328"/>
    <w:rsid w:val="006E79E5"/>
    <w:rsid w:val="006F0128"/>
    <w:rsid w:val="006F2A3E"/>
    <w:rsid w:val="006F306C"/>
    <w:rsid w:val="006F63A5"/>
    <w:rsid w:val="0070110F"/>
    <w:rsid w:val="0070142B"/>
    <w:rsid w:val="007023D3"/>
    <w:rsid w:val="0070241F"/>
    <w:rsid w:val="0070276E"/>
    <w:rsid w:val="00702F8F"/>
    <w:rsid w:val="00703960"/>
    <w:rsid w:val="00707453"/>
    <w:rsid w:val="00707C87"/>
    <w:rsid w:val="00711A36"/>
    <w:rsid w:val="00713762"/>
    <w:rsid w:val="0071529C"/>
    <w:rsid w:val="007172AD"/>
    <w:rsid w:val="00717B78"/>
    <w:rsid w:val="00720E3C"/>
    <w:rsid w:val="00722B1B"/>
    <w:rsid w:val="0072416F"/>
    <w:rsid w:val="00725A92"/>
    <w:rsid w:val="00726C3F"/>
    <w:rsid w:val="00726FCF"/>
    <w:rsid w:val="00727C94"/>
    <w:rsid w:val="00731004"/>
    <w:rsid w:val="00731EAE"/>
    <w:rsid w:val="007329F3"/>
    <w:rsid w:val="00734283"/>
    <w:rsid w:val="00734864"/>
    <w:rsid w:val="00734CE7"/>
    <w:rsid w:val="00735033"/>
    <w:rsid w:val="00735328"/>
    <w:rsid w:val="0073685B"/>
    <w:rsid w:val="00737011"/>
    <w:rsid w:val="00737470"/>
    <w:rsid w:val="00740CC8"/>
    <w:rsid w:val="00745796"/>
    <w:rsid w:val="00745E1C"/>
    <w:rsid w:val="007500B5"/>
    <w:rsid w:val="007511E3"/>
    <w:rsid w:val="00752053"/>
    <w:rsid w:val="00752142"/>
    <w:rsid w:val="007523F9"/>
    <w:rsid w:val="00752F6B"/>
    <w:rsid w:val="00753739"/>
    <w:rsid w:val="007573E8"/>
    <w:rsid w:val="007603D3"/>
    <w:rsid w:val="00760C4E"/>
    <w:rsid w:val="007611C3"/>
    <w:rsid w:val="00762035"/>
    <w:rsid w:val="00762550"/>
    <w:rsid w:val="00762E4D"/>
    <w:rsid w:val="0076308C"/>
    <w:rsid w:val="00763E3A"/>
    <w:rsid w:val="00765B1A"/>
    <w:rsid w:val="0076778F"/>
    <w:rsid w:val="00770BC9"/>
    <w:rsid w:val="00771142"/>
    <w:rsid w:val="007843F2"/>
    <w:rsid w:val="00785C22"/>
    <w:rsid w:val="007867E4"/>
    <w:rsid w:val="0079193B"/>
    <w:rsid w:val="00792C18"/>
    <w:rsid w:val="00793EC5"/>
    <w:rsid w:val="007945F3"/>
    <w:rsid w:val="00795315"/>
    <w:rsid w:val="00797158"/>
    <w:rsid w:val="007974F9"/>
    <w:rsid w:val="00797992"/>
    <w:rsid w:val="007A03BF"/>
    <w:rsid w:val="007A0446"/>
    <w:rsid w:val="007A0A12"/>
    <w:rsid w:val="007A0CC4"/>
    <w:rsid w:val="007A132D"/>
    <w:rsid w:val="007A26FC"/>
    <w:rsid w:val="007A277F"/>
    <w:rsid w:val="007A2C43"/>
    <w:rsid w:val="007A3266"/>
    <w:rsid w:val="007A4E62"/>
    <w:rsid w:val="007A5607"/>
    <w:rsid w:val="007A5F33"/>
    <w:rsid w:val="007A70F8"/>
    <w:rsid w:val="007A7979"/>
    <w:rsid w:val="007B0D68"/>
    <w:rsid w:val="007B251D"/>
    <w:rsid w:val="007B3AD0"/>
    <w:rsid w:val="007B423F"/>
    <w:rsid w:val="007B4265"/>
    <w:rsid w:val="007B4798"/>
    <w:rsid w:val="007B4F58"/>
    <w:rsid w:val="007B528D"/>
    <w:rsid w:val="007B576B"/>
    <w:rsid w:val="007B680B"/>
    <w:rsid w:val="007B77D1"/>
    <w:rsid w:val="007B780D"/>
    <w:rsid w:val="007C0A2A"/>
    <w:rsid w:val="007C1CD9"/>
    <w:rsid w:val="007C361D"/>
    <w:rsid w:val="007C4B84"/>
    <w:rsid w:val="007C4BDE"/>
    <w:rsid w:val="007C6119"/>
    <w:rsid w:val="007D004F"/>
    <w:rsid w:val="007D0B38"/>
    <w:rsid w:val="007D3143"/>
    <w:rsid w:val="007D49AD"/>
    <w:rsid w:val="007D50D6"/>
    <w:rsid w:val="007D5440"/>
    <w:rsid w:val="007E0099"/>
    <w:rsid w:val="007E3ADC"/>
    <w:rsid w:val="007E4AC2"/>
    <w:rsid w:val="007E5552"/>
    <w:rsid w:val="007F082E"/>
    <w:rsid w:val="007F1017"/>
    <w:rsid w:val="007F1BB5"/>
    <w:rsid w:val="007F460B"/>
    <w:rsid w:val="007F4A3F"/>
    <w:rsid w:val="007F4A61"/>
    <w:rsid w:val="007F5327"/>
    <w:rsid w:val="007F61C2"/>
    <w:rsid w:val="007F6374"/>
    <w:rsid w:val="007F736D"/>
    <w:rsid w:val="007F7555"/>
    <w:rsid w:val="008005A2"/>
    <w:rsid w:val="00805142"/>
    <w:rsid w:val="00807A8B"/>
    <w:rsid w:val="008104CE"/>
    <w:rsid w:val="008108B1"/>
    <w:rsid w:val="00811383"/>
    <w:rsid w:val="00811FC2"/>
    <w:rsid w:val="00812149"/>
    <w:rsid w:val="00812CAC"/>
    <w:rsid w:val="008139E5"/>
    <w:rsid w:val="0081535D"/>
    <w:rsid w:val="008166EF"/>
    <w:rsid w:val="00823B89"/>
    <w:rsid w:val="00825751"/>
    <w:rsid w:val="008262F0"/>
    <w:rsid w:val="008264EB"/>
    <w:rsid w:val="008308DB"/>
    <w:rsid w:val="00831375"/>
    <w:rsid w:val="00833067"/>
    <w:rsid w:val="00833322"/>
    <w:rsid w:val="00833B05"/>
    <w:rsid w:val="008362B4"/>
    <w:rsid w:val="00840248"/>
    <w:rsid w:val="00840CA2"/>
    <w:rsid w:val="00841265"/>
    <w:rsid w:val="00841F1F"/>
    <w:rsid w:val="0084374F"/>
    <w:rsid w:val="00847119"/>
    <w:rsid w:val="00847DF5"/>
    <w:rsid w:val="00851942"/>
    <w:rsid w:val="00852C5E"/>
    <w:rsid w:val="0085309D"/>
    <w:rsid w:val="008530BC"/>
    <w:rsid w:val="00856897"/>
    <w:rsid w:val="00856E9A"/>
    <w:rsid w:val="0086075D"/>
    <w:rsid w:val="00862502"/>
    <w:rsid w:val="00864F9B"/>
    <w:rsid w:val="0086567F"/>
    <w:rsid w:val="008660D4"/>
    <w:rsid w:val="00870FA7"/>
    <w:rsid w:val="00871FA9"/>
    <w:rsid w:val="00871FFF"/>
    <w:rsid w:val="008728E9"/>
    <w:rsid w:val="00872EAF"/>
    <w:rsid w:val="0087411D"/>
    <w:rsid w:val="00876EDD"/>
    <w:rsid w:val="00882874"/>
    <w:rsid w:val="00883787"/>
    <w:rsid w:val="00883B70"/>
    <w:rsid w:val="00885646"/>
    <w:rsid w:val="00886CD2"/>
    <w:rsid w:val="00890293"/>
    <w:rsid w:val="0089292D"/>
    <w:rsid w:val="00892A36"/>
    <w:rsid w:val="00892FAD"/>
    <w:rsid w:val="00893239"/>
    <w:rsid w:val="00893758"/>
    <w:rsid w:val="00893E2B"/>
    <w:rsid w:val="00894489"/>
    <w:rsid w:val="008963A5"/>
    <w:rsid w:val="008A0C19"/>
    <w:rsid w:val="008A1B31"/>
    <w:rsid w:val="008A215D"/>
    <w:rsid w:val="008A3363"/>
    <w:rsid w:val="008A3371"/>
    <w:rsid w:val="008A3C3E"/>
    <w:rsid w:val="008A4A76"/>
    <w:rsid w:val="008A65A5"/>
    <w:rsid w:val="008A79DE"/>
    <w:rsid w:val="008B1757"/>
    <w:rsid w:val="008B5651"/>
    <w:rsid w:val="008B7D7E"/>
    <w:rsid w:val="008C235F"/>
    <w:rsid w:val="008C3C13"/>
    <w:rsid w:val="008C5337"/>
    <w:rsid w:val="008C7789"/>
    <w:rsid w:val="008C7ECB"/>
    <w:rsid w:val="008D0C53"/>
    <w:rsid w:val="008D2A23"/>
    <w:rsid w:val="008D2A97"/>
    <w:rsid w:val="008D4755"/>
    <w:rsid w:val="008D4C3D"/>
    <w:rsid w:val="008D5B48"/>
    <w:rsid w:val="008D7E7C"/>
    <w:rsid w:val="008E092C"/>
    <w:rsid w:val="008E0D3C"/>
    <w:rsid w:val="008E1B9E"/>
    <w:rsid w:val="008E2F58"/>
    <w:rsid w:val="008E4A5E"/>
    <w:rsid w:val="008E55AB"/>
    <w:rsid w:val="008E7F06"/>
    <w:rsid w:val="008F08FA"/>
    <w:rsid w:val="008F120A"/>
    <w:rsid w:val="008F27E0"/>
    <w:rsid w:val="008F48EB"/>
    <w:rsid w:val="008F4F0B"/>
    <w:rsid w:val="008F58AA"/>
    <w:rsid w:val="009020A0"/>
    <w:rsid w:val="009023C9"/>
    <w:rsid w:val="00902CF5"/>
    <w:rsid w:val="009046C4"/>
    <w:rsid w:val="009062A5"/>
    <w:rsid w:val="0090691C"/>
    <w:rsid w:val="00911272"/>
    <w:rsid w:val="0091268B"/>
    <w:rsid w:val="00912DAF"/>
    <w:rsid w:val="009135D6"/>
    <w:rsid w:val="0091457D"/>
    <w:rsid w:val="00914C77"/>
    <w:rsid w:val="00915A8C"/>
    <w:rsid w:val="00916542"/>
    <w:rsid w:val="009202AE"/>
    <w:rsid w:val="00920D3C"/>
    <w:rsid w:val="00921E40"/>
    <w:rsid w:val="00921F69"/>
    <w:rsid w:val="00921FC2"/>
    <w:rsid w:val="0092369B"/>
    <w:rsid w:val="00924AD6"/>
    <w:rsid w:val="00925B16"/>
    <w:rsid w:val="00925BED"/>
    <w:rsid w:val="00930DBB"/>
    <w:rsid w:val="009315DF"/>
    <w:rsid w:val="00931DC7"/>
    <w:rsid w:val="009323D3"/>
    <w:rsid w:val="009345D2"/>
    <w:rsid w:val="00935CE4"/>
    <w:rsid w:val="0094221C"/>
    <w:rsid w:val="00942B23"/>
    <w:rsid w:val="00943891"/>
    <w:rsid w:val="00943A27"/>
    <w:rsid w:val="009440AE"/>
    <w:rsid w:val="009463A3"/>
    <w:rsid w:val="00950AC4"/>
    <w:rsid w:val="009510A2"/>
    <w:rsid w:val="0095273E"/>
    <w:rsid w:val="00953257"/>
    <w:rsid w:val="00953D37"/>
    <w:rsid w:val="0095400A"/>
    <w:rsid w:val="009547E9"/>
    <w:rsid w:val="00954C2C"/>
    <w:rsid w:val="00956124"/>
    <w:rsid w:val="009608CB"/>
    <w:rsid w:val="00960B8D"/>
    <w:rsid w:val="0096226B"/>
    <w:rsid w:val="00962CB9"/>
    <w:rsid w:val="009630A5"/>
    <w:rsid w:val="00963422"/>
    <w:rsid w:val="00964312"/>
    <w:rsid w:val="00964B42"/>
    <w:rsid w:val="00965725"/>
    <w:rsid w:val="00965B8A"/>
    <w:rsid w:val="00967D77"/>
    <w:rsid w:val="00970DD9"/>
    <w:rsid w:val="009717AC"/>
    <w:rsid w:val="00971BF0"/>
    <w:rsid w:val="0097579B"/>
    <w:rsid w:val="009802D7"/>
    <w:rsid w:val="00983E57"/>
    <w:rsid w:val="00984515"/>
    <w:rsid w:val="0098675D"/>
    <w:rsid w:val="00986E91"/>
    <w:rsid w:val="00987DB8"/>
    <w:rsid w:val="00992181"/>
    <w:rsid w:val="00995D50"/>
    <w:rsid w:val="009962D5"/>
    <w:rsid w:val="00996B1A"/>
    <w:rsid w:val="00996C6B"/>
    <w:rsid w:val="009A5468"/>
    <w:rsid w:val="009A61EC"/>
    <w:rsid w:val="009A633A"/>
    <w:rsid w:val="009A790E"/>
    <w:rsid w:val="009A7F10"/>
    <w:rsid w:val="009B05ED"/>
    <w:rsid w:val="009B06A5"/>
    <w:rsid w:val="009B0B6E"/>
    <w:rsid w:val="009B2736"/>
    <w:rsid w:val="009B3E26"/>
    <w:rsid w:val="009B63C4"/>
    <w:rsid w:val="009C5590"/>
    <w:rsid w:val="009C5F7C"/>
    <w:rsid w:val="009C5FEB"/>
    <w:rsid w:val="009C6CEA"/>
    <w:rsid w:val="009C6FA8"/>
    <w:rsid w:val="009C7B85"/>
    <w:rsid w:val="009D33B4"/>
    <w:rsid w:val="009D3541"/>
    <w:rsid w:val="009D5B91"/>
    <w:rsid w:val="009D5F21"/>
    <w:rsid w:val="009D6B58"/>
    <w:rsid w:val="009D792E"/>
    <w:rsid w:val="009E0DFE"/>
    <w:rsid w:val="009E1375"/>
    <w:rsid w:val="009E28E2"/>
    <w:rsid w:val="009E4421"/>
    <w:rsid w:val="009E4C07"/>
    <w:rsid w:val="009E70AA"/>
    <w:rsid w:val="009F0791"/>
    <w:rsid w:val="009F2793"/>
    <w:rsid w:val="009F2C1A"/>
    <w:rsid w:val="009F2F64"/>
    <w:rsid w:val="009F2FB1"/>
    <w:rsid w:val="009F3E8F"/>
    <w:rsid w:val="009F5337"/>
    <w:rsid w:val="009F76E9"/>
    <w:rsid w:val="00A01184"/>
    <w:rsid w:val="00A02E57"/>
    <w:rsid w:val="00A03D43"/>
    <w:rsid w:val="00A04380"/>
    <w:rsid w:val="00A05CD5"/>
    <w:rsid w:val="00A06A4B"/>
    <w:rsid w:val="00A0766A"/>
    <w:rsid w:val="00A10D29"/>
    <w:rsid w:val="00A1142D"/>
    <w:rsid w:val="00A11CD0"/>
    <w:rsid w:val="00A11F5A"/>
    <w:rsid w:val="00A11FFD"/>
    <w:rsid w:val="00A12B08"/>
    <w:rsid w:val="00A13948"/>
    <w:rsid w:val="00A13C14"/>
    <w:rsid w:val="00A148A3"/>
    <w:rsid w:val="00A14A42"/>
    <w:rsid w:val="00A1555B"/>
    <w:rsid w:val="00A155C5"/>
    <w:rsid w:val="00A16AD8"/>
    <w:rsid w:val="00A20E7D"/>
    <w:rsid w:val="00A21389"/>
    <w:rsid w:val="00A21421"/>
    <w:rsid w:val="00A21CF3"/>
    <w:rsid w:val="00A231B4"/>
    <w:rsid w:val="00A23715"/>
    <w:rsid w:val="00A24402"/>
    <w:rsid w:val="00A24DF4"/>
    <w:rsid w:val="00A2521A"/>
    <w:rsid w:val="00A256E1"/>
    <w:rsid w:val="00A263A0"/>
    <w:rsid w:val="00A27AEC"/>
    <w:rsid w:val="00A30F39"/>
    <w:rsid w:val="00A320DB"/>
    <w:rsid w:val="00A33B67"/>
    <w:rsid w:val="00A34D70"/>
    <w:rsid w:val="00A356B3"/>
    <w:rsid w:val="00A35D16"/>
    <w:rsid w:val="00A364D3"/>
    <w:rsid w:val="00A368E7"/>
    <w:rsid w:val="00A36D7C"/>
    <w:rsid w:val="00A37BCD"/>
    <w:rsid w:val="00A37C27"/>
    <w:rsid w:val="00A37E24"/>
    <w:rsid w:val="00A403FF"/>
    <w:rsid w:val="00A40F98"/>
    <w:rsid w:val="00A43C59"/>
    <w:rsid w:val="00A46224"/>
    <w:rsid w:val="00A46F09"/>
    <w:rsid w:val="00A4748A"/>
    <w:rsid w:val="00A47713"/>
    <w:rsid w:val="00A47B5E"/>
    <w:rsid w:val="00A50ECD"/>
    <w:rsid w:val="00A518F3"/>
    <w:rsid w:val="00A5212C"/>
    <w:rsid w:val="00A52729"/>
    <w:rsid w:val="00A53675"/>
    <w:rsid w:val="00A55014"/>
    <w:rsid w:val="00A551FD"/>
    <w:rsid w:val="00A564D7"/>
    <w:rsid w:val="00A56778"/>
    <w:rsid w:val="00A56B6A"/>
    <w:rsid w:val="00A578DC"/>
    <w:rsid w:val="00A6094E"/>
    <w:rsid w:val="00A60BA0"/>
    <w:rsid w:val="00A66F03"/>
    <w:rsid w:val="00A6725B"/>
    <w:rsid w:val="00A7022A"/>
    <w:rsid w:val="00A70605"/>
    <w:rsid w:val="00A71BE7"/>
    <w:rsid w:val="00A726D0"/>
    <w:rsid w:val="00A73045"/>
    <w:rsid w:val="00A73134"/>
    <w:rsid w:val="00A734BF"/>
    <w:rsid w:val="00A74669"/>
    <w:rsid w:val="00A75F07"/>
    <w:rsid w:val="00A767B7"/>
    <w:rsid w:val="00A777B2"/>
    <w:rsid w:val="00A82F0D"/>
    <w:rsid w:val="00A8300A"/>
    <w:rsid w:val="00A86E8B"/>
    <w:rsid w:val="00A87164"/>
    <w:rsid w:val="00A87D07"/>
    <w:rsid w:val="00A9188C"/>
    <w:rsid w:val="00A91A51"/>
    <w:rsid w:val="00A9208C"/>
    <w:rsid w:val="00A93072"/>
    <w:rsid w:val="00A93953"/>
    <w:rsid w:val="00A9446C"/>
    <w:rsid w:val="00A959D8"/>
    <w:rsid w:val="00A960F7"/>
    <w:rsid w:val="00A96E62"/>
    <w:rsid w:val="00A97696"/>
    <w:rsid w:val="00A9781E"/>
    <w:rsid w:val="00AA0865"/>
    <w:rsid w:val="00AA113D"/>
    <w:rsid w:val="00AA38B8"/>
    <w:rsid w:val="00AA6C7D"/>
    <w:rsid w:val="00AA7FD6"/>
    <w:rsid w:val="00AB042A"/>
    <w:rsid w:val="00AB066A"/>
    <w:rsid w:val="00AB0C21"/>
    <w:rsid w:val="00AB2D34"/>
    <w:rsid w:val="00AB3430"/>
    <w:rsid w:val="00AB4AD1"/>
    <w:rsid w:val="00AB523F"/>
    <w:rsid w:val="00AB5859"/>
    <w:rsid w:val="00AB789F"/>
    <w:rsid w:val="00AB7CFA"/>
    <w:rsid w:val="00AC15A5"/>
    <w:rsid w:val="00AC2918"/>
    <w:rsid w:val="00AC5386"/>
    <w:rsid w:val="00AC5B48"/>
    <w:rsid w:val="00AC65D2"/>
    <w:rsid w:val="00AC7544"/>
    <w:rsid w:val="00AD195E"/>
    <w:rsid w:val="00AD30DF"/>
    <w:rsid w:val="00AD57A0"/>
    <w:rsid w:val="00AD6479"/>
    <w:rsid w:val="00AD6502"/>
    <w:rsid w:val="00AD7FAA"/>
    <w:rsid w:val="00AE0056"/>
    <w:rsid w:val="00AE008C"/>
    <w:rsid w:val="00AE049B"/>
    <w:rsid w:val="00AE05FC"/>
    <w:rsid w:val="00AE2F89"/>
    <w:rsid w:val="00AE3FAB"/>
    <w:rsid w:val="00AE7259"/>
    <w:rsid w:val="00AF0C95"/>
    <w:rsid w:val="00AF1315"/>
    <w:rsid w:val="00AF19BF"/>
    <w:rsid w:val="00AF2B4A"/>
    <w:rsid w:val="00AF2DC3"/>
    <w:rsid w:val="00AF54FD"/>
    <w:rsid w:val="00AF5642"/>
    <w:rsid w:val="00AF675C"/>
    <w:rsid w:val="00AF678D"/>
    <w:rsid w:val="00AF7131"/>
    <w:rsid w:val="00AF74C8"/>
    <w:rsid w:val="00B0158E"/>
    <w:rsid w:val="00B033E5"/>
    <w:rsid w:val="00B03A63"/>
    <w:rsid w:val="00B04D7B"/>
    <w:rsid w:val="00B055DE"/>
    <w:rsid w:val="00B05D39"/>
    <w:rsid w:val="00B06350"/>
    <w:rsid w:val="00B10E29"/>
    <w:rsid w:val="00B1186F"/>
    <w:rsid w:val="00B132D7"/>
    <w:rsid w:val="00B16D3F"/>
    <w:rsid w:val="00B201A4"/>
    <w:rsid w:val="00B2138E"/>
    <w:rsid w:val="00B213A6"/>
    <w:rsid w:val="00B218BE"/>
    <w:rsid w:val="00B24AE3"/>
    <w:rsid w:val="00B24B88"/>
    <w:rsid w:val="00B24DF6"/>
    <w:rsid w:val="00B27B56"/>
    <w:rsid w:val="00B30F4A"/>
    <w:rsid w:val="00B33964"/>
    <w:rsid w:val="00B34FE2"/>
    <w:rsid w:val="00B357D8"/>
    <w:rsid w:val="00B37182"/>
    <w:rsid w:val="00B3799C"/>
    <w:rsid w:val="00B37BFC"/>
    <w:rsid w:val="00B40358"/>
    <w:rsid w:val="00B40D3A"/>
    <w:rsid w:val="00B41614"/>
    <w:rsid w:val="00B4211E"/>
    <w:rsid w:val="00B42851"/>
    <w:rsid w:val="00B42F80"/>
    <w:rsid w:val="00B43583"/>
    <w:rsid w:val="00B435CB"/>
    <w:rsid w:val="00B4459F"/>
    <w:rsid w:val="00B44D81"/>
    <w:rsid w:val="00B4543E"/>
    <w:rsid w:val="00B454E1"/>
    <w:rsid w:val="00B47A0D"/>
    <w:rsid w:val="00B47E5A"/>
    <w:rsid w:val="00B50DB8"/>
    <w:rsid w:val="00B50FDC"/>
    <w:rsid w:val="00B52DB3"/>
    <w:rsid w:val="00B532AB"/>
    <w:rsid w:val="00B53654"/>
    <w:rsid w:val="00B53905"/>
    <w:rsid w:val="00B546AE"/>
    <w:rsid w:val="00B54B5B"/>
    <w:rsid w:val="00B5562E"/>
    <w:rsid w:val="00B5606A"/>
    <w:rsid w:val="00B57000"/>
    <w:rsid w:val="00B60939"/>
    <w:rsid w:val="00B60AFD"/>
    <w:rsid w:val="00B60CB2"/>
    <w:rsid w:val="00B6244B"/>
    <w:rsid w:val="00B62715"/>
    <w:rsid w:val="00B63EC8"/>
    <w:rsid w:val="00B66565"/>
    <w:rsid w:val="00B700BF"/>
    <w:rsid w:val="00B70D2E"/>
    <w:rsid w:val="00B71339"/>
    <w:rsid w:val="00B713BF"/>
    <w:rsid w:val="00B7272A"/>
    <w:rsid w:val="00B739B7"/>
    <w:rsid w:val="00B75DC1"/>
    <w:rsid w:val="00B76750"/>
    <w:rsid w:val="00B774E7"/>
    <w:rsid w:val="00B818A4"/>
    <w:rsid w:val="00B82F1B"/>
    <w:rsid w:val="00B84117"/>
    <w:rsid w:val="00B84F65"/>
    <w:rsid w:val="00B85AA2"/>
    <w:rsid w:val="00B8649C"/>
    <w:rsid w:val="00B866B7"/>
    <w:rsid w:val="00B87CEB"/>
    <w:rsid w:val="00B87F0A"/>
    <w:rsid w:val="00B90977"/>
    <w:rsid w:val="00B92D0B"/>
    <w:rsid w:val="00B94945"/>
    <w:rsid w:val="00BA322D"/>
    <w:rsid w:val="00BA3DAA"/>
    <w:rsid w:val="00BA4B02"/>
    <w:rsid w:val="00BA4C0B"/>
    <w:rsid w:val="00BA5490"/>
    <w:rsid w:val="00BA6160"/>
    <w:rsid w:val="00BA62AB"/>
    <w:rsid w:val="00BB0987"/>
    <w:rsid w:val="00BB0BDD"/>
    <w:rsid w:val="00BB2169"/>
    <w:rsid w:val="00BB2A73"/>
    <w:rsid w:val="00BB3B07"/>
    <w:rsid w:val="00BB4ACC"/>
    <w:rsid w:val="00BB532C"/>
    <w:rsid w:val="00BB579B"/>
    <w:rsid w:val="00BB6C3C"/>
    <w:rsid w:val="00BB703E"/>
    <w:rsid w:val="00BB7405"/>
    <w:rsid w:val="00BB7E7C"/>
    <w:rsid w:val="00BC160B"/>
    <w:rsid w:val="00BC3631"/>
    <w:rsid w:val="00BC416C"/>
    <w:rsid w:val="00BC4843"/>
    <w:rsid w:val="00BC51A4"/>
    <w:rsid w:val="00BC6990"/>
    <w:rsid w:val="00BD251C"/>
    <w:rsid w:val="00BD3061"/>
    <w:rsid w:val="00BD4441"/>
    <w:rsid w:val="00BD68A3"/>
    <w:rsid w:val="00BD6938"/>
    <w:rsid w:val="00BD6CF3"/>
    <w:rsid w:val="00BD6E82"/>
    <w:rsid w:val="00BE0F31"/>
    <w:rsid w:val="00BE1EE2"/>
    <w:rsid w:val="00BE2180"/>
    <w:rsid w:val="00BE21F2"/>
    <w:rsid w:val="00BE2EEB"/>
    <w:rsid w:val="00BE3277"/>
    <w:rsid w:val="00BE3F64"/>
    <w:rsid w:val="00BE4275"/>
    <w:rsid w:val="00BE7017"/>
    <w:rsid w:val="00BE7887"/>
    <w:rsid w:val="00BF0F95"/>
    <w:rsid w:val="00BF19FE"/>
    <w:rsid w:val="00BF2433"/>
    <w:rsid w:val="00BF3450"/>
    <w:rsid w:val="00BF3BC5"/>
    <w:rsid w:val="00BF5024"/>
    <w:rsid w:val="00BF6196"/>
    <w:rsid w:val="00BF61C9"/>
    <w:rsid w:val="00BF6C94"/>
    <w:rsid w:val="00C00424"/>
    <w:rsid w:val="00C0235D"/>
    <w:rsid w:val="00C066C5"/>
    <w:rsid w:val="00C07102"/>
    <w:rsid w:val="00C07289"/>
    <w:rsid w:val="00C11C2D"/>
    <w:rsid w:val="00C12870"/>
    <w:rsid w:val="00C12C14"/>
    <w:rsid w:val="00C14128"/>
    <w:rsid w:val="00C14FCE"/>
    <w:rsid w:val="00C15B2C"/>
    <w:rsid w:val="00C16D2F"/>
    <w:rsid w:val="00C16EAA"/>
    <w:rsid w:val="00C200AA"/>
    <w:rsid w:val="00C22A28"/>
    <w:rsid w:val="00C234A9"/>
    <w:rsid w:val="00C235F3"/>
    <w:rsid w:val="00C237ED"/>
    <w:rsid w:val="00C23E0C"/>
    <w:rsid w:val="00C24632"/>
    <w:rsid w:val="00C25418"/>
    <w:rsid w:val="00C25D9C"/>
    <w:rsid w:val="00C273D9"/>
    <w:rsid w:val="00C2778B"/>
    <w:rsid w:val="00C30807"/>
    <w:rsid w:val="00C31649"/>
    <w:rsid w:val="00C34591"/>
    <w:rsid w:val="00C40385"/>
    <w:rsid w:val="00C41AF1"/>
    <w:rsid w:val="00C435EE"/>
    <w:rsid w:val="00C439D7"/>
    <w:rsid w:val="00C44BA0"/>
    <w:rsid w:val="00C4675F"/>
    <w:rsid w:val="00C475AA"/>
    <w:rsid w:val="00C47CF4"/>
    <w:rsid w:val="00C47D31"/>
    <w:rsid w:val="00C50335"/>
    <w:rsid w:val="00C51915"/>
    <w:rsid w:val="00C55A19"/>
    <w:rsid w:val="00C611E3"/>
    <w:rsid w:val="00C62377"/>
    <w:rsid w:val="00C62DBA"/>
    <w:rsid w:val="00C65576"/>
    <w:rsid w:val="00C66165"/>
    <w:rsid w:val="00C663C3"/>
    <w:rsid w:val="00C66456"/>
    <w:rsid w:val="00C7151A"/>
    <w:rsid w:val="00C71F60"/>
    <w:rsid w:val="00C72241"/>
    <w:rsid w:val="00C74FB2"/>
    <w:rsid w:val="00C750C8"/>
    <w:rsid w:val="00C7560F"/>
    <w:rsid w:val="00C757A9"/>
    <w:rsid w:val="00C7600E"/>
    <w:rsid w:val="00C80094"/>
    <w:rsid w:val="00C80A0E"/>
    <w:rsid w:val="00C8213F"/>
    <w:rsid w:val="00C8797A"/>
    <w:rsid w:val="00C900B8"/>
    <w:rsid w:val="00C90C71"/>
    <w:rsid w:val="00C92FC6"/>
    <w:rsid w:val="00C931CF"/>
    <w:rsid w:val="00C938CF"/>
    <w:rsid w:val="00C94768"/>
    <w:rsid w:val="00C95A93"/>
    <w:rsid w:val="00C96000"/>
    <w:rsid w:val="00C9624D"/>
    <w:rsid w:val="00C969DA"/>
    <w:rsid w:val="00C978C4"/>
    <w:rsid w:val="00CA0377"/>
    <w:rsid w:val="00CA047C"/>
    <w:rsid w:val="00CA1407"/>
    <w:rsid w:val="00CA2C77"/>
    <w:rsid w:val="00CA444F"/>
    <w:rsid w:val="00CA5245"/>
    <w:rsid w:val="00CA592B"/>
    <w:rsid w:val="00CA65A5"/>
    <w:rsid w:val="00CA6B2C"/>
    <w:rsid w:val="00CA71F4"/>
    <w:rsid w:val="00CA7B09"/>
    <w:rsid w:val="00CB072D"/>
    <w:rsid w:val="00CB188D"/>
    <w:rsid w:val="00CB2F2A"/>
    <w:rsid w:val="00CB363B"/>
    <w:rsid w:val="00CB427A"/>
    <w:rsid w:val="00CB5B1A"/>
    <w:rsid w:val="00CB6B22"/>
    <w:rsid w:val="00CB7F5F"/>
    <w:rsid w:val="00CC1B39"/>
    <w:rsid w:val="00CC23BC"/>
    <w:rsid w:val="00CC3525"/>
    <w:rsid w:val="00CC39B4"/>
    <w:rsid w:val="00CC3DC4"/>
    <w:rsid w:val="00CC4859"/>
    <w:rsid w:val="00CC680F"/>
    <w:rsid w:val="00CC71F0"/>
    <w:rsid w:val="00CD0D8C"/>
    <w:rsid w:val="00CD1F4F"/>
    <w:rsid w:val="00CD3D7E"/>
    <w:rsid w:val="00CD4942"/>
    <w:rsid w:val="00CD6ADC"/>
    <w:rsid w:val="00CD6D03"/>
    <w:rsid w:val="00CD7EC4"/>
    <w:rsid w:val="00CE0165"/>
    <w:rsid w:val="00CE2CCF"/>
    <w:rsid w:val="00CE35E7"/>
    <w:rsid w:val="00CE519B"/>
    <w:rsid w:val="00CE60F9"/>
    <w:rsid w:val="00CE6274"/>
    <w:rsid w:val="00CF1628"/>
    <w:rsid w:val="00CF2B8D"/>
    <w:rsid w:val="00CF3CC6"/>
    <w:rsid w:val="00CF456B"/>
    <w:rsid w:val="00CF5A22"/>
    <w:rsid w:val="00CF5EE4"/>
    <w:rsid w:val="00CF78CE"/>
    <w:rsid w:val="00D0262E"/>
    <w:rsid w:val="00D034B5"/>
    <w:rsid w:val="00D06BA2"/>
    <w:rsid w:val="00D077FC"/>
    <w:rsid w:val="00D10B38"/>
    <w:rsid w:val="00D110BD"/>
    <w:rsid w:val="00D11B81"/>
    <w:rsid w:val="00D13675"/>
    <w:rsid w:val="00D141E1"/>
    <w:rsid w:val="00D142CB"/>
    <w:rsid w:val="00D15277"/>
    <w:rsid w:val="00D15494"/>
    <w:rsid w:val="00D16ADD"/>
    <w:rsid w:val="00D16B33"/>
    <w:rsid w:val="00D16FE3"/>
    <w:rsid w:val="00D17D6C"/>
    <w:rsid w:val="00D21337"/>
    <w:rsid w:val="00D23E08"/>
    <w:rsid w:val="00D26524"/>
    <w:rsid w:val="00D26CB9"/>
    <w:rsid w:val="00D26E17"/>
    <w:rsid w:val="00D2754D"/>
    <w:rsid w:val="00D275A1"/>
    <w:rsid w:val="00D27B27"/>
    <w:rsid w:val="00D307C9"/>
    <w:rsid w:val="00D32C8C"/>
    <w:rsid w:val="00D33BE9"/>
    <w:rsid w:val="00D33D7A"/>
    <w:rsid w:val="00D357FF"/>
    <w:rsid w:val="00D35943"/>
    <w:rsid w:val="00D376EE"/>
    <w:rsid w:val="00D40D91"/>
    <w:rsid w:val="00D419D1"/>
    <w:rsid w:val="00D424C7"/>
    <w:rsid w:val="00D43240"/>
    <w:rsid w:val="00D432CB"/>
    <w:rsid w:val="00D432EB"/>
    <w:rsid w:val="00D43B2A"/>
    <w:rsid w:val="00D46ED9"/>
    <w:rsid w:val="00D47575"/>
    <w:rsid w:val="00D51B2B"/>
    <w:rsid w:val="00D51FF2"/>
    <w:rsid w:val="00D532AF"/>
    <w:rsid w:val="00D5753F"/>
    <w:rsid w:val="00D64BED"/>
    <w:rsid w:val="00D70537"/>
    <w:rsid w:val="00D70F16"/>
    <w:rsid w:val="00D72097"/>
    <w:rsid w:val="00D76A44"/>
    <w:rsid w:val="00D80147"/>
    <w:rsid w:val="00D815EF"/>
    <w:rsid w:val="00D81EDA"/>
    <w:rsid w:val="00D82FA5"/>
    <w:rsid w:val="00D8548B"/>
    <w:rsid w:val="00D85C88"/>
    <w:rsid w:val="00D90F1A"/>
    <w:rsid w:val="00D910B7"/>
    <w:rsid w:val="00D91923"/>
    <w:rsid w:val="00D93753"/>
    <w:rsid w:val="00D944D0"/>
    <w:rsid w:val="00D94B0F"/>
    <w:rsid w:val="00D9787D"/>
    <w:rsid w:val="00DA0318"/>
    <w:rsid w:val="00DA3167"/>
    <w:rsid w:val="00DA3EDD"/>
    <w:rsid w:val="00DA4201"/>
    <w:rsid w:val="00DA4DC3"/>
    <w:rsid w:val="00DA60A4"/>
    <w:rsid w:val="00DA6FDE"/>
    <w:rsid w:val="00DA77A5"/>
    <w:rsid w:val="00DA780B"/>
    <w:rsid w:val="00DB3A1E"/>
    <w:rsid w:val="00DB484F"/>
    <w:rsid w:val="00DB48C5"/>
    <w:rsid w:val="00DB553C"/>
    <w:rsid w:val="00DC04F6"/>
    <w:rsid w:val="00DC1FF3"/>
    <w:rsid w:val="00DC3C57"/>
    <w:rsid w:val="00DC5501"/>
    <w:rsid w:val="00DD0B93"/>
    <w:rsid w:val="00DD273C"/>
    <w:rsid w:val="00DD3F28"/>
    <w:rsid w:val="00DD4537"/>
    <w:rsid w:val="00DD4E15"/>
    <w:rsid w:val="00DD604F"/>
    <w:rsid w:val="00DE09E0"/>
    <w:rsid w:val="00DE0C58"/>
    <w:rsid w:val="00DE2686"/>
    <w:rsid w:val="00DE2A91"/>
    <w:rsid w:val="00DE2D32"/>
    <w:rsid w:val="00DE2D59"/>
    <w:rsid w:val="00DE3138"/>
    <w:rsid w:val="00DE37F8"/>
    <w:rsid w:val="00DE404D"/>
    <w:rsid w:val="00DE468E"/>
    <w:rsid w:val="00DE4FCB"/>
    <w:rsid w:val="00DE6350"/>
    <w:rsid w:val="00DE66BC"/>
    <w:rsid w:val="00DE7832"/>
    <w:rsid w:val="00DF019A"/>
    <w:rsid w:val="00DF18CE"/>
    <w:rsid w:val="00DF18FC"/>
    <w:rsid w:val="00DF3C96"/>
    <w:rsid w:val="00DF438C"/>
    <w:rsid w:val="00DF5D2B"/>
    <w:rsid w:val="00E00E8E"/>
    <w:rsid w:val="00E0284D"/>
    <w:rsid w:val="00E02ECB"/>
    <w:rsid w:val="00E03A4C"/>
    <w:rsid w:val="00E03EAD"/>
    <w:rsid w:val="00E04A23"/>
    <w:rsid w:val="00E05630"/>
    <w:rsid w:val="00E06DBB"/>
    <w:rsid w:val="00E0710E"/>
    <w:rsid w:val="00E07CB4"/>
    <w:rsid w:val="00E10149"/>
    <w:rsid w:val="00E11EFB"/>
    <w:rsid w:val="00E12E4B"/>
    <w:rsid w:val="00E13520"/>
    <w:rsid w:val="00E14571"/>
    <w:rsid w:val="00E147BF"/>
    <w:rsid w:val="00E16114"/>
    <w:rsid w:val="00E16372"/>
    <w:rsid w:val="00E20E4D"/>
    <w:rsid w:val="00E20E66"/>
    <w:rsid w:val="00E20ED6"/>
    <w:rsid w:val="00E21358"/>
    <w:rsid w:val="00E22356"/>
    <w:rsid w:val="00E2249B"/>
    <w:rsid w:val="00E22A0D"/>
    <w:rsid w:val="00E243C8"/>
    <w:rsid w:val="00E2760D"/>
    <w:rsid w:val="00E2771E"/>
    <w:rsid w:val="00E2786A"/>
    <w:rsid w:val="00E310C3"/>
    <w:rsid w:val="00E31E18"/>
    <w:rsid w:val="00E34948"/>
    <w:rsid w:val="00E34B67"/>
    <w:rsid w:val="00E36250"/>
    <w:rsid w:val="00E37569"/>
    <w:rsid w:val="00E40237"/>
    <w:rsid w:val="00E40882"/>
    <w:rsid w:val="00E40B4B"/>
    <w:rsid w:val="00E41E30"/>
    <w:rsid w:val="00E42834"/>
    <w:rsid w:val="00E43D70"/>
    <w:rsid w:val="00E43FB9"/>
    <w:rsid w:val="00E444E9"/>
    <w:rsid w:val="00E466F3"/>
    <w:rsid w:val="00E46F1B"/>
    <w:rsid w:val="00E47052"/>
    <w:rsid w:val="00E47B2C"/>
    <w:rsid w:val="00E51560"/>
    <w:rsid w:val="00E522C5"/>
    <w:rsid w:val="00E52616"/>
    <w:rsid w:val="00E54015"/>
    <w:rsid w:val="00E54347"/>
    <w:rsid w:val="00E54DCB"/>
    <w:rsid w:val="00E55424"/>
    <w:rsid w:val="00E55BB5"/>
    <w:rsid w:val="00E61F75"/>
    <w:rsid w:val="00E64814"/>
    <w:rsid w:val="00E64DBB"/>
    <w:rsid w:val="00E65E79"/>
    <w:rsid w:val="00E665C0"/>
    <w:rsid w:val="00E66BA2"/>
    <w:rsid w:val="00E67192"/>
    <w:rsid w:val="00E67416"/>
    <w:rsid w:val="00E677AF"/>
    <w:rsid w:val="00E718B6"/>
    <w:rsid w:val="00E723BA"/>
    <w:rsid w:val="00E73581"/>
    <w:rsid w:val="00E73EAB"/>
    <w:rsid w:val="00E75022"/>
    <w:rsid w:val="00E76CCC"/>
    <w:rsid w:val="00E773BF"/>
    <w:rsid w:val="00E777C4"/>
    <w:rsid w:val="00E833F7"/>
    <w:rsid w:val="00E83BDF"/>
    <w:rsid w:val="00E85E8B"/>
    <w:rsid w:val="00E87A1D"/>
    <w:rsid w:val="00E87EA6"/>
    <w:rsid w:val="00E919A3"/>
    <w:rsid w:val="00E921F3"/>
    <w:rsid w:val="00E926A5"/>
    <w:rsid w:val="00E93BAC"/>
    <w:rsid w:val="00E94448"/>
    <w:rsid w:val="00E95720"/>
    <w:rsid w:val="00E95CE6"/>
    <w:rsid w:val="00EA0BB6"/>
    <w:rsid w:val="00EA15BE"/>
    <w:rsid w:val="00EA17C3"/>
    <w:rsid w:val="00EA1E3E"/>
    <w:rsid w:val="00EA217C"/>
    <w:rsid w:val="00EA2CAA"/>
    <w:rsid w:val="00EA34EA"/>
    <w:rsid w:val="00EA3864"/>
    <w:rsid w:val="00EA48EC"/>
    <w:rsid w:val="00EA577E"/>
    <w:rsid w:val="00EB15B6"/>
    <w:rsid w:val="00EB1D16"/>
    <w:rsid w:val="00EB1E6C"/>
    <w:rsid w:val="00EB3E6E"/>
    <w:rsid w:val="00EB4916"/>
    <w:rsid w:val="00EB7F0E"/>
    <w:rsid w:val="00EC00C9"/>
    <w:rsid w:val="00EC038F"/>
    <w:rsid w:val="00EC0A24"/>
    <w:rsid w:val="00EC111F"/>
    <w:rsid w:val="00EC2649"/>
    <w:rsid w:val="00ED44A9"/>
    <w:rsid w:val="00ED57EA"/>
    <w:rsid w:val="00ED6E0E"/>
    <w:rsid w:val="00ED741D"/>
    <w:rsid w:val="00ED7ADD"/>
    <w:rsid w:val="00ED7B79"/>
    <w:rsid w:val="00EE060A"/>
    <w:rsid w:val="00EE07D3"/>
    <w:rsid w:val="00EE21AA"/>
    <w:rsid w:val="00EE22AF"/>
    <w:rsid w:val="00EE32D2"/>
    <w:rsid w:val="00EE4F8B"/>
    <w:rsid w:val="00EE7A1A"/>
    <w:rsid w:val="00EF0171"/>
    <w:rsid w:val="00EF0E16"/>
    <w:rsid w:val="00EF1B25"/>
    <w:rsid w:val="00EF1C91"/>
    <w:rsid w:val="00EF3FA4"/>
    <w:rsid w:val="00EF4747"/>
    <w:rsid w:val="00EF4BF8"/>
    <w:rsid w:val="00EF6443"/>
    <w:rsid w:val="00EF7863"/>
    <w:rsid w:val="00F02253"/>
    <w:rsid w:val="00F03AF2"/>
    <w:rsid w:val="00F03C2E"/>
    <w:rsid w:val="00F04A66"/>
    <w:rsid w:val="00F0516C"/>
    <w:rsid w:val="00F05979"/>
    <w:rsid w:val="00F05AED"/>
    <w:rsid w:val="00F067A2"/>
    <w:rsid w:val="00F06A02"/>
    <w:rsid w:val="00F110B7"/>
    <w:rsid w:val="00F1263A"/>
    <w:rsid w:val="00F15037"/>
    <w:rsid w:val="00F16D06"/>
    <w:rsid w:val="00F22786"/>
    <w:rsid w:val="00F24837"/>
    <w:rsid w:val="00F24951"/>
    <w:rsid w:val="00F250B3"/>
    <w:rsid w:val="00F2575F"/>
    <w:rsid w:val="00F259AA"/>
    <w:rsid w:val="00F27565"/>
    <w:rsid w:val="00F27B4B"/>
    <w:rsid w:val="00F30538"/>
    <w:rsid w:val="00F30908"/>
    <w:rsid w:val="00F310D4"/>
    <w:rsid w:val="00F31D5A"/>
    <w:rsid w:val="00F331A9"/>
    <w:rsid w:val="00F33238"/>
    <w:rsid w:val="00F33CBC"/>
    <w:rsid w:val="00F33DE9"/>
    <w:rsid w:val="00F3619A"/>
    <w:rsid w:val="00F37CA9"/>
    <w:rsid w:val="00F37FDA"/>
    <w:rsid w:val="00F40AAA"/>
    <w:rsid w:val="00F40BA7"/>
    <w:rsid w:val="00F4285B"/>
    <w:rsid w:val="00F44E20"/>
    <w:rsid w:val="00F46CB6"/>
    <w:rsid w:val="00F479B1"/>
    <w:rsid w:val="00F47DE8"/>
    <w:rsid w:val="00F52BA3"/>
    <w:rsid w:val="00F542C1"/>
    <w:rsid w:val="00F55E73"/>
    <w:rsid w:val="00F55EDA"/>
    <w:rsid w:val="00F56E05"/>
    <w:rsid w:val="00F60092"/>
    <w:rsid w:val="00F61661"/>
    <w:rsid w:val="00F62D65"/>
    <w:rsid w:val="00F6415F"/>
    <w:rsid w:val="00F65F4B"/>
    <w:rsid w:val="00F667D5"/>
    <w:rsid w:val="00F66A5E"/>
    <w:rsid w:val="00F700EF"/>
    <w:rsid w:val="00F70C9D"/>
    <w:rsid w:val="00F73152"/>
    <w:rsid w:val="00F7451E"/>
    <w:rsid w:val="00F74AA6"/>
    <w:rsid w:val="00F74CD9"/>
    <w:rsid w:val="00F77E89"/>
    <w:rsid w:val="00F8059D"/>
    <w:rsid w:val="00F8069E"/>
    <w:rsid w:val="00F80A7B"/>
    <w:rsid w:val="00F80E5D"/>
    <w:rsid w:val="00F8496F"/>
    <w:rsid w:val="00F851CE"/>
    <w:rsid w:val="00F862A3"/>
    <w:rsid w:val="00F8696A"/>
    <w:rsid w:val="00F901AE"/>
    <w:rsid w:val="00F91219"/>
    <w:rsid w:val="00F915DA"/>
    <w:rsid w:val="00F91AAF"/>
    <w:rsid w:val="00F96B2B"/>
    <w:rsid w:val="00F97A78"/>
    <w:rsid w:val="00F97BBE"/>
    <w:rsid w:val="00FA0B20"/>
    <w:rsid w:val="00FA0F5E"/>
    <w:rsid w:val="00FA24E7"/>
    <w:rsid w:val="00FA3059"/>
    <w:rsid w:val="00FA4C07"/>
    <w:rsid w:val="00FA56CD"/>
    <w:rsid w:val="00FB2FCB"/>
    <w:rsid w:val="00FB3BBC"/>
    <w:rsid w:val="00FB79AE"/>
    <w:rsid w:val="00FC1074"/>
    <w:rsid w:val="00FC121E"/>
    <w:rsid w:val="00FC1884"/>
    <w:rsid w:val="00FC371D"/>
    <w:rsid w:val="00FC5F0B"/>
    <w:rsid w:val="00FD0979"/>
    <w:rsid w:val="00FD2100"/>
    <w:rsid w:val="00FD2CD3"/>
    <w:rsid w:val="00FD436C"/>
    <w:rsid w:val="00FD446D"/>
    <w:rsid w:val="00FD46AB"/>
    <w:rsid w:val="00FD5F35"/>
    <w:rsid w:val="00FD6394"/>
    <w:rsid w:val="00FD6592"/>
    <w:rsid w:val="00FD6CB0"/>
    <w:rsid w:val="00FE0E6C"/>
    <w:rsid w:val="00FE43E3"/>
    <w:rsid w:val="00FE4B3D"/>
    <w:rsid w:val="00FE52FC"/>
    <w:rsid w:val="00FE59CB"/>
    <w:rsid w:val="00FE61C5"/>
    <w:rsid w:val="00FE64A7"/>
    <w:rsid w:val="00FE672B"/>
    <w:rsid w:val="00FE70C3"/>
    <w:rsid w:val="00FF05A3"/>
    <w:rsid w:val="00FF1A49"/>
    <w:rsid w:val="00FF1B7C"/>
    <w:rsid w:val="00FF2C8A"/>
    <w:rsid w:val="00FF3DCF"/>
    <w:rsid w:val="00FF492C"/>
    <w:rsid w:val="00FF4A21"/>
    <w:rsid w:val="00FF530C"/>
    <w:rsid w:val="00FF5AA3"/>
    <w:rsid w:val="00FF5AD8"/>
    <w:rsid w:val="00FF5F5D"/>
    <w:rsid w:val="00FF7171"/>
    <w:rsid w:val="00FF792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0E665A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72"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3891"/>
    <w:pPr>
      <w:widowControl w:val="0"/>
      <w:jc w:val="both"/>
    </w:pPr>
    <w:rPr>
      <w:rFonts w:ascii="Calibri" w:hAnsi="Calibri" w:cs="Arial"/>
      <w:snapToGrid w:val="0"/>
      <w:sz w:val="24"/>
      <w:szCs w:val="22"/>
      <w:lang w:eastAsia="en-US"/>
    </w:rPr>
  </w:style>
  <w:style w:type="paragraph" w:styleId="Heading1">
    <w:name w:val="heading 1"/>
    <w:basedOn w:val="Normal"/>
    <w:next w:val="Normal"/>
    <w:link w:val="Heading1Char"/>
    <w:qFormat/>
    <w:rsid w:val="001B204E"/>
    <w:pPr>
      <w:ind w:left="720" w:hanging="720"/>
      <w:outlineLvl w:val="0"/>
    </w:pPr>
    <w:rPr>
      <w:b/>
      <w:caps/>
      <w:sz w:val="32"/>
    </w:rPr>
  </w:style>
  <w:style w:type="paragraph" w:styleId="Heading2">
    <w:name w:val="heading 2"/>
    <w:basedOn w:val="Normal"/>
    <w:next w:val="Normal"/>
    <w:link w:val="Heading2Char"/>
    <w:qFormat/>
    <w:rsid w:val="001B204E"/>
    <w:pPr>
      <w:outlineLvl w:val="1"/>
    </w:pPr>
    <w:rPr>
      <w:b/>
      <w:i/>
      <w:sz w:val="28"/>
    </w:rPr>
  </w:style>
  <w:style w:type="paragraph" w:styleId="Heading3">
    <w:name w:val="heading 3"/>
    <w:basedOn w:val="Normal"/>
    <w:next w:val="Normal"/>
    <w:link w:val="Heading3Char"/>
    <w:rsid w:val="001F7361"/>
    <w:pPr>
      <w:outlineLvl w:val="2"/>
    </w:pPr>
    <w:rPr>
      <w:u w:val="single"/>
    </w:rPr>
  </w:style>
  <w:style w:type="paragraph" w:styleId="Heading4">
    <w:name w:val="heading 4"/>
    <w:basedOn w:val="Normal"/>
    <w:next w:val="Normal"/>
    <w:link w:val="Heading4Char"/>
    <w:rsid w:val="00124A51"/>
    <w:pPr>
      <w:keepNext/>
      <w:spacing w:before="240" w:after="60"/>
      <w:outlineLvl w:val="3"/>
    </w:pPr>
    <w:rPr>
      <w:b/>
      <w:bCs/>
      <w:i/>
      <w:sz w:val="26"/>
      <w:szCs w:val="28"/>
    </w:rPr>
  </w:style>
  <w:style w:type="paragraph" w:styleId="Heading5">
    <w:name w:val="heading 5"/>
    <w:basedOn w:val="Normal"/>
    <w:next w:val="Normal"/>
    <w:link w:val="Heading5Char"/>
    <w:rsid w:val="00124A51"/>
    <w:pPr>
      <w:spacing w:before="240" w:after="60"/>
      <w:outlineLvl w:val="4"/>
    </w:pPr>
    <w:rPr>
      <w:b/>
      <w:bCs/>
      <w:iCs/>
      <w:sz w:val="26"/>
      <w:szCs w:val="26"/>
    </w:rPr>
  </w:style>
  <w:style w:type="paragraph" w:styleId="Heading6">
    <w:name w:val="heading 6"/>
    <w:basedOn w:val="Normal"/>
    <w:next w:val="Normal"/>
    <w:link w:val="Heading6Char"/>
    <w:rsid w:val="00124A51"/>
    <w:pPr>
      <w:spacing w:before="240" w:after="60"/>
      <w:outlineLvl w:val="5"/>
    </w:pPr>
    <w:rPr>
      <w:b/>
      <w:bCs/>
      <w:i/>
    </w:rPr>
  </w:style>
  <w:style w:type="paragraph" w:styleId="Heading7">
    <w:name w:val="heading 7"/>
    <w:basedOn w:val="Normal"/>
    <w:next w:val="Normal"/>
    <w:link w:val="Heading7Char"/>
    <w:rsid w:val="00124A51"/>
    <w:pPr>
      <w:keepNext/>
      <w:jc w:val="center"/>
      <w:outlineLvl w:val="6"/>
    </w:pPr>
    <w:rPr>
      <w:b/>
      <w:sz w:val="20"/>
    </w:rPr>
  </w:style>
  <w:style w:type="paragraph" w:styleId="Heading8">
    <w:name w:val="heading 8"/>
    <w:basedOn w:val="Normal"/>
    <w:next w:val="Normal"/>
    <w:link w:val="Heading8Char"/>
    <w:rsid w:val="00124A51"/>
    <w:pPr>
      <w:keepNext/>
      <w:jc w:val="right"/>
      <w:outlineLvl w:val="7"/>
    </w:pPr>
    <w:rPr>
      <w:b/>
    </w:rPr>
  </w:style>
  <w:style w:type="paragraph" w:styleId="Heading9">
    <w:name w:val="heading 9"/>
    <w:basedOn w:val="Normal"/>
    <w:next w:val="Normal"/>
    <w:link w:val="Heading9Char"/>
    <w:rsid w:val="00124A51"/>
    <w:pPr>
      <w:keepNext/>
      <w:jc w:val="center"/>
      <w:outlineLvl w:val="8"/>
    </w:pPr>
    <w:rPr>
      <w:b/>
      <w:color w:val="00000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1B204E"/>
    <w:rPr>
      <w:rFonts w:ascii="Calibri" w:hAnsi="Calibri" w:cs="Arial"/>
      <w:b/>
      <w:i/>
      <w:snapToGrid w:val="0"/>
      <w:sz w:val="28"/>
      <w:szCs w:val="22"/>
      <w:lang w:eastAsia="en-US"/>
    </w:rPr>
  </w:style>
  <w:style w:type="character" w:customStyle="1" w:styleId="Heading7Char">
    <w:name w:val="Heading 7 Char"/>
    <w:basedOn w:val="DefaultParagraphFont"/>
    <w:link w:val="Heading7"/>
    <w:rsid w:val="00124A51"/>
    <w:rPr>
      <w:rFonts w:ascii="Arial" w:hAnsi="Arial"/>
      <w:b/>
      <w:snapToGrid w:val="0"/>
      <w:lang w:eastAsia="en-US"/>
    </w:rPr>
  </w:style>
  <w:style w:type="character" w:customStyle="1" w:styleId="Heading8Char">
    <w:name w:val="Heading 8 Char"/>
    <w:basedOn w:val="DefaultParagraphFont"/>
    <w:link w:val="Heading8"/>
    <w:rsid w:val="00124A51"/>
    <w:rPr>
      <w:b/>
      <w:snapToGrid w:val="0"/>
      <w:sz w:val="24"/>
      <w:lang w:eastAsia="en-US"/>
    </w:rPr>
  </w:style>
  <w:style w:type="character" w:customStyle="1" w:styleId="Heading9Char">
    <w:name w:val="Heading 9 Char"/>
    <w:basedOn w:val="DefaultParagraphFont"/>
    <w:link w:val="Heading9"/>
    <w:rsid w:val="00124A51"/>
    <w:rPr>
      <w:rFonts w:ascii="Arial" w:hAnsi="Arial"/>
      <w:b/>
      <w:snapToGrid w:val="0"/>
      <w:color w:val="000000"/>
      <w:lang w:eastAsia="en-US"/>
    </w:rPr>
  </w:style>
  <w:style w:type="paragraph" w:customStyle="1" w:styleId="TableFooter">
    <w:name w:val="Table Footer"/>
    <w:basedOn w:val="Normal"/>
    <w:link w:val="TableFooterChar"/>
    <w:qFormat/>
    <w:rsid w:val="00E2771E"/>
    <w:rPr>
      <w:rFonts w:ascii="Arial Narrow" w:hAnsi="Arial Narrow"/>
      <w:sz w:val="18"/>
    </w:rPr>
  </w:style>
  <w:style w:type="character" w:customStyle="1" w:styleId="TableFooterChar">
    <w:name w:val="Table Footer Char"/>
    <w:link w:val="TableFooter"/>
    <w:rsid w:val="00322846"/>
    <w:rPr>
      <w:rFonts w:ascii="Arial Narrow" w:hAnsi="Arial Narrow" w:cs="Arial"/>
      <w:snapToGrid w:val="0"/>
      <w:sz w:val="18"/>
      <w:lang w:eastAsia="en-US"/>
    </w:rPr>
  </w:style>
  <w:style w:type="paragraph" w:customStyle="1" w:styleId="TableHeader">
    <w:name w:val="Table Header"/>
    <w:basedOn w:val="Normal"/>
    <w:uiPriority w:val="3"/>
    <w:rsid w:val="000D1BFC"/>
    <w:rPr>
      <w:b/>
      <w:sz w:val="20"/>
    </w:rPr>
  </w:style>
  <w:style w:type="paragraph" w:styleId="Caption">
    <w:name w:val="caption"/>
    <w:basedOn w:val="Normal"/>
    <w:next w:val="Normal"/>
    <w:link w:val="CaptionChar"/>
    <w:unhideWhenUsed/>
    <w:rsid w:val="00124A51"/>
    <w:pPr>
      <w:spacing w:after="200"/>
    </w:pPr>
    <w:rPr>
      <w:b/>
      <w:bCs/>
      <w:color w:val="4F81BD" w:themeColor="accent1"/>
      <w:sz w:val="18"/>
      <w:szCs w:val="18"/>
    </w:rPr>
  </w:style>
  <w:style w:type="character" w:customStyle="1" w:styleId="CaptionChar">
    <w:name w:val="Caption Char"/>
    <w:link w:val="Caption"/>
    <w:rsid w:val="00124A51"/>
    <w:rPr>
      <w:b/>
      <w:bCs/>
      <w:snapToGrid w:val="0"/>
      <w:color w:val="4F81BD" w:themeColor="accent1"/>
      <w:sz w:val="18"/>
      <w:szCs w:val="18"/>
      <w:lang w:eastAsia="en-US"/>
    </w:rPr>
  </w:style>
  <w:style w:type="paragraph" w:styleId="Title">
    <w:name w:val="Title"/>
    <w:basedOn w:val="Normal"/>
    <w:next w:val="Normal"/>
    <w:link w:val="TitleChar"/>
    <w:qFormat/>
    <w:rsid w:val="00124A51"/>
    <w:pPr>
      <w:spacing w:before="240" w:after="60"/>
      <w:jc w:val="center"/>
      <w:outlineLvl w:val="0"/>
    </w:pPr>
    <w:rPr>
      <w:rFonts w:ascii="Cambria" w:hAnsi="Cambria"/>
      <w:b/>
      <w:bCs/>
      <w:kern w:val="28"/>
      <w:sz w:val="32"/>
      <w:szCs w:val="32"/>
    </w:rPr>
  </w:style>
  <w:style w:type="character" w:customStyle="1" w:styleId="TitleChar">
    <w:name w:val="Title Char"/>
    <w:basedOn w:val="DefaultParagraphFont"/>
    <w:link w:val="Title"/>
    <w:rsid w:val="00124A51"/>
    <w:rPr>
      <w:rFonts w:ascii="Cambria" w:hAnsi="Cambria"/>
      <w:b/>
      <w:bCs/>
      <w:snapToGrid w:val="0"/>
      <w:kern w:val="28"/>
      <w:sz w:val="32"/>
      <w:szCs w:val="32"/>
      <w:lang w:eastAsia="en-US"/>
    </w:rPr>
  </w:style>
  <w:style w:type="paragraph" w:styleId="BodyText">
    <w:name w:val="Body Text"/>
    <w:basedOn w:val="Normal"/>
    <w:link w:val="BodyTextChar"/>
    <w:qFormat/>
    <w:rsid w:val="004B3DDB"/>
    <w:pPr>
      <w:jc w:val="left"/>
    </w:pPr>
  </w:style>
  <w:style w:type="character" w:customStyle="1" w:styleId="BodyTextChar">
    <w:name w:val="Body Text Char"/>
    <w:basedOn w:val="DefaultParagraphFont"/>
    <w:link w:val="BodyText"/>
    <w:rsid w:val="004B3DDB"/>
    <w:rPr>
      <w:rFonts w:ascii="Arial" w:hAnsi="Arial" w:cs="Arial"/>
      <w:snapToGrid w:val="0"/>
      <w:sz w:val="22"/>
      <w:lang w:eastAsia="en-US"/>
    </w:rPr>
  </w:style>
  <w:style w:type="paragraph" w:styleId="ListParagraph">
    <w:name w:val="List Paragraph"/>
    <w:aliases w:val="Numbered para,BulletPoints"/>
    <w:basedOn w:val="Normal"/>
    <w:link w:val="ListParagraphChar"/>
    <w:uiPriority w:val="72"/>
    <w:qFormat/>
    <w:rsid w:val="00591957"/>
    <w:pPr>
      <w:spacing w:after="160"/>
      <w:ind w:left="720"/>
    </w:pPr>
  </w:style>
  <w:style w:type="character" w:customStyle="1" w:styleId="ListParagraphChar">
    <w:name w:val="List Paragraph Char"/>
    <w:aliases w:val="Numbered para Char,BulletPoints Char"/>
    <w:basedOn w:val="DefaultParagraphFont"/>
    <w:link w:val="ListParagraph"/>
    <w:uiPriority w:val="72"/>
    <w:locked/>
    <w:rsid w:val="00591957"/>
    <w:rPr>
      <w:rFonts w:ascii="Arial" w:hAnsi="Arial" w:cs="Arial"/>
      <w:snapToGrid w:val="0"/>
      <w:sz w:val="22"/>
      <w:szCs w:val="22"/>
      <w:lang w:eastAsia="en-US"/>
    </w:rPr>
  </w:style>
  <w:style w:type="paragraph" w:customStyle="1" w:styleId="RegularText">
    <w:name w:val="Regular Text"/>
    <w:basedOn w:val="BodyText"/>
    <w:link w:val="RegularTextChar"/>
    <w:rsid w:val="00124A51"/>
    <w:rPr>
      <w:b/>
    </w:rPr>
  </w:style>
  <w:style w:type="character" w:customStyle="1" w:styleId="RegularTextChar">
    <w:name w:val="Regular Text Char"/>
    <w:basedOn w:val="BodyTextChar"/>
    <w:link w:val="RegularText"/>
    <w:rsid w:val="00124A51"/>
    <w:rPr>
      <w:rFonts w:ascii="Arial" w:hAnsi="Arial" w:cs="Arial"/>
      <w:b/>
      <w:snapToGrid w:val="0"/>
      <w:sz w:val="22"/>
      <w:lang w:eastAsia="en-US"/>
    </w:rPr>
  </w:style>
  <w:style w:type="paragraph" w:styleId="NoSpacing">
    <w:name w:val="No Spacing"/>
    <w:uiPriority w:val="1"/>
    <w:rsid w:val="00124A51"/>
    <w:pPr>
      <w:widowControl w:val="0"/>
      <w:jc w:val="both"/>
    </w:pPr>
    <w:rPr>
      <w:rFonts w:ascii="Arial" w:hAnsi="Arial" w:cs="Arial"/>
      <w:snapToGrid w:val="0"/>
      <w:sz w:val="22"/>
      <w:lang w:eastAsia="en-US"/>
    </w:rPr>
  </w:style>
  <w:style w:type="paragraph" w:styleId="Header">
    <w:name w:val="header"/>
    <w:aliases w:val="Page Header,Header title,he=header,cntr/bld"/>
    <w:basedOn w:val="Normal"/>
    <w:link w:val="HeaderChar"/>
    <w:uiPriority w:val="99"/>
    <w:rsid w:val="00124A51"/>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124A51"/>
    <w:rPr>
      <w:rFonts w:ascii="Arial" w:hAnsi="Arial" w:cs="Arial"/>
      <w:snapToGrid w:val="0"/>
      <w:sz w:val="22"/>
      <w:lang w:eastAsia="en-US"/>
    </w:rPr>
  </w:style>
  <w:style w:type="paragraph" w:styleId="Footer">
    <w:name w:val="footer"/>
    <w:basedOn w:val="Normal"/>
    <w:link w:val="FooterChar"/>
    <w:uiPriority w:val="99"/>
    <w:rsid w:val="00124A51"/>
    <w:pPr>
      <w:tabs>
        <w:tab w:val="center" w:pos="4513"/>
        <w:tab w:val="right" w:pos="9026"/>
      </w:tabs>
    </w:pPr>
  </w:style>
  <w:style w:type="character" w:customStyle="1" w:styleId="FooterChar">
    <w:name w:val="Footer Char"/>
    <w:basedOn w:val="DefaultParagraphFont"/>
    <w:link w:val="Footer"/>
    <w:uiPriority w:val="99"/>
    <w:rsid w:val="00124A51"/>
    <w:rPr>
      <w:rFonts w:ascii="Arial" w:hAnsi="Arial" w:cs="Arial"/>
      <w:snapToGrid w:val="0"/>
      <w:sz w:val="22"/>
      <w:lang w:eastAsia="en-US"/>
    </w:rPr>
  </w:style>
  <w:style w:type="table" w:styleId="TableGrid">
    <w:name w:val="Table Grid"/>
    <w:aliases w:val="Summary box,Table Gridbeth"/>
    <w:basedOn w:val="TableNormal"/>
    <w:rsid w:val="004B3D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aliases w:val="Table Title"/>
    <w:uiPriority w:val="99"/>
    <w:qFormat/>
    <w:rsid w:val="001E30D4"/>
    <w:rPr>
      <w:rFonts w:ascii="Arial Narrow" w:hAnsi="Arial Narrow"/>
      <w:b/>
      <w:sz w:val="20"/>
      <w:szCs w:val="16"/>
    </w:rPr>
  </w:style>
  <w:style w:type="paragraph" w:customStyle="1" w:styleId="Tabletext">
    <w:name w:val="Table text"/>
    <w:basedOn w:val="Normal"/>
    <w:link w:val="TabletextChar"/>
    <w:uiPriority w:val="2"/>
    <w:qFormat/>
    <w:rsid w:val="00A518F3"/>
    <w:pPr>
      <w:widowControl/>
      <w:jc w:val="left"/>
    </w:pPr>
    <w:rPr>
      <w:rFonts w:ascii="Arial Narrow" w:hAnsi="Arial Narrow" w:cs="Times New Roman"/>
      <w:snapToGrid/>
      <w:sz w:val="20"/>
    </w:rPr>
  </w:style>
  <w:style w:type="character" w:customStyle="1" w:styleId="TabletextChar">
    <w:name w:val="Table text Char"/>
    <w:link w:val="Tabletext"/>
    <w:uiPriority w:val="2"/>
    <w:rsid w:val="00A518F3"/>
    <w:rPr>
      <w:rFonts w:ascii="Arial Narrow" w:hAnsi="Arial Narrow"/>
      <w:lang w:eastAsia="en-US"/>
    </w:rPr>
  </w:style>
  <w:style w:type="paragraph" w:customStyle="1" w:styleId="TableHeading">
    <w:name w:val="TableHeading"/>
    <w:basedOn w:val="Normal"/>
    <w:rsid w:val="00A56B6A"/>
    <w:pPr>
      <w:keepNext/>
      <w:widowControl/>
      <w:spacing w:before="40" w:after="40"/>
      <w:jc w:val="left"/>
    </w:pPr>
    <w:rPr>
      <w:rFonts w:ascii="Arial Narrow" w:hAnsi="Arial Narrow" w:cs="Arial Narrow"/>
      <w:b/>
      <w:bCs/>
      <w:snapToGrid/>
      <w:sz w:val="20"/>
    </w:rPr>
  </w:style>
  <w:style w:type="paragraph" w:customStyle="1" w:styleId="Corpsdetextemarge">
    <w:name w:val="Corps de texte marge"/>
    <w:basedOn w:val="BodyText"/>
    <w:uiPriority w:val="99"/>
    <w:rsid w:val="008F48EB"/>
    <w:pPr>
      <w:widowControl/>
      <w:jc w:val="both"/>
    </w:pPr>
    <w:rPr>
      <w:rFonts w:ascii="Times" w:hAnsi="Times" w:cs="Times New Roman"/>
      <w:snapToGrid/>
      <w:lang w:val="en-US"/>
    </w:rPr>
  </w:style>
  <w:style w:type="paragraph" w:styleId="NormalWeb">
    <w:name w:val="Normal (Web)"/>
    <w:basedOn w:val="Normal"/>
    <w:uiPriority w:val="99"/>
    <w:rsid w:val="008F48EB"/>
    <w:pPr>
      <w:widowControl/>
      <w:spacing w:before="100" w:after="100"/>
      <w:jc w:val="left"/>
    </w:pPr>
    <w:rPr>
      <w:rFonts w:ascii="Times New Roman" w:hAnsi="Times New Roman" w:cs="Times New Roman"/>
      <w:snapToGrid/>
      <w:lang w:val="en-GB"/>
    </w:rPr>
  </w:style>
  <w:style w:type="paragraph" w:styleId="TOC2">
    <w:name w:val="toc 2"/>
    <w:basedOn w:val="Normal"/>
    <w:next w:val="Normal"/>
    <w:autoRedefine/>
    <w:uiPriority w:val="39"/>
    <w:rsid w:val="0009262B"/>
    <w:pPr>
      <w:tabs>
        <w:tab w:val="left" w:pos="713"/>
        <w:tab w:val="left" w:pos="880"/>
        <w:tab w:val="right" w:leader="dot" w:pos="9016"/>
      </w:tabs>
      <w:spacing w:before="40"/>
      <w:ind w:left="221"/>
      <w:jc w:val="left"/>
    </w:pPr>
    <w:rPr>
      <w:iCs/>
      <w:sz w:val="20"/>
    </w:rPr>
  </w:style>
  <w:style w:type="paragraph" w:styleId="TOC1">
    <w:name w:val="toc 1"/>
    <w:basedOn w:val="Normal"/>
    <w:next w:val="Normal"/>
    <w:autoRedefine/>
    <w:uiPriority w:val="39"/>
    <w:rsid w:val="00D0262E"/>
    <w:pPr>
      <w:spacing w:before="240" w:after="120"/>
      <w:jc w:val="left"/>
    </w:pPr>
    <w:rPr>
      <w:bCs/>
      <w:sz w:val="20"/>
    </w:rPr>
  </w:style>
  <w:style w:type="character" w:styleId="Hyperlink">
    <w:name w:val="Hyperlink"/>
    <w:basedOn w:val="DefaultParagraphFont"/>
    <w:uiPriority w:val="99"/>
    <w:unhideWhenUsed/>
    <w:rsid w:val="00621477"/>
    <w:rPr>
      <w:color w:val="0000FF" w:themeColor="hyperlink"/>
      <w:u w:val="single"/>
    </w:rPr>
  </w:style>
  <w:style w:type="paragraph" w:styleId="TOCHeading">
    <w:name w:val="TOC Heading"/>
    <w:basedOn w:val="Heading1"/>
    <w:next w:val="Normal"/>
    <w:uiPriority w:val="39"/>
    <w:unhideWhenUsed/>
    <w:rsid w:val="00CE6274"/>
    <w:pPr>
      <w:keepNext/>
      <w:keepLines/>
      <w:widowControl/>
      <w:spacing w:before="480" w:line="276" w:lineRule="auto"/>
      <w:ind w:left="0" w:firstLine="0"/>
      <w:jc w:val="left"/>
      <w:outlineLvl w:val="9"/>
    </w:pPr>
    <w:rPr>
      <w:rFonts w:asciiTheme="majorHAnsi" w:eastAsiaTheme="majorEastAsia" w:hAnsiTheme="majorHAnsi" w:cstheme="majorBidi"/>
      <w:bCs/>
      <w:snapToGrid/>
      <w:color w:val="365F91" w:themeColor="accent1" w:themeShade="BF"/>
      <w:sz w:val="28"/>
      <w:szCs w:val="28"/>
      <w:lang w:val="en-US" w:eastAsia="ja-JP"/>
    </w:rPr>
  </w:style>
  <w:style w:type="paragraph" w:styleId="TOC3">
    <w:name w:val="toc 3"/>
    <w:basedOn w:val="Normal"/>
    <w:next w:val="Normal"/>
    <w:autoRedefine/>
    <w:uiPriority w:val="39"/>
    <w:unhideWhenUsed/>
    <w:rsid w:val="00CE6274"/>
    <w:pPr>
      <w:ind w:left="440"/>
      <w:jc w:val="left"/>
    </w:pPr>
    <w:rPr>
      <w:rFonts w:asciiTheme="minorHAnsi" w:hAnsiTheme="minorHAnsi"/>
      <w:sz w:val="20"/>
    </w:rPr>
  </w:style>
  <w:style w:type="paragraph" w:styleId="TOC4">
    <w:name w:val="toc 4"/>
    <w:basedOn w:val="Normal"/>
    <w:next w:val="Normal"/>
    <w:autoRedefine/>
    <w:rsid w:val="00D0262E"/>
    <w:pPr>
      <w:ind w:left="660"/>
      <w:jc w:val="left"/>
    </w:pPr>
    <w:rPr>
      <w:rFonts w:asciiTheme="minorHAnsi" w:hAnsiTheme="minorHAnsi"/>
      <w:sz w:val="20"/>
    </w:rPr>
  </w:style>
  <w:style w:type="paragraph" w:styleId="TOC5">
    <w:name w:val="toc 5"/>
    <w:basedOn w:val="Normal"/>
    <w:next w:val="Normal"/>
    <w:autoRedefine/>
    <w:rsid w:val="00D0262E"/>
    <w:pPr>
      <w:ind w:left="880"/>
      <w:jc w:val="left"/>
    </w:pPr>
    <w:rPr>
      <w:rFonts w:asciiTheme="minorHAnsi" w:hAnsiTheme="minorHAnsi"/>
      <w:sz w:val="20"/>
    </w:rPr>
  </w:style>
  <w:style w:type="paragraph" w:styleId="TOC6">
    <w:name w:val="toc 6"/>
    <w:basedOn w:val="Normal"/>
    <w:next w:val="Normal"/>
    <w:autoRedefine/>
    <w:rsid w:val="00D0262E"/>
    <w:pPr>
      <w:ind w:left="1100"/>
      <w:jc w:val="left"/>
    </w:pPr>
    <w:rPr>
      <w:rFonts w:asciiTheme="minorHAnsi" w:hAnsiTheme="minorHAnsi"/>
      <w:sz w:val="20"/>
    </w:rPr>
  </w:style>
  <w:style w:type="paragraph" w:styleId="TOC7">
    <w:name w:val="toc 7"/>
    <w:basedOn w:val="Normal"/>
    <w:next w:val="Normal"/>
    <w:autoRedefine/>
    <w:rsid w:val="00D0262E"/>
    <w:pPr>
      <w:ind w:left="1320"/>
      <w:jc w:val="left"/>
    </w:pPr>
    <w:rPr>
      <w:rFonts w:asciiTheme="minorHAnsi" w:hAnsiTheme="minorHAnsi"/>
      <w:sz w:val="20"/>
    </w:rPr>
  </w:style>
  <w:style w:type="paragraph" w:styleId="TOC8">
    <w:name w:val="toc 8"/>
    <w:basedOn w:val="Normal"/>
    <w:next w:val="Normal"/>
    <w:autoRedefine/>
    <w:rsid w:val="00D0262E"/>
    <w:pPr>
      <w:ind w:left="1540"/>
      <w:jc w:val="left"/>
    </w:pPr>
    <w:rPr>
      <w:rFonts w:asciiTheme="minorHAnsi" w:hAnsiTheme="minorHAnsi"/>
      <w:sz w:val="20"/>
    </w:rPr>
  </w:style>
  <w:style w:type="paragraph" w:styleId="TOC9">
    <w:name w:val="toc 9"/>
    <w:basedOn w:val="Normal"/>
    <w:next w:val="Normal"/>
    <w:autoRedefine/>
    <w:rsid w:val="00D0262E"/>
    <w:pPr>
      <w:ind w:left="1760"/>
      <w:jc w:val="left"/>
    </w:pPr>
    <w:rPr>
      <w:rFonts w:asciiTheme="minorHAnsi" w:hAnsiTheme="minorHAnsi"/>
      <w:sz w:val="20"/>
    </w:rPr>
  </w:style>
  <w:style w:type="paragraph" w:styleId="CommentText">
    <w:name w:val="annotation text"/>
    <w:aliases w:val="- H19"/>
    <w:basedOn w:val="Normal"/>
    <w:link w:val="CommentTextChar"/>
    <w:uiPriority w:val="99"/>
    <w:rsid w:val="00FD2100"/>
    <w:rPr>
      <w:rFonts w:ascii="Times New Roman" w:hAnsi="Times New Roman" w:cs="Times New Roman"/>
      <w:sz w:val="20"/>
    </w:rPr>
  </w:style>
  <w:style w:type="character" w:customStyle="1" w:styleId="CommentTextChar">
    <w:name w:val="Comment Text Char"/>
    <w:aliases w:val="- H19 Char"/>
    <w:basedOn w:val="DefaultParagraphFont"/>
    <w:link w:val="CommentText"/>
    <w:uiPriority w:val="99"/>
    <w:rsid w:val="00FD2100"/>
    <w:rPr>
      <w:snapToGrid w:val="0"/>
      <w:lang w:eastAsia="en-US"/>
    </w:rPr>
  </w:style>
  <w:style w:type="paragraph" w:customStyle="1" w:styleId="Bulletpoints">
    <w:name w:val="Bullet points"/>
    <w:basedOn w:val="ListParagraph"/>
    <w:qFormat/>
    <w:rsid w:val="002C5099"/>
    <w:pPr>
      <w:numPr>
        <w:numId w:val="2"/>
      </w:numPr>
      <w:spacing w:after="0"/>
      <w:ind w:left="425" w:hanging="425"/>
    </w:pPr>
    <w:rPr>
      <w:szCs w:val="24"/>
    </w:rPr>
  </w:style>
  <w:style w:type="paragraph" w:customStyle="1" w:styleId="TableName">
    <w:name w:val="TableName"/>
    <w:basedOn w:val="Normal"/>
    <w:rsid w:val="00CA7B09"/>
    <w:pPr>
      <w:keepNext/>
      <w:widowControl/>
      <w:spacing w:before="120" w:after="120"/>
      <w:ind w:left="1800" w:hanging="1080"/>
      <w:jc w:val="left"/>
    </w:pPr>
    <w:rPr>
      <w:rFonts w:ascii="Arial Narrow" w:hAnsi="Arial Narrow" w:cs="Arial Narrow"/>
      <w:b/>
      <w:bCs/>
      <w:snapToGrid/>
    </w:rPr>
  </w:style>
  <w:style w:type="paragraph" w:customStyle="1" w:styleId="TableNotes18">
    <w:name w:val="TableNotes+18"/>
    <w:basedOn w:val="Normal"/>
    <w:rsid w:val="002C5099"/>
    <w:pPr>
      <w:keepLines/>
      <w:widowControl/>
      <w:spacing w:after="360"/>
      <w:ind w:left="720"/>
      <w:jc w:val="left"/>
    </w:pPr>
    <w:rPr>
      <w:rFonts w:ascii="Arial Narrow" w:hAnsi="Arial Narrow" w:cs="Arial Narrow"/>
      <w:snapToGrid/>
      <w:sz w:val="18"/>
      <w:szCs w:val="18"/>
    </w:rPr>
  </w:style>
  <w:style w:type="paragraph" w:customStyle="1" w:styleId="TableNotes0">
    <w:name w:val="TableNotes+0"/>
    <w:basedOn w:val="TableNotes18"/>
    <w:rsid w:val="00CA7B09"/>
    <w:pPr>
      <w:keepNext/>
      <w:spacing w:after="0"/>
    </w:pPr>
  </w:style>
  <w:style w:type="paragraph" w:styleId="CommentSubject">
    <w:name w:val="annotation subject"/>
    <w:basedOn w:val="CommentText"/>
    <w:next w:val="CommentText"/>
    <w:link w:val="CommentSubjectChar"/>
    <w:rsid w:val="004319F8"/>
    <w:rPr>
      <w:rFonts w:ascii="Arial" w:hAnsi="Arial" w:cs="Arial"/>
      <w:b/>
      <w:bCs/>
    </w:rPr>
  </w:style>
  <w:style w:type="character" w:customStyle="1" w:styleId="CommentSubjectChar">
    <w:name w:val="Comment Subject Char"/>
    <w:basedOn w:val="CommentTextChar"/>
    <w:link w:val="CommentSubject"/>
    <w:rsid w:val="004319F8"/>
    <w:rPr>
      <w:rFonts w:ascii="Arial" w:hAnsi="Arial" w:cs="Arial"/>
      <w:b/>
      <w:bCs/>
      <w:snapToGrid w:val="0"/>
      <w:lang w:eastAsia="en-US"/>
    </w:rPr>
  </w:style>
  <w:style w:type="paragraph" w:styleId="Revision">
    <w:name w:val="Revision"/>
    <w:hidden/>
    <w:uiPriority w:val="99"/>
    <w:semiHidden/>
    <w:rsid w:val="00043C37"/>
    <w:rPr>
      <w:rFonts w:ascii="Arial" w:hAnsi="Arial" w:cs="Arial"/>
      <w:snapToGrid w:val="0"/>
      <w:sz w:val="22"/>
      <w:lang w:eastAsia="en-US"/>
    </w:rPr>
  </w:style>
  <w:style w:type="paragraph" w:styleId="BodyTextIndent">
    <w:name w:val="Body Text Indent"/>
    <w:basedOn w:val="Normal"/>
    <w:link w:val="BodyTextIndentChar"/>
    <w:rsid w:val="00E41E30"/>
    <w:pPr>
      <w:spacing w:after="120"/>
      <w:ind w:left="283"/>
    </w:pPr>
  </w:style>
  <w:style w:type="character" w:customStyle="1" w:styleId="BodyTextIndentChar">
    <w:name w:val="Body Text Indent Char"/>
    <w:basedOn w:val="DefaultParagraphFont"/>
    <w:link w:val="BodyTextIndent"/>
    <w:rsid w:val="00E41E30"/>
    <w:rPr>
      <w:rFonts w:ascii="Arial" w:hAnsi="Arial" w:cs="Arial"/>
      <w:snapToGrid w:val="0"/>
      <w:sz w:val="22"/>
      <w:lang w:eastAsia="en-US"/>
    </w:rPr>
  </w:style>
  <w:style w:type="paragraph" w:customStyle="1" w:styleId="Char1CharCharChar">
    <w:name w:val="Char1 Char Char Char"/>
    <w:basedOn w:val="Normal"/>
    <w:rsid w:val="00B94945"/>
    <w:pPr>
      <w:widowControl/>
      <w:spacing w:after="160" w:line="240" w:lineRule="exact"/>
      <w:jc w:val="left"/>
    </w:pPr>
    <w:rPr>
      <w:rFonts w:ascii="Verdana" w:eastAsia="MS Mincho" w:hAnsi="Verdana" w:cs="Verdana"/>
      <w:snapToGrid/>
      <w:sz w:val="20"/>
      <w:lang w:val="en-US"/>
    </w:rPr>
  </w:style>
  <w:style w:type="character" w:customStyle="1" w:styleId="SubtitleChar">
    <w:name w:val="Subtitle Char"/>
    <w:link w:val="Subtitle"/>
    <w:rsid w:val="00B50DB8"/>
    <w:rPr>
      <w:lang w:eastAsia="en-US"/>
    </w:rPr>
  </w:style>
  <w:style w:type="paragraph" w:styleId="Subtitle">
    <w:name w:val="Subtitle"/>
    <w:basedOn w:val="Normal"/>
    <w:link w:val="SubtitleChar"/>
    <w:qFormat/>
    <w:rsid w:val="00B50DB8"/>
    <w:pPr>
      <w:widowControl/>
    </w:pPr>
    <w:rPr>
      <w:rFonts w:ascii="Times New Roman" w:hAnsi="Times New Roman" w:cs="Times New Roman"/>
      <w:snapToGrid/>
      <w:sz w:val="20"/>
    </w:rPr>
  </w:style>
  <w:style w:type="character" w:customStyle="1" w:styleId="SubtitleChar1">
    <w:name w:val="Subtitle Char1"/>
    <w:basedOn w:val="DefaultParagraphFont"/>
    <w:rsid w:val="00B50DB8"/>
    <w:rPr>
      <w:rFonts w:asciiTheme="majorHAnsi" w:eastAsiaTheme="majorEastAsia" w:hAnsiTheme="majorHAnsi" w:cstheme="majorBidi"/>
      <w:i/>
      <w:iCs/>
      <w:snapToGrid w:val="0"/>
      <w:color w:val="4F81BD" w:themeColor="accent1"/>
      <w:spacing w:val="15"/>
      <w:sz w:val="24"/>
      <w:szCs w:val="24"/>
      <w:lang w:eastAsia="en-US"/>
    </w:rPr>
  </w:style>
  <w:style w:type="paragraph" w:customStyle="1" w:styleId="PBACHeading1">
    <w:name w:val="PBAC Heading 1"/>
    <w:qFormat/>
    <w:rsid w:val="00E665C0"/>
    <w:pPr>
      <w:keepNext/>
      <w:numPr>
        <w:numId w:val="1"/>
      </w:numPr>
      <w:spacing w:after="100"/>
      <w:outlineLvl w:val="0"/>
    </w:pPr>
    <w:rPr>
      <w:rFonts w:ascii="Calibri" w:hAnsi="Calibri" w:cs="Arial"/>
      <w:b/>
      <w:snapToGrid w:val="0"/>
      <w:sz w:val="32"/>
      <w:szCs w:val="22"/>
      <w:lang w:eastAsia="en-US"/>
    </w:rPr>
  </w:style>
  <w:style w:type="table" w:customStyle="1" w:styleId="PlainTable21">
    <w:name w:val="Plain Table 21"/>
    <w:basedOn w:val="TableNormal"/>
    <w:uiPriority w:val="42"/>
    <w:rsid w:val="00FF5AD8"/>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FollowedHyperlink">
    <w:name w:val="FollowedHyperlink"/>
    <w:basedOn w:val="DefaultParagraphFont"/>
    <w:semiHidden/>
    <w:unhideWhenUsed/>
    <w:rsid w:val="00536F42"/>
    <w:rPr>
      <w:color w:val="800080" w:themeColor="followedHyperlink"/>
      <w:u w:val="single"/>
    </w:rPr>
  </w:style>
  <w:style w:type="character" w:styleId="PageNumber">
    <w:name w:val="page number"/>
    <w:basedOn w:val="DefaultParagraphFont"/>
    <w:semiHidden/>
    <w:unhideWhenUsed/>
    <w:rsid w:val="00953257"/>
  </w:style>
  <w:style w:type="paragraph" w:customStyle="1" w:styleId="Commentitalics">
    <w:name w:val="Comment (italics)"/>
    <w:basedOn w:val="Normal"/>
    <w:next w:val="Normal"/>
    <w:qFormat/>
    <w:rsid w:val="00B53654"/>
    <w:rPr>
      <w:i/>
      <w:szCs w:val="24"/>
    </w:rPr>
  </w:style>
  <w:style w:type="paragraph" w:styleId="BalloonText">
    <w:name w:val="Balloon Text"/>
    <w:basedOn w:val="Normal"/>
    <w:link w:val="BalloonTextChar"/>
    <w:semiHidden/>
    <w:unhideWhenUsed/>
    <w:rsid w:val="00B34FE2"/>
    <w:rPr>
      <w:rFonts w:ascii="Tahoma" w:hAnsi="Tahoma" w:cs="Tahoma"/>
      <w:sz w:val="16"/>
      <w:szCs w:val="16"/>
    </w:rPr>
  </w:style>
  <w:style w:type="character" w:customStyle="1" w:styleId="BalloonTextChar">
    <w:name w:val="Balloon Text Char"/>
    <w:basedOn w:val="DefaultParagraphFont"/>
    <w:link w:val="BalloonText"/>
    <w:semiHidden/>
    <w:rsid w:val="00B34FE2"/>
    <w:rPr>
      <w:rFonts w:ascii="Tahoma" w:hAnsi="Tahoma" w:cs="Tahoma"/>
      <w:snapToGrid w:val="0"/>
      <w:sz w:val="16"/>
      <w:szCs w:val="16"/>
      <w:lang w:eastAsia="en-US"/>
    </w:rPr>
  </w:style>
  <w:style w:type="paragraph" w:customStyle="1" w:styleId="Tabletextleft">
    <w:name w:val="Table text left"/>
    <w:basedOn w:val="Normal"/>
    <w:link w:val="TabletextleftChar"/>
    <w:qFormat/>
    <w:rsid w:val="00400A13"/>
    <w:pPr>
      <w:widowControl/>
      <w:spacing w:before="20" w:after="20"/>
      <w:jc w:val="left"/>
    </w:pPr>
    <w:rPr>
      <w:rFonts w:asciiTheme="minorHAnsi" w:hAnsiTheme="minorHAnsi" w:cs="Times New Roman"/>
      <w:snapToGrid/>
      <w:sz w:val="18"/>
      <w:szCs w:val="20"/>
      <w:lang w:eastAsia="en-AU"/>
    </w:rPr>
  </w:style>
  <w:style w:type="character" w:customStyle="1" w:styleId="TabletextleftChar">
    <w:name w:val="Table text left Char"/>
    <w:basedOn w:val="DefaultParagraphFont"/>
    <w:link w:val="Tabletextleft"/>
    <w:rsid w:val="00400A13"/>
    <w:rPr>
      <w:rFonts w:asciiTheme="minorHAnsi" w:hAnsiTheme="minorHAnsi"/>
      <w:sz w:val="18"/>
    </w:rPr>
  </w:style>
  <w:style w:type="paragraph" w:customStyle="1" w:styleId="Dash0">
    <w:name w:val="Dash+0"/>
    <w:basedOn w:val="Normal"/>
    <w:uiPriority w:val="2"/>
    <w:rsid w:val="00400A13"/>
    <w:pPr>
      <w:widowControl/>
      <w:numPr>
        <w:numId w:val="3"/>
      </w:numPr>
      <w:tabs>
        <w:tab w:val="left" w:pos="1134"/>
      </w:tabs>
      <w:spacing w:line="276" w:lineRule="auto"/>
      <w:jc w:val="left"/>
    </w:pPr>
    <w:rPr>
      <w:rFonts w:asciiTheme="minorHAnsi" w:eastAsiaTheme="minorHAnsi" w:hAnsiTheme="minorHAnsi" w:cs="Tahoma"/>
      <w:snapToGrid/>
      <w:color w:val="000000"/>
      <w:sz w:val="22"/>
      <w:lang w:eastAsia="en-AU"/>
    </w:rPr>
  </w:style>
  <w:style w:type="paragraph" w:customStyle="1" w:styleId="NormalBulletList">
    <w:name w:val="Normal Bullet List"/>
    <w:basedOn w:val="Normal"/>
    <w:uiPriority w:val="3"/>
    <w:qFormat/>
    <w:rsid w:val="00C47D31"/>
    <w:pPr>
      <w:widowControl/>
      <w:numPr>
        <w:numId w:val="4"/>
      </w:numPr>
      <w:spacing w:after="240" w:line="276" w:lineRule="auto"/>
      <w:ind w:left="357" w:hanging="357"/>
      <w:contextualSpacing/>
      <w:jc w:val="left"/>
    </w:pPr>
    <w:rPr>
      <w:rFonts w:ascii="Candara" w:eastAsiaTheme="majorEastAsia" w:hAnsi="Candara" w:cstheme="majorBidi"/>
      <w:snapToGrid/>
      <w:lang w:bidi="en-US"/>
    </w:rPr>
  </w:style>
  <w:style w:type="table" w:customStyle="1" w:styleId="HTATableshaded">
    <w:name w:val="HTA Table shaded"/>
    <w:basedOn w:val="TableNormal"/>
    <w:rsid w:val="006243CB"/>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textcent">
    <w:name w:val="Table text cent"/>
    <w:basedOn w:val="Tabletextleft"/>
    <w:qFormat/>
    <w:rsid w:val="00726C3F"/>
    <w:pPr>
      <w:jc w:val="center"/>
    </w:pPr>
    <w:rPr>
      <w:lang w:val="de-DE"/>
    </w:rPr>
  </w:style>
  <w:style w:type="table" w:customStyle="1" w:styleId="HTATableshaded1">
    <w:name w:val="HTA Table shaded1"/>
    <w:basedOn w:val="TableNormal"/>
    <w:rsid w:val="008B5651"/>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2">
    <w:name w:val="HTA Table shaded2"/>
    <w:basedOn w:val="TableNormal"/>
    <w:rsid w:val="00F33238"/>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3">
    <w:name w:val="HTA Table shaded3"/>
    <w:basedOn w:val="TableNormal"/>
    <w:rsid w:val="003227AE"/>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4">
    <w:name w:val="HTA Table shaded4"/>
    <w:basedOn w:val="TableNormal"/>
    <w:rsid w:val="00397495"/>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5">
    <w:name w:val="HTA Table shaded5"/>
    <w:basedOn w:val="TableNormal"/>
    <w:rsid w:val="009F2F64"/>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6">
    <w:name w:val="HTA Table shaded6"/>
    <w:basedOn w:val="TableNormal"/>
    <w:rsid w:val="003238CE"/>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7">
    <w:name w:val="HTA Table shaded7"/>
    <w:basedOn w:val="TableNormal"/>
    <w:rsid w:val="004E5154"/>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table" w:customStyle="1" w:styleId="HTATableshaded8">
    <w:name w:val="HTA Table shaded8"/>
    <w:basedOn w:val="TableNormal"/>
    <w:rsid w:val="00F862A3"/>
    <w:pPr>
      <w:spacing w:before="40" w:after="20"/>
    </w:pPr>
    <w:rPr>
      <w:rFonts w:ascii="Calibri" w:hAnsi="Calibri"/>
      <w:sz w:val="18"/>
      <w:szCs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Calibri" w:hAnsi="Calibri"/>
        <w:b w:val="0"/>
        <w:sz w:val="22"/>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customStyle="1" w:styleId="TableHeadingleft">
    <w:name w:val="Table Heading left"/>
    <w:basedOn w:val="Normal"/>
    <w:next w:val="Normal"/>
    <w:qFormat/>
    <w:rsid w:val="008139E5"/>
    <w:pPr>
      <w:widowControl/>
      <w:spacing w:before="40" w:after="40"/>
      <w:jc w:val="left"/>
    </w:pPr>
    <w:rPr>
      <w:rFonts w:asciiTheme="minorHAnsi" w:eastAsiaTheme="minorHAnsi" w:hAnsiTheme="minorHAnsi" w:cs="Tahoma"/>
      <w:b/>
      <w:snapToGrid/>
      <w:sz w:val="18"/>
      <w:szCs w:val="18"/>
      <w:lang w:val="de-DE"/>
    </w:rPr>
  </w:style>
  <w:style w:type="paragraph" w:customStyle="1" w:styleId="Tableheadingcent">
    <w:name w:val="Table heading cent"/>
    <w:basedOn w:val="TableHeadingleft"/>
    <w:qFormat/>
    <w:rsid w:val="008139E5"/>
    <w:pPr>
      <w:jc w:val="center"/>
    </w:pPr>
  </w:style>
  <w:style w:type="paragraph" w:customStyle="1" w:styleId="Tabletextbold">
    <w:name w:val="Table text bold"/>
    <w:basedOn w:val="Tabletextleft"/>
    <w:qFormat/>
    <w:rsid w:val="008139E5"/>
    <w:pPr>
      <w:ind w:left="57" w:right="57"/>
    </w:pPr>
    <w:rPr>
      <w:rFonts w:eastAsia="Arial"/>
      <w:b/>
      <w:lang w:val="de-DE"/>
    </w:rPr>
  </w:style>
  <w:style w:type="character" w:customStyle="1" w:styleId="Heading1Char">
    <w:name w:val="Heading 1 Char"/>
    <w:basedOn w:val="DefaultParagraphFont"/>
    <w:link w:val="Heading1"/>
    <w:rsid w:val="00C11C2D"/>
    <w:rPr>
      <w:rFonts w:ascii="Calibri" w:hAnsi="Calibri" w:cs="Arial"/>
      <w:b/>
      <w:caps/>
      <w:snapToGrid w:val="0"/>
      <w:sz w:val="32"/>
      <w:szCs w:val="22"/>
      <w:lang w:eastAsia="en-US"/>
    </w:rPr>
  </w:style>
  <w:style w:type="character" w:customStyle="1" w:styleId="Heading3Char">
    <w:name w:val="Heading 3 Char"/>
    <w:basedOn w:val="DefaultParagraphFont"/>
    <w:link w:val="Heading3"/>
    <w:rsid w:val="00C11C2D"/>
    <w:rPr>
      <w:rFonts w:ascii="Calibri" w:hAnsi="Calibri" w:cs="Arial"/>
      <w:snapToGrid w:val="0"/>
      <w:sz w:val="24"/>
      <w:szCs w:val="22"/>
      <w:u w:val="single"/>
      <w:lang w:eastAsia="en-US"/>
    </w:rPr>
  </w:style>
  <w:style w:type="character" w:customStyle="1" w:styleId="Heading4Char">
    <w:name w:val="Heading 4 Char"/>
    <w:basedOn w:val="DefaultParagraphFont"/>
    <w:link w:val="Heading4"/>
    <w:rsid w:val="00C11C2D"/>
    <w:rPr>
      <w:rFonts w:ascii="Calibri" w:hAnsi="Calibri" w:cs="Arial"/>
      <w:b/>
      <w:bCs/>
      <w:i/>
      <w:snapToGrid w:val="0"/>
      <w:sz w:val="26"/>
      <w:szCs w:val="28"/>
      <w:lang w:eastAsia="en-US"/>
    </w:rPr>
  </w:style>
  <w:style w:type="character" w:customStyle="1" w:styleId="Heading5Char">
    <w:name w:val="Heading 5 Char"/>
    <w:basedOn w:val="DefaultParagraphFont"/>
    <w:link w:val="Heading5"/>
    <w:rsid w:val="00C11C2D"/>
    <w:rPr>
      <w:rFonts w:ascii="Calibri" w:hAnsi="Calibri" w:cs="Arial"/>
      <w:b/>
      <w:bCs/>
      <w:iCs/>
      <w:snapToGrid w:val="0"/>
      <w:sz w:val="26"/>
      <w:szCs w:val="26"/>
      <w:lang w:eastAsia="en-US"/>
    </w:rPr>
  </w:style>
  <w:style w:type="character" w:customStyle="1" w:styleId="Heading6Char">
    <w:name w:val="Heading 6 Char"/>
    <w:basedOn w:val="DefaultParagraphFont"/>
    <w:link w:val="Heading6"/>
    <w:rsid w:val="00C11C2D"/>
    <w:rPr>
      <w:rFonts w:ascii="Calibri" w:hAnsi="Calibri" w:cs="Arial"/>
      <w:b/>
      <w:bCs/>
      <w:i/>
      <w:snapToGrid w:val="0"/>
      <w:sz w:val="24"/>
      <w:szCs w:val="22"/>
      <w:lang w:eastAsia="en-US"/>
    </w:rPr>
  </w:style>
  <w:style w:type="paragraph" w:customStyle="1" w:styleId="Default">
    <w:name w:val="Default"/>
    <w:rsid w:val="00C11C2D"/>
    <w:pPr>
      <w:autoSpaceDE w:val="0"/>
      <w:autoSpaceDN w:val="0"/>
      <w:adjustRightInd w:val="0"/>
    </w:pPr>
    <w:rPr>
      <w:color w:val="000000"/>
      <w:sz w:val="24"/>
      <w:szCs w:val="24"/>
      <w:lang w:val="en-US" w:eastAsia="en-US"/>
    </w:r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rsid w:val="00B866B7"/>
    <w:pPr>
      <w:widowControl/>
      <w:spacing w:after="160" w:line="240" w:lineRule="exact"/>
      <w:jc w:val="left"/>
    </w:pPr>
    <w:rPr>
      <w:rFonts w:ascii="Verdana" w:eastAsia="MS Mincho" w:hAnsi="Verdana" w:cs="Verdana"/>
      <w:snapToGrid/>
      <w:sz w:val="20"/>
      <w:szCs w:val="20"/>
      <w:lang w:val="en-US"/>
    </w:rPr>
  </w:style>
  <w:style w:type="character" w:styleId="PlaceholderText">
    <w:name w:val="Placeholder Text"/>
    <w:basedOn w:val="DefaultParagraphFont"/>
    <w:uiPriority w:val="99"/>
    <w:semiHidden/>
    <w:rsid w:val="003472F1"/>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92883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31" Type="http://schemas.microsoft.com/office/2016/09/relationships/commentsIds" Target="commentsIds.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961037-25F0-4CE4-851E-C201C3824D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25</Pages>
  <Words>9419</Words>
  <Characters>54339</Characters>
  <Application>Microsoft Office Word</Application>
  <DocSecurity>0</DocSecurity>
  <Lines>452</Lines>
  <Paragraphs>127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63631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2019-06-25T06:18:00Z</dcterms:created>
  <dcterms:modified xsi:type="dcterms:W3CDTF">2019-07-01T01:49:00Z</dcterms:modified>
</cp:coreProperties>
</file>