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2F8FC1" w14:textId="7214D8C0" w:rsidR="006D6493" w:rsidRPr="00F41718" w:rsidRDefault="00A53510" w:rsidP="00D4535A">
      <w:pPr>
        <w:pStyle w:val="Title"/>
        <w:spacing w:before="120" w:after="160"/>
        <w:ind w:left="720" w:hanging="720"/>
        <w:rPr>
          <w:rFonts w:asciiTheme="minorHAnsi" w:hAnsiTheme="minorHAnsi"/>
          <w:sz w:val="36"/>
          <w:szCs w:val="36"/>
        </w:rPr>
      </w:pPr>
      <w:r w:rsidRPr="00F41718">
        <w:rPr>
          <w:rFonts w:asciiTheme="minorHAnsi" w:hAnsiTheme="minorHAnsi"/>
          <w:sz w:val="36"/>
          <w:szCs w:val="36"/>
        </w:rPr>
        <w:t>6.11</w:t>
      </w:r>
      <w:r w:rsidR="006D6493" w:rsidRPr="00F41718">
        <w:rPr>
          <w:rFonts w:asciiTheme="minorHAnsi" w:hAnsiTheme="minorHAnsi"/>
          <w:sz w:val="36"/>
          <w:szCs w:val="36"/>
        </w:rPr>
        <w:tab/>
      </w:r>
      <w:r w:rsidRPr="00F41718">
        <w:rPr>
          <w:rFonts w:asciiTheme="minorHAnsi" w:hAnsiTheme="minorHAnsi"/>
          <w:sz w:val="36"/>
          <w:szCs w:val="36"/>
        </w:rPr>
        <w:t>INFLIXIMAB</w:t>
      </w:r>
      <w:r w:rsidR="006D6493" w:rsidRPr="00F41718">
        <w:rPr>
          <w:rFonts w:asciiTheme="minorHAnsi" w:hAnsiTheme="minorHAnsi"/>
          <w:sz w:val="36"/>
          <w:szCs w:val="36"/>
        </w:rPr>
        <w:t xml:space="preserve"> </w:t>
      </w:r>
      <w:r w:rsidR="006D6493" w:rsidRPr="00F41718">
        <w:rPr>
          <w:rFonts w:asciiTheme="minorHAnsi" w:hAnsiTheme="minorHAnsi"/>
          <w:sz w:val="36"/>
          <w:szCs w:val="36"/>
        </w:rPr>
        <w:br/>
      </w:r>
      <w:r w:rsidRPr="00F41718">
        <w:rPr>
          <w:rFonts w:asciiTheme="minorHAnsi" w:hAnsiTheme="minorHAnsi"/>
          <w:sz w:val="36"/>
          <w:szCs w:val="36"/>
        </w:rPr>
        <w:t>Powder for I.V. infusion 100 mg</w:t>
      </w:r>
      <w:r w:rsidR="006D6493" w:rsidRPr="00F41718">
        <w:rPr>
          <w:rFonts w:asciiTheme="minorHAnsi" w:hAnsiTheme="minorHAnsi"/>
          <w:sz w:val="36"/>
          <w:szCs w:val="36"/>
        </w:rPr>
        <w:t xml:space="preserve">, </w:t>
      </w:r>
      <w:r w:rsidR="006D6493" w:rsidRPr="00F41718">
        <w:rPr>
          <w:rFonts w:asciiTheme="minorHAnsi" w:hAnsiTheme="minorHAnsi"/>
          <w:sz w:val="36"/>
          <w:szCs w:val="36"/>
        </w:rPr>
        <w:br/>
      </w:r>
      <w:r w:rsidRPr="00F41718">
        <w:rPr>
          <w:rFonts w:asciiTheme="minorHAnsi" w:hAnsiTheme="minorHAnsi"/>
          <w:sz w:val="36"/>
          <w:szCs w:val="36"/>
        </w:rPr>
        <w:t>Inflectra</w:t>
      </w:r>
      <w:r w:rsidR="006D6493" w:rsidRPr="00F41718">
        <w:rPr>
          <w:rFonts w:asciiTheme="minorHAnsi" w:hAnsiTheme="minorHAnsi"/>
          <w:sz w:val="36"/>
          <w:szCs w:val="36"/>
          <w:vertAlign w:val="superscript"/>
        </w:rPr>
        <w:t>®</w:t>
      </w:r>
      <w:r w:rsidR="006D6493" w:rsidRPr="00F41718">
        <w:rPr>
          <w:rFonts w:asciiTheme="minorHAnsi" w:hAnsiTheme="minorHAnsi"/>
          <w:sz w:val="36"/>
          <w:szCs w:val="36"/>
        </w:rPr>
        <w:t xml:space="preserve">, </w:t>
      </w:r>
      <w:r w:rsidRPr="00F41718">
        <w:rPr>
          <w:rFonts w:asciiTheme="minorHAnsi" w:hAnsiTheme="minorHAnsi"/>
          <w:sz w:val="36"/>
          <w:szCs w:val="36"/>
        </w:rPr>
        <w:t>Pfizer Australia Pty Ltd</w:t>
      </w:r>
    </w:p>
    <w:p w14:paraId="20AAA207" w14:textId="39DDF133" w:rsidR="008A50F1" w:rsidRPr="00BF398F" w:rsidRDefault="00CE10C4" w:rsidP="00BF398F">
      <w:pPr>
        <w:pStyle w:val="PBACHeading1"/>
        <w:keepNext/>
        <w:numPr>
          <w:ilvl w:val="0"/>
          <w:numId w:val="5"/>
        </w:numPr>
        <w:spacing w:before="240" w:after="120"/>
        <w:rPr>
          <w:rFonts w:asciiTheme="minorHAnsi" w:hAnsiTheme="minorHAnsi" w:cstheme="minorHAnsi"/>
          <w:sz w:val="32"/>
          <w:szCs w:val="32"/>
        </w:rPr>
      </w:pPr>
      <w:r w:rsidRPr="00BF398F">
        <w:rPr>
          <w:rFonts w:asciiTheme="minorHAnsi" w:hAnsiTheme="minorHAnsi" w:cstheme="minorHAnsi"/>
          <w:sz w:val="32"/>
          <w:szCs w:val="32"/>
        </w:rPr>
        <w:t xml:space="preserve">Purpose of </w:t>
      </w:r>
      <w:r w:rsidR="0004240E" w:rsidRPr="00BF398F">
        <w:rPr>
          <w:rFonts w:asciiTheme="minorHAnsi" w:hAnsiTheme="minorHAnsi" w:cstheme="minorHAnsi"/>
          <w:sz w:val="32"/>
          <w:szCs w:val="32"/>
        </w:rPr>
        <w:t>Application</w:t>
      </w:r>
      <w:r w:rsidR="00A47B1E" w:rsidRPr="00BF398F">
        <w:rPr>
          <w:rFonts w:asciiTheme="minorHAnsi" w:hAnsiTheme="minorHAnsi" w:cstheme="minorHAnsi"/>
          <w:sz w:val="32"/>
          <w:szCs w:val="32"/>
        </w:rPr>
        <w:t xml:space="preserve">  </w:t>
      </w:r>
    </w:p>
    <w:p w14:paraId="0AD01F16" w14:textId="1DE7559E" w:rsidR="00B029E7" w:rsidRPr="00F41718" w:rsidRDefault="00EF44A0" w:rsidP="00D4535A">
      <w:pPr>
        <w:pStyle w:val="ListParagraph"/>
        <w:widowControl/>
        <w:numPr>
          <w:ilvl w:val="1"/>
          <w:numId w:val="5"/>
        </w:numPr>
        <w:spacing w:after="120"/>
        <w:contextualSpacing w:val="0"/>
        <w:rPr>
          <w:rFonts w:asciiTheme="minorHAnsi" w:eastAsiaTheme="minorHAnsi" w:hAnsiTheme="minorHAnsi" w:cstheme="minorBidi"/>
          <w:snapToGrid/>
          <w:sz w:val="24"/>
          <w:szCs w:val="22"/>
        </w:rPr>
      </w:pPr>
      <w:r w:rsidRPr="00F41718">
        <w:rPr>
          <w:rFonts w:asciiTheme="minorHAnsi" w:eastAsiaTheme="minorHAnsi" w:hAnsiTheme="minorHAnsi" w:cstheme="minorBidi"/>
          <w:snapToGrid/>
          <w:sz w:val="24"/>
          <w:szCs w:val="22"/>
        </w:rPr>
        <w:t>The mi</w:t>
      </w:r>
      <w:r w:rsidR="00FF2801" w:rsidRPr="00F41718">
        <w:rPr>
          <w:rFonts w:asciiTheme="minorHAnsi" w:eastAsiaTheme="minorHAnsi" w:hAnsiTheme="minorHAnsi" w:cstheme="minorBidi"/>
          <w:snapToGrid/>
          <w:sz w:val="24"/>
          <w:szCs w:val="22"/>
        </w:rPr>
        <w:t>nor submission requested</w:t>
      </w:r>
      <w:r w:rsidR="00A74965" w:rsidRPr="00F41718">
        <w:rPr>
          <w:rFonts w:asciiTheme="minorHAnsi" w:eastAsiaTheme="minorHAnsi" w:hAnsiTheme="minorHAnsi" w:cstheme="minorBidi"/>
          <w:snapToGrid/>
          <w:sz w:val="24"/>
          <w:szCs w:val="22"/>
        </w:rPr>
        <w:t xml:space="preserve"> to increase the max</w:t>
      </w:r>
      <w:r w:rsidR="00462C27" w:rsidRPr="00F41718">
        <w:rPr>
          <w:rFonts w:asciiTheme="minorHAnsi" w:eastAsiaTheme="minorHAnsi" w:hAnsiTheme="minorHAnsi" w:cstheme="minorBidi"/>
          <w:snapToGrid/>
          <w:sz w:val="24"/>
          <w:szCs w:val="22"/>
        </w:rPr>
        <w:t>imum quantity of</w:t>
      </w:r>
      <w:r w:rsidR="00C87BC0" w:rsidRPr="00F41718">
        <w:rPr>
          <w:rFonts w:asciiTheme="minorHAnsi" w:eastAsiaTheme="minorHAnsi" w:hAnsiTheme="minorHAnsi" w:cstheme="minorBidi"/>
          <w:snapToGrid/>
          <w:sz w:val="24"/>
          <w:szCs w:val="22"/>
        </w:rPr>
        <w:t xml:space="preserve"> </w:t>
      </w:r>
      <w:r w:rsidR="00462C27" w:rsidRPr="00F41718">
        <w:rPr>
          <w:rFonts w:asciiTheme="minorHAnsi" w:eastAsiaTheme="minorHAnsi" w:hAnsiTheme="minorHAnsi" w:cstheme="minorBidi"/>
          <w:snapToGrid/>
          <w:sz w:val="24"/>
          <w:szCs w:val="22"/>
        </w:rPr>
        <w:t>infliximab 100 </w:t>
      </w:r>
      <w:r w:rsidR="00A74965" w:rsidRPr="00F41718">
        <w:rPr>
          <w:rFonts w:asciiTheme="minorHAnsi" w:eastAsiaTheme="minorHAnsi" w:hAnsiTheme="minorHAnsi" w:cstheme="minorBidi"/>
          <w:snapToGrid/>
          <w:sz w:val="24"/>
          <w:szCs w:val="22"/>
        </w:rPr>
        <w:t>mg vials under the S</w:t>
      </w:r>
      <w:r w:rsidR="00695CD2">
        <w:rPr>
          <w:rFonts w:asciiTheme="minorHAnsi" w:eastAsiaTheme="minorHAnsi" w:hAnsiTheme="minorHAnsi" w:cstheme="minorBidi"/>
          <w:snapToGrid/>
          <w:sz w:val="24"/>
          <w:szCs w:val="22"/>
        </w:rPr>
        <w:t xml:space="preserve">ection </w:t>
      </w:r>
      <w:r w:rsidR="00A74965" w:rsidRPr="00F41718">
        <w:rPr>
          <w:rFonts w:asciiTheme="minorHAnsi" w:eastAsiaTheme="minorHAnsi" w:hAnsiTheme="minorHAnsi" w:cstheme="minorBidi"/>
          <w:snapToGrid/>
          <w:sz w:val="24"/>
          <w:szCs w:val="22"/>
        </w:rPr>
        <w:t xml:space="preserve">100 </w:t>
      </w:r>
      <w:r w:rsidR="00695CD2">
        <w:rPr>
          <w:rFonts w:asciiTheme="minorHAnsi" w:eastAsiaTheme="minorHAnsi" w:hAnsiTheme="minorHAnsi" w:cstheme="minorBidi"/>
          <w:snapToGrid/>
          <w:sz w:val="24"/>
          <w:szCs w:val="22"/>
        </w:rPr>
        <w:t>(</w:t>
      </w:r>
      <w:r w:rsidR="00A74965" w:rsidRPr="00F41718">
        <w:rPr>
          <w:rFonts w:asciiTheme="minorHAnsi" w:eastAsiaTheme="minorHAnsi" w:hAnsiTheme="minorHAnsi" w:cstheme="minorBidi"/>
          <w:snapToGrid/>
          <w:sz w:val="24"/>
          <w:szCs w:val="22"/>
        </w:rPr>
        <w:t>H</w:t>
      </w:r>
      <w:r w:rsidR="00C87BC0" w:rsidRPr="00F41718">
        <w:rPr>
          <w:rFonts w:asciiTheme="minorHAnsi" w:eastAsiaTheme="minorHAnsi" w:hAnsiTheme="minorHAnsi" w:cstheme="minorBidi"/>
          <w:snapToGrid/>
          <w:sz w:val="24"/>
          <w:szCs w:val="22"/>
        </w:rPr>
        <w:t>ighly Specialised Drugs</w:t>
      </w:r>
      <w:r w:rsidR="00695CD2">
        <w:rPr>
          <w:rFonts w:asciiTheme="minorHAnsi" w:eastAsiaTheme="minorHAnsi" w:hAnsiTheme="minorHAnsi" w:cstheme="minorBidi"/>
          <w:snapToGrid/>
          <w:sz w:val="24"/>
          <w:szCs w:val="22"/>
        </w:rPr>
        <w:t>)</w:t>
      </w:r>
      <w:r w:rsidR="00C87BC0" w:rsidRPr="00F41718">
        <w:rPr>
          <w:rFonts w:asciiTheme="minorHAnsi" w:eastAsiaTheme="minorHAnsi" w:hAnsiTheme="minorHAnsi" w:cstheme="minorBidi"/>
          <w:snapToGrid/>
          <w:sz w:val="24"/>
          <w:szCs w:val="22"/>
        </w:rPr>
        <w:t xml:space="preserve"> (</w:t>
      </w:r>
      <w:r w:rsidR="00695CD2">
        <w:rPr>
          <w:rFonts w:asciiTheme="minorHAnsi" w:eastAsiaTheme="minorHAnsi" w:hAnsiTheme="minorHAnsi" w:cstheme="minorBidi"/>
          <w:snapToGrid/>
          <w:sz w:val="24"/>
          <w:szCs w:val="22"/>
        </w:rPr>
        <w:t xml:space="preserve">S100 </w:t>
      </w:r>
      <w:r w:rsidR="00C87BC0" w:rsidRPr="00F41718">
        <w:rPr>
          <w:rFonts w:asciiTheme="minorHAnsi" w:eastAsiaTheme="minorHAnsi" w:hAnsiTheme="minorHAnsi" w:cstheme="minorBidi"/>
          <w:snapToGrid/>
          <w:sz w:val="24"/>
          <w:szCs w:val="22"/>
        </w:rPr>
        <w:t>HSD)</w:t>
      </w:r>
      <w:r w:rsidR="00A74965" w:rsidRPr="00F41718">
        <w:rPr>
          <w:rFonts w:asciiTheme="minorHAnsi" w:eastAsiaTheme="minorHAnsi" w:hAnsiTheme="minorHAnsi" w:cstheme="minorBidi"/>
          <w:snapToGrid/>
          <w:sz w:val="24"/>
          <w:szCs w:val="22"/>
        </w:rPr>
        <w:t xml:space="preserve"> (Public hospital) Authority Required (STREAMLINED) listing</w:t>
      </w:r>
      <w:r w:rsidR="001D1256" w:rsidRPr="00F41718">
        <w:rPr>
          <w:rFonts w:asciiTheme="minorHAnsi" w:eastAsiaTheme="minorHAnsi" w:hAnsiTheme="minorHAnsi" w:cstheme="minorBidi"/>
          <w:snapToGrid/>
          <w:sz w:val="24"/>
          <w:szCs w:val="22"/>
        </w:rPr>
        <w:t xml:space="preserve"> from four to five,</w:t>
      </w:r>
      <w:r w:rsidR="00A74965" w:rsidRPr="00F41718">
        <w:rPr>
          <w:rFonts w:asciiTheme="minorHAnsi" w:eastAsiaTheme="minorHAnsi" w:hAnsiTheme="minorHAnsi" w:cstheme="minorBidi"/>
          <w:snapToGrid/>
          <w:sz w:val="24"/>
          <w:szCs w:val="22"/>
        </w:rPr>
        <w:t xml:space="preserve"> f</w:t>
      </w:r>
      <w:r w:rsidR="00B029E7" w:rsidRPr="00F41718">
        <w:rPr>
          <w:rFonts w:asciiTheme="minorHAnsi" w:eastAsiaTheme="minorHAnsi" w:hAnsiTheme="minorHAnsi" w:cstheme="minorBidi"/>
          <w:snapToGrid/>
          <w:sz w:val="24"/>
          <w:szCs w:val="22"/>
        </w:rPr>
        <w:t>or subsequent continuing</w:t>
      </w:r>
      <w:r w:rsidR="001D1256" w:rsidRPr="00F41718">
        <w:rPr>
          <w:rFonts w:asciiTheme="minorHAnsi" w:eastAsiaTheme="minorHAnsi" w:hAnsiTheme="minorHAnsi" w:cstheme="minorBidi"/>
          <w:snapToGrid/>
          <w:sz w:val="24"/>
          <w:szCs w:val="22"/>
        </w:rPr>
        <w:t>/continuing treatment for</w:t>
      </w:r>
      <w:r w:rsidR="00B029E7" w:rsidRPr="00F41718">
        <w:rPr>
          <w:rFonts w:asciiTheme="minorHAnsi" w:eastAsiaTheme="minorHAnsi" w:hAnsiTheme="minorHAnsi" w:cstheme="minorBidi"/>
          <w:snapToGrid/>
          <w:sz w:val="24"/>
          <w:szCs w:val="22"/>
        </w:rPr>
        <w:t xml:space="preserve"> the following indications:</w:t>
      </w:r>
    </w:p>
    <w:p w14:paraId="50396C5D" w14:textId="0C443AD6" w:rsidR="00B029E7" w:rsidRPr="00F41718" w:rsidRDefault="00B029E7" w:rsidP="00915376">
      <w:pPr>
        <w:pStyle w:val="ListParagraph"/>
        <w:widowControl/>
        <w:numPr>
          <w:ilvl w:val="0"/>
          <w:numId w:val="23"/>
        </w:numPr>
        <w:spacing w:after="120"/>
        <w:ind w:left="1134" w:hanging="425"/>
        <w:rPr>
          <w:rFonts w:asciiTheme="minorHAnsi" w:eastAsiaTheme="minorHAnsi" w:hAnsiTheme="minorHAnsi" w:cstheme="minorBidi"/>
          <w:snapToGrid/>
          <w:sz w:val="24"/>
          <w:szCs w:val="24"/>
        </w:rPr>
      </w:pPr>
      <w:r w:rsidRPr="00F41718">
        <w:rPr>
          <w:rFonts w:asciiTheme="minorHAnsi" w:eastAsiaTheme="minorHAnsi" w:hAnsiTheme="minorHAnsi" w:cstheme="minorBidi"/>
          <w:sz w:val="24"/>
          <w:szCs w:val="24"/>
        </w:rPr>
        <w:t>s</w:t>
      </w:r>
      <w:r w:rsidR="001D1256" w:rsidRPr="00F41718">
        <w:rPr>
          <w:rFonts w:asciiTheme="minorHAnsi" w:eastAsiaTheme="minorHAnsi" w:hAnsiTheme="minorHAnsi" w:cstheme="minorBidi"/>
          <w:snapToGrid/>
          <w:sz w:val="24"/>
          <w:szCs w:val="24"/>
        </w:rPr>
        <w:t>ever</w:t>
      </w:r>
      <w:r w:rsidR="008F64A7" w:rsidRPr="00F41718">
        <w:rPr>
          <w:rFonts w:asciiTheme="minorHAnsi" w:eastAsiaTheme="minorHAnsi" w:hAnsiTheme="minorHAnsi" w:cstheme="minorBidi"/>
          <w:snapToGrid/>
          <w:sz w:val="24"/>
          <w:szCs w:val="24"/>
        </w:rPr>
        <w:t>e</w:t>
      </w:r>
      <w:r w:rsidR="001D1256" w:rsidRPr="00F41718">
        <w:rPr>
          <w:rFonts w:asciiTheme="minorHAnsi" w:eastAsiaTheme="minorHAnsi" w:hAnsiTheme="minorHAnsi" w:cstheme="minorBidi"/>
          <w:snapToGrid/>
          <w:sz w:val="24"/>
          <w:szCs w:val="24"/>
        </w:rPr>
        <w:t xml:space="preserve"> </w:t>
      </w:r>
      <w:r w:rsidR="008F64A7" w:rsidRPr="00F41718">
        <w:rPr>
          <w:rFonts w:asciiTheme="minorHAnsi" w:eastAsiaTheme="minorHAnsi" w:hAnsiTheme="minorHAnsi" w:cstheme="minorBidi"/>
          <w:snapToGrid/>
          <w:sz w:val="24"/>
          <w:szCs w:val="24"/>
        </w:rPr>
        <w:t>C</w:t>
      </w:r>
      <w:r w:rsidRPr="00F41718">
        <w:rPr>
          <w:rFonts w:asciiTheme="minorHAnsi" w:eastAsiaTheme="minorHAnsi" w:hAnsiTheme="minorHAnsi" w:cstheme="minorBidi"/>
          <w:snapToGrid/>
          <w:sz w:val="24"/>
          <w:szCs w:val="24"/>
        </w:rPr>
        <w:t>rohn disease</w:t>
      </w:r>
    </w:p>
    <w:p w14:paraId="7AE72962" w14:textId="71B7D81F" w:rsidR="00B029E7" w:rsidRPr="00F41718" w:rsidRDefault="00B029E7" w:rsidP="00915376">
      <w:pPr>
        <w:pStyle w:val="ListParagraph"/>
        <w:widowControl/>
        <w:numPr>
          <w:ilvl w:val="0"/>
          <w:numId w:val="23"/>
        </w:numPr>
        <w:spacing w:after="120"/>
        <w:ind w:left="1134" w:hanging="425"/>
        <w:rPr>
          <w:rFonts w:asciiTheme="minorHAnsi" w:eastAsiaTheme="minorHAnsi" w:hAnsiTheme="minorHAnsi" w:cstheme="minorBidi"/>
          <w:snapToGrid/>
          <w:sz w:val="24"/>
          <w:szCs w:val="24"/>
        </w:rPr>
      </w:pPr>
      <w:r w:rsidRPr="00F41718">
        <w:rPr>
          <w:rFonts w:asciiTheme="minorHAnsi" w:eastAsiaTheme="minorHAnsi" w:hAnsiTheme="minorHAnsi" w:cstheme="minorBidi"/>
          <w:snapToGrid/>
          <w:sz w:val="24"/>
          <w:szCs w:val="24"/>
        </w:rPr>
        <w:t>c</w:t>
      </w:r>
      <w:r w:rsidR="001D1256" w:rsidRPr="00F41718">
        <w:rPr>
          <w:rFonts w:asciiTheme="minorHAnsi" w:eastAsiaTheme="minorHAnsi" w:hAnsiTheme="minorHAnsi" w:cstheme="minorBidi"/>
          <w:snapToGrid/>
          <w:sz w:val="24"/>
          <w:szCs w:val="24"/>
        </w:rPr>
        <w:t xml:space="preserve">omplex refractory fistulising </w:t>
      </w:r>
      <w:r w:rsidR="008F64A7" w:rsidRPr="00F41718">
        <w:rPr>
          <w:rFonts w:asciiTheme="minorHAnsi" w:eastAsiaTheme="minorHAnsi" w:hAnsiTheme="minorHAnsi" w:cstheme="minorBidi"/>
          <w:snapToGrid/>
          <w:sz w:val="24"/>
          <w:szCs w:val="24"/>
        </w:rPr>
        <w:t>C</w:t>
      </w:r>
      <w:r w:rsidRPr="00F41718">
        <w:rPr>
          <w:rFonts w:asciiTheme="minorHAnsi" w:eastAsiaTheme="minorHAnsi" w:hAnsiTheme="minorHAnsi" w:cstheme="minorBidi"/>
          <w:snapToGrid/>
          <w:sz w:val="24"/>
          <w:szCs w:val="24"/>
        </w:rPr>
        <w:t>rohn disease</w:t>
      </w:r>
    </w:p>
    <w:p w14:paraId="01B40EE7" w14:textId="014A2C23" w:rsidR="00B029E7" w:rsidRPr="00F41718" w:rsidRDefault="00B029E7" w:rsidP="00915376">
      <w:pPr>
        <w:pStyle w:val="ListParagraph"/>
        <w:widowControl/>
        <w:numPr>
          <w:ilvl w:val="0"/>
          <w:numId w:val="23"/>
        </w:numPr>
        <w:spacing w:after="120"/>
        <w:ind w:left="1134" w:hanging="425"/>
        <w:rPr>
          <w:rFonts w:asciiTheme="minorHAnsi" w:eastAsiaTheme="minorHAnsi" w:hAnsiTheme="minorHAnsi" w:cstheme="minorBidi"/>
          <w:snapToGrid/>
          <w:sz w:val="24"/>
          <w:szCs w:val="24"/>
        </w:rPr>
      </w:pPr>
      <w:r w:rsidRPr="00F41718">
        <w:rPr>
          <w:rFonts w:asciiTheme="minorHAnsi" w:eastAsiaTheme="minorHAnsi" w:hAnsiTheme="minorHAnsi" w:cstheme="minorBidi"/>
          <w:snapToGrid/>
          <w:sz w:val="24"/>
          <w:szCs w:val="24"/>
        </w:rPr>
        <w:t>m</w:t>
      </w:r>
      <w:r w:rsidR="001D1256" w:rsidRPr="00F41718">
        <w:rPr>
          <w:rFonts w:asciiTheme="minorHAnsi" w:eastAsiaTheme="minorHAnsi" w:hAnsiTheme="minorHAnsi" w:cstheme="minorBidi"/>
          <w:snapToGrid/>
          <w:sz w:val="24"/>
          <w:szCs w:val="24"/>
        </w:rPr>
        <w:t xml:space="preserve">oderate to severe </w:t>
      </w:r>
      <w:r w:rsidR="008F64A7" w:rsidRPr="00F41718">
        <w:rPr>
          <w:rFonts w:asciiTheme="minorHAnsi" w:eastAsiaTheme="minorHAnsi" w:hAnsiTheme="minorHAnsi" w:cstheme="minorBidi"/>
          <w:snapToGrid/>
          <w:sz w:val="24"/>
          <w:szCs w:val="24"/>
        </w:rPr>
        <w:t>C</w:t>
      </w:r>
      <w:r w:rsidRPr="00F41718">
        <w:rPr>
          <w:rFonts w:asciiTheme="minorHAnsi" w:eastAsiaTheme="minorHAnsi" w:hAnsiTheme="minorHAnsi" w:cstheme="minorBidi"/>
          <w:snapToGrid/>
          <w:sz w:val="24"/>
          <w:szCs w:val="24"/>
        </w:rPr>
        <w:t>rohn disease</w:t>
      </w:r>
    </w:p>
    <w:p w14:paraId="59A2C8FA" w14:textId="58955616" w:rsidR="00B029E7" w:rsidRPr="00F41718" w:rsidRDefault="001D1256" w:rsidP="00915376">
      <w:pPr>
        <w:pStyle w:val="ListParagraph"/>
        <w:widowControl/>
        <w:numPr>
          <w:ilvl w:val="0"/>
          <w:numId w:val="23"/>
        </w:numPr>
        <w:spacing w:after="120"/>
        <w:ind w:left="1134" w:hanging="425"/>
        <w:rPr>
          <w:rFonts w:asciiTheme="minorHAnsi" w:eastAsiaTheme="minorHAnsi" w:hAnsiTheme="minorHAnsi" w:cstheme="minorBidi"/>
          <w:snapToGrid/>
          <w:sz w:val="24"/>
          <w:szCs w:val="24"/>
        </w:rPr>
      </w:pPr>
      <w:r w:rsidRPr="00F41718">
        <w:rPr>
          <w:rFonts w:asciiTheme="minorHAnsi" w:eastAsiaTheme="minorHAnsi" w:hAnsiTheme="minorHAnsi" w:cstheme="minorBidi"/>
          <w:snapToGrid/>
          <w:sz w:val="24"/>
          <w:szCs w:val="24"/>
        </w:rPr>
        <w:t>moderat</w:t>
      </w:r>
      <w:r w:rsidR="00B029E7" w:rsidRPr="00F41718">
        <w:rPr>
          <w:rFonts w:asciiTheme="minorHAnsi" w:eastAsiaTheme="minorHAnsi" w:hAnsiTheme="minorHAnsi" w:cstheme="minorBidi"/>
          <w:snapToGrid/>
          <w:sz w:val="24"/>
          <w:szCs w:val="24"/>
        </w:rPr>
        <w:t>e to severe ulcerative colitis</w:t>
      </w:r>
    </w:p>
    <w:p w14:paraId="158F1F53" w14:textId="376FE91C" w:rsidR="00B029E7" w:rsidRPr="00F41718" w:rsidRDefault="00B029E7" w:rsidP="00915376">
      <w:pPr>
        <w:pStyle w:val="ListParagraph"/>
        <w:widowControl/>
        <w:numPr>
          <w:ilvl w:val="0"/>
          <w:numId w:val="23"/>
        </w:numPr>
        <w:spacing w:after="120"/>
        <w:ind w:left="1134" w:hanging="425"/>
        <w:rPr>
          <w:rFonts w:asciiTheme="minorHAnsi" w:eastAsiaTheme="minorHAnsi" w:hAnsiTheme="minorHAnsi" w:cstheme="minorBidi"/>
          <w:snapToGrid/>
          <w:sz w:val="24"/>
          <w:szCs w:val="24"/>
        </w:rPr>
      </w:pPr>
      <w:r w:rsidRPr="00F41718">
        <w:rPr>
          <w:rFonts w:asciiTheme="minorHAnsi" w:eastAsiaTheme="minorHAnsi" w:hAnsiTheme="minorHAnsi" w:cstheme="minorBidi"/>
          <w:snapToGrid/>
          <w:sz w:val="24"/>
          <w:szCs w:val="24"/>
        </w:rPr>
        <w:t>ankylosing spondylitis</w:t>
      </w:r>
    </w:p>
    <w:p w14:paraId="41D9A579" w14:textId="4488C1DC" w:rsidR="00B029E7" w:rsidRPr="00F41718" w:rsidRDefault="00B029E7" w:rsidP="00915376">
      <w:pPr>
        <w:pStyle w:val="ListParagraph"/>
        <w:widowControl/>
        <w:numPr>
          <w:ilvl w:val="0"/>
          <w:numId w:val="23"/>
        </w:numPr>
        <w:spacing w:after="120"/>
        <w:ind w:left="1134" w:hanging="425"/>
        <w:rPr>
          <w:rFonts w:asciiTheme="minorHAnsi" w:eastAsiaTheme="minorHAnsi" w:hAnsiTheme="minorHAnsi" w:cstheme="minorBidi"/>
          <w:snapToGrid/>
          <w:sz w:val="24"/>
          <w:szCs w:val="24"/>
        </w:rPr>
      </w:pPr>
      <w:r w:rsidRPr="00F41718">
        <w:rPr>
          <w:rFonts w:asciiTheme="minorHAnsi" w:eastAsiaTheme="minorHAnsi" w:hAnsiTheme="minorHAnsi" w:cstheme="minorBidi"/>
          <w:snapToGrid/>
          <w:sz w:val="24"/>
          <w:szCs w:val="24"/>
        </w:rPr>
        <w:t>severe psoriatic arthritis</w:t>
      </w:r>
    </w:p>
    <w:p w14:paraId="4D16A1E3" w14:textId="47057219" w:rsidR="006A12A5" w:rsidRPr="00F41718" w:rsidRDefault="00B029E7" w:rsidP="00915376">
      <w:pPr>
        <w:pStyle w:val="ListParagraph"/>
        <w:widowControl/>
        <w:numPr>
          <w:ilvl w:val="0"/>
          <w:numId w:val="23"/>
        </w:numPr>
        <w:spacing w:after="120"/>
        <w:ind w:left="1134" w:hanging="425"/>
        <w:rPr>
          <w:rFonts w:asciiTheme="minorHAnsi" w:eastAsiaTheme="minorHAnsi" w:hAnsiTheme="minorHAnsi" w:cstheme="minorBidi"/>
          <w:snapToGrid/>
          <w:sz w:val="24"/>
          <w:szCs w:val="24"/>
        </w:rPr>
      </w:pPr>
      <w:r w:rsidRPr="00F41718">
        <w:rPr>
          <w:rFonts w:asciiTheme="minorHAnsi" w:eastAsiaTheme="minorHAnsi" w:hAnsiTheme="minorHAnsi" w:cstheme="minorBidi"/>
          <w:snapToGrid/>
          <w:sz w:val="24"/>
          <w:szCs w:val="24"/>
        </w:rPr>
        <w:t>severe chronic plaque psoriasis</w:t>
      </w:r>
    </w:p>
    <w:p w14:paraId="57487C97" w14:textId="77777777" w:rsidR="006A12A5" w:rsidRPr="00BF398F" w:rsidRDefault="006A12A5" w:rsidP="00BF398F">
      <w:pPr>
        <w:pStyle w:val="PBACHeading1"/>
        <w:keepNext/>
        <w:numPr>
          <w:ilvl w:val="0"/>
          <w:numId w:val="5"/>
        </w:numPr>
        <w:spacing w:before="240" w:after="120"/>
        <w:rPr>
          <w:rFonts w:asciiTheme="minorHAnsi" w:hAnsiTheme="minorHAnsi" w:cstheme="minorHAnsi"/>
          <w:sz w:val="32"/>
          <w:szCs w:val="32"/>
        </w:rPr>
      </w:pPr>
      <w:r w:rsidRPr="00BF398F">
        <w:rPr>
          <w:rFonts w:asciiTheme="minorHAnsi" w:hAnsiTheme="minorHAnsi" w:cstheme="minorHAnsi"/>
          <w:sz w:val="32"/>
          <w:szCs w:val="32"/>
        </w:rPr>
        <w:t>Requested listing</w:t>
      </w:r>
    </w:p>
    <w:p w14:paraId="12E0935C" w14:textId="05E7D422" w:rsidR="00EC369E" w:rsidRPr="00F41718" w:rsidRDefault="00EF44A0">
      <w:pPr>
        <w:pStyle w:val="ListParagraph"/>
        <w:widowControl/>
        <w:numPr>
          <w:ilvl w:val="1"/>
          <w:numId w:val="14"/>
        </w:numPr>
        <w:spacing w:after="120"/>
        <w:contextualSpacing w:val="0"/>
        <w:rPr>
          <w:rFonts w:asciiTheme="minorHAnsi" w:eastAsiaTheme="minorHAnsi" w:hAnsiTheme="minorHAnsi" w:cstheme="minorBidi"/>
          <w:snapToGrid/>
          <w:sz w:val="24"/>
          <w:szCs w:val="22"/>
        </w:rPr>
      </w:pPr>
      <w:r w:rsidRPr="00F41718">
        <w:rPr>
          <w:rFonts w:asciiTheme="minorHAnsi" w:eastAsiaTheme="minorHAnsi" w:hAnsiTheme="minorHAnsi" w:cstheme="minorBidi"/>
          <w:snapToGrid/>
          <w:sz w:val="24"/>
          <w:szCs w:val="22"/>
        </w:rPr>
        <w:t xml:space="preserve">The submission </w:t>
      </w:r>
      <w:r w:rsidR="00FF2801" w:rsidRPr="00F41718">
        <w:rPr>
          <w:rFonts w:asciiTheme="minorHAnsi" w:eastAsiaTheme="minorHAnsi" w:hAnsiTheme="minorHAnsi" w:cstheme="minorBidi"/>
          <w:snapToGrid/>
          <w:sz w:val="24"/>
          <w:szCs w:val="22"/>
        </w:rPr>
        <w:t>requested</w:t>
      </w:r>
      <w:r w:rsidRPr="00F41718">
        <w:rPr>
          <w:rFonts w:asciiTheme="minorHAnsi" w:eastAsiaTheme="minorHAnsi" w:hAnsiTheme="minorHAnsi" w:cstheme="minorBidi"/>
          <w:snapToGrid/>
          <w:sz w:val="24"/>
          <w:szCs w:val="22"/>
        </w:rPr>
        <w:t xml:space="preserve"> the following changes</w:t>
      </w:r>
      <w:r w:rsidR="00F2215F" w:rsidRPr="00F41718">
        <w:rPr>
          <w:rFonts w:asciiTheme="minorHAnsi" w:eastAsiaTheme="minorHAnsi" w:hAnsiTheme="minorHAnsi" w:cstheme="minorBidi"/>
          <w:snapToGrid/>
          <w:sz w:val="24"/>
          <w:szCs w:val="22"/>
        </w:rPr>
        <w:t xml:space="preserve"> in maximum quantity</w:t>
      </w:r>
      <w:r w:rsidRPr="00F41718">
        <w:rPr>
          <w:rFonts w:asciiTheme="minorHAnsi" w:eastAsiaTheme="minorHAnsi" w:hAnsiTheme="minorHAnsi" w:cstheme="minorBidi"/>
          <w:snapToGrid/>
          <w:sz w:val="24"/>
          <w:szCs w:val="22"/>
        </w:rPr>
        <w:t xml:space="preserve"> to the existing listing</w:t>
      </w:r>
      <w:r w:rsidR="00F2215F" w:rsidRPr="00F41718">
        <w:rPr>
          <w:rFonts w:asciiTheme="minorHAnsi" w:eastAsiaTheme="minorHAnsi" w:hAnsiTheme="minorHAnsi" w:cstheme="minorBidi"/>
          <w:snapToGrid/>
          <w:sz w:val="24"/>
          <w:szCs w:val="22"/>
        </w:rPr>
        <w:t>s</w:t>
      </w:r>
      <w:r w:rsidRPr="00F41718">
        <w:rPr>
          <w:rFonts w:asciiTheme="minorHAnsi" w:eastAsiaTheme="minorHAnsi" w:hAnsiTheme="minorHAnsi" w:cstheme="minorBidi"/>
          <w:snapToGrid/>
          <w:sz w:val="24"/>
          <w:szCs w:val="22"/>
        </w:rPr>
        <w:t xml:space="preserve"> </w:t>
      </w:r>
      <w:r w:rsidR="00F2215F" w:rsidRPr="00F41718">
        <w:rPr>
          <w:rFonts w:asciiTheme="minorHAnsi" w:eastAsiaTheme="minorHAnsi" w:hAnsiTheme="minorHAnsi" w:cstheme="minorBidi"/>
          <w:snapToGrid/>
          <w:sz w:val="24"/>
          <w:szCs w:val="22"/>
        </w:rPr>
        <w:t>of infliximab</w:t>
      </w:r>
      <w:r w:rsidR="00B0787F" w:rsidRPr="00F41718">
        <w:rPr>
          <w:rFonts w:asciiTheme="minorHAnsi" w:eastAsiaTheme="minorHAnsi" w:hAnsiTheme="minorHAnsi" w:cstheme="minorBidi"/>
          <w:snapToGrid/>
          <w:sz w:val="24"/>
          <w:szCs w:val="22"/>
        </w:rPr>
        <w:t>.</w:t>
      </w:r>
    </w:p>
    <w:p w14:paraId="2A792E09" w14:textId="7BEE5802" w:rsidR="00826F6D" w:rsidRPr="001865CD" w:rsidRDefault="00EC369E">
      <w:pPr>
        <w:rPr>
          <w:rFonts w:asciiTheme="minorHAnsi" w:eastAsiaTheme="minorHAnsi" w:hAnsiTheme="minorHAnsi" w:cstheme="minorBidi"/>
          <w:szCs w:val="22"/>
        </w:rPr>
      </w:pPr>
      <w:r w:rsidRPr="00F41718">
        <w:rPr>
          <w:rFonts w:asciiTheme="minorHAnsi" w:eastAsiaTheme="minorHAnsi" w:hAnsiTheme="minorHAnsi" w:cstheme="minorBidi"/>
          <w:szCs w:val="22"/>
        </w:rPr>
        <w:br w:type="page"/>
      </w:r>
    </w:p>
    <w:p w14:paraId="2CE8A8DA" w14:textId="414BCC73" w:rsidR="00D758BF" w:rsidRPr="00F41718" w:rsidRDefault="007E1C71">
      <w:pPr>
        <w:rPr>
          <w:rFonts w:ascii="Arial Narrow" w:eastAsiaTheme="minorHAnsi" w:hAnsi="Arial Narrow"/>
          <w:b/>
          <w:sz w:val="20"/>
          <w:szCs w:val="20"/>
        </w:rPr>
      </w:pPr>
      <w:r w:rsidRPr="00F41718">
        <w:rPr>
          <w:rFonts w:ascii="Arial Narrow" w:eastAsiaTheme="minorHAnsi" w:hAnsi="Arial Narrow"/>
          <w:b/>
          <w:sz w:val="20"/>
          <w:szCs w:val="20"/>
        </w:rPr>
        <w:lastRenderedPageBreak/>
        <w:t>Table 1</w:t>
      </w:r>
      <w:r w:rsidR="00D54561">
        <w:rPr>
          <w:rFonts w:ascii="Arial Narrow" w:eastAsiaTheme="minorHAnsi" w:hAnsi="Arial Narrow"/>
          <w:b/>
          <w:sz w:val="20"/>
          <w:szCs w:val="20"/>
        </w:rPr>
        <w:t>:</w:t>
      </w:r>
      <w:r w:rsidRPr="00F41718">
        <w:rPr>
          <w:rFonts w:ascii="Arial Narrow" w:eastAsiaTheme="minorHAnsi" w:hAnsi="Arial Narrow"/>
          <w:b/>
          <w:sz w:val="20"/>
          <w:szCs w:val="20"/>
        </w:rPr>
        <w:t xml:space="preserve"> </w:t>
      </w:r>
      <w:r w:rsidR="00FA1E2F" w:rsidRPr="00F41718">
        <w:rPr>
          <w:rFonts w:ascii="Arial Narrow" w:eastAsiaTheme="minorHAnsi" w:hAnsi="Arial Narrow"/>
          <w:b/>
          <w:sz w:val="20"/>
          <w:szCs w:val="20"/>
        </w:rPr>
        <w:t>Proposed</w:t>
      </w:r>
      <w:r w:rsidRPr="00F41718">
        <w:rPr>
          <w:rFonts w:ascii="Arial Narrow" w:eastAsiaTheme="minorHAnsi" w:hAnsi="Arial Narrow"/>
          <w:b/>
          <w:sz w:val="20"/>
          <w:szCs w:val="20"/>
        </w:rPr>
        <w:t xml:space="preserve"> </w:t>
      </w:r>
      <w:r w:rsidR="00D54561">
        <w:rPr>
          <w:rFonts w:ascii="Arial Narrow" w:eastAsiaTheme="minorHAnsi" w:hAnsi="Arial Narrow"/>
          <w:b/>
          <w:sz w:val="20"/>
          <w:szCs w:val="20"/>
        </w:rPr>
        <w:t xml:space="preserve">changes to </w:t>
      </w:r>
      <w:r w:rsidRPr="00F41718">
        <w:rPr>
          <w:rFonts w:ascii="Arial Narrow" w:eastAsiaTheme="minorHAnsi" w:hAnsi="Arial Narrow"/>
          <w:b/>
          <w:sz w:val="20"/>
          <w:szCs w:val="20"/>
        </w:rPr>
        <w:t>maximum quanti</w:t>
      </w:r>
      <w:r w:rsidR="00D54561">
        <w:rPr>
          <w:rFonts w:ascii="Arial Narrow" w:eastAsiaTheme="minorHAnsi" w:hAnsi="Arial Narrow"/>
          <w:b/>
          <w:sz w:val="20"/>
          <w:szCs w:val="20"/>
        </w:rPr>
        <w:t>ties</w:t>
      </w:r>
      <w:r w:rsidRPr="00F41718">
        <w:rPr>
          <w:rFonts w:ascii="Arial Narrow" w:eastAsiaTheme="minorHAnsi" w:hAnsi="Arial Narrow"/>
          <w:b/>
          <w:sz w:val="20"/>
          <w:szCs w:val="20"/>
        </w:rPr>
        <w:t xml:space="preserve"> for </w:t>
      </w:r>
      <w:r w:rsidR="00D54561">
        <w:rPr>
          <w:rFonts w:ascii="Arial Narrow" w:eastAsiaTheme="minorHAnsi" w:hAnsi="Arial Narrow"/>
          <w:b/>
          <w:sz w:val="20"/>
          <w:szCs w:val="20"/>
        </w:rPr>
        <w:t>current</w:t>
      </w:r>
      <w:r w:rsidR="00D54561" w:rsidRPr="00F41718">
        <w:rPr>
          <w:rFonts w:ascii="Arial Narrow" w:eastAsiaTheme="minorHAnsi" w:hAnsi="Arial Narrow"/>
          <w:b/>
          <w:sz w:val="20"/>
          <w:szCs w:val="20"/>
        </w:rPr>
        <w:t xml:space="preserve"> </w:t>
      </w:r>
      <w:r w:rsidRPr="00F41718">
        <w:rPr>
          <w:rFonts w:ascii="Arial Narrow" w:eastAsiaTheme="minorHAnsi" w:hAnsi="Arial Narrow"/>
          <w:b/>
          <w:sz w:val="20"/>
          <w:szCs w:val="20"/>
        </w:rPr>
        <w:t>listing</w:t>
      </w:r>
      <w:r w:rsidR="00D54561">
        <w:rPr>
          <w:rFonts w:ascii="Arial Narrow" w:eastAsiaTheme="minorHAnsi" w:hAnsi="Arial Narrow"/>
          <w:b/>
          <w:sz w:val="20"/>
          <w:szCs w:val="20"/>
        </w:rPr>
        <w:t>s</w:t>
      </w:r>
      <w:r w:rsidRPr="00F41718">
        <w:rPr>
          <w:rFonts w:ascii="Arial Narrow" w:eastAsiaTheme="minorHAnsi" w:hAnsi="Arial Narrow"/>
          <w:b/>
          <w:sz w:val="20"/>
          <w:szCs w:val="20"/>
        </w:rPr>
        <w:t xml:space="preserve"> of infliximab</w:t>
      </w:r>
    </w:p>
    <w:tbl>
      <w:tblPr>
        <w:tblStyle w:val="TableGrid"/>
        <w:tblW w:w="5000" w:type="pct"/>
        <w:tblLook w:val="04A0" w:firstRow="1" w:lastRow="0" w:firstColumn="1" w:lastColumn="0" w:noHBand="0" w:noVBand="1"/>
        <w:tblCaption w:val="Table 1: Proposed changes to maximum quantities for current listings of infliximab"/>
      </w:tblPr>
      <w:tblGrid>
        <w:gridCol w:w="1151"/>
        <w:gridCol w:w="2905"/>
        <w:gridCol w:w="2508"/>
        <w:gridCol w:w="1105"/>
        <w:gridCol w:w="1347"/>
      </w:tblGrid>
      <w:tr w:rsidR="00A94DDC" w:rsidRPr="00F41718" w14:paraId="5EB87871" w14:textId="77777777" w:rsidTr="002A6105">
        <w:trPr>
          <w:tblHeader/>
        </w:trPr>
        <w:tc>
          <w:tcPr>
            <w:tcW w:w="638" w:type="pct"/>
          </w:tcPr>
          <w:p w14:paraId="440D99CA" w14:textId="5765627C" w:rsidR="00A94DDC" w:rsidRPr="00F41718" w:rsidRDefault="00A94DDC">
            <w:pPr>
              <w:pStyle w:val="PBACHeading1"/>
              <w:numPr>
                <w:ilvl w:val="0"/>
                <w:numId w:val="0"/>
              </w:numPr>
              <w:rPr>
                <w:rFonts w:ascii="Arial Narrow" w:eastAsiaTheme="minorHAnsi" w:hAnsi="Arial Narrow"/>
                <w:snapToGrid/>
              </w:rPr>
            </w:pPr>
            <w:r w:rsidRPr="00F41718">
              <w:rPr>
                <w:rFonts w:ascii="Arial Narrow" w:eastAsiaTheme="minorHAnsi" w:hAnsi="Arial Narrow"/>
                <w:snapToGrid/>
              </w:rPr>
              <w:t>Item Number</w:t>
            </w:r>
          </w:p>
        </w:tc>
        <w:tc>
          <w:tcPr>
            <w:tcW w:w="1611" w:type="pct"/>
          </w:tcPr>
          <w:p w14:paraId="58D1A9BB" w14:textId="0850EB2D" w:rsidR="00A94DDC" w:rsidRPr="00F41718" w:rsidRDefault="00A94DDC">
            <w:pPr>
              <w:pStyle w:val="PBACHeading1"/>
              <w:numPr>
                <w:ilvl w:val="0"/>
                <w:numId w:val="0"/>
              </w:numPr>
              <w:rPr>
                <w:rFonts w:ascii="Arial Narrow" w:eastAsiaTheme="minorHAnsi" w:hAnsi="Arial Narrow"/>
                <w:snapToGrid/>
              </w:rPr>
            </w:pPr>
            <w:r w:rsidRPr="00F41718">
              <w:rPr>
                <w:rFonts w:ascii="Arial Narrow" w:eastAsiaTheme="minorHAnsi" w:hAnsi="Arial Narrow"/>
                <w:snapToGrid/>
              </w:rPr>
              <w:t>Indication</w:t>
            </w:r>
          </w:p>
        </w:tc>
        <w:tc>
          <w:tcPr>
            <w:tcW w:w="1391" w:type="pct"/>
          </w:tcPr>
          <w:p w14:paraId="7E69527B" w14:textId="42193FA2" w:rsidR="00A94DDC" w:rsidRPr="00F41718" w:rsidRDefault="00A94DDC">
            <w:pPr>
              <w:pStyle w:val="PBACHeading1"/>
              <w:numPr>
                <w:ilvl w:val="0"/>
                <w:numId w:val="0"/>
              </w:numPr>
              <w:rPr>
                <w:rFonts w:ascii="Arial Narrow" w:eastAsiaTheme="minorHAnsi" w:hAnsi="Arial Narrow"/>
                <w:snapToGrid/>
              </w:rPr>
            </w:pPr>
            <w:r w:rsidRPr="00F41718">
              <w:rPr>
                <w:rFonts w:ascii="Arial Narrow" w:eastAsiaTheme="minorHAnsi" w:hAnsi="Arial Narrow"/>
                <w:snapToGrid/>
              </w:rPr>
              <w:t>Treatment phase</w:t>
            </w:r>
          </w:p>
        </w:tc>
        <w:tc>
          <w:tcPr>
            <w:tcW w:w="613" w:type="pct"/>
          </w:tcPr>
          <w:p w14:paraId="298E39F0" w14:textId="21B307AB" w:rsidR="00A94DDC" w:rsidRPr="00F41718" w:rsidRDefault="00A94DDC">
            <w:pPr>
              <w:pStyle w:val="PBACHeading1"/>
              <w:numPr>
                <w:ilvl w:val="0"/>
                <w:numId w:val="0"/>
              </w:numPr>
              <w:rPr>
                <w:rFonts w:ascii="Arial Narrow" w:eastAsiaTheme="minorHAnsi" w:hAnsi="Arial Narrow"/>
                <w:snapToGrid/>
              </w:rPr>
            </w:pPr>
            <w:r w:rsidRPr="00F41718">
              <w:rPr>
                <w:rFonts w:ascii="Arial Narrow" w:eastAsiaTheme="minorHAnsi" w:hAnsi="Arial Narrow"/>
                <w:snapToGrid/>
              </w:rPr>
              <w:t>Current Max Quantity</w:t>
            </w:r>
          </w:p>
        </w:tc>
        <w:tc>
          <w:tcPr>
            <w:tcW w:w="747" w:type="pct"/>
          </w:tcPr>
          <w:p w14:paraId="50516C66" w14:textId="1B1B1693" w:rsidR="00A94DDC" w:rsidRPr="00F41718" w:rsidRDefault="00A94DDC">
            <w:pPr>
              <w:pStyle w:val="PBACHeading1"/>
              <w:numPr>
                <w:ilvl w:val="0"/>
                <w:numId w:val="0"/>
              </w:numPr>
              <w:rPr>
                <w:rFonts w:ascii="Arial Narrow" w:eastAsiaTheme="minorHAnsi" w:hAnsi="Arial Narrow"/>
                <w:snapToGrid/>
              </w:rPr>
            </w:pPr>
            <w:r w:rsidRPr="00F41718">
              <w:rPr>
                <w:rFonts w:ascii="Arial Narrow" w:eastAsiaTheme="minorHAnsi" w:hAnsi="Arial Narrow"/>
                <w:snapToGrid/>
              </w:rPr>
              <w:t>Proposed Max Quantity</w:t>
            </w:r>
          </w:p>
        </w:tc>
      </w:tr>
      <w:tr w:rsidR="00A94DDC" w:rsidRPr="00F41718" w14:paraId="3334066A" w14:textId="77777777" w:rsidTr="00A94DDC">
        <w:tc>
          <w:tcPr>
            <w:tcW w:w="638" w:type="pct"/>
          </w:tcPr>
          <w:p w14:paraId="24F7C066" w14:textId="7BE6F003" w:rsidR="00A94DDC" w:rsidRPr="00F41718" w:rsidRDefault="00A94DDC" w:rsidP="00D4535A">
            <w:pPr>
              <w:pStyle w:val="PBACHeading1"/>
              <w:numPr>
                <w:ilvl w:val="0"/>
                <w:numId w:val="0"/>
              </w:numPr>
              <w:rPr>
                <w:rFonts w:ascii="Arial Narrow" w:eastAsiaTheme="minorHAnsi" w:hAnsi="Arial Narrow"/>
                <w:b w:val="0"/>
                <w:snapToGrid/>
              </w:rPr>
            </w:pPr>
            <w:r w:rsidRPr="00F41718">
              <w:rPr>
                <w:rFonts w:ascii="Arial Narrow" w:eastAsiaTheme="minorHAnsi" w:hAnsi="Arial Narrow"/>
                <w:b w:val="0"/>
                <w:snapToGrid/>
              </w:rPr>
              <w:t>11400B</w:t>
            </w:r>
          </w:p>
        </w:tc>
        <w:tc>
          <w:tcPr>
            <w:tcW w:w="1611" w:type="pct"/>
          </w:tcPr>
          <w:p w14:paraId="4F9CC393" w14:textId="27AA7611" w:rsidR="00A94DDC" w:rsidRPr="00F41718" w:rsidRDefault="00A94DDC">
            <w:pPr>
              <w:pStyle w:val="PBACHeading1"/>
              <w:numPr>
                <w:ilvl w:val="0"/>
                <w:numId w:val="0"/>
              </w:numPr>
              <w:rPr>
                <w:rFonts w:ascii="Arial Narrow" w:eastAsiaTheme="minorHAnsi" w:hAnsi="Arial Narrow"/>
                <w:b w:val="0"/>
                <w:snapToGrid/>
              </w:rPr>
            </w:pPr>
            <w:r w:rsidRPr="00F41718">
              <w:rPr>
                <w:rFonts w:ascii="Arial Narrow" w:eastAsiaTheme="minorHAnsi" w:hAnsi="Arial Narrow"/>
                <w:b w:val="0"/>
                <w:snapToGrid/>
              </w:rPr>
              <w:t>Severe Crohn disease</w:t>
            </w:r>
          </w:p>
        </w:tc>
        <w:tc>
          <w:tcPr>
            <w:tcW w:w="1391" w:type="pct"/>
          </w:tcPr>
          <w:p w14:paraId="4C07B2EC" w14:textId="6272D04D" w:rsidR="00A94DDC" w:rsidRPr="00F41718" w:rsidRDefault="00A94DDC">
            <w:pPr>
              <w:pStyle w:val="PBACHeading1"/>
              <w:numPr>
                <w:ilvl w:val="0"/>
                <w:numId w:val="0"/>
              </w:numPr>
              <w:rPr>
                <w:rFonts w:ascii="Arial Narrow" w:eastAsiaTheme="minorHAnsi" w:hAnsi="Arial Narrow"/>
                <w:b w:val="0"/>
                <w:snapToGrid/>
              </w:rPr>
            </w:pPr>
            <w:r w:rsidRPr="00F41718">
              <w:rPr>
                <w:rFonts w:ascii="Arial Narrow" w:eastAsiaTheme="minorHAnsi" w:hAnsi="Arial Narrow"/>
                <w:b w:val="0"/>
                <w:snapToGrid/>
              </w:rPr>
              <w:t xml:space="preserve">Subsequent continuing </w:t>
            </w:r>
          </w:p>
        </w:tc>
        <w:tc>
          <w:tcPr>
            <w:tcW w:w="613" w:type="pct"/>
          </w:tcPr>
          <w:p w14:paraId="5E67DD60" w14:textId="06DD7A10" w:rsidR="00A94DDC" w:rsidRPr="00F41718" w:rsidRDefault="00A94DDC">
            <w:pPr>
              <w:pStyle w:val="PBACHeading1"/>
              <w:numPr>
                <w:ilvl w:val="0"/>
                <w:numId w:val="0"/>
              </w:numPr>
              <w:jc w:val="center"/>
              <w:rPr>
                <w:rFonts w:ascii="Arial Narrow" w:eastAsiaTheme="minorHAnsi" w:hAnsi="Arial Narrow"/>
                <w:b w:val="0"/>
                <w:snapToGrid/>
              </w:rPr>
            </w:pPr>
            <w:r w:rsidRPr="00F41718">
              <w:rPr>
                <w:rFonts w:ascii="Arial Narrow" w:eastAsiaTheme="minorHAnsi" w:hAnsi="Arial Narrow"/>
                <w:b w:val="0"/>
                <w:snapToGrid/>
              </w:rPr>
              <w:t>4</w:t>
            </w:r>
          </w:p>
        </w:tc>
        <w:tc>
          <w:tcPr>
            <w:tcW w:w="747" w:type="pct"/>
          </w:tcPr>
          <w:p w14:paraId="51A49D51" w14:textId="23FBF38D" w:rsidR="00A94DDC" w:rsidRPr="00F41718" w:rsidRDefault="00A94DDC">
            <w:pPr>
              <w:pStyle w:val="PBACHeading1"/>
              <w:numPr>
                <w:ilvl w:val="0"/>
                <w:numId w:val="0"/>
              </w:numPr>
              <w:jc w:val="center"/>
              <w:rPr>
                <w:rFonts w:ascii="Arial Narrow" w:eastAsiaTheme="minorHAnsi" w:hAnsi="Arial Narrow"/>
                <w:b w:val="0"/>
                <w:snapToGrid/>
              </w:rPr>
            </w:pPr>
            <w:r w:rsidRPr="00F41718">
              <w:rPr>
                <w:rFonts w:ascii="Arial Narrow" w:eastAsiaTheme="minorHAnsi" w:hAnsi="Arial Narrow"/>
                <w:b w:val="0"/>
                <w:snapToGrid/>
              </w:rPr>
              <w:t>5</w:t>
            </w:r>
          </w:p>
        </w:tc>
      </w:tr>
      <w:tr w:rsidR="00A94DDC" w:rsidRPr="00F41718" w14:paraId="76BEE4B7" w14:textId="77777777" w:rsidTr="00A94DDC">
        <w:tc>
          <w:tcPr>
            <w:tcW w:w="638" w:type="pct"/>
          </w:tcPr>
          <w:p w14:paraId="1C98EB3D" w14:textId="7B6C5501" w:rsidR="00A94DDC" w:rsidRPr="00F41718" w:rsidRDefault="00A94DDC" w:rsidP="00D4535A">
            <w:pPr>
              <w:pStyle w:val="PBACHeading1"/>
              <w:numPr>
                <w:ilvl w:val="0"/>
                <w:numId w:val="0"/>
              </w:numPr>
              <w:rPr>
                <w:rFonts w:ascii="Arial Narrow" w:eastAsiaTheme="minorHAnsi" w:hAnsi="Arial Narrow"/>
                <w:b w:val="0"/>
                <w:snapToGrid/>
              </w:rPr>
            </w:pPr>
            <w:r w:rsidRPr="00F41718">
              <w:rPr>
                <w:rFonts w:ascii="Arial Narrow" w:eastAsiaTheme="minorHAnsi" w:hAnsi="Arial Narrow"/>
                <w:b w:val="0"/>
                <w:snapToGrid/>
              </w:rPr>
              <w:t>11423F</w:t>
            </w:r>
          </w:p>
        </w:tc>
        <w:tc>
          <w:tcPr>
            <w:tcW w:w="1611" w:type="pct"/>
          </w:tcPr>
          <w:p w14:paraId="31853D88" w14:textId="69DEC4BE" w:rsidR="00A94DDC" w:rsidRPr="00F41718" w:rsidRDefault="00A94DDC">
            <w:pPr>
              <w:pStyle w:val="PBACHeading1"/>
              <w:numPr>
                <w:ilvl w:val="0"/>
                <w:numId w:val="0"/>
              </w:numPr>
              <w:rPr>
                <w:rFonts w:ascii="Arial Narrow" w:eastAsiaTheme="minorHAnsi" w:hAnsi="Arial Narrow"/>
                <w:b w:val="0"/>
                <w:snapToGrid/>
              </w:rPr>
            </w:pPr>
            <w:r w:rsidRPr="00F41718">
              <w:rPr>
                <w:rFonts w:ascii="Arial Narrow" w:eastAsiaTheme="minorHAnsi" w:hAnsi="Arial Narrow"/>
                <w:b w:val="0"/>
                <w:snapToGrid/>
              </w:rPr>
              <w:t>Complex refractory fistulising Crohn disease</w:t>
            </w:r>
          </w:p>
        </w:tc>
        <w:tc>
          <w:tcPr>
            <w:tcW w:w="1391" w:type="pct"/>
          </w:tcPr>
          <w:p w14:paraId="5F9650FD" w14:textId="55EBEF6D" w:rsidR="00A94DDC" w:rsidRPr="00F41718" w:rsidRDefault="00A94DDC">
            <w:pPr>
              <w:pStyle w:val="PBACHeading1"/>
              <w:numPr>
                <w:ilvl w:val="0"/>
                <w:numId w:val="0"/>
              </w:numPr>
              <w:rPr>
                <w:rFonts w:ascii="Arial Narrow" w:eastAsiaTheme="minorHAnsi" w:hAnsi="Arial Narrow"/>
                <w:b w:val="0"/>
                <w:snapToGrid/>
              </w:rPr>
            </w:pPr>
            <w:r w:rsidRPr="00F41718">
              <w:rPr>
                <w:rFonts w:ascii="Arial Narrow" w:eastAsiaTheme="minorHAnsi" w:hAnsi="Arial Narrow"/>
                <w:b w:val="0"/>
                <w:snapToGrid/>
              </w:rPr>
              <w:t xml:space="preserve">Subsequent continuing </w:t>
            </w:r>
          </w:p>
        </w:tc>
        <w:tc>
          <w:tcPr>
            <w:tcW w:w="613" w:type="pct"/>
          </w:tcPr>
          <w:p w14:paraId="24ADD7CC" w14:textId="1AE1C051" w:rsidR="00A94DDC" w:rsidRPr="00F41718" w:rsidRDefault="00A94DDC">
            <w:pPr>
              <w:pStyle w:val="PBACHeading1"/>
              <w:numPr>
                <w:ilvl w:val="0"/>
                <w:numId w:val="0"/>
              </w:numPr>
              <w:jc w:val="center"/>
              <w:rPr>
                <w:rFonts w:ascii="Arial Narrow" w:eastAsiaTheme="minorHAnsi" w:hAnsi="Arial Narrow"/>
                <w:b w:val="0"/>
                <w:snapToGrid/>
              </w:rPr>
            </w:pPr>
            <w:r w:rsidRPr="00F41718">
              <w:rPr>
                <w:rFonts w:ascii="Arial Narrow" w:eastAsiaTheme="minorHAnsi" w:hAnsi="Arial Narrow"/>
                <w:b w:val="0"/>
                <w:snapToGrid/>
              </w:rPr>
              <w:t>4</w:t>
            </w:r>
          </w:p>
        </w:tc>
        <w:tc>
          <w:tcPr>
            <w:tcW w:w="747" w:type="pct"/>
          </w:tcPr>
          <w:p w14:paraId="3C3C7770" w14:textId="0DCDC87A" w:rsidR="00A94DDC" w:rsidRPr="00F41718" w:rsidRDefault="00A94DDC">
            <w:pPr>
              <w:pStyle w:val="PBACHeading1"/>
              <w:numPr>
                <w:ilvl w:val="0"/>
                <w:numId w:val="0"/>
              </w:numPr>
              <w:jc w:val="center"/>
              <w:rPr>
                <w:rFonts w:ascii="Arial Narrow" w:eastAsiaTheme="minorHAnsi" w:hAnsi="Arial Narrow"/>
                <w:b w:val="0"/>
                <w:snapToGrid/>
              </w:rPr>
            </w:pPr>
            <w:r w:rsidRPr="00F41718">
              <w:rPr>
                <w:rFonts w:ascii="Arial Narrow" w:eastAsiaTheme="minorHAnsi" w:hAnsi="Arial Narrow"/>
                <w:b w:val="0"/>
                <w:snapToGrid/>
              </w:rPr>
              <w:t>5</w:t>
            </w:r>
          </w:p>
        </w:tc>
      </w:tr>
      <w:tr w:rsidR="00A94DDC" w:rsidRPr="00F41718" w14:paraId="14620670" w14:textId="77777777" w:rsidTr="00A94DDC">
        <w:tc>
          <w:tcPr>
            <w:tcW w:w="638" w:type="pct"/>
          </w:tcPr>
          <w:p w14:paraId="2B62F24B" w14:textId="1E699B12" w:rsidR="00A94DDC" w:rsidRPr="00F41718" w:rsidRDefault="00A94DDC" w:rsidP="00D4535A">
            <w:pPr>
              <w:pStyle w:val="PBACHeading1"/>
              <w:numPr>
                <w:ilvl w:val="0"/>
                <w:numId w:val="0"/>
              </w:numPr>
              <w:rPr>
                <w:rFonts w:ascii="Arial Narrow" w:eastAsiaTheme="minorHAnsi" w:hAnsi="Arial Narrow"/>
                <w:b w:val="0"/>
                <w:snapToGrid/>
              </w:rPr>
            </w:pPr>
            <w:r w:rsidRPr="00F41718">
              <w:rPr>
                <w:rFonts w:ascii="Arial Narrow" w:eastAsiaTheme="minorHAnsi" w:hAnsi="Arial Narrow"/>
                <w:b w:val="0"/>
                <w:snapToGrid/>
              </w:rPr>
              <w:t>11449N</w:t>
            </w:r>
          </w:p>
        </w:tc>
        <w:tc>
          <w:tcPr>
            <w:tcW w:w="1611" w:type="pct"/>
          </w:tcPr>
          <w:p w14:paraId="0DF5EAE9" w14:textId="20CE8B48" w:rsidR="00A94DDC" w:rsidRPr="00F41718" w:rsidRDefault="00A94DDC">
            <w:pPr>
              <w:pStyle w:val="PBACHeading1"/>
              <w:numPr>
                <w:ilvl w:val="0"/>
                <w:numId w:val="0"/>
              </w:numPr>
              <w:rPr>
                <w:rFonts w:ascii="Arial Narrow" w:eastAsiaTheme="minorHAnsi" w:hAnsi="Arial Narrow"/>
                <w:b w:val="0"/>
                <w:snapToGrid/>
              </w:rPr>
            </w:pPr>
            <w:r w:rsidRPr="00F41718">
              <w:rPr>
                <w:rFonts w:ascii="Arial Narrow" w:eastAsiaTheme="minorHAnsi" w:hAnsi="Arial Narrow"/>
                <w:b w:val="0"/>
                <w:snapToGrid/>
              </w:rPr>
              <w:t>Moderate to severe Crohn disease</w:t>
            </w:r>
          </w:p>
        </w:tc>
        <w:tc>
          <w:tcPr>
            <w:tcW w:w="1391" w:type="pct"/>
          </w:tcPr>
          <w:p w14:paraId="2E41A0F2" w14:textId="574D105F" w:rsidR="00A94DDC" w:rsidRPr="00F41718" w:rsidRDefault="00A94DDC">
            <w:pPr>
              <w:pStyle w:val="PBACHeading1"/>
              <w:numPr>
                <w:ilvl w:val="0"/>
                <w:numId w:val="0"/>
              </w:numPr>
              <w:rPr>
                <w:rFonts w:ascii="Arial Narrow" w:eastAsiaTheme="minorHAnsi" w:hAnsi="Arial Narrow"/>
                <w:b w:val="0"/>
                <w:snapToGrid/>
              </w:rPr>
            </w:pPr>
            <w:r w:rsidRPr="00F41718">
              <w:rPr>
                <w:rFonts w:ascii="Arial Narrow" w:eastAsiaTheme="minorHAnsi" w:hAnsi="Arial Narrow"/>
                <w:b w:val="0"/>
                <w:snapToGrid/>
              </w:rPr>
              <w:t xml:space="preserve">Subsequent continuing </w:t>
            </w:r>
          </w:p>
        </w:tc>
        <w:tc>
          <w:tcPr>
            <w:tcW w:w="613" w:type="pct"/>
          </w:tcPr>
          <w:p w14:paraId="26C83583" w14:textId="28D66F25" w:rsidR="00A94DDC" w:rsidRPr="00F41718" w:rsidRDefault="00A94DDC">
            <w:pPr>
              <w:pStyle w:val="PBACHeading1"/>
              <w:numPr>
                <w:ilvl w:val="0"/>
                <w:numId w:val="0"/>
              </w:numPr>
              <w:jc w:val="center"/>
              <w:rPr>
                <w:rFonts w:ascii="Arial Narrow" w:eastAsiaTheme="minorHAnsi" w:hAnsi="Arial Narrow"/>
                <w:b w:val="0"/>
                <w:snapToGrid/>
              </w:rPr>
            </w:pPr>
            <w:r w:rsidRPr="00F41718">
              <w:rPr>
                <w:rFonts w:ascii="Arial Narrow" w:eastAsiaTheme="minorHAnsi" w:hAnsi="Arial Narrow"/>
                <w:b w:val="0"/>
                <w:snapToGrid/>
              </w:rPr>
              <w:t>4</w:t>
            </w:r>
          </w:p>
        </w:tc>
        <w:tc>
          <w:tcPr>
            <w:tcW w:w="747" w:type="pct"/>
          </w:tcPr>
          <w:p w14:paraId="69B9B502" w14:textId="237D1774" w:rsidR="00A94DDC" w:rsidRPr="00F41718" w:rsidRDefault="00A94DDC">
            <w:pPr>
              <w:pStyle w:val="PBACHeading1"/>
              <w:numPr>
                <w:ilvl w:val="0"/>
                <w:numId w:val="0"/>
              </w:numPr>
              <w:jc w:val="center"/>
              <w:rPr>
                <w:rFonts w:ascii="Arial Narrow" w:eastAsiaTheme="minorHAnsi" w:hAnsi="Arial Narrow"/>
                <w:b w:val="0"/>
                <w:snapToGrid/>
              </w:rPr>
            </w:pPr>
            <w:r w:rsidRPr="00F41718">
              <w:rPr>
                <w:rFonts w:ascii="Arial Narrow" w:eastAsiaTheme="minorHAnsi" w:hAnsi="Arial Narrow"/>
                <w:b w:val="0"/>
                <w:snapToGrid/>
              </w:rPr>
              <w:t>5</w:t>
            </w:r>
          </w:p>
        </w:tc>
      </w:tr>
      <w:tr w:rsidR="00A94DDC" w:rsidRPr="00F41718" w14:paraId="2862CE11" w14:textId="77777777" w:rsidTr="00A94DDC">
        <w:tc>
          <w:tcPr>
            <w:tcW w:w="638" w:type="pct"/>
          </w:tcPr>
          <w:p w14:paraId="6A92D65A" w14:textId="49EE1DD7" w:rsidR="00A94DDC" w:rsidRPr="00F41718" w:rsidRDefault="00A94DDC" w:rsidP="00D4535A">
            <w:pPr>
              <w:pStyle w:val="PBACHeading1"/>
              <w:numPr>
                <w:ilvl w:val="0"/>
                <w:numId w:val="0"/>
              </w:numPr>
              <w:rPr>
                <w:rFonts w:ascii="Arial Narrow" w:eastAsiaTheme="minorHAnsi" w:hAnsi="Arial Narrow"/>
                <w:b w:val="0"/>
                <w:snapToGrid/>
              </w:rPr>
            </w:pPr>
            <w:r w:rsidRPr="00F41718">
              <w:rPr>
                <w:rFonts w:ascii="Arial Narrow" w:eastAsiaTheme="minorHAnsi" w:hAnsi="Arial Narrow"/>
                <w:b w:val="0"/>
                <w:snapToGrid/>
              </w:rPr>
              <w:t>11461F</w:t>
            </w:r>
          </w:p>
        </w:tc>
        <w:tc>
          <w:tcPr>
            <w:tcW w:w="1611" w:type="pct"/>
          </w:tcPr>
          <w:p w14:paraId="1E363CD9" w14:textId="26B0F6A1" w:rsidR="00A94DDC" w:rsidRPr="00F41718" w:rsidRDefault="00A94DDC">
            <w:pPr>
              <w:pStyle w:val="PBACHeading1"/>
              <w:numPr>
                <w:ilvl w:val="0"/>
                <w:numId w:val="0"/>
              </w:numPr>
              <w:rPr>
                <w:rFonts w:ascii="Arial Narrow" w:eastAsiaTheme="minorHAnsi" w:hAnsi="Arial Narrow"/>
                <w:b w:val="0"/>
                <w:snapToGrid/>
              </w:rPr>
            </w:pPr>
            <w:r w:rsidRPr="00F41718">
              <w:rPr>
                <w:rFonts w:ascii="Arial Narrow" w:eastAsiaTheme="minorHAnsi" w:hAnsi="Arial Narrow"/>
                <w:b w:val="0"/>
                <w:snapToGrid/>
              </w:rPr>
              <w:t>Moderate to severe ulcerative colitis</w:t>
            </w:r>
          </w:p>
        </w:tc>
        <w:tc>
          <w:tcPr>
            <w:tcW w:w="1391" w:type="pct"/>
          </w:tcPr>
          <w:p w14:paraId="21C917DE" w14:textId="4B0503B4" w:rsidR="00A94DDC" w:rsidRPr="00F41718" w:rsidRDefault="00A94DDC">
            <w:pPr>
              <w:pStyle w:val="PBACHeading1"/>
              <w:numPr>
                <w:ilvl w:val="0"/>
                <w:numId w:val="0"/>
              </w:numPr>
              <w:rPr>
                <w:rFonts w:ascii="Arial Narrow" w:eastAsiaTheme="minorHAnsi" w:hAnsi="Arial Narrow"/>
                <w:b w:val="0"/>
                <w:snapToGrid/>
              </w:rPr>
            </w:pPr>
            <w:r w:rsidRPr="00F41718">
              <w:rPr>
                <w:rFonts w:ascii="Arial Narrow" w:eastAsiaTheme="minorHAnsi" w:hAnsi="Arial Narrow"/>
                <w:b w:val="0"/>
                <w:snapToGrid/>
              </w:rPr>
              <w:t>Continuing</w:t>
            </w:r>
            <w:r w:rsidRPr="00F41718">
              <w:rPr>
                <w:rFonts w:ascii="Arial Narrow" w:eastAsiaTheme="minorHAnsi" w:hAnsi="Arial Narrow"/>
                <w:b w:val="0"/>
                <w:snapToGrid/>
                <w:vertAlign w:val="superscript"/>
              </w:rPr>
              <w:t xml:space="preserve"> a</w:t>
            </w:r>
          </w:p>
        </w:tc>
        <w:tc>
          <w:tcPr>
            <w:tcW w:w="613" w:type="pct"/>
          </w:tcPr>
          <w:p w14:paraId="3AA55A9E" w14:textId="58ECE3AD" w:rsidR="00A94DDC" w:rsidRPr="00F41718" w:rsidRDefault="00A94DDC">
            <w:pPr>
              <w:pStyle w:val="PBACHeading1"/>
              <w:numPr>
                <w:ilvl w:val="0"/>
                <w:numId w:val="0"/>
              </w:numPr>
              <w:jc w:val="center"/>
              <w:rPr>
                <w:rFonts w:ascii="Arial Narrow" w:eastAsiaTheme="minorHAnsi" w:hAnsi="Arial Narrow"/>
                <w:b w:val="0"/>
                <w:snapToGrid/>
              </w:rPr>
            </w:pPr>
            <w:r w:rsidRPr="00F41718">
              <w:rPr>
                <w:rFonts w:ascii="Arial Narrow" w:eastAsiaTheme="minorHAnsi" w:hAnsi="Arial Narrow"/>
                <w:b w:val="0"/>
                <w:snapToGrid/>
              </w:rPr>
              <w:t>4</w:t>
            </w:r>
          </w:p>
        </w:tc>
        <w:tc>
          <w:tcPr>
            <w:tcW w:w="747" w:type="pct"/>
          </w:tcPr>
          <w:p w14:paraId="7492375D" w14:textId="00F0048D" w:rsidR="00A94DDC" w:rsidRPr="00F41718" w:rsidRDefault="00A94DDC">
            <w:pPr>
              <w:pStyle w:val="PBACHeading1"/>
              <w:numPr>
                <w:ilvl w:val="0"/>
                <w:numId w:val="0"/>
              </w:numPr>
              <w:jc w:val="center"/>
              <w:rPr>
                <w:rFonts w:ascii="Arial Narrow" w:eastAsiaTheme="minorHAnsi" w:hAnsi="Arial Narrow"/>
                <w:b w:val="0"/>
                <w:snapToGrid/>
              </w:rPr>
            </w:pPr>
            <w:r w:rsidRPr="00F41718">
              <w:rPr>
                <w:rFonts w:ascii="Arial Narrow" w:eastAsiaTheme="minorHAnsi" w:hAnsi="Arial Narrow"/>
                <w:b w:val="0"/>
                <w:snapToGrid/>
              </w:rPr>
              <w:t>5</w:t>
            </w:r>
          </w:p>
        </w:tc>
      </w:tr>
      <w:tr w:rsidR="00A94DDC" w:rsidRPr="00F41718" w14:paraId="391F2C20" w14:textId="77777777" w:rsidTr="00A94DDC">
        <w:tc>
          <w:tcPr>
            <w:tcW w:w="638" w:type="pct"/>
          </w:tcPr>
          <w:p w14:paraId="3B8444E2" w14:textId="3D63934F" w:rsidR="00A94DDC" w:rsidRPr="00F41718" w:rsidRDefault="00A94DDC" w:rsidP="00D4535A">
            <w:pPr>
              <w:pStyle w:val="PBACHeading1"/>
              <w:numPr>
                <w:ilvl w:val="0"/>
                <w:numId w:val="0"/>
              </w:numPr>
              <w:rPr>
                <w:rFonts w:ascii="Arial Narrow" w:eastAsiaTheme="minorHAnsi" w:hAnsi="Arial Narrow"/>
                <w:b w:val="0"/>
                <w:snapToGrid/>
              </w:rPr>
            </w:pPr>
            <w:r w:rsidRPr="00F41718">
              <w:rPr>
                <w:rFonts w:ascii="Arial Narrow" w:eastAsiaTheme="minorHAnsi" w:hAnsi="Arial Narrow"/>
                <w:b w:val="0"/>
                <w:snapToGrid/>
              </w:rPr>
              <w:t>11486M</w:t>
            </w:r>
          </w:p>
        </w:tc>
        <w:tc>
          <w:tcPr>
            <w:tcW w:w="1611" w:type="pct"/>
          </w:tcPr>
          <w:p w14:paraId="5C53638C" w14:textId="13E9DD4A" w:rsidR="00A94DDC" w:rsidRPr="00F41718" w:rsidRDefault="00A94DDC">
            <w:pPr>
              <w:pStyle w:val="PBACHeading1"/>
              <w:numPr>
                <w:ilvl w:val="0"/>
                <w:numId w:val="0"/>
              </w:numPr>
              <w:rPr>
                <w:rFonts w:ascii="Arial Narrow" w:eastAsiaTheme="minorHAnsi" w:hAnsi="Arial Narrow"/>
                <w:b w:val="0"/>
                <w:snapToGrid/>
              </w:rPr>
            </w:pPr>
            <w:r w:rsidRPr="00F41718">
              <w:rPr>
                <w:rFonts w:ascii="Arial Narrow" w:eastAsiaTheme="minorHAnsi" w:hAnsi="Arial Narrow"/>
                <w:b w:val="0"/>
                <w:snapToGrid/>
              </w:rPr>
              <w:t>Ankylosing spondylitis</w:t>
            </w:r>
          </w:p>
        </w:tc>
        <w:tc>
          <w:tcPr>
            <w:tcW w:w="1391" w:type="pct"/>
          </w:tcPr>
          <w:p w14:paraId="061EDCB6" w14:textId="243F5C10" w:rsidR="00A94DDC" w:rsidRPr="00F41718" w:rsidRDefault="00A94DDC">
            <w:pPr>
              <w:pStyle w:val="PBACHeading1"/>
              <w:numPr>
                <w:ilvl w:val="0"/>
                <w:numId w:val="0"/>
              </w:numPr>
              <w:rPr>
                <w:rFonts w:ascii="Arial Narrow" w:eastAsiaTheme="minorHAnsi" w:hAnsi="Arial Narrow"/>
                <w:b w:val="0"/>
                <w:snapToGrid/>
              </w:rPr>
            </w:pPr>
            <w:r w:rsidRPr="00F41718">
              <w:rPr>
                <w:rFonts w:ascii="Arial Narrow" w:eastAsiaTheme="minorHAnsi" w:hAnsi="Arial Narrow"/>
                <w:b w:val="0"/>
                <w:snapToGrid/>
              </w:rPr>
              <w:t xml:space="preserve">Subsequent continuing </w:t>
            </w:r>
          </w:p>
        </w:tc>
        <w:tc>
          <w:tcPr>
            <w:tcW w:w="613" w:type="pct"/>
          </w:tcPr>
          <w:p w14:paraId="6905E657" w14:textId="506F29FB" w:rsidR="00A94DDC" w:rsidRPr="00F41718" w:rsidRDefault="00A94DDC">
            <w:pPr>
              <w:pStyle w:val="PBACHeading1"/>
              <w:numPr>
                <w:ilvl w:val="0"/>
                <w:numId w:val="0"/>
              </w:numPr>
              <w:jc w:val="center"/>
              <w:rPr>
                <w:rFonts w:ascii="Arial Narrow" w:eastAsiaTheme="minorHAnsi" w:hAnsi="Arial Narrow"/>
                <w:b w:val="0"/>
                <w:snapToGrid/>
              </w:rPr>
            </w:pPr>
            <w:r w:rsidRPr="00F41718">
              <w:rPr>
                <w:rFonts w:ascii="Arial Narrow" w:eastAsiaTheme="minorHAnsi" w:hAnsi="Arial Narrow"/>
                <w:b w:val="0"/>
                <w:snapToGrid/>
              </w:rPr>
              <w:t>4</w:t>
            </w:r>
          </w:p>
        </w:tc>
        <w:tc>
          <w:tcPr>
            <w:tcW w:w="747" w:type="pct"/>
          </w:tcPr>
          <w:p w14:paraId="22628899" w14:textId="301E091E" w:rsidR="00A94DDC" w:rsidRPr="00F41718" w:rsidRDefault="00A94DDC">
            <w:pPr>
              <w:pStyle w:val="PBACHeading1"/>
              <w:numPr>
                <w:ilvl w:val="0"/>
                <w:numId w:val="0"/>
              </w:numPr>
              <w:jc w:val="center"/>
              <w:rPr>
                <w:rFonts w:ascii="Arial Narrow" w:eastAsiaTheme="minorHAnsi" w:hAnsi="Arial Narrow"/>
                <w:b w:val="0"/>
                <w:snapToGrid/>
              </w:rPr>
            </w:pPr>
            <w:r w:rsidRPr="00F41718">
              <w:rPr>
                <w:rFonts w:ascii="Arial Narrow" w:eastAsiaTheme="minorHAnsi" w:hAnsi="Arial Narrow"/>
                <w:b w:val="0"/>
                <w:snapToGrid/>
              </w:rPr>
              <w:t>5</w:t>
            </w:r>
          </w:p>
        </w:tc>
      </w:tr>
      <w:tr w:rsidR="00A94DDC" w:rsidRPr="00F41718" w14:paraId="1B0E7FCF" w14:textId="77777777" w:rsidTr="00A94DDC">
        <w:tc>
          <w:tcPr>
            <w:tcW w:w="638" w:type="pct"/>
          </w:tcPr>
          <w:p w14:paraId="79150451" w14:textId="579D4C8F" w:rsidR="00A94DDC" w:rsidRPr="00F41718" w:rsidRDefault="00A94DDC" w:rsidP="00D4535A">
            <w:pPr>
              <w:pStyle w:val="PBACHeading1"/>
              <w:numPr>
                <w:ilvl w:val="0"/>
                <w:numId w:val="0"/>
              </w:numPr>
              <w:rPr>
                <w:rFonts w:ascii="Arial Narrow" w:eastAsiaTheme="minorHAnsi" w:hAnsi="Arial Narrow"/>
                <w:b w:val="0"/>
                <w:snapToGrid/>
              </w:rPr>
            </w:pPr>
            <w:r w:rsidRPr="00F41718">
              <w:rPr>
                <w:rFonts w:ascii="Arial Narrow" w:eastAsiaTheme="minorHAnsi" w:hAnsi="Arial Narrow"/>
                <w:b w:val="0"/>
                <w:snapToGrid/>
              </w:rPr>
              <w:t>11514B</w:t>
            </w:r>
          </w:p>
        </w:tc>
        <w:tc>
          <w:tcPr>
            <w:tcW w:w="1611" w:type="pct"/>
          </w:tcPr>
          <w:p w14:paraId="36538978" w14:textId="75D66C43" w:rsidR="00A94DDC" w:rsidRPr="00F41718" w:rsidRDefault="00A94DDC">
            <w:pPr>
              <w:pStyle w:val="PBACHeading1"/>
              <w:numPr>
                <w:ilvl w:val="0"/>
                <w:numId w:val="0"/>
              </w:numPr>
              <w:rPr>
                <w:rFonts w:ascii="Arial Narrow" w:eastAsiaTheme="minorHAnsi" w:hAnsi="Arial Narrow"/>
                <w:b w:val="0"/>
                <w:snapToGrid/>
              </w:rPr>
            </w:pPr>
            <w:r w:rsidRPr="00F41718">
              <w:rPr>
                <w:rFonts w:ascii="Arial Narrow" w:eastAsiaTheme="minorHAnsi" w:hAnsi="Arial Narrow"/>
                <w:b w:val="0"/>
                <w:snapToGrid/>
              </w:rPr>
              <w:t>Severe psoriatic arthritis</w:t>
            </w:r>
          </w:p>
        </w:tc>
        <w:tc>
          <w:tcPr>
            <w:tcW w:w="1391" w:type="pct"/>
          </w:tcPr>
          <w:p w14:paraId="3DCD85C1" w14:textId="50BD1484" w:rsidR="00A94DDC" w:rsidRPr="00F41718" w:rsidRDefault="00A94DDC">
            <w:pPr>
              <w:pStyle w:val="PBACHeading1"/>
              <w:numPr>
                <w:ilvl w:val="0"/>
                <w:numId w:val="0"/>
              </w:numPr>
              <w:rPr>
                <w:rFonts w:ascii="Arial Narrow" w:eastAsiaTheme="minorHAnsi" w:hAnsi="Arial Narrow"/>
                <w:b w:val="0"/>
                <w:snapToGrid/>
              </w:rPr>
            </w:pPr>
            <w:r w:rsidRPr="00F41718">
              <w:rPr>
                <w:rFonts w:ascii="Arial Narrow" w:eastAsiaTheme="minorHAnsi" w:hAnsi="Arial Narrow"/>
                <w:b w:val="0"/>
                <w:snapToGrid/>
              </w:rPr>
              <w:t>Subsequent continuing</w:t>
            </w:r>
          </w:p>
        </w:tc>
        <w:tc>
          <w:tcPr>
            <w:tcW w:w="613" w:type="pct"/>
          </w:tcPr>
          <w:p w14:paraId="109109B1" w14:textId="4D08BC47" w:rsidR="00A94DDC" w:rsidRPr="00F41718" w:rsidRDefault="00A94DDC">
            <w:pPr>
              <w:pStyle w:val="PBACHeading1"/>
              <w:numPr>
                <w:ilvl w:val="0"/>
                <w:numId w:val="0"/>
              </w:numPr>
              <w:jc w:val="center"/>
              <w:rPr>
                <w:rFonts w:ascii="Arial Narrow" w:eastAsiaTheme="minorHAnsi" w:hAnsi="Arial Narrow"/>
                <w:b w:val="0"/>
                <w:snapToGrid/>
              </w:rPr>
            </w:pPr>
            <w:r w:rsidRPr="00F41718">
              <w:rPr>
                <w:rFonts w:ascii="Arial Narrow" w:eastAsiaTheme="minorHAnsi" w:hAnsi="Arial Narrow"/>
                <w:b w:val="0"/>
                <w:snapToGrid/>
              </w:rPr>
              <w:t>4</w:t>
            </w:r>
          </w:p>
        </w:tc>
        <w:tc>
          <w:tcPr>
            <w:tcW w:w="747" w:type="pct"/>
          </w:tcPr>
          <w:p w14:paraId="272D9734" w14:textId="3660AF93" w:rsidR="00A94DDC" w:rsidRPr="00F41718" w:rsidRDefault="00A94DDC">
            <w:pPr>
              <w:pStyle w:val="PBACHeading1"/>
              <w:numPr>
                <w:ilvl w:val="0"/>
                <w:numId w:val="0"/>
              </w:numPr>
              <w:jc w:val="center"/>
              <w:rPr>
                <w:rFonts w:ascii="Arial Narrow" w:eastAsiaTheme="minorHAnsi" w:hAnsi="Arial Narrow"/>
                <w:b w:val="0"/>
                <w:snapToGrid/>
              </w:rPr>
            </w:pPr>
            <w:r w:rsidRPr="00F41718">
              <w:rPr>
                <w:rFonts w:ascii="Arial Narrow" w:eastAsiaTheme="minorHAnsi" w:hAnsi="Arial Narrow"/>
                <w:b w:val="0"/>
                <w:snapToGrid/>
              </w:rPr>
              <w:t>5</w:t>
            </w:r>
          </w:p>
        </w:tc>
      </w:tr>
      <w:tr w:rsidR="00A94DDC" w:rsidRPr="00F41718" w14:paraId="698F57C9" w14:textId="77777777" w:rsidTr="00A94DDC">
        <w:tc>
          <w:tcPr>
            <w:tcW w:w="638" w:type="pct"/>
          </w:tcPr>
          <w:p w14:paraId="28732D3C" w14:textId="560219FA" w:rsidR="00A94DDC" w:rsidRPr="00F41718" w:rsidRDefault="00A94DDC" w:rsidP="00D4535A">
            <w:pPr>
              <w:pStyle w:val="PBACHeading1"/>
              <w:numPr>
                <w:ilvl w:val="0"/>
                <w:numId w:val="0"/>
              </w:numPr>
              <w:rPr>
                <w:rFonts w:ascii="Arial Narrow" w:eastAsiaTheme="minorHAnsi" w:hAnsi="Arial Narrow"/>
                <w:b w:val="0"/>
                <w:snapToGrid/>
              </w:rPr>
            </w:pPr>
            <w:r w:rsidRPr="00F41718">
              <w:rPr>
                <w:rFonts w:ascii="Arial Narrow" w:eastAsiaTheme="minorHAnsi" w:hAnsi="Arial Narrow"/>
                <w:b w:val="0"/>
                <w:snapToGrid/>
              </w:rPr>
              <w:t>11605T</w:t>
            </w:r>
          </w:p>
        </w:tc>
        <w:tc>
          <w:tcPr>
            <w:tcW w:w="1611" w:type="pct"/>
          </w:tcPr>
          <w:p w14:paraId="659B2FCF" w14:textId="482BC5A9" w:rsidR="00A94DDC" w:rsidRPr="00F41718" w:rsidRDefault="00A94DDC" w:rsidP="00D4535A">
            <w:pPr>
              <w:pStyle w:val="PBACHeading1"/>
              <w:numPr>
                <w:ilvl w:val="0"/>
                <w:numId w:val="0"/>
              </w:numPr>
              <w:rPr>
                <w:rFonts w:ascii="Arial Narrow" w:eastAsiaTheme="minorHAnsi" w:hAnsi="Arial Narrow"/>
                <w:b w:val="0"/>
                <w:snapToGrid/>
              </w:rPr>
            </w:pPr>
            <w:r w:rsidRPr="00F41718">
              <w:rPr>
                <w:rFonts w:ascii="Arial Narrow" w:eastAsiaTheme="minorHAnsi" w:hAnsi="Arial Narrow"/>
                <w:b w:val="0"/>
                <w:snapToGrid/>
              </w:rPr>
              <w:t xml:space="preserve">Severe chronic plaque psoriasis </w:t>
            </w:r>
            <w:r w:rsidRPr="00F41718">
              <w:rPr>
                <w:rFonts w:ascii="Arial Narrow" w:eastAsiaTheme="minorHAnsi" w:hAnsi="Arial Narrow"/>
                <w:b w:val="0"/>
                <w:snapToGrid/>
                <w:vertAlign w:val="superscript"/>
              </w:rPr>
              <w:t>b</w:t>
            </w:r>
          </w:p>
        </w:tc>
        <w:tc>
          <w:tcPr>
            <w:tcW w:w="1391" w:type="pct"/>
          </w:tcPr>
          <w:p w14:paraId="0D861050" w14:textId="599550E2" w:rsidR="00A94DDC" w:rsidRPr="00F41718" w:rsidRDefault="00A94DDC">
            <w:pPr>
              <w:pStyle w:val="PBACHeading1"/>
              <w:numPr>
                <w:ilvl w:val="0"/>
                <w:numId w:val="0"/>
              </w:numPr>
              <w:rPr>
                <w:rFonts w:ascii="Arial Narrow" w:eastAsiaTheme="minorHAnsi" w:hAnsi="Arial Narrow"/>
                <w:b w:val="0"/>
                <w:snapToGrid/>
              </w:rPr>
            </w:pPr>
            <w:r w:rsidRPr="00F41718">
              <w:rPr>
                <w:rFonts w:ascii="Arial Narrow" w:eastAsiaTheme="minorHAnsi" w:hAnsi="Arial Narrow"/>
                <w:b w:val="0"/>
                <w:snapToGrid/>
              </w:rPr>
              <w:t>Subsequent continuing</w:t>
            </w:r>
          </w:p>
        </w:tc>
        <w:tc>
          <w:tcPr>
            <w:tcW w:w="613" w:type="pct"/>
          </w:tcPr>
          <w:p w14:paraId="6B2C870E" w14:textId="228F95C4" w:rsidR="00A94DDC" w:rsidRPr="00F41718" w:rsidRDefault="00A94DDC">
            <w:pPr>
              <w:pStyle w:val="PBACHeading1"/>
              <w:numPr>
                <w:ilvl w:val="0"/>
                <w:numId w:val="0"/>
              </w:numPr>
              <w:jc w:val="center"/>
              <w:rPr>
                <w:rFonts w:ascii="Arial Narrow" w:eastAsiaTheme="minorHAnsi" w:hAnsi="Arial Narrow"/>
                <w:b w:val="0"/>
                <w:snapToGrid/>
              </w:rPr>
            </w:pPr>
            <w:r w:rsidRPr="00F41718">
              <w:rPr>
                <w:rFonts w:ascii="Arial Narrow" w:eastAsiaTheme="minorHAnsi" w:hAnsi="Arial Narrow"/>
                <w:b w:val="0"/>
                <w:snapToGrid/>
              </w:rPr>
              <w:t>4</w:t>
            </w:r>
          </w:p>
        </w:tc>
        <w:tc>
          <w:tcPr>
            <w:tcW w:w="747" w:type="pct"/>
          </w:tcPr>
          <w:p w14:paraId="2646148E" w14:textId="258A212A" w:rsidR="00A94DDC" w:rsidRPr="00F41718" w:rsidRDefault="00A94DDC">
            <w:pPr>
              <w:pStyle w:val="PBACHeading1"/>
              <w:numPr>
                <w:ilvl w:val="0"/>
                <w:numId w:val="0"/>
              </w:numPr>
              <w:jc w:val="center"/>
              <w:rPr>
                <w:rFonts w:ascii="Arial Narrow" w:eastAsiaTheme="minorHAnsi" w:hAnsi="Arial Narrow"/>
                <w:b w:val="0"/>
                <w:snapToGrid/>
              </w:rPr>
            </w:pPr>
            <w:r w:rsidRPr="00F41718">
              <w:rPr>
                <w:rFonts w:ascii="Arial Narrow" w:eastAsiaTheme="minorHAnsi" w:hAnsi="Arial Narrow"/>
                <w:b w:val="0"/>
                <w:snapToGrid/>
              </w:rPr>
              <w:t>5</w:t>
            </w:r>
          </w:p>
        </w:tc>
      </w:tr>
    </w:tbl>
    <w:p w14:paraId="56AB7BCD" w14:textId="1AE87769" w:rsidR="00D758BF" w:rsidRPr="00F41718" w:rsidRDefault="000D7921" w:rsidP="00D4535A">
      <w:pPr>
        <w:rPr>
          <w:rFonts w:ascii="Arial Narrow" w:eastAsiaTheme="minorHAnsi" w:hAnsi="Arial Narrow"/>
          <w:b/>
          <w:sz w:val="20"/>
          <w:szCs w:val="20"/>
        </w:rPr>
      </w:pPr>
      <w:proofErr w:type="spellStart"/>
      <w:proofErr w:type="gramStart"/>
      <w:r w:rsidRPr="001865CD">
        <w:rPr>
          <w:rFonts w:ascii="Arial Narrow" w:eastAsiaTheme="minorHAnsi" w:hAnsi="Arial Narrow"/>
          <w:sz w:val="20"/>
          <w:szCs w:val="20"/>
          <w:vertAlign w:val="superscript"/>
        </w:rPr>
        <w:t>a</w:t>
      </w:r>
      <w:proofErr w:type="spellEnd"/>
      <w:proofErr w:type="gramEnd"/>
      <w:r>
        <w:rPr>
          <w:rFonts w:ascii="Arial Narrow" w:eastAsiaTheme="minorHAnsi" w:hAnsi="Arial Narrow"/>
          <w:sz w:val="20"/>
          <w:szCs w:val="20"/>
        </w:rPr>
        <w:t xml:space="preserve"> </w:t>
      </w:r>
      <w:r w:rsidR="007E1C71" w:rsidRPr="00F41718">
        <w:rPr>
          <w:rFonts w:ascii="Arial Narrow" w:eastAsiaTheme="minorHAnsi" w:hAnsi="Arial Narrow"/>
          <w:sz w:val="20"/>
          <w:szCs w:val="20"/>
        </w:rPr>
        <w:t>The biosimilar uptake driver for the PBS indication of Moderate to Severe Ulcerative Colitis on 1 October 2018 is implemented differently to other indications i.e. for continuing treatment</w:t>
      </w:r>
      <w:r>
        <w:rPr>
          <w:rFonts w:ascii="Arial Narrow" w:eastAsiaTheme="minorHAnsi" w:hAnsi="Arial Narrow"/>
          <w:sz w:val="20"/>
          <w:szCs w:val="20"/>
        </w:rPr>
        <w:t>.</w:t>
      </w:r>
    </w:p>
    <w:p w14:paraId="6925647C" w14:textId="06720C41" w:rsidR="007A77A2" w:rsidRDefault="00915376">
      <w:pPr>
        <w:rPr>
          <w:rFonts w:ascii="Arial Narrow" w:eastAsiaTheme="minorHAnsi" w:hAnsi="Arial Narrow"/>
          <w:sz w:val="20"/>
          <w:szCs w:val="20"/>
        </w:rPr>
      </w:pPr>
      <w:proofErr w:type="gramStart"/>
      <w:r w:rsidRPr="00915376">
        <w:rPr>
          <w:rFonts w:ascii="Arial Narrow" w:eastAsiaTheme="minorHAnsi" w:hAnsi="Arial Narrow"/>
          <w:sz w:val="20"/>
          <w:szCs w:val="20"/>
          <w:vertAlign w:val="superscript"/>
        </w:rPr>
        <w:t>b</w:t>
      </w:r>
      <w:proofErr w:type="gramEnd"/>
      <w:r w:rsidRPr="00915376">
        <w:rPr>
          <w:rFonts w:ascii="Arial Narrow" w:eastAsiaTheme="minorHAnsi" w:hAnsi="Arial Narrow"/>
          <w:sz w:val="20"/>
          <w:szCs w:val="20"/>
          <w:vertAlign w:val="superscript"/>
        </w:rPr>
        <w:t>.</w:t>
      </w:r>
      <w:r>
        <w:rPr>
          <w:rFonts w:ascii="Arial Narrow" w:eastAsiaTheme="minorHAnsi" w:hAnsi="Arial Narrow"/>
          <w:sz w:val="20"/>
          <w:szCs w:val="20"/>
        </w:rPr>
        <w:t xml:space="preserve"> indication was listed from </w:t>
      </w:r>
      <w:r w:rsidR="007E1C71" w:rsidRPr="00F41718">
        <w:rPr>
          <w:rFonts w:ascii="Arial Narrow" w:eastAsiaTheme="minorHAnsi" w:hAnsi="Arial Narrow"/>
          <w:sz w:val="20"/>
          <w:szCs w:val="20"/>
        </w:rPr>
        <w:t>1 January 2019</w:t>
      </w:r>
    </w:p>
    <w:p w14:paraId="3643481F" w14:textId="77777777" w:rsidR="001049B6" w:rsidRPr="00F41718" w:rsidRDefault="001049B6">
      <w:pPr>
        <w:rPr>
          <w:rFonts w:asciiTheme="minorHAnsi" w:hAnsiTheme="minorHAnsi"/>
          <w:i/>
        </w:rPr>
      </w:pPr>
    </w:p>
    <w:p w14:paraId="2E12EC5B" w14:textId="709F5FBE" w:rsidR="007A77A2" w:rsidRPr="00F41718" w:rsidRDefault="007A77A2">
      <w:pPr>
        <w:spacing w:after="120"/>
        <w:ind w:firstLine="709"/>
        <w:rPr>
          <w:rFonts w:asciiTheme="minorHAnsi" w:eastAsiaTheme="minorHAnsi" w:hAnsiTheme="minorHAnsi" w:cstheme="minorBidi"/>
          <w:i/>
          <w:szCs w:val="22"/>
        </w:rPr>
      </w:pPr>
      <w:r w:rsidRPr="00F41718">
        <w:rPr>
          <w:rFonts w:asciiTheme="minorHAnsi" w:hAnsiTheme="minorHAnsi"/>
          <w:i/>
        </w:rPr>
        <w:t xml:space="preserve">For more detail on PBAC’s view, see section </w:t>
      </w:r>
      <w:r w:rsidR="009B0444" w:rsidRPr="00F41718">
        <w:rPr>
          <w:rFonts w:asciiTheme="minorHAnsi" w:hAnsiTheme="minorHAnsi"/>
          <w:i/>
        </w:rPr>
        <w:t xml:space="preserve">5 </w:t>
      </w:r>
      <w:r w:rsidRPr="00F41718">
        <w:rPr>
          <w:rFonts w:asciiTheme="minorHAnsi" w:hAnsiTheme="minorHAnsi"/>
          <w:i/>
        </w:rPr>
        <w:t>PBAC outcome.</w:t>
      </w:r>
    </w:p>
    <w:p w14:paraId="541300DB" w14:textId="77777777" w:rsidR="00C603D4" w:rsidRPr="00BF398F" w:rsidRDefault="00CE10C4" w:rsidP="00BF398F">
      <w:pPr>
        <w:pStyle w:val="PBACHeading1"/>
        <w:keepNext/>
        <w:numPr>
          <w:ilvl w:val="0"/>
          <w:numId w:val="5"/>
        </w:numPr>
        <w:spacing w:before="240" w:after="120"/>
        <w:rPr>
          <w:rFonts w:asciiTheme="minorHAnsi" w:hAnsiTheme="minorHAnsi" w:cstheme="minorHAnsi"/>
          <w:sz w:val="32"/>
          <w:szCs w:val="32"/>
        </w:rPr>
      </w:pPr>
      <w:r w:rsidRPr="00BF398F">
        <w:rPr>
          <w:rFonts w:asciiTheme="minorHAnsi" w:hAnsiTheme="minorHAnsi" w:cstheme="minorHAnsi"/>
          <w:sz w:val="32"/>
          <w:szCs w:val="32"/>
        </w:rPr>
        <w:t>Background</w:t>
      </w:r>
    </w:p>
    <w:p w14:paraId="21869D46" w14:textId="41DAB35E" w:rsidR="005B372F" w:rsidRPr="00F41718" w:rsidRDefault="005B372F" w:rsidP="00915376">
      <w:pPr>
        <w:pStyle w:val="ListParagraph"/>
        <w:widowControl/>
        <w:numPr>
          <w:ilvl w:val="1"/>
          <w:numId w:val="18"/>
        </w:numPr>
        <w:snapToGrid w:val="0"/>
        <w:spacing w:before="120" w:after="160"/>
        <w:rPr>
          <w:rFonts w:asciiTheme="minorHAnsi" w:eastAsiaTheme="minorHAnsi" w:hAnsiTheme="minorHAnsi" w:cstheme="minorBidi"/>
          <w:sz w:val="24"/>
          <w:szCs w:val="22"/>
        </w:rPr>
      </w:pPr>
      <w:r w:rsidRPr="00F41718">
        <w:rPr>
          <w:rFonts w:asciiTheme="minorHAnsi" w:eastAsiaTheme="minorHAnsi" w:hAnsiTheme="minorHAnsi" w:cstheme="minorBidi"/>
          <w:sz w:val="24"/>
          <w:szCs w:val="22"/>
        </w:rPr>
        <w:t xml:space="preserve">At its July 2015 meeting, the PBAC recommended the listing of Inflectra®, the first biosimilar brand of infliximab, </w:t>
      </w:r>
      <w:r w:rsidR="00522E55" w:rsidRPr="00F41718">
        <w:rPr>
          <w:rFonts w:asciiTheme="minorHAnsi" w:eastAsiaTheme="minorHAnsi" w:hAnsiTheme="minorHAnsi" w:cstheme="minorBidi"/>
          <w:sz w:val="24"/>
          <w:szCs w:val="22"/>
        </w:rPr>
        <w:t>and</w:t>
      </w:r>
      <w:r w:rsidRPr="00F41718">
        <w:rPr>
          <w:rFonts w:asciiTheme="minorHAnsi" w:eastAsiaTheme="minorHAnsi" w:hAnsiTheme="minorHAnsi" w:cstheme="minorBidi"/>
          <w:sz w:val="24"/>
          <w:szCs w:val="22"/>
        </w:rPr>
        <w:t xml:space="preserve"> recommended </w:t>
      </w:r>
      <w:r w:rsidR="00522E55" w:rsidRPr="00F41718">
        <w:rPr>
          <w:rFonts w:asciiTheme="minorHAnsi" w:eastAsiaTheme="minorHAnsi" w:hAnsiTheme="minorHAnsi" w:cstheme="minorBidi"/>
          <w:sz w:val="24"/>
          <w:szCs w:val="22"/>
        </w:rPr>
        <w:t xml:space="preserve">it </w:t>
      </w:r>
      <w:r w:rsidRPr="00F41718">
        <w:rPr>
          <w:rFonts w:asciiTheme="minorHAnsi" w:eastAsiaTheme="minorHAnsi" w:hAnsiTheme="minorHAnsi" w:cstheme="minorBidi"/>
          <w:sz w:val="24"/>
          <w:szCs w:val="22"/>
        </w:rPr>
        <w:t xml:space="preserve">should be treated as a schedule equivalent </w:t>
      </w:r>
      <w:r w:rsidR="00522E55" w:rsidRPr="00F41718">
        <w:rPr>
          <w:rFonts w:asciiTheme="minorHAnsi" w:eastAsiaTheme="minorHAnsi" w:hAnsiTheme="minorHAnsi" w:cstheme="minorBidi"/>
          <w:sz w:val="24"/>
          <w:szCs w:val="22"/>
        </w:rPr>
        <w:t xml:space="preserve">(i.e. </w:t>
      </w:r>
      <w:r w:rsidRPr="00F41718">
        <w:rPr>
          <w:rFonts w:asciiTheme="minorHAnsi" w:eastAsiaTheme="minorHAnsi" w:hAnsiTheme="minorHAnsi" w:cstheme="minorBidi"/>
          <w:sz w:val="24"/>
          <w:szCs w:val="22"/>
        </w:rPr>
        <w:t>‘a’ flag</w:t>
      </w:r>
      <w:r w:rsidR="00522E55" w:rsidRPr="00F41718">
        <w:rPr>
          <w:rFonts w:asciiTheme="minorHAnsi" w:eastAsiaTheme="minorHAnsi" w:hAnsiTheme="minorHAnsi" w:cstheme="minorBidi"/>
          <w:sz w:val="24"/>
          <w:szCs w:val="22"/>
        </w:rPr>
        <w:t>ged for the purposes of substitution at the pharmacy level)</w:t>
      </w:r>
      <w:r w:rsidRPr="00F41718">
        <w:rPr>
          <w:rFonts w:asciiTheme="minorHAnsi" w:eastAsiaTheme="minorHAnsi" w:hAnsiTheme="minorHAnsi" w:cstheme="minorBidi"/>
          <w:sz w:val="24"/>
          <w:szCs w:val="22"/>
        </w:rPr>
        <w:t xml:space="preserve"> to </w:t>
      </w:r>
      <w:proofErr w:type="spellStart"/>
      <w:r w:rsidRPr="00F41718">
        <w:rPr>
          <w:rFonts w:asciiTheme="minorHAnsi" w:eastAsiaTheme="minorHAnsi" w:hAnsiTheme="minorHAnsi" w:cstheme="minorBidi"/>
          <w:sz w:val="24"/>
          <w:szCs w:val="22"/>
        </w:rPr>
        <w:t>Remicade</w:t>
      </w:r>
      <w:proofErr w:type="spellEnd"/>
      <w:r w:rsidRPr="00F41718">
        <w:rPr>
          <w:rFonts w:asciiTheme="minorHAnsi" w:eastAsiaTheme="minorHAnsi" w:hAnsiTheme="minorHAnsi" w:cstheme="minorBidi"/>
          <w:sz w:val="24"/>
          <w:szCs w:val="22"/>
        </w:rPr>
        <w:t xml:space="preserve">®, the reference brand of infliximab. </w:t>
      </w:r>
    </w:p>
    <w:p w14:paraId="444C4BE3" w14:textId="77777777" w:rsidR="005B372F" w:rsidRPr="00F41718" w:rsidRDefault="005B372F" w:rsidP="00915376">
      <w:pPr>
        <w:pStyle w:val="ListParagraph"/>
        <w:widowControl/>
        <w:spacing w:before="120" w:after="160"/>
        <w:rPr>
          <w:rFonts w:asciiTheme="minorHAnsi" w:eastAsiaTheme="minorHAnsi" w:hAnsiTheme="minorHAnsi" w:cstheme="minorBidi"/>
          <w:sz w:val="24"/>
          <w:szCs w:val="22"/>
        </w:rPr>
      </w:pPr>
    </w:p>
    <w:p w14:paraId="3E082BEA" w14:textId="5BD8F9A5" w:rsidR="005B372F" w:rsidRPr="00F41718" w:rsidRDefault="005B372F" w:rsidP="00915376">
      <w:pPr>
        <w:pStyle w:val="ListParagraph"/>
        <w:widowControl/>
        <w:numPr>
          <w:ilvl w:val="1"/>
          <w:numId w:val="18"/>
        </w:numPr>
        <w:snapToGrid w:val="0"/>
        <w:spacing w:before="120" w:after="160"/>
        <w:rPr>
          <w:rFonts w:asciiTheme="minorHAnsi" w:eastAsiaTheme="minorHAnsi" w:hAnsiTheme="minorHAnsi" w:cstheme="minorBidi"/>
          <w:sz w:val="24"/>
          <w:szCs w:val="22"/>
        </w:rPr>
      </w:pPr>
      <w:r w:rsidRPr="00F41718">
        <w:rPr>
          <w:rFonts w:asciiTheme="minorHAnsi" w:eastAsiaTheme="minorHAnsi" w:hAnsiTheme="minorHAnsi" w:cstheme="minorBidi"/>
          <w:sz w:val="24"/>
          <w:szCs w:val="22"/>
        </w:rPr>
        <w:t xml:space="preserve">At its November 2016 meeting, the PBAC recommended the listing of </w:t>
      </w:r>
      <w:proofErr w:type="spellStart"/>
      <w:r w:rsidRPr="00F41718">
        <w:rPr>
          <w:rFonts w:asciiTheme="minorHAnsi" w:eastAsiaTheme="minorHAnsi" w:hAnsiTheme="minorHAnsi" w:cstheme="minorBidi"/>
          <w:sz w:val="24"/>
          <w:szCs w:val="22"/>
        </w:rPr>
        <w:t>Renflexis</w:t>
      </w:r>
      <w:proofErr w:type="spellEnd"/>
      <w:r w:rsidRPr="00F41718">
        <w:rPr>
          <w:rFonts w:asciiTheme="minorHAnsi" w:eastAsiaTheme="minorHAnsi" w:hAnsiTheme="minorHAnsi" w:cstheme="minorBidi"/>
          <w:sz w:val="24"/>
          <w:szCs w:val="22"/>
        </w:rPr>
        <w:t xml:space="preserve">®, a </w:t>
      </w:r>
      <w:r w:rsidR="00FD08F8" w:rsidRPr="00F41718">
        <w:rPr>
          <w:rFonts w:asciiTheme="minorHAnsi" w:eastAsiaTheme="minorHAnsi" w:hAnsiTheme="minorHAnsi" w:cstheme="minorBidi"/>
          <w:sz w:val="24"/>
          <w:szCs w:val="22"/>
        </w:rPr>
        <w:t xml:space="preserve">second </w:t>
      </w:r>
      <w:r w:rsidRPr="00F41718">
        <w:rPr>
          <w:rFonts w:asciiTheme="minorHAnsi" w:eastAsiaTheme="minorHAnsi" w:hAnsiTheme="minorHAnsi" w:cstheme="minorBidi"/>
          <w:sz w:val="24"/>
          <w:szCs w:val="22"/>
        </w:rPr>
        <w:t xml:space="preserve">biosimilar brand of infliximab, </w:t>
      </w:r>
      <w:r w:rsidR="00FD08F8" w:rsidRPr="00F41718">
        <w:rPr>
          <w:rFonts w:asciiTheme="minorHAnsi" w:eastAsiaTheme="minorHAnsi" w:hAnsiTheme="minorHAnsi" w:cstheme="minorBidi"/>
          <w:sz w:val="24"/>
          <w:szCs w:val="22"/>
        </w:rPr>
        <w:t>and recommended all three brands of infliximab should be treated as equivalent.</w:t>
      </w:r>
      <w:r w:rsidRPr="00F41718">
        <w:rPr>
          <w:rFonts w:asciiTheme="minorHAnsi" w:eastAsiaTheme="minorHAnsi" w:hAnsiTheme="minorHAnsi" w:cstheme="minorBidi"/>
          <w:sz w:val="24"/>
          <w:szCs w:val="22"/>
        </w:rPr>
        <w:t xml:space="preserve"> The PBAC noted that in recommending an ‘a’ flag for </w:t>
      </w:r>
      <w:proofErr w:type="spellStart"/>
      <w:r w:rsidRPr="00F41718">
        <w:rPr>
          <w:rFonts w:asciiTheme="minorHAnsi" w:eastAsiaTheme="minorHAnsi" w:hAnsiTheme="minorHAnsi" w:cstheme="minorBidi"/>
          <w:sz w:val="24"/>
          <w:szCs w:val="22"/>
        </w:rPr>
        <w:t>Renflexis</w:t>
      </w:r>
      <w:proofErr w:type="spellEnd"/>
      <w:r w:rsidRPr="00F41718">
        <w:rPr>
          <w:rFonts w:asciiTheme="minorHAnsi" w:eastAsiaTheme="minorHAnsi" w:hAnsiTheme="minorHAnsi" w:cstheme="minorBidi"/>
          <w:sz w:val="24"/>
          <w:szCs w:val="22"/>
        </w:rPr>
        <w:t xml:space="preserve">® with </w:t>
      </w:r>
      <w:proofErr w:type="spellStart"/>
      <w:r w:rsidRPr="00F41718">
        <w:rPr>
          <w:rFonts w:asciiTheme="minorHAnsi" w:eastAsiaTheme="minorHAnsi" w:hAnsiTheme="minorHAnsi" w:cstheme="minorBidi"/>
          <w:sz w:val="24"/>
          <w:szCs w:val="22"/>
        </w:rPr>
        <w:t>Remicade</w:t>
      </w:r>
      <w:proofErr w:type="spellEnd"/>
      <w:r w:rsidRPr="00F41718">
        <w:rPr>
          <w:rFonts w:asciiTheme="minorHAnsi" w:eastAsiaTheme="minorHAnsi" w:hAnsiTheme="minorHAnsi" w:cstheme="minorBidi"/>
          <w:sz w:val="24"/>
          <w:szCs w:val="22"/>
        </w:rPr>
        <w:t xml:space="preserve">®, it is possible that switches between Inflectra®, </w:t>
      </w:r>
      <w:proofErr w:type="spellStart"/>
      <w:r w:rsidRPr="00F41718">
        <w:rPr>
          <w:rFonts w:asciiTheme="minorHAnsi" w:eastAsiaTheme="minorHAnsi" w:hAnsiTheme="minorHAnsi" w:cstheme="minorBidi"/>
          <w:sz w:val="24"/>
          <w:szCs w:val="22"/>
        </w:rPr>
        <w:t>Renflexis</w:t>
      </w:r>
      <w:proofErr w:type="spellEnd"/>
      <w:r w:rsidRPr="00F41718">
        <w:rPr>
          <w:rFonts w:asciiTheme="minorHAnsi" w:eastAsiaTheme="minorHAnsi" w:hAnsiTheme="minorHAnsi" w:cstheme="minorBidi"/>
          <w:sz w:val="24"/>
          <w:szCs w:val="22"/>
        </w:rPr>
        <w:t xml:space="preserve">® and </w:t>
      </w:r>
      <w:proofErr w:type="spellStart"/>
      <w:r w:rsidRPr="00F41718">
        <w:rPr>
          <w:rFonts w:asciiTheme="minorHAnsi" w:eastAsiaTheme="minorHAnsi" w:hAnsiTheme="minorHAnsi" w:cstheme="minorBidi"/>
          <w:sz w:val="24"/>
          <w:szCs w:val="22"/>
        </w:rPr>
        <w:t>Remicade</w:t>
      </w:r>
      <w:proofErr w:type="spellEnd"/>
      <w:r w:rsidRPr="00F41718">
        <w:rPr>
          <w:rFonts w:asciiTheme="minorHAnsi" w:eastAsiaTheme="minorHAnsi" w:hAnsiTheme="minorHAnsi" w:cstheme="minorBidi"/>
          <w:sz w:val="24"/>
          <w:szCs w:val="22"/>
        </w:rPr>
        <w:t>® could occur in practice.</w:t>
      </w:r>
    </w:p>
    <w:p w14:paraId="5A8991CA" w14:textId="77777777" w:rsidR="005B372F" w:rsidRPr="00F41718" w:rsidRDefault="005B372F" w:rsidP="00915376">
      <w:pPr>
        <w:pStyle w:val="ListParagraph"/>
        <w:widowControl/>
        <w:spacing w:before="120" w:after="160"/>
        <w:rPr>
          <w:rFonts w:asciiTheme="minorHAnsi" w:eastAsiaTheme="minorHAnsi" w:hAnsiTheme="minorHAnsi" w:cstheme="minorBidi"/>
          <w:sz w:val="24"/>
          <w:szCs w:val="22"/>
        </w:rPr>
      </w:pPr>
    </w:p>
    <w:p w14:paraId="4BF79A1D" w14:textId="7F178381" w:rsidR="006A12A5" w:rsidRDefault="008F64A7" w:rsidP="00D4535A">
      <w:pPr>
        <w:pStyle w:val="ListParagraph"/>
        <w:widowControl/>
        <w:numPr>
          <w:ilvl w:val="1"/>
          <w:numId w:val="14"/>
        </w:numPr>
        <w:spacing w:before="120" w:after="160"/>
        <w:contextualSpacing w:val="0"/>
        <w:rPr>
          <w:rFonts w:asciiTheme="minorHAnsi" w:eastAsiaTheme="minorHAnsi" w:hAnsiTheme="minorHAnsi" w:cstheme="minorBidi"/>
          <w:snapToGrid/>
          <w:sz w:val="24"/>
          <w:szCs w:val="22"/>
        </w:rPr>
      </w:pPr>
      <w:r w:rsidRPr="00F41718">
        <w:rPr>
          <w:rFonts w:asciiTheme="minorHAnsi" w:eastAsiaTheme="minorHAnsi" w:hAnsiTheme="minorHAnsi" w:cstheme="minorBidi"/>
          <w:snapToGrid/>
          <w:sz w:val="24"/>
          <w:szCs w:val="22"/>
        </w:rPr>
        <w:t>T</w:t>
      </w:r>
      <w:r w:rsidR="00721EB3" w:rsidRPr="00F41718">
        <w:rPr>
          <w:rFonts w:asciiTheme="minorHAnsi" w:eastAsiaTheme="minorHAnsi" w:hAnsiTheme="minorHAnsi" w:cstheme="minorBidi"/>
          <w:snapToGrid/>
          <w:sz w:val="24"/>
          <w:szCs w:val="22"/>
        </w:rPr>
        <w:t xml:space="preserve">he PBAC recommended, at November 2017 meeting, the prescriptions for the infliximab biosimilar brands </w:t>
      </w:r>
      <w:proofErr w:type="spellStart"/>
      <w:r w:rsidR="00721EB3" w:rsidRPr="00F41718">
        <w:rPr>
          <w:rFonts w:asciiTheme="minorHAnsi" w:eastAsiaTheme="minorHAnsi" w:hAnsiTheme="minorHAnsi" w:cstheme="minorBidi"/>
          <w:snapToGrid/>
          <w:sz w:val="24"/>
          <w:szCs w:val="22"/>
        </w:rPr>
        <w:t>Renflexis</w:t>
      </w:r>
      <w:proofErr w:type="spellEnd"/>
      <w:r w:rsidR="00721EB3" w:rsidRPr="00F41718">
        <w:rPr>
          <w:rFonts w:asciiTheme="minorHAnsi" w:eastAsiaTheme="minorHAnsi" w:hAnsiTheme="minorHAnsi" w:cstheme="minorBidi"/>
          <w:snapToGrid/>
          <w:sz w:val="24"/>
          <w:szCs w:val="22"/>
        </w:rPr>
        <w:t>® and Inflectra® in public hospitals can be written using an Authority Required (STREAMLINED) code for subsequent continuing treatment for the PBS listed quantities and repeats</w:t>
      </w:r>
      <w:r w:rsidR="00FD08F8" w:rsidRPr="00F41718">
        <w:rPr>
          <w:rFonts w:asciiTheme="minorHAnsi" w:eastAsiaTheme="minorHAnsi" w:hAnsiTheme="minorHAnsi" w:cstheme="minorBidi"/>
          <w:snapToGrid/>
          <w:sz w:val="24"/>
          <w:szCs w:val="22"/>
        </w:rPr>
        <w:t>, as part of its consideration of biosimilar uptake drivers</w:t>
      </w:r>
      <w:r w:rsidR="00721EB3" w:rsidRPr="00F41718">
        <w:rPr>
          <w:rFonts w:asciiTheme="minorHAnsi" w:eastAsiaTheme="minorHAnsi" w:hAnsiTheme="minorHAnsi" w:cstheme="minorBidi"/>
          <w:snapToGrid/>
          <w:sz w:val="24"/>
          <w:szCs w:val="22"/>
        </w:rPr>
        <w:t>.</w:t>
      </w:r>
      <w:r w:rsidR="00B029E7" w:rsidRPr="00F41718">
        <w:rPr>
          <w:rFonts w:asciiTheme="minorHAnsi" w:eastAsiaTheme="minorHAnsi" w:hAnsiTheme="minorHAnsi" w:cstheme="minorBidi"/>
          <w:snapToGrid/>
          <w:sz w:val="24"/>
          <w:szCs w:val="22"/>
        </w:rPr>
        <w:t xml:space="preserve"> The</w:t>
      </w:r>
      <w:r w:rsidR="00273D65" w:rsidRPr="00F41718">
        <w:rPr>
          <w:rFonts w:asciiTheme="minorHAnsi" w:eastAsiaTheme="minorHAnsi" w:hAnsiTheme="minorHAnsi" w:cstheme="minorBidi"/>
          <w:snapToGrid/>
          <w:sz w:val="24"/>
          <w:szCs w:val="22"/>
        </w:rPr>
        <w:t xml:space="preserve"> Secretariat noted the</w:t>
      </w:r>
      <w:r w:rsidR="00142F43" w:rsidRPr="00F41718">
        <w:rPr>
          <w:rFonts w:asciiTheme="minorHAnsi" w:eastAsiaTheme="minorHAnsi" w:hAnsiTheme="minorHAnsi" w:cstheme="minorBidi"/>
          <w:snapToGrid/>
          <w:sz w:val="24"/>
          <w:szCs w:val="22"/>
        </w:rPr>
        <w:t xml:space="preserve"> current </w:t>
      </w:r>
      <w:r w:rsidR="00B029E7" w:rsidRPr="00F41718">
        <w:rPr>
          <w:rFonts w:asciiTheme="minorHAnsi" w:eastAsiaTheme="minorHAnsi" w:hAnsiTheme="minorHAnsi" w:cstheme="minorBidi"/>
          <w:snapToGrid/>
          <w:sz w:val="24"/>
          <w:szCs w:val="22"/>
        </w:rPr>
        <w:t>need for prescribers to have to seek telephone authorities for increased quantities of infliximab for a substantial number of patients.</w:t>
      </w:r>
    </w:p>
    <w:p w14:paraId="21E2EAAB" w14:textId="77777777" w:rsidR="00A028F5" w:rsidRDefault="00A94DDC" w:rsidP="000F064D">
      <w:pPr>
        <w:pStyle w:val="ListParagraph"/>
        <w:widowControl/>
        <w:numPr>
          <w:ilvl w:val="1"/>
          <w:numId w:val="14"/>
        </w:numPr>
        <w:spacing w:before="120" w:after="160"/>
        <w:contextualSpacing w:val="0"/>
        <w:rPr>
          <w:rFonts w:asciiTheme="minorHAnsi" w:eastAsiaTheme="minorHAnsi" w:hAnsiTheme="minorHAnsi" w:cstheme="minorBidi"/>
          <w:snapToGrid/>
          <w:sz w:val="24"/>
          <w:szCs w:val="22"/>
        </w:rPr>
      </w:pPr>
      <w:r w:rsidRPr="000F064D">
        <w:rPr>
          <w:rFonts w:asciiTheme="minorHAnsi" w:eastAsiaTheme="minorHAnsi" w:hAnsiTheme="minorHAnsi" w:cstheme="minorBidi"/>
          <w:snapToGrid/>
          <w:sz w:val="24"/>
          <w:szCs w:val="22"/>
        </w:rPr>
        <w:t xml:space="preserve">The TGA approved Product Information for </w:t>
      </w:r>
      <w:r w:rsidR="00F934EA" w:rsidRPr="000F064D">
        <w:rPr>
          <w:rFonts w:asciiTheme="minorHAnsi" w:eastAsiaTheme="minorHAnsi" w:hAnsiTheme="minorHAnsi" w:cstheme="minorBidi"/>
          <w:snapToGrid/>
          <w:sz w:val="24"/>
          <w:szCs w:val="22"/>
        </w:rPr>
        <w:t>infliximab (</w:t>
      </w:r>
      <w:r w:rsidRPr="000F064D">
        <w:rPr>
          <w:rFonts w:asciiTheme="minorHAnsi" w:eastAsiaTheme="minorHAnsi" w:hAnsiTheme="minorHAnsi" w:cstheme="minorBidi"/>
          <w:snapToGrid/>
          <w:sz w:val="24"/>
          <w:szCs w:val="22"/>
        </w:rPr>
        <w:t>Inflectra</w:t>
      </w:r>
      <w:r w:rsidR="00F934EA" w:rsidRPr="000F064D">
        <w:rPr>
          <w:rFonts w:asciiTheme="minorHAnsi" w:eastAsiaTheme="minorHAnsi" w:hAnsiTheme="minorHAnsi" w:cstheme="minorBidi"/>
          <w:snapToGrid/>
          <w:sz w:val="24"/>
          <w:szCs w:val="22"/>
        </w:rPr>
        <w:t>®)</w:t>
      </w:r>
      <w:r w:rsidRPr="000F064D">
        <w:rPr>
          <w:rFonts w:asciiTheme="minorHAnsi" w:eastAsiaTheme="minorHAnsi" w:hAnsiTheme="minorHAnsi" w:cstheme="minorBidi"/>
          <w:snapToGrid/>
          <w:sz w:val="24"/>
          <w:szCs w:val="22"/>
        </w:rPr>
        <w:t xml:space="preserve"> recommends weight-based dosing of 5 mg/kg </w:t>
      </w:r>
      <w:r w:rsidR="00F934EA" w:rsidRPr="000F064D">
        <w:rPr>
          <w:rFonts w:asciiTheme="minorHAnsi" w:eastAsiaTheme="minorHAnsi" w:hAnsiTheme="minorHAnsi" w:cstheme="minorBidi"/>
          <w:snapToGrid/>
          <w:sz w:val="24"/>
          <w:szCs w:val="22"/>
        </w:rPr>
        <w:t xml:space="preserve">via intravenous infusion </w:t>
      </w:r>
      <w:r w:rsidRPr="000F064D">
        <w:rPr>
          <w:rFonts w:asciiTheme="minorHAnsi" w:eastAsiaTheme="minorHAnsi" w:hAnsiTheme="minorHAnsi" w:cstheme="minorBidi"/>
          <w:snapToGrid/>
          <w:sz w:val="24"/>
          <w:szCs w:val="22"/>
        </w:rPr>
        <w:t xml:space="preserve">for the </w:t>
      </w:r>
      <w:r w:rsidR="00F934EA" w:rsidRPr="000F064D">
        <w:rPr>
          <w:rFonts w:asciiTheme="minorHAnsi" w:eastAsiaTheme="minorHAnsi" w:hAnsiTheme="minorHAnsi" w:cstheme="minorBidi"/>
          <w:snapToGrid/>
          <w:sz w:val="24"/>
          <w:szCs w:val="22"/>
        </w:rPr>
        <w:t xml:space="preserve">indications </w:t>
      </w:r>
      <w:r w:rsidR="008147E9" w:rsidRPr="000F064D">
        <w:rPr>
          <w:rFonts w:asciiTheme="minorHAnsi" w:eastAsiaTheme="minorHAnsi" w:hAnsiTheme="minorHAnsi" w:cstheme="minorBidi"/>
          <w:snapToGrid/>
          <w:sz w:val="24"/>
          <w:szCs w:val="22"/>
        </w:rPr>
        <w:t xml:space="preserve">listed </w:t>
      </w:r>
      <w:r w:rsidR="00F934EA" w:rsidRPr="000F064D">
        <w:rPr>
          <w:rFonts w:asciiTheme="minorHAnsi" w:eastAsiaTheme="minorHAnsi" w:hAnsiTheme="minorHAnsi" w:cstheme="minorBidi"/>
          <w:snapToGrid/>
          <w:sz w:val="24"/>
          <w:szCs w:val="22"/>
        </w:rPr>
        <w:t>in Table </w:t>
      </w:r>
      <w:r w:rsidRPr="000F064D">
        <w:rPr>
          <w:rFonts w:asciiTheme="minorHAnsi" w:eastAsiaTheme="minorHAnsi" w:hAnsiTheme="minorHAnsi" w:cstheme="minorBidi"/>
          <w:snapToGrid/>
          <w:sz w:val="24"/>
          <w:szCs w:val="22"/>
        </w:rPr>
        <w:t xml:space="preserve">1. </w:t>
      </w:r>
      <w:r w:rsidR="008147E9" w:rsidRPr="000F064D">
        <w:rPr>
          <w:rFonts w:asciiTheme="minorHAnsi" w:eastAsiaTheme="minorHAnsi" w:hAnsiTheme="minorHAnsi" w:cstheme="minorBidi"/>
          <w:snapToGrid/>
          <w:sz w:val="24"/>
          <w:szCs w:val="22"/>
        </w:rPr>
        <w:t>At 5 mg/kg, a</w:t>
      </w:r>
      <w:r w:rsidR="00F934EA" w:rsidRPr="000F064D">
        <w:rPr>
          <w:rFonts w:asciiTheme="minorHAnsi" w:eastAsiaTheme="minorHAnsi" w:hAnsiTheme="minorHAnsi" w:cstheme="minorBidi"/>
          <w:snapToGrid/>
          <w:sz w:val="24"/>
          <w:szCs w:val="22"/>
        </w:rPr>
        <w:t xml:space="preserve"> patient weighing more than 80 kg </w:t>
      </w:r>
      <w:r w:rsidR="008147E9" w:rsidRPr="000F064D">
        <w:rPr>
          <w:rFonts w:asciiTheme="minorHAnsi" w:eastAsiaTheme="minorHAnsi" w:hAnsiTheme="minorHAnsi" w:cstheme="minorBidi"/>
          <w:snapToGrid/>
          <w:sz w:val="24"/>
          <w:szCs w:val="22"/>
        </w:rPr>
        <w:t xml:space="preserve">would require </w:t>
      </w:r>
      <w:r w:rsidR="00F934EA" w:rsidRPr="000F064D">
        <w:rPr>
          <w:rFonts w:asciiTheme="minorHAnsi" w:eastAsiaTheme="minorHAnsi" w:hAnsiTheme="minorHAnsi" w:cstheme="minorBidi"/>
          <w:snapToGrid/>
          <w:sz w:val="24"/>
          <w:szCs w:val="22"/>
        </w:rPr>
        <w:t>more than 400 mg of infliximab per infusion.</w:t>
      </w:r>
      <w:r w:rsidR="000F064D">
        <w:rPr>
          <w:rFonts w:asciiTheme="minorHAnsi" w:eastAsiaTheme="minorHAnsi" w:hAnsiTheme="minorHAnsi" w:cstheme="minorBidi"/>
          <w:snapToGrid/>
          <w:sz w:val="24"/>
          <w:szCs w:val="22"/>
        </w:rPr>
        <w:t xml:space="preserve"> </w:t>
      </w:r>
    </w:p>
    <w:p w14:paraId="38859171" w14:textId="00C4361D" w:rsidR="00F4684B" w:rsidRPr="000F064D" w:rsidRDefault="00F4684B" w:rsidP="000F064D">
      <w:pPr>
        <w:pStyle w:val="ListParagraph"/>
        <w:widowControl/>
        <w:numPr>
          <w:ilvl w:val="1"/>
          <w:numId w:val="14"/>
        </w:numPr>
        <w:spacing w:before="120" w:after="160"/>
        <w:contextualSpacing w:val="0"/>
        <w:rPr>
          <w:rFonts w:asciiTheme="minorHAnsi" w:eastAsiaTheme="minorHAnsi" w:hAnsiTheme="minorHAnsi" w:cstheme="minorBidi"/>
          <w:snapToGrid/>
          <w:sz w:val="24"/>
          <w:szCs w:val="22"/>
        </w:rPr>
      </w:pPr>
      <w:r w:rsidRPr="000F064D">
        <w:rPr>
          <w:rFonts w:asciiTheme="minorHAnsi" w:eastAsiaTheme="minorHAnsi" w:hAnsiTheme="minorHAnsi" w:cstheme="minorBidi"/>
          <w:snapToGrid/>
          <w:sz w:val="24"/>
          <w:szCs w:val="22"/>
        </w:rPr>
        <w:lastRenderedPageBreak/>
        <w:t>Infliximab has a different weight-based dosing regimen for rheumatoid arthritis (3 mg/kg),</w:t>
      </w:r>
      <w:r w:rsidR="00A028F5">
        <w:rPr>
          <w:rFonts w:asciiTheme="minorHAnsi" w:eastAsiaTheme="minorHAnsi" w:hAnsiTheme="minorHAnsi" w:cstheme="minorBidi"/>
          <w:snapToGrid/>
          <w:sz w:val="24"/>
          <w:szCs w:val="22"/>
        </w:rPr>
        <w:t xml:space="preserve"> under which current maximum quantities and repeats would provide patients up to approximately 100 kg sufficient supply under current restriction.</w:t>
      </w:r>
      <w:r w:rsidRPr="000F064D">
        <w:rPr>
          <w:rFonts w:asciiTheme="minorHAnsi" w:eastAsiaTheme="minorHAnsi" w:hAnsiTheme="minorHAnsi" w:cstheme="minorBidi"/>
          <w:snapToGrid/>
          <w:sz w:val="24"/>
          <w:szCs w:val="22"/>
        </w:rPr>
        <w:t xml:space="preserve"> </w:t>
      </w:r>
    </w:p>
    <w:p w14:paraId="6AC996BB" w14:textId="241C654F" w:rsidR="007A77A2" w:rsidRPr="00F41718" w:rsidRDefault="007A77A2">
      <w:pPr>
        <w:spacing w:after="120"/>
        <w:ind w:firstLine="709"/>
        <w:rPr>
          <w:rFonts w:eastAsiaTheme="minorHAnsi" w:cstheme="minorBidi"/>
        </w:rPr>
      </w:pPr>
      <w:r w:rsidRPr="00F41718">
        <w:rPr>
          <w:rFonts w:asciiTheme="minorHAnsi" w:hAnsiTheme="minorHAnsi"/>
          <w:i/>
        </w:rPr>
        <w:t xml:space="preserve">For more detail on PBAC’s view, see section </w:t>
      </w:r>
      <w:r w:rsidR="00EC369E" w:rsidRPr="00F41718">
        <w:rPr>
          <w:rFonts w:asciiTheme="minorHAnsi" w:hAnsiTheme="minorHAnsi"/>
          <w:i/>
        </w:rPr>
        <w:t xml:space="preserve">5 </w:t>
      </w:r>
      <w:r w:rsidRPr="00F41718">
        <w:rPr>
          <w:rFonts w:asciiTheme="minorHAnsi" w:hAnsiTheme="minorHAnsi"/>
          <w:i/>
        </w:rPr>
        <w:t>PBAC outcome.</w:t>
      </w:r>
    </w:p>
    <w:p w14:paraId="6480206B" w14:textId="6F58232E" w:rsidR="000B558D" w:rsidRPr="00BF398F" w:rsidRDefault="008D7A41" w:rsidP="00BF398F">
      <w:pPr>
        <w:pStyle w:val="PBACHeading1"/>
        <w:keepNext/>
        <w:numPr>
          <w:ilvl w:val="0"/>
          <w:numId w:val="5"/>
        </w:numPr>
        <w:spacing w:before="240" w:after="120"/>
        <w:rPr>
          <w:rFonts w:asciiTheme="minorHAnsi" w:hAnsiTheme="minorHAnsi" w:cstheme="minorHAnsi"/>
          <w:sz w:val="32"/>
          <w:szCs w:val="32"/>
        </w:rPr>
      </w:pPr>
      <w:r w:rsidRPr="00BF398F">
        <w:rPr>
          <w:rFonts w:asciiTheme="minorHAnsi" w:hAnsiTheme="minorHAnsi" w:cstheme="minorHAnsi"/>
          <w:sz w:val="32"/>
          <w:szCs w:val="32"/>
        </w:rPr>
        <w:t>C</w:t>
      </w:r>
      <w:r w:rsidR="00D84934" w:rsidRPr="00BF398F">
        <w:rPr>
          <w:rFonts w:asciiTheme="minorHAnsi" w:hAnsiTheme="minorHAnsi" w:cstheme="minorHAnsi"/>
          <w:sz w:val="32"/>
          <w:szCs w:val="32"/>
        </w:rPr>
        <w:t>onsideration of the evidence</w:t>
      </w:r>
    </w:p>
    <w:p w14:paraId="155058BA" w14:textId="77777777" w:rsidR="007A77A2" w:rsidRPr="000F751B" w:rsidRDefault="007A77A2" w:rsidP="000F751B">
      <w:pPr>
        <w:pStyle w:val="Heading2"/>
        <w:keepLines/>
        <w:spacing w:before="240" w:after="120"/>
        <w:rPr>
          <w:rFonts w:asciiTheme="minorHAnsi" w:eastAsiaTheme="majorEastAsia" w:hAnsiTheme="minorHAnsi" w:cstheme="majorBidi"/>
          <w:sz w:val="28"/>
          <w:szCs w:val="28"/>
          <w:lang w:eastAsia="en-US"/>
        </w:rPr>
      </w:pPr>
      <w:r w:rsidRPr="000F751B">
        <w:rPr>
          <w:rFonts w:asciiTheme="minorHAnsi" w:eastAsiaTheme="majorEastAsia" w:hAnsiTheme="minorHAnsi" w:cstheme="majorBidi"/>
          <w:sz w:val="28"/>
          <w:szCs w:val="28"/>
          <w:lang w:eastAsia="en-US"/>
        </w:rPr>
        <w:t>Consumer comments</w:t>
      </w:r>
    </w:p>
    <w:p w14:paraId="4668960F" w14:textId="45BF3956" w:rsidR="007A77A2" w:rsidRPr="00F41718" w:rsidRDefault="007A77A2" w:rsidP="000F064D">
      <w:pPr>
        <w:numPr>
          <w:ilvl w:val="1"/>
          <w:numId w:val="5"/>
        </w:numPr>
        <w:spacing w:after="120"/>
        <w:jc w:val="both"/>
        <w:rPr>
          <w:rFonts w:asciiTheme="minorHAnsi" w:hAnsiTheme="minorHAnsi" w:cs="Arial"/>
          <w:bCs/>
          <w:snapToGrid w:val="0"/>
        </w:rPr>
      </w:pPr>
      <w:r w:rsidRPr="00F41718">
        <w:rPr>
          <w:rFonts w:asciiTheme="minorHAnsi" w:hAnsiTheme="minorHAnsi" w:cs="Arial"/>
          <w:bCs/>
          <w:snapToGrid w:val="0"/>
        </w:rPr>
        <w:t>The PBAC noted and welcomed the input from individuals (</w:t>
      </w:r>
      <w:r w:rsidR="00EC369E" w:rsidRPr="00F41718">
        <w:rPr>
          <w:rFonts w:asciiTheme="minorHAnsi" w:hAnsiTheme="minorHAnsi" w:cs="Arial"/>
          <w:bCs/>
          <w:snapToGrid w:val="0"/>
        </w:rPr>
        <w:t>3</w:t>
      </w:r>
      <w:r w:rsidRPr="00F41718">
        <w:rPr>
          <w:rFonts w:asciiTheme="minorHAnsi" w:hAnsiTheme="minorHAnsi" w:cs="Arial"/>
          <w:bCs/>
          <w:snapToGrid w:val="0"/>
        </w:rPr>
        <w:t xml:space="preserve">) via the Consumer Comments facility on the PBS website. The comments </w:t>
      </w:r>
      <w:r w:rsidR="00273D65" w:rsidRPr="00F41718">
        <w:rPr>
          <w:rFonts w:asciiTheme="minorHAnsi" w:hAnsiTheme="minorHAnsi" w:cs="Arial"/>
          <w:bCs/>
          <w:snapToGrid w:val="0"/>
        </w:rPr>
        <w:t>stated treatment with</w:t>
      </w:r>
      <w:r w:rsidRPr="00F41718">
        <w:rPr>
          <w:rFonts w:asciiTheme="minorHAnsi" w:hAnsiTheme="minorHAnsi" w:cs="Arial"/>
          <w:bCs/>
          <w:snapToGrid w:val="0"/>
        </w:rPr>
        <w:t xml:space="preserve"> </w:t>
      </w:r>
      <w:r w:rsidR="00EC369E" w:rsidRPr="00F41718">
        <w:rPr>
          <w:rFonts w:asciiTheme="minorHAnsi" w:hAnsiTheme="minorHAnsi" w:cs="Arial"/>
          <w:bCs/>
          <w:snapToGrid w:val="0"/>
        </w:rPr>
        <w:t>infliximab improved quali</w:t>
      </w:r>
      <w:r w:rsidR="00A76854" w:rsidRPr="00F41718">
        <w:rPr>
          <w:rFonts w:asciiTheme="minorHAnsi" w:hAnsiTheme="minorHAnsi" w:cs="Arial"/>
          <w:bCs/>
          <w:snapToGrid w:val="0"/>
        </w:rPr>
        <w:t xml:space="preserve">ty of life </w:t>
      </w:r>
      <w:r w:rsidR="00273D65" w:rsidRPr="00F41718">
        <w:rPr>
          <w:rFonts w:asciiTheme="minorHAnsi" w:hAnsiTheme="minorHAnsi" w:cs="Arial"/>
          <w:bCs/>
          <w:snapToGrid w:val="0"/>
        </w:rPr>
        <w:t>for</w:t>
      </w:r>
      <w:r w:rsidR="00A76854" w:rsidRPr="00F41718">
        <w:rPr>
          <w:rFonts w:asciiTheme="minorHAnsi" w:hAnsiTheme="minorHAnsi" w:cs="Arial"/>
          <w:bCs/>
          <w:snapToGrid w:val="0"/>
        </w:rPr>
        <w:t xml:space="preserve"> patients and their families. </w:t>
      </w:r>
    </w:p>
    <w:p w14:paraId="2477E6A5" w14:textId="77777777" w:rsidR="005B372F" w:rsidRPr="00F41718" w:rsidRDefault="005B372F" w:rsidP="00D4535A">
      <w:pPr>
        <w:pStyle w:val="Heading2"/>
        <w:keepLines/>
        <w:spacing w:before="240" w:after="120"/>
        <w:rPr>
          <w:rFonts w:asciiTheme="minorHAnsi" w:eastAsiaTheme="majorEastAsia" w:hAnsiTheme="minorHAnsi" w:cstheme="majorBidi"/>
          <w:sz w:val="28"/>
          <w:szCs w:val="28"/>
          <w:lang w:eastAsia="en-US"/>
        </w:rPr>
      </w:pPr>
      <w:r w:rsidRPr="00F41718">
        <w:rPr>
          <w:rFonts w:asciiTheme="minorHAnsi" w:eastAsiaTheme="majorEastAsia" w:hAnsiTheme="minorHAnsi" w:cstheme="majorBidi"/>
          <w:sz w:val="28"/>
          <w:szCs w:val="28"/>
          <w:lang w:eastAsia="en-US"/>
        </w:rPr>
        <w:t>Estimated PBS usage &amp; financial implications</w:t>
      </w:r>
    </w:p>
    <w:p w14:paraId="397784FA" w14:textId="06E63E21" w:rsidR="00B029E7" w:rsidRPr="00F41718" w:rsidRDefault="005B372F">
      <w:pPr>
        <w:pStyle w:val="ListParagraph"/>
        <w:widowControl/>
        <w:numPr>
          <w:ilvl w:val="1"/>
          <w:numId w:val="14"/>
        </w:numPr>
        <w:spacing w:after="120"/>
        <w:contextualSpacing w:val="0"/>
        <w:rPr>
          <w:rFonts w:asciiTheme="minorHAnsi" w:eastAsiaTheme="minorHAnsi" w:hAnsiTheme="minorHAnsi" w:cstheme="minorBidi"/>
          <w:i/>
          <w:snapToGrid/>
          <w:sz w:val="24"/>
          <w:szCs w:val="22"/>
        </w:rPr>
      </w:pPr>
      <w:r w:rsidRPr="00F41718">
        <w:rPr>
          <w:rFonts w:asciiTheme="minorHAnsi" w:hAnsiTheme="minorHAnsi"/>
          <w:sz w:val="24"/>
          <w:szCs w:val="24"/>
        </w:rPr>
        <w:t xml:space="preserve">The submission did not include </w:t>
      </w:r>
      <w:r w:rsidR="008147E9">
        <w:rPr>
          <w:rFonts w:asciiTheme="minorHAnsi" w:hAnsiTheme="minorHAnsi"/>
          <w:sz w:val="24"/>
          <w:szCs w:val="24"/>
        </w:rPr>
        <w:t xml:space="preserve">estimates of utilisation and </w:t>
      </w:r>
      <w:r w:rsidR="00522E55" w:rsidRPr="00F41718">
        <w:rPr>
          <w:rFonts w:asciiTheme="minorHAnsi" w:hAnsiTheme="minorHAnsi"/>
          <w:sz w:val="24"/>
          <w:szCs w:val="24"/>
        </w:rPr>
        <w:t xml:space="preserve">financial </w:t>
      </w:r>
      <w:r w:rsidR="008147E9">
        <w:rPr>
          <w:rFonts w:asciiTheme="minorHAnsi" w:hAnsiTheme="minorHAnsi"/>
          <w:sz w:val="24"/>
          <w:szCs w:val="24"/>
        </w:rPr>
        <w:t>implications</w:t>
      </w:r>
      <w:r w:rsidR="007142AB">
        <w:rPr>
          <w:rFonts w:asciiTheme="minorHAnsi" w:hAnsiTheme="minorHAnsi"/>
          <w:sz w:val="24"/>
          <w:szCs w:val="24"/>
        </w:rPr>
        <w:t xml:space="preserve">. The </w:t>
      </w:r>
      <w:r w:rsidR="007142AB">
        <w:rPr>
          <w:rFonts w:asciiTheme="minorHAnsi" w:eastAsiaTheme="minorHAnsi" w:hAnsiTheme="minorHAnsi" w:cstheme="minorBidi"/>
          <w:snapToGrid/>
          <w:sz w:val="24"/>
          <w:szCs w:val="22"/>
        </w:rPr>
        <w:t xml:space="preserve">submission </w:t>
      </w:r>
      <w:r w:rsidR="008147E9">
        <w:rPr>
          <w:rFonts w:asciiTheme="minorHAnsi" w:eastAsiaTheme="minorHAnsi" w:hAnsiTheme="minorHAnsi" w:cstheme="minorBidi"/>
          <w:snapToGrid/>
          <w:sz w:val="24"/>
          <w:szCs w:val="22"/>
        </w:rPr>
        <w:t xml:space="preserve">instead </w:t>
      </w:r>
      <w:r w:rsidR="00B029E7" w:rsidRPr="00F41718">
        <w:rPr>
          <w:rFonts w:asciiTheme="minorHAnsi" w:eastAsiaTheme="minorHAnsi" w:hAnsiTheme="minorHAnsi" w:cstheme="minorBidi"/>
          <w:snapToGrid/>
          <w:sz w:val="24"/>
          <w:szCs w:val="22"/>
        </w:rPr>
        <w:t>provided market research from the gastroenterology unit</w:t>
      </w:r>
      <w:r w:rsidR="00273D65" w:rsidRPr="00F41718">
        <w:rPr>
          <w:rFonts w:asciiTheme="minorHAnsi" w:eastAsiaTheme="minorHAnsi" w:hAnsiTheme="minorHAnsi" w:cstheme="minorBidi"/>
          <w:snapToGrid/>
          <w:sz w:val="24"/>
          <w:szCs w:val="22"/>
        </w:rPr>
        <w:t>s</w:t>
      </w:r>
      <w:r w:rsidR="00B029E7" w:rsidRPr="00F41718">
        <w:rPr>
          <w:rFonts w:asciiTheme="minorHAnsi" w:eastAsiaTheme="minorHAnsi" w:hAnsiTheme="minorHAnsi" w:cstheme="minorBidi"/>
          <w:snapToGrid/>
          <w:sz w:val="24"/>
          <w:szCs w:val="22"/>
        </w:rPr>
        <w:t xml:space="preserve"> of four Australian hospitals</w:t>
      </w:r>
      <w:r w:rsidR="007142AB">
        <w:rPr>
          <w:rFonts w:asciiTheme="minorHAnsi" w:eastAsiaTheme="minorHAnsi" w:hAnsiTheme="minorHAnsi" w:cstheme="minorBidi"/>
          <w:snapToGrid/>
          <w:sz w:val="24"/>
          <w:szCs w:val="22"/>
        </w:rPr>
        <w:t>:</w:t>
      </w:r>
      <w:r w:rsidR="00B029E7" w:rsidRPr="00F41718">
        <w:rPr>
          <w:rFonts w:asciiTheme="minorHAnsi" w:eastAsiaTheme="minorHAnsi" w:hAnsiTheme="minorHAnsi" w:cstheme="minorBidi"/>
          <w:snapToGrid/>
          <w:sz w:val="24"/>
          <w:szCs w:val="22"/>
        </w:rPr>
        <w:t xml:space="preserve"> St Vincent’s Hospital Sydney (NSW), Eastern Health (VIC), Fiona Stanley Hospital (WA) and the Mat</w:t>
      </w:r>
      <w:r w:rsidR="00142F43" w:rsidRPr="00F41718">
        <w:rPr>
          <w:rFonts w:asciiTheme="minorHAnsi" w:eastAsiaTheme="minorHAnsi" w:hAnsiTheme="minorHAnsi" w:cstheme="minorBidi"/>
          <w:snapToGrid/>
          <w:sz w:val="24"/>
          <w:szCs w:val="22"/>
        </w:rPr>
        <w:t>er Hospital Brisbane (QLD). Th</w:t>
      </w:r>
      <w:r w:rsidR="00B029E7" w:rsidRPr="00F41718">
        <w:rPr>
          <w:rFonts w:asciiTheme="minorHAnsi" w:eastAsiaTheme="minorHAnsi" w:hAnsiTheme="minorHAnsi" w:cstheme="minorBidi"/>
          <w:snapToGrid/>
          <w:sz w:val="24"/>
          <w:szCs w:val="22"/>
        </w:rPr>
        <w:t>e market</w:t>
      </w:r>
      <w:r w:rsidR="007142AB">
        <w:rPr>
          <w:rFonts w:asciiTheme="minorHAnsi" w:eastAsiaTheme="minorHAnsi" w:hAnsiTheme="minorHAnsi" w:cstheme="minorBidi"/>
          <w:snapToGrid/>
          <w:sz w:val="24"/>
          <w:szCs w:val="22"/>
        </w:rPr>
        <w:t xml:space="preserve"> research</w:t>
      </w:r>
      <w:r w:rsidR="00B029E7" w:rsidRPr="00F41718">
        <w:rPr>
          <w:rFonts w:asciiTheme="minorHAnsi" w:eastAsiaTheme="minorHAnsi" w:hAnsiTheme="minorHAnsi" w:cstheme="minorBidi"/>
          <w:snapToGrid/>
          <w:sz w:val="24"/>
          <w:szCs w:val="22"/>
        </w:rPr>
        <w:t xml:space="preserve"> data represented utilisation of a total 426 patients across </w:t>
      </w:r>
      <w:r w:rsidR="008147E9">
        <w:rPr>
          <w:rFonts w:asciiTheme="minorHAnsi" w:eastAsiaTheme="minorHAnsi" w:hAnsiTheme="minorHAnsi" w:cstheme="minorBidi"/>
          <w:snapToGrid/>
          <w:sz w:val="24"/>
          <w:szCs w:val="22"/>
        </w:rPr>
        <w:t xml:space="preserve">the </w:t>
      </w:r>
      <w:r w:rsidR="00B029E7" w:rsidRPr="00F41718">
        <w:rPr>
          <w:rFonts w:asciiTheme="minorHAnsi" w:eastAsiaTheme="minorHAnsi" w:hAnsiTheme="minorHAnsi" w:cstheme="minorBidi"/>
          <w:snapToGrid/>
          <w:sz w:val="24"/>
          <w:szCs w:val="22"/>
        </w:rPr>
        <w:t xml:space="preserve">four hospitals for the treatment of </w:t>
      </w:r>
      <w:r w:rsidR="008147E9">
        <w:rPr>
          <w:rFonts w:asciiTheme="minorHAnsi" w:eastAsiaTheme="minorHAnsi" w:hAnsiTheme="minorHAnsi" w:cstheme="minorBidi"/>
          <w:snapToGrid/>
          <w:sz w:val="24"/>
          <w:szCs w:val="22"/>
        </w:rPr>
        <w:t>three gastroenterological indications (</w:t>
      </w:r>
      <w:r w:rsidR="00B029E7" w:rsidRPr="00F41718">
        <w:rPr>
          <w:rFonts w:asciiTheme="minorHAnsi" w:eastAsiaTheme="minorHAnsi" w:hAnsiTheme="minorHAnsi" w:cstheme="minorBidi"/>
          <w:snapToGrid/>
          <w:sz w:val="24"/>
          <w:szCs w:val="22"/>
        </w:rPr>
        <w:t>Crohn disease, fistulising Crohn disease and ulcerative colitis</w:t>
      </w:r>
      <w:r w:rsidR="008147E9">
        <w:rPr>
          <w:rFonts w:asciiTheme="minorHAnsi" w:eastAsiaTheme="minorHAnsi" w:hAnsiTheme="minorHAnsi" w:cstheme="minorBidi"/>
          <w:snapToGrid/>
          <w:sz w:val="24"/>
          <w:szCs w:val="22"/>
        </w:rPr>
        <w:t>)</w:t>
      </w:r>
      <w:r w:rsidR="00B029E7" w:rsidRPr="00F41718">
        <w:rPr>
          <w:rFonts w:asciiTheme="minorHAnsi" w:eastAsiaTheme="minorHAnsi" w:hAnsiTheme="minorHAnsi" w:cstheme="minorBidi"/>
          <w:snapToGrid/>
          <w:sz w:val="24"/>
          <w:szCs w:val="22"/>
        </w:rPr>
        <w:t xml:space="preserve">. The submission </w:t>
      </w:r>
      <w:r w:rsidR="00617C2B">
        <w:rPr>
          <w:rFonts w:asciiTheme="minorHAnsi" w:eastAsiaTheme="minorHAnsi" w:hAnsiTheme="minorHAnsi" w:cstheme="minorBidi"/>
          <w:snapToGrid/>
          <w:sz w:val="24"/>
          <w:szCs w:val="22"/>
        </w:rPr>
        <w:t xml:space="preserve">did not include market research data for </w:t>
      </w:r>
      <w:r w:rsidR="00B029E7" w:rsidRPr="00F41718">
        <w:rPr>
          <w:rFonts w:asciiTheme="minorHAnsi" w:eastAsiaTheme="minorHAnsi" w:hAnsiTheme="minorHAnsi" w:cstheme="minorBidi"/>
          <w:snapToGrid/>
          <w:sz w:val="24"/>
          <w:szCs w:val="22"/>
        </w:rPr>
        <w:t xml:space="preserve">ankylosing spondylitis, severe psoriatic arthritis and severe chronic plaque </w:t>
      </w:r>
      <w:r w:rsidR="00F41718" w:rsidRPr="00F41718">
        <w:rPr>
          <w:rFonts w:asciiTheme="minorHAnsi" w:eastAsiaTheme="minorHAnsi" w:hAnsiTheme="minorHAnsi" w:cstheme="minorBidi"/>
          <w:snapToGrid/>
          <w:sz w:val="24"/>
          <w:szCs w:val="22"/>
        </w:rPr>
        <w:t>psoriasis</w:t>
      </w:r>
      <w:r w:rsidR="00B029E7" w:rsidRPr="00F41718">
        <w:rPr>
          <w:rFonts w:asciiTheme="minorHAnsi" w:eastAsiaTheme="minorHAnsi" w:hAnsiTheme="minorHAnsi" w:cstheme="minorBidi"/>
          <w:snapToGrid/>
          <w:sz w:val="24"/>
          <w:szCs w:val="22"/>
        </w:rPr>
        <w:t>.</w:t>
      </w:r>
      <w:r w:rsidR="00B029E7" w:rsidRPr="00F41718">
        <w:rPr>
          <w:rFonts w:asciiTheme="minorHAnsi" w:eastAsiaTheme="minorHAnsi" w:hAnsiTheme="minorHAnsi" w:cstheme="minorBidi"/>
          <w:i/>
          <w:snapToGrid/>
          <w:sz w:val="24"/>
          <w:szCs w:val="22"/>
        </w:rPr>
        <w:t xml:space="preserve"> </w:t>
      </w:r>
    </w:p>
    <w:p w14:paraId="39353766" w14:textId="60D1CC2B" w:rsidR="00B029E7" w:rsidRPr="00F41718" w:rsidRDefault="008410ED">
      <w:pPr>
        <w:pStyle w:val="ListParagraph"/>
        <w:widowControl/>
        <w:numPr>
          <w:ilvl w:val="1"/>
          <w:numId w:val="14"/>
        </w:numPr>
        <w:spacing w:after="120"/>
        <w:contextualSpacing w:val="0"/>
        <w:rPr>
          <w:rFonts w:asciiTheme="minorHAnsi" w:eastAsiaTheme="minorHAnsi" w:hAnsiTheme="minorHAnsi" w:cstheme="minorBidi"/>
          <w:snapToGrid/>
          <w:sz w:val="24"/>
          <w:szCs w:val="22"/>
        </w:rPr>
      </w:pPr>
      <w:r w:rsidRPr="00F41718">
        <w:rPr>
          <w:rFonts w:asciiTheme="minorHAnsi" w:eastAsiaTheme="minorHAnsi" w:hAnsiTheme="minorHAnsi" w:cstheme="minorBidi"/>
          <w:snapToGrid/>
          <w:sz w:val="24"/>
          <w:szCs w:val="22"/>
        </w:rPr>
        <w:t xml:space="preserve">The PBAC noted that the </w:t>
      </w:r>
      <w:r w:rsidR="00F2242F">
        <w:rPr>
          <w:rFonts w:asciiTheme="minorHAnsi" w:eastAsiaTheme="minorHAnsi" w:hAnsiTheme="minorHAnsi" w:cstheme="minorBidi"/>
          <w:snapToGrid/>
          <w:sz w:val="24"/>
          <w:szCs w:val="22"/>
        </w:rPr>
        <w:t>Department</w:t>
      </w:r>
      <w:r w:rsidR="00F2242F" w:rsidRPr="00F41718">
        <w:rPr>
          <w:rFonts w:asciiTheme="minorHAnsi" w:eastAsiaTheme="minorHAnsi" w:hAnsiTheme="minorHAnsi" w:cstheme="minorBidi"/>
          <w:snapToGrid/>
          <w:sz w:val="24"/>
          <w:szCs w:val="22"/>
        </w:rPr>
        <w:t xml:space="preserve"> </w:t>
      </w:r>
      <w:r w:rsidR="00B029E7" w:rsidRPr="00F41718">
        <w:rPr>
          <w:rFonts w:asciiTheme="minorHAnsi" w:eastAsiaTheme="minorHAnsi" w:hAnsiTheme="minorHAnsi" w:cstheme="minorBidi"/>
          <w:snapToGrid/>
          <w:sz w:val="24"/>
          <w:szCs w:val="22"/>
        </w:rPr>
        <w:t>constructed a box-whisker plot based on the patient data provided in the submission</w:t>
      </w:r>
      <w:r w:rsidR="00F2242F">
        <w:rPr>
          <w:rFonts w:asciiTheme="minorHAnsi" w:eastAsiaTheme="minorHAnsi" w:hAnsiTheme="minorHAnsi" w:cstheme="minorBidi"/>
          <w:snapToGrid/>
          <w:sz w:val="24"/>
          <w:szCs w:val="22"/>
        </w:rPr>
        <w:t xml:space="preserve"> to </w:t>
      </w:r>
      <w:r w:rsidR="00B029E7" w:rsidRPr="00F41718">
        <w:rPr>
          <w:rFonts w:asciiTheme="minorHAnsi" w:eastAsiaTheme="minorHAnsi" w:hAnsiTheme="minorHAnsi" w:cstheme="minorBidi"/>
          <w:snapToGrid/>
          <w:sz w:val="24"/>
          <w:szCs w:val="22"/>
        </w:rPr>
        <w:t xml:space="preserve">summarise the </w:t>
      </w:r>
      <w:r w:rsidR="00F2242F">
        <w:rPr>
          <w:rFonts w:asciiTheme="minorHAnsi" w:eastAsiaTheme="minorHAnsi" w:hAnsiTheme="minorHAnsi" w:cstheme="minorBidi"/>
          <w:snapToGrid/>
          <w:sz w:val="24"/>
          <w:szCs w:val="22"/>
        </w:rPr>
        <w:t xml:space="preserve">dose of infliximab </w:t>
      </w:r>
      <w:r w:rsidR="00B029E7" w:rsidRPr="00F41718">
        <w:rPr>
          <w:rFonts w:asciiTheme="minorHAnsi" w:eastAsiaTheme="minorHAnsi" w:hAnsiTheme="minorHAnsi" w:cstheme="minorBidi"/>
          <w:snapToGrid/>
          <w:sz w:val="24"/>
          <w:szCs w:val="22"/>
        </w:rPr>
        <w:t>per hospital patient (</w:t>
      </w:r>
      <w:r w:rsidR="00F2242F">
        <w:rPr>
          <w:rFonts w:asciiTheme="minorHAnsi" w:eastAsiaTheme="minorHAnsi" w:hAnsiTheme="minorHAnsi" w:cstheme="minorBidi"/>
          <w:snapToGrid/>
          <w:sz w:val="24"/>
          <w:szCs w:val="22"/>
        </w:rPr>
        <w:t xml:space="preserve">see </w:t>
      </w:r>
      <w:r w:rsidR="00B029E7" w:rsidRPr="00F41718">
        <w:rPr>
          <w:rFonts w:asciiTheme="minorHAnsi" w:eastAsiaTheme="minorHAnsi" w:hAnsiTheme="minorHAnsi" w:cstheme="minorBidi"/>
          <w:snapToGrid/>
          <w:sz w:val="24"/>
          <w:szCs w:val="22"/>
        </w:rPr>
        <w:t xml:space="preserve">Figure 1). The combined utilisation data across four hospitals indicated that around 75% of patients are </w:t>
      </w:r>
      <w:r w:rsidR="00F2242F">
        <w:rPr>
          <w:rFonts w:asciiTheme="minorHAnsi" w:eastAsiaTheme="minorHAnsi" w:hAnsiTheme="minorHAnsi" w:cstheme="minorBidi"/>
          <w:snapToGrid/>
          <w:sz w:val="24"/>
          <w:szCs w:val="22"/>
        </w:rPr>
        <w:t xml:space="preserve">receiving </w:t>
      </w:r>
      <w:r w:rsidR="00B029E7" w:rsidRPr="00F41718">
        <w:rPr>
          <w:rFonts w:asciiTheme="minorHAnsi" w:eastAsiaTheme="minorHAnsi" w:hAnsiTheme="minorHAnsi" w:cstheme="minorBidi"/>
          <w:snapToGrid/>
          <w:sz w:val="24"/>
          <w:szCs w:val="22"/>
        </w:rPr>
        <w:t xml:space="preserve">400mg or more infliximab </w:t>
      </w:r>
      <w:r w:rsidR="00F2242F">
        <w:rPr>
          <w:rFonts w:asciiTheme="minorHAnsi" w:eastAsiaTheme="minorHAnsi" w:hAnsiTheme="minorHAnsi" w:cstheme="minorBidi"/>
          <w:snapToGrid/>
          <w:sz w:val="24"/>
          <w:szCs w:val="22"/>
        </w:rPr>
        <w:t>per infusion</w:t>
      </w:r>
      <w:r w:rsidR="00B029E7" w:rsidRPr="00F41718">
        <w:rPr>
          <w:rFonts w:asciiTheme="minorHAnsi" w:eastAsiaTheme="minorHAnsi" w:hAnsiTheme="minorHAnsi" w:cstheme="minorBidi"/>
          <w:snapToGrid/>
          <w:sz w:val="24"/>
          <w:szCs w:val="22"/>
        </w:rPr>
        <w:t xml:space="preserve">. </w:t>
      </w:r>
    </w:p>
    <w:p w14:paraId="4D632703" w14:textId="0338C73F" w:rsidR="00B029E7" w:rsidRPr="00F41718" w:rsidRDefault="00B029E7">
      <w:pPr>
        <w:pStyle w:val="Caption"/>
        <w:keepNext/>
        <w:spacing w:after="0"/>
        <w:rPr>
          <w:rFonts w:eastAsiaTheme="minorHAnsi"/>
        </w:rPr>
      </w:pPr>
      <w:r w:rsidRPr="00F41718">
        <w:rPr>
          <w:rFonts w:ascii="Arial Narrow" w:hAnsi="Arial Narrow"/>
          <w:b/>
          <w:i w:val="0"/>
          <w:color w:val="000000" w:themeColor="text1"/>
          <w:sz w:val="20"/>
          <w:szCs w:val="20"/>
        </w:rPr>
        <w:lastRenderedPageBreak/>
        <w:t xml:space="preserve">Figure </w:t>
      </w:r>
      <w:r w:rsidRPr="00F41718">
        <w:rPr>
          <w:rFonts w:ascii="Arial Narrow" w:hAnsi="Arial Narrow"/>
          <w:b/>
          <w:iCs w:val="0"/>
          <w:color w:val="000000" w:themeColor="text1"/>
          <w:sz w:val="20"/>
          <w:szCs w:val="20"/>
        </w:rPr>
        <w:fldChar w:fldCharType="begin"/>
      </w:r>
      <w:r w:rsidRPr="00F41718">
        <w:rPr>
          <w:rFonts w:ascii="Arial Narrow" w:hAnsi="Arial Narrow"/>
          <w:b/>
          <w:i w:val="0"/>
          <w:color w:val="000000" w:themeColor="text1"/>
          <w:sz w:val="20"/>
          <w:szCs w:val="20"/>
        </w:rPr>
        <w:instrText xml:space="preserve"> SEQ Figure \* ARABIC </w:instrText>
      </w:r>
      <w:r w:rsidRPr="00F41718">
        <w:rPr>
          <w:rFonts w:ascii="Arial Narrow" w:hAnsi="Arial Narrow"/>
          <w:b/>
          <w:iCs w:val="0"/>
          <w:color w:val="000000" w:themeColor="text1"/>
          <w:sz w:val="20"/>
          <w:szCs w:val="20"/>
        </w:rPr>
        <w:fldChar w:fldCharType="separate"/>
      </w:r>
      <w:r w:rsidR="005E7D61">
        <w:rPr>
          <w:rFonts w:ascii="Arial Narrow" w:hAnsi="Arial Narrow"/>
          <w:b/>
          <w:i w:val="0"/>
          <w:noProof/>
          <w:color w:val="000000" w:themeColor="text1"/>
          <w:sz w:val="20"/>
          <w:szCs w:val="20"/>
        </w:rPr>
        <w:t>1</w:t>
      </w:r>
      <w:r w:rsidRPr="00F41718">
        <w:rPr>
          <w:rFonts w:ascii="Arial Narrow" w:hAnsi="Arial Narrow"/>
          <w:b/>
          <w:iCs w:val="0"/>
          <w:color w:val="000000" w:themeColor="text1"/>
          <w:sz w:val="20"/>
          <w:szCs w:val="20"/>
        </w:rPr>
        <w:fldChar w:fldCharType="end"/>
      </w:r>
      <w:r w:rsidRPr="00F41718">
        <w:rPr>
          <w:rFonts w:ascii="Arial Narrow" w:hAnsi="Arial Narrow"/>
          <w:b/>
          <w:i w:val="0"/>
          <w:color w:val="000000" w:themeColor="text1"/>
          <w:sz w:val="20"/>
          <w:szCs w:val="20"/>
        </w:rPr>
        <w:t xml:space="preserve">: Infliximab </w:t>
      </w:r>
      <w:r w:rsidR="00A77C19">
        <w:rPr>
          <w:rFonts w:ascii="Arial Narrow" w:hAnsi="Arial Narrow"/>
          <w:b/>
          <w:i w:val="0"/>
          <w:color w:val="000000" w:themeColor="text1"/>
          <w:sz w:val="20"/>
          <w:szCs w:val="20"/>
        </w:rPr>
        <w:t>dose per</w:t>
      </w:r>
      <w:r w:rsidR="00A77C19" w:rsidRPr="00F41718">
        <w:rPr>
          <w:rFonts w:ascii="Arial Narrow" w:hAnsi="Arial Narrow"/>
          <w:b/>
          <w:i w:val="0"/>
          <w:color w:val="000000" w:themeColor="text1"/>
          <w:sz w:val="20"/>
          <w:szCs w:val="20"/>
        </w:rPr>
        <w:t xml:space="preserve"> </w:t>
      </w:r>
      <w:r w:rsidRPr="00F41718">
        <w:rPr>
          <w:rFonts w:ascii="Arial Narrow" w:hAnsi="Arial Narrow"/>
          <w:b/>
          <w:i w:val="0"/>
          <w:color w:val="000000" w:themeColor="text1"/>
          <w:sz w:val="20"/>
          <w:szCs w:val="20"/>
        </w:rPr>
        <w:t>hospital patient</w:t>
      </w:r>
      <w:r w:rsidR="00273D65" w:rsidRPr="00F41718">
        <w:rPr>
          <w:rFonts w:ascii="Arial Narrow" w:hAnsi="Arial Narrow"/>
          <w:b/>
          <w:i w:val="0"/>
          <w:color w:val="000000" w:themeColor="text1"/>
          <w:sz w:val="20"/>
          <w:szCs w:val="20"/>
        </w:rPr>
        <w:t xml:space="preserve"> for gastroenterological conditions</w:t>
      </w:r>
    </w:p>
    <w:p w14:paraId="6FDC735B" w14:textId="470F9F53" w:rsidR="00B029E7" w:rsidRPr="00F41718" w:rsidRDefault="00884C1F">
      <w:pPr>
        <w:rPr>
          <w:rFonts w:ascii="Arial Narrow" w:eastAsiaTheme="minorHAnsi" w:hAnsi="Arial Narrow"/>
          <w:sz w:val="20"/>
          <w:szCs w:val="20"/>
        </w:rPr>
      </w:pPr>
      <w:r>
        <w:rPr>
          <w:rFonts w:ascii="Arial Narrow" w:eastAsiaTheme="minorHAnsi" w:hAnsi="Arial Narrow"/>
          <w:noProof/>
          <w:sz w:val="20"/>
          <w:szCs w:val="20"/>
        </w:rPr>
        <w:drawing>
          <wp:inline distT="0" distB="0" distL="0" distR="0" wp14:anchorId="12AD7CD7" wp14:editId="73F925DC">
            <wp:extent cx="5871210" cy="3062605"/>
            <wp:effectExtent l="19050" t="19050" r="15240" b="23495"/>
            <wp:docPr id="6" name="Picture 6" title="Figure 1: Infliximab dose per hospital patient for gastroenterological condi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8">
                      <a:extLst>
                        <a:ext uri="{28A0092B-C50C-407E-A947-70E740481C1C}">
                          <a14:useLocalDpi xmlns:a14="http://schemas.microsoft.com/office/drawing/2010/main" val="0"/>
                        </a:ext>
                      </a:extLst>
                    </a:blip>
                    <a:srcRect/>
                    <a:stretch/>
                  </pic:blipFill>
                  <pic:spPr bwMode="auto">
                    <a:xfrm>
                      <a:off x="0" y="0"/>
                      <a:ext cx="5871210" cy="3062605"/>
                    </a:xfrm>
                    <a:prstGeom prst="rect">
                      <a:avLst/>
                    </a:prstGeom>
                    <a:noFill/>
                    <a:ln>
                      <a:solidFill>
                        <a:schemeClr val="bg1">
                          <a:lumMod val="85000"/>
                        </a:schemeClr>
                      </a:solidFill>
                    </a:ln>
                    <a:extLst>
                      <a:ext uri="{53640926-AAD7-44D8-BBD7-CCE9431645EC}">
                        <a14:shadowObscured xmlns:a14="http://schemas.microsoft.com/office/drawing/2010/main"/>
                      </a:ext>
                    </a:extLst>
                  </pic:spPr>
                </pic:pic>
              </a:graphicData>
            </a:graphic>
          </wp:inline>
        </w:drawing>
      </w:r>
      <w:r>
        <w:rPr>
          <w:rFonts w:ascii="Arial Narrow" w:eastAsiaTheme="minorHAnsi" w:hAnsi="Arial Narrow"/>
          <w:sz w:val="20"/>
          <w:szCs w:val="20"/>
        </w:rPr>
        <w:t>Figure</w:t>
      </w:r>
      <w:r w:rsidRPr="00F41718">
        <w:rPr>
          <w:rFonts w:ascii="Arial Narrow" w:eastAsiaTheme="minorHAnsi" w:hAnsi="Arial Narrow"/>
          <w:sz w:val="20"/>
          <w:szCs w:val="20"/>
        </w:rPr>
        <w:t xml:space="preserve"> </w:t>
      </w:r>
      <w:r w:rsidR="0003255F" w:rsidRPr="00F41718">
        <w:rPr>
          <w:rFonts w:ascii="Arial Narrow" w:eastAsiaTheme="minorHAnsi" w:hAnsi="Arial Narrow"/>
          <w:sz w:val="20"/>
          <w:szCs w:val="20"/>
        </w:rPr>
        <w:t xml:space="preserve">prepared by the </w:t>
      </w:r>
      <w:r w:rsidR="001049B6">
        <w:rPr>
          <w:rFonts w:ascii="Arial Narrow" w:eastAsiaTheme="minorHAnsi" w:hAnsi="Arial Narrow"/>
          <w:sz w:val="20"/>
          <w:szCs w:val="20"/>
        </w:rPr>
        <w:t>Department</w:t>
      </w:r>
      <w:r w:rsidR="0003255F" w:rsidRPr="00F41718">
        <w:rPr>
          <w:rFonts w:ascii="Arial Narrow" w:eastAsiaTheme="minorHAnsi" w:hAnsi="Arial Narrow"/>
          <w:sz w:val="20"/>
          <w:szCs w:val="20"/>
        </w:rPr>
        <w:t xml:space="preserve"> based on d</w:t>
      </w:r>
      <w:r w:rsidR="00B029E7" w:rsidRPr="00F41718">
        <w:rPr>
          <w:rFonts w:ascii="Arial Narrow" w:eastAsiaTheme="minorHAnsi" w:hAnsi="Arial Narrow"/>
          <w:sz w:val="20"/>
          <w:szCs w:val="20"/>
        </w:rPr>
        <w:t>ata sourced from hospital market research</w:t>
      </w:r>
      <w:r w:rsidR="0003255F" w:rsidRPr="00F41718">
        <w:rPr>
          <w:rFonts w:ascii="Arial Narrow" w:eastAsiaTheme="minorHAnsi" w:hAnsi="Arial Narrow"/>
          <w:sz w:val="20"/>
          <w:szCs w:val="20"/>
        </w:rPr>
        <w:t xml:space="preserve"> included in the submission</w:t>
      </w:r>
    </w:p>
    <w:p w14:paraId="77425F05" w14:textId="77777777" w:rsidR="00B029E7" w:rsidRPr="00F41718" w:rsidRDefault="00B029E7">
      <w:pPr>
        <w:rPr>
          <w:rFonts w:eastAsiaTheme="minorHAnsi"/>
        </w:rPr>
      </w:pPr>
    </w:p>
    <w:p w14:paraId="4844317C" w14:textId="1F0B992F" w:rsidR="00B029E7" w:rsidRPr="00F41718" w:rsidRDefault="00B029E7">
      <w:pPr>
        <w:pStyle w:val="ListParagraph"/>
        <w:widowControl/>
        <w:numPr>
          <w:ilvl w:val="1"/>
          <w:numId w:val="14"/>
        </w:numPr>
        <w:spacing w:after="120"/>
        <w:contextualSpacing w:val="0"/>
        <w:rPr>
          <w:rFonts w:asciiTheme="minorHAnsi" w:eastAsiaTheme="minorHAnsi" w:hAnsiTheme="minorHAnsi" w:cstheme="minorBidi"/>
          <w:snapToGrid/>
          <w:sz w:val="24"/>
          <w:szCs w:val="22"/>
        </w:rPr>
      </w:pPr>
      <w:r w:rsidRPr="00F41718">
        <w:rPr>
          <w:rFonts w:asciiTheme="minorHAnsi" w:eastAsiaTheme="minorHAnsi" w:hAnsiTheme="minorHAnsi" w:cstheme="minorBidi"/>
          <w:snapToGrid/>
          <w:sz w:val="24"/>
          <w:szCs w:val="22"/>
        </w:rPr>
        <w:t>The submission provided patient weight</w:t>
      </w:r>
      <w:r w:rsidR="0003255F" w:rsidRPr="00F41718">
        <w:rPr>
          <w:rFonts w:asciiTheme="minorHAnsi" w:eastAsiaTheme="minorHAnsi" w:hAnsiTheme="minorHAnsi" w:cstheme="minorBidi"/>
          <w:snapToGrid/>
          <w:sz w:val="24"/>
          <w:szCs w:val="22"/>
        </w:rPr>
        <w:t xml:space="preserve"> data</w:t>
      </w:r>
      <w:r w:rsidRPr="00F41718">
        <w:rPr>
          <w:rFonts w:asciiTheme="minorHAnsi" w:eastAsiaTheme="minorHAnsi" w:hAnsiTheme="minorHAnsi" w:cstheme="minorBidi"/>
          <w:snapToGrid/>
          <w:sz w:val="24"/>
          <w:szCs w:val="22"/>
        </w:rPr>
        <w:t xml:space="preserve"> for three hospitals (n=299, </w:t>
      </w:r>
      <w:r w:rsidR="00F2242F">
        <w:rPr>
          <w:rFonts w:asciiTheme="minorHAnsi" w:eastAsiaTheme="minorHAnsi" w:hAnsiTheme="minorHAnsi" w:cstheme="minorBidi"/>
          <w:snapToGrid/>
          <w:sz w:val="24"/>
          <w:szCs w:val="22"/>
        </w:rPr>
        <w:t xml:space="preserve">summarised by the Department in </w:t>
      </w:r>
      <w:r w:rsidRPr="00F41718">
        <w:rPr>
          <w:rFonts w:asciiTheme="minorHAnsi" w:eastAsiaTheme="minorHAnsi" w:hAnsiTheme="minorHAnsi" w:cstheme="minorBidi"/>
          <w:snapToGrid/>
          <w:sz w:val="24"/>
          <w:szCs w:val="22"/>
        </w:rPr>
        <w:t>Figure</w:t>
      </w:r>
      <w:r w:rsidR="0003255F" w:rsidRPr="00F41718">
        <w:rPr>
          <w:rFonts w:asciiTheme="minorHAnsi" w:eastAsiaTheme="minorHAnsi" w:hAnsiTheme="minorHAnsi" w:cstheme="minorBidi"/>
          <w:snapToGrid/>
          <w:sz w:val="24"/>
          <w:szCs w:val="22"/>
        </w:rPr>
        <w:t> </w:t>
      </w:r>
      <w:r w:rsidRPr="00F41718">
        <w:rPr>
          <w:rFonts w:asciiTheme="minorHAnsi" w:eastAsiaTheme="minorHAnsi" w:hAnsiTheme="minorHAnsi" w:cstheme="minorBidi"/>
          <w:snapToGrid/>
          <w:sz w:val="24"/>
          <w:szCs w:val="22"/>
        </w:rPr>
        <w:t>2). The weight distribution of the combined patient data indicated a median of 75.6 kg with a standard deviation of 20.8</w:t>
      </w:r>
      <w:r w:rsidR="00EE5E79">
        <w:rPr>
          <w:rFonts w:asciiTheme="minorHAnsi" w:eastAsiaTheme="minorHAnsi" w:hAnsiTheme="minorHAnsi" w:cstheme="minorBidi"/>
          <w:snapToGrid/>
          <w:sz w:val="24"/>
          <w:szCs w:val="22"/>
        </w:rPr>
        <w:t> </w:t>
      </w:r>
      <w:r w:rsidRPr="00F41718">
        <w:rPr>
          <w:rFonts w:asciiTheme="minorHAnsi" w:eastAsiaTheme="minorHAnsi" w:hAnsiTheme="minorHAnsi" w:cstheme="minorBidi"/>
          <w:snapToGrid/>
          <w:sz w:val="24"/>
          <w:szCs w:val="22"/>
        </w:rPr>
        <w:t xml:space="preserve">kg. </w:t>
      </w:r>
      <w:r w:rsidR="00AF7FA7">
        <w:rPr>
          <w:rFonts w:asciiTheme="minorHAnsi" w:eastAsiaTheme="minorHAnsi" w:hAnsiTheme="minorHAnsi" w:cstheme="minorBidi"/>
          <w:snapToGrid/>
          <w:sz w:val="24"/>
          <w:szCs w:val="22"/>
        </w:rPr>
        <w:t>A</w:t>
      </w:r>
      <w:r w:rsidR="00AF7FA7" w:rsidRPr="00AF7FA7">
        <w:rPr>
          <w:rFonts w:asciiTheme="minorHAnsi" w:eastAsiaTheme="minorHAnsi" w:hAnsiTheme="minorHAnsi" w:cstheme="minorBidi"/>
          <w:snapToGrid/>
          <w:sz w:val="24"/>
          <w:szCs w:val="22"/>
        </w:rPr>
        <w:t>round 42% of the analysed patients were over 80 kg</w:t>
      </w:r>
      <w:r w:rsidR="00AF7FA7">
        <w:rPr>
          <w:rFonts w:asciiTheme="minorHAnsi" w:eastAsiaTheme="minorHAnsi" w:hAnsiTheme="minorHAnsi" w:cstheme="minorBidi"/>
          <w:snapToGrid/>
          <w:sz w:val="24"/>
          <w:szCs w:val="22"/>
        </w:rPr>
        <w:t xml:space="preserve"> and would have therefore required more than </w:t>
      </w:r>
      <w:r w:rsidR="00CD707C">
        <w:rPr>
          <w:rFonts w:asciiTheme="minorHAnsi" w:eastAsiaTheme="minorHAnsi" w:hAnsiTheme="minorHAnsi" w:cstheme="minorBidi"/>
          <w:snapToGrid/>
          <w:sz w:val="24"/>
          <w:szCs w:val="22"/>
        </w:rPr>
        <w:t>the maximum quantity of 4 vials (</w:t>
      </w:r>
      <w:r w:rsidR="00AF7FA7">
        <w:rPr>
          <w:rFonts w:asciiTheme="minorHAnsi" w:eastAsiaTheme="minorHAnsi" w:hAnsiTheme="minorHAnsi" w:cstheme="minorBidi"/>
          <w:snapToGrid/>
          <w:sz w:val="24"/>
          <w:szCs w:val="22"/>
        </w:rPr>
        <w:t>400 mg</w:t>
      </w:r>
      <w:r w:rsidR="00CD707C">
        <w:rPr>
          <w:rFonts w:asciiTheme="minorHAnsi" w:eastAsiaTheme="minorHAnsi" w:hAnsiTheme="minorHAnsi" w:cstheme="minorBidi"/>
          <w:snapToGrid/>
          <w:sz w:val="24"/>
          <w:szCs w:val="22"/>
        </w:rPr>
        <w:t>)</w:t>
      </w:r>
      <w:r w:rsidR="00AF7FA7">
        <w:rPr>
          <w:rFonts w:asciiTheme="minorHAnsi" w:eastAsiaTheme="minorHAnsi" w:hAnsiTheme="minorHAnsi" w:cstheme="minorBidi"/>
          <w:snapToGrid/>
          <w:sz w:val="24"/>
          <w:szCs w:val="22"/>
        </w:rPr>
        <w:t xml:space="preserve"> of infliximab per infusion.</w:t>
      </w:r>
    </w:p>
    <w:p w14:paraId="7B2B46D2" w14:textId="77777777" w:rsidR="00B029E7" w:rsidRPr="00F41718" w:rsidRDefault="00B029E7">
      <w:pPr>
        <w:rPr>
          <w:rFonts w:eastAsiaTheme="minorHAnsi"/>
        </w:rPr>
      </w:pPr>
    </w:p>
    <w:p w14:paraId="77828D23" w14:textId="2AB10D95" w:rsidR="00B029E7" w:rsidRPr="00F41718" w:rsidRDefault="00B029E7">
      <w:pPr>
        <w:pStyle w:val="Caption"/>
        <w:keepNext/>
        <w:spacing w:after="0"/>
        <w:rPr>
          <w:rFonts w:eastAsiaTheme="minorHAnsi"/>
        </w:rPr>
      </w:pPr>
      <w:r w:rsidRPr="00F41718">
        <w:rPr>
          <w:rFonts w:ascii="Arial Narrow" w:hAnsi="Arial Narrow"/>
          <w:b/>
          <w:i w:val="0"/>
          <w:color w:val="000000" w:themeColor="text1"/>
          <w:sz w:val="20"/>
          <w:szCs w:val="20"/>
        </w:rPr>
        <w:lastRenderedPageBreak/>
        <w:t xml:space="preserve">Figure </w:t>
      </w:r>
      <w:r w:rsidRPr="00F41718">
        <w:rPr>
          <w:rFonts w:ascii="Arial Narrow" w:hAnsi="Arial Narrow"/>
          <w:b/>
          <w:iCs w:val="0"/>
          <w:color w:val="000000" w:themeColor="text1"/>
          <w:sz w:val="20"/>
          <w:szCs w:val="20"/>
        </w:rPr>
        <w:fldChar w:fldCharType="begin"/>
      </w:r>
      <w:r w:rsidRPr="00F41718">
        <w:rPr>
          <w:rFonts w:ascii="Arial Narrow" w:hAnsi="Arial Narrow"/>
          <w:b/>
          <w:i w:val="0"/>
          <w:color w:val="000000" w:themeColor="text1"/>
          <w:sz w:val="20"/>
          <w:szCs w:val="20"/>
        </w:rPr>
        <w:instrText xml:space="preserve"> SEQ Figure \* ARABIC </w:instrText>
      </w:r>
      <w:r w:rsidRPr="00F41718">
        <w:rPr>
          <w:rFonts w:ascii="Arial Narrow" w:hAnsi="Arial Narrow"/>
          <w:b/>
          <w:iCs w:val="0"/>
          <w:color w:val="000000" w:themeColor="text1"/>
          <w:sz w:val="20"/>
          <w:szCs w:val="20"/>
        </w:rPr>
        <w:fldChar w:fldCharType="separate"/>
      </w:r>
      <w:r w:rsidR="005E7D61">
        <w:rPr>
          <w:rFonts w:ascii="Arial Narrow" w:hAnsi="Arial Narrow"/>
          <w:b/>
          <w:i w:val="0"/>
          <w:noProof/>
          <w:color w:val="000000" w:themeColor="text1"/>
          <w:sz w:val="20"/>
          <w:szCs w:val="20"/>
        </w:rPr>
        <w:t>2</w:t>
      </w:r>
      <w:r w:rsidRPr="00F41718">
        <w:rPr>
          <w:rFonts w:ascii="Arial Narrow" w:hAnsi="Arial Narrow"/>
          <w:b/>
          <w:iCs w:val="0"/>
          <w:color w:val="000000" w:themeColor="text1"/>
          <w:sz w:val="20"/>
          <w:szCs w:val="20"/>
        </w:rPr>
        <w:fldChar w:fldCharType="end"/>
      </w:r>
      <w:r w:rsidRPr="00F41718">
        <w:rPr>
          <w:rFonts w:ascii="Arial Narrow" w:hAnsi="Arial Narrow"/>
          <w:b/>
          <w:i w:val="0"/>
          <w:color w:val="000000" w:themeColor="text1"/>
          <w:sz w:val="20"/>
          <w:szCs w:val="20"/>
        </w:rPr>
        <w:t xml:space="preserve">: Weight distribution for hospital patients </w:t>
      </w:r>
      <w:r w:rsidR="0003255F" w:rsidRPr="00F41718">
        <w:rPr>
          <w:rFonts w:ascii="Arial Narrow" w:hAnsi="Arial Narrow"/>
          <w:b/>
          <w:i w:val="0"/>
          <w:color w:val="000000" w:themeColor="text1"/>
          <w:sz w:val="20"/>
          <w:szCs w:val="20"/>
        </w:rPr>
        <w:t xml:space="preserve">treated with </w:t>
      </w:r>
      <w:r w:rsidRPr="00F41718">
        <w:rPr>
          <w:rFonts w:ascii="Arial Narrow" w:hAnsi="Arial Narrow"/>
          <w:b/>
          <w:i w:val="0"/>
          <w:color w:val="000000" w:themeColor="text1"/>
          <w:sz w:val="20"/>
          <w:szCs w:val="20"/>
        </w:rPr>
        <w:t xml:space="preserve">infliximab </w:t>
      </w:r>
      <w:r w:rsidR="0003255F" w:rsidRPr="00F41718">
        <w:rPr>
          <w:rFonts w:ascii="Arial Narrow" w:hAnsi="Arial Narrow"/>
          <w:b/>
          <w:i w:val="0"/>
          <w:color w:val="000000" w:themeColor="text1"/>
          <w:sz w:val="20"/>
          <w:szCs w:val="20"/>
        </w:rPr>
        <w:t>for gastroenterological conditions</w:t>
      </w:r>
    </w:p>
    <w:p w14:paraId="18BC858D" w14:textId="6AE21534" w:rsidR="0003255F" w:rsidRPr="00F41718" w:rsidRDefault="00884C1F">
      <w:pPr>
        <w:rPr>
          <w:rFonts w:ascii="Arial Narrow" w:eastAsiaTheme="minorHAnsi" w:hAnsi="Arial Narrow"/>
          <w:sz w:val="20"/>
          <w:szCs w:val="20"/>
        </w:rPr>
      </w:pPr>
      <w:r>
        <w:rPr>
          <w:rFonts w:ascii="Arial Narrow" w:eastAsiaTheme="minorHAnsi" w:hAnsi="Arial Narrow"/>
          <w:noProof/>
          <w:sz w:val="20"/>
          <w:szCs w:val="20"/>
        </w:rPr>
        <w:drawing>
          <wp:inline distT="0" distB="0" distL="0" distR="0" wp14:anchorId="3E53A4F1" wp14:editId="09B51B94">
            <wp:extent cx="5736590" cy="3142827"/>
            <wp:effectExtent l="19050" t="19050" r="16510" b="19685"/>
            <wp:docPr id="4" name="Picture 4" title="Figure 2: Weight distribution for hospital patients treated with infliximab for gastroenterological condi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9">
                      <a:extLst>
                        <a:ext uri="{28A0092B-C50C-407E-A947-70E740481C1C}">
                          <a14:useLocalDpi xmlns:a14="http://schemas.microsoft.com/office/drawing/2010/main" val="0"/>
                        </a:ext>
                      </a:extLst>
                    </a:blip>
                    <a:srcRect t="8629" b="7950"/>
                    <a:stretch/>
                  </pic:blipFill>
                  <pic:spPr bwMode="auto">
                    <a:xfrm>
                      <a:off x="0" y="0"/>
                      <a:ext cx="5736590" cy="3142827"/>
                    </a:xfrm>
                    <a:prstGeom prst="rect">
                      <a:avLst/>
                    </a:prstGeom>
                    <a:noFill/>
                    <a:ln>
                      <a:solidFill>
                        <a:schemeClr val="bg1">
                          <a:lumMod val="85000"/>
                        </a:schemeClr>
                      </a:solidFill>
                    </a:ln>
                    <a:extLst>
                      <a:ext uri="{53640926-AAD7-44D8-BBD7-CCE9431645EC}">
                        <a14:shadowObscured xmlns:a14="http://schemas.microsoft.com/office/drawing/2010/main"/>
                      </a:ext>
                    </a:extLst>
                  </pic:spPr>
                </pic:pic>
              </a:graphicData>
            </a:graphic>
          </wp:inline>
        </w:drawing>
      </w:r>
      <w:r>
        <w:rPr>
          <w:rFonts w:ascii="Arial Narrow" w:eastAsiaTheme="minorHAnsi" w:hAnsi="Arial Narrow"/>
          <w:sz w:val="20"/>
          <w:szCs w:val="20"/>
        </w:rPr>
        <w:t>Figure</w:t>
      </w:r>
      <w:r w:rsidRPr="00F41718">
        <w:rPr>
          <w:rFonts w:ascii="Arial Narrow" w:eastAsiaTheme="minorHAnsi" w:hAnsi="Arial Narrow"/>
          <w:sz w:val="20"/>
          <w:szCs w:val="20"/>
        </w:rPr>
        <w:t xml:space="preserve"> </w:t>
      </w:r>
      <w:r w:rsidR="0003255F" w:rsidRPr="00F41718">
        <w:rPr>
          <w:rFonts w:ascii="Arial Narrow" w:eastAsiaTheme="minorHAnsi" w:hAnsi="Arial Narrow"/>
          <w:sz w:val="20"/>
          <w:szCs w:val="20"/>
        </w:rPr>
        <w:t>prepared by the Secretariat based on data sourced from hospital market research included in the submission</w:t>
      </w:r>
    </w:p>
    <w:p w14:paraId="11535C0C" w14:textId="77777777" w:rsidR="00B029E7" w:rsidRPr="00F41718" w:rsidRDefault="00B029E7">
      <w:pPr>
        <w:rPr>
          <w:rFonts w:eastAsiaTheme="minorHAnsi"/>
        </w:rPr>
      </w:pPr>
    </w:p>
    <w:p w14:paraId="4C246702" w14:textId="7664FDEC" w:rsidR="00F20540" w:rsidRDefault="0043582D">
      <w:pPr>
        <w:pStyle w:val="ListParagraph"/>
        <w:widowControl/>
        <w:numPr>
          <w:ilvl w:val="1"/>
          <w:numId w:val="14"/>
        </w:numPr>
        <w:spacing w:after="120"/>
        <w:contextualSpacing w:val="0"/>
        <w:rPr>
          <w:rFonts w:asciiTheme="minorHAnsi" w:eastAsiaTheme="minorHAnsi" w:hAnsiTheme="minorHAnsi" w:cstheme="minorBidi"/>
          <w:snapToGrid/>
          <w:sz w:val="24"/>
          <w:szCs w:val="22"/>
        </w:rPr>
      </w:pPr>
      <w:r w:rsidRPr="00F41718">
        <w:rPr>
          <w:rFonts w:asciiTheme="minorHAnsi" w:eastAsiaTheme="minorHAnsi" w:hAnsiTheme="minorHAnsi" w:cstheme="minorBidi"/>
          <w:snapToGrid/>
          <w:sz w:val="24"/>
          <w:szCs w:val="22"/>
        </w:rPr>
        <w:t xml:space="preserve">The </w:t>
      </w:r>
      <w:r w:rsidR="003372B4">
        <w:rPr>
          <w:rFonts w:asciiTheme="minorHAnsi" w:eastAsiaTheme="minorHAnsi" w:hAnsiTheme="minorHAnsi" w:cstheme="minorBidi"/>
          <w:snapToGrid/>
          <w:sz w:val="24"/>
          <w:szCs w:val="22"/>
        </w:rPr>
        <w:t>Department</w:t>
      </w:r>
      <w:r w:rsidR="008410ED" w:rsidRPr="00F41718">
        <w:rPr>
          <w:rFonts w:asciiTheme="minorHAnsi" w:eastAsiaTheme="minorHAnsi" w:hAnsiTheme="minorHAnsi" w:cstheme="minorBidi"/>
          <w:snapToGrid/>
          <w:sz w:val="24"/>
          <w:szCs w:val="22"/>
        </w:rPr>
        <w:t xml:space="preserve"> </w:t>
      </w:r>
      <w:r w:rsidRPr="00F41718">
        <w:rPr>
          <w:rFonts w:asciiTheme="minorHAnsi" w:eastAsiaTheme="minorHAnsi" w:hAnsiTheme="minorHAnsi" w:cstheme="minorBidi"/>
          <w:snapToGrid/>
          <w:sz w:val="24"/>
          <w:szCs w:val="22"/>
        </w:rPr>
        <w:t>conduct</w:t>
      </w:r>
      <w:r w:rsidR="008410ED" w:rsidRPr="00F41718">
        <w:rPr>
          <w:rFonts w:asciiTheme="minorHAnsi" w:eastAsiaTheme="minorHAnsi" w:hAnsiTheme="minorHAnsi" w:cstheme="minorBidi"/>
          <w:snapToGrid/>
          <w:sz w:val="24"/>
          <w:szCs w:val="22"/>
        </w:rPr>
        <w:t>ed</w:t>
      </w:r>
      <w:r w:rsidRPr="00F41718">
        <w:rPr>
          <w:rFonts w:asciiTheme="minorHAnsi" w:eastAsiaTheme="minorHAnsi" w:hAnsiTheme="minorHAnsi" w:cstheme="minorBidi"/>
          <w:snapToGrid/>
          <w:sz w:val="24"/>
          <w:szCs w:val="22"/>
        </w:rPr>
        <w:t xml:space="preserve"> a</w:t>
      </w:r>
      <w:r w:rsidR="003372B4">
        <w:rPr>
          <w:rFonts w:asciiTheme="minorHAnsi" w:eastAsiaTheme="minorHAnsi" w:hAnsiTheme="minorHAnsi" w:cstheme="minorBidi"/>
          <w:snapToGrid/>
          <w:sz w:val="24"/>
          <w:szCs w:val="22"/>
        </w:rPr>
        <w:t>n</w:t>
      </w:r>
      <w:r w:rsidR="00F20540" w:rsidRPr="00F41718">
        <w:rPr>
          <w:rFonts w:asciiTheme="minorHAnsi" w:eastAsiaTheme="minorHAnsi" w:hAnsiTheme="minorHAnsi" w:cstheme="minorBidi"/>
          <w:snapToGrid/>
          <w:sz w:val="24"/>
          <w:szCs w:val="22"/>
        </w:rPr>
        <w:t xml:space="preserve"> analysis </w:t>
      </w:r>
      <w:r w:rsidR="00AF7FA7">
        <w:rPr>
          <w:rFonts w:asciiTheme="minorHAnsi" w:eastAsiaTheme="minorHAnsi" w:hAnsiTheme="minorHAnsi" w:cstheme="minorBidi"/>
          <w:snapToGrid/>
          <w:sz w:val="24"/>
          <w:szCs w:val="22"/>
        </w:rPr>
        <w:t>of</w:t>
      </w:r>
      <w:r w:rsidR="00F20540" w:rsidRPr="00F41718">
        <w:rPr>
          <w:rFonts w:asciiTheme="minorHAnsi" w:eastAsiaTheme="minorHAnsi" w:hAnsiTheme="minorHAnsi" w:cstheme="minorBidi"/>
          <w:snapToGrid/>
          <w:sz w:val="24"/>
          <w:szCs w:val="22"/>
        </w:rPr>
        <w:t xml:space="preserve"> PBS data to quantify the number of prescriptions in 2018 for subsequent continuing treatment where more than </w:t>
      </w:r>
      <w:r w:rsidR="00F41718" w:rsidRPr="00F41718">
        <w:rPr>
          <w:rFonts w:asciiTheme="minorHAnsi" w:eastAsiaTheme="minorHAnsi" w:hAnsiTheme="minorHAnsi" w:cstheme="minorBidi"/>
          <w:snapToGrid/>
          <w:sz w:val="24"/>
          <w:szCs w:val="22"/>
        </w:rPr>
        <w:t>four</w:t>
      </w:r>
      <w:r w:rsidR="00F20540" w:rsidRPr="00F41718">
        <w:rPr>
          <w:rFonts w:asciiTheme="minorHAnsi" w:eastAsiaTheme="minorHAnsi" w:hAnsiTheme="minorHAnsi" w:cstheme="minorBidi"/>
          <w:snapToGrid/>
          <w:sz w:val="24"/>
          <w:szCs w:val="22"/>
        </w:rPr>
        <w:t xml:space="preserve"> vials were dispensed. As shown in Table </w:t>
      </w:r>
      <w:r w:rsidR="00AF7FA7">
        <w:rPr>
          <w:rFonts w:asciiTheme="minorHAnsi" w:eastAsiaTheme="minorHAnsi" w:hAnsiTheme="minorHAnsi" w:cstheme="minorBidi"/>
          <w:snapToGrid/>
          <w:sz w:val="24"/>
          <w:szCs w:val="22"/>
        </w:rPr>
        <w:t>2</w:t>
      </w:r>
      <w:r w:rsidR="00F20540" w:rsidRPr="00F41718">
        <w:rPr>
          <w:rFonts w:asciiTheme="minorHAnsi" w:eastAsiaTheme="minorHAnsi" w:hAnsiTheme="minorHAnsi" w:cstheme="minorBidi"/>
          <w:snapToGrid/>
          <w:sz w:val="24"/>
          <w:szCs w:val="22"/>
        </w:rPr>
        <w:t xml:space="preserve">, the </w:t>
      </w:r>
      <w:r w:rsidR="00F41718" w:rsidRPr="00F41718">
        <w:rPr>
          <w:rFonts w:asciiTheme="minorHAnsi" w:eastAsiaTheme="minorHAnsi" w:hAnsiTheme="minorHAnsi" w:cstheme="minorBidi"/>
          <w:snapToGrid/>
          <w:sz w:val="24"/>
          <w:szCs w:val="22"/>
        </w:rPr>
        <w:t>five</w:t>
      </w:r>
      <w:r w:rsidR="00F20540" w:rsidRPr="00F41718">
        <w:rPr>
          <w:rFonts w:asciiTheme="minorHAnsi" w:eastAsiaTheme="minorHAnsi" w:hAnsiTheme="minorHAnsi" w:cstheme="minorBidi"/>
          <w:snapToGrid/>
          <w:sz w:val="24"/>
          <w:szCs w:val="22"/>
        </w:rPr>
        <w:t xml:space="preserve"> or more vials </w:t>
      </w:r>
      <w:r w:rsidR="003372B4">
        <w:rPr>
          <w:rFonts w:asciiTheme="minorHAnsi" w:eastAsiaTheme="minorHAnsi" w:hAnsiTheme="minorHAnsi" w:cstheme="minorBidi"/>
          <w:snapToGrid/>
          <w:sz w:val="24"/>
          <w:szCs w:val="22"/>
        </w:rPr>
        <w:t xml:space="preserve">were </w:t>
      </w:r>
      <w:r w:rsidR="00F20540" w:rsidRPr="00F41718">
        <w:rPr>
          <w:rFonts w:asciiTheme="minorHAnsi" w:eastAsiaTheme="minorHAnsi" w:hAnsiTheme="minorHAnsi" w:cstheme="minorBidi"/>
          <w:snapToGrid/>
          <w:sz w:val="24"/>
          <w:szCs w:val="22"/>
        </w:rPr>
        <w:t xml:space="preserve">dispensed </w:t>
      </w:r>
      <w:r w:rsidR="003372B4">
        <w:rPr>
          <w:rFonts w:asciiTheme="minorHAnsi" w:eastAsiaTheme="minorHAnsi" w:hAnsiTheme="minorHAnsi" w:cstheme="minorBidi"/>
          <w:snapToGrid/>
          <w:sz w:val="24"/>
          <w:szCs w:val="22"/>
        </w:rPr>
        <w:t xml:space="preserve">for </w:t>
      </w:r>
      <w:r w:rsidR="00F20540" w:rsidRPr="00F41718">
        <w:rPr>
          <w:rFonts w:asciiTheme="minorHAnsi" w:eastAsiaTheme="minorHAnsi" w:hAnsiTheme="minorHAnsi" w:cstheme="minorBidi"/>
          <w:snapToGrid/>
          <w:sz w:val="24"/>
          <w:szCs w:val="22"/>
        </w:rPr>
        <w:t>41.</w:t>
      </w:r>
      <w:r w:rsidR="006342AE">
        <w:rPr>
          <w:rFonts w:asciiTheme="minorHAnsi" w:eastAsiaTheme="minorHAnsi" w:hAnsiTheme="minorHAnsi" w:cstheme="minorBidi"/>
          <w:snapToGrid/>
          <w:sz w:val="24"/>
          <w:szCs w:val="22"/>
        </w:rPr>
        <w:t>7</w:t>
      </w:r>
      <w:r w:rsidR="00F20540" w:rsidRPr="00F41718">
        <w:rPr>
          <w:rFonts w:asciiTheme="minorHAnsi" w:eastAsiaTheme="minorHAnsi" w:hAnsiTheme="minorHAnsi" w:cstheme="minorBidi"/>
          <w:snapToGrid/>
          <w:sz w:val="24"/>
          <w:szCs w:val="22"/>
        </w:rPr>
        <w:t xml:space="preserve">% </w:t>
      </w:r>
      <w:r w:rsidR="003372B4">
        <w:rPr>
          <w:rFonts w:asciiTheme="minorHAnsi" w:eastAsiaTheme="minorHAnsi" w:hAnsiTheme="minorHAnsi" w:cstheme="minorBidi"/>
          <w:snapToGrid/>
          <w:sz w:val="24"/>
          <w:szCs w:val="22"/>
        </w:rPr>
        <w:t xml:space="preserve">of prescriptions </w:t>
      </w:r>
      <w:r w:rsidR="00F20540" w:rsidRPr="00F41718">
        <w:rPr>
          <w:rFonts w:asciiTheme="minorHAnsi" w:eastAsiaTheme="minorHAnsi" w:hAnsiTheme="minorHAnsi" w:cstheme="minorBidi"/>
          <w:snapToGrid/>
          <w:sz w:val="24"/>
          <w:szCs w:val="22"/>
        </w:rPr>
        <w:t xml:space="preserve">across all of </w:t>
      </w:r>
      <w:r w:rsidR="003372B4">
        <w:rPr>
          <w:rFonts w:asciiTheme="minorHAnsi" w:eastAsiaTheme="minorHAnsi" w:hAnsiTheme="minorHAnsi" w:cstheme="minorBidi"/>
          <w:snapToGrid/>
          <w:sz w:val="24"/>
          <w:szCs w:val="22"/>
        </w:rPr>
        <w:t xml:space="preserve">the listed indications for </w:t>
      </w:r>
      <w:r w:rsidR="00F20540" w:rsidRPr="00F41718">
        <w:rPr>
          <w:rFonts w:asciiTheme="minorHAnsi" w:eastAsiaTheme="minorHAnsi" w:hAnsiTheme="minorHAnsi" w:cstheme="minorBidi"/>
          <w:snapToGrid/>
          <w:sz w:val="24"/>
          <w:szCs w:val="22"/>
        </w:rPr>
        <w:t xml:space="preserve">infliximab. </w:t>
      </w:r>
      <w:r w:rsidR="00A928F3" w:rsidRPr="00F41718">
        <w:rPr>
          <w:rFonts w:asciiTheme="minorHAnsi" w:eastAsiaTheme="minorHAnsi" w:hAnsiTheme="minorHAnsi" w:cstheme="minorBidi"/>
          <w:snapToGrid/>
          <w:sz w:val="24"/>
          <w:szCs w:val="22"/>
        </w:rPr>
        <w:t>The PBAC noted that this utilisation analysis was</w:t>
      </w:r>
      <w:r w:rsidR="00F20540" w:rsidRPr="00F41718">
        <w:rPr>
          <w:rFonts w:asciiTheme="minorHAnsi" w:eastAsiaTheme="minorHAnsi" w:hAnsiTheme="minorHAnsi" w:cstheme="minorBidi"/>
          <w:snapToGrid/>
          <w:sz w:val="24"/>
          <w:szCs w:val="22"/>
        </w:rPr>
        <w:t xml:space="preserve"> consistent with the sponsor’s research.</w:t>
      </w:r>
    </w:p>
    <w:p w14:paraId="1B6E4A16" w14:textId="77777777" w:rsidR="00095DC2" w:rsidRPr="00F41718" w:rsidRDefault="00095DC2">
      <w:pPr>
        <w:pStyle w:val="ListParagraph"/>
        <w:widowControl/>
        <w:numPr>
          <w:ilvl w:val="1"/>
          <w:numId w:val="14"/>
        </w:numPr>
        <w:spacing w:after="120"/>
        <w:contextualSpacing w:val="0"/>
        <w:rPr>
          <w:rFonts w:asciiTheme="minorHAnsi" w:eastAsiaTheme="minorHAnsi" w:hAnsiTheme="minorHAnsi" w:cstheme="minorBidi"/>
          <w:snapToGrid/>
          <w:sz w:val="24"/>
          <w:szCs w:val="22"/>
        </w:rPr>
      </w:pPr>
    </w:p>
    <w:p w14:paraId="0E582DE0" w14:textId="28924853" w:rsidR="00F20540" w:rsidRPr="00F41718" w:rsidRDefault="00F20540">
      <w:pPr>
        <w:rPr>
          <w:rFonts w:ascii="Arial Narrow" w:hAnsi="Arial Narrow" w:cstheme="minorHAnsi"/>
          <w:b/>
          <w:sz w:val="20"/>
          <w:szCs w:val="20"/>
        </w:rPr>
      </w:pPr>
      <w:r w:rsidRPr="00F41718">
        <w:rPr>
          <w:rFonts w:ascii="Arial Narrow" w:hAnsi="Arial Narrow" w:cstheme="minorHAnsi"/>
          <w:b/>
          <w:sz w:val="20"/>
          <w:szCs w:val="20"/>
        </w:rPr>
        <w:t xml:space="preserve">Table </w:t>
      </w:r>
      <w:r w:rsidR="00AF7FA7">
        <w:rPr>
          <w:rFonts w:ascii="Arial Narrow" w:hAnsi="Arial Narrow" w:cstheme="minorHAnsi"/>
          <w:b/>
          <w:sz w:val="20"/>
          <w:szCs w:val="20"/>
        </w:rPr>
        <w:t>2</w:t>
      </w:r>
      <w:r w:rsidRPr="00F41718">
        <w:rPr>
          <w:rFonts w:ascii="Arial Narrow" w:hAnsi="Arial Narrow" w:cstheme="minorHAnsi"/>
          <w:b/>
          <w:sz w:val="20"/>
          <w:szCs w:val="20"/>
        </w:rPr>
        <w:t xml:space="preserve">: </w:t>
      </w:r>
      <w:r w:rsidR="00FF0A7B">
        <w:rPr>
          <w:rFonts w:ascii="Arial Narrow" w:hAnsi="Arial Narrow" w:cstheme="minorHAnsi"/>
          <w:b/>
          <w:sz w:val="20"/>
          <w:szCs w:val="20"/>
        </w:rPr>
        <w:t>Infliximab p</w:t>
      </w:r>
      <w:r w:rsidRPr="00F41718">
        <w:rPr>
          <w:rFonts w:ascii="Arial Narrow" w:hAnsi="Arial Narrow" w:cstheme="minorHAnsi"/>
          <w:b/>
          <w:sz w:val="20"/>
          <w:szCs w:val="20"/>
        </w:rPr>
        <w:t>rescriptions in 2018 for subsequent continuing treatment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52"/>
        <w:gridCol w:w="1863"/>
        <w:gridCol w:w="1863"/>
        <w:gridCol w:w="1864"/>
      </w:tblGrid>
      <w:tr w:rsidR="00FF0A7B" w:rsidRPr="00FF0A7B" w14:paraId="60107B46" w14:textId="77777777" w:rsidTr="00095DC2">
        <w:trPr>
          <w:trHeight w:val="283"/>
        </w:trPr>
        <w:tc>
          <w:tcPr>
            <w:tcW w:w="3652" w:type="dxa"/>
            <w:shd w:val="clear" w:color="auto" w:fill="auto"/>
            <w:noWrap/>
            <w:vAlign w:val="center"/>
            <w:hideMark/>
          </w:tcPr>
          <w:p w14:paraId="67E4A318" w14:textId="30CE8B03" w:rsidR="00FF0A7B" w:rsidRPr="00095DC2" w:rsidRDefault="00056D44">
            <w:pPr>
              <w:rPr>
                <w:rFonts w:ascii="Arial Narrow" w:hAnsi="Arial Narrow"/>
                <w:b/>
                <w:sz w:val="20"/>
                <w:szCs w:val="20"/>
              </w:rPr>
            </w:pPr>
            <w:r w:rsidRPr="00095DC2">
              <w:rPr>
                <w:rFonts w:ascii="Arial Narrow" w:hAnsi="Arial Narrow"/>
                <w:b/>
                <w:sz w:val="20"/>
                <w:szCs w:val="20"/>
              </w:rPr>
              <w:t>Indication</w:t>
            </w:r>
          </w:p>
        </w:tc>
        <w:tc>
          <w:tcPr>
            <w:tcW w:w="1863" w:type="dxa"/>
            <w:shd w:val="clear" w:color="auto" w:fill="auto"/>
            <w:noWrap/>
            <w:vAlign w:val="center"/>
            <w:hideMark/>
          </w:tcPr>
          <w:p w14:paraId="4951BCD0" w14:textId="0EED4DE1" w:rsidR="00FF0A7B" w:rsidRPr="00095DC2" w:rsidRDefault="00FF0A7B">
            <w:pPr>
              <w:jc w:val="center"/>
              <w:rPr>
                <w:rFonts w:ascii="Arial Narrow" w:hAnsi="Arial Narrow" w:cs="Calibri"/>
                <w:b/>
                <w:bCs/>
                <w:sz w:val="20"/>
                <w:szCs w:val="20"/>
              </w:rPr>
            </w:pPr>
            <w:r w:rsidRPr="00095DC2">
              <w:rPr>
                <w:rFonts w:ascii="Arial Narrow" w:hAnsi="Arial Narrow" w:cs="Calibri"/>
                <w:b/>
                <w:bCs/>
                <w:sz w:val="20"/>
                <w:szCs w:val="20"/>
              </w:rPr>
              <w:t>Total prescriptions</w:t>
            </w:r>
          </w:p>
        </w:tc>
        <w:tc>
          <w:tcPr>
            <w:tcW w:w="1863" w:type="dxa"/>
            <w:shd w:val="clear" w:color="auto" w:fill="auto"/>
            <w:noWrap/>
            <w:vAlign w:val="center"/>
            <w:hideMark/>
          </w:tcPr>
          <w:p w14:paraId="5FC56362" w14:textId="40D16D48" w:rsidR="00FF0A7B" w:rsidRPr="00095DC2" w:rsidRDefault="00FF0A7B">
            <w:pPr>
              <w:jc w:val="center"/>
              <w:rPr>
                <w:rFonts w:ascii="Arial Narrow" w:hAnsi="Arial Narrow" w:cs="Calibri"/>
                <w:b/>
                <w:bCs/>
                <w:sz w:val="20"/>
                <w:szCs w:val="20"/>
              </w:rPr>
            </w:pPr>
            <w:r>
              <w:rPr>
                <w:rFonts w:ascii="Arial Narrow" w:hAnsi="Arial Narrow" w:cs="Calibri"/>
                <w:b/>
                <w:bCs/>
                <w:sz w:val="20"/>
                <w:szCs w:val="20"/>
              </w:rPr>
              <w:t>Prescriptions</w:t>
            </w:r>
            <w:r w:rsidRPr="00095DC2">
              <w:rPr>
                <w:rFonts w:ascii="Arial Narrow" w:hAnsi="Arial Narrow" w:cs="Calibri"/>
                <w:b/>
                <w:bCs/>
                <w:sz w:val="20"/>
                <w:szCs w:val="20"/>
              </w:rPr>
              <w:t xml:space="preserve"> with</w:t>
            </w:r>
          </w:p>
          <w:p w14:paraId="32828F0E" w14:textId="4889E3D4" w:rsidR="00FF0A7B" w:rsidRPr="00095DC2" w:rsidRDefault="00FF0A7B">
            <w:pPr>
              <w:jc w:val="center"/>
              <w:rPr>
                <w:rFonts w:ascii="Arial Narrow" w:hAnsi="Arial Narrow" w:cs="Calibri"/>
                <w:b/>
                <w:bCs/>
                <w:sz w:val="20"/>
                <w:szCs w:val="20"/>
              </w:rPr>
            </w:pPr>
            <w:r>
              <w:rPr>
                <w:rFonts w:ascii="Arial Narrow" w:hAnsi="Arial Narrow" w:cs="Calibri"/>
                <w:b/>
                <w:bCs/>
                <w:sz w:val="20"/>
                <w:szCs w:val="20"/>
              </w:rPr>
              <w:t>≥</w:t>
            </w:r>
            <w:r w:rsidRPr="00095DC2">
              <w:rPr>
                <w:rFonts w:ascii="Arial Narrow" w:hAnsi="Arial Narrow" w:cs="Calibri"/>
                <w:b/>
                <w:bCs/>
                <w:sz w:val="20"/>
                <w:szCs w:val="20"/>
              </w:rPr>
              <w:t>5 vials dispensed</w:t>
            </w:r>
          </w:p>
        </w:tc>
        <w:tc>
          <w:tcPr>
            <w:tcW w:w="1864" w:type="dxa"/>
            <w:shd w:val="clear" w:color="auto" w:fill="auto"/>
            <w:noWrap/>
            <w:vAlign w:val="center"/>
            <w:hideMark/>
          </w:tcPr>
          <w:p w14:paraId="55B6C781" w14:textId="7185BF99" w:rsidR="00FF0A7B" w:rsidRPr="00095DC2" w:rsidRDefault="00FF0A7B">
            <w:pPr>
              <w:jc w:val="center"/>
              <w:rPr>
                <w:rFonts w:ascii="Arial Narrow" w:hAnsi="Arial Narrow" w:cs="Calibri"/>
                <w:b/>
                <w:bCs/>
                <w:sz w:val="20"/>
                <w:szCs w:val="20"/>
              </w:rPr>
            </w:pPr>
            <w:r w:rsidRPr="00095DC2">
              <w:rPr>
                <w:rFonts w:ascii="Arial Narrow" w:hAnsi="Arial Narrow" w:cs="Calibri"/>
                <w:b/>
                <w:bCs/>
                <w:sz w:val="20"/>
                <w:szCs w:val="20"/>
              </w:rPr>
              <w:t>Proportion</w:t>
            </w:r>
            <w:r w:rsidR="009013D6">
              <w:rPr>
                <w:rFonts w:ascii="Arial Narrow" w:hAnsi="Arial Narrow" w:cs="Calibri"/>
                <w:b/>
                <w:bCs/>
                <w:sz w:val="20"/>
                <w:szCs w:val="20"/>
              </w:rPr>
              <w:t xml:space="preserve"> (%)</w:t>
            </w:r>
            <w:r w:rsidRPr="00095DC2">
              <w:rPr>
                <w:rFonts w:ascii="Arial Narrow" w:hAnsi="Arial Narrow" w:cs="Calibri"/>
                <w:b/>
                <w:bCs/>
                <w:sz w:val="20"/>
                <w:szCs w:val="20"/>
              </w:rPr>
              <w:t xml:space="preserve"> of </w:t>
            </w:r>
            <w:r w:rsidR="009013D6">
              <w:rPr>
                <w:rFonts w:ascii="Arial Narrow" w:hAnsi="Arial Narrow" w:cs="Calibri"/>
                <w:b/>
                <w:bCs/>
                <w:sz w:val="20"/>
                <w:szCs w:val="20"/>
              </w:rPr>
              <w:t>prescriptions</w:t>
            </w:r>
            <w:r w:rsidR="009013D6" w:rsidRPr="00095DC2">
              <w:rPr>
                <w:rFonts w:ascii="Arial Narrow" w:hAnsi="Arial Narrow" w:cs="Calibri"/>
                <w:b/>
                <w:bCs/>
                <w:sz w:val="20"/>
                <w:szCs w:val="20"/>
              </w:rPr>
              <w:t xml:space="preserve"> </w:t>
            </w:r>
            <w:r w:rsidRPr="00095DC2">
              <w:rPr>
                <w:rFonts w:ascii="Arial Narrow" w:hAnsi="Arial Narrow" w:cs="Calibri"/>
                <w:b/>
                <w:bCs/>
                <w:sz w:val="20"/>
                <w:szCs w:val="20"/>
              </w:rPr>
              <w:t xml:space="preserve">with </w:t>
            </w:r>
            <w:r>
              <w:rPr>
                <w:rFonts w:ascii="Arial Narrow" w:hAnsi="Arial Narrow" w:cs="Calibri"/>
                <w:b/>
                <w:bCs/>
                <w:sz w:val="20"/>
                <w:szCs w:val="20"/>
              </w:rPr>
              <w:t>≥</w:t>
            </w:r>
            <w:r w:rsidRPr="00095DC2">
              <w:rPr>
                <w:rFonts w:ascii="Arial Narrow" w:hAnsi="Arial Narrow" w:cs="Calibri"/>
                <w:b/>
                <w:bCs/>
                <w:sz w:val="20"/>
                <w:szCs w:val="20"/>
              </w:rPr>
              <w:t>5 vials dispensed</w:t>
            </w:r>
          </w:p>
        </w:tc>
      </w:tr>
      <w:tr w:rsidR="00FF0A7B" w:rsidRPr="00FF0A7B" w14:paraId="778762E1" w14:textId="77777777" w:rsidTr="00095DC2">
        <w:trPr>
          <w:trHeight w:val="283"/>
        </w:trPr>
        <w:tc>
          <w:tcPr>
            <w:tcW w:w="3652" w:type="dxa"/>
            <w:shd w:val="clear" w:color="auto" w:fill="auto"/>
            <w:noWrap/>
            <w:hideMark/>
          </w:tcPr>
          <w:p w14:paraId="6B168E31" w14:textId="77777777" w:rsidR="00FF0A7B" w:rsidRPr="00095DC2" w:rsidRDefault="00FF0A7B" w:rsidP="00D4535A">
            <w:pPr>
              <w:rPr>
                <w:rFonts w:ascii="Arial Narrow" w:hAnsi="Arial Narrow" w:cs="Calibri"/>
                <w:color w:val="000000" w:themeColor="text1"/>
                <w:sz w:val="20"/>
                <w:szCs w:val="20"/>
              </w:rPr>
            </w:pPr>
            <w:r w:rsidRPr="00095DC2">
              <w:rPr>
                <w:rFonts w:ascii="Arial Narrow" w:hAnsi="Arial Narrow" w:cs="Calibri"/>
                <w:color w:val="000000" w:themeColor="text1"/>
                <w:sz w:val="20"/>
                <w:szCs w:val="20"/>
              </w:rPr>
              <w:t>Ankylosing spondylitis</w:t>
            </w:r>
          </w:p>
        </w:tc>
        <w:tc>
          <w:tcPr>
            <w:tcW w:w="1863" w:type="dxa"/>
            <w:shd w:val="clear" w:color="auto" w:fill="auto"/>
            <w:noWrap/>
            <w:hideMark/>
          </w:tcPr>
          <w:p w14:paraId="5B59E7DC" w14:textId="6979D14D" w:rsidR="00FF0A7B" w:rsidRPr="00095DC2" w:rsidRDefault="00FF0A7B" w:rsidP="00D4535A">
            <w:pPr>
              <w:jc w:val="center"/>
              <w:rPr>
                <w:rFonts w:ascii="Arial Narrow" w:hAnsi="Arial Narrow" w:cs="Calibri"/>
                <w:color w:val="000000" w:themeColor="text1"/>
                <w:sz w:val="20"/>
                <w:szCs w:val="20"/>
              </w:rPr>
            </w:pPr>
            <w:r w:rsidRPr="00095DC2">
              <w:rPr>
                <w:rFonts w:ascii="Arial Narrow" w:hAnsi="Arial Narrow" w:cs="Calibri"/>
                <w:color w:val="000000" w:themeColor="text1"/>
                <w:sz w:val="20"/>
                <w:szCs w:val="20"/>
              </w:rPr>
              <w:t>80</w:t>
            </w:r>
          </w:p>
        </w:tc>
        <w:tc>
          <w:tcPr>
            <w:tcW w:w="1863" w:type="dxa"/>
            <w:shd w:val="clear" w:color="auto" w:fill="auto"/>
            <w:noWrap/>
            <w:hideMark/>
          </w:tcPr>
          <w:p w14:paraId="2320B8B8" w14:textId="77777777" w:rsidR="00FF0A7B" w:rsidRPr="00095DC2" w:rsidRDefault="00FF0A7B" w:rsidP="00D4535A">
            <w:pPr>
              <w:jc w:val="center"/>
              <w:rPr>
                <w:rFonts w:ascii="Arial Narrow" w:hAnsi="Arial Narrow" w:cs="Calibri"/>
                <w:color w:val="000000" w:themeColor="text1"/>
                <w:sz w:val="20"/>
                <w:szCs w:val="20"/>
              </w:rPr>
            </w:pPr>
            <w:r w:rsidRPr="00095DC2">
              <w:rPr>
                <w:rFonts w:ascii="Arial Narrow" w:hAnsi="Arial Narrow" w:cs="Calibri"/>
                <w:color w:val="000000" w:themeColor="text1"/>
                <w:sz w:val="20"/>
                <w:szCs w:val="20"/>
              </w:rPr>
              <w:t>52</w:t>
            </w:r>
          </w:p>
        </w:tc>
        <w:tc>
          <w:tcPr>
            <w:tcW w:w="1864" w:type="dxa"/>
            <w:shd w:val="clear" w:color="auto" w:fill="auto"/>
            <w:noWrap/>
            <w:hideMark/>
          </w:tcPr>
          <w:p w14:paraId="395B1D7F" w14:textId="77777777" w:rsidR="00FF0A7B" w:rsidRPr="00095DC2" w:rsidRDefault="00FF0A7B" w:rsidP="00D4535A">
            <w:pPr>
              <w:jc w:val="center"/>
              <w:rPr>
                <w:rFonts w:ascii="Arial Narrow" w:hAnsi="Arial Narrow" w:cs="Calibri"/>
                <w:color w:val="000000" w:themeColor="text1"/>
                <w:sz w:val="20"/>
                <w:szCs w:val="20"/>
              </w:rPr>
            </w:pPr>
            <w:r w:rsidRPr="00095DC2">
              <w:rPr>
                <w:rFonts w:ascii="Arial Narrow" w:hAnsi="Arial Narrow" w:cs="Calibri"/>
                <w:color w:val="000000" w:themeColor="text1"/>
                <w:sz w:val="20"/>
                <w:szCs w:val="20"/>
              </w:rPr>
              <w:t>65.0%</w:t>
            </w:r>
          </w:p>
        </w:tc>
      </w:tr>
      <w:tr w:rsidR="00FF0A7B" w:rsidRPr="00FF0A7B" w14:paraId="23A9FD09" w14:textId="77777777" w:rsidTr="00095DC2">
        <w:trPr>
          <w:trHeight w:val="283"/>
        </w:trPr>
        <w:tc>
          <w:tcPr>
            <w:tcW w:w="3652" w:type="dxa"/>
            <w:shd w:val="clear" w:color="auto" w:fill="auto"/>
            <w:noWrap/>
            <w:hideMark/>
          </w:tcPr>
          <w:p w14:paraId="1FE95876" w14:textId="77777777" w:rsidR="00FF0A7B" w:rsidRPr="00095DC2" w:rsidRDefault="00FF0A7B" w:rsidP="00D4535A">
            <w:pPr>
              <w:rPr>
                <w:rFonts w:ascii="Arial Narrow" w:hAnsi="Arial Narrow" w:cs="Calibri"/>
                <w:color w:val="000000" w:themeColor="text1"/>
                <w:sz w:val="20"/>
                <w:szCs w:val="20"/>
              </w:rPr>
            </w:pPr>
            <w:r w:rsidRPr="00095DC2">
              <w:rPr>
                <w:rFonts w:ascii="Arial Narrow" w:hAnsi="Arial Narrow" w:cs="Calibri"/>
                <w:color w:val="000000" w:themeColor="text1"/>
                <w:sz w:val="20"/>
                <w:szCs w:val="20"/>
              </w:rPr>
              <w:t>Complex refractory fistulising Crohn disease</w:t>
            </w:r>
          </w:p>
        </w:tc>
        <w:tc>
          <w:tcPr>
            <w:tcW w:w="1863" w:type="dxa"/>
            <w:shd w:val="clear" w:color="auto" w:fill="auto"/>
            <w:noWrap/>
            <w:hideMark/>
          </w:tcPr>
          <w:p w14:paraId="55F3711F" w14:textId="459434B8" w:rsidR="00FF0A7B" w:rsidRPr="00095DC2" w:rsidRDefault="00FF0A7B" w:rsidP="00D4535A">
            <w:pPr>
              <w:jc w:val="center"/>
              <w:rPr>
                <w:rFonts w:ascii="Arial Narrow" w:hAnsi="Arial Narrow" w:cs="Calibri"/>
                <w:color w:val="000000" w:themeColor="text1"/>
                <w:sz w:val="20"/>
                <w:szCs w:val="20"/>
              </w:rPr>
            </w:pPr>
            <w:r w:rsidRPr="00095DC2">
              <w:rPr>
                <w:rFonts w:ascii="Arial Narrow" w:hAnsi="Arial Narrow" w:cs="Calibri"/>
                <w:color w:val="000000" w:themeColor="text1"/>
                <w:sz w:val="20"/>
                <w:szCs w:val="20"/>
              </w:rPr>
              <w:t>985</w:t>
            </w:r>
          </w:p>
        </w:tc>
        <w:tc>
          <w:tcPr>
            <w:tcW w:w="1863" w:type="dxa"/>
            <w:shd w:val="clear" w:color="auto" w:fill="auto"/>
            <w:noWrap/>
            <w:hideMark/>
          </w:tcPr>
          <w:p w14:paraId="77478C53" w14:textId="77777777" w:rsidR="00FF0A7B" w:rsidRPr="00095DC2" w:rsidRDefault="00FF0A7B" w:rsidP="00D4535A">
            <w:pPr>
              <w:jc w:val="center"/>
              <w:rPr>
                <w:rFonts w:ascii="Arial Narrow" w:hAnsi="Arial Narrow" w:cs="Calibri"/>
                <w:color w:val="000000" w:themeColor="text1"/>
                <w:sz w:val="20"/>
                <w:szCs w:val="20"/>
              </w:rPr>
            </w:pPr>
            <w:r w:rsidRPr="00095DC2">
              <w:rPr>
                <w:rFonts w:ascii="Arial Narrow" w:hAnsi="Arial Narrow" w:cs="Calibri"/>
                <w:color w:val="000000" w:themeColor="text1"/>
                <w:sz w:val="20"/>
                <w:szCs w:val="20"/>
              </w:rPr>
              <w:t>460</w:t>
            </w:r>
          </w:p>
        </w:tc>
        <w:tc>
          <w:tcPr>
            <w:tcW w:w="1864" w:type="dxa"/>
            <w:shd w:val="clear" w:color="auto" w:fill="auto"/>
            <w:noWrap/>
            <w:hideMark/>
          </w:tcPr>
          <w:p w14:paraId="0EDF32BC" w14:textId="77777777" w:rsidR="00FF0A7B" w:rsidRPr="00095DC2" w:rsidRDefault="00FF0A7B" w:rsidP="00D4535A">
            <w:pPr>
              <w:jc w:val="center"/>
              <w:rPr>
                <w:rFonts w:ascii="Arial Narrow" w:hAnsi="Arial Narrow" w:cs="Calibri"/>
                <w:color w:val="000000" w:themeColor="text1"/>
                <w:sz w:val="20"/>
                <w:szCs w:val="20"/>
              </w:rPr>
            </w:pPr>
            <w:r w:rsidRPr="00095DC2">
              <w:rPr>
                <w:rFonts w:ascii="Arial Narrow" w:hAnsi="Arial Narrow" w:cs="Calibri"/>
                <w:color w:val="000000" w:themeColor="text1"/>
                <w:sz w:val="20"/>
                <w:szCs w:val="20"/>
              </w:rPr>
              <w:t>46.7%</w:t>
            </w:r>
          </w:p>
        </w:tc>
      </w:tr>
      <w:tr w:rsidR="00FF0A7B" w:rsidRPr="00FF0A7B" w14:paraId="179FFB38" w14:textId="77777777" w:rsidTr="00095DC2">
        <w:trPr>
          <w:trHeight w:val="283"/>
        </w:trPr>
        <w:tc>
          <w:tcPr>
            <w:tcW w:w="3652" w:type="dxa"/>
            <w:shd w:val="clear" w:color="auto" w:fill="auto"/>
            <w:noWrap/>
            <w:hideMark/>
          </w:tcPr>
          <w:p w14:paraId="4B5D1896" w14:textId="77777777" w:rsidR="00FF0A7B" w:rsidRPr="00095DC2" w:rsidRDefault="00FF0A7B" w:rsidP="00D4535A">
            <w:pPr>
              <w:rPr>
                <w:rFonts w:ascii="Arial Narrow" w:hAnsi="Arial Narrow" w:cs="Calibri"/>
                <w:color w:val="000000" w:themeColor="text1"/>
                <w:sz w:val="20"/>
                <w:szCs w:val="20"/>
              </w:rPr>
            </w:pPr>
            <w:r w:rsidRPr="00095DC2">
              <w:rPr>
                <w:rFonts w:ascii="Arial Narrow" w:hAnsi="Arial Narrow" w:cs="Calibri"/>
                <w:color w:val="000000" w:themeColor="text1"/>
                <w:sz w:val="20"/>
                <w:szCs w:val="20"/>
              </w:rPr>
              <w:t>Moderate to severe Crohn disease</w:t>
            </w:r>
          </w:p>
        </w:tc>
        <w:tc>
          <w:tcPr>
            <w:tcW w:w="1863" w:type="dxa"/>
            <w:shd w:val="clear" w:color="auto" w:fill="auto"/>
            <w:noWrap/>
            <w:hideMark/>
          </w:tcPr>
          <w:p w14:paraId="4D8515EC" w14:textId="50E143BC" w:rsidR="00FF0A7B" w:rsidRPr="00095DC2" w:rsidRDefault="00FF0A7B" w:rsidP="00D4535A">
            <w:pPr>
              <w:jc w:val="center"/>
              <w:rPr>
                <w:rFonts w:ascii="Arial Narrow" w:hAnsi="Arial Narrow" w:cs="Calibri"/>
                <w:color w:val="000000" w:themeColor="text1"/>
                <w:sz w:val="20"/>
                <w:szCs w:val="20"/>
              </w:rPr>
            </w:pPr>
            <w:r w:rsidRPr="00095DC2">
              <w:rPr>
                <w:rFonts w:ascii="Arial Narrow" w:hAnsi="Arial Narrow" w:cs="Calibri"/>
                <w:color w:val="000000" w:themeColor="text1"/>
                <w:sz w:val="20"/>
                <w:szCs w:val="20"/>
              </w:rPr>
              <w:t>179</w:t>
            </w:r>
          </w:p>
        </w:tc>
        <w:tc>
          <w:tcPr>
            <w:tcW w:w="1863" w:type="dxa"/>
            <w:shd w:val="clear" w:color="auto" w:fill="auto"/>
            <w:noWrap/>
            <w:hideMark/>
          </w:tcPr>
          <w:p w14:paraId="05A6DA00" w14:textId="77777777" w:rsidR="00FF0A7B" w:rsidRPr="00095DC2" w:rsidRDefault="00FF0A7B" w:rsidP="00D4535A">
            <w:pPr>
              <w:jc w:val="center"/>
              <w:rPr>
                <w:rFonts w:ascii="Arial Narrow" w:hAnsi="Arial Narrow" w:cs="Calibri"/>
                <w:color w:val="000000" w:themeColor="text1"/>
                <w:sz w:val="20"/>
                <w:szCs w:val="20"/>
              </w:rPr>
            </w:pPr>
            <w:r w:rsidRPr="00095DC2">
              <w:rPr>
                <w:rFonts w:ascii="Arial Narrow" w:hAnsi="Arial Narrow" w:cs="Calibri"/>
                <w:color w:val="000000" w:themeColor="text1"/>
                <w:sz w:val="20"/>
                <w:szCs w:val="20"/>
              </w:rPr>
              <w:t>17</w:t>
            </w:r>
          </w:p>
        </w:tc>
        <w:tc>
          <w:tcPr>
            <w:tcW w:w="1864" w:type="dxa"/>
            <w:shd w:val="clear" w:color="auto" w:fill="auto"/>
            <w:noWrap/>
            <w:hideMark/>
          </w:tcPr>
          <w:p w14:paraId="6D05EE9D" w14:textId="77777777" w:rsidR="00FF0A7B" w:rsidRPr="00095DC2" w:rsidRDefault="00FF0A7B" w:rsidP="00D4535A">
            <w:pPr>
              <w:jc w:val="center"/>
              <w:rPr>
                <w:rFonts w:ascii="Arial Narrow" w:hAnsi="Arial Narrow" w:cs="Calibri"/>
                <w:color w:val="000000" w:themeColor="text1"/>
                <w:sz w:val="20"/>
                <w:szCs w:val="20"/>
              </w:rPr>
            </w:pPr>
            <w:r w:rsidRPr="00095DC2">
              <w:rPr>
                <w:rFonts w:ascii="Arial Narrow" w:hAnsi="Arial Narrow" w:cs="Calibri"/>
                <w:color w:val="000000" w:themeColor="text1"/>
                <w:sz w:val="20"/>
                <w:szCs w:val="20"/>
              </w:rPr>
              <w:t>9.5%</w:t>
            </w:r>
          </w:p>
        </w:tc>
      </w:tr>
      <w:tr w:rsidR="00FF0A7B" w:rsidRPr="00FF0A7B" w14:paraId="10AC0349" w14:textId="77777777" w:rsidTr="00095DC2">
        <w:trPr>
          <w:trHeight w:val="283"/>
        </w:trPr>
        <w:tc>
          <w:tcPr>
            <w:tcW w:w="3652" w:type="dxa"/>
            <w:shd w:val="clear" w:color="auto" w:fill="auto"/>
            <w:noWrap/>
            <w:hideMark/>
          </w:tcPr>
          <w:p w14:paraId="6F754252" w14:textId="77777777" w:rsidR="00FF0A7B" w:rsidRPr="00095DC2" w:rsidRDefault="00FF0A7B" w:rsidP="00D4535A">
            <w:pPr>
              <w:rPr>
                <w:rFonts w:ascii="Arial Narrow" w:hAnsi="Arial Narrow" w:cs="Calibri"/>
                <w:color w:val="000000" w:themeColor="text1"/>
                <w:sz w:val="20"/>
                <w:szCs w:val="20"/>
              </w:rPr>
            </w:pPr>
            <w:r w:rsidRPr="00095DC2">
              <w:rPr>
                <w:rFonts w:ascii="Arial Narrow" w:hAnsi="Arial Narrow" w:cs="Calibri"/>
                <w:color w:val="000000" w:themeColor="text1"/>
                <w:sz w:val="20"/>
                <w:szCs w:val="20"/>
              </w:rPr>
              <w:t>Moderate to severe ulcerative colitis</w:t>
            </w:r>
          </w:p>
        </w:tc>
        <w:tc>
          <w:tcPr>
            <w:tcW w:w="1863" w:type="dxa"/>
            <w:shd w:val="clear" w:color="auto" w:fill="auto"/>
            <w:noWrap/>
            <w:hideMark/>
          </w:tcPr>
          <w:p w14:paraId="007E3FBA" w14:textId="5DF804F4" w:rsidR="00FF0A7B" w:rsidRPr="00095DC2" w:rsidRDefault="00FF0A7B" w:rsidP="00D4535A">
            <w:pPr>
              <w:jc w:val="center"/>
              <w:rPr>
                <w:rFonts w:ascii="Arial Narrow" w:hAnsi="Arial Narrow" w:cs="Calibri"/>
                <w:color w:val="000000" w:themeColor="text1"/>
                <w:sz w:val="20"/>
                <w:szCs w:val="20"/>
              </w:rPr>
            </w:pPr>
            <w:r w:rsidRPr="00095DC2">
              <w:rPr>
                <w:rFonts w:ascii="Arial Narrow" w:hAnsi="Arial Narrow" w:cs="Calibri"/>
                <w:color w:val="000000" w:themeColor="text1"/>
                <w:sz w:val="20"/>
                <w:szCs w:val="20"/>
              </w:rPr>
              <w:t>52</w:t>
            </w:r>
          </w:p>
        </w:tc>
        <w:tc>
          <w:tcPr>
            <w:tcW w:w="1863" w:type="dxa"/>
            <w:shd w:val="clear" w:color="auto" w:fill="auto"/>
            <w:noWrap/>
            <w:hideMark/>
          </w:tcPr>
          <w:p w14:paraId="065F6078" w14:textId="77777777" w:rsidR="00FF0A7B" w:rsidRPr="00095DC2" w:rsidRDefault="00FF0A7B" w:rsidP="00D4535A">
            <w:pPr>
              <w:jc w:val="center"/>
              <w:rPr>
                <w:rFonts w:ascii="Arial Narrow" w:hAnsi="Arial Narrow" w:cs="Calibri"/>
                <w:color w:val="000000" w:themeColor="text1"/>
                <w:sz w:val="20"/>
                <w:szCs w:val="20"/>
              </w:rPr>
            </w:pPr>
            <w:r w:rsidRPr="00095DC2">
              <w:rPr>
                <w:rFonts w:ascii="Arial Narrow" w:hAnsi="Arial Narrow" w:cs="Calibri"/>
                <w:color w:val="000000" w:themeColor="text1"/>
                <w:sz w:val="20"/>
                <w:szCs w:val="20"/>
              </w:rPr>
              <w:t>15</w:t>
            </w:r>
          </w:p>
        </w:tc>
        <w:tc>
          <w:tcPr>
            <w:tcW w:w="1864" w:type="dxa"/>
            <w:shd w:val="clear" w:color="auto" w:fill="auto"/>
            <w:noWrap/>
            <w:hideMark/>
          </w:tcPr>
          <w:p w14:paraId="1404A148" w14:textId="77777777" w:rsidR="00FF0A7B" w:rsidRPr="00095DC2" w:rsidRDefault="00FF0A7B" w:rsidP="00D4535A">
            <w:pPr>
              <w:jc w:val="center"/>
              <w:rPr>
                <w:rFonts w:ascii="Arial Narrow" w:hAnsi="Arial Narrow" w:cs="Calibri"/>
                <w:color w:val="000000" w:themeColor="text1"/>
                <w:sz w:val="20"/>
                <w:szCs w:val="20"/>
              </w:rPr>
            </w:pPr>
            <w:r w:rsidRPr="00095DC2">
              <w:rPr>
                <w:rFonts w:ascii="Arial Narrow" w:hAnsi="Arial Narrow" w:cs="Calibri"/>
                <w:color w:val="000000" w:themeColor="text1"/>
                <w:sz w:val="20"/>
                <w:szCs w:val="20"/>
              </w:rPr>
              <w:t>28.8%</w:t>
            </w:r>
          </w:p>
        </w:tc>
      </w:tr>
      <w:tr w:rsidR="00FF0A7B" w:rsidRPr="00FF0A7B" w14:paraId="3656686D" w14:textId="77777777" w:rsidTr="00095DC2">
        <w:trPr>
          <w:trHeight w:val="283"/>
        </w:trPr>
        <w:tc>
          <w:tcPr>
            <w:tcW w:w="3652" w:type="dxa"/>
            <w:shd w:val="clear" w:color="auto" w:fill="auto"/>
            <w:noWrap/>
            <w:hideMark/>
          </w:tcPr>
          <w:p w14:paraId="3206BD9A" w14:textId="77777777" w:rsidR="00FF0A7B" w:rsidRPr="00095DC2" w:rsidRDefault="00FF0A7B" w:rsidP="00D4535A">
            <w:pPr>
              <w:rPr>
                <w:rFonts w:ascii="Arial Narrow" w:hAnsi="Arial Narrow" w:cs="Calibri"/>
                <w:sz w:val="20"/>
                <w:szCs w:val="20"/>
              </w:rPr>
            </w:pPr>
            <w:r w:rsidRPr="00095DC2">
              <w:rPr>
                <w:rFonts w:ascii="Arial Narrow" w:hAnsi="Arial Narrow" w:cs="Calibri"/>
                <w:sz w:val="20"/>
                <w:szCs w:val="20"/>
              </w:rPr>
              <w:t>Severe Crohn disease</w:t>
            </w:r>
          </w:p>
        </w:tc>
        <w:tc>
          <w:tcPr>
            <w:tcW w:w="1863" w:type="dxa"/>
            <w:shd w:val="clear" w:color="auto" w:fill="auto"/>
            <w:noWrap/>
            <w:hideMark/>
          </w:tcPr>
          <w:p w14:paraId="47A47DD0" w14:textId="7967B5C9" w:rsidR="00FF0A7B" w:rsidRPr="00095DC2" w:rsidRDefault="00FF0A7B" w:rsidP="00D4535A">
            <w:pPr>
              <w:jc w:val="center"/>
              <w:rPr>
                <w:rFonts w:ascii="Arial Narrow" w:hAnsi="Arial Narrow" w:cs="Calibri"/>
                <w:sz w:val="20"/>
                <w:szCs w:val="20"/>
              </w:rPr>
            </w:pPr>
            <w:r w:rsidRPr="00095DC2">
              <w:rPr>
                <w:rFonts w:ascii="Arial Narrow" w:hAnsi="Arial Narrow" w:cs="Calibri"/>
                <w:sz w:val="20"/>
                <w:szCs w:val="20"/>
              </w:rPr>
              <w:t>3</w:t>
            </w:r>
            <w:r w:rsidR="009013D6">
              <w:rPr>
                <w:rFonts w:ascii="Arial Narrow" w:hAnsi="Arial Narrow" w:cs="Calibri"/>
                <w:sz w:val="20"/>
                <w:szCs w:val="20"/>
              </w:rPr>
              <w:t>,</w:t>
            </w:r>
            <w:r w:rsidRPr="00095DC2">
              <w:rPr>
                <w:rFonts w:ascii="Arial Narrow" w:hAnsi="Arial Narrow" w:cs="Calibri"/>
                <w:sz w:val="20"/>
                <w:szCs w:val="20"/>
              </w:rPr>
              <w:t>974</w:t>
            </w:r>
          </w:p>
        </w:tc>
        <w:tc>
          <w:tcPr>
            <w:tcW w:w="1863" w:type="dxa"/>
            <w:shd w:val="clear" w:color="auto" w:fill="auto"/>
            <w:noWrap/>
            <w:hideMark/>
          </w:tcPr>
          <w:p w14:paraId="0C7B81D0" w14:textId="259086D7" w:rsidR="00FF0A7B" w:rsidRPr="00095DC2" w:rsidRDefault="00FF0A7B" w:rsidP="00D4535A">
            <w:pPr>
              <w:jc w:val="center"/>
              <w:rPr>
                <w:rFonts w:ascii="Arial Narrow" w:hAnsi="Arial Narrow" w:cs="Calibri"/>
                <w:sz w:val="20"/>
                <w:szCs w:val="20"/>
              </w:rPr>
            </w:pPr>
            <w:r w:rsidRPr="00095DC2">
              <w:rPr>
                <w:rFonts w:ascii="Arial Narrow" w:hAnsi="Arial Narrow" w:cs="Calibri"/>
                <w:sz w:val="20"/>
                <w:szCs w:val="20"/>
              </w:rPr>
              <w:t>1</w:t>
            </w:r>
            <w:r w:rsidR="009013D6">
              <w:rPr>
                <w:rFonts w:ascii="Arial Narrow" w:hAnsi="Arial Narrow" w:cs="Calibri"/>
                <w:sz w:val="20"/>
                <w:szCs w:val="20"/>
              </w:rPr>
              <w:t>,</w:t>
            </w:r>
            <w:r w:rsidRPr="00095DC2">
              <w:rPr>
                <w:rFonts w:ascii="Arial Narrow" w:hAnsi="Arial Narrow" w:cs="Calibri"/>
                <w:sz w:val="20"/>
                <w:szCs w:val="20"/>
              </w:rPr>
              <w:t>653</w:t>
            </w:r>
          </w:p>
        </w:tc>
        <w:tc>
          <w:tcPr>
            <w:tcW w:w="1864" w:type="dxa"/>
            <w:shd w:val="clear" w:color="auto" w:fill="auto"/>
            <w:noWrap/>
            <w:hideMark/>
          </w:tcPr>
          <w:p w14:paraId="792FB597" w14:textId="77777777" w:rsidR="00FF0A7B" w:rsidRPr="00095DC2" w:rsidRDefault="00FF0A7B" w:rsidP="00D4535A">
            <w:pPr>
              <w:jc w:val="center"/>
              <w:rPr>
                <w:rFonts w:ascii="Arial Narrow" w:hAnsi="Arial Narrow" w:cs="Calibri"/>
                <w:sz w:val="20"/>
                <w:szCs w:val="20"/>
              </w:rPr>
            </w:pPr>
            <w:r w:rsidRPr="00095DC2">
              <w:rPr>
                <w:rFonts w:ascii="Arial Narrow" w:hAnsi="Arial Narrow" w:cs="Calibri"/>
                <w:sz w:val="20"/>
                <w:szCs w:val="20"/>
              </w:rPr>
              <w:t>41.6%</w:t>
            </w:r>
          </w:p>
        </w:tc>
      </w:tr>
      <w:tr w:rsidR="00FF0A7B" w:rsidRPr="00FF0A7B" w14:paraId="1A7DF7F1" w14:textId="77777777" w:rsidTr="00095DC2">
        <w:trPr>
          <w:trHeight w:val="283"/>
        </w:trPr>
        <w:tc>
          <w:tcPr>
            <w:tcW w:w="3652" w:type="dxa"/>
            <w:shd w:val="clear" w:color="auto" w:fill="auto"/>
            <w:noWrap/>
            <w:hideMark/>
          </w:tcPr>
          <w:p w14:paraId="2BF10021" w14:textId="77777777" w:rsidR="00FF0A7B" w:rsidRPr="00095DC2" w:rsidRDefault="00FF0A7B" w:rsidP="00D4535A">
            <w:pPr>
              <w:rPr>
                <w:rFonts w:ascii="Arial Narrow" w:hAnsi="Arial Narrow" w:cs="Calibri"/>
                <w:sz w:val="20"/>
                <w:szCs w:val="20"/>
              </w:rPr>
            </w:pPr>
            <w:r w:rsidRPr="00095DC2">
              <w:rPr>
                <w:rFonts w:ascii="Arial Narrow" w:hAnsi="Arial Narrow" w:cs="Calibri"/>
                <w:sz w:val="20"/>
                <w:szCs w:val="20"/>
              </w:rPr>
              <w:t>Severe psoriatic arthritis</w:t>
            </w:r>
          </w:p>
        </w:tc>
        <w:tc>
          <w:tcPr>
            <w:tcW w:w="1863" w:type="dxa"/>
            <w:shd w:val="clear" w:color="auto" w:fill="auto"/>
            <w:noWrap/>
            <w:hideMark/>
          </w:tcPr>
          <w:p w14:paraId="579EC65B" w14:textId="1C2F2DA1" w:rsidR="00FF0A7B" w:rsidRPr="00095DC2" w:rsidRDefault="00FF0A7B" w:rsidP="00D4535A">
            <w:pPr>
              <w:jc w:val="center"/>
              <w:rPr>
                <w:rFonts w:ascii="Arial Narrow" w:hAnsi="Arial Narrow" w:cs="Calibri"/>
                <w:sz w:val="20"/>
                <w:szCs w:val="20"/>
              </w:rPr>
            </w:pPr>
            <w:r w:rsidRPr="00095DC2">
              <w:rPr>
                <w:rFonts w:ascii="Arial Narrow" w:hAnsi="Arial Narrow" w:cs="Calibri"/>
                <w:sz w:val="20"/>
                <w:szCs w:val="20"/>
              </w:rPr>
              <w:t>4</w:t>
            </w:r>
          </w:p>
        </w:tc>
        <w:tc>
          <w:tcPr>
            <w:tcW w:w="1863" w:type="dxa"/>
            <w:shd w:val="clear" w:color="auto" w:fill="auto"/>
            <w:noWrap/>
            <w:hideMark/>
          </w:tcPr>
          <w:p w14:paraId="012C7F22" w14:textId="77777777" w:rsidR="00FF0A7B" w:rsidRPr="00095DC2" w:rsidRDefault="00FF0A7B" w:rsidP="00D4535A">
            <w:pPr>
              <w:jc w:val="center"/>
              <w:rPr>
                <w:rFonts w:ascii="Arial Narrow" w:hAnsi="Arial Narrow" w:cs="Calibri"/>
                <w:sz w:val="20"/>
                <w:szCs w:val="20"/>
              </w:rPr>
            </w:pPr>
            <w:r w:rsidRPr="00095DC2">
              <w:rPr>
                <w:rFonts w:ascii="Arial Narrow" w:hAnsi="Arial Narrow" w:cs="Calibri"/>
                <w:sz w:val="20"/>
                <w:szCs w:val="20"/>
              </w:rPr>
              <w:t>2</w:t>
            </w:r>
          </w:p>
        </w:tc>
        <w:tc>
          <w:tcPr>
            <w:tcW w:w="1864" w:type="dxa"/>
            <w:shd w:val="clear" w:color="auto" w:fill="auto"/>
            <w:noWrap/>
            <w:hideMark/>
          </w:tcPr>
          <w:p w14:paraId="2315E850" w14:textId="77777777" w:rsidR="00FF0A7B" w:rsidRPr="00095DC2" w:rsidRDefault="00FF0A7B" w:rsidP="00D4535A">
            <w:pPr>
              <w:jc w:val="center"/>
              <w:rPr>
                <w:rFonts w:ascii="Arial Narrow" w:hAnsi="Arial Narrow" w:cs="Calibri"/>
                <w:sz w:val="20"/>
                <w:szCs w:val="20"/>
              </w:rPr>
            </w:pPr>
            <w:r w:rsidRPr="00095DC2">
              <w:rPr>
                <w:rFonts w:ascii="Arial Narrow" w:hAnsi="Arial Narrow" w:cs="Calibri"/>
                <w:sz w:val="20"/>
                <w:szCs w:val="20"/>
              </w:rPr>
              <w:t>50.0%</w:t>
            </w:r>
          </w:p>
        </w:tc>
      </w:tr>
      <w:tr w:rsidR="00FF0A7B" w:rsidRPr="00FF0A7B" w14:paraId="16935E82" w14:textId="77777777" w:rsidTr="00095DC2">
        <w:trPr>
          <w:trHeight w:val="283"/>
        </w:trPr>
        <w:tc>
          <w:tcPr>
            <w:tcW w:w="3652" w:type="dxa"/>
            <w:shd w:val="clear" w:color="auto" w:fill="auto"/>
            <w:noWrap/>
          </w:tcPr>
          <w:p w14:paraId="7472C966" w14:textId="45656E8E" w:rsidR="00FF0A7B" w:rsidRPr="00095DC2" w:rsidRDefault="00FF0A7B" w:rsidP="00D4535A">
            <w:pPr>
              <w:rPr>
                <w:rFonts w:ascii="Arial Narrow" w:hAnsi="Arial Narrow" w:cs="Calibri"/>
                <w:b/>
                <w:sz w:val="20"/>
                <w:szCs w:val="20"/>
              </w:rPr>
            </w:pPr>
            <w:r w:rsidRPr="00095DC2">
              <w:rPr>
                <w:rFonts w:ascii="Arial Narrow" w:hAnsi="Arial Narrow" w:cs="Calibri"/>
                <w:b/>
                <w:sz w:val="20"/>
                <w:szCs w:val="20"/>
              </w:rPr>
              <w:t>Total</w:t>
            </w:r>
          </w:p>
        </w:tc>
        <w:tc>
          <w:tcPr>
            <w:tcW w:w="1863" w:type="dxa"/>
            <w:shd w:val="clear" w:color="auto" w:fill="auto"/>
            <w:noWrap/>
          </w:tcPr>
          <w:p w14:paraId="4B8142AC" w14:textId="1DF274CC" w:rsidR="00FF0A7B" w:rsidRPr="00095DC2" w:rsidRDefault="00FF0A7B" w:rsidP="00D4535A">
            <w:pPr>
              <w:jc w:val="center"/>
              <w:rPr>
                <w:rFonts w:ascii="Arial Narrow" w:hAnsi="Arial Narrow" w:cs="Calibri"/>
                <w:b/>
                <w:sz w:val="20"/>
                <w:szCs w:val="20"/>
              </w:rPr>
            </w:pPr>
            <w:r w:rsidRPr="00095DC2">
              <w:rPr>
                <w:rFonts w:ascii="Arial Narrow" w:hAnsi="Arial Narrow" w:cs="Calibri"/>
                <w:b/>
                <w:sz w:val="20"/>
                <w:szCs w:val="20"/>
              </w:rPr>
              <w:t>5</w:t>
            </w:r>
            <w:r w:rsidR="009013D6">
              <w:rPr>
                <w:rFonts w:ascii="Arial Narrow" w:hAnsi="Arial Narrow" w:cs="Calibri"/>
                <w:b/>
                <w:sz w:val="20"/>
                <w:szCs w:val="20"/>
              </w:rPr>
              <w:t>,</w:t>
            </w:r>
            <w:r w:rsidRPr="00095DC2">
              <w:rPr>
                <w:rFonts w:ascii="Arial Narrow" w:hAnsi="Arial Narrow" w:cs="Calibri"/>
                <w:b/>
                <w:sz w:val="20"/>
                <w:szCs w:val="20"/>
              </w:rPr>
              <w:t>274</w:t>
            </w:r>
          </w:p>
        </w:tc>
        <w:tc>
          <w:tcPr>
            <w:tcW w:w="1863" w:type="dxa"/>
            <w:shd w:val="clear" w:color="auto" w:fill="auto"/>
            <w:noWrap/>
          </w:tcPr>
          <w:p w14:paraId="38E78CFD" w14:textId="30FE06B4" w:rsidR="00FF0A7B" w:rsidRPr="00095DC2" w:rsidRDefault="00FF0A7B" w:rsidP="00D4535A">
            <w:pPr>
              <w:jc w:val="center"/>
              <w:rPr>
                <w:rFonts w:ascii="Arial Narrow" w:hAnsi="Arial Narrow" w:cs="Calibri"/>
                <w:b/>
                <w:sz w:val="20"/>
                <w:szCs w:val="20"/>
              </w:rPr>
            </w:pPr>
            <w:r w:rsidRPr="00095DC2">
              <w:rPr>
                <w:rFonts w:ascii="Arial Narrow" w:hAnsi="Arial Narrow" w:cs="Calibri"/>
                <w:b/>
                <w:sz w:val="20"/>
                <w:szCs w:val="20"/>
              </w:rPr>
              <w:t>2</w:t>
            </w:r>
            <w:r w:rsidR="009013D6">
              <w:rPr>
                <w:rFonts w:ascii="Arial Narrow" w:hAnsi="Arial Narrow" w:cs="Calibri"/>
                <w:b/>
                <w:sz w:val="20"/>
                <w:szCs w:val="20"/>
              </w:rPr>
              <w:t>,</w:t>
            </w:r>
            <w:r w:rsidRPr="00095DC2">
              <w:rPr>
                <w:rFonts w:ascii="Arial Narrow" w:hAnsi="Arial Narrow" w:cs="Calibri"/>
                <w:b/>
                <w:sz w:val="20"/>
                <w:szCs w:val="20"/>
              </w:rPr>
              <w:t>199</w:t>
            </w:r>
          </w:p>
        </w:tc>
        <w:tc>
          <w:tcPr>
            <w:tcW w:w="1864" w:type="dxa"/>
            <w:shd w:val="clear" w:color="auto" w:fill="auto"/>
            <w:noWrap/>
          </w:tcPr>
          <w:p w14:paraId="26188AD9" w14:textId="7EFF241A" w:rsidR="00FF0A7B" w:rsidRPr="00095DC2" w:rsidRDefault="00FF0A7B" w:rsidP="00D4535A">
            <w:pPr>
              <w:jc w:val="center"/>
              <w:rPr>
                <w:rFonts w:ascii="Arial Narrow" w:hAnsi="Arial Narrow" w:cs="Calibri"/>
                <w:b/>
                <w:sz w:val="20"/>
                <w:szCs w:val="20"/>
              </w:rPr>
            </w:pPr>
            <w:r w:rsidRPr="00095DC2">
              <w:rPr>
                <w:rFonts w:ascii="Arial Narrow" w:hAnsi="Arial Narrow" w:cs="Calibri"/>
                <w:b/>
                <w:sz w:val="20"/>
                <w:szCs w:val="20"/>
              </w:rPr>
              <w:t>41.7%</w:t>
            </w:r>
          </w:p>
        </w:tc>
      </w:tr>
    </w:tbl>
    <w:p w14:paraId="53B6803F" w14:textId="1B754375" w:rsidR="00F20540" w:rsidRPr="006C758A" w:rsidRDefault="00F20540" w:rsidP="00D4535A">
      <w:pPr>
        <w:contextualSpacing/>
        <w:rPr>
          <w:rFonts w:ascii="Arial Narrow" w:hAnsi="Arial Narrow" w:cs="Calibri"/>
          <w:sz w:val="20"/>
          <w:szCs w:val="20"/>
        </w:rPr>
      </w:pPr>
      <w:r w:rsidRPr="006C758A">
        <w:rPr>
          <w:rFonts w:ascii="Arial Narrow" w:hAnsi="Arial Narrow" w:cs="Calibri"/>
          <w:sz w:val="20"/>
          <w:szCs w:val="20"/>
        </w:rPr>
        <w:t>Note:</w:t>
      </w:r>
      <w:r w:rsidR="0003255F" w:rsidRPr="006C758A">
        <w:rPr>
          <w:rFonts w:ascii="Arial Narrow" w:hAnsi="Arial Narrow" w:cs="Calibri"/>
          <w:sz w:val="20"/>
          <w:szCs w:val="20"/>
        </w:rPr>
        <w:t xml:space="preserve"> </w:t>
      </w:r>
      <w:r w:rsidRPr="006C758A">
        <w:rPr>
          <w:rFonts w:ascii="Arial Narrow" w:hAnsi="Arial Narrow" w:cs="Calibri"/>
          <w:sz w:val="20"/>
          <w:szCs w:val="20"/>
        </w:rPr>
        <w:t>Data was extracted from the DHS Supplied Prescriptions Database on 8 March 2019 based on the date of supply. The data extraction period was 1 January to 31 December 2018.</w:t>
      </w:r>
    </w:p>
    <w:p w14:paraId="1B62E301" w14:textId="041ED6FC" w:rsidR="00F20540" w:rsidRPr="006C758A" w:rsidRDefault="00F20540" w:rsidP="00D4535A">
      <w:pPr>
        <w:rPr>
          <w:rFonts w:ascii="Arial Narrow" w:hAnsi="Arial Narrow" w:cs="Calibri"/>
          <w:sz w:val="20"/>
          <w:szCs w:val="20"/>
        </w:rPr>
      </w:pPr>
      <w:r w:rsidRPr="006C758A">
        <w:rPr>
          <w:rFonts w:ascii="Arial Narrow" w:hAnsi="Arial Narrow" w:cs="Calibri"/>
          <w:sz w:val="20"/>
          <w:szCs w:val="20"/>
        </w:rPr>
        <w:t xml:space="preserve">Infliximab for severe chronic plaque psoriasis was </w:t>
      </w:r>
      <w:r w:rsidR="00FF0A7B">
        <w:rPr>
          <w:rFonts w:ascii="Arial Narrow" w:hAnsi="Arial Narrow" w:cs="Calibri"/>
          <w:sz w:val="20"/>
          <w:szCs w:val="20"/>
        </w:rPr>
        <w:t>listed on</w:t>
      </w:r>
      <w:r w:rsidR="00056D44">
        <w:rPr>
          <w:rFonts w:ascii="Arial Narrow" w:hAnsi="Arial Narrow" w:cs="Calibri"/>
          <w:sz w:val="20"/>
          <w:szCs w:val="20"/>
        </w:rPr>
        <w:t xml:space="preserve"> the PBS on</w:t>
      </w:r>
      <w:r w:rsidR="00FF0A7B">
        <w:rPr>
          <w:rFonts w:ascii="Arial Narrow" w:hAnsi="Arial Narrow" w:cs="Calibri"/>
          <w:sz w:val="20"/>
          <w:szCs w:val="20"/>
        </w:rPr>
        <w:t xml:space="preserve"> </w:t>
      </w:r>
      <w:r w:rsidRPr="006C758A">
        <w:rPr>
          <w:rFonts w:ascii="Arial Narrow" w:hAnsi="Arial Narrow" w:cs="Calibri"/>
          <w:sz w:val="20"/>
          <w:szCs w:val="20"/>
        </w:rPr>
        <w:t>1 January 2019. As such its utilisation is not captured in this analysis.</w:t>
      </w:r>
    </w:p>
    <w:p w14:paraId="2FB20381" w14:textId="77777777" w:rsidR="00F20540" w:rsidRPr="00F41718" w:rsidRDefault="00F20540" w:rsidP="00D4535A">
      <w:pPr>
        <w:rPr>
          <w:rFonts w:eastAsiaTheme="minorHAnsi"/>
        </w:rPr>
      </w:pPr>
    </w:p>
    <w:p w14:paraId="0B8FD3EC" w14:textId="77211FAA" w:rsidR="005B372F" w:rsidRDefault="005B372F" w:rsidP="00D4535A">
      <w:pPr>
        <w:pStyle w:val="ListParagraph"/>
        <w:widowControl/>
        <w:numPr>
          <w:ilvl w:val="1"/>
          <w:numId w:val="14"/>
        </w:numPr>
        <w:spacing w:after="120"/>
        <w:ind w:left="709"/>
        <w:contextualSpacing w:val="0"/>
        <w:rPr>
          <w:rFonts w:asciiTheme="minorHAnsi" w:hAnsiTheme="minorHAnsi"/>
          <w:sz w:val="24"/>
          <w:szCs w:val="24"/>
        </w:rPr>
      </w:pPr>
      <w:r w:rsidRPr="00F41718">
        <w:rPr>
          <w:rFonts w:asciiTheme="minorHAnsi" w:hAnsiTheme="minorHAnsi"/>
          <w:sz w:val="24"/>
          <w:szCs w:val="24"/>
        </w:rPr>
        <w:t xml:space="preserve">The minor submission </w:t>
      </w:r>
      <w:r w:rsidR="00CD707C">
        <w:rPr>
          <w:rFonts w:asciiTheme="minorHAnsi" w:hAnsiTheme="minorHAnsi"/>
          <w:sz w:val="24"/>
          <w:szCs w:val="24"/>
        </w:rPr>
        <w:t>claimed</w:t>
      </w:r>
      <w:r w:rsidR="00CD707C" w:rsidRPr="00F41718">
        <w:rPr>
          <w:rFonts w:asciiTheme="minorHAnsi" w:hAnsiTheme="minorHAnsi"/>
          <w:sz w:val="24"/>
          <w:szCs w:val="24"/>
        </w:rPr>
        <w:t xml:space="preserve"> </w:t>
      </w:r>
      <w:r w:rsidRPr="00F41718">
        <w:rPr>
          <w:rFonts w:asciiTheme="minorHAnsi" w:hAnsiTheme="minorHAnsi"/>
          <w:sz w:val="24"/>
          <w:szCs w:val="24"/>
        </w:rPr>
        <w:t xml:space="preserve">that </w:t>
      </w:r>
      <w:r w:rsidR="00D4535A">
        <w:rPr>
          <w:rFonts w:asciiTheme="minorHAnsi" w:hAnsiTheme="minorHAnsi"/>
          <w:sz w:val="24"/>
          <w:szCs w:val="24"/>
        </w:rPr>
        <w:t>increasing the maximum quantity from 4 to 5 vials will not change the utilisation of the medicine, hence the cost to the G</w:t>
      </w:r>
      <w:r w:rsidR="002A6105">
        <w:rPr>
          <w:rFonts w:asciiTheme="minorHAnsi" w:hAnsiTheme="minorHAnsi"/>
          <w:sz w:val="24"/>
          <w:szCs w:val="24"/>
        </w:rPr>
        <w:t>overnment will remain the same.</w:t>
      </w:r>
    </w:p>
    <w:p w14:paraId="422E7954" w14:textId="417BAA5E" w:rsidR="009B0444" w:rsidRPr="002A6105" w:rsidRDefault="007A77A2" w:rsidP="002A6105">
      <w:pPr>
        <w:ind w:firstLine="709"/>
        <w:jc w:val="both"/>
        <w:rPr>
          <w:rFonts w:asciiTheme="minorHAnsi" w:hAnsiTheme="minorHAnsi"/>
        </w:rPr>
      </w:pPr>
      <w:r w:rsidRPr="00F41718">
        <w:rPr>
          <w:rFonts w:asciiTheme="minorHAnsi" w:hAnsiTheme="minorHAnsi"/>
          <w:i/>
        </w:rPr>
        <w:lastRenderedPageBreak/>
        <w:t xml:space="preserve">For more detail on PBAC’s view, see section </w:t>
      </w:r>
      <w:r w:rsidR="009B0444" w:rsidRPr="00F41718">
        <w:rPr>
          <w:rFonts w:asciiTheme="minorHAnsi" w:hAnsiTheme="minorHAnsi"/>
          <w:i/>
        </w:rPr>
        <w:t>5</w:t>
      </w:r>
      <w:r w:rsidRPr="00F41718">
        <w:rPr>
          <w:rFonts w:asciiTheme="minorHAnsi" w:hAnsiTheme="minorHAnsi"/>
          <w:i/>
        </w:rPr>
        <w:t xml:space="preserve"> PBAC outcome.</w:t>
      </w:r>
    </w:p>
    <w:p w14:paraId="40134B8F" w14:textId="77777777" w:rsidR="007A77A2" w:rsidRPr="002A6105" w:rsidRDefault="007A77A2" w:rsidP="002A6105">
      <w:pPr>
        <w:pStyle w:val="PBACHeading1"/>
        <w:keepNext/>
        <w:numPr>
          <w:ilvl w:val="0"/>
          <w:numId w:val="5"/>
        </w:numPr>
        <w:spacing w:before="240" w:after="120"/>
        <w:rPr>
          <w:rFonts w:asciiTheme="minorHAnsi" w:hAnsiTheme="minorHAnsi" w:cstheme="minorHAnsi"/>
          <w:sz w:val="32"/>
          <w:szCs w:val="32"/>
        </w:rPr>
      </w:pPr>
      <w:r w:rsidRPr="002A6105">
        <w:rPr>
          <w:rFonts w:asciiTheme="minorHAnsi" w:hAnsiTheme="minorHAnsi" w:cstheme="minorHAnsi"/>
          <w:sz w:val="32"/>
          <w:szCs w:val="32"/>
        </w:rPr>
        <w:t>PBAC Outcome</w:t>
      </w:r>
    </w:p>
    <w:p w14:paraId="616B878F" w14:textId="31E03E6C" w:rsidR="00A42181" w:rsidRPr="000C62B7" w:rsidRDefault="00B432B9" w:rsidP="000F064D">
      <w:pPr>
        <w:numPr>
          <w:ilvl w:val="1"/>
          <w:numId w:val="5"/>
        </w:numPr>
        <w:spacing w:after="120"/>
        <w:jc w:val="both"/>
        <w:rPr>
          <w:rFonts w:asciiTheme="minorHAnsi" w:hAnsiTheme="minorHAnsi" w:cs="Arial"/>
          <w:bCs/>
          <w:snapToGrid w:val="0"/>
        </w:rPr>
      </w:pPr>
      <w:r w:rsidRPr="000C62B7">
        <w:rPr>
          <w:rFonts w:asciiTheme="minorHAnsi" w:hAnsiTheme="minorHAnsi" w:cs="Arial"/>
          <w:bCs/>
          <w:snapToGrid w:val="0"/>
        </w:rPr>
        <w:t xml:space="preserve">The PBAC recommended an </w:t>
      </w:r>
      <w:r w:rsidR="001B4AB2" w:rsidRPr="000C62B7">
        <w:rPr>
          <w:rFonts w:asciiTheme="minorHAnsi" w:hAnsiTheme="minorHAnsi" w:cs="Arial"/>
          <w:bCs/>
          <w:snapToGrid w:val="0"/>
        </w:rPr>
        <w:t>increase in the maximum quantity</w:t>
      </w:r>
      <w:r w:rsidR="008410ED" w:rsidRPr="000C62B7">
        <w:rPr>
          <w:rFonts w:asciiTheme="minorHAnsi" w:hAnsiTheme="minorHAnsi" w:cs="Arial"/>
          <w:bCs/>
          <w:snapToGrid w:val="0"/>
        </w:rPr>
        <w:t xml:space="preserve"> </w:t>
      </w:r>
      <w:r w:rsidR="00480A40" w:rsidRPr="000C62B7">
        <w:rPr>
          <w:rFonts w:asciiTheme="minorHAnsi" w:hAnsiTheme="minorHAnsi" w:cs="Arial"/>
          <w:bCs/>
          <w:snapToGrid w:val="0"/>
        </w:rPr>
        <w:t xml:space="preserve">for the </w:t>
      </w:r>
      <w:r w:rsidR="00695CD2" w:rsidRPr="00F41718">
        <w:rPr>
          <w:rFonts w:asciiTheme="minorHAnsi" w:eastAsiaTheme="minorHAnsi" w:hAnsiTheme="minorHAnsi" w:cstheme="minorBidi"/>
          <w:szCs w:val="22"/>
        </w:rPr>
        <w:t>S</w:t>
      </w:r>
      <w:r w:rsidR="00695CD2">
        <w:rPr>
          <w:rFonts w:asciiTheme="minorHAnsi" w:eastAsiaTheme="minorHAnsi" w:hAnsiTheme="minorHAnsi" w:cstheme="minorBidi"/>
          <w:szCs w:val="22"/>
        </w:rPr>
        <w:t xml:space="preserve">ection </w:t>
      </w:r>
      <w:r w:rsidR="00695CD2" w:rsidRPr="00F41718">
        <w:rPr>
          <w:rFonts w:asciiTheme="minorHAnsi" w:eastAsiaTheme="minorHAnsi" w:hAnsiTheme="minorHAnsi" w:cstheme="minorBidi"/>
          <w:szCs w:val="22"/>
        </w:rPr>
        <w:t xml:space="preserve">100 </w:t>
      </w:r>
      <w:r w:rsidR="00695CD2">
        <w:rPr>
          <w:rFonts w:asciiTheme="minorHAnsi" w:eastAsiaTheme="minorHAnsi" w:hAnsiTheme="minorHAnsi" w:cstheme="minorBidi"/>
          <w:szCs w:val="22"/>
        </w:rPr>
        <w:t>(</w:t>
      </w:r>
      <w:r w:rsidR="00695CD2" w:rsidRPr="00F41718">
        <w:rPr>
          <w:rFonts w:asciiTheme="minorHAnsi" w:eastAsiaTheme="minorHAnsi" w:hAnsiTheme="minorHAnsi" w:cstheme="minorBidi"/>
          <w:szCs w:val="22"/>
        </w:rPr>
        <w:t>Highly Specialised Drugs</w:t>
      </w:r>
      <w:r w:rsidR="00695CD2">
        <w:rPr>
          <w:rFonts w:asciiTheme="minorHAnsi" w:eastAsiaTheme="minorHAnsi" w:hAnsiTheme="minorHAnsi" w:cstheme="minorBidi"/>
          <w:szCs w:val="22"/>
        </w:rPr>
        <w:t>)</w:t>
      </w:r>
      <w:r w:rsidR="00695CD2" w:rsidRPr="00F41718">
        <w:rPr>
          <w:rFonts w:asciiTheme="minorHAnsi" w:eastAsiaTheme="minorHAnsi" w:hAnsiTheme="minorHAnsi" w:cstheme="minorBidi"/>
          <w:szCs w:val="22"/>
        </w:rPr>
        <w:t xml:space="preserve"> (Public hospital) Authority Required (STREAMLINED) </w:t>
      </w:r>
      <w:r w:rsidR="00480A40" w:rsidRPr="000C62B7">
        <w:rPr>
          <w:rFonts w:asciiTheme="minorHAnsi" w:hAnsiTheme="minorHAnsi" w:cs="Arial"/>
          <w:bCs/>
          <w:snapToGrid w:val="0"/>
        </w:rPr>
        <w:t xml:space="preserve">listings </w:t>
      </w:r>
      <w:r w:rsidR="008410ED" w:rsidRPr="000C62B7">
        <w:rPr>
          <w:rFonts w:asciiTheme="minorHAnsi" w:hAnsiTheme="minorHAnsi" w:cs="Arial"/>
          <w:bCs/>
          <w:snapToGrid w:val="0"/>
        </w:rPr>
        <w:t>of</w:t>
      </w:r>
      <w:r w:rsidR="001B4AB2" w:rsidRPr="000C62B7">
        <w:rPr>
          <w:rFonts w:asciiTheme="minorHAnsi" w:hAnsiTheme="minorHAnsi" w:cs="Arial"/>
          <w:bCs/>
          <w:snapToGrid w:val="0"/>
        </w:rPr>
        <w:t xml:space="preserve"> </w:t>
      </w:r>
      <w:r w:rsidRPr="000C62B7">
        <w:rPr>
          <w:rFonts w:asciiTheme="minorHAnsi" w:hAnsiTheme="minorHAnsi" w:cs="Arial"/>
          <w:bCs/>
          <w:snapToGrid w:val="0"/>
        </w:rPr>
        <w:t xml:space="preserve">infliximab </w:t>
      </w:r>
      <w:r w:rsidR="003472BE">
        <w:rPr>
          <w:rFonts w:asciiTheme="minorHAnsi" w:hAnsiTheme="minorHAnsi" w:cs="Arial"/>
          <w:bCs/>
          <w:snapToGrid w:val="0"/>
        </w:rPr>
        <w:t xml:space="preserve">for subsequent continuing treatment </w:t>
      </w:r>
      <w:r w:rsidR="001B4AB2" w:rsidRPr="000C62B7">
        <w:rPr>
          <w:rFonts w:asciiTheme="minorHAnsi" w:hAnsiTheme="minorHAnsi" w:cs="Arial"/>
          <w:bCs/>
          <w:snapToGrid w:val="0"/>
        </w:rPr>
        <w:t xml:space="preserve">to five </w:t>
      </w:r>
      <w:r w:rsidR="0003255F" w:rsidRPr="000C62B7">
        <w:rPr>
          <w:rFonts w:asciiTheme="minorHAnsi" w:hAnsiTheme="minorHAnsi" w:cs="Arial"/>
          <w:bCs/>
          <w:snapToGrid w:val="0"/>
        </w:rPr>
        <w:t>vials</w:t>
      </w:r>
      <w:r w:rsidR="001B4AB2" w:rsidRPr="000C62B7">
        <w:rPr>
          <w:rFonts w:asciiTheme="minorHAnsi" w:hAnsiTheme="minorHAnsi" w:cs="Arial"/>
          <w:bCs/>
          <w:snapToGrid w:val="0"/>
        </w:rPr>
        <w:t xml:space="preserve"> </w:t>
      </w:r>
      <w:r w:rsidR="00480A40" w:rsidRPr="000C62B7">
        <w:rPr>
          <w:rFonts w:asciiTheme="minorHAnsi" w:hAnsiTheme="minorHAnsi" w:cs="Arial"/>
          <w:bCs/>
          <w:snapToGrid w:val="0"/>
        </w:rPr>
        <w:t xml:space="preserve">across for </w:t>
      </w:r>
      <w:r w:rsidRPr="000C62B7">
        <w:rPr>
          <w:rFonts w:asciiTheme="minorHAnsi" w:hAnsiTheme="minorHAnsi" w:cs="Arial"/>
          <w:bCs/>
          <w:snapToGrid w:val="0"/>
        </w:rPr>
        <w:t xml:space="preserve">all the </w:t>
      </w:r>
      <w:r w:rsidR="003472BE">
        <w:rPr>
          <w:rFonts w:asciiTheme="minorHAnsi" w:hAnsiTheme="minorHAnsi" w:cs="Arial"/>
          <w:bCs/>
          <w:snapToGrid w:val="0"/>
        </w:rPr>
        <w:t>requested</w:t>
      </w:r>
      <w:r w:rsidR="003472BE" w:rsidRPr="000C62B7">
        <w:rPr>
          <w:rFonts w:asciiTheme="minorHAnsi" w:hAnsiTheme="minorHAnsi" w:cs="Arial"/>
          <w:bCs/>
          <w:snapToGrid w:val="0"/>
        </w:rPr>
        <w:t xml:space="preserve"> </w:t>
      </w:r>
      <w:r w:rsidRPr="000C62B7">
        <w:rPr>
          <w:rFonts w:asciiTheme="minorHAnsi" w:hAnsiTheme="minorHAnsi" w:cs="Arial"/>
          <w:bCs/>
          <w:snapToGrid w:val="0"/>
        </w:rPr>
        <w:t>indications</w:t>
      </w:r>
      <w:r w:rsidR="003472BE">
        <w:rPr>
          <w:rFonts w:asciiTheme="minorHAnsi" w:hAnsiTheme="minorHAnsi" w:cs="Arial"/>
          <w:bCs/>
          <w:snapToGrid w:val="0"/>
        </w:rPr>
        <w:t xml:space="preserve"> (see the table in Section 6 below)</w:t>
      </w:r>
      <w:r w:rsidR="001B4AB2" w:rsidRPr="000C62B7">
        <w:rPr>
          <w:rFonts w:asciiTheme="minorHAnsi" w:hAnsiTheme="minorHAnsi" w:cs="Arial"/>
          <w:bCs/>
          <w:snapToGrid w:val="0"/>
        </w:rPr>
        <w:t xml:space="preserve">. </w:t>
      </w:r>
    </w:p>
    <w:p w14:paraId="07D4E72A" w14:textId="5E203F94" w:rsidR="00870A18" w:rsidRPr="00F41718" w:rsidRDefault="00870A18" w:rsidP="00D4535A">
      <w:pPr>
        <w:pStyle w:val="ListParagraph"/>
        <w:widowControl/>
        <w:numPr>
          <w:ilvl w:val="1"/>
          <w:numId w:val="14"/>
        </w:numPr>
        <w:spacing w:after="120"/>
        <w:contextualSpacing w:val="0"/>
        <w:rPr>
          <w:rFonts w:asciiTheme="minorHAnsi" w:eastAsiaTheme="minorHAnsi" w:hAnsiTheme="minorHAnsi" w:cstheme="minorBidi"/>
          <w:snapToGrid/>
          <w:sz w:val="24"/>
          <w:szCs w:val="22"/>
        </w:rPr>
      </w:pPr>
      <w:r w:rsidRPr="000F064D">
        <w:rPr>
          <w:rFonts w:asciiTheme="minorHAnsi" w:eastAsiaTheme="minorHAnsi" w:hAnsiTheme="minorHAnsi" w:cstheme="minorBidi"/>
          <w:snapToGrid/>
          <w:sz w:val="24"/>
          <w:szCs w:val="22"/>
        </w:rPr>
        <w:t xml:space="preserve">The PBAC noted that </w:t>
      </w:r>
      <w:r w:rsidRPr="00F41718">
        <w:rPr>
          <w:rFonts w:asciiTheme="minorHAnsi" w:eastAsiaTheme="minorHAnsi" w:hAnsiTheme="minorHAnsi" w:cstheme="minorBidi"/>
          <w:snapToGrid/>
          <w:sz w:val="24"/>
          <w:szCs w:val="22"/>
        </w:rPr>
        <w:t>based on the weight-based dosing</w:t>
      </w:r>
      <w:r w:rsidR="0003255F" w:rsidRPr="00F41718">
        <w:rPr>
          <w:rFonts w:asciiTheme="minorHAnsi" w:eastAsiaTheme="minorHAnsi" w:hAnsiTheme="minorHAnsi" w:cstheme="minorBidi"/>
          <w:snapToGrid/>
          <w:sz w:val="24"/>
          <w:szCs w:val="22"/>
        </w:rPr>
        <w:t xml:space="preserve"> regimens</w:t>
      </w:r>
      <w:r w:rsidRPr="00F050EA">
        <w:rPr>
          <w:rFonts w:asciiTheme="minorHAnsi" w:eastAsiaTheme="minorHAnsi" w:hAnsiTheme="minorHAnsi" w:cstheme="minorBidi"/>
          <w:snapToGrid/>
          <w:sz w:val="24"/>
          <w:szCs w:val="22"/>
        </w:rPr>
        <w:t xml:space="preserve"> stated </w:t>
      </w:r>
      <w:r w:rsidR="0003255F" w:rsidRPr="00F050EA">
        <w:rPr>
          <w:rFonts w:asciiTheme="minorHAnsi" w:eastAsiaTheme="minorHAnsi" w:hAnsiTheme="minorHAnsi" w:cstheme="minorBidi"/>
          <w:snapToGrid/>
          <w:sz w:val="24"/>
          <w:szCs w:val="22"/>
        </w:rPr>
        <w:t>i</w:t>
      </w:r>
      <w:r w:rsidRPr="00F050EA">
        <w:rPr>
          <w:rFonts w:asciiTheme="minorHAnsi" w:eastAsiaTheme="minorHAnsi" w:hAnsiTheme="minorHAnsi" w:cstheme="minorBidi"/>
          <w:snapToGrid/>
          <w:sz w:val="24"/>
          <w:szCs w:val="22"/>
        </w:rPr>
        <w:t>n the TGA-approved Product Information (PI), the current infliximab P</w:t>
      </w:r>
      <w:r w:rsidRPr="00F41718">
        <w:rPr>
          <w:rFonts w:asciiTheme="minorHAnsi" w:eastAsiaTheme="minorHAnsi" w:hAnsiTheme="minorHAnsi" w:cstheme="minorBidi"/>
          <w:snapToGrid/>
          <w:sz w:val="24"/>
          <w:szCs w:val="22"/>
        </w:rPr>
        <w:t xml:space="preserve">BS listing has maximum quantities sufficient for patients </w:t>
      </w:r>
      <w:r w:rsidR="0015732B">
        <w:rPr>
          <w:rFonts w:asciiTheme="minorHAnsi" w:eastAsiaTheme="minorHAnsi" w:hAnsiTheme="minorHAnsi" w:cstheme="minorBidi"/>
          <w:snapToGrid/>
          <w:sz w:val="24"/>
          <w:szCs w:val="22"/>
        </w:rPr>
        <w:t xml:space="preserve">weighing </w:t>
      </w:r>
      <w:r w:rsidRPr="00F41718">
        <w:rPr>
          <w:rFonts w:asciiTheme="minorHAnsi" w:eastAsiaTheme="minorHAnsi" w:hAnsiTheme="minorHAnsi" w:cstheme="minorBidi"/>
          <w:snapToGrid/>
          <w:sz w:val="24"/>
          <w:szCs w:val="22"/>
        </w:rPr>
        <w:t>up to 80</w:t>
      </w:r>
      <w:r w:rsidR="00EE5E79">
        <w:rPr>
          <w:rFonts w:asciiTheme="minorHAnsi" w:eastAsiaTheme="minorHAnsi" w:hAnsiTheme="minorHAnsi" w:cstheme="minorBidi"/>
          <w:snapToGrid/>
          <w:sz w:val="24"/>
          <w:szCs w:val="22"/>
        </w:rPr>
        <w:t> </w:t>
      </w:r>
      <w:r w:rsidRPr="00F41718">
        <w:rPr>
          <w:rFonts w:asciiTheme="minorHAnsi" w:eastAsiaTheme="minorHAnsi" w:hAnsiTheme="minorHAnsi" w:cstheme="minorBidi"/>
          <w:snapToGrid/>
          <w:sz w:val="24"/>
          <w:szCs w:val="22"/>
        </w:rPr>
        <w:t>kg</w:t>
      </w:r>
      <w:r w:rsidR="0003255F" w:rsidRPr="00F41718">
        <w:rPr>
          <w:rFonts w:asciiTheme="minorHAnsi" w:eastAsiaTheme="minorHAnsi" w:hAnsiTheme="minorHAnsi" w:cstheme="minorBidi"/>
          <w:snapToGrid/>
          <w:sz w:val="24"/>
          <w:szCs w:val="22"/>
        </w:rPr>
        <w:t xml:space="preserve"> (5</w:t>
      </w:r>
      <w:r w:rsidR="00EE5E79">
        <w:rPr>
          <w:rFonts w:asciiTheme="minorHAnsi" w:eastAsiaTheme="minorHAnsi" w:hAnsiTheme="minorHAnsi" w:cstheme="minorBidi"/>
          <w:snapToGrid/>
          <w:sz w:val="24"/>
          <w:szCs w:val="22"/>
        </w:rPr>
        <w:t> </w:t>
      </w:r>
      <w:r w:rsidR="0003255F" w:rsidRPr="00F41718">
        <w:rPr>
          <w:rFonts w:asciiTheme="minorHAnsi" w:eastAsiaTheme="minorHAnsi" w:hAnsiTheme="minorHAnsi" w:cstheme="minorBidi"/>
          <w:snapToGrid/>
          <w:sz w:val="24"/>
          <w:szCs w:val="22"/>
        </w:rPr>
        <w:t>mg/kg)</w:t>
      </w:r>
      <w:r w:rsidRPr="00F41718">
        <w:rPr>
          <w:rFonts w:asciiTheme="minorHAnsi" w:eastAsiaTheme="minorHAnsi" w:hAnsiTheme="minorHAnsi" w:cstheme="minorBidi"/>
          <w:snapToGrid/>
          <w:sz w:val="24"/>
          <w:szCs w:val="22"/>
        </w:rPr>
        <w:t xml:space="preserve"> for </w:t>
      </w:r>
      <w:r w:rsidR="00F4684B">
        <w:rPr>
          <w:rFonts w:asciiTheme="minorHAnsi" w:eastAsiaTheme="minorHAnsi" w:hAnsiTheme="minorHAnsi" w:cstheme="minorBidi"/>
          <w:snapToGrid/>
          <w:sz w:val="24"/>
          <w:szCs w:val="22"/>
        </w:rPr>
        <w:t xml:space="preserve">the </w:t>
      </w:r>
      <w:r w:rsidR="005E7D61">
        <w:rPr>
          <w:rFonts w:asciiTheme="minorHAnsi" w:eastAsiaTheme="minorHAnsi" w:hAnsiTheme="minorHAnsi" w:cstheme="minorBidi"/>
          <w:snapToGrid/>
          <w:sz w:val="24"/>
          <w:szCs w:val="22"/>
        </w:rPr>
        <w:t>requested</w:t>
      </w:r>
      <w:r w:rsidR="00F4684B">
        <w:rPr>
          <w:rFonts w:asciiTheme="minorHAnsi" w:eastAsiaTheme="minorHAnsi" w:hAnsiTheme="minorHAnsi" w:cstheme="minorBidi"/>
          <w:snapToGrid/>
          <w:sz w:val="24"/>
          <w:szCs w:val="22"/>
        </w:rPr>
        <w:t xml:space="preserve"> </w:t>
      </w:r>
      <w:r w:rsidRPr="00F41718">
        <w:rPr>
          <w:rFonts w:asciiTheme="minorHAnsi" w:eastAsiaTheme="minorHAnsi" w:hAnsiTheme="minorHAnsi" w:cstheme="minorBidi"/>
          <w:snapToGrid/>
          <w:sz w:val="24"/>
          <w:szCs w:val="22"/>
        </w:rPr>
        <w:t xml:space="preserve"> indications. The </w:t>
      </w:r>
      <w:r w:rsidR="00D4535A">
        <w:rPr>
          <w:rFonts w:asciiTheme="minorHAnsi" w:eastAsiaTheme="minorHAnsi" w:hAnsiTheme="minorHAnsi" w:cstheme="minorBidi"/>
          <w:snapToGrid/>
          <w:sz w:val="24"/>
          <w:szCs w:val="22"/>
        </w:rPr>
        <w:t xml:space="preserve">recommended </w:t>
      </w:r>
      <w:r w:rsidRPr="00F41718">
        <w:rPr>
          <w:rFonts w:asciiTheme="minorHAnsi" w:eastAsiaTheme="minorHAnsi" w:hAnsiTheme="minorHAnsi" w:cstheme="minorBidi"/>
          <w:snapToGrid/>
          <w:sz w:val="24"/>
          <w:szCs w:val="22"/>
        </w:rPr>
        <w:t xml:space="preserve">change in maximum quantity would </w:t>
      </w:r>
      <w:r w:rsidR="00D4535A">
        <w:rPr>
          <w:rFonts w:asciiTheme="minorHAnsi" w:eastAsiaTheme="minorHAnsi" w:hAnsiTheme="minorHAnsi" w:cstheme="minorBidi"/>
          <w:snapToGrid/>
          <w:sz w:val="24"/>
          <w:szCs w:val="22"/>
        </w:rPr>
        <w:t>provide</w:t>
      </w:r>
      <w:r w:rsidR="00D4535A" w:rsidRPr="00F41718">
        <w:rPr>
          <w:rFonts w:asciiTheme="minorHAnsi" w:eastAsiaTheme="minorHAnsi" w:hAnsiTheme="minorHAnsi" w:cstheme="minorBidi"/>
          <w:snapToGrid/>
          <w:sz w:val="24"/>
          <w:szCs w:val="22"/>
        </w:rPr>
        <w:t xml:space="preserve"> </w:t>
      </w:r>
      <w:r w:rsidR="0015732B">
        <w:rPr>
          <w:rFonts w:asciiTheme="minorHAnsi" w:eastAsiaTheme="minorHAnsi" w:hAnsiTheme="minorHAnsi" w:cstheme="minorBidi"/>
          <w:snapToGrid/>
          <w:sz w:val="24"/>
          <w:szCs w:val="22"/>
        </w:rPr>
        <w:t xml:space="preserve">sufficient supply </w:t>
      </w:r>
      <w:r w:rsidRPr="00F41718">
        <w:rPr>
          <w:rFonts w:asciiTheme="minorHAnsi" w:eastAsiaTheme="minorHAnsi" w:hAnsiTheme="minorHAnsi" w:cstheme="minorBidi"/>
          <w:snapToGrid/>
          <w:sz w:val="24"/>
          <w:szCs w:val="22"/>
        </w:rPr>
        <w:t xml:space="preserve">for </w:t>
      </w:r>
      <w:r w:rsidR="00D4535A">
        <w:rPr>
          <w:rFonts w:asciiTheme="minorHAnsi" w:eastAsiaTheme="minorHAnsi" w:hAnsiTheme="minorHAnsi" w:cstheme="minorBidi"/>
          <w:snapToGrid/>
          <w:sz w:val="24"/>
          <w:szCs w:val="22"/>
        </w:rPr>
        <w:t xml:space="preserve">the </w:t>
      </w:r>
      <w:r w:rsidRPr="00F41718">
        <w:rPr>
          <w:rFonts w:asciiTheme="minorHAnsi" w:eastAsiaTheme="minorHAnsi" w:hAnsiTheme="minorHAnsi" w:cstheme="minorBidi"/>
          <w:snapToGrid/>
          <w:sz w:val="24"/>
          <w:szCs w:val="22"/>
        </w:rPr>
        <w:t xml:space="preserve">treatment of patients </w:t>
      </w:r>
      <w:r w:rsidR="0015732B">
        <w:rPr>
          <w:rFonts w:asciiTheme="minorHAnsi" w:eastAsiaTheme="minorHAnsi" w:hAnsiTheme="minorHAnsi" w:cstheme="minorBidi"/>
          <w:snapToGrid/>
          <w:sz w:val="24"/>
          <w:szCs w:val="22"/>
        </w:rPr>
        <w:t xml:space="preserve">weighing </w:t>
      </w:r>
      <w:r w:rsidRPr="00F41718">
        <w:rPr>
          <w:rFonts w:asciiTheme="minorHAnsi" w:eastAsiaTheme="minorHAnsi" w:hAnsiTheme="minorHAnsi" w:cstheme="minorBidi"/>
          <w:snapToGrid/>
          <w:sz w:val="24"/>
          <w:szCs w:val="22"/>
        </w:rPr>
        <w:t>up to 100</w:t>
      </w:r>
      <w:r w:rsidR="00EE5E79">
        <w:rPr>
          <w:rFonts w:asciiTheme="minorHAnsi" w:eastAsiaTheme="minorHAnsi" w:hAnsiTheme="minorHAnsi" w:cstheme="minorBidi"/>
          <w:snapToGrid/>
          <w:sz w:val="24"/>
          <w:szCs w:val="22"/>
        </w:rPr>
        <w:t> </w:t>
      </w:r>
      <w:r w:rsidRPr="00F41718">
        <w:rPr>
          <w:rFonts w:asciiTheme="minorHAnsi" w:eastAsiaTheme="minorHAnsi" w:hAnsiTheme="minorHAnsi" w:cstheme="minorBidi"/>
          <w:snapToGrid/>
          <w:sz w:val="24"/>
          <w:szCs w:val="22"/>
        </w:rPr>
        <w:t xml:space="preserve">kg. </w:t>
      </w:r>
    </w:p>
    <w:p w14:paraId="6A1B4BB7" w14:textId="68961194" w:rsidR="0069551B" w:rsidRPr="000C62B7" w:rsidRDefault="0069551B" w:rsidP="000F064D">
      <w:pPr>
        <w:numPr>
          <w:ilvl w:val="1"/>
          <w:numId w:val="5"/>
        </w:numPr>
        <w:spacing w:after="120"/>
        <w:jc w:val="both"/>
        <w:rPr>
          <w:rFonts w:asciiTheme="minorHAnsi" w:hAnsiTheme="minorHAnsi" w:cs="Arial"/>
          <w:bCs/>
          <w:snapToGrid w:val="0"/>
        </w:rPr>
      </w:pPr>
      <w:r w:rsidRPr="000C62B7">
        <w:rPr>
          <w:rFonts w:asciiTheme="minorHAnsi" w:hAnsiTheme="minorHAnsi" w:cs="Arial"/>
          <w:bCs/>
          <w:snapToGrid w:val="0"/>
        </w:rPr>
        <w:t xml:space="preserve">The PBAC noted </w:t>
      </w:r>
      <w:r w:rsidR="0003255F" w:rsidRPr="000C62B7">
        <w:rPr>
          <w:rFonts w:asciiTheme="minorHAnsi" w:hAnsiTheme="minorHAnsi" w:cs="Arial"/>
          <w:bCs/>
          <w:snapToGrid w:val="0"/>
        </w:rPr>
        <w:t>the</w:t>
      </w:r>
      <w:r w:rsidRPr="000C62B7">
        <w:rPr>
          <w:rFonts w:asciiTheme="minorHAnsi" w:hAnsiTheme="minorHAnsi" w:cs="Arial"/>
          <w:bCs/>
          <w:snapToGrid w:val="0"/>
        </w:rPr>
        <w:t xml:space="preserve"> utilisation analysis </w:t>
      </w:r>
      <w:r w:rsidR="00480A40" w:rsidRPr="000C62B7">
        <w:rPr>
          <w:rFonts w:asciiTheme="minorHAnsi" w:hAnsiTheme="minorHAnsi" w:cs="Arial"/>
          <w:bCs/>
          <w:snapToGrid w:val="0"/>
        </w:rPr>
        <w:t xml:space="preserve">conducted </w:t>
      </w:r>
      <w:r w:rsidRPr="000C62B7">
        <w:rPr>
          <w:rFonts w:asciiTheme="minorHAnsi" w:hAnsiTheme="minorHAnsi" w:cs="Arial"/>
          <w:bCs/>
          <w:snapToGrid w:val="0"/>
        </w:rPr>
        <w:t xml:space="preserve">by the </w:t>
      </w:r>
      <w:r w:rsidR="000E70BC">
        <w:rPr>
          <w:rFonts w:asciiTheme="minorHAnsi" w:hAnsiTheme="minorHAnsi" w:cs="Arial"/>
          <w:bCs/>
          <w:snapToGrid w:val="0"/>
        </w:rPr>
        <w:t xml:space="preserve">Department </w:t>
      </w:r>
      <w:r w:rsidRPr="000C62B7">
        <w:rPr>
          <w:rFonts w:asciiTheme="minorHAnsi" w:hAnsiTheme="minorHAnsi" w:cs="Arial"/>
          <w:bCs/>
          <w:snapToGrid w:val="0"/>
        </w:rPr>
        <w:t>indicated an average</w:t>
      </w:r>
      <w:r w:rsidR="00480A40" w:rsidRPr="000C62B7">
        <w:rPr>
          <w:rFonts w:asciiTheme="minorHAnsi" w:hAnsiTheme="minorHAnsi" w:cs="Arial"/>
          <w:bCs/>
          <w:snapToGrid w:val="0"/>
        </w:rPr>
        <w:t xml:space="preserve"> of</w:t>
      </w:r>
      <w:r w:rsidRPr="000C62B7">
        <w:rPr>
          <w:rFonts w:asciiTheme="minorHAnsi" w:hAnsiTheme="minorHAnsi" w:cs="Arial"/>
          <w:bCs/>
          <w:snapToGrid w:val="0"/>
        </w:rPr>
        <w:t xml:space="preserve"> </w:t>
      </w:r>
      <w:r w:rsidR="000E70BC">
        <w:rPr>
          <w:rFonts w:asciiTheme="minorHAnsi" w:hAnsiTheme="minorHAnsi" w:cs="Arial"/>
          <w:bCs/>
          <w:snapToGrid w:val="0"/>
        </w:rPr>
        <w:t>around</w:t>
      </w:r>
      <w:r w:rsidR="000E70BC" w:rsidRPr="000C62B7">
        <w:rPr>
          <w:rFonts w:asciiTheme="minorHAnsi" w:hAnsiTheme="minorHAnsi" w:cs="Arial"/>
          <w:bCs/>
          <w:snapToGrid w:val="0"/>
        </w:rPr>
        <w:t xml:space="preserve"> </w:t>
      </w:r>
      <w:r w:rsidRPr="000C62B7">
        <w:rPr>
          <w:rFonts w:asciiTheme="minorHAnsi" w:hAnsiTheme="minorHAnsi" w:cs="Arial"/>
          <w:bCs/>
          <w:snapToGrid w:val="0"/>
        </w:rPr>
        <w:t>4</w:t>
      </w:r>
      <w:r w:rsidR="000E70BC">
        <w:rPr>
          <w:rFonts w:asciiTheme="minorHAnsi" w:hAnsiTheme="minorHAnsi" w:cs="Arial"/>
          <w:bCs/>
          <w:snapToGrid w:val="0"/>
        </w:rPr>
        <w:t>2</w:t>
      </w:r>
      <w:r w:rsidRPr="000C62B7">
        <w:rPr>
          <w:rFonts w:asciiTheme="minorHAnsi" w:hAnsiTheme="minorHAnsi" w:cs="Arial"/>
          <w:bCs/>
          <w:snapToGrid w:val="0"/>
        </w:rPr>
        <w:t xml:space="preserve">% of infliximab </w:t>
      </w:r>
      <w:r w:rsidR="000E70BC">
        <w:rPr>
          <w:rFonts w:asciiTheme="minorHAnsi" w:hAnsiTheme="minorHAnsi" w:cs="Arial"/>
          <w:bCs/>
          <w:snapToGrid w:val="0"/>
        </w:rPr>
        <w:t xml:space="preserve">prescriptions </w:t>
      </w:r>
      <w:r w:rsidR="000E70BC" w:rsidRPr="000C62B7">
        <w:rPr>
          <w:rFonts w:asciiTheme="minorHAnsi" w:hAnsiTheme="minorHAnsi" w:cs="Arial"/>
          <w:bCs/>
          <w:snapToGrid w:val="0"/>
        </w:rPr>
        <w:t xml:space="preserve">across the requested indications </w:t>
      </w:r>
      <w:r w:rsidRPr="000C62B7">
        <w:rPr>
          <w:rFonts w:asciiTheme="minorHAnsi" w:hAnsiTheme="minorHAnsi" w:cs="Arial"/>
          <w:bCs/>
          <w:snapToGrid w:val="0"/>
        </w:rPr>
        <w:t xml:space="preserve">were dispensed with </w:t>
      </w:r>
      <w:r w:rsidR="00F050EA">
        <w:rPr>
          <w:rFonts w:asciiTheme="minorHAnsi" w:hAnsiTheme="minorHAnsi" w:cs="Arial"/>
          <w:bCs/>
          <w:snapToGrid w:val="0"/>
        </w:rPr>
        <w:t>five</w:t>
      </w:r>
      <w:r w:rsidRPr="000C62B7">
        <w:rPr>
          <w:rFonts w:asciiTheme="minorHAnsi" w:hAnsiTheme="minorHAnsi" w:cs="Arial"/>
          <w:bCs/>
          <w:snapToGrid w:val="0"/>
        </w:rPr>
        <w:t xml:space="preserve"> or more</w:t>
      </w:r>
      <w:r w:rsidR="000E70BC">
        <w:rPr>
          <w:rFonts w:asciiTheme="minorHAnsi" w:hAnsiTheme="minorHAnsi" w:cs="Arial"/>
          <w:bCs/>
          <w:snapToGrid w:val="0"/>
        </w:rPr>
        <w:t xml:space="preserve"> vials</w:t>
      </w:r>
      <w:r w:rsidRPr="000C62B7">
        <w:rPr>
          <w:rFonts w:asciiTheme="minorHAnsi" w:hAnsiTheme="minorHAnsi" w:cs="Arial"/>
          <w:bCs/>
          <w:snapToGrid w:val="0"/>
        </w:rPr>
        <w:t xml:space="preserve">. </w:t>
      </w:r>
      <w:r w:rsidR="00A42181" w:rsidRPr="000C62B7">
        <w:rPr>
          <w:rFonts w:asciiTheme="minorHAnsi" w:hAnsiTheme="minorHAnsi" w:cs="Arial"/>
          <w:bCs/>
          <w:snapToGrid w:val="0"/>
        </w:rPr>
        <w:t xml:space="preserve">The PBAC </w:t>
      </w:r>
      <w:r w:rsidRPr="000C62B7">
        <w:rPr>
          <w:rFonts w:asciiTheme="minorHAnsi" w:hAnsiTheme="minorHAnsi" w:cs="Arial"/>
          <w:bCs/>
          <w:snapToGrid w:val="0"/>
        </w:rPr>
        <w:t xml:space="preserve">considered the submission’s claim that a significant portion of patients </w:t>
      </w:r>
      <w:r w:rsidR="00D4535A">
        <w:rPr>
          <w:rFonts w:asciiTheme="minorHAnsi" w:hAnsiTheme="minorHAnsi" w:cs="Arial"/>
          <w:bCs/>
          <w:snapToGrid w:val="0"/>
        </w:rPr>
        <w:t xml:space="preserve">currently </w:t>
      </w:r>
      <w:r w:rsidRPr="000C62B7">
        <w:rPr>
          <w:rFonts w:asciiTheme="minorHAnsi" w:hAnsiTheme="minorHAnsi" w:cs="Arial"/>
          <w:bCs/>
          <w:snapToGrid w:val="0"/>
        </w:rPr>
        <w:t xml:space="preserve">require </w:t>
      </w:r>
      <w:r w:rsidR="00D4535A">
        <w:rPr>
          <w:rFonts w:asciiTheme="minorHAnsi" w:hAnsiTheme="minorHAnsi" w:cs="Arial"/>
          <w:bCs/>
          <w:snapToGrid w:val="0"/>
        </w:rPr>
        <w:t xml:space="preserve">more than the maximum quantity </w:t>
      </w:r>
      <w:r w:rsidRPr="000C62B7">
        <w:rPr>
          <w:rFonts w:asciiTheme="minorHAnsi" w:hAnsiTheme="minorHAnsi" w:cs="Arial"/>
          <w:bCs/>
          <w:snapToGrid w:val="0"/>
        </w:rPr>
        <w:t xml:space="preserve">of infliximab </w:t>
      </w:r>
      <w:r w:rsidR="00D4535A">
        <w:rPr>
          <w:rFonts w:asciiTheme="minorHAnsi" w:hAnsiTheme="minorHAnsi" w:cs="Arial"/>
          <w:bCs/>
          <w:snapToGrid w:val="0"/>
        </w:rPr>
        <w:t xml:space="preserve">per prescription </w:t>
      </w:r>
      <w:r w:rsidRPr="000C62B7">
        <w:rPr>
          <w:rFonts w:asciiTheme="minorHAnsi" w:hAnsiTheme="minorHAnsi" w:cs="Arial"/>
          <w:bCs/>
          <w:snapToGrid w:val="0"/>
        </w:rPr>
        <w:t xml:space="preserve">was adequately justified. </w:t>
      </w:r>
    </w:p>
    <w:p w14:paraId="5F6F0E4F" w14:textId="5FBFB04C" w:rsidR="00D4535A" w:rsidRPr="000C62B7" w:rsidRDefault="00D4535A" w:rsidP="005D2049">
      <w:pPr>
        <w:numPr>
          <w:ilvl w:val="1"/>
          <w:numId w:val="5"/>
        </w:numPr>
        <w:spacing w:after="120"/>
        <w:jc w:val="both"/>
        <w:rPr>
          <w:rFonts w:asciiTheme="minorHAnsi" w:hAnsiTheme="minorHAnsi" w:cs="Arial"/>
          <w:bCs/>
          <w:snapToGrid w:val="0"/>
        </w:rPr>
      </w:pPr>
      <w:r>
        <w:rPr>
          <w:rFonts w:asciiTheme="minorHAnsi" w:hAnsiTheme="minorHAnsi"/>
        </w:rPr>
        <w:t xml:space="preserve">The PBAC noted that if utilisation remains the same as a result of increasing the maximum quantity, there would be no financial implications for Government. </w:t>
      </w:r>
      <w:r w:rsidR="005D2049" w:rsidRPr="005D2049">
        <w:t xml:space="preserve"> </w:t>
      </w:r>
      <w:r w:rsidR="005D2049" w:rsidRPr="005D2049">
        <w:rPr>
          <w:rFonts w:asciiTheme="minorHAnsi" w:hAnsiTheme="minorHAnsi"/>
        </w:rPr>
        <w:t>The PBAC considered that the increase in maximum quantity would remove the need for those prescribers seeking to prescribe five vials (who would otherwise have used a streamlined authority code) to apply for an authority by telephone. The PBAC noted that utilisation was likely to remain the same regardless of an increase to the maximum quantity, therefore this change should not have significant financial implications for Government.</w:t>
      </w:r>
    </w:p>
    <w:p w14:paraId="045F1442" w14:textId="3BC48CEB" w:rsidR="00B432B9" w:rsidRDefault="00A42181" w:rsidP="000F064D">
      <w:pPr>
        <w:numPr>
          <w:ilvl w:val="1"/>
          <w:numId w:val="5"/>
        </w:numPr>
        <w:spacing w:after="120"/>
        <w:jc w:val="both"/>
        <w:rPr>
          <w:rFonts w:asciiTheme="minorHAnsi" w:hAnsiTheme="minorHAnsi" w:cs="Arial"/>
          <w:bCs/>
          <w:snapToGrid w:val="0"/>
        </w:rPr>
      </w:pPr>
      <w:r w:rsidRPr="000C62B7">
        <w:rPr>
          <w:rFonts w:asciiTheme="minorHAnsi" w:hAnsiTheme="minorHAnsi" w:cs="Arial"/>
          <w:bCs/>
          <w:snapToGrid w:val="0"/>
        </w:rPr>
        <w:t xml:space="preserve">The PBAC noted the analysis </w:t>
      </w:r>
      <w:r w:rsidR="000E70BC">
        <w:rPr>
          <w:rFonts w:asciiTheme="minorHAnsi" w:hAnsiTheme="minorHAnsi" w:cs="Arial"/>
          <w:bCs/>
          <w:snapToGrid w:val="0"/>
        </w:rPr>
        <w:t xml:space="preserve">by the Department </w:t>
      </w:r>
      <w:r w:rsidR="00917732" w:rsidRPr="000C62B7">
        <w:rPr>
          <w:rFonts w:asciiTheme="minorHAnsi" w:hAnsiTheme="minorHAnsi" w:cs="Arial"/>
          <w:bCs/>
          <w:snapToGrid w:val="0"/>
        </w:rPr>
        <w:t xml:space="preserve">indicated </w:t>
      </w:r>
      <w:r w:rsidR="000E70BC">
        <w:rPr>
          <w:rFonts w:asciiTheme="minorHAnsi" w:hAnsiTheme="minorHAnsi" w:cs="Arial"/>
          <w:bCs/>
          <w:snapToGrid w:val="0"/>
        </w:rPr>
        <w:t xml:space="preserve">there was </w:t>
      </w:r>
      <w:r w:rsidRPr="000C62B7">
        <w:rPr>
          <w:rFonts w:asciiTheme="minorHAnsi" w:hAnsiTheme="minorHAnsi" w:cs="Arial"/>
          <w:bCs/>
          <w:snapToGrid w:val="0"/>
        </w:rPr>
        <w:t xml:space="preserve">variation </w:t>
      </w:r>
      <w:r w:rsidR="000E70BC">
        <w:rPr>
          <w:rFonts w:asciiTheme="minorHAnsi" w:hAnsiTheme="minorHAnsi" w:cs="Arial"/>
          <w:bCs/>
          <w:snapToGrid w:val="0"/>
        </w:rPr>
        <w:t xml:space="preserve">in the proportion of patients requiring 5 or more vials of infliximab </w:t>
      </w:r>
      <w:r w:rsidRPr="000C62B7">
        <w:rPr>
          <w:rFonts w:asciiTheme="minorHAnsi" w:hAnsiTheme="minorHAnsi" w:cs="Arial"/>
          <w:bCs/>
          <w:snapToGrid w:val="0"/>
        </w:rPr>
        <w:t>across the different indications</w:t>
      </w:r>
      <w:r w:rsidR="000E70BC">
        <w:rPr>
          <w:rFonts w:asciiTheme="minorHAnsi" w:hAnsiTheme="minorHAnsi" w:cs="Arial"/>
          <w:bCs/>
          <w:snapToGrid w:val="0"/>
        </w:rPr>
        <w:t xml:space="preserve"> (see Table 2)</w:t>
      </w:r>
      <w:r w:rsidRPr="000C62B7">
        <w:rPr>
          <w:rFonts w:asciiTheme="minorHAnsi" w:hAnsiTheme="minorHAnsi" w:cs="Arial"/>
          <w:bCs/>
          <w:snapToGrid w:val="0"/>
        </w:rPr>
        <w:t xml:space="preserve">. </w:t>
      </w:r>
      <w:r w:rsidR="000E70BC">
        <w:rPr>
          <w:rFonts w:asciiTheme="minorHAnsi" w:hAnsiTheme="minorHAnsi" w:cs="Arial"/>
          <w:bCs/>
          <w:snapToGrid w:val="0"/>
        </w:rPr>
        <w:t>T</w:t>
      </w:r>
      <w:r w:rsidRPr="000C62B7">
        <w:rPr>
          <w:rFonts w:asciiTheme="minorHAnsi" w:hAnsiTheme="minorHAnsi" w:cs="Arial"/>
          <w:bCs/>
          <w:snapToGrid w:val="0"/>
        </w:rPr>
        <w:t xml:space="preserve">he PBAC </w:t>
      </w:r>
      <w:r w:rsidR="0003255F" w:rsidRPr="000C62B7">
        <w:rPr>
          <w:rFonts w:asciiTheme="minorHAnsi" w:hAnsiTheme="minorHAnsi" w:cs="Arial"/>
          <w:bCs/>
          <w:snapToGrid w:val="0"/>
        </w:rPr>
        <w:t xml:space="preserve">requested the </w:t>
      </w:r>
      <w:r w:rsidR="000E70BC">
        <w:rPr>
          <w:rFonts w:asciiTheme="minorHAnsi" w:hAnsiTheme="minorHAnsi" w:cs="Arial"/>
          <w:bCs/>
          <w:snapToGrid w:val="0"/>
        </w:rPr>
        <w:t>Department</w:t>
      </w:r>
      <w:r w:rsidR="000E70BC" w:rsidRPr="000C62B7">
        <w:rPr>
          <w:rFonts w:asciiTheme="minorHAnsi" w:hAnsiTheme="minorHAnsi" w:cs="Arial"/>
          <w:bCs/>
          <w:snapToGrid w:val="0"/>
        </w:rPr>
        <w:t xml:space="preserve"> </w:t>
      </w:r>
      <w:r w:rsidR="0003255F" w:rsidRPr="000C62B7">
        <w:rPr>
          <w:rFonts w:asciiTheme="minorHAnsi" w:hAnsiTheme="minorHAnsi" w:cs="Arial"/>
          <w:bCs/>
          <w:snapToGrid w:val="0"/>
        </w:rPr>
        <w:t>monitor</w:t>
      </w:r>
      <w:r w:rsidR="0069551B" w:rsidRPr="000C62B7">
        <w:rPr>
          <w:rFonts w:asciiTheme="minorHAnsi" w:hAnsiTheme="minorHAnsi" w:cs="Arial"/>
          <w:bCs/>
          <w:snapToGrid w:val="0"/>
        </w:rPr>
        <w:t xml:space="preserve"> th</w:t>
      </w:r>
      <w:r w:rsidR="00870A18" w:rsidRPr="000C62B7">
        <w:rPr>
          <w:rFonts w:asciiTheme="minorHAnsi" w:hAnsiTheme="minorHAnsi" w:cs="Arial"/>
          <w:bCs/>
          <w:snapToGrid w:val="0"/>
        </w:rPr>
        <w:t>e</w:t>
      </w:r>
      <w:r w:rsidR="0069551B" w:rsidRPr="000C62B7">
        <w:rPr>
          <w:rFonts w:asciiTheme="minorHAnsi" w:hAnsiTheme="minorHAnsi" w:cs="Arial"/>
          <w:bCs/>
          <w:snapToGrid w:val="0"/>
        </w:rPr>
        <w:t xml:space="preserve"> utilisation of </w:t>
      </w:r>
      <w:r w:rsidR="0003255F" w:rsidRPr="000C62B7">
        <w:rPr>
          <w:rFonts w:asciiTheme="minorHAnsi" w:hAnsiTheme="minorHAnsi" w:cs="Arial"/>
          <w:bCs/>
          <w:snapToGrid w:val="0"/>
        </w:rPr>
        <w:t xml:space="preserve">infliximab 12-24 months </w:t>
      </w:r>
      <w:r w:rsidR="0069551B" w:rsidRPr="000C62B7">
        <w:rPr>
          <w:rFonts w:asciiTheme="minorHAnsi" w:hAnsiTheme="minorHAnsi" w:cs="Arial"/>
          <w:bCs/>
          <w:snapToGrid w:val="0"/>
        </w:rPr>
        <w:t>after</w:t>
      </w:r>
      <w:r w:rsidR="00870A18" w:rsidRPr="000C62B7">
        <w:rPr>
          <w:rFonts w:asciiTheme="minorHAnsi" w:hAnsiTheme="minorHAnsi" w:cs="Arial"/>
          <w:bCs/>
          <w:snapToGrid w:val="0"/>
        </w:rPr>
        <w:t xml:space="preserve"> implementation of the </w:t>
      </w:r>
      <w:r w:rsidR="00BC21A2">
        <w:rPr>
          <w:rFonts w:asciiTheme="minorHAnsi" w:hAnsiTheme="minorHAnsi" w:cs="Arial"/>
          <w:bCs/>
          <w:snapToGrid w:val="0"/>
        </w:rPr>
        <w:t>increases to the maximum quantities</w:t>
      </w:r>
      <w:r w:rsidR="0069551B" w:rsidRPr="000C62B7">
        <w:rPr>
          <w:rFonts w:asciiTheme="minorHAnsi" w:hAnsiTheme="minorHAnsi" w:cs="Arial"/>
          <w:bCs/>
          <w:snapToGrid w:val="0"/>
        </w:rPr>
        <w:t>.</w:t>
      </w:r>
    </w:p>
    <w:p w14:paraId="561DFA3A" w14:textId="65B480E9" w:rsidR="00A42181" w:rsidRPr="000C62B7" w:rsidRDefault="00A42181" w:rsidP="000F064D">
      <w:pPr>
        <w:numPr>
          <w:ilvl w:val="1"/>
          <w:numId w:val="5"/>
        </w:numPr>
        <w:spacing w:after="120"/>
        <w:jc w:val="both"/>
        <w:rPr>
          <w:rFonts w:asciiTheme="minorHAnsi" w:hAnsiTheme="minorHAnsi" w:cs="Arial"/>
          <w:bCs/>
          <w:snapToGrid w:val="0"/>
        </w:rPr>
      </w:pPr>
      <w:r w:rsidRPr="000C62B7">
        <w:rPr>
          <w:rFonts w:asciiTheme="minorHAnsi" w:hAnsiTheme="minorHAnsi" w:cs="Arial"/>
          <w:bCs/>
          <w:snapToGrid w:val="0"/>
        </w:rPr>
        <w:t>The PBAC considered that the amendment on the maximum quantity of infliximab should appl</w:t>
      </w:r>
      <w:r w:rsidR="00330081" w:rsidRPr="000C62B7">
        <w:rPr>
          <w:rFonts w:asciiTheme="minorHAnsi" w:hAnsiTheme="minorHAnsi" w:cs="Arial"/>
          <w:bCs/>
          <w:snapToGrid w:val="0"/>
        </w:rPr>
        <w:t>y</w:t>
      </w:r>
      <w:r w:rsidRPr="000C62B7">
        <w:rPr>
          <w:rFonts w:asciiTheme="minorHAnsi" w:hAnsiTheme="minorHAnsi" w:cs="Arial"/>
          <w:bCs/>
          <w:snapToGrid w:val="0"/>
        </w:rPr>
        <w:t xml:space="preserve"> to all brands of infliximab available on the PBS</w:t>
      </w:r>
      <w:r w:rsidR="00330081" w:rsidRPr="000C62B7">
        <w:rPr>
          <w:rFonts w:asciiTheme="minorHAnsi" w:hAnsiTheme="minorHAnsi" w:cs="Arial"/>
          <w:bCs/>
          <w:snapToGrid w:val="0"/>
        </w:rPr>
        <w:t xml:space="preserve"> with </w:t>
      </w:r>
      <w:r w:rsidR="00BC21A2">
        <w:rPr>
          <w:rFonts w:asciiTheme="minorHAnsi" w:eastAsiaTheme="minorHAnsi" w:hAnsiTheme="minorHAnsi" w:cstheme="minorBidi"/>
          <w:szCs w:val="22"/>
        </w:rPr>
        <w:t xml:space="preserve">S100 </w:t>
      </w:r>
      <w:r w:rsidR="00BC21A2" w:rsidRPr="00F41718">
        <w:rPr>
          <w:rFonts w:asciiTheme="minorHAnsi" w:eastAsiaTheme="minorHAnsi" w:hAnsiTheme="minorHAnsi" w:cstheme="minorBidi"/>
          <w:szCs w:val="22"/>
        </w:rPr>
        <w:t>HSD (Public hospital) Authority Required (STREAMLINED)</w:t>
      </w:r>
      <w:r w:rsidR="00BC21A2">
        <w:rPr>
          <w:rFonts w:asciiTheme="minorHAnsi" w:eastAsiaTheme="minorHAnsi" w:hAnsiTheme="minorHAnsi" w:cstheme="minorBidi"/>
          <w:szCs w:val="22"/>
        </w:rPr>
        <w:t xml:space="preserve"> listings</w:t>
      </w:r>
      <w:r w:rsidRPr="000C62B7">
        <w:rPr>
          <w:rFonts w:asciiTheme="minorHAnsi" w:hAnsiTheme="minorHAnsi" w:cs="Arial"/>
          <w:bCs/>
          <w:snapToGrid w:val="0"/>
        </w:rPr>
        <w:t xml:space="preserve">. </w:t>
      </w:r>
    </w:p>
    <w:p w14:paraId="09EEDFA1" w14:textId="37753923" w:rsidR="00740C59" w:rsidRPr="00F41718" w:rsidRDefault="00870A18" w:rsidP="00D4535A">
      <w:pPr>
        <w:pStyle w:val="ListParagraph"/>
        <w:widowControl/>
        <w:numPr>
          <w:ilvl w:val="1"/>
          <w:numId w:val="5"/>
        </w:numPr>
        <w:spacing w:after="120"/>
        <w:contextualSpacing w:val="0"/>
        <w:rPr>
          <w:rFonts w:asciiTheme="minorHAnsi" w:eastAsiaTheme="minorHAnsi" w:hAnsiTheme="minorHAnsi" w:cstheme="minorBidi"/>
          <w:snapToGrid/>
          <w:sz w:val="24"/>
          <w:szCs w:val="22"/>
        </w:rPr>
      </w:pPr>
      <w:r w:rsidRPr="00F41718">
        <w:rPr>
          <w:rFonts w:asciiTheme="minorHAnsi" w:eastAsiaTheme="minorHAnsi" w:hAnsiTheme="minorHAnsi" w:cstheme="minorBidi"/>
          <w:snapToGrid/>
          <w:sz w:val="24"/>
          <w:szCs w:val="22"/>
        </w:rPr>
        <w:t>The PBAC noted that this</w:t>
      </w:r>
      <w:r w:rsidR="00740C59" w:rsidRPr="00F41718">
        <w:rPr>
          <w:rFonts w:asciiTheme="minorHAnsi" w:eastAsiaTheme="minorHAnsi" w:hAnsiTheme="minorHAnsi" w:cstheme="minorBidi"/>
          <w:snapToGrid/>
          <w:sz w:val="24"/>
          <w:szCs w:val="22"/>
        </w:rPr>
        <w:t xml:space="preserve"> submis</w:t>
      </w:r>
      <w:r w:rsidR="009B0C88" w:rsidRPr="00F41718">
        <w:rPr>
          <w:rFonts w:asciiTheme="minorHAnsi" w:eastAsiaTheme="minorHAnsi" w:hAnsiTheme="minorHAnsi" w:cstheme="minorBidi"/>
          <w:snapToGrid/>
          <w:sz w:val="24"/>
          <w:szCs w:val="22"/>
        </w:rPr>
        <w:t>sion</w:t>
      </w:r>
      <w:r w:rsidR="00740C59" w:rsidRPr="00F050EA">
        <w:rPr>
          <w:rFonts w:asciiTheme="minorHAnsi" w:eastAsiaTheme="minorHAnsi" w:hAnsiTheme="minorHAnsi" w:cstheme="minorBidi"/>
          <w:snapToGrid/>
          <w:sz w:val="24"/>
          <w:szCs w:val="22"/>
        </w:rPr>
        <w:t xml:space="preserve"> </w:t>
      </w:r>
      <w:r w:rsidRPr="00F050EA">
        <w:rPr>
          <w:rFonts w:asciiTheme="minorHAnsi" w:eastAsiaTheme="minorHAnsi" w:hAnsiTheme="minorHAnsi" w:cstheme="minorBidi"/>
          <w:snapToGrid/>
          <w:sz w:val="24"/>
          <w:szCs w:val="22"/>
        </w:rPr>
        <w:t>does not</w:t>
      </w:r>
      <w:r w:rsidR="00740C59" w:rsidRPr="00F050EA">
        <w:rPr>
          <w:rFonts w:asciiTheme="minorHAnsi" w:eastAsiaTheme="minorHAnsi" w:hAnsiTheme="minorHAnsi" w:cstheme="minorBidi"/>
          <w:snapToGrid/>
          <w:sz w:val="24"/>
          <w:szCs w:val="22"/>
        </w:rPr>
        <w:t xml:space="preserve"> meet the criteria for an Independent Revie</w:t>
      </w:r>
      <w:r w:rsidR="00330081" w:rsidRPr="00F41718">
        <w:rPr>
          <w:rFonts w:asciiTheme="minorHAnsi" w:eastAsiaTheme="minorHAnsi" w:hAnsiTheme="minorHAnsi" w:cstheme="minorBidi"/>
          <w:snapToGrid/>
          <w:sz w:val="24"/>
          <w:szCs w:val="22"/>
        </w:rPr>
        <w:t>w as it received a positive recommendation.</w:t>
      </w:r>
    </w:p>
    <w:p w14:paraId="0592DA0C" w14:textId="43872D61" w:rsidR="00273D65" w:rsidRPr="000C62B7" w:rsidRDefault="007A77A2" w:rsidP="00D4535A">
      <w:pPr>
        <w:rPr>
          <w:snapToGrid w:val="0"/>
        </w:rPr>
      </w:pPr>
      <w:r w:rsidRPr="000C62B7">
        <w:rPr>
          <w:rFonts w:asciiTheme="minorHAnsi" w:hAnsiTheme="minorHAnsi" w:cstheme="minorHAnsi"/>
          <w:b/>
          <w:snapToGrid w:val="0"/>
        </w:rPr>
        <w:t>Outcome:</w:t>
      </w:r>
      <w:r w:rsidR="00273D65" w:rsidRPr="000C62B7">
        <w:rPr>
          <w:rFonts w:asciiTheme="minorHAnsi" w:hAnsiTheme="minorHAnsi" w:cstheme="minorHAnsi"/>
          <w:b/>
          <w:snapToGrid w:val="0"/>
        </w:rPr>
        <w:t xml:space="preserve"> </w:t>
      </w:r>
    </w:p>
    <w:p w14:paraId="1A58AB41" w14:textId="3F5939D6" w:rsidR="007A77A2" w:rsidRPr="000C62B7" w:rsidRDefault="007A77A2" w:rsidP="00D4535A">
      <w:pPr>
        <w:rPr>
          <w:rFonts w:asciiTheme="minorHAnsi" w:hAnsiTheme="minorHAnsi" w:cstheme="minorHAnsi"/>
          <w:snapToGrid w:val="0"/>
        </w:rPr>
      </w:pPr>
      <w:r w:rsidRPr="000C62B7">
        <w:rPr>
          <w:rFonts w:asciiTheme="minorHAnsi" w:hAnsiTheme="minorHAnsi" w:cstheme="minorHAnsi"/>
          <w:snapToGrid w:val="0"/>
        </w:rPr>
        <w:t xml:space="preserve">Recommended </w:t>
      </w:r>
    </w:p>
    <w:p w14:paraId="56AE9A0E" w14:textId="77777777" w:rsidR="007A77A2" w:rsidRPr="00F41718" w:rsidRDefault="007A77A2" w:rsidP="000F064D">
      <w:pPr>
        <w:jc w:val="both"/>
        <w:rPr>
          <w:rFonts w:asciiTheme="minorHAnsi" w:hAnsiTheme="minorHAnsi" w:cs="Arial"/>
          <w:b/>
          <w:bCs/>
          <w:snapToGrid w:val="0"/>
        </w:rPr>
      </w:pPr>
    </w:p>
    <w:p w14:paraId="7015FE3E" w14:textId="77777777" w:rsidR="007A77A2" w:rsidRPr="002A6105" w:rsidRDefault="007A77A2" w:rsidP="002A6105">
      <w:pPr>
        <w:pStyle w:val="PBACHeading1"/>
        <w:keepNext/>
        <w:numPr>
          <w:ilvl w:val="0"/>
          <w:numId w:val="5"/>
        </w:numPr>
        <w:spacing w:before="240" w:after="120"/>
        <w:rPr>
          <w:rFonts w:asciiTheme="minorHAnsi" w:hAnsiTheme="minorHAnsi" w:cstheme="minorHAnsi"/>
          <w:sz w:val="32"/>
          <w:szCs w:val="32"/>
        </w:rPr>
      </w:pPr>
      <w:r w:rsidRPr="002A6105">
        <w:rPr>
          <w:rFonts w:asciiTheme="minorHAnsi" w:hAnsiTheme="minorHAnsi" w:cstheme="minorHAnsi"/>
          <w:sz w:val="32"/>
          <w:szCs w:val="32"/>
        </w:rPr>
        <w:lastRenderedPageBreak/>
        <w:t>Recommended listing</w:t>
      </w:r>
    </w:p>
    <w:p w14:paraId="6991330B" w14:textId="23F5F707" w:rsidR="007A77A2" w:rsidRPr="00F41718" w:rsidRDefault="007A77A2" w:rsidP="000F064D">
      <w:pPr>
        <w:numPr>
          <w:ilvl w:val="1"/>
          <w:numId w:val="5"/>
        </w:numPr>
        <w:spacing w:after="120"/>
        <w:jc w:val="both"/>
        <w:rPr>
          <w:rFonts w:asciiTheme="minorHAnsi" w:hAnsiTheme="minorHAnsi" w:cs="Arial"/>
          <w:bCs/>
          <w:snapToGrid w:val="0"/>
        </w:rPr>
      </w:pPr>
      <w:r w:rsidRPr="00F41718">
        <w:rPr>
          <w:rFonts w:asciiTheme="minorHAnsi" w:hAnsiTheme="minorHAnsi" w:cs="Arial"/>
          <w:bCs/>
          <w:snapToGrid w:val="0"/>
        </w:rPr>
        <w:t xml:space="preserve">Amend maximum quantity </w:t>
      </w:r>
      <w:r w:rsidR="00402579">
        <w:rPr>
          <w:rFonts w:asciiTheme="minorHAnsi" w:hAnsiTheme="minorHAnsi" w:cs="Arial"/>
          <w:bCs/>
          <w:snapToGrid w:val="0"/>
        </w:rPr>
        <w:t xml:space="preserve">to the following S100 HSD </w:t>
      </w:r>
      <w:r w:rsidR="00402579" w:rsidRPr="00F41718">
        <w:rPr>
          <w:rFonts w:asciiTheme="minorHAnsi" w:eastAsiaTheme="minorHAnsi" w:hAnsiTheme="minorHAnsi" w:cstheme="minorBidi"/>
          <w:szCs w:val="22"/>
        </w:rPr>
        <w:t>(Public hospital) Authority Required (STREAMLINED)</w:t>
      </w:r>
      <w:r w:rsidR="00402579">
        <w:rPr>
          <w:rFonts w:asciiTheme="minorHAnsi" w:eastAsiaTheme="minorHAnsi" w:hAnsiTheme="minorHAnsi" w:cstheme="minorBidi"/>
          <w:szCs w:val="22"/>
        </w:rPr>
        <w:t xml:space="preserve"> listings,</w:t>
      </w:r>
      <w:r w:rsidR="00402579" w:rsidRPr="00F41718">
        <w:rPr>
          <w:rFonts w:asciiTheme="minorHAnsi" w:hAnsiTheme="minorHAnsi" w:cs="Arial"/>
          <w:bCs/>
          <w:snapToGrid w:val="0"/>
        </w:rPr>
        <w:t xml:space="preserve"> </w:t>
      </w:r>
      <w:r w:rsidRPr="00F41718">
        <w:rPr>
          <w:rFonts w:asciiTheme="minorHAnsi" w:hAnsiTheme="minorHAnsi" w:cs="Arial"/>
          <w:bCs/>
          <w:snapToGrid w:val="0"/>
        </w:rPr>
        <w:t>as follows:</w:t>
      </w:r>
    </w:p>
    <w:tbl>
      <w:tblPr>
        <w:tblStyle w:val="TableGrid"/>
        <w:tblW w:w="0" w:type="auto"/>
        <w:tblLook w:val="04A0" w:firstRow="1" w:lastRow="0" w:firstColumn="1" w:lastColumn="0" w:noHBand="0" w:noVBand="1"/>
        <w:tblCaption w:val="Amendments to maximum quantity of S100 HSD Authority Required (STREAMLINED) listings"/>
      </w:tblPr>
      <w:tblGrid>
        <w:gridCol w:w="1031"/>
        <w:gridCol w:w="3193"/>
        <w:gridCol w:w="2635"/>
        <w:gridCol w:w="948"/>
        <w:gridCol w:w="1209"/>
      </w:tblGrid>
      <w:tr w:rsidR="00F008B1" w:rsidRPr="00F41718" w14:paraId="5CA13FCE" w14:textId="77777777" w:rsidTr="002A6105">
        <w:trPr>
          <w:tblHeader/>
        </w:trPr>
        <w:tc>
          <w:tcPr>
            <w:tcW w:w="1049" w:type="dxa"/>
          </w:tcPr>
          <w:p w14:paraId="185B46CB" w14:textId="77777777" w:rsidR="00F008B1" w:rsidRPr="00F41718" w:rsidRDefault="00F008B1" w:rsidP="00D4535A">
            <w:pPr>
              <w:pStyle w:val="PBACHeading1"/>
              <w:numPr>
                <w:ilvl w:val="0"/>
                <w:numId w:val="0"/>
              </w:numPr>
              <w:rPr>
                <w:rFonts w:ascii="Arial Narrow" w:eastAsiaTheme="minorHAnsi" w:hAnsi="Arial Narrow"/>
                <w:snapToGrid/>
              </w:rPr>
            </w:pPr>
            <w:r w:rsidRPr="00F41718">
              <w:rPr>
                <w:rFonts w:ascii="Arial Narrow" w:eastAsiaTheme="minorHAnsi" w:hAnsi="Arial Narrow"/>
                <w:snapToGrid/>
              </w:rPr>
              <w:t>Item Number</w:t>
            </w:r>
          </w:p>
        </w:tc>
        <w:tc>
          <w:tcPr>
            <w:tcW w:w="3482" w:type="dxa"/>
          </w:tcPr>
          <w:p w14:paraId="00B79671" w14:textId="77777777" w:rsidR="00F008B1" w:rsidRPr="00F41718" w:rsidRDefault="00F008B1" w:rsidP="00D4535A">
            <w:pPr>
              <w:pStyle w:val="PBACHeading1"/>
              <w:numPr>
                <w:ilvl w:val="0"/>
                <w:numId w:val="0"/>
              </w:numPr>
              <w:rPr>
                <w:rFonts w:ascii="Arial Narrow" w:eastAsiaTheme="minorHAnsi" w:hAnsi="Arial Narrow"/>
                <w:snapToGrid/>
              </w:rPr>
            </w:pPr>
            <w:r w:rsidRPr="00F41718">
              <w:rPr>
                <w:rFonts w:ascii="Arial Narrow" w:eastAsiaTheme="minorHAnsi" w:hAnsi="Arial Narrow"/>
                <w:snapToGrid/>
              </w:rPr>
              <w:t>Indication</w:t>
            </w:r>
          </w:p>
        </w:tc>
        <w:tc>
          <w:tcPr>
            <w:tcW w:w="2835" w:type="dxa"/>
          </w:tcPr>
          <w:p w14:paraId="1E132579" w14:textId="77777777" w:rsidR="00F008B1" w:rsidRPr="00F41718" w:rsidRDefault="00F008B1" w:rsidP="00D4535A">
            <w:pPr>
              <w:pStyle w:val="PBACHeading1"/>
              <w:numPr>
                <w:ilvl w:val="0"/>
                <w:numId w:val="0"/>
              </w:numPr>
              <w:rPr>
                <w:rFonts w:ascii="Arial Narrow" w:eastAsiaTheme="minorHAnsi" w:hAnsi="Arial Narrow"/>
                <w:snapToGrid/>
              </w:rPr>
            </w:pPr>
            <w:r w:rsidRPr="00F41718">
              <w:rPr>
                <w:rFonts w:ascii="Arial Narrow" w:eastAsiaTheme="minorHAnsi" w:hAnsi="Arial Narrow"/>
                <w:snapToGrid/>
              </w:rPr>
              <w:t>Treatment phase</w:t>
            </w:r>
          </w:p>
        </w:tc>
        <w:tc>
          <w:tcPr>
            <w:tcW w:w="419" w:type="dxa"/>
          </w:tcPr>
          <w:p w14:paraId="5F91642E" w14:textId="77777777" w:rsidR="00F008B1" w:rsidRPr="00F41718" w:rsidRDefault="00F008B1" w:rsidP="00D4535A">
            <w:pPr>
              <w:pStyle w:val="PBACHeading1"/>
              <w:numPr>
                <w:ilvl w:val="0"/>
                <w:numId w:val="0"/>
              </w:numPr>
              <w:rPr>
                <w:rFonts w:ascii="Arial Narrow" w:eastAsiaTheme="minorHAnsi" w:hAnsi="Arial Narrow"/>
                <w:snapToGrid/>
              </w:rPr>
            </w:pPr>
            <w:r w:rsidRPr="00F41718">
              <w:rPr>
                <w:rFonts w:ascii="Arial Narrow" w:eastAsiaTheme="minorHAnsi" w:hAnsi="Arial Narrow"/>
                <w:snapToGrid/>
              </w:rPr>
              <w:t>Current Max Quantity</w:t>
            </w:r>
          </w:p>
        </w:tc>
        <w:tc>
          <w:tcPr>
            <w:tcW w:w="1231" w:type="dxa"/>
          </w:tcPr>
          <w:p w14:paraId="67BD1A27" w14:textId="77777777" w:rsidR="00F008B1" w:rsidRPr="00F41718" w:rsidRDefault="00F008B1" w:rsidP="00D4535A">
            <w:pPr>
              <w:pStyle w:val="PBACHeading1"/>
              <w:numPr>
                <w:ilvl w:val="0"/>
                <w:numId w:val="0"/>
              </w:numPr>
              <w:rPr>
                <w:rFonts w:ascii="Arial Narrow" w:eastAsiaTheme="minorHAnsi" w:hAnsi="Arial Narrow"/>
                <w:snapToGrid/>
              </w:rPr>
            </w:pPr>
            <w:r w:rsidRPr="00F41718">
              <w:rPr>
                <w:rFonts w:ascii="Arial Narrow" w:eastAsiaTheme="minorHAnsi" w:hAnsi="Arial Narrow"/>
                <w:snapToGrid/>
              </w:rPr>
              <w:t>Proposed Max Quantity</w:t>
            </w:r>
          </w:p>
        </w:tc>
      </w:tr>
      <w:tr w:rsidR="00F008B1" w:rsidRPr="00F41718" w14:paraId="50EDA5BE" w14:textId="77777777" w:rsidTr="00DD53A0">
        <w:tc>
          <w:tcPr>
            <w:tcW w:w="1049" w:type="dxa"/>
          </w:tcPr>
          <w:p w14:paraId="3119A26B" w14:textId="77777777" w:rsidR="00F008B1" w:rsidRPr="00F41718" w:rsidRDefault="00F008B1" w:rsidP="00D4535A">
            <w:pPr>
              <w:pStyle w:val="PBACHeading1"/>
              <w:numPr>
                <w:ilvl w:val="0"/>
                <w:numId w:val="0"/>
              </w:numPr>
              <w:rPr>
                <w:rFonts w:ascii="Arial Narrow" w:eastAsiaTheme="minorHAnsi" w:hAnsi="Arial Narrow"/>
                <w:b w:val="0"/>
                <w:snapToGrid/>
              </w:rPr>
            </w:pPr>
            <w:r w:rsidRPr="00F41718">
              <w:rPr>
                <w:rFonts w:ascii="Arial Narrow" w:eastAsiaTheme="minorHAnsi" w:hAnsi="Arial Narrow"/>
                <w:b w:val="0"/>
                <w:snapToGrid/>
              </w:rPr>
              <w:t>11400B</w:t>
            </w:r>
          </w:p>
        </w:tc>
        <w:tc>
          <w:tcPr>
            <w:tcW w:w="3482" w:type="dxa"/>
          </w:tcPr>
          <w:p w14:paraId="3F78C1E1" w14:textId="77777777" w:rsidR="00F008B1" w:rsidRPr="00F41718" w:rsidRDefault="00F008B1" w:rsidP="00D4535A">
            <w:pPr>
              <w:pStyle w:val="PBACHeading1"/>
              <w:numPr>
                <w:ilvl w:val="0"/>
                <w:numId w:val="0"/>
              </w:numPr>
              <w:rPr>
                <w:rFonts w:ascii="Arial Narrow" w:eastAsiaTheme="minorHAnsi" w:hAnsi="Arial Narrow"/>
                <w:b w:val="0"/>
                <w:snapToGrid/>
              </w:rPr>
            </w:pPr>
            <w:r w:rsidRPr="00F41718">
              <w:rPr>
                <w:rFonts w:ascii="Arial Narrow" w:eastAsiaTheme="minorHAnsi" w:hAnsi="Arial Narrow"/>
                <w:b w:val="0"/>
                <w:snapToGrid/>
              </w:rPr>
              <w:t>Severe Crohn disease</w:t>
            </w:r>
          </w:p>
        </w:tc>
        <w:tc>
          <w:tcPr>
            <w:tcW w:w="2835" w:type="dxa"/>
          </w:tcPr>
          <w:p w14:paraId="16B2BADE" w14:textId="77777777" w:rsidR="00F008B1" w:rsidRPr="00F41718" w:rsidRDefault="00F008B1" w:rsidP="00D4535A">
            <w:pPr>
              <w:pStyle w:val="PBACHeading1"/>
              <w:numPr>
                <w:ilvl w:val="0"/>
                <w:numId w:val="0"/>
              </w:numPr>
              <w:rPr>
                <w:rFonts w:ascii="Arial Narrow" w:eastAsiaTheme="minorHAnsi" w:hAnsi="Arial Narrow"/>
                <w:b w:val="0"/>
                <w:snapToGrid/>
              </w:rPr>
            </w:pPr>
            <w:r w:rsidRPr="00F41718">
              <w:rPr>
                <w:rFonts w:ascii="Arial Narrow" w:eastAsiaTheme="minorHAnsi" w:hAnsi="Arial Narrow"/>
                <w:b w:val="0"/>
                <w:snapToGrid/>
              </w:rPr>
              <w:t xml:space="preserve">Subsequent continuing </w:t>
            </w:r>
          </w:p>
        </w:tc>
        <w:tc>
          <w:tcPr>
            <w:tcW w:w="419" w:type="dxa"/>
          </w:tcPr>
          <w:p w14:paraId="61B7A03A" w14:textId="77777777" w:rsidR="00F008B1" w:rsidRPr="00F41718" w:rsidRDefault="00F008B1" w:rsidP="00D4535A">
            <w:pPr>
              <w:pStyle w:val="PBACHeading1"/>
              <w:numPr>
                <w:ilvl w:val="0"/>
                <w:numId w:val="0"/>
              </w:numPr>
              <w:jc w:val="center"/>
              <w:rPr>
                <w:rFonts w:ascii="Arial Narrow" w:eastAsiaTheme="minorHAnsi" w:hAnsi="Arial Narrow"/>
                <w:b w:val="0"/>
                <w:snapToGrid/>
              </w:rPr>
            </w:pPr>
            <w:r w:rsidRPr="00F41718">
              <w:rPr>
                <w:rFonts w:ascii="Arial Narrow" w:eastAsiaTheme="minorHAnsi" w:hAnsi="Arial Narrow"/>
                <w:b w:val="0"/>
                <w:snapToGrid/>
              </w:rPr>
              <w:t>4</w:t>
            </w:r>
          </w:p>
        </w:tc>
        <w:tc>
          <w:tcPr>
            <w:tcW w:w="1231" w:type="dxa"/>
          </w:tcPr>
          <w:p w14:paraId="5C8AB925" w14:textId="77777777" w:rsidR="00F008B1" w:rsidRPr="00F41718" w:rsidRDefault="00F008B1" w:rsidP="00D4535A">
            <w:pPr>
              <w:pStyle w:val="PBACHeading1"/>
              <w:numPr>
                <w:ilvl w:val="0"/>
                <w:numId w:val="0"/>
              </w:numPr>
              <w:jc w:val="center"/>
              <w:rPr>
                <w:rFonts w:ascii="Arial Narrow" w:eastAsiaTheme="minorHAnsi" w:hAnsi="Arial Narrow"/>
                <w:b w:val="0"/>
                <w:snapToGrid/>
              </w:rPr>
            </w:pPr>
            <w:r w:rsidRPr="00F41718">
              <w:rPr>
                <w:rFonts w:ascii="Arial Narrow" w:eastAsiaTheme="minorHAnsi" w:hAnsi="Arial Narrow"/>
                <w:b w:val="0"/>
                <w:snapToGrid/>
              </w:rPr>
              <w:t>5</w:t>
            </w:r>
          </w:p>
        </w:tc>
      </w:tr>
      <w:tr w:rsidR="00F008B1" w:rsidRPr="00F41718" w14:paraId="373070FC" w14:textId="77777777" w:rsidTr="00DD53A0">
        <w:tc>
          <w:tcPr>
            <w:tcW w:w="1049" w:type="dxa"/>
          </w:tcPr>
          <w:p w14:paraId="47FC5A0B" w14:textId="77777777" w:rsidR="00F008B1" w:rsidRPr="00F41718" w:rsidRDefault="00F008B1" w:rsidP="00D4535A">
            <w:pPr>
              <w:pStyle w:val="PBACHeading1"/>
              <w:numPr>
                <w:ilvl w:val="0"/>
                <w:numId w:val="0"/>
              </w:numPr>
              <w:rPr>
                <w:rFonts w:ascii="Arial Narrow" w:eastAsiaTheme="minorHAnsi" w:hAnsi="Arial Narrow"/>
                <w:b w:val="0"/>
                <w:snapToGrid/>
              </w:rPr>
            </w:pPr>
            <w:r w:rsidRPr="00F41718">
              <w:rPr>
                <w:rFonts w:ascii="Arial Narrow" w:eastAsiaTheme="minorHAnsi" w:hAnsi="Arial Narrow"/>
                <w:b w:val="0"/>
                <w:snapToGrid/>
              </w:rPr>
              <w:t>11423F</w:t>
            </w:r>
          </w:p>
        </w:tc>
        <w:tc>
          <w:tcPr>
            <w:tcW w:w="3482" w:type="dxa"/>
          </w:tcPr>
          <w:p w14:paraId="371720AD" w14:textId="77777777" w:rsidR="00F008B1" w:rsidRPr="00F41718" w:rsidRDefault="00F008B1" w:rsidP="00D4535A">
            <w:pPr>
              <w:pStyle w:val="PBACHeading1"/>
              <w:numPr>
                <w:ilvl w:val="0"/>
                <w:numId w:val="0"/>
              </w:numPr>
              <w:rPr>
                <w:rFonts w:ascii="Arial Narrow" w:eastAsiaTheme="minorHAnsi" w:hAnsi="Arial Narrow"/>
                <w:b w:val="0"/>
                <w:snapToGrid/>
              </w:rPr>
            </w:pPr>
            <w:r w:rsidRPr="00F41718">
              <w:rPr>
                <w:rFonts w:ascii="Arial Narrow" w:eastAsiaTheme="minorHAnsi" w:hAnsi="Arial Narrow"/>
                <w:b w:val="0"/>
                <w:snapToGrid/>
              </w:rPr>
              <w:t>Complex refractory fistulising Crohn disease</w:t>
            </w:r>
          </w:p>
        </w:tc>
        <w:tc>
          <w:tcPr>
            <w:tcW w:w="2835" w:type="dxa"/>
          </w:tcPr>
          <w:p w14:paraId="0D4D6E08" w14:textId="77777777" w:rsidR="00F008B1" w:rsidRPr="00F41718" w:rsidRDefault="00F008B1" w:rsidP="00D4535A">
            <w:pPr>
              <w:pStyle w:val="PBACHeading1"/>
              <w:numPr>
                <w:ilvl w:val="0"/>
                <w:numId w:val="0"/>
              </w:numPr>
              <w:rPr>
                <w:rFonts w:ascii="Arial Narrow" w:eastAsiaTheme="minorHAnsi" w:hAnsi="Arial Narrow"/>
                <w:b w:val="0"/>
                <w:snapToGrid/>
              </w:rPr>
            </w:pPr>
            <w:r w:rsidRPr="00F41718">
              <w:rPr>
                <w:rFonts w:ascii="Arial Narrow" w:eastAsiaTheme="minorHAnsi" w:hAnsi="Arial Narrow"/>
                <w:b w:val="0"/>
                <w:snapToGrid/>
              </w:rPr>
              <w:t xml:space="preserve">Subsequent continuing </w:t>
            </w:r>
          </w:p>
        </w:tc>
        <w:tc>
          <w:tcPr>
            <w:tcW w:w="419" w:type="dxa"/>
          </w:tcPr>
          <w:p w14:paraId="6E82F2EF" w14:textId="77777777" w:rsidR="00F008B1" w:rsidRPr="00F41718" w:rsidRDefault="00F008B1" w:rsidP="00D4535A">
            <w:pPr>
              <w:pStyle w:val="PBACHeading1"/>
              <w:numPr>
                <w:ilvl w:val="0"/>
                <w:numId w:val="0"/>
              </w:numPr>
              <w:jc w:val="center"/>
              <w:rPr>
                <w:rFonts w:ascii="Arial Narrow" w:eastAsiaTheme="minorHAnsi" w:hAnsi="Arial Narrow"/>
                <w:b w:val="0"/>
                <w:snapToGrid/>
              </w:rPr>
            </w:pPr>
            <w:r w:rsidRPr="00F41718">
              <w:rPr>
                <w:rFonts w:ascii="Arial Narrow" w:eastAsiaTheme="minorHAnsi" w:hAnsi="Arial Narrow"/>
                <w:b w:val="0"/>
                <w:snapToGrid/>
              </w:rPr>
              <w:t>4</w:t>
            </w:r>
          </w:p>
        </w:tc>
        <w:tc>
          <w:tcPr>
            <w:tcW w:w="1231" w:type="dxa"/>
          </w:tcPr>
          <w:p w14:paraId="30AEA659" w14:textId="77777777" w:rsidR="00F008B1" w:rsidRPr="00F41718" w:rsidRDefault="00F008B1" w:rsidP="00D4535A">
            <w:pPr>
              <w:pStyle w:val="PBACHeading1"/>
              <w:numPr>
                <w:ilvl w:val="0"/>
                <w:numId w:val="0"/>
              </w:numPr>
              <w:jc w:val="center"/>
              <w:rPr>
                <w:rFonts w:ascii="Arial Narrow" w:eastAsiaTheme="minorHAnsi" w:hAnsi="Arial Narrow"/>
                <w:b w:val="0"/>
                <w:snapToGrid/>
              </w:rPr>
            </w:pPr>
            <w:r w:rsidRPr="00F41718">
              <w:rPr>
                <w:rFonts w:ascii="Arial Narrow" w:eastAsiaTheme="minorHAnsi" w:hAnsi="Arial Narrow"/>
                <w:b w:val="0"/>
                <w:snapToGrid/>
              </w:rPr>
              <w:t>5</w:t>
            </w:r>
          </w:p>
        </w:tc>
      </w:tr>
      <w:tr w:rsidR="00F008B1" w:rsidRPr="00F41718" w14:paraId="74AAFF5B" w14:textId="77777777" w:rsidTr="00DD53A0">
        <w:tc>
          <w:tcPr>
            <w:tcW w:w="1049" w:type="dxa"/>
          </w:tcPr>
          <w:p w14:paraId="586B466B" w14:textId="77777777" w:rsidR="00F008B1" w:rsidRPr="00F41718" w:rsidRDefault="00F008B1" w:rsidP="00D4535A">
            <w:pPr>
              <w:pStyle w:val="PBACHeading1"/>
              <w:numPr>
                <w:ilvl w:val="0"/>
                <w:numId w:val="0"/>
              </w:numPr>
              <w:rPr>
                <w:rFonts w:ascii="Arial Narrow" w:eastAsiaTheme="minorHAnsi" w:hAnsi="Arial Narrow"/>
                <w:b w:val="0"/>
                <w:snapToGrid/>
              </w:rPr>
            </w:pPr>
            <w:r w:rsidRPr="00F41718">
              <w:rPr>
                <w:rFonts w:ascii="Arial Narrow" w:eastAsiaTheme="minorHAnsi" w:hAnsi="Arial Narrow"/>
                <w:b w:val="0"/>
                <w:snapToGrid/>
              </w:rPr>
              <w:t>11449N</w:t>
            </w:r>
          </w:p>
        </w:tc>
        <w:tc>
          <w:tcPr>
            <w:tcW w:w="3482" w:type="dxa"/>
          </w:tcPr>
          <w:p w14:paraId="26794CAA" w14:textId="77777777" w:rsidR="00F008B1" w:rsidRPr="00F41718" w:rsidRDefault="00F008B1" w:rsidP="00D4535A">
            <w:pPr>
              <w:pStyle w:val="PBACHeading1"/>
              <w:numPr>
                <w:ilvl w:val="0"/>
                <w:numId w:val="0"/>
              </w:numPr>
              <w:rPr>
                <w:rFonts w:ascii="Arial Narrow" w:eastAsiaTheme="minorHAnsi" w:hAnsi="Arial Narrow"/>
                <w:b w:val="0"/>
                <w:snapToGrid/>
              </w:rPr>
            </w:pPr>
            <w:r w:rsidRPr="00F41718">
              <w:rPr>
                <w:rFonts w:ascii="Arial Narrow" w:eastAsiaTheme="minorHAnsi" w:hAnsi="Arial Narrow"/>
                <w:b w:val="0"/>
                <w:snapToGrid/>
              </w:rPr>
              <w:t>Moderate to severe Crohn disease</w:t>
            </w:r>
          </w:p>
        </w:tc>
        <w:tc>
          <w:tcPr>
            <w:tcW w:w="2835" w:type="dxa"/>
          </w:tcPr>
          <w:p w14:paraId="167EEEC7" w14:textId="77777777" w:rsidR="00F008B1" w:rsidRPr="00F41718" w:rsidRDefault="00F008B1" w:rsidP="00D4535A">
            <w:pPr>
              <w:pStyle w:val="PBACHeading1"/>
              <w:numPr>
                <w:ilvl w:val="0"/>
                <w:numId w:val="0"/>
              </w:numPr>
              <w:rPr>
                <w:rFonts w:ascii="Arial Narrow" w:eastAsiaTheme="minorHAnsi" w:hAnsi="Arial Narrow"/>
                <w:b w:val="0"/>
                <w:snapToGrid/>
              </w:rPr>
            </w:pPr>
            <w:r w:rsidRPr="00F41718">
              <w:rPr>
                <w:rFonts w:ascii="Arial Narrow" w:eastAsiaTheme="minorHAnsi" w:hAnsi="Arial Narrow"/>
                <w:b w:val="0"/>
                <w:snapToGrid/>
              </w:rPr>
              <w:t xml:space="preserve">Subsequent continuing </w:t>
            </w:r>
          </w:p>
        </w:tc>
        <w:tc>
          <w:tcPr>
            <w:tcW w:w="419" w:type="dxa"/>
          </w:tcPr>
          <w:p w14:paraId="1E9AF3AE" w14:textId="77777777" w:rsidR="00F008B1" w:rsidRPr="00F41718" w:rsidRDefault="00F008B1" w:rsidP="00D4535A">
            <w:pPr>
              <w:pStyle w:val="PBACHeading1"/>
              <w:numPr>
                <w:ilvl w:val="0"/>
                <w:numId w:val="0"/>
              </w:numPr>
              <w:jc w:val="center"/>
              <w:rPr>
                <w:rFonts w:ascii="Arial Narrow" w:eastAsiaTheme="minorHAnsi" w:hAnsi="Arial Narrow"/>
                <w:b w:val="0"/>
                <w:snapToGrid/>
              </w:rPr>
            </w:pPr>
            <w:r w:rsidRPr="00F41718">
              <w:rPr>
                <w:rFonts w:ascii="Arial Narrow" w:eastAsiaTheme="minorHAnsi" w:hAnsi="Arial Narrow"/>
                <w:b w:val="0"/>
                <w:snapToGrid/>
              </w:rPr>
              <w:t>4</w:t>
            </w:r>
          </w:p>
        </w:tc>
        <w:tc>
          <w:tcPr>
            <w:tcW w:w="1231" w:type="dxa"/>
          </w:tcPr>
          <w:p w14:paraId="39831435" w14:textId="77777777" w:rsidR="00F008B1" w:rsidRPr="00F41718" w:rsidRDefault="00F008B1" w:rsidP="00D4535A">
            <w:pPr>
              <w:pStyle w:val="PBACHeading1"/>
              <w:numPr>
                <w:ilvl w:val="0"/>
                <w:numId w:val="0"/>
              </w:numPr>
              <w:jc w:val="center"/>
              <w:rPr>
                <w:rFonts w:ascii="Arial Narrow" w:eastAsiaTheme="minorHAnsi" w:hAnsi="Arial Narrow"/>
                <w:b w:val="0"/>
                <w:snapToGrid/>
              </w:rPr>
            </w:pPr>
            <w:r w:rsidRPr="00F41718">
              <w:rPr>
                <w:rFonts w:ascii="Arial Narrow" w:eastAsiaTheme="minorHAnsi" w:hAnsi="Arial Narrow"/>
                <w:b w:val="0"/>
                <w:snapToGrid/>
              </w:rPr>
              <w:t>5</w:t>
            </w:r>
          </w:p>
        </w:tc>
      </w:tr>
      <w:tr w:rsidR="00F008B1" w:rsidRPr="00F41718" w14:paraId="69CA3515" w14:textId="77777777" w:rsidTr="00DD53A0">
        <w:tc>
          <w:tcPr>
            <w:tcW w:w="1049" w:type="dxa"/>
          </w:tcPr>
          <w:p w14:paraId="5F13388C" w14:textId="77777777" w:rsidR="00F008B1" w:rsidRPr="00F41718" w:rsidRDefault="00F008B1" w:rsidP="00D4535A">
            <w:pPr>
              <w:pStyle w:val="PBACHeading1"/>
              <w:numPr>
                <w:ilvl w:val="0"/>
                <w:numId w:val="0"/>
              </w:numPr>
              <w:rPr>
                <w:rFonts w:ascii="Arial Narrow" w:eastAsiaTheme="minorHAnsi" w:hAnsi="Arial Narrow"/>
                <w:b w:val="0"/>
                <w:snapToGrid/>
              </w:rPr>
            </w:pPr>
            <w:r w:rsidRPr="00F41718">
              <w:rPr>
                <w:rFonts w:ascii="Arial Narrow" w:eastAsiaTheme="minorHAnsi" w:hAnsi="Arial Narrow"/>
                <w:b w:val="0"/>
                <w:snapToGrid/>
              </w:rPr>
              <w:t>11461F</w:t>
            </w:r>
          </w:p>
        </w:tc>
        <w:tc>
          <w:tcPr>
            <w:tcW w:w="3482" w:type="dxa"/>
          </w:tcPr>
          <w:p w14:paraId="7F6D41AD" w14:textId="77777777" w:rsidR="00F008B1" w:rsidRPr="00F41718" w:rsidRDefault="00F008B1" w:rsidP="00D4535A">
            <w:pPr>
              <w:pStyle w:val="PBACHeading1"/>
              <w:numPr>
                <w:ilvl w:val="0"/>
                <w:numId w:val="0"/>
              </w:numPr>
              <w:rPr>
                <w:rFonts w:ascii="Arial Narrow" w:eastAsiaTheme="minorHAnsi" w:hAnsi="Arial Narrow"/>
                <w:b w:val="0"/>
                <w:snapToGrid/>
              </w:rPr>
            </w:pPr>
            <w:r w:rsidRPr="00F41718">
              <w:rPr>
                <w:rFonts w:ascii="Arial Narrow" w:eastAsiaTheme="minorHAnsi" w:hAnsi="Arial Narrow"/>
                <w:b w:val="0"/>
                <w:snapToGrid/>
              </w:rPr>
              <w:t>Moderate to severe ulcerative colitis</w:t>
            </w:r>
          </w:p>
        </w:tc>
        <w:tc>
          <w:tcPr>
            <w:tcW w:w="2835" w:type="dxa"/>
          </w:tcPr>
          <w:p w14:paraId="1D7D7C7E" w14:textId="77777777" w:rsidR="00F008B1" w:rsidRPr="00F41718" w:rsidRDefault="00F008B1" w:rsidP="00D4535A">
            <w:pPr>
              <w:pStyle w:val="PBACHeading1"/>
              <w:numPr>
                <w:ilvl w:val="0"/>
                <w:numId w:val="0"/>
              </w:numPr>
              <w:rPr>
                <w:rFonts w:ascii="Arial Narrow" w:eastAsiaTheme="minorHAnsi" w:hAnsi="Arial Narrow"/>
                <w:b w:val="0"/>
                <w:snapToGrid/>
              </w:rPr>
            </w:pPr>
            <w:r w:rsidRPr="00F41718">
              <w:rPr>
                <w:rFonts w:ascii="Arial Narrow" w:eastAsiaTheme="minorHAnsi" w:hAnsi="Arial Narrow"/>
                <w:b w:val="0"/>
                <w:snapToGrid/>
              </w:rPr>
              <w:t>Continuing</w:t>
            </w:r>
            <w:r w:rsidRPr="00F41718">
              <w:rPr>
                <w:rFonts w:ascii="Arial Narrow" w:eastAsiaTheme="minorHAnsi" w:hAnsi="Arial Narrow"/>
                <w:b w:val="0"/>
                <w:snapToGrid/>
                <w:vertAlign w:val="superscript"/>
              </w:rPr>
              <w:t xml:space="preserve"> a</w:t>
            </w:r>
          </w:p>
        </w:tc>
        <w:tc>
          <w:tcPr>
            <w:tcW w:w="419" w:type="dxa"/>
          </w:tcPr>
          <w:p w14:paraId="721D9DF3" w14:textId="77777777" w:rsidR="00F008B1" w:rsidRPr="00F41718" w:rsidRDefault="00F008B1" w:rsidP="00D4535A">
            <w:pPr>
              <w:pStyle w:val="PBACHeading1"/>
              <w:numPr>
                <w:ilvl w:val="0"/>
                <w:numId w:val="0"/>
              </w:numPr>
              <w:jc w:val="center"/>
              <w:rPr>
                <w:rFonts w:ascii="Arial Narrow" w:eastAsiaTheme="minorHAnsi" w:hAnsi="Arial Narrow"/>
                <w:b w:val="0"/>
                <w:snapToGrid/>
              </w:rPr>
            </w:pPr>
            <w:r w:rsidRPr="00F41718">
              <w:rPr>
                <w:rFonts w:ascii="Arial Narrow" w:eastAsiaTheme="minorHAnsi" w:hAnsi="Arial Narrow"/>
                <w:b w:val="0"/>
                <w:snapToGrid/>
              </w:rPr>
              <w:t>4</w:t>
            </w:r>
          </w:p>
        </w:tc>
        <w:tc>
          <w:tcPr>
            <w:tcW w:w="1231" w:type="dxa"/>
          </w:tcPr>
          <w:p w14:paraId="75416B9C" w14:textId="77777777" w:rsidR="00F008B1" w:rsidRPr="00F41718" w:rsidRDefault="00F008B1" w:rsidP="00D4535A">
            <w:pPr>
              <w:pStyle w:val="PBACHeading1"/>
              <w:numPr>
                <w:ilvl w:val="0"/>
                <w:numId w:val="0"/>
              </w:numPr>
              <w:jc w:val="center"/>
              <w:rPr>
                <w:rFonts w:ascii="Arial Narrow" w:eastAsiaTheme="minorHAnsi" w:hAnsi="Arial Narrow"/>
                <w:b w:val="0"/>
                <w:snapToGrid/>
              </w:rPr>
            </w:pPr>
            <w:r w:rsidRPr="00F41718">
              <w:rPr>
                <w:rFonts w:ascii="Arial Narrow" w:eastAsiaTheme="minorHAnsi" w:hAnsi="Arial Narrow"/>
                <w:b w:val="0"/>
                <w:snapToGrid/>
              </w:rPr>
              <w:t>5</w:t>
            </w:r>
          </w:p>
        </w:tc>
      </w:tr>
      <w:tr w:rsidR="00F008B1" w:rsidRPr="00F41718" w14:paraId="109371CA" w14:textId="77777777" w:rsidTr="00DD53A0">
        <w:tc>
          <w:tcPr>
            <w:tcW w:w="1049" w:type="dxa"/>
          </w:tcPr>
          <w:p w14:paraId="0D6358C0" w14:textId="77777777" w:rsidR="00F008B1" w:rsidRPr="00F41718" w:rsidRDefault="00F008B1" w:rsidP="00D4535A">
            <w:pPr>
              <w:pStyle w:val="PBACHeading1"/>
              <w:numPr>
                <w:ilvl w:val="0"/>
                <w:numId w:val="0"/>
              </w:numPr>
              <w:rPr>
                <w:rFonts w:ascii="Arial Narrow" w:eastAsiaTheme="minorHAnsi" w:hAnsi="Arial Narrow"/>
                <w:b w:val="0"/>
                <w:snapToGrid/>
              </w:rPr>
            </w:pPr>
            <w:r w:rsidRPr="00F41718">
              <w:rPr>
                <w:rFonts w:ascii="Arial Narrow" w:eastAsiaTheme="minorHAnsi" w:hAnsi="Arial Narrow"/>
                <w:b w:val="0"/>
                <w:snapToGrid/>
              </w:rPr>
              <w:t>11486M</w:t>
            </w:r>
          </w:p>
        </w:tc>
        <w:tc>
          <w:tcPr>
            <w:tcW w:w="3482" w:type="dxa"/>
          </w:tcPr>
          <w:p w14:paraId="3750635D" w14:textId="77777777" w:rsidR="00F008B1" w:rsidRPr="00F41718" w:rsidRDefault="00F008B1" w:rsidP="00D4535A">
            <w:pPr>
              <w:pStyle w:val="PBACHeading1"/>
              <w:numPr>
                <w:ilvl w:val="0"/>
                <w:numId w:val="0"/>
              </w:numPr>
              <w:rPr>
                <w:rFonts w:ascii="Arial Narrow" w:eastAsiaTheme="minorHAnsi" w:hAnsi="Arial Narrow"/>
                <w:b w:val="0"/>
                <w:snapToGrid/>
              </w:rPr>
            </w:pPr>
            <w:r w:rsidRPr="00F41718">
              <w:rPr>
                <w:rFonts w:ascii="Arial Narrow" w:eastAsiaTheme="minorHAnsi" w:hAnsi="Arial Narrow"/>
                <w:b w:val="0"/>
                <w:snapToGrid/>
              </w:rPr>
              <w:t>Ankylosing spondylitis</w:t>
            </w:r>
          </w:p>
        </w:tc>
        <w:tc>
          <w:tcPr>
            <w:tcW w:w="2835" w:type="dxa"/>
          </w:tcPr>
          <w:p w14:paraId="2200C7AB" w14:textId="77777777" w:rsidR="00F008B1" w:rsidRPr="00F41718" w:rsidRDefault="00F008B1" w:rsidP="00D4535A">
            <w:pPr>
              <w:pStyle w:val="PBACHeading1"/>
              <w:numPr>
                <w:ilvl w:val="0"/>
                <w:numId w:val="0"/>
              </w:numPr>
              <w:rPr>
                <w:rFonts w:ascii="Arial Narrow" w:eastAsiaTheme="minorHAnsi" w:hAnsi="Arial Narrow"/>
                <w:b w:val="0"/>
                <w:snapToGrid/>
              </w:rPr>
            </w:pPr>
            <w:r w:rsidRPr="00F41718">
              <w:rPr>
                <w:rFonts w:ascii="Arial Narrow" w:eastAsiaTheme="minorHAnsi" w:hAnsi="Arial Narrow"/>
                <w:b w:val="0"/>
                <w:snapToGrid/>
              </w:rPr>
              <w:t xml:space="preserve">Subsequent continuing </w:t>
            </w:r>
          </w:p>
        </w:tc>
        <w:tc>
          <w:tcPr>
            <w:tcW w:w="419" w:type="dxa"/>
          </w:tcPr>
          <w:p w14:paraId="12F8BFA5" w14:textId="77777777" w:rsidR="00F008B1" w:rsidRPr="00F41718" w:rsidRDefault="00F008B1" w:rsidP="00D4535A">
            <w:pPr>
              <w:pStyle w:val="PBACHeading1"/>
              <w:numPr>
                <w:ilvl w:val="0"/>
                <w:numId w:val="0"/>
              </w:numPr>
              <w:jc w:val="center"/>
              <w:rPr>
                <w:rFonts w:ascii="Arial Narrow" w:eastAsiaTheme="minorHAnsi" w:hAnsi="Arial Narrow"/>
                <w:b w:val="0"/>
                <w:snapToGrid/>
              </w:rPr>
            </w:pPr>
            <w:r w:rsidRPr="00F41718">
              <w:rPr>
                <w:rFonts w:ascii="Arial Narrow" w:eastAsiaTheme="minorHAnsi" w:hAnsi="Arial Narrow"/>
                <w:b w:val="0"/>
                <w:snapToGrid/>
              </w:rPr>
              <w:t>4</w:t>
            </w:r>
          </w:p>
        </w:tc>
        <w:tc>
          <w:tcPr>
            <w:tcW w:w="1231" w:type="dxa"/>
          </w:tcPr>
          <w:p w14:paraId="6BDCCC38" w14:textId="77777777" w:rsidR="00F008B1" w:rsidRPr="00F41718" w:rsidRDefault="00F008B1" w:rsidP="00D4535A">
            <w:pPr>
              <w:pStyle w:val="PBACHeading1"/>
              <w:numPr>
                <w:ilvl w:val="0"/>
                <w:numId w:val="0"/>
              </w:numPr>
              <w:jc w:val="center"/>
              <w:rPr>
                <w:rFonts w:ascii="Arial Narrow" w:eastAsiaTheme="minorHAnsi" w:hAnsi="Arial Narrow"/>
                <w:b w:val="0"/>
                <w:snapToGrid/>
              </w:rPr>
            </w:pPr>
            <w:r w:rsidRPr="00F41718">
              <w:rPr>
                <w:rFonts w:ascii="Arial Narrow" w:eastAsiaTheme="minorHAnsi" w:hAnsi="Arial Narrow"/>
                <w:b w:val="0"/>
                <w:snapToGrid/>
              </w:rPr>
              <w:t>5</w:t>
            </w:r>
          </w:p>
        </w:tc>
      </w:tr>
      <w:tr w:rsidR="00F008B1" w:rsidRPr="00F41718" w14:paraId="553CFD4D" w14:textId="77777777" w:rsidTr="00DD53A0">
        <w:tc>
          <w:tcPr>
            <w:tcW w:w="1049" w:type="dxa"/>
          </w:tcPr>
          <w:p w14:paraId="0381062A" w14:textId="77777777" w:rsidR="00F008B1" w:rsidRPr="00F41718" w:rsidRDefault="00F008B1" w:rsidP="00D4535A">
            <w:pPr>
              <w:pStyle w:val="PBACHeading1"/>
              <w:numPr>
                <w:ilvl w:val="0"/>
                <w:numId w:val="0"/>
              </w:numPr>
              <w:rPr>
                <w:rFonts w:ascii="Arial Narrow" w:eastAsiaTheme="minorHAnsi" w:hAnsi="Arial Narrow"/>
                <w:b w:val="0"/>
                <w:snapToGrid/>
              </w:rPr>
            </w:pPr>
            <w:r w:rsidRPr="00F41718">
              <w:rPr>
                <w:rFonts w:ascii="Arial Narrow" w:eastAsiaTheme="minorHAnsi" w:hAnsi="Arial Narrow"/>
                <w:b w:val="0"/>
                <w:snapToGrid/>
              </w:rPr>
              <w:t>11514B</w:t>
            </w:r>
          </w:p>
        </w:tc>
        <w:tc>
          <w:tcPr>
            <w:tcW w:w="3482" w:type="dxa"/>
          </w:tcPr>
          <w:p w14:paraId="07D61A15" w14:textId="77777777" w:rsidR="00F008B1" w:rsidRPr="00F41718" w:rsidRDefault="00F008B1" w:rsidP="00D4535A">
            <w:pPr>
              <w:pStyle w:val="PBACHeading1"/>
              <w:numPr>
                <w:ilvl w:val="0"/>
                <w:numId w:val="0"/>
              </w:numPr>
              <w:rPr>
                <w:rFonts w:ascii="Arial Narrow" w:eastAsiaTheme="minorHAnsi" w:hAnsi="Arial Narrow"/>
                <w:b w:val="0"/>
                <w:snapToGrid/>
              </w:rPr>
            </w:pPr>
            <w:r w:rsidRPr="00F41718">
              <w:rPr>
                <w:rFonts w:ascii="Arial Narrow" w:eastAsiaTheme="minorHAnsi" w:hAnsi="Arial Narrow"/>
                <w:b w:val="0"/>
                <w:snapToGrid/>
              </w:rPr>
              <w:t>Severe psoriatic arthritis</w:t>
            </w:r>
          </w:p>
        </w:tc>
        <w:tc>
          <w:tcPr>
            <w:tcW w:w="2835" w:type="dxa"/>
          </w:tcPr>
          <w:p w14:paraId="3BB33A2C" w14:textId="77777777" w:rsidR="00F008B1" w:rsidRPr="00F41718" w:rsidRDefault="00F008B1" w:rsidP="00D4535A">
            <w:pPr>
              <w:pStyle w:val="PBACHeading1"/>
              <w:numPr>
                <w:ilvl w:val="0"/>
                <w:numId w:val="0"/>
              </w:numPr>
              <w:rPr>
                <w:rFonts w:ascii="Arial Narrow" w:eastAsiaTheme="minorHAnsi" w:hAnsi="Arial Narrow"/>
                <w:b w:val="0"/>
                <w:snapToGrid/>
              </w:rPr>
            </w:pPr>
            <w:r w:rsidRPr="00F41718">
              <w:rPr>
                <w:rFonts w:ascii="Arial Narrow" w:eastAsiaTheme="minorHAnsi" w:hAnsi="Arial Narrow"/>
                <w:b w:val="0"/>
                <w:snapToGrid/>
              </w:rPr>
              <w:t>Subsequ</w:t>
            </w:r>
            <w:bookmarkStart w:id="0" w:name="_GoBack"/>
            <w:bookmarkEnd w:id="0"/>
            <w:r w:rsidRPr="00F41718">
              <w:rPr>
                <w:rFonts w:ascii="Arial Narrow" w:eastAsiaTheme="minorHAnsi" w:hAnsi="Arial Narrow"/>
                <w:b w:val="0"/>
                <w:snapToGrid/>
              </w:rPr>
              <w:t>ent continuing</w:t>
            </w:r>
          </w:p>
        </w:tc>
        <w:tc>
          <w:tcPr>
            <w:tcW w:w="419" w:type="dxa"/>
          </w:tcPr>
          <w:p w14:paraId="65CB79B5" w14:textId="77777777" w:rsidR="00F008B1" w:rsidRPr="00F41718" w:rsidRDefault="00F008B1" w:rsidP="00D4535A">
            <w:pPr>
              <w:pStyle w:val="PBACHeading1"/>
              <w:numPr>
                <w:ilvl w:val="0"/>
                <w:numId w:val="0"/>
              </w:numPr>
              <w:jc w:val="center"/>
              <w:rPr>
                <w:rFonts w:ascii="Arial Narrow" w:eastAsiaTheme="minorHAnsi" w:hAnsi="Arial Narrow"/>
                <w:b w:val="0"/>
                <w:snapToGrid/>
              </w:rPr>
            </w:pPr>
            <w:r w:rsidRPr="00F41718">
              <w:rPr>
                <w:rFonts w:ascii="Arial Narrow" w:eastAsiaTheme="minorHAnsi" w:hAnsi="Arial Narrow"/>
                <w:b w:val="0"/>
                <w:snapToGrid/>
              </w:rPr>
              <w:t>4</w:t>
            </w:r>
          </w:p>
        </w:tc>
        <w:tc>
          <w:tcPr>
            <w:tcW w:w="1231" w:type="dxa"/>
          </w:tcPr>
          <w:p w14:paraId="4A08F8C8" w14:textId="77777777" w:rsidR="00F008B1" w:rsidRPr="00F41718" w:rsidRDefault="00F008B1" w:rsidP="00D4535A">
            <w:pPr>
              <w:pStyle w:val="PBACHeading1"/>
              <w:numPr>
                <w:ilvl w:val="0"/>
                <w:numId w:val="0"/>
              </w:numPr>
              <w:jc w:val="center"/>
              <w:rPr>
                <w:rFonts w:ascii="Arial Narrow" w:eastAsiaTheme="minorHAnsi" w:hAnsi="Arial Narrow"/>
                <w:b w:val="0"/>
                <w:snapToGrid/>
              </w:rPr>
            </w:pPr>
            <w:r w:rsidRPr="00F41718">
              <w:rPr>
                <w:rFonts w:ascii="Arial Narrow" w:eastAsiaTheme="minorHAnsi" w:hAnsi="Arial Narrow"/>
                <w:b w:val="0"/>
                <w:snapToGrid/>
              </w:rPr>
              <w:t>5</w:t>
            </w:r>
          </w:p>
        </w:tc>
      </w:tr>
      <w:tr w:rsidR="00F008B1" w:rsidRPr="00F41718" w14:paraId="32A0856B" w14:textId="77777777" w:rsidTr="00DD53A0">
        <w:tc>
          <w:tcPr>
            <w:tcW w:w="1049" w:type="dxa"/>
          </w:tcPr>
          <w:p w14:paraId="1FCE5B5A" w14:textId="77777777" w:rsidR="00F008B1" w:rsidRPr="00F41718" w:rsidRDefault="00F008B1" w:rsidP="00D4535A">
            <w:pPr>
              <w:pStyle w:val="PBACHeading1"/>
              <w:numPr>
                <w:ilvl w:val="0"/>
                <w:numId w:val="0"/>
              </w:numPr>
              <w:rPr>
                <w:rFonts w:ascii="Arial Narrow" w:eastAsiaTheme="minorHAnsi" w:hAnsi="Arial Narrow"/>
                <w:b w:val="0"/>
                <w:snapToGrid/>
              </w:rPr>
            </w:pPr>
            <w:r w:rsidRPr="00F41718">
              <w:rPr>
                <w:rFonts w:ascii="Arial Narrow" w:eastAsiaTheme="minorHAnsi" w:hAnsi="Arial Narrow"/>
                <w:b w:val="0"/>
                <w:snapToGrid/>
              </w:rPr>
              <w:t>11605T</w:t>
            </w:r>
          </w:p>
        </w:tc>
        <w:tc>
          <w:tcPr>
            <w:tcW w:w="3482" w:type="dxa"/>
          </w:tcPr>
          <w:p w14:paraId="4A934025" w14:textId="77777777" w:rsidR="00F008B1" w:rsidRPr="00F41718" w:rsidRDefault="00F008B1" w:rsidP="00D4535A">
            <w:pPr>
              <w:pStyle w:val="PBACHeading1"/>
              <w:numPr>
                <w:ilvl w:val="0"/>
                <w:numId w:val="0"/>
              </w:numPr>
              <w:rPr>
                <w:rFonts w:ascii="Arial Narrow" w:eastAsiaTheme="minorHAnsi" w:hAnsi="Arial Narrow"/>
                <w:b w:val="0"/>
                <w:snapToGrid/>
              </w:rPr>
            </w:pPr>
            <w:r w:rsidRPr="00F41718">
              <w:rPr>
                <w:rFonts w:ascii="Arial Narrow" w:eastAsiaTheme="minorHAnsi" w:hAnsi="Arial Narrow"/>
                <w:b w:val="0"/>
                <w:snapToGrid/>
              </w:rPr>
              <w:t xml:space="preserve">Severe chronic plaque psoriasis </w:t>
            </w:r>
            <w:r w:rsidRPr="00F41718">
              <w:rPr>
                <w:rFonts w:ascii="Arial Narrow" w:eastAsiaTheme="minorHAnsi" w:hAnsi="Arial Narrow"/>
                <w:b w:val="0"/>
                <w:snapToGrid/>
                <w:vertAlign w:val="superscript"/>
              </w:rPr>
              <w:t>b</w:t>
            </w:r>
          </w:p>
        </w:tc>
        <w:tc>
          <w:tcPr>
            <w:tcW w:w="2835" w:type="dxa"/>
          </w:tcPr>
          <w:p w14:paraId="0E10AAFA" w14:textId="77777777" w:rsidR="00F008B1" w:rsidRPr="00F41718" w:rsidRDefault="00F008B1" w:rsidP="00D4535A">
            <w:pPr>
              <w:pStyle w:val="PBACHeading1"/>
              <w:numPr>
                <w:ilvl w:val="0"/>
                <w:numId w:val="0"/>
              </w:numPr>
              <w:rPr>
                <w:rFonts w:ascii="Arial Narrow" w:eastAsiaTheme="minorHAnsi" w:hAnsi="Arial Narrow"/>
                <w:b w:val="0"/>
                <w:snapToGrid/>
              </w:rPr>
            </w:pPr>
            <w:r w:rsidRPr="00F41718">
              <w:rPr>
                <w:rFonts w:ascii="Arial Narrow" w:eastAsiaTheme="minorHAnsi" w:hAnsi="Arial Narrow"/>
                <w:b w:val="0"/>
                <w:snapToGrid/>
              </w:rPr>
              <w:t>Subsequent continuing</w:t>
            </w:r>
          </w:p>
        </w:tc>
        <w:tc>
          <w:tcPr>
            <w:tcW w:w="419" w:type="dxa"/>
          </w:tcPr>
          <w:p w14:paraId="307C0300" w14:textId="77777777" w:rsidR="00F008B1" w:rsidRPr="00F41718" w:rsidRDefault="00F008B1" w:rsidP="00D4535A">
            <w:pPr>
              <w:pStyle w:val="PBACHeading1"/>
              <w:numPr>
                <w:ilvl w:val="0"/>
                <w:numId w:val="0"/>
              </w:numPr>
              <w:jc w:val="center"/>
              <w:rPr>
                <w:rFonts w:ascii="Arial Narrow" w:eastAsiaTheme="minorHAnsi" w:hAnsi="Arial Narrow"/>
                <w:b w:val="0"/>
                <w:snapToGrid/>
              </w:rPr>
            </w:pPr>
            <w:r w:rsidRPr="00F41718">
              <w:rPr>
                <w:rFonts w:ascii="Arial Narrow" w:eastAsiaTheme="minorHAnsi" w:hAnsi="Arial Narrow"/>
                <w:b w:val="0"/>
                <w:snapToGrid/>
              </w:rPr>
              <w:t>4</w:t>
            </w:r>
          </w:p>
        </w:tc>
        <w:tc>
          <w:tcPr>
            <w:tcW w:w="1231" w:type="dxa"/>
          </w:tcPr>
          <w:p w14:paraId="208BEA19" w14:textId="77777777" w:rsidR="00F008B1" w:rsidRPr="00F41718" w:rsidRDefault="00F008B1" w:rsidP="00D4535A">
            <w:pPr>
              <w:pStyle w:val="PBACHeading1"/>
              <w:numPr>
                <w:ilvl w:val="0"/>
                <w:numId w:val="0"/>
              </w:numPr>
              <w:jc w:val="center"/>
              <w:rPr>
                <w:rFonts w:ascii="Arial Narrow" w:eastAsiaTheme="minorHAnsi" w:hAnsi="Arial Narrow"/>
                <w:b w:val="0"/>
                <w:snapToGrid/>
              </w:rPr>
            </w:pPr>
            <w:r w:rsidRPr="00F41718">
              <w:rPr>
                <w:rFonts w:ascii="Arial Narrow" w:eastAsiaTheme="minorHAnsi" w:hAnsi="Arial Narrow"/>
                <w:b w:val="0"/>
                <w:snapToGrid/>
              </w:rPr>
              <w:t>5</w:t>
            </w:r>
          </w:p>
        </w:tc>
      </w:tr>
    </w:tbl>
    <w:p w14:paraId="656B4F9E" w14:textId="77777777" w:rsidR="00480A40" w:rsidRPr="00F41718" w:rsidRDefault="00480A40" w:rsidP="00D4535A"/>
    <w:p w14:paraId="748B693C" w14:textId="77777777" w:rsidR="00582B7E" w:rsidRPr="00B4293A" w:rsidRDefault="00582B7E" w:rsidP="00BF398F">
      <w:pPr>
        <w:pStyle w:val="PBACHeading1"/>
        <w:keepNext/>
        <w:numPr>
          <w:ilvl w:val="0"/>
          <w:numId w:val="5"/>
        </w:numPr>
        <w:spacing w:before="240" w:after="120"/>
        <w:rPr>
          <w:rFonts w:asciiTheme="minorHAnsi" w:hAnsiTheme="minorHAnsi" w:cstheme="minorHAnsi"/>
          <w:sz w:val="32"/>
          <w:szCs w:val="32"/>
        </w:rPr>
      </w:pPr>
      <w:r w:rsidRPr="00B4293A">
        <w:rPr>
          <w:rFonts w:asciiTheme="minorHAnsi" w:hAnsiTheme="minorHAnsi" w:cstheme="minorHAnsi"/>
          <w:sz w:val="32"/>
          <w:szCs w:val="32"/>
        </w:rPr>
        <w:t>Context for Decision</w:t>
      </w:r>
    </w:p>
    <w:p w14:paraId="7B6500FC" w14:textId="49DBED57" w:rsidR="00582B7E" w:rsidRPr="00BF398F" w:rsidRDefault="00582B7E" w:rsidP="00BF398F">
      <w:pPr>
        <w:ind w:left="709"/>
        <w:jc w:val="both"/>
        <w:rPr>
          <w:rFonts w:asciiTheme="minorHAnsi" w:hAnsiTheme="minorHAnsi" w:cs="Arial"/>
        </w:rPr>
      </w:pPr>
      <w:r w:rsidRPr="00C07617">
        <w:rPr>
          <w:rFonts w:asciiTheme="minorHAnsi" w:hAnsiTheme="minorHAnsi" w:cs="Arial"/>
        </w:rPr>
        <w:t>The PBAC helps decide whether and, if so, how medicines should be subsidised in Australia. It considers submissions in this context. A PBAC decision not to recommend listing or not to recommend changing a listing does not represent a final PBAC view about the merits of the medicine. A company can resubmit to the PBAC or seek independent review of the PBAC decision.</w:t>
      </w:r>
    </w:p>
    <w:p w14:paraId="6CE3B92F" w14:textId="77777777" w:rsidR="00582B7E" w:rsidRPr="00B4293A" w:rsidRDefault="00582B7E" w:rsidP="00BF398F">
      <w:pPr>
        <w:pStyle w:val="PBACHeading1"/>
        <w:keepNext/>
        <w:numPr>
          <w:ilvl w:val="0"/>
          <w:numId w:val="5"/>
        </w:numPr>
        <w:spacing w:before="240" w:after="120"/>
        <w:rPr>
          <w:rFonts w:asciiTheme="minorHAnsi" w:hAnsiTheme="minorHAnsi" w:cstheme="minorHAnsi"/>
          <w:sz w:val="32"/>
          <w:szCs w:val="32"/>
        </w:rPr>
      </w:pPr>
      <w:r w:rsidRPr="00B4293A">
        <w:rPr>
          <w:rFonts w:asciiTheme="minorHAnsi" w:hAnsiTheme="minorHAnsi" w:cstheme="minorHAnsi"/>
          <w:sz w:val="32"/>
          <w:szCs w:val="32"/>
        </w:rPr>
        <w:t>Sponsor’s Comment</w:t>
      </w:r>
    </w:p>
    <w:p w14:paraId="0BAB6BDC" w14:textId="77777777" w:rsidR="00582B7E" w:rsidRPr="00C07617" w:rsidRDefault="00582B7E" w:rsidP="00582B7E">
      <w:pPr>
        <w:spacing w:after="120"/>
        <w:ind w:left="709"/>
        <w:jc w:val="both"/>
        <w:rPr>
          <w:rFonts w:asciiTheme="minorHAnsi" w:hAnsiTheme="minorHAnsi" w:cs="Arial"/>
          <w:bCs/>
        </w:rPr>
      </w:pPr>
      <w:r w:rsidRPr="00C07617">
        <w:rPr>
          <w:rFonts w:asciiTheme="minorHAnsi" w:hAnsiTheme="minorHAnsi" w:cs="Arial"/>
          <w:bCs/>
        </w:rPr>
        <w:t>The sponsor had no comment.</w:t>
      </w:r>
    </w:p>
    <w:p w14:paraId="33A7D0DF" w14:textId="0E4DD635" w:rsidR="007A77A2" w:rsidRPr="00F41718" w:rsidRDefault="007A77A2" w:rsidP="00D4535A">
      <w:pPr>
        <w:rPr>
          <w:rFonts w:asciiTheme="minorHAnsi" w:hAnsiTheme="minorHAnsi"/>
          <w:sz w:val="22"/>
          <w:szCs w:val="22"/>
        </w:rPr>
      </w:pPr>
    </w:p>
    <w:p w14:paraId="5B1F686C" w14:textId="77777777" w:rsidR="007A77A2" w:rsidRPr="00F41718" w:rsidRDefault="007A77A2" w:rsidP="00D4535A">
      <w:pPr>
        <w:rPr>
          <w:rFonts w:asciiTheme="minorHAnsi" w:hAnsiTheme="minorHAnsi"/>
          <w:sz w:val="22"/>
          <w:szCs w:val="22"/>
        </w:rPr>
      </w:pPr>
    </w:p>
    <w:sectPr w:rsidR="007A77A2" w:rsidRPr="00F41718" w:rsidSect="00C27B58">
      <w:headerReference w:type="even" r:id="rId10"/>
      <w:headerReference w:type="default" r:id="rId11"/>
      <w:footerReference w:type="even" r:id="rId12"/>
      <w:footerReference w:type="default" r:id="rId13"/>
      <w:headerReference w:type="first" r:id="rId14"/>
      <w:footerReference w:type="first" r:id="rId15"/>
      <w:pgSz w:w="11906" w:h="16838" w:code="9"/>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7FEFD9" w14:textId="77777777" w:rsidR="00DD53A0" w:rsidRDefault="00DD53A0">
      <w:r>
        <w:separator/>
      </w:r>
    </w:p>
    <w:p w14:paraId="5F2145C0" w14:textId="77777777" w:rsidR="00DD53A0" w:rsidRDefault="00DD53A0"/>
  </w:endnote>
  <w:endnote w:type="continuationSeparator" w:id="0">
    <w:p w14:paraId="659E437D" w14:textId="77777777" w:rsidR="00DD53A0" w:rsidRDefault="00DD53A0">
      <w:r>
        <w:continuationSeparator/>
      </w:r>
    </w:p>
    <w:p w14:paraId="038FF432" w14:textId="77777777" w:rsidR="00DD53A0" w:rsidRDefault="00DD53A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PMingLiU">
    <w:altName w:val="Arial Unicode MS"/>
    <w:panose1 w:val="02010601000101010101"/>
    <w:charset w:val="88"/>
    <w:family w:val="roman"/>
    <w:pitch w:val="variable"/>
    <w:sig w:usb0="00000000" w:usb1="28CFFCFA" w:usb2="00000016" w:usb3="00000000" w:csb0="00100001" w:csb1="00000000"/>
  </w:font>
  <w:font w:name="Arial Bold">
    <w:altName w:val="Arial"/>
    <w:panose1 w:val="020B0704020202020204"/>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DD53A0" w14:paraId="0F403046" w14:textId="77777777" w:rsidTr="005A3173">
      <w:trPr>
        <w:trHeight w:val="151"/>
      </w:trPr>
      <w:tc>
        <w:tcPr>
          <w:tcW w:w="2250" w:type="pct"/>
          <w:tcBorders>
            <w:top w:val="nil"/>
            <w:left w:val="nil"/>
            <w:bottom w:val="single" w:sz="4" w:space="0" w:color="4F81BD"/>
            <w:right w:val="nil"/>
          </w:tcBorders>
        </w:tcPr>
        <w:p w14:paraId="528B430F" w14:textId="77777777" w:rsidR="00DD53A0" w:rsidRPr="005A3173" w:rsidRDefault="00DD53A0" w:rsidP="005A3173">
          <w:pPr>
            <w:pStyle w:val="Header"/>
            <w:spacing w:line="276" w:lineRule="auto"/>
            <w:rPr>
              <w:rFonts w:ascii="Calibri" w:eastAsia="MS Gothic" w:hAnsi="Calibri"/>
              <w:b/>
              <w:bCs/>
              <w:color w:val="4F81BD"/>
            </w:rPr>
          </w:pPr>
        </w:p>
      </w:tc>
      <w:tc>
        <w:tcPr>
          <w:tcW w:w="500" w:type="pct"/>
          <w:vMerge w:val="restart"/>
          <w:noWrap/>
          <w:vAlign w:val="center"/>
          <w:hideMark/>
        </w:tcPr>
        <w:p w14:paraId="439869EB" w14:textId="77777777" w:rsidR="00DD53A0" w:rsidRPr="005A3173" w:rsidRDefault="00DD53A0"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14:paraId="4924438C" w14:textId="77777777" w:rsidR="00DD53A0" w:rsidRPr="005A3173" w:rsidRDefault="00DD53A0" w:rsidP="005A3173">
          <w:pPr>
            <w:pStyle w:val="Header"/>
            <w:spacing w:line="276" w:lineRule="auto"/>
            <w:rPr>
              <w:rFonts w:ascii="Calibri" w:eastAsia="MS Gothic" w:hAnsi="Calibri"/>
              <w:b/>
              <w:bCs/>
              <w:color w:val="4F81BD"/>
            </w:rPr>
          </w:pPr>
        </w:p>
      </w:tc>
    </w:tr>
    <w:tr w:rsidR="00DD53A0" w14:paraId="11805259" w14:textId="77777777" w:rsidTr="005A3173">
      <w:trPr>
        <w:trHeight w:val="150"/>
      </w:trPr>
      <w:tc>
        <w:tcPr>
          <w:tcW w:w="2250" w:type="pct"/>
          <w:tcBorders>
            <w:top w:val="single" w:sz="4" w:space="0" w:color="4F81BD"/>
            <w:left w:val="nil"/>
            <w:bottom w:val="nil"/>
            <w:right w:val="nil"/>
          </w:tcBorders>
        </w:tcPr>
        <w:p w14:paraId="2C889BD0" w14:textId="77777777" w:rsidR="00DD53A0" w:rsidRPr="005A3173" w:rsidRDefault="00DD53A0" w:rsidP="005A3173">
          <w:pPr>
            <w:pStyle w:val="Header"/>
            <w:spacing w:line="276" w:lineRule="auto"/>
            <w:rPr>
              <w:rFonts w:ascii="Calibri" w:eastAsia="MS Gothic" w:hAnsi="Calibri"/>
              <w:b/>
              <w:bCs/>
              <w:color w:val="4F81BD"/>
            </w:rPr>
          </w:pPr>
        </w:p>
      </w:tc>
      <w:tc>
        <w:tcPr>
          <w:tcW w:w="0" w:type="auto"/>
          <w:vMerge/>
          <w:vAlign w:val="center"/>
          <w:hideMark/>
        </w:tcPr>
        <w:p w14:paraId="0FCE3EC0" w14:textId="77777777" w:rsidR="00DD53A0" w:rsidRPr="005A3173" w:rsidRDefault="00DD53A0" w:rsidP="005A3173">
          <w:pPr>
            <w:rPr>
              <w:rFonts w:ascii="Calibri" w:hAnsi="Calibri"/>
              <w:color w:val="365F91"/>
              <w:sz w:val="22"/>
              <w:szCs w:val="22"/>
            </w:rPr>
          </w:pPr>
        </w:p>
      </w:tc>
      <w:tc>
        <w:tcPr>
          <w:tcW w:w="2250" w:type="pct"/>
          <w:tcBorders>
            <w:top w:val="single" w:sz="4" w:space="0" w:color="4F81BD"/>
            <w:left w:val="nil"/>
            <w:bottom w:val="nil"/>
            <w:right w:val="nil"/>
          </w:tcBorders>
        </w:tcPr>
        <w:p w14:paraId="764A0A76" w14:textId="77777777" w:rsidR="00DD53A0" w:rsidRPr="005A3173" w:rsidRDefault="00DD53A0" w:rsidP="005A3173">
          <w:pPr>
            <w:pStyle w:val="Header"/>
            <w:spacing w:line="276" w:lineRule="auto"/>
            <w:rPr>
              <w:rFonts w:ascii="Calibri" w:eastAsia="MS Gothic" w:hAnsi="Calibri"/>
              <w:b/>
              <w:bCs/>
              <w:color w:val="4F81BD"/>
            </w:rPr>
          </w:pPr>
        </w:p>
      </w:tc>
    </w:tr>
  </w:tbl>
  <w:p w14:paraId="02E3CF04" w14:textId="77777777" w:rsidR="00DD53A0" w:rsidRDefault="00DD53A0" w:rsidP="00653D6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8898625" w14:textId="77777777" w:rsidR="00DD53A0" w:rsidRDefault="00DD53A0">
    <w:pPr>
      <w:pStyle w:val="Footer"/>
    </w:pPr>
  </w:p>
  <w:p w14:paraId="4EEC3467" w14:textId="77777777" w:rsidR="00DD53A0" w:rsidRDefault="00DD53A0"/>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292460" w14:textId="77777777" w:rsidR="00DD53A0" w:rsidRDefault="00DD53A0" w:rsidP="00EF44A0">
    <w:pPr>
      <w:pStyle w:val="Footer"/>
      <w:jc w:val="center"/>
      <w:rPr>
        <w:rFonts w:ascii="Arial" w:hAnsi="Arial" w:cs="Arial"/>
        <w:b/>
        <w:sz w:val="20"/>
        <w:szCs w:val="20"/>
      </w:rPr>
    </w:pPr>
  </w:p>
  <w:p w14:paraId="04655211" w14:textId="637EDE8D" w:rsidR="00DD53A0" w:rsidRPr="00547224" w:rsidRDefault="00DD53A0" w:rsidP="00547224">
    <w:pPr>
      <w:pStyle w:val="Footer"/>
      <w:ind w:left="360"/>
      <w:jc w:val="center"/>
      <w:rPr>
        <w:rFonts w:ascii="Calibri" w:hAnsi="Calibri" w:cs="Arial"/>
        <w:b/>
        <w:sz w:val="20"/>
      </w:rPr>
    </w:pPr>
    <w:r w:rsidRPr="00F90A91">
      <w:rPr>
        <w:rFonts w:ascii="Calibri" w:hAnsi="Calibri" w:cs="Arial"/>
        <w:b/>
        <w:sz w:val="20"/>
      </w:rPr>
      <w:fldChar w:fldCharType="begin"/>
    </w:r>
    <w:r w:rsidRPr="00F90A91">
      <w:rPr>
        <w:rFonts w:ascii="Calibri" w:hAnsi="Calibri" w:cs="Arial"/>
        <w:b/>
        <w:sz w:val="20"/>
      </w:rPr>
      <w:instrText xml:space="preserve"> PAGE   \* MERGEFORMAT </w:instrText>
    </w:r>
    <w:r w:rsidRPr="00F90A91">
      <w:rPr>
        <w:rFonts w:ascii="Calibri" w:hAnsi="Calibri" w:cs="Arial"/>
        <w:b/>
        <w:sz w:val="20"/>
      </w:rPr>
      <w:fldChar w:fldCharType="separate"/>
    </w:r>
    <w:r w:rsidR="002A6105">
      <w:rPr>
        <w:rFonts w:ascii="Calibri" w:hAnsi="Calibri" w:cs="Arial"/>
        <w:b/>
        <w:noProof/>
        <w:sz w:val="20"/>
      </w:rPr>
      <w:t>7</w:t>
    </w:r>
    <w:r w:rsidRPr="00F90A91">
      <w:rPr>
        <w:rFonts w:ascii="Calibri" w:hAnsi="Calibri" w:cs="Arial"/>
        <w:b/>
        <w:noProof/>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ook w:val="04A0" w:firstRow="1" w:lastRow="0" w:firstColumn="1" w:lastColumn="0" w:noHBand="0" w:noVBand="1"/>
    </w:tblPr>
    <w:tblGrid>
      <w:gridCol w:w="3995"/>
      <w:gridCol w:w="1252"/>
      <w:gridCol w:w="3995"/>
    </w:tblGrid>
    <w:tr w:rsidR="00DD53A0" w14:paraId="4100C6BD" w14:textId="77777777" w:rsidTr="005A3173">
      <w:trPr>
        <w:trHeight w:val="151"/>
      </w:trPr>
      <w:tc>
        <w:tcPr>
          <w:tcW w:w="2250" w:type="pct"/>
          <w:tcBorders>
            <w:top w:val="nil"/>
            <w:left w:val="nil"/>
            <w:bottom w:val="single" w:sz="4" w:space="0" w:color="4F81BD"/>
            <w:right w:val="nil"/>
          </w:tcBorders>
        </w:tcPr>
        <w:p w14:paraId="22747997" w14:textId="77777777" w:rsidR="00DD53A0" w:rsidRPr="005A3173" w:rsidRDefault="00DD53A0" w:rsidP="005A3173">
          <w:pPr>
            <w:pStyle w:val="Header"/>
            <w:spacing w:line="276" w:lineRule="auto"/>
            <w:rPr>
              <w:rFonts w:ascii="Calibri" w:eastAsia="MS Gothic" w:hAnsi="Calibri"/>
              <w:b/>
              <w:bCs/>
              <w:color w:val="4F81BD"/>
            </w:rPr>
          </w:pPr>
        </w:p>
      </w:tc>
      <w:tc>
        <w:tcPr>
          <w:tcW w:w="500" w:type="pct"/>
          <w:vMerge w:val="restart"/>
          <w:noWrap/>
          <w:vAlign w:val="center"/>
          <w:hideMark/>
        </w:tcPr>
        <w:p w14:paraId="69696AD2" w14:textId="77777777" w:rsidR="00DD53A0" w:rsidRPr="005A3173" w:rsidRDefault="00DD53A0"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14:paraId="0C33F9BF" w14:textId="77777777" w:rsidR="00DD53A0" w:rsidRPr="005A3173" w:rsidRDefault="00DD53A0" w:rsidP="005A3173">
          <w:pPr>
            <w:pStyle w:val="Header"/>
            <w:spacing w:line="276" w:lineRule="auto"/>
            <w:rPr>
              <w:rFonts w:ascii="Calibri" w:eastAsia="MS Gothic" w:hAnsi="Calibri"/>
              <w:b/>
              <w:bCs/>
              <w:color w:val="4F81BD"/>
            </w:rPr>
          </w:pPr>
        </w:p>
      </w:tc>
    </w:tr>
    <w:tr w:rsidR="00DD53A0" w14:paraId="4114C6AA" w14:textId="77777777" w:rsidTr="005A3173">
      <w:trPr>
        <w:trHeight w:val="150"/>
      </w:trPr>
      <w:tc>
        <w:tcPr>
          <w:tcW w:w="2250" w:type="pct"/>
          <w:tcBorders>
            <w:top w:val="single" w:sz="4" w:space="0" w:color="4F81BD"/>
            <w:left w:val="nil"/>
            <w:bottom w:val="nil"/>
            <w:right w:val="nil"/>
          </w:tcBorders>
        </w:tcPr>
        <w:p w14:paraId="55D51CE5" w14:textId="77777777" w:rsidR="00DD53A0" w:rsidRPr="005A3173" w:rsidRDefault="00DD53A0" w:rsidP="005A3173">
          <w:pPr>
            <w:pStyle w:val="Header"/>
            <w:spacing w:line="276" w:lineRule="auto"/>
            <w:rPr>
              <w:rFonts w:ascii="Calibri" w:eastAsia="MS Gothic" w:hAnsi="Calibri"/>
              <w:b/>
              <w:bCs/>
              <w:color w:val="4F81BD"/>
            </w:rPr>
          </w:pPr>
        </w:p>
      </w:tc>
      <w:tc>
        <w:tcPr>
          <w:tcW w:w="0" w:type="auto"/>
          <w:vMerge/>
          <w:vAlign w:val="center"/>
          <w:hideMark/>
        </w:tcPr>
        <w:p w14:paraId="6BC26E08" w14:textId="77777777" w:rsidR="00DD53A0" w:rsidRPr="005A3173" w:rsidRDefault="00DD53A0" w:rsidP="005A3173">
          <w:pPr>
            <w:rPr>
              <w:rFonts w:ascii="Calibri" w:hAnsi="Calibri"/>
              <w:color w:val="365F91"/>
              <w:sz w:val="22"/>
              <w:szCs w:val="22"/>
            </w:rPr>
          </w:pPr>
        </w:p>
      </w:tc>
      <w:tc>
        <w:tcPr>
          <w:tcW w:w="2250" w:type="pct"/>
          <w:tcBorders>
            <w:top w:val="single" w:sz="4" w:space="0" w:color="4F81BD"/>
            <w:left w:val="nil"/>
            <w:bottom w:val="nil"/>
            <w:right w:val="nil"/>
          </w:tcBorders>
        </w:tcPr>
        <w:p w14:paraId="1D0417E1" w14:textId="77777777" w:rsidR="00DD53A0" w:rsidRPr="005A3173" w:rsidRDefault="00DD53A0" w:rsidP="005A3173">
          <w:pPr>
            <w:pStyle w:val="Header"/>
            <w:spacing w:line="276" w:lineRule="auto"/>
            <w:rPr>
              <w:rFonts w:ascii="Calibri" w:eastAsia="MS Gothic" w:hAnsi="Calibri"/>
              <w:b/>
              <w:bCs/>
              <w:color w:val="4F81BD"/>
            </w:rPr>
          </w:pPr>
        </w:p>
      </w:tc>
    </w:tr>
  </w:tbl>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DD53A0" w14:paraId="502F4ED0" w14:textId="77777777" w:rsidTr="005A3173">
      <w:trPr>
        <w:trHeight w:val="151"/>
      </w:trPr>
      <w:tc>
        <w:tcPr>
          <w:tcW w:w="2250" w:type="pct"/>
          <w:tcBorders>
            <w:top w:val="nil"/>
            <w:left w:val="nil"/>
            <w:bottom w:val="single" w:sz="4" w:space="0" w:color="4F81BD"/>
            <w:right w:val="nil"/>
          </w:tcBorders>
        </w:tcPr>
        <w:p w14:paraId="55163CE0" w14:textId="77777777" w:rsidR="00DD53A0" w:rsidRPr="005A3173" w:rsidRDefault="00DD53A0" w:rsidP="005A3173">
          <w:pPr>
            <w:pStyle w:val="Header"/>
            <w:spacing w:line="276" w:lineRule="auto"/>
            <w:rPr>
              <w:rFonts w:ascii="Calibri" w:eastAsia="MS Gothic" w:hAnsi="Calibri"/>
              <w:b/>
              <w:bCs/>
              <w:color w:val="4F81BD"/>
            </w:rPr>
          </w:pPr>
        </w:p>
      </w:tc>
      <w:tc>
        <w:tcPr>
          <w:tcW w:w="500" w:type="pct"/>
          <w:vMerge w:val="restart"/>
          <w:noWrap/>
          <w:vAlign w:val="center"/>
          <w:hideMark/>
        </w:tcPr>
        <w:p w14:paraId="512A4467" w14:textId="77777777" w:rsidR="00DD53A0" w:rsidRPr="005A3173" w:rsidRDefault="00DD53A0"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14:paraId="5D8EF3E4" w14:textId="77777777" w:rsidR="00DD53A0" w:rsidRPr="005A3173" w:rsidRDefault="00DD53A0" w:rsidP="005A3173">
          <w:pPr>
            <w:pStyle w:val="Header"/>
            <w:spacing w:line="276" w:lineRule="auto"/>
            <w:rPr>
              <w:rFonts w:ascii="Calibri" w:eastAsia="MS Gothic" w:hAnsi="Calibri"/>
              <w:b/>
              <w:bCs/>
              <w:color w:val="4F81BD"/>
            </w:rPr>
          </w:pPr>
        </w:p>
      </w:tc>
    </w:tr>
    <w:tr w:rsidR="00DD53A0" w14:paraId="07A637CE" w14:textId="77777777" w:rsidTr="005A3173">
      <w:trPr>
        <w:trHeight w:val="150"/>
      </w:trPr>
      <w:tc>
        <w:tcPr>
          <w:tcW w:w="2250" w:type="pct"/>
          <w:tcBorders>
            <w:top w:val="single" w:sz="4" w:space="0" w:color="4F81BD"/>
            <w:left w:val="nil"/>
            <w:bottom w:val="nil"/>
            <w:right w:val="nil"/>
          </w:tcBorders>
        </w:tcPr>
        <w:p w14:paraId="41EF6B5D" w14:textId="77777777" w:rsidR="00DD53A0" w:rsidRPr="005A3173" w:rsidRDefault="00DD53A0" w:rsidP="005A3173">
          <w:pPr>
            <w:pStyle w:val="Header"/>
            <w:spacing w:line="276" w:lineRule="auto"/>
            <w:rPr>
              <w:rFonts w:ascii="Calibri" w:eastAsia="MS Gothic" w:hAnsi="Calibri"/>
              <w:b/>
              <w:bCs/>
              <w:color w:val="4F81BD"/>
            </w:rPr>
          </w:pPr>
        </w:p>
      </w:tc>
      <w:tc>
        <w:tcPr>
          <w:tcW w:w="0" w:type="auto"/>
          <w:vMerge/>
          <w:vAlign w:val="center"/>
          <w:hideMark/>
        </w:tcPr>
        <w:p w14:paraId="18F6948C" w14:textId="77777777" w:rsidR="00DD53A0" w:rsidRPr="005A3173" w:rsidRDefault="00DD53A0" w:rsidP="005A3173">
          <w:pPr>
            <w:rPr>
              <w:rFonts w:ascii="Calibri" w:hAnsi="Calibri"/>
              <w:color w:val="365F91"/>
              <w:sz w:val="22"/>
              <w:szCs w:val="22"/>
            </w:rPr>
          </w:pPr>
        </w:p>
      </w:tc>
      <w:tc>
        <w:tcPr>
          <w:tcW w:w="2250" w:type="pct"/>
          <w:tcBorders>
            <w:top w:val="single" w:sz="4" w:space="0" w:color="4F81BD"/>
            <w:left w:val="nil"/>
            <w:bottom w:val="nil"/>
            <w:right w:val="nil"/>
          </w:tcBorders>
        </w:tcPr>
        <w:p w14:paraId="46AD7675" w14:textId="77777777" w:rsidR="00DD53A0" w:rsidRPr="005A3173" w:rsidRDefault="00DD53A0" w:rsidP="005A3173">
          <w:pPr>
            <w:pStyle w:val="Header"/>
            <w:spacing w:line="276" w:lineRule="auto"/>
            <w:rPr>
              <w:rFonts w:ascii="Calibri" w:eastAsia="MS Gothic" w:hAnsi="Calibri"/>
              <w:b/>
              <w:bCs/>
              <w:color w:val="4F81BD"/>
            </w:rPr>
          </w:pPr>
        </w:p>
      </w:tc>
    </w:tr>
  </w:tbl>
  <w:p w14:paraId="0EB79063" w14:textId="77777777" w:rsidR="00DD53A0" w:rsidRPr="007C0F57" w:rsidRDefault="00DD53A0" w:rsidP="007C0F57">
    <w:pPr>
      <w:pStyle w:val="Footer"/>
      <w:jc w:val="center"/>
      <w:rPr>
        <w:b/>
        <w:i/>
        <w:sz w:val="20"/>
        <w:szCs w:val="20"/>
      </w:rPr>
    </w:pPr>
    <w:r w:rsidRPr="007C0F57">
      <w:rPr>
        <w:b/>
        <w:i/>
        <w:sz w:val="20"/>
        <w:szCs w:val="20"/>
      </w:rPr>
      <w:t xml:space="preserve">Draft Minutes </w:t>
    </w:r>
    <w:r>
      <w:rPr>
        <w:b/>
        <w:i/>
        <w:sz w:val="20"/>
        <w:szCs w:val="20"/>
      </w:rPr>
      <w:t xml:space="preserve">November 2011 </w:t>
    </w:r>
    <w:r w:rsidRPr="007C0F57">
      <w:rPr>
        <w:b/>
        <w:i/>
        <w:sz w:val="20"/>
        <w:szCs w:val="20"/>
      </w:rPr>
      <w:t>P</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r w:rsidRPr="007C0F57">
      <w:rPr>
        <w:b/>
        <w:i/>
        <w:sz w:val="20"/>
        <w:szCs w:val="20"/>
      </w:rPr>
      <w:t>BAC Meeting</w:t>
    </w:r>
  </w:p>
  <w:p w14:paraId="332AE26F" w14:textId="77777777" w:rsidR="00DD53A0" w:rsidRPr="007C0F57" w:rsidRDefault="00DD53A0" w:rsidP="007C0F57">
    <w:pPr>
      <w:pStyle w:val="Footer"/>
      <w:jc w:val="center"/>
      <w:rPr>
        <w:b/>
        <w:i/>
        <w:sz w:val="20"/>
        <w:szCs w:val="20"/>
      </w:rPr>
    </w:pPr>
    <w:r w:rsidRPr="007C0F57">
      <w:rPr>
        <w:b/>
        <w:i/>
        <w:sz w:val="20"/>
        <w:szCs w:val="20"/>
      </w:rPr>
      <w:t>Commercial-in-Confidence</w:t>
    </w:r>
  </w:p>
  <w:p w14:paraId="0F3D8635" w14:textId="77777777" w:rsidR="00DD53A0" w:rsidRDefault="00DD53A0"/>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A42C3F" w14:textId="77777777" w:rsidR="00DD53A0" w:rsidRDefault="00DD53A0">
      <w:r>
        <w:separator/>
      </w:r>
    </w:p>
    <w:p w14:paraId="3942454E" w14:textId="77777777" w:rsidR="00DD53A0" w:rsidRDefault="00DD53A0"/>
  </w:footnote>
  <w:footnote w:type="continuationSeparator" w:id="0">
    <w:p w14:paraId="70A18AFD" w14:textId="77777777" w:rsidR="00DD53A0" w:rsidRDefault="00DD53A0">
      <w:r>
        <w:continuationSeparator/>
      </w:r>
    </w:p>
    <w:p w14:paraId="005DF962" w14:textId="77777777" w:rsidR="00DD53A0" w:rsidRDefault="00DD53A0"/>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87" w:rightFromText="187" w:bottomFromText="200" w:vertAnchor="text" w:tblpY="1"/>
      <w:tblW w:w="4937" w:type="pct"/>
      <w:tblLook w:val="04A0" w:firstRow="1" w:lastRow="0" w:firstColumn="1" w:lastColumn="0" w:noHBand="0" w:noVBand="1"/>
    </w:tblPr>
    <w:tblGrid>
      <w:gridCol w:w="4038"/>
      <w:gridCol w:w="1252"/>
      <w:gridCol w:w="3836"/>
    </w:tblGrid>
    <w:tr w:rsidR="00DD53A0" w:rsidRPr="008E0D90" w14:paraId="28F0606A" w14:textId="77777777" w:rsidTr="00A06225">
      <w:trPr>
        <w:trHeight w:val="151"/>
      </w:trPr>
      <w:tc>
        <w:tcPr>
          <w:tcW w:w="2389" w:type="pct"/>
          <w:tcBorders>
            <w:top w:val="nil"/>
            <w:left w:val="nil"/>
            <w:bottom w:val="single" w:sz="4" w:space="0" w:color="4F81BD"/>
            <w:right w:val="nil"/>
          </w:tcBorders>
        </w:tcPr>
        <w:p w14:paraId="1028238A" w14:textId="77777777" w:rsidR="00DD53A0" w:rsidRPr="00A06225" w:rsidRDefault="00DD53A0">
          <w:pPr>
            <w:pStyle w:val="Header"/>
            <w:spacing w:line="276" w:lineRule="auto"/>
            <w:rPr>
              <w:rFonts w:ascii="Cambria" w:eastAsia="MS Gothic" w:hAnsi="Cambria"/>
              <w:b/>
              <w:bCs/>
              <w:color w:val="4F81BD"/>
            </w:rPr>
          </w:pPr>
        </w:p>
      </w:tc>
      <w:tc>
        <w:tcPr>
          <w:tcW w:w="333" w:type="pct"/>
          <w:vMerge w:val="restart"/>
          <w:noWrap/>
          <w:vAlign w:val="center"/>
          <w:hideMark/>
        </w:tcPr>
        <w:p w14:paraId="6EE80E57" w14:textId="77777777" w:rsidR="00DD53A0" w:rsidRPr="00A06225" w:rsidRDefault="00DD53A0" w:rsidP="00A06225">
          <w:pPr>
            <w:pStyle w:val="MediumGrid21"/>
            <w:rPr>
              <w:rFonts w:ascii="Cambria" w:hAnsi="Cambria"/>
              <w:color w:val="4F81BD"/>
              <w:szCs w:val="20"/>
            </w:rPr>
          </w:pPr>
          <w:r w:rsidRPr="00A06225">
            <w:rPr>
              <w:rFonts w:ascii="Cambria" w:hAnsi="Cambria"/>
              <w:color w:val="4F81BD"/>
            </w:rPr>
            <w:t>[Type text]</w:t>
          </w:r>
        </w:p>
      </w:tc>
      <w:tc>
        <w:tcPr>
          <w:tcW w:w="2278" w:type="pct"/>
          <w:tcBorders>
            <w:top w:val="nil"/>
            <w:left w:val="nil"/>
            <w:bottom w:val="single" w:sz="4" w:space="0" w:color="4F81BD"/>
            <w:right w:val="nil"/>
          </w:tcBorders>
        </w:tcPr>
        <w:p w14:paraId="577B1C0F" w14:textId="77777777" w:rsidR="00DD53A0" w:rsidRPr="00A06225" w:rsidRDefault="00DD53A0">
          <w:pPr>
            <w:pStyle w:val="Header"/>
            <w:spacing w:line="276" w:lineRule="auto"/>
            <w:rPr>
              <w:rFonts w:ascii="Cambria" w:eastAsia="MS Gothic" w:hAnsi="Cambria"/>
              <w:b/>
              <w:bCs/>
              <w:color w:val="4F81BD"/>
            </w:rPr>
          </w:pPr>
        </w:p>
      </w:tc>
    </w:tr>
    <w:tr w:rsidR="00DD53A0" w:rsidRPr="008E0D90" w14:paraId="560E31D6" w14:textId="77777777" w:rsidTr="00A06225">
      <w:trPr>
        <w:trHeight w:val="150"/>
      </w:trPr>
      <w:tc>
        <w:tcPr>
          <w:tcW w:w="2389" w:type="pct"/>
          <w:tcBorders>
            <w:top w:val="single" w:sz="4" w:space="0" w:color="4F81BD"/>
            <w:left w:val="nil"/>
            <w:bottom w:val="nil"/>
            <w:right w:val="nil"/>
          </w:tcBorders>
        </w:tcPr>
        <w:p w14:paraId="28AF8ABE" w14:textId="77777777" w:rsidR="00DD53A0" w:rsidRPr="00A06225" w:rsidRDefault="00DD53A0">
          <w:pPr>
            <w:pStyle w:val="Header"/>
            <w:spacing w:line="276" w:lineRule="auto"/>
            <w:rPr>
              <w:rFonts w:ascii="Cambria" w:eastAsia="MS Gothic" w:hAnsi="Cambria"/>
              <w:b/>
              <w:bCs/>
              <w:color w:val="4F81BD"/>
            </w:rPr>
          </w:pPr>
        </w:p>
      </w:tc>
      <w:tc>
        <w:tcPr>
          <w:tcW w:w="0" w:type="auto"/>
          <w:vMerge/>
          <w:vAlign w:val="center"/>
          <w:hideMark/>
        </w:tcPr>
        <w:p w14:paraId="716A5265" w14:textId="77777777" w:rsidR="00DD53A0" w:rsidRPr="00A06225" w:rsidRDefault="00DD53A0">
          <w:pPr>
            <w:rPr>
              <w:rFonts w:ascii="Cambria" w:hAnsi="Cambria"/>
              <w:color w:val="4F81BD"/>
              <w:sz w:val="22"/>
              <w:szCs w:val="22"/>
            </w:rPr>
          </w:pPr>
        </w:p>
      </w:tc>
      <w:tc>
        <w:tcPr>
          <w:tcW w:w="2278" w:type="pct"/>
          <w:tcBorders>
            <w:top w:val="single" w:sz="4" w:space="0" w:color="4F81BD"/>
            <w:left w:val="nil"/>
            <w:bottom w:val="nil"/>
            <w:right w:val="nil"/>
          </w:tcBorders>
        </w:tcPr>
        <w:p w14:paraId="16E7CF73" w14:textId="77777777" w:rsidR="00DD53A0" w:rsidRPr="00A06225" w:rsidRDefault="00DD53A0">
          <w:pPr>
            <w:pStyle w:val="Header"/>
            <w:spacing w:line="276" w:lineRule="auto"/>
            <w:rPr>
              <w:rFonts w:ascii="Cambria" w:eastAsia="MS Gothic" w:hAnsi="Cambria"/>
              <w:b/>
              <w:bCs/>
              <w:color w:val="4F81BD"/>
            </w:rPr>
          </w:pPr>
        </w:p>
      </w:tc>
    </w:tr>
  </w:tbl>
  <w:p w14:paraId="799ACE62" w14:textId="77777777" w:rsidR="00DD53A0" w:rsidRDefault="00DD53A0">
    <w:pPr>
      <w:pStyle w:val="Header"/>
    </w:pPr>
  </w:p>
  <w:p w14:paraId="42EC782B" w14:textId="77777777" w:rsidR="00DD53A0" w:rsidRDefault="00DD53A0"/>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3EA9CA" w14:textId="3AA7F40F" w:rsidR="00DD53A0" w:rsidRPr="009B0F80" w:rsidRDefault="00B24EB7" w:rsidP="00547224">
    <w:pPr>
      <w:pStyle w:val="Header"/>
      <w:ind w:left="360"/>
      <w:jc w:val="center"/>
      <w:rPr>
        <w:rFonts w:asciiTheme="minorHAnsi" w:hAnsiTheme="minorHAnsi" w:cs="Arial"/>
        <w:i/>
        <w:color w:val="808080"/>
      </w:rPr>
    </w:pPr>
    <w:r w:rsidRPr="009B0F80">
      <w:rPr>
        <w:rFonts w:asciiTheme="minorHAnsi" w:hAnsiTheme="minorHAnsi" w:cs="Arial"/>
        <w:i/>
        <w:color w:val="808080"/>
      </w:rPr>
      <w:t>Public Summary Document</w:t>
    </w:r>
    <w:r w:rsidR="00DD53A0" w:rsidRPr="009B0F80">
      <w:rPr>
        <w:rFonts w:asciiTheme="minorHAnsi" w:hAnsiTheme="minorHAnsi" w:cs="Arial"/>
        <w:i/>
        <w:color w:val="808080"/>
      </w:rPr>
      <w:t xml:space="preserve"> – March 2019 PBAC Meeting</w:t>
    </w:r>
  </w:p>
  <w:p w14:paraId="74242D9C" w14:textId="77777777" w:rsidR="00DD53A0" w:rsidRDefault="00DD53A0" w:rsidP="00A128E6">
    <w:pPr>
      <w:pStyle w:val="NoSpacing"/>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BBECFB" w14:textId="77777777" w:rsidR="009B0F80" w:rsidRDefault="009B0F8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0B200EBA"/>
    <w:lvl w:ilvl="0">
      <w:start w:val="1"/>
      <w:numFmt w:val="decimal"/>
      <w:lvlText w:val="%1"/>
      <w:lvlJc w:val="left"/>
      <w:pPr>
        <w:tabs>
          <w:tab w:val="num" w:pos="643"/>
        </w:tabs>
        <w:ind w:left="643" w:hanging="360"/>
      </w:pPr>
      <w:rPr>
        <w:rFonts w:hint="default"/>
      </w:rPr>
    </w:lvl>
  </w:abstractNum>
  <w:abstractNum w:abstractNumId="1" w15:restartNumberingAfterBreak="0">
    <w:nsid w:val="FFFFFF88"/>
    <w:multiLevelType w:val="singleLevel"/>
    <w:tmpl w:val="EE52495A"/>
    <w:lvl w:ilvl="0">
      <w:start w:val="1"/>
      <w:numFmt w:val="decimal"/>
      <w:pStyle w:val="ListNumber"/>
      <w:lvlText w:val="%1."/>
      <w:lvlJc w:val="left"/>
      <w:pPr>
        <w:tabs>
          <w:tab w:val="num" w:pos="360"/>
        </w:tabs>
        <w:ind w:left="360" w:hanging="360"/>
      </w:pPr>
    </w:lvl>
  </w:abstractNum>
  <w:abstractNum w:abstractNumId="2" w15:restartNumberingAfterBreak="0">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0AC0811"/>
    <w:multiLevelType w:val="hybridMultilevel"/>
    <w:tmpl w:val="9E3E2776"/>
    <w:lvl w:ilvl="0" w:tplc="369A0A56">
      <w:start w:val="1"/>
      <w:numFmt w:val="bullet"/>
      <w:lvlText w:val=""/>
      <w:lvlJc w:val="left"/>
      <w:pPr>
        <w:tabs>
          <w:tab w:val="num" w:pos="720"/>
        </w:tabs>
        <w:ind w:left="720" w:hanging="360"/>
      </w:pPr>
      <w:rPr>
        <w:rFonts w:ascii="Symbol" w:hAnsi="Symbol" w:hint="default"/>
      </w:rPr>
    </w:lvl>
    <w:lvl w:ilvl="1" w:tplc="E4321262">
      <w:start w:val="1"/>
      <w:numFmt w:val="bullet"/>
      <w:lvlText w:val="o"/>
      <w:lvlJc w:val="left"/>
      <w:pPr>
        <w:tabs>
          <w:tab w:val="num" w:pos="1440"/>
        </w:tabs>
        <w:ind w:left="1440" w:hanging="360"/>
      </w:pPr>
      <w:rPr>
        <w:rFonts w:ascii="Courier New" w:hAnsi="Courier New" w:cs="Courier New" w:hint="default"/>
      </w:rPr>
    </w:lvl>
    <w:lvl w:ilvl="2" w:tplc="8E7CC4D4">
      <w:start w:val="1"/>
      <w:numFmt w:val="bullet"/>
      <w:lvlText w:val=""/>
      <w:lvlJc w:val="left"/>
      <w:pPr>
        <w:tabs>
          <w:tab w:val="num" w:pos="2160"/>
        </w:tabs>
        <w:ind w:left="2160" w:hanging="360"/>
      </w:pPr>
      <w:rPr>
        <w:rFonts w:ascii="Wingdings" w:hAnsi="Wingdings" w:hint="default"/>
      </w:rPr>
    </w:lvl>
    <w:lvl w:ilvl="3" w:tplc="B172EB80" w:tentative="1">
      <w:start w:val="1"/>
      <w:numFmt w:val="bullet"/>
      <w:lvlText w:val=""/>
      <w:lvlJc w:val="left"/>
      <w:pPr>
        <w:tabs>
          <w:tab w:val="num" w:pos="2880"/>
        </w:tabs>
        <w:ind w:left="2880" w:hanging="360"/>
      </w:pPr>
      <w:rPr>
        <w:rFonts w:ascii="Symbol" w:hAnsi="Symbol" w:hint="default"/>
      </w:rPr>
    </w:lvl>
    <w:lvl w:ilvl="4" w:tplc="1F10EB0A" w:tentative="1">
      <w:start w:val="1"/>
      <w:numFmt w:val="bullet"/>
      <w:lvlText w:val="o"/>
      <w:lvlJc w:val="left"/>
      <w:pPr>
        <w:tabs>
          <w:tab w:val="num" w:pos="3600"/>
        </w:tabs>
        <w:ind w:left="3600" w:hanging="360"/>
      </w:pPr>
      <w:rPr>
        <w:rFonts w:ascii="Courier New" w:hAnsi="Courier New" w:cs="Courier New" w:hint="default"/>
      </w:rPr>
    </w:lvl>
    <w:lvl w:ilvl="5" w:tplc="7D4EB088" w:tentative="1">
      <w:start w:val="1"/>
      <w:numFmt w:val="bullet"/>
      <w:lvlText w:val=""/>
      <w:lvlJc w:val="left"/>
      <w:pPr>
        <w:tabs>
          <w:tab w:val="num" w:pos="4320"/>
        </w:tabs>
        <w:ind w:left="4320" w:hanging="360"/>
      </w:pPr>
      <w:rPr>
        <w:rFonts w:ascii="Wingdings" w:hAnsi="Wingdings" w:hint="default"/>
      </w:rPr>
    </w:lvl>
    <w:lvl w:ilvl="6" w:tplc="EF8EA542" w:tentative="1">
      <w:start w:val="1"/>
      <w:numFmt w:val="bullet"/>
      <w:lvlText w:val=""/>
      <w:lvlJc w:val="left"/>
      <w:pPr>
        <w:tabs>
          <w:tab w:val="num" w:pos="5040"/>
        </w:tabs>
        <w:ind w:left="5040" w:hanging="360"/>
      </w:pPr>
      <w:rPr>
        <w:rFonts w:ascii="Symbol" w:hAnsi="Symbol" w:hint="default"/>
      </w:rPr>
    </w:lvl>
    <w:lvl w:ilvl="7" w:tplc="5A12F5AE" w:tentative="1">
      <w:start w:val="1"/>
      <w:numFmt w:val="bullet"/>
      <w:lvlText w:val="o"/>
      <w:lvlJc w:val="left"/>
      <w:pPr>
        <w:tabs>
          <w:tab w:val="num" w:pos="5760"/>
        </w:tabs>
        <w:ind w:left="5760" w:hanging="360"/>
      </w:pPr>
      <w:rPr>
        <w:rFonts w:ascii="Courier New" w:hAnsi="Courier New" w:cs="Courier New" w:hint="default"/>
      </w:rPr>
    </w:lvl>
    <w:lvl w:ilvl="8" w:tplc="D292A61E"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6C9011D"/>
    <w:multiLevelType w:val="hybridMultilevel"/>
    <w:tmpl w:val="54025948"/>
    <w:lvl w:ilvl="0" w:tplc="48F662A2">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5" w15:restartNumberingAfterBreak="0">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F0015B3"/>
    <w:multiLevelType w:val="hybridMultilevel"/>
    <w:tmpl w:val="67C6A6E6"/>
    <w:lvl w:ilvl="0" w:tplc="18143B82">
      <w:start w:val="1"/>
      <w:numFmt w:val="bullet"/>
      <w:lvlText w:val=""/>
      <w:lvlJc w:val="left"/>
      <w:pPr>
        <w:tabs>
          <w:tab w:val="num" w:pos="720"/>
        </w:tabs>
        <w:ind w:left="720" w:hanging="360"/>
      </w:pPr>
      <w:rPr>
        <w:rFonts w:ascii="Symbol" w:hAnsi="Symbol" w:hint="default"/>
      </w:rPr>
    </w:lvl>
    <w:lvl w:ilvl="1" w:tplc="3BB87880" w:tentative="1">
      <w:start w:val="1"/>
      <w:numFmt w:val="bullet"/>
      <w:lvlText w:val="o"/>
      <w:lvlJc w:val="left"/>
      <w:pPr>
        <w:tabs>
          <w:tab w:val="num" w:pos="1440"/>
        </w:tabs>
        <w:ind w:left="1440" w:hanging="360"/>
      </w:pPr>
      <w:rPr>
        <w:rFonts w:ascii="Courier New" w:hAnsi="Courier New" w:cs="Courier New" w:hint="default"/>
      </w:rPr>
    </w:lvl>
    <w:lvl w:ilvl="2" w:tplc="32008766" w:tentative="1">
      <w:start w:val="1"/>
      <w:numFmt w:val="bullet"/>
      <w:lvlText w:val=""/>
      <w:lvlJc w:val="left"/>
      <w:pPr>
        <w:tabs>
          <w:tab w:val="num" w:pos="2160"/>
        </w:tabs>
        <w:ind w:left="2160" w:hanging="360"/>
      </w:pPr>
      <w:rPr>
        <w:rFonts w:ascii="Wingdings" w:hAnsi="Wingdings" w:hint="default"/>
      </w:rPr>
    </w:lvl>
    <w:lvl w:ilvl="3" w:tplc="E45AFFCC" w:tentative="1">
      <w:start w:val="1"/>
      <w:numFmt w:val="bullet"/>
      <w:lvlText w:val=""/>
      <w:lvlJc w:val="left"/>
      <w:pPr>
        <w:tabs>
          <w:tab w:val="num" w:pos="2880"/>
        </w:tabs>
        <w:ind w:left="2880" w:hanging="360"/>
      </w:pPr>
      <w:rPr>
        <w:rFonts w:ascii="Symbol" w:hAnsi="Symbol" w:hint="default"/>
      </w:rPr>
    </w:lvl>
    <w:lvl w:ilvl="4" w:tplc="E9C82456" w:tentative="1">
      <w:start w:val="1"/>
      <w:numFmt w:val="bullet"/>
      <w:lvlText w:val="o"/>
      <w:lvlJc w:val="left"/>
      <w:pPr>
        <w:tabs>
          <w:tab w:val="num" w:pos="3600"/>
        </w:tabs>
        <w:ind w:left="3600" w:hanging="360"/>
      </w:pPr>
      <w:rPr>
        <w:rFonts w:ascii="Courier New" w:hAnsi="Courier New" w:cs="Courier New" w:hint="default"/>
      </w:rPr>
    </w:lvl>
    <w:lvl w:ilvl="5" w:tplc="7640D61A" w:tentative="1">
      <w:start w:val="1"/>
      <w:numFmt w:val="bullet"/>
      <w:lvlText w:val=""/>
      <w:lvlJc w:val="left"/>
      <w:pPr>
        <w:tabs>
          <w:tab w:val="num" w:pos="4320"/>
        </w:tabs>
        <w:ind w:left="4320" w:hanging="360"/>
      </w:pPr>
      <w:rPr>
        <w:rFonts w:ascii="Wingdings" w:hAnsi="Wingdings" w:hint="default"/>
      </w:rPr>
    </w:lvl>
    <w:lvl w:ilvl="6" w:tplc="591CF4A6" w:tentative="1">
      <w:start w:val="1"/>
      <w:numFmt w:val="bullet"/>
      <w:lvlText w:val=""/>
      <w:lvlJc w:val="left"/>
      <w:pPr>
        <w:tabs>
          <w:tab w:val="num" w:pos="5040"/>
        </w:tabs>
        <w:ind w:left="5040" w:hanging="360"/>
      </w:pPr>
      <w:rPr>
        <w:rFonts w:ascii="Symbol" w:hAnsi="Symbol" w:hint="default"/>
      </w:rPr>
    </w:lvl>
    <w:lvl w:ilvl="7" w:tplc="0C2E83BC" w:tentative="1">
      <w:start w:val="1"/>
      <w:numFmt w:val="bullet"/>
      <w:lvlText w:val="o"/>
      <w:lvlJc w:val="left"/>
      <w:pPr>
        <w:tabs>
          <w:tab w:val="num" w:pos="5760"/>
        </w:tabs>
        <w:ind w:left="5760" w:hanging="360"/>
      </w:pPr>
      <w:rPr>
        <w:rFonts w:ascii="Courier New" w:hAnsi="Courier New" w:cs="Courier New" w:hint="default"/>
      </w:rPr>
    </w:lvl>
    <w:lvl w:ilvl="8" w:tplc="55C6FBAE"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97F422C"/>
    <w:multiLevelType w:val="hybridMultilevel"/>
    <w:tmpl w:val="BCDA96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E821623"/>
    <w:multiLevelType w:val="hybridMultilevel"/>
    <w:tmpl w:val="DFFEA42C"/>
    <w:lvl w:ilvl="0" w:tplc="27E62F28">
      <w:start w:val="1"/>
      <w:numFmt w:val="bullet"/>
      <w:lvlText w:val=""/>
      <w:lvlJc w:val="left"/>
      <w:pPr>
        <w:tabs>
          <w:tab w:val="num" w:pos="720"/>
        </w:tabs>
        <w:ind w:left="720" w:hanging="360"/>
      </w:pPr>
      <w:rPr>
        <w:rFonts w:ascii="Symbol" w:hAnsi="Symbol" w:hint="default"/>
      </w:rPr>
    </w:lvl>
    <w:lvl w:ilvl="1" w:tplc="869C860E" w:tentative="1">
      <w:start w:val="1"/>
      <w:numFmt w:val="bullet"/>
      <w:lvlText w:val="o"/>
      <w:lvlJc w:val="left"/>
      <w:pPr>
        <w:tabs>
          <w:tab w:val="num" w:pos="1440"/>
        </w:tabs>
        <w:ind w:left="1440" w:hanging="360"/>
      </w:pPr>
      <w:rPr>
        <w:rFonts w:ascii="Courier New" w:hAnsi="Courier New" w:cs="Courier New" w:hint="default"/>
      </w:rPr>
    </w:lvl>
    <w:lvl w:ilvl="2" w:tplc="41EE92A0" w:tentative="1">
      <w:start w:val="1"/>
      <w:numFmt w:val="bullet"/>
      <w:lvlText w:val=""/>
      <w:lvlJc w:val="left"/>
      <w:pPr>
        <w:tabs>
          <w:tab w:val="num" w:pos="2160"/>
        </w:tabs>
        <w:ind w:left="2160" w:hanging="360"/>
      </w:pPr>
      <w:rPr>
        <w:rFonts w:ascii="Wingdings" w:hAnsi="Wingdings" w:hint="default"/>
      </w:rPr>
    </w:lvl>
    <w:lvl w:ilvl="3" w:tplc="7BE80782" w:tentative="1">
      <w:start w:val="1"/>
      <w:numFmt w:val="bullet"/>
      <w:lvlText w:val=""/>
      <w:lvlJc w:val="left"/>
      <w:pPr>
        <w:tabs>
          <w:tab w:val="num" w:pos="2880"/>
        </w:tabs>
        <w:ind w:left="2880" w:hanging="360"/>
      </w:pPr>
      <w:rPr>
        <w:rFonts w:ascii="Symbol" w:hAnsi="Symbol" w:hint="default"/>
      </w:rPr>
    </w:lvl>
    <w:lvl w:ilvl="4" w:tplc="66BCBC84" w:tentative="1">
      <w:start w:val="1"/>
      <w:numFmt w:val="bullet"/>
      <w:lvlText w:val="o"/>
      <w:lvlJc w:val="left"/>
      <w:pPr>
        <w:tabs>
          <w:tab w:val="num" w:pos="3600"/>
        </w:tabs>
        <w:ind w:left="3600" w:hanging="360"/>
      </w:pPr>
      <w:rPr>
        <w:rFonts w:ascii="Courier New" w:hAnsi="Courier New" w:cs="Courier New" w:hint="default"/>
      </w:rPr>
    </w:lvl>
    <w:lvl w:ilvl="5" w:tplc="B920B2C2" w:tentative="1">
      <w:start w:val="1"/>
      <w:numFmt w:val="bullet"/>
      <w:lvlText w:val=""/>
      <w:lvlJc w:val="left"/>
      <w:pPr>
        <w:tabs>
          <w:tab w:val="num" w:pos="4320"/>
        </w:tabs>
        <w:ind w:left="4320" w:hanging="360"/>
      </w:pPr>
      <w:rPr>
        <w:rFonts w:ascii="Wingdings" w:hAnsi="Wingdings" w:hint="default"/>
      </w:rPr>
    </w:lvl>
    <w:lvl w:ilvl="6" w:tplc="59EE8322" w:tentative="1">
      <w:start w:val="1"/>
      <w:numFmt w:val="bullet"/>
      <w:lvlText w:val=""/>
      <w:lvlJc w:val="left"/>
      <w:pPr>
        <w:tabs>
          <w:tab w:val="num" w:pos="5040"/>
        </w:tabs>
        <w:ind w:left="5040" w:hanging="360"/>
      </w:pPr>
      <w:rPr>
        <w:rFonts w:ascii="Symbol" w:hAnsi="Symbol" w:hint="default"/>
      </w:rPr>
    </w:lvl>
    <w:lvl w:ilvl="7" w:tplc="52D41B08" w:tentative="1">
      <w:start w:val="1"/>
      <w:numFmt w:val="bullet"/>
      <w:lvlText w:val="o"/>
      <w:lvlJc w:val="left"/>
      <w:pPr>
        <w:tabs>
          <w:tab w:val="num" w:pos="5760"/>
        </w:tabs>
        <w:ind w:left="5760" w:hanging="360"/>
      </w:pPr>
      <w:rPr>
        <w:rFonts w:ascii="Courier New" w:hAnsi="Courier New" w:cs="Courier New" w:hint="default"/>
      </w:rPr>
    </w:lvl>
    <w:lvl w:ilvl="8" w:tplc="4ADC39B2"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8AF0D85"/>
    <w:multiLevelType w:val="multilevel"/>
    <w:tmpl w:val="5A6413C0"/>
    <w:lvl w:ilvl="0">
      <w:start w:val="1"/>
      <w:numFmt w:val="decimal"/>
      <w:lvlText w:val="%1"/>
      <w:lvlJc w:val="left"/>
      <w:pPr>
        <w:ind w:left="720" w:hanging="720"/>
      </w:pPr>
      <w:rPr>
        <w:rFonts w:hint="default"/>
        <w:b/>
      </w:rPr>
    </w:lvl>
    <w:lvl w:ilvl="1">
      <w:start w:val="1"/>
      <w:numFmt w:val="decimal"/>
      <w:lvlText w:val="%1.%2"/>
      <w:lvlJc w:val="left"/>
      <w:pPr>
        <w:ind w:left="720" w:hanging="720"/>
      </w:pPr>
      <w:rPr>
        <w:rFonts w:hint="default"/>
        <w:i w:val="0"/>
      </w:rPr>
    </w:lvl>
    <w:lvl w:ilvl="2">
      <w:start w:val="1"/>
      <w:numFmt w:val="bullet"/>
      <w:lvlText w:val=""/>
      <w:lvlJc w:val="left"/>
      <w:pPr>
        <w:ind w:left="720" w:hanging="720"/>
      </w:pPr>
      <w:rPr>
        <w:rFonts w:ascii="Symbol" w:hAnsi="Symbol" w:hint="default"/>
      </w:rPr>
    </w:lvl>
    <w:lvl w:ilvl="3">
      <w:start w:val="1"/>
      <w:numFmt w:val="decimal"/>
      <w:lvlText w:val="%1.%2.%3.%4"/>
      <w:lvlJc w:val="left"/>
      <w:pPr>
        <w:ind w:left="1080" w:hanging="1080"/>
      </w:pPr>
      <w:rPr>
        <w:rFonts w:hint="default"/>
      </w:rPr>
    </w:lvl>
    <w:lvl w:ilvl="4">
      <w:start w:val="1"/>
      <w:numFmt w:val="bullet"/>
      <w:lvlText w:val=""/>
      <w:lvlJc w:val="left"/>
      <w:pPr>
        <w:ind w:left="1080" w:hanging="1080"/>
      </w:pPr>
      <w:rPr>
        <w:rFonts w:ascii="Symbol" w:hAnsi="Symbol"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C0459B2"/>
    <w:multiLevelType w:val="hybridMultilevel"/>
    <w:tmpl w:val="75D4E64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2" w15:restartNumberingAfterBreak="0">
    <w:nsid w:val="317E6951"/>
    <w:multiLevelType w:val="hybridMultilevel"/>
    <w:tmpl w:val="103893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4E904E0"/>
    <w:multiLevelType w:val="hybridMultilevel"/>
    <w:tmpl w:val="B4FCD872"/>
    <w:lvl w:ilvl="0" w:tplc="21D66824">
      <w:start w:val="1"/>
      <w:numFmt w:val="lowerLetter"/>
      <w:lvlText w:val="(%1)"/>
      <w:lvlJc w:val="left"/>
      <w:pPr>
        <w:ind w:left="720" w:hanging="360"/>
      </w:pPr>
      <w:rPr>
        <w:rFonts w:hint="default"/>
        <w:i/>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37D703EF"/>
    <w:multiLevelType w:val="hybridMultilevel"/>
    <w:tmpl w:val="52B2F7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1F5D8E"/>
    <w:multiLevelType w:val="hybridMultilevel"/>
    <w:tmpl w:val="BD8654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53F415F"/>
    <w:multiLevelType w:val="hybridMultilevel"/>
    <w:tmpl w:val="ADE83204"/>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4A2B0988"/>
    <w:multiLevelType w:val="hybridMultilevel"/>
    <w:tmpl w:val="90AA54FC"/>
    <w:lvl w:ilvl="0" w:tplc="FFFFFFFF">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D70142D"/>
    <w:multiLevelType w:val="multilevel"/>
    <w:tmpl w:val="7B8C161A"/>
    <w:lvl w:ilvl="0">
      <w:start w:val="1"/>
      <w:numFmt w:val="decimal"/>
      <w:lvlText w:val="%1"/>
      <w:lvlJc w:val="left"/>
      <w:pPr>
        <w:ind w:left="720" w:hanging="720"/>
      </w:pPr>
      <w:rPr>
        <w:b/>
      </w:rPr>
    </w:lvl>
    <w:lvl w:ilvl="1">
      <w:start w:val="1"/>
      <w:numFmt w:val="decimal"/>
      <w:lvlText w:val="%1.%2"/>
      <w:lvlJc w:val="left"/>
      <w:pPr>
        <w:ind w:left="720" w:hanging="720"/>
      </w:pPr>
      <w:rPr>
        <w:i w:val="0"/>
        <w:sz w:val="24"/>
        <w:szCs w:val="24"/>
      </w:rPr>
    </w:lvl>
    <w:lvl w:ilvl="2">
      <w:start w:val="1"/>
      <w:numFmt w:val="bullet"/>
      <w:lvlText w:val="o"/>
      <w:lvlJc w:val="left"/>
      <w:pPr>
        <w:ind w:left="720" w:hanging="720"/>
      </w:pPr>
      <w:rPr>
        <w:rFonts w:ascii="Courier New" w:hAnsi="Courier New" w:cs="Courier New" w:hint="default"/>
      </w:r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9" w15:restartNumberingAfterBreak="0">
    <w:nsid w:val="54C430CE"/>
    <w:multiLevelType w:val="hybridMultilevel"/>
    <w:tmpl w:val="FC862758"/>
    <w:lvl w:ilvl="0" w:tplc="0C09000F">
      <w:start w:val="1"/>
      <w:numFmt w:val="decimal"/>
      <w:lvlText w:val="%1."/>
      <w:lvlJc w:val="left"/>
      <w:pPr>
        <w:tabs>
          <w:tab w:val="num" w:pos="360"/>
        </w:tabs>
        <w:ind w:left="360" w:hanging="360"/>
      </w:pPr>
      <w:rPr>
        <w:rFonts w:cs="Times New Roman"/>
      </w:rPr>
    </w:lvl>
    <w:lvl w:ilvl="1" w:tplc="0C090019">
      <w:start w:val="1"/>
      <w:numFmt w:val="lowerLetter"/>
      <w:lvlText w:val="%2."/>
      <w:lvlJc w:val="left"/>
      <w:pPr>
        <w:tabs>
          <w:tab w:val="num" w:pos="1080"/>
        </w:tabs>
        <w:ind w:left="1080" w:hanging="360"/>
      </w:pPr>
      <w:rPr>
        <w:rFonts w:cs="Times New Roman"/>
      </w:rPr>
    </w:lvl>
    <w:lvl w:ilvl="2" w:tplc="0C09001B">
      <w:start w:val="1"/>
      <w:numFmt w:val="lowerRoman"/>
      <w:lvlText w:val="%3."/>
      <w:lvlJc w:val="right"/>
      <w:pPr>
        <w:tabs>
          <w:tab w:val="num" w:pos="1800"/>
        </w:tabs>
        <w:ind w:left="1800" w:hanging="180"/>
      </w:pPr>
      <w:rPr>
        <w:rFonts w:cs="Times New Roman"/>
      </w:rPr>
    </w:lvl>
    <w:lvl w:ilvl="3" w:tplc="0C09000F">
      <w:start w:val="1"/>
      <w:numFmt w:val="decimal"/>
      <w:lvlText w:val="%4."/>
      <w:lvlJc w:val="left"/>
      <w:pPr>
        <w:tabs>
          <w:tab w:val="num" w:pos="2520"/>
        </w:tabs>
        <w:ind w:left="2520" w:hanging="360"/>
      </w:pPr>
      <w:rPr>
        <w:rFonts w:cs="Times New Roman"/>
      </w:rPr>
    </w:lvl>
    <w:lvl w:ilvl="4" w:tplc="0C090019">
      <w:start w:val="1"/>
      <w:numFmt w:val="lowerLetter"/>
      <w:lvlText w:val="%5."/>
      <w:lvlJc w:val="left"/>
      <w:pPr>
        <w:tabs>
          <w:tab w:val="num" w:pos="3240"/>
        </w:tabs>
        <w:ind w:left="3240" w:hanging="360"/>
      </w:pPr>
      <w:rPr>
        <w:rFonts w:cs="Times New Roman"/>
      </w:rPr>
    </w:lvl>
    <w:lvl w:ilvl="5" w:tplc="0C09001B">
      <w:start w:val="1"/>
      <w:numFmt w:val="lowerRoman"/>
      <w:lvlText w:val="%6."/>
      <w:lvlJc w:val="right"/>
      <w:pPr>
        <w:tabs>
          <w:tab w:val="num" w:pos="3960"/>
        </w:tabs>
        <w:ind w:left="3960" w:hanging="180"/>
      </w:pPr>
      <w:rPr>
        <w:rFonts w:cs="Times New Roman"/>
      </w:rPr>
    </w:lvl>
    <w:lvl w:ilvl="6" w:tplc="0C09000F">
      <w:start w:val="1"/>
      <w:numFmt w:val="decimal"/>
      <w:lvlText w:val="%7."/>
      <w:lvlJc w:val="left"/>
      <w:pPr>
        <w:tabs>
          <w:tab w:val="num" w:pos="4680"/>
        </w:tabs>
        <w:ind w:left="4680" w:hanging="360"/>
      </w:pPr>
      <w:rPr>
        <w:rFonts w:cs="Times New Roman"/>
      </w:rPr>
    </w:lvl>
    <w:lvl w:ilvl="7" w:tplc="0C090019">
      <w:start w:val="1"/>
      <w:numFmt w:val="lowerLetter"/>
      <w:lvlText w:val="%8."/>
      <w:lvlJc w:val="left"/>
      <w:pPr>
        <w:tabs>
          <w:tab w:val="num" w:pos="5400"/>
        </w:tabs>
        <w:ind w:left="5400" w:hanging="360"/>
      </w:pPr>
      <w:rPr>
        <w:rFonts w:cs="Times New Roman"/>
      </w:rPr>
    </w:lvl>
    <w:lvl w:ilvl="8" w:tplc="0C09001B">
      <w:start w:val="1"/>
      <w:numFmt w:val="lowerRoman"/>
      <w:lvlText w:val="%9."/>
      <w:lvlJc w:val="right"/>
      <w:pPr>
        <w:tabs>
          <w:tab w:val="num" w:pos="6120"/>
        </w:tabs>
        <w:ind w:left="6120" w:hanging="180"/>
      </w:pPr>
      <w:rPr>
        <w:rFonts w:cs="Times New Roman"/>
      </w:rPr>
    </w:lvl>
  </w:abstractNum>
  <w:abstractNum w:abstractNumId="20" w15:restartNumberingAfterBreak="0">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66F75AA1"/>
    <w:multiLevelType w:val="multilevel"/>
    <w:tmpl w:val="5A6413C0"/>
    <w:lvl w:ilvl="0">
      <w:start w:val="1"/>
      <w:numFmt w:val="decimal"/>
      <w:lvlText w:val="%1"/>
      <w:lvlJc w:val="left"/>
      <w:pPr>
        <w:ind w:left="720" w:hanging="720"/>
      </w:pPr>
      <w:rPr>
        <w:rFonts w:hint="default"/>
        <w:b/>
      </w:rPr>
    </w:lvl>
    <w:lvl w:ilvl="1">
      <w:start w:val="1"/>
      <w:numFmt w:val="decimal"/>
      <w:lvlText w:val="%1.%2"/>
      <w:lvlJc w:val="left"/>
      <w:pPr>
        <w:ind w:left="720" w:hanging="720"/>
      </w:pPr>
      <w:rPr>
        <w:rFonts w:hint="default"/>
        <w:i w:val="0"/>
      </w:rPr>
    </w:lvl>
    <w:lvl w:ilvl="2">
      <w:start w:val="1"/>
      <w:numFmt w:val="bullet"/>
      <w:lvlText w:val=""/>
      <w:lvlJc w:val="left"/>
      <w:pPr>
        <w:ind w:left="720" w:hanging="720"/>
      </w:pPr>
      <w:rPr>
        <w:rFonts w:ascii="Symbol" w:hAnsi="Symbol" w:hint="default"/>
      </w:rPr>
    </w:lvl>
    <w:lvl w:ilvl="3">
      <w:start w:val="1"/>
      <w:numFmt w:val="decimal"/>
      <w:lvlText w:val="%1.%2.%3.%4"/>
      <w:lvlJc w:val="left"/>
      <w:pPr>
        <w:ind w:left="1080" w:hanging="1080"/>
      </w:pPr>
      <w:rPr>
        <w:rFonts w:hint="default"/>
      </w:rPr>
    </w:lvl>
    <w:lvl w:ilvl="4">
      <w:start w:val="1"/>
      <w:numFmt w:val="bullet"/>
      <w:lvlText w:val=""/>
      <w:lvlJc w:val="left"/>
      <w:pPr>
        <w:ind w:left="1080" w:hanging="1080"/>
      </w:pPr>
      <w:rPr>
        <w:rFonts w:ascii="Symbol" w:hAnsi="Symbol"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68682479"/>
    <w:multiLevelType w:val="hybridMultilevel"/>
    <w:tmpl w:val="D366A734"/>
    <w:lvl w:ilvl="0" w:tplc="0C090001">
      <w:start w:val="1"/>
      <w:numFmt w:val="bullet"/>
      <w:lvlText w:val=""/>
      <w:lvlJc w:val="left"/>
      <w:pPr>
        <w:ind w:left="4320" w:hanging="360"/>
      </w:pPr>
      <w:rPr>
        <w:rFonts w:ascii="Symbol" w:hAnsi="Symbol" w:hint="default"/>
      </w:rPr>
    </w:lvl>
    <w:lvl w:ilvl="1" w:tplc="0C090003" w:tentative="1">
      <w:start w:val="1"/>
      <w:numFmt w:val="bullet"/>
      <w:lvlText w:val="o"/>
      <w:lvlJc w:val="left"/>
      <w:pPr>
        <w:ind w:left="5040" w:hanging="360"/>
      </w:pPr>
      <w:rPr>
        <w:rFonts w:ascii="Courier New" w:hAnsi="Courier New" w:cs="Courier New" w:hint="default"/>
      </w:rPr>
    </w:lvl>
    <w:lvl w:ilvl="2" w:tplc="0C090005" w:tentative="1">
      <w:start w:val="1"/>
      <w:numFmt w:val="bullet"/>
      <w:lvlText w:val=""/>
      <w:lvlJc w:val="left"/>
      <w:pPr>
        <w:ind w:left="5760" w:hanging="360"/>
      </w:pPr>
      <w:rPr>
        <w:rFonts w:ascii="Wingdings" w:hAnsi="Wingdings" w:hint="default"/>
      </w:rPr>
    </w:lvl>
    <w:lvl w:ilvl="3" w:tplc="0C090001" w:tentative="1">
      <w:start w:val="1"/>
      <w:numFmt w:val="bullet"/>
      <w:lvlText w:val=""/>
      <w:lvlJc w:val="left"/>
      <w:pPr>
        <w:ind w:left="6480" w:hanging="360"/>
      </w:pPr>
      <w:rPr>
        <w:rFonts w:ascii="Symbol" w:hAnsi="Symbol" w:hint="default"/>
      </w:rPr>
    </w:lvl>
    <w:lvl w:ilvl="4" w:tplc="0C090003" w:tentative="1">
      <w:start w:val="1"/>
      <w:numFmt w:val="bullet"/>
      <w:lvlText w:val="o"/>
      <w:lvlJc w:val="left"/>
      <w:pPr>
        <w:ind w:left="7200" w:hanging="360"/>
      </w:pPr>
      <w:rPr>
        <w:rFonts w:ascii="Courier New" w:hAnsi="Courier New" w:cs="Courier New" w:hint="default"/>
      </w:rPr>
    </w:lvl>
    <w:lvl w:ilvl="5" w:tplc="0C090005" w:tentative="1">
      <w:start w:val="1"/>
      <w:numFmt w:val="bullet"/>
      <w:lvlText w:val=""/>
      <w:lvlJc w:val="left"/>
      <w:pPr>
        <w:ind w:left="7920" w:hanging="360"/>
      </w:pPr>
      <w:rPr>
        <w:rFonts w:ascii="Wingdings" w:hAnsi="Wingdings" w:hint="default"/>
      </w:rPr>
    </w:lvl>
    <w:lvl w:ilvl="6" w:tplc="0C090001" w:tentative="1">
      <w:start w:val="1"/>
      <w:numFmt w:val="bullet"/>
      <w:lvlText w:val=""/>
      <w:lvlJc w:val="left"/>
      <w:pPr>
        <w:ind w:left="8640" w:hanging="360"/>
      </w:pPr>
      <w:rPr>
        <w:rFonts w:ascii="Symbol" w:hAnsi="Symbol" w:hint="default"/>
      </w:rPr>
    </w:lvl>
    <w:lvl w:ilvl="7" w:tplc="0C090003" w:tentative="1">
      <w:start w:val="1"/>
      <w:numFmt w:val="bullet"/>
      <w:lvlText w:val="o"/>
      <w:lvlJc w:val="left"/>
      <w:pPr>
        <w:ind w:left="9360" w:hanging="360"/>
      </w:pPr>
      <w:rPr>
        <w:rFonts w:ascii="Courier New" w:hAnsi="Courier New" w:cs="Courier New" w:hint="default"/>
      </w:rPr>
    </w:lvl>
    <w:lvl w:ilvl="8" w:tplc="0C090005" w:tentative="1">
      <w:start w:val="1"/>
      <w:numFmt w:val="bullet"/>
      <w:lvlText w:val=""/>
      <w:lvlJc w:val="left"/>
      <w:pPr>
        <w:ind w:left="10080" w:hanging="360"/>
      </w:pPr>
      <w:rPr>
        <w:rFonts w:ascii="Wingdings" w:hAnsi="Wingdings" w:hint="default"/>
      </w:rPr>
    </w:lvl>
  </w:abstractNum>
  <w:abstractNum w:abstractNumId="23" w15:restartNumberingAfterBreak="0">
    <w:nsid w:val="784D033C"/>
    <w:multiLevelType w:val="multilevel"/>
    <w:tmpl w:val="281E8BFA"/>
    <w:lvl w:ilvl="0">
      <w:start w:val="1"/>
      <w:numFmt w:val="decimal"/>
      <w:pStyle w:val="PBACHeading1"/>
      <w:lvlText w:val="%1"/>
      <w:lvlJc w:val="left"/>
      <w:pPr>
        <w:ind w:left="720" w:hanging="720"/>
      </w:pPr>
      <w:rPr>
        <w:rFonts w:hint="default"/>
        <w:b/>
        <w:i w:val="0"/>
      </w:rPr>
    </w:lvl>
    <w:lvl w:ilvl="1">
      <w:start w:val="1"/>
      <w:numFmt w:val="decimal"/>
      <w:lvlText w:val="%1.%2"/>
      <w:lvlJc w:val="left"/>
      <w:pPr>
        <w:ind w:left="720" w:hanging="72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7B9011C4"/>
    <w:multiLevelType w:val="multilevel"/>
    <w:tmpl w:val="6F544FC6"/>
    <w:lvl w:ilvl="0">
      <w:start w:val="1"/>
      <w:numFmt w:val="decimal"/>
      <w:lvlText w:val="%1"/>
      <w:lvlJc w:val="left"/>
      <w:pPr>
        <w:ind w:left="720" w:hanging="720"/>
      </w:pPr>
      <w:rPr>
        <w:rFonts w:hint="default"/>
        <w:b/>
      </w:rPr>
    </w:lvl>
    <w:lvl w:ilvl="1">
      <w:start w:val="1"/>
      <w:numFmt w:val="decimal"/>
      <w:lvlText w:val="%1.%2"/>
      <w:lvlJc w:val="left"/>
      <w:pPr>
        <w:ind w:left="720" w:hanging="720"/>
      </w:pPr>
      <w:rPr>
        <w:rFonts w:hint="default"/>
        <w:i w:val="0"/>
      </w:rPr>
    </w:lvl>
    <w:lvl w:ilvl="2">
      <w:start w:val="1"/>
      <w:numFmt w:val="bullet"/>
      <w:lvlText w:val=""/>
      <w:lvlJc w:val="left"/>
      <w:pPr>
        <w:ind w:left="720" w:hanging="720"/>
      </w:pPr>
      <w:rPr>
        <w:rFonts w:ascii="Symbol" w:hAnsi="Symbol"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8"/>
  </w:num>
  <w:num w:numId="2">
    <w:abstractNumId w:val="3"/>
  </w:num>
  <w:num w:numId="3">
    <w:abstractNumId w:val="6"/>
  </w:num>
  <w:num w:numId="4">
    <w:abstractNumId w:val="17"/>
  </w:num>
  <w:num w:numId="5">
    <w:abstractNumId w:val="23"/>
  </w:num>
  <w:num w:numId="6">
    <w:abstractNumId w:val="7"/>
  </w:num>
  <w:num w:numId="7">
    <w:abstractNumId w:val="14"/>
  </w:num>
  <w:num w:numId="8">
    <w:abstractNumId w:val="4"/>
  </w:num>
  <w:num w:numId="9">
    <w:abstractNumId w:val="13"/>
  </w:num>
  <w:num w:numId="10">
    <w:abstractNumId w:val="12"/>
  </w:num>
  <w:num w:numId="11">
    <w:abstractNumId w:val="11"/>
  </w:num>
  <w:num w:numId="12">
    <w:abstractNumId w:val="1"/>
  </w:num>
  <w:num w:numId="13">
    <w:abstractNumId w:val="0"/>
  </w:num>
  <w:num w:numId="14">
    <w:abstractNumId w:val="23"/>
  </w:num>
  <w:num w:numId="15">
    <w:abstractNumId w:val="16"/>
  </w:num>
  <w:num w:numId="16">
    <w:abstractNumId w:val="22"/>
  </w:num>
  <w:num w:numId="1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3"/>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8"/>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4"/>
  </w:num>
  <w:num w:numId="21">
    <w:abstractNumId w:val="21"/>
  </w:num>
  <w:num w:numId="22">
    <w:abstractNumId w:val="10"/>
  </w:num>
  <w:num w:numId="23">
    <w:abstractNumId w:val="15"/>
  </w:num>
  <w:num w:numId="24">
    <w:abstractNumId w:val="19"/>
  </w:num>
  <w:num w:numId="25">
    <w:abstractNumId w:val="20"/>
  </w:num>
  <w:num w:numId="26">
    <w:abstractNumId w:val="5"/>
  </w:num>
  <w:num w:numId="27">
    <w:abstractNumId w:val="2"/>
  </w:num>
  <w:num w:numId="28">
    <w:abstractNumId w:val="9"/>
  </w:num>
  <w:num w:numId="29">
    <w:abstractNumId w:val="23"/>
  </w:num>
  <w:num w:numId="30">
    <w:abstractNumId w:val="23"/>
  </w:num>
  <w:num w:numId="31">
    <w:abstractNumId w:val="23"/>
  </w:num>
  <w:num w:numId="32">
    <w:abstractNumId w:val="23"/>
  </w:num>
  <w:num w:numId="33">
    <w:abstractNumId w:val="23"/>
  </w:num>
  <w:num w:numId="34">
    <w:abstractNumId w:val="23"/>
  </w:num>
  <w:num w:numId="35">
    <w:abstractNumId w:val="23"/>
  </w:num>
  <w:num w:numId="36">
    <w:abstractNumId w:val="23"/>
  </w:num>
  <w:num w:numId="37">
    <w:abstractNumId w:val="23"/>
  </w:num>
  <w:num w:numId="38">
    <w:abstractNumId w:val="23"/>
  </w:num>
  <w:num w:numId="39">
    <w:abstractNumId w:val="23"/>
  </w:num>
  <w:num w:numId="40">
    <w:abstractNumId w:val="2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writeProtection w:recommended="1"/>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720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240E"/>
    <w:rsid w:val="000025AD"/>
    <w:rsid w:val="0000335D"/>
    <w:rsid w:val="00016C96"/>
    <w:rsid w:val="0002464A"/>
    <w:rsid w:val="000262F4"/>
    <w:rsid w:val="0003106B"/>
    <w:rsid w:val="0003255F"/>
    <w:rsid w:val="00040F2F"/>
    <w:rsid w:val="00041E00"/>
    <w:rsid w:val="000421A1"/>
    <w:rsid w:val="0004240E"/>
    <w:rsid w:val="00045E26"/>
    <w:rsid w:val="0004609B"/>
    <w:rsid w:val="000514B5"/>
    <w:rsid w:val="00056D44"/>
    <w:rsid w:val="00060E64"/>
    <w:rsid w:val="00066755"/>
    <w:rsid w:val="00077143"/>
    <w:rsid w:val="00080E91"/>
    <w:rsid w:val="00082169"/>
    <w:rsid w:val="00095DC2"/>
    <w:rsid w:val="000969AD"/>
    <w:rsid w:val="000A53B7"/>
    <w:rsid w:val="000B558D"/>
    <w:rsid w:val="000C0026"/>
    <w:rsid w:val="000C62B7"/>
    <w:rsid w:val="000C6996"/>
    <w:rsid w:val="000D23BA"/>
    <w:rsid w:val="000D3209"/>
    <w:rsid w:val="000D7921"/>
    <w:rsid w:val="000E681E"/>
    <w:rsid w:val="000E70BC"/>
    <w:rsid w:val="000F0003"/>
    <w:rsid w:val="000F064D"/>
    <w:rsid w:val="000F4E6A"/>
    <w:rsid w:val="000F751B"/>
    <w:rsid w:val="001006E5"/>
    <w:rsid w:val="00104227"/>
    <w:rsid w:val="001049B6"/>
    <w:rsid w:val="001107BF"/>
    <w:rsid w:val="00113DB6"/>
    <w:rsid w:val="00113DF0"/>
    <w:rsid w:val="00120C0D"/>
    <w:rsid w:val="00120C98"/>
    <w:rsid w:val="0012417C"/>
    <w:rsid w:val="00135064"/>
    <w:rsid w:val="001356C0"/>
    <w:rsid w:val="00142395"/>
    <w:rsid w:val="00142714"/>
    <w:rsid w:val="00142F43"/>
    <w:rsid w:val="001452ED"/>
    <w:rsid w:val="0015732B"/>
    <w:rsid w:val="00157EC6"/>
    <w:rsid w:val="00163329"/>
    <w:rsid w:val="00164623"/>
    <w:rsid w:val="00165B64"/>
    <w:rsid w:val="00180713"/>
    <w:rsid w:val="001830CE"/>
    <w:rsid w:val="0018643B"/>
    <w:rsid w:val="001865CD"/>
    <w:rsid w:val="00196307"/>
    <w:rsid w:val="001A33EA"/>
    <w:rsid w:val="001A7908"/>
    <w:rsid w:val="001B017F"/>
    <w:rsid w:val="001B2BBC"/>
    <w:rsid w:val="001B4AB2"/>
    <w:rsid w:val="001B5129"/>
    <w:rsid w:val="001C1195"/>
    <w:rsid w:val="001C25E9"/>
    <w:rsid w:val="001D1256"/>
    <w:rsid w:val="001D7C3C"/>
    <w:rsid w:val="001F1850"/>
    <w:rsid w:val="00203993"/>
    <w:rsid w:val="00203FAC"/>
    <w:rsid w:val="00213CFB"/>
    <w:rsid w:val="00217BE1"/>
    <w:rsid w:val="00271BA1"/>
    <w:rsid w:val="00273D65"/>
    <w:rsid w:val="002740FC"/>
    <w:rsid w:val="002762FA"/>
    <w:rsid w:val="00277505"/>
    <w:rsid w:val="00284F06"/>
    <w:rsid w:val="00293CCF"/>
    <w:rsid w:val="0029458F"/>
    <w:rsid w:val="002A104C"/>
    <w:rsid w:val="002A4960"/>
    <w:rsid w:val="002A602A"/>
    <w:rsid w:val="002A6105"/>
    <w:rsid w:val="002B1AE6"/>
    <w:rsid w:val="002B2DE8"/>
    <w:rsid w:val="002B30F8"/>
    <w:rsid w:val="002B5596"/>
    <w:rsid w:val="002C1232"/>
    <w:rsid w:val="002C212F"/>
    <w:rsid w:val="002C30B7"/>
    <w:rsid w:val="002D4543"/>
    <w:rsid w:val="002E3153"/>
    <w:rsid w:val="002E72CA"/>
    <w:rsid w:val="002F600D"/>
    <w:rsid w:val="00300AD6"/>
    <w:rsid w:val="00311FB1"/>
    <w:rsid w:val="00317C6C"/>
    <w:rsid w:val="00326E79"/>
    <w:rsid w:val="00330081"/>
    <w:rsid w:val="0033518A"/>
    <w:rsid w:val="003367EF"/>
    <w:rsid w:val="003372B4"/>
    <w:rsid w:val="00341AE4"/>
    <w:rsid w:val="003445F1"/>
    <w:rsid w:val="003472BE"/>
    <w:rsid w:val="00360476"/>
    <w:rsid w:val="0038007A"/>
    <w:rsid w:val="003872CF"/>
    <w:rsid w:val="0039782C"/>
    <w:rsid w:val="003A5B4A"/>
    <w:rsid w:val="003B23C5"/>
    <w:rsid w:val="003B2A75"/>
    <w:rsid w:val="003B6124"/>
    <w:rsid w:val="003C2485"/>
    <w:rsid w:val="003C2FB5"/>
    <w:rsid w:val="003D4AC4"/>
    <w:rsid w:val="003D63B7"/>
    <w:rsid w:val="003E1B32"/>
    <w:rsid w:val="003E468B"/>
    <w:rsid w:val="003F3228"/>
    <w:rsid w:val="003F5C8C"/>
    <w:rsid w:val="00401828"/>
    <w:rsid w:val="00402579"/>
    <w:rsid w:val="00402F40"/>
    <w:rsid w:val="004252EC"/>
    <w:rsid w:val="00427F3D"/>
    <w:rsid w:val="0043582D"/>
    <w:rsid w:val="004465BD"/>
    <w:rsid w:val="00453C29"/>
    <w:rsid w:val="00462C27"/>
    <w:rsid w:val="004630C0"/>
    <w:rsid w:val="00466ADA"/>
    <w:rsid w:val="00476245"/>
    <w:rsid w:val="00480A40"/>
    <w:rsid w:val="00483035"/>
    <w:rsid w:val="00485940"/>
    <w:rsid w:val="004A2484"/>
    <w:rsid w:val="004A5A85"/>
    <w:rsid w:val="004A71D1"/>
    <w:rsid w:val="004B5640"/>
    <w:rsid w:val="004C1BD7"/>
    <w:rsid w:val="004C2049"/>
    <w:rsid w:val="004C31FE"/>
    <w:rsid w:val="004C691D"/>
    <w:rsid w:val="004C6C07"/>
    <w:rsid w:val="004D0CA3"/>
    <w:rsid w:val="004E692D"/>
    <w:rsid w:val="00500AFC"/>
    <w:rsid w:val="00501554"/>
    <w:rsid w:val="00512FB3"/>
    <w:rsid w:val="00514CD7"/>
    <w:rsid w:val="00522E55"/>
    <w:rsid w:val="005319B2"/>
    <w:rsid w:val="00532402"/>
    <w:rsid w:val="00532C74"/>
    <w:rsid w:val="00534E2E"/>
    <w:rsid w:val="00544552"/>
    <w:rsid w:val="00547224"/>
    <w:rsid w:val="00556506"/>
    <w:rsid w:val="005606C8"/>
    <w:rsid w:val="00563F9A"/>
    <w:rsid w:val="00565F72"/>
    <w:rsid w:val="00573E1E"/>
    <w:rsid w:val="00575951"/>
    <w:rsid w:val="00577C4D"/>
    <w:rsid w:val="00581932"/>
    <w:rsid w:val="00582B7E"/>
    <w:rsid w:val="005963BB"/>
    <w:rsid w:val="005A3173"/>
    <w:rsid w:val="005A3223"/>
    <w:rsid w:val="005A3DA3"/>
    <w:rsid w:val="005A52C4"/>
    <w:rsid w:val="005B372F"/>
    <w:rsid w:val="005B787F"/>
    <w:rsid w:val="005D03AB"/>
    <w:rsid w:val="005D2049"/>
    <w:rsid w:val="005D3D3D"/>
    <w:rsid w:val="005D5017"/>
    <w:rsid w:val="005E045B"/>
    <w:rsid w:val="005E1333"/>
    <w:rsid w:val="005E43CD"/>
    <w:rsid w:val="005E7D61"/>
    <w:rsid w:val="00601A91"/>
    <w:rsid w:val="00602BA3"/>
    <w:rsid w:val="00606EED"/>
    <w:rsid w:val="00612E34"/>
    <w:rsid w:val="00614159"/>
    <w:rsid w:val="00617C00"/>
    <w:rsid w:val="00617C2B"/>
    <w:rsid w:val="006263BF"/>
    <w:rsid w:val="0062748A"/>
    <w:rsid w:val="00630A2C"/>
    <w:rsid w:val="006342AE"/>
    <w:rsid w:val="0063682E"/>
    <w:rsid w:val="0064097A"/>
    <w:rsid w:val="006436CD"/>
    <w:rsid w:val="00651169"/>
    <w:rsid w:val="00653D69"/>
    <w:rsid w:val="006670BE"/>
    <w:rsid w:val="00670A27"/>
    <w:rsid w:val="00670A76"/>
    <w:rsid w:val="006711AA"/>
    <w:rsid w:val="00672B57"/>
    <w:rsid w:val="00675622"/>
    <w:rsid w:val="0067747D"/>
    <w:rsid w:val="0068388E"/>
    <w:rsid w:val="006906DB"/>
    <w:rsid w:val="00691E6C"/>
    <w:rsid w:val="0069551B"/>
    <w:rsid w:val="00695864"/>
    <w:rsid w:val="00695CD2"/>
    <w:rsid w:val="00696129"/>
    <w:rsid w:val="00697CF2"/>
    <w:rsid w:val="006A12A5"/>
    <w:rsid w:val="006A3DA6"/>
    <w:rsid w:val="006B0D94"/>
    <w:rsid w:val="006B236E"/>
    <w:rsid w:val="006B485D"/>
    <w:rsid w:val="006C3A51"/>
    <w:rsid w:val="006C708E"/>
    <w:rsid w:val="006C758A"/>
    <w:rsid w:val="006D0F94"/>
    <w:rsid w:val="006D14E7"/>
    <w:rsid w:val="006D6493"/>
    <w:rsid w:val="006D6EC7"/>
    <w:rsid w:val="006E1BCD"/>
    <w:rsid w:val="006E757C"/>
    <w:rsid w:val="006F5125"/>
    <w:rsid w:val="00702B6F"/>
    <w:rsid w:val="0071340B"/>
    <w:rsid w:val="007142AB"/>
    <w:rsid w:val="007174BB"/>
    <w:rsid w:val="0072025D"/>
    <w:rsid w:val="007213D4"/>
    <w:rsid w:val="00721EB3"/>
    <w:rsid w:val="007353D3"/>
    <w:rsid w:val="00740C59"/>
    <w:rsid w:val="0075395B"/>
    <w:rsid w:val="0076420C"/>
    <w:rsid w:val="00764E42"/>
    <w:rsid w:val="007667FC"/>
    <w:rsid w:val="007753C2"/>
    <w:rsid w:val="007838B8"/>
    <w:rsid w:val="00785CA9"/>
    <w:rsid w:val="007A77A2"/>
    <w:rsid w:val="007C0F57"/>
    <w:rsid w:val="007C40B6"/>
    <w:rsid w:val="007C729F"/>
    <w:rsid w:val="007D4663"/>
    <w:rsid w:val="007E1C71"/>
    <w:rsid w:val="007E1D28"/>
    <w:rsid w:val="007F2641"/>
    <w:rsid w:val="007F7C36"/>
    <w:rsid w:val="00806796"/>
    <w:rsid w:val="008147E9"/>
    <w:rsid w:val="008151D6"/>
    <w:rsid w:val="0081522E"/>
    <w:rsid w:val="0082484C"/>
    <w:rsid w:val="00826F6D"/>
    <w:rsid w:val="008306F3"/>
    <w:rsid w:val="00830BB5"/>
    <w:rsid w:val="008410ED"/>
    <w:rsid w:val="00856DDD"/>
    <w:rsid w:val="00860A1A"/>
    <w:rsid w:val="00863E68"/>
    <w:rsid w:val="00870A18"/>
    <w:rsid w:val="00870C41"/>
    <w:rsid w:val="00882085"/>
    <w:rsid w:val="00883188"/>
    <w:rsid w:val="00884C1F"/>
    <w:rsid w:val="008964C7"/>
    <w:rsid w:val="00897D58"/>
    <w:rsid w:val="00897F22"/>
    <w:rsid w:val="008A1956"/>
    <w:rsid w:val="008A4937"/>
    <w:rsid w:val="008A50A2"/>
    <w:rsid w:val="008A50F1"/>
    <w:rsid w:val="008C2EAC"/>
    <w:rsid w:val="008C691D"/>
    <w:rsid w:val="008D1B5C"/>
    <w:rsid w:val="008D3C82"/>
    <w:rsid w:val="008D447E"/>
    <w:rsid w:val="008D7A41"/>
    <w:rsid w:val="008E3680"/>
    <w:rsid w:val="008E5870"/>
    <w:rsid w:val="008F1434"/>
    <w:rsid w:val="008F64A7"/>
    <w:rsid w:val="008F7355"/>
    <w:rsid w:val="009013D6"/>
    <w:rsid w:val="009067B7"/>
    <w:rsid w:val="00915376"/>
    <w:rsid w:val="00917732"/>
    <w:rsid w:val="00923359"/>
    <w:rsid w:val="00930937"/>
    <w:rsid w:val="00933E6C"/>
    <w:rsid w:val="00937958"/>
    <w:rsid w:val="00942160"/>
    <w:rsid w:val="009505AE"/>
    <w:rsid w:val="0095146F"/>
    <w:rsid w:val="0095483D"/>
    <w:rsid w:val="009602C5"/>
    <w:rsid w:val="00962223"/>
    <w:rsid w:val="00966D0D"/>
    <w:rsid w:val="00974C21"/>
    <w:rsid w:val="009B0444"/>
    <w:rsid w:val="009B0C88"/>
    <w:rsid w:val="009B0F67"/>
    <w:rsid w:val="009B0F80"/>
    <w:rsid w:val="009C703C"/>
    <w:rsid w:val="009D3CAA"/>
    <w:rsid w:val="009D43FB"/>
    <w:rsid w:val="009E29B8"/>
    <w:rsid w:val="009E40E1"/>
    <w:rsid w:val="009F4E46"/>
    <w:rsid w:val="009F5B65"/>
    <w:rsid w:val="009F5F2E"/>
    <w:rsid w:val="00A028F5"/>
    <w:rsid w:val="00A06225"/>
    <w:rsid w:val="00A128E6"/>
    <w:rsid w:val="00A34E6C"/>
    <w:rsid w:val="00A37C8D"/>
    <w:rsid w:val="00A42181"/>
    <w:rsid w:val="00A4293F"/>
    <w:rsid w:val="00A47B1E"/>
    <w:rsid w:val="00A510A3"/>
    <w:rsid w:val="00A5273B"/>
    <w:rsid w:val="00A53510"/>
    <w:rsid w:val="00A53A9D"/>
    <w:rsid w:val="00A55FEE"/>
    <w:rsid w:val="00A60531"/>
    <w:rsid w:val="00A62C1A"/>
    <w:rsid w:val="00A6426D"/>
    <w:rsid w:val="00A665C1"/>
    <w:rsid w:val="00A70622"/>
    <w:rsid w:val="00A70977"/>
    <w:rsid w:val="00A74965"/>
    <w:rsid w:val="00A76854"/>
    <w:rsid w:val="00A77613"/>
    <w:rsid w:val="00A77C19"/>
    <w:rsid w:val="00A8390C"/>
    <w:rsid w:val="00A8428F"/>
    <w:rsid w:val="00A87C88"/>
    <w:rsid w:val="00A928BD"/>
    <w:rsid w:val="00A928F3"/>
    <w:rsid w:val="00A94DDC"/>
    <w:rsid w:val="00AA4D1C"/>
    <w:rsid w:val="00AC193C"/>
    <w:rsid w:val="00AC24D7"/>
    <w:rsid w:val="00AC5206"/>
    <w:rsid w:val="00AD3DD4"/>
    <w:rsid w:val="00AE11A5"/>
    <w:rsid w:val="00AE13E2"/>
    <w:rsid w:val="00AE22D3"/>
    <w:rsid w:val="00AE37F5"/>
    <w:rsid w:val="00AF4897"/>
    <w:rsid w:val="00AF62DF"/>
    <w:rsid w:val="00AF68CC"/>
    <w:rsid w:val="00AF7A04"/>
    <w:rsid w:val="00AF7FA7"/>
    <w:rsid w:val="00B029E7"/>
    <w:rsid w:val="00B0787F"/>
    <w:rsid w:val="00B1059E"/>
    <w:rsid w:val="00B176C8"/>
    <w:rsid w:val="00B205AA"/>
    <w:rsid w:val="00B22E84"/>
    <w:rsid w:val="00B24EB7"/>
    <w:rsid w:val="00B25F75"/>
    <w:rsid w:val="00B26B3F"/>
    <w:rsid w:val="00B36107"/>
    <w:rsid w:val="00B36C15"/>
    <w:rsid w:val="00B432B9"/>
    <w:rsid w:val="00B43E90"/>
    <w:rsid w:val="00B467DC"/>
    <w:rsid w:val="00B56118"/>
    <w:rsid w:val="00B6773F"/>
    <w:rsid w:val="00B801BA"/>
    <w:rsid w:val="00B80960"/>
    <w:rsid w:val="00B84D5C"/>
    <w:rsid w:val="00BB69F5"/>
    <w:rsid w:val="00BB7EC3"/>
    <w:rsid w:val="00BC21A2"/>
    <w:rsid w:val="00BC4B9A"/>
    <w:rsid w:val="00BD44E6"/>
    <w:rsid w:val="00BD784C"/>
    <w:rsid w:val="00BF398F"/>
    <w:rsid w:val="00BF44A9"/>
    <w:rsid w:val="00BF4CB6"/>
    <w:rsid w:val="00C00DA7"/>
    <w:rsid w:val="00C04F82"/>
    <w:rsid w:val="00C12768"/>
    <w:rsid w:val="00C27B58"/>
    <w:rsid w:val="00C35996"/>
    <w:rsid w:val="00C4747E"/>
    <w:rsid w:val="00C5342C"/>
    <w:rsid w:val="00C54E2A"/>
    <w:rsid w:val="00C55876"/>
    <w:rsid w:val="00C603D4"/>
    <w:rsid w:val="00C6256A"/>
    <w:rsid w:val="00C77891"/>
    <w:rsid w:val="00C87BC0"/>
    <w:rsid w:val="00C91449"/>
    <w:rsid w:val="00C92D10"/>
    <w:rsid w:val="00CB58F5"/>
    <w:rsid w:val="00CC75D6"/>
    <w:rsid w:val="00CD707C"/>
    <w:rsid w:val="00CE10C4"/>
    <w:rsid w:val="00CE27B5"/>
    <w:rsid w:val="00CE5349"/>
    <w:rsid w:val="00CF48B5"/>
    <w:rsid w:val="00D0321E"/>
    <w:rsid w:val="00D142AB"/>
    <w:rsid w:val="00D1455A"/>
    <w:rsid w:val="00D204BA"/>
    <w:rsid w:val="00D31150"/>
    <w:rsid w:val="00D3138B"/>
    <w:rsid w:val="00D3280C"/>
    <w:rsid w:val="00D3406A"/>
    <w:rsid w:val="00D4535A"/>
    <w:rsid w:val="00D4572C"/>
    <w:rsid w:val="00D469B2"/>
    <w:rsid w:val="00D54561"/>
    <w:rsid w:val="00D741EB"/>
    <w:rsid w:val="00D758BF"/>
    <w:rsid w:val="00D83605"/>
    <w:rsid w:val="00D84934"/>
    <w:rsid w:val="00D91271"/>
    <w:rsid w:val="00D919F5"/>
    <w:rsid w:val="00D94F03"/>
    <w:rsid w:val="00DA1B7D"/>
    <w:rsid w:val="00DA2CB5"/>
    <w:rsid w:val="00DA4BAC"/>
    <w:rsid w:val="00DC2409"/>
    <w:rsid w:val="00DD336F"/>
    <w:rsid w:val="00DD53A0"/>
    <w:rsid w:val="00DE6D27"/>
    <w:rsid w:val="00DF217D"/>
    <w:rsid w:val="00DF26A7"/>
    <w:rsid w:val="00E15627"/>
    <w:rsid w:val="00E164B3"/>
    <w:rsid w:val="00E16910"/>
    <w:rsid w:val="00E22E19"/>
    <w:rsid w:val="00E273A3"/>
    <w:rsid w:val="00E42BDB"/>
    <w:rsid w:val="00E55E7C"/>
    <w:rsid w:val="00E57EEB"/>
    <w:rsid w:val="00E62D94"/>
    <w:rsid w:val="00E6495D"/>
    <w:rsid w:val="00E65E54"/>
    <w:rsid w:val="00E7298F"/>
    <w:rsid w:val="00E74659"/>
    <w:rsid w:val="00E80155"/>
    <w:rsid w:val="00E81389"/>
    <w:rsid w:val="00E81F28"/>
    <w:rsid w:val="00E848C0"/>
    <w:rsid w:val="00E91B96"/>
    <w:rsid w:val="00E941A1"/>
    <w:rsid w:val="00E95CE3"/>
    <w:rsid w:val="00EA2825"/>
    <w:rsid w:val="00EB0B63"/>
    <w:rsid w:val="00EB1936"/>
    <w:rsid w:val="00EB5088"/>
    <w:rsid w:val="00EC369E"/>
    <w:rsid w:val="00ED1644"/>
    <w:rsid w:val="00ED2593"/>
    <w:rsid w:val="00ED7D9C"/>
    <w:rsid w:val="00EE5E79"/>
    <w:rsid w:val="00EF44A0"/>
    <w:rsid w:val="00EF4FED"/>
    <w:rsid w:val="00F0078E"/>
    <w:rsid w:val="00F008B1"/>
    <w:rsid w:val="00F050BD"/>
    <w:rsid w:val="00F050EA"/>
    <w:rsid w:val="00F05657"/>
    <w:rsid w:val="00F10777"/>
    <w:rsid w:val="00F1644A"/>
    <w:rsid w:val="00F20540"/>
    <w:rsid w:val="00F2215F"/>
    <w:rsid w:val="00F2242F"/>
    <w:rsid w:val="00F25578"/>
    <w:rsid w:val="00F258E5"/>
    <w:rsid w:val="00F300BC"/>
    <w:rsid w:val="00F30D02"/>
    <w:rsid w:val="00F3334E"/>
    <w:rsid w:val="00F36CCB"/>
    <w:rsid w:val="00F374E5"/>
    <w:rsid w:val="00F4050B"/>
    <w:rsid w:val="00F41718"/>
    <w:rsid w:val="00F43AF2"/>
    <w:rsid w:val="00F4684B"/>
    <w:rsid w:val="00F5007E"/>
    <w:rsid w:val="00F50EC4"/>
    <w:rsid w:val="00F550CF"/>
    <w:rsid w:val="00F57A6D"/>
    <w:rsid w:val="00F638CC"/>
    <w:rsid w:val="00F64CC1"/>
    <w:rsid w:val="00F72317"/>
    <w:rsid w:val="00F75136"/>
    <w:rsid w:val="00F80475"/>
    <w:rsid w:val="00F8247A"/>
    <w:rsid w:val="00F934EA"/>
    <w:rsid w:val="00F936CE"/>
    <w:rsid w:val="00F9629A"/>
    <w:rsid w:val="00F97EFC"/>
    <w:rsid w:val="00FA1E2F"/>
    <w:rsid w:val="00FA5883"/>
    <w:rsid w:val="00FA6055"/>
    <w:rsid w:val="00FB1CE4"/>
    <w:rsid w:val="00FB322F"/>
    <w:rsid w:val="00FB442F"/>
    <w:rsid w:val="00FC1929"/>
    <w:rsid w:val="00FC5B46"/>
    <w:rsid w:val="00FD08F8"/>
    <w:rsid w:val="00FD6D8E"/>
    <w:rsid w:val="00FE0E94"/>
    <w:rsid w:val="00FF00BD"/>
    <w:rsid w:val="00FF0A7B"/>
    <w:rsid w:val="00FF1ED4"/>
    <w:rsid w:val="00FF2801"/>
    <w:rsid w:val="00FF7A8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72033"/>
    <o:shapelayout v:ext="edit">
      <o:idmap v:ext="edit" data="1"/>
    </o:shapelayout>
  </w:shapeDefaults>
  <w:decimalSymbol w:val="."/>
  <w:listSeparator w:val=","/>
  <w14:docId w14:val="1F739B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uiPriority="1" w:qFormat="1"/>
    <w:lsdException w:name="heading 2" w:uiPriority="1"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ListParagraph"/>
    <w:next w:val="Normal"/>
    <w:link w:val="Heading1Char"/>
    <w:uiPriority w:val="1"/>
    <w:qFormat/>
    <w:rsid w:val="00C603D4"/>
    <w:pPr>
      <w:ind w:left="0"/>
      <w:outlineLvl w:val="0"/>
    </w:pPr>
    <w:rPr>
      <w:b/>
      <w:szCs w:val="22"/>
    </w:rPr>
  </w:style>
  <w:style w:type="paragraph" w:styleId="Heading2">
    <w:name w:val="heading 2"/>
    <w:basedOn w:val="Normal"/>
    <w:next w:val="Normal"/>
    <w:link w:val="Heading2Char"/>
    <w:uiPriority w:val="1"/>
    <w:qFormat/>
    <w:rsid w:val="00B1059E"/>
    <w:pPr>
      <w:keepNext/>
      <w:outlineLvl w:val="1"/>
    </w:pPr>
    <w:rPr>
      <w:rFonts w:ascii="Arial" w:hAnsi="Arial"/>
      <w:b/>
      <w:i/>
      <w:sz w:val="22"/>
    </w:rPr>
  </w:style>
  <w:style w:type="paragraph" w:styleId="Heading3">
    <w:name w:val="heading 3"/>
    <w:basedOn w:val="Normal"/>
    <w:next w:val="Normal"/>
    <w:link w:val="Heading3Char"/>
    <w:semiHidden/>
    <w:unhideWhenUsed/>
    <w:qFormat/>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pPr>
      <w:spacing w:after="120"/>
    </w:pPr>
    <w:rPr>
      <w:rFonts w:ascii="Arial" w:hAnsi="Arial"/>
      <w:sz w:val="20"/>
      <w:szCs w:val="20"/>
      <w:lang w:eastAsia="en-US"/>
    </w:rPr>
  </w:style>
  <w:style w:type="paragraph" w:styleId="BodyText2">
    <w:name w:val="Body Text 2"/>
    <w:basedOn w:val="Normal"/>
    <w:link w:val="BodyText2Char"/>
    <w:pPr>
      <w:widowControl w:val="0"/>
      <w:jc w:val="both"/>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qFormat/>
    <w:pPr>
      <w:jc w:val="both"/>
    </w:pPr>
    <w:rPr>
      <w:sz w:val="20"/>
      <w:szCs w:val="20"/>
      <w:lang w:eastAsia="en-US"/>
    </w:rPr>
  </w:style>
  <w:style w:type="character" w:customStyle="1" w:styleId="HeaderChar">
    <w:name w:val="Header Char"/>
    <w:aliases w:val="Page Header Char,Header title Char,he=header Char,cntr/bld Char"/>
    <w:link w:val="Header"/>
    <w:uiPriority w:val="99"/>
    <w:rsid w:val="005A3173"/>
    <w:rPr>
      <w:sz w:val="24"/>
      <w:szCs w:val="24"/>
      <w:lang w:eastAsia="en-AU"/>
    </w:rPr>
  </w:style>
  <w:style w:type="paragraph" w:customStyle="1" w:styleId="MediumGrid21">
    <w:name w:val="Medium Grid 21"/>
    <w:link w:val="MediumGrid2Char"/>
    <w:qFormat/>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aliases w:val="BulletPoints"/>
    <w:basedOn w:val="Normal"/>
    <w:link w:val="ListParagraphChar"/>
    <w:uiPriority w:val="34"/>
    <w:qFormat/>
    <w:rsid w:val="00300AD6"/>
    <w:pPr>
      <w:widowControl w:val="0"/>
      <w:ind w:left="720"/>
      <w:contextualSpacing/>
      <w:jc w:val="both"/>
    </w:pPr>
    <w:rPr>
      <w:rFonts w:ascii="Arial" w:hAnsi="Arial" w:cs="Arial"/>
      <w:snapToGrid w:val="0"/>
      <w:sz w:val="22"/>
      <w:szCs w:val="20"/>
      <w:lang w:eastAsia="en-US"/>
    </w:rPr>
  </w:style>
  <w:style w:type="character" w:styleId="CommentReference">
    <w:name w:val="annotation reference"/>
    <w:aliases w:val="Table Title"/>
    <w:basedOn w:val="DefaultParagraphFont"/>
    <w:qFormat/>
    <w:rsid w:val="00BB7EC3"/>
    <w:rPr>
      <w:sz w:val="16"/>
      <w:szCs w:val="16"/>
    </w:rPr>
  </w:style>
  <w:style w:type="paragraph" w:styleId="CommentText">
    <w:name w:val="annotation text"/>
    <w:basedOn w:val="Normal"/>
    <w:link w:val="CommentTextChar"/>
    <w:rsid w:val="00BB7EC3"/>
    <w:rPr>
      <w:sz w:val="20"/>
      <w:szCs w:val="20"/>
    </w:rPr>
  </w:style>
  <w:style w:type="character" w:customStyle="1" w:styleId="CommentTextChar">
    <w:name w:val="Comment Text Char"/>
    <w:basedOn w:val="DefaultParagraphFont"/>
    <w:link w:val="CommentText"/>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semiHidden/>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rsid w:val="009F5F2E"/>
  </w:style>
  <w:style w:type="paragraph" w:styleId="NoSpacing">
    <w:name w:val="No Spacing"/>
    <w:basedOn w:val="Normal"/>
    <w:uiPriority w:val="99"/>
    <w:qFormat/>
    <w:rsid w:val="00C27B58"/>
    <w:pPr>
      <w:jc w:val="both"/>
    </w:pPr>
    <w:rPr>
      <w:rFonts w:ascii="Arial" w:hAnsi="Arial"/>
      <w:sz w:val="22"/>
      <w:szCs w:val="22"/>
    </w:rPr>
  </w:style>
  <w:style w:type="character" w:styleId="Hyperlink">
    <w:name w:val="Hyperlink"/>
    <w:uiPriority w:val="99"/>
    <w:rsid w:val="00AC193C"/>
    <w:rPr>
      <w:color w:val="0000FF"/>
      <w:u w:val="single"/>
    </w:rPr>
  </w:style>
  <w:style w:type="paragraph" w:styleId="Title">
    <w:name w:val="Title"/>
    <w:basedOn w:val="Normal"/>
    <w:next w:val="Normal"/>
    <w:link w:val="TitleChar"/>
    <w:qFormat/>
    <w:rsid w:val="00FE0E94"/>
    <w:pPr>
      <w:spacing w:after="300"/>
      <w:contextualSpacing/>
      <w:outlineLvl w:val="0"/>
    </w:pPr>
    <w:rPr>
      <w:rFonts w:ascii="Arial Bold" w:eastAsiaTheme="majorEastAsia" w:hAnsi="Arial Bold" w:cstheme="majorBidi"/>
      <w:b/>
      <w:spacing w:val="5"/>
      <w:kern w:val="28"/>
      <w:sz w:val="28"/>
      <w:szCs w:val="52"/>
    </w:rPr>
  </w:style>
  <w:style w:type="paragraph" w:styleId="ListNumber">
    <w:name w:val="List Number"/>
    <w:basedOn w:val="Normal"/>
    <w:rsid w:val="004A2484"/>
    <w:pPr>
      <w:numPr>
        <w:numId w:val="12"/>
      </w:numPr>
      <w:contextualSpacing/>
    </w:pPr>
  </w:style>
  <w:style w:type="paragraph" w:styleId="ListContinue2">
    <w:name w:val="List Continue 2"/>
    <w:basedOn w:val="Normal"/>
    <w:rsid w:val="004A2484"/>
    <w:pPr>
      <w:spacing w:after="120"/>
      <w:ind w:left="566"/>
      <w:contextualSpacing/>
    </w:pPr>
  </w:style>
  <w:style w:type="paragraph" w:styleId="ListNumber2">
    <w:name w:val="List Number 2"/>
    <w:basedOn w:val="Normal"/>
    <w:rsid w:val="004A2484"/>
    <w:pPr>
      <w:tabs>
        <w:tab w:val="num" w:pos="643"/>
      </w:tabs>
      <w:ind w:left="643" w:hanging="360"/>
      <w:contextualSpacing/>
    </w:pPr>
  </w:style>
  <w:style w:type="character" w:customStyle="1" w:styleId="TitleChar">
    <w:name w:val="Title Char"/>
    <w:basedOn w:val="DefaultParagraphFont"/>
    <w:link w:val="Title"/>
    <w:rsid w:val="00FE0E94"/>
    <w:rPr>
      <w:rFonts w:ascii="Arial Bold" w:eastAsiaTheme="majorEastAsia" w:hAnsi="Arial Bold" w:cstheme="majorBidi"/>
      <w:b/>
      <w:spacing w:val="5"/>
      <w:kern w:val="28"/>
      <w:sz w:val="28"/>
      <w:szCs w:val="52"/>
    </w:rPr>
  </w:style>
  <w:style w:type="character" w:customStyle="1" w:styleId="ListParagraphChar">
    <w:name w:val="List Paragraph Char"/>
    <w:aliases w:val="BulletPoints Char"/>
    <w:basedOn w:val="DefaultParagraphFont"/>
    <w:link w:val="ListParagraph"/>
    <w:uiPriority w:val="72"/>
    <w:rsid w:val="00077143"/>
    <w:rPr>
      <w:rFonts w:ascii="Arial" w:hAnsi="Arial" w:cs="Arial"/>
      <w:snapToGrid w:val="0"/>
      <w:sz w:val="22"/>
      <w:lang w:eastAsia="en-US"/>
    </w:rPr>
  </w:style>
  <w:style w:type="paragraph" w:customStyle="1" w:styleId="PBACHeading1">
    <w:name w:val="PBAC Heading 1"/>
    <w:qFormat/>
    <w:rsid w:val="00E15627"/>
    <w:pPr>
      <w:numPr>
        <w:numId w:val="14"/>
      </w:numPr>
      <w:outlineLvl w:val="0"/>
    </w:pPr>
    <w:rPr>
      <w:rFonts w:ascii="Arial" w:hAnsi="Arial" w:cs="Arial"/>
      <w:b/>
      <w:snapToGrid w:val="0"/>
      <w:sz w:val="22"/>
      <w:szCs w:val="22"/>
      <w:lang w:eastAsia="en-US"/>
    </w:rPr>
  </w:style>
  <w:style w:type="character" w:customStyle="1" w:styleId="Heading1Char">
    <w:name w:val="Heading 1 Char"/>
    <w:basedOn w:val="DefaultParagraphFont"/>
    <w:link w:val="Heading1"/>
    <w:uiPriority w:val="1"/>
    <w:rsid w:val="003C2FB5"/>
    <w:rPr>
      <w:rFonts w:ascii="Arial" w:hAnsi="Arial" w:cs="Arial"/>
      <w:b/>
      <w:snapToGrid w:val="0"/>
      <w:sz w:val="22"/>
      <w:szCs w:val="22"/>
      <w:lang w:eastAsia="en-US"/>
    </w:rPr>
  </w:style>
  <w:style w:type="character" w:customStyle="1" w:styleId="Heading2Char">
    <w:name w:val="Heading 2 Char"/>
    <w:basedOn w:val="DefaultParagraphFont"/>
    <w:link w:val="Heading2"/>
    <w:uiPriority w:val="1"/>
    <w:rsid w:val="003C2FB5"/>
    <w:rPr>
      <w:rFonts w:ascii="Arial" w:hAnsi="Arial"/>
      <w:b/>
      <w:i/>
      <w:sz w:val="22"/>
      <w:szCs w:val="24"/>
    </w:rPr>
  </w:style>
  <w:style w:type="paragraph" w:styleId="Caption">
    <w:name w:val="caption"/>
    <w:basedOn w:val="Normal"/>
    <w:next w:val="Normal"/>
    <w:unhideWhenUsed/>
    <w:qFormat/>
    <w:rsid w:val="00C87BC0"/>
    <w:pPr>
      <w:spacing w:after="200"/>
    </w:pPr>
    <w:rPr>
      <w:i/>
      <w:iCs/>
      <w:color w:val="1F497D" w:themeColor="text2"/>
      <w:sz w:val="18"/>
      <w:szCs w:val="18"/>
    </w:rPr>
  </w:style>
  <w:style w:type="paragraph" w:styleId="Revision">
    <w:name w:val="Revision"/>
    <w:hidden/>
    <w:uiPriority w:val="71"/>
    <w:semiHidden/>
    <w:rsid w:val="0003255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947954">
      <w:bodyDiv w:val="1"/>
      <w:marLeft w:val="0"/>
      <w:marRight w:val="0"/>
      <w:marTop w:val="0"/>
      <w:marBottom w:val="0"/>
      <w:divBdr>
        <w:top w:val="none" w:sz="0" w:space="0" w:color="auto"/>
        <w:left w:val="none" w:sz="0" w:space="0" w:color="auto"/>
        <w:bottom w:val="none" w:sz="0" w:space="0" w:color="auto"/>
        <w:right w:val="none" w:sz="0" w:space="0" w:color="auto"/>
      </w:divBdr>
    </w:div>
    <w:div w:id="37902015">
      <w:bodyDiv w:val="1"/>
      <w:marLeft w:val="0"/>
      <w:marRight w:val="0"/>
      <w:marTop w:val="0"/>
      <w:marBottom w:val="0"/>
      <w:divBdr>
        <w:top w:val="none" w:sz="0" w:space="0" w:color="auto"/>
        <w:left w:val="none" w:sz="0" w:space="0" w:color="auto"/>
        <w:bottom w:val="none" w:sz="0" w:space="0" w:color="auto"/>
        <w:right w:val="none" w:sz="0" w:space="0" w:color="auto"/>
      </w:divBdr>
    </w:div>
    <w:div w:id="181012299">
      <w:bodyDiv w:val="1"/>
      <w:marLeft w:val="0"/>
      <w:marRight w:val="0"/>
      <w:marTop w:val="0"/>
      <w:marBottom w:val="0"/>
      <w:divBdr>
        <w:top w:val="none" w:sz="0" w:space="0" w:color="auto"/>
        <w:left w:val="none" w:sz="0" w:space="0" w:color="auto"/>
        <w:bottom w:val="none" w:sz="0" w:space="0" w:color="auto"/>
        <w:right w:val="none" w:sz="0" w:space="0" w:color="auto"/>
      </w:divBdr>
    </w:div>
    <w:div w:id="801387817">
      <w:bodyDiv w:val="1"/>
      <w:marLeft w:val="0"/>
      <w:marRight w:val="0"/>
      <w:marTop w:val="0"/>
      <w:marBottom w:val="0"/>
      <w:divBdr>
        <w:top w:val="none" w:sz="0" w:space="0" w:color="auto"/>
        <w:left w:val="none" w:sz="0" w:space="0" w:color="auto"/>
        <w:bottom w:val="none" w:sz="0" w:space="0" w:color="auto"/>
        <w:right w:val="none" w:sz="0" w:space="0" w:color="auto"/>
      </w:divBdr>
    </w:div>
    <w:div w:id="804812052">
      <w:bodyDiv w:val="1"/>
      <w:marLeft w:val="0"/>
      <w:marRight w:val="0"/>
      <w:marTop w:val="0"/>
      <w:marBottom w:val="0"/>
      <w:divBdr>
        <w:top w:val="none" w:sz="0" w:space="0" w:color="auto"/>
        <w:left w:val="none" w:sz="0" w:space="0" w:color="auto"/>
        <w:bottom w:val="none" w:sz="0" w:space="0" w:color="auto"/>
        <w:right w:val="none" w:sz="0" w:space="0" w:color="auto"/>
      </w:divBdr>
      <w:divsChild>
        <w:div w:id="1533179380">
          <w:marLeft w:val="0"/>
          <w:marRight w:val="0"/>
          <w:marTop w:val="0"/>
          <w:marBottom w:val="0"/>
          <w:divBdr>
            <w:top w:val="none" w:sz="0" w:space="0" w:color="auto"/>
            <w:left w:val="none" w:sz="0" w:space="0" w:color="auto"/>
            <w:bottom w:val="none" w:sz="0" w:space="0" w:color="auto"/>
            <w:right w:val="none" w:sz="0" w:space="0" w:color="auto"/>
          </w:divBdr>
        </w:div>
      </w:divsChild>
    </w:div>
    <w:div w:id="966857581">
      <w:bodyDiv w:val="1"/>
      <w:marLeft w:val="0"/>
      <w:marRight w:val="0"/>
      <w:marTop w:val="0"/>
      <w:marBottom w:val="0"/>
      <w:divBdr>
        <w:top w:val="none" w:sz="0" w:space="0" w:color="auto"/>
        <w:left w:val="none" w:sz="0" w:space="0" w:color="auto"/>
        <w:bottom w:val="none" w:sz="0" w:space="0" w:color="auto"/>
        <w:right w:val="none" w:sz="0" w:space="0" w:color="auto"/>
      </w:divBdr>
    </w:div>
    <w:div w:id="1696230981">
      <w:bodyDiv w:val="1"/>
      <w:marLeft w:val="0"/>
      <w:marRight w:val="0"/>
      <w:marTop w:val="0"/>
      <w:marBottom w:val="0"/>
      <w:divBdr>
        <w:top w:val="none" w:sz="0" w:space="0" w:color="auto"/>
        <w:left w:val="none" w:sz="0" w:space="0" w:color="auto"/>
        <w:bottom w:val="none" w:sz="0" w:space="0" w:color="auto"/>
        <w:right w:val="none" w:sz="0" w:space="0" w:color="auto"/>
      </w:divBdr>
      <w:divsChild>
        <w:div w:id="748698824">
          <w:marLeft w:val="0"/>
          <w:marRight w:val="0"/>
          <w:marTop w:val="0"/>
          <w:marBottom w:val="0"/>
          <w:divBdr>
            <w:top w:val="none" w:sz="0" w:space="0" w:color="auto"/>
            <w:left w:val="none" w:sz="0" w:space="0" w:color="auto"/>
            <w:bottom w:val="none" w:sz="0" w:space="0" w:color="auto"/>
            <w:right w:val="none" w:sz="0" w:space="0" w:color="auto"/>
          </w:divBdr>
        </w:div>
      </w:divsChild>
    </w:div>
    <w:div w:id="1899511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BD9B4F-BCC2-41EB-915E-7EABDB42F3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1604</Words>
  <Characters>9085</Characters>
  <Application>Microsoft Office Word</Application>
  <DocSecurity>2</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2019-06-25T07:38:00Z</dcterms:created>
  <dcterms:modified xsi:type="dcterms:W3CDTF">2019-07-01T01:26:00Z</dcterms:modified>
</cp:coreProperties>
</file>