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9B" w:rsidRPr="00416C64" w:rsidRDefault="005A2C9B" w:rsidP="005A2C9B">
      <w:pPr>
        <w:widowControl/>
        <w:rPr>
          <w:rFonts w:asciiTheme="minorHAnsi" w:hAnsiTheme="minorHAnsi" w:cstheme="minorHAnsi"/>
          <w:szCs w:val="24"/>
        </w:rPr>
      </w:pPr>
    </w:p>
    <w:p w:rsidR="0009203D" w:rsidRPr="00416C64" w:rsidRDefault="00285E7B" w:rsidP="005A2C9B">
      <w:pPr>
        <w:widowControl/>
        <w:ind w:left="720" w:hanging="720"/>
        <w:rPr>
          <w:b/>
          <w:sz w:val="36"/>
          <w:szCs w:val="36"/>
        </w:rPr>
      </w:pPr>
      <w:r w:rsidRPr="00416C64">
        <w:rPr>
          <w:b/>
          <w:sz w:val="36"/>
          <w:szCs w:val="36"/>
        </w:rPr>
        <w:t>6.08</w:t>
      </w:r>
      <w:r w:rsidR="00A27DCC" w:rsidRPr="00416C64">
        <w:rPr>
          <w:b/>
          <w:sz w:val="36"/>
          <w:szCs w:val="36"/>
        </w:rPr>
        <w:tab/>
        <w:t xml:space="preserve">FLUTICASONE FUROATE </w:t>
      </w:r>
      <w:r w:rsidR="0009203D" w:rsidRPr="00416C64">
        <w:rPr>
          <w:b/>
          <w:sz w:val="36"/>
          <w:szCs w:val="36"/>
        </w:rPr>
        <w:t xml:space="preserve">with </w:t>
      </w:r>
      <w:r w:rsidR="00A27DCC" w:rsidRPr="00416C64">
        <w:rPr>
          <w:b/>
          <w:sz w:val="36"/>
          <w:szCs w:val="36"/>
        </w:rPr>
        <w:t xml:space="preserve">UMECLIDINIUM </w:t>
      </w:r>
      <w:r w:rsidR="0009203D" w:rsidRPr="00416C64">
        <w:rPr>
          <w:b/>
          <w:sz w:val="36"/>
          <w:szCs w:val="36"/>
        </w:rPr>
        <w:t>and V</w:t>
      </w:r>
      <w:r w:rsidR="00A27DCC" w:rsidRPr="00416C64">
        <w:rPr>
          <w:b/>
          <w:sz w:val="36"/>
          <w:szCs w:val="36"/>
        </w:rPr>
        <w:t>ILANTEROL</w:t>
      </w:r>
      <w:r w:rsidR="0009203D" w:rsidRPr="00416C64">
        <w:rPr>
          <w:b/>
          <w:sz w:val="36"/>
          <w:szCs w:val="36"/>
        </w:rPr>
        <w:t>,</w:t>
      </w:r>
    </w:p>
    <w:p w:rsidR="00661C3B" w:rsidRPr="00416C64" w:rsidRDefault="0009203D" w:rsidP="005A2C9B">
      <w:pPr>
        <w:widowControl/>
        <w:ind w:left="720"/>
        <w:rPr>
          <w:b/>
          <w:sz w:val="36"/>
          <w:szCs w:val="36"/>
        </w:rPr>
      </w:pPr>
      <w:r w:rsidRPr="00416C64">
        <w:rPr>
          <w:b/>
          <w:sz w:val="36"/>
          <w:szCs w:val="36"/>
        </w:rPr>
        <w:t xml:space="preserve">Powder for oral inhalation in breath actuated device containing fluticasone </w:t>
      </w:r>
      <w:proofErr w:type="spellStart"/>
      <w:r w:rsidRPr="00416C64">
        <w:rPr>
          <w:b/>
          <w:sz w:val="36"/>
          <w:szCs w:val="36"/>
        </w:rPr>
        <w:t>furoate</w:t>
      </w:r>
      <w:proofErr w:type="spellEnd"/>
      <w:r w:rsidRPr="00416C64">
        <w:rPr>
          <w:b/>
          <w:sz w:val="36"/>
          <w:szCs w:val="36"/>
        </w:rPr>
        <w:t xml:space="preserve"> 100 micrograms with </w:t>
      </w:r>
      <w:proofErr w:type="spellStart"/>
      <w:r w:rsidRPr="00416C64">
        <w:rPr>
          <w:b/>
          <w:sz w:val="36"/>
          <w:szCs w:val="36"/>
        </w:rPr>
        <w:t>umeclidinium</w:t>
      </w:r>
      <w:proofErr w:type="spellEnd"/>
      <w:r w:rsidRPr="00416C64">
        <w:rPr>
          <w:b/>
          <w:sz w:val="36"/>
          <w:szCs w:val="36"/>
        </w:rPr>
        <w:t xml:space="preserve"> 62.5 micrograms (as bromide) and </w:t>
      </w:r>
      <w:proofErr w:type="spellStart"/>
      <w:r w:rsidRPr="00416C64">
        <w:rPr>
          <w:b/>
          <w:sz w:val="36"/>
          <w:szCs w:val="36"/>
        </w:rPr>
        <w:t>vilanterol</w:t>
      </w:r>
      <w:proofErr w:type="spellEnd"/>
      <w:r w:rsidR="00A27DCC" w:rsidRPr="00416C64">
        <w:rPr>
          <w:b/>
          <w:sz w:val="36"/>
          <w:szCs w:val="36"/>
        </w:rPr>
        <w:t xml:space="preserve"> 25</w:t>
      </w:r>
      <w:r w:rsidRPr="00416C64">
        <w:rPr>
          <w:b/>
          <w:sz w:val="36"/>
          <w:szCs w:val="36"/>
        </w:rPr>
        <w:t xml:space="preserve"> microgram (as </w:t>
      </w:r>
      <w:proofErr w:type="spellStart"/>
      <w:r w:rsidRPr="00416C64">
        <w:rPr>
          <w:b/>
          <w:sz w:val="36"/>
          <w:szCs w:val="36"/>
        </w:rPr>
        <w:t>trifenatate</w:t>
      </w:r>
      <w:proofErr w:type="spellEnd"/>
      <w:r w:rsidRPr="00416C64">
        <w:rPr>
          <w:b/>
          <w:sz w:val="36"/>
          <w:szCs w:val="36"/>
        </w:rPr>
        <w:t>) per dose</w:t>
      </w:r>
      <w:r w:rsidR="00A27DCC" w:rsidRPr="00416C64">
        <w:rPr>
          <w:b/>
          <w:sz w:val="36"/>
          <w:szCs w:val="36"/>
        </w:rPr>
        <w:t xml:space="preserve">, 30 actuations, </w:t>
      </w:r>
    </w:p>
    <w:p w:rsidR="00B60939" w:rsidRPr="001D26BB" w:rsidRDefault="00A27DCC" w:rsidP="001D26BB">
      <w:pPr>
        <w:widowControl/>
        <w:ind w:left="720"/>
        <w:rPr>
          <w:b/>
          <w:sz w:val="36"/>
          <w:szCs w:val="36"/>
        </w:rPr>
      </w:pPr>
      <w:r w:rsidRPr="00416C64">
        <w:rPr>
          <w:b/>
          <w:sz w:val="36"/>
          <w:szCs w:val="36"/>
        </w:rPr>
        <w:t xml:space="preserve">Trelegy® </w:t>
      </w:r>
      <w:proofErr w:type="spellStart"/>
      <w:r w:rsidRPr="00416C64">
        <w:rPr>
          <w:b/>
          <w:sz w:val="36"/>
          <w:szCs w:val="36"/>
        </w:rPr>
        <w:t>Ellipta</w:t>
      </w:r>
      <w:proofErr w:type="spellEnd"/>
      <w:r w:rsidRPr="00416C64">
        <w:rPr>
          <w:b/>
          <w:sz w:val="36"/>
          <w:szCs w:val="36"/>
        </w:rPr>
        <w:t>®, GlaxoSmithKline.</w:t>
      </w:r>
      <w:bookmarkStart w:id="0" w:name="_GoBack"/>
      <w:bookmarkEnd w:id="0"/>
    </w:p>
    <w:p w:rsidR="00B50DB8" w:rsidRPr="005A2C9B" w:rsidRDefault="00B50DB8" w:rsidP="00A56858">
      <w:pPr>
        <w:pStyle w:val="PBACHeading1"/>
        <w:ind w:left="709" w:hanging="709"/>
      </w:pPr>
      <w:bookmarkStart w:id="1" w:name="_Toc535934766"/>
      <w:r w:rsidRPr="005A2C9B">
        <w:t>Purpose of Application</w:t>
      </w:r>
      <w:bookmarkEnd w:id="1"/>
    </w:p>
    <w:p w:rsidR="003214BD" w:rsidRPr="00416C64" w:rsidRDefault="009F2383" w:rsidP="005A2C9B">
      <w:pPr>
        <w:pStyle w:val="ListParagraph"/>
        <w:keepNext/>
        <w:widowControl/>
        <w:numPr>
          <w:ilvl w:val="1"/>
          <w:numId w:val="3"/>
        </w:numPr>
      </w:pPr>
      <w:r w:rsidRPr="00416C64">
        <w:t xml:space="preserve">The submission requested an extension to the current PBS listing of </w:t>
      </w:r>
      <w:r w:rsidR="00A14F96" w:rsidRPr="00416C64">
        <w:t xml:space="preserve">Trelegy® </w:t>
      </w:r>
      <w:proofErr w:type="spellStart"/>
      <w:r w:rsidR="00A14F96" w:rsidRPr="00416C64">
        <w:t>Ellipta</w:t>
      </w:r>
      <w:proofErr w:type="spellEnd"/>
      <w:r w:rsidR="00A14F96" w:rsidRPr="00416C64">
        <w:t xml:space="preserve">® (referred to as Trelegy herein), </w:t>
      </w:r>
      <w:r w:rsidR="00EB6E97" w:rsidRPr="00416C64">
        <w:t xml:space="preserve">the fixed dose combination (FDC) of </w:t>
      </w:r>
      <w:r w:rsidR="00EB6E97" w:rsidRPr="00416C64">
        <w:rPr>
          <w:rStyle w:val="CommentReference"/>
          <w:rFonts w:asciiTheme="minorHAnsi" w:hAnsiTheme="minorHAnsi"/>
          <w:b w:val="0"/>
          <w:bCs/>
          <w:sz w:val="24"/>
          <w:szCs w:val="24"/>
        </w:rPr>
        <w:t xml:space="preserve">fluticasone </w:t>
      </w:r>
      <w:proofErr w:type="spellStart"/>
      <w:r w:rsidR="00EB6E97" w:rsidRPr="00416C64">
        <w:rPr>
          <w:rStyle w:val="CommentReference"/>
          <w:rFonts w:asciiTheme="minorHAnsi" w:hAnsiTheme="minorHAnsi"/>
          <w:b w:val="0"/>
          <w:bCs/>
          <w:sz w:val="24"/>
          <w:szCs w:val="24"/>
        </w:rPr>
        <w:t>furoate</w:t>
      </w:r>
      <w:proofErr w:type="spellEnd"/>
      <w:r w:rsidR="00D24998" w:rsidRPr="00416C64">
        <w:rPr>
          <w:rStyle w:val="CommentReference"/>
          <w:rFonts w:asciiTheme="minorHAnsi" w:hAnsiTheme="minorHAnsi"/>
          <w:b w:val="0"/>
          <w:bCs/>
          <w:sz w:val="24"/>
          <w:szCs w:val="24"/>
        </w:rPr>
        <w:t xml:space="preserve"> (FF)</w:t>
      </w:r>
      <w:r w:rsidR="00EB6E97" w:rsidRPr="00416C64">
        <w:rPr>
          <w:rStyle w:val="CommentReference"/>
          <w:rFonts w:asciiTheme="minorHAnsi" w:hAnsiTheme="minorHAnsi"/>
          <w:b w:val="0"/>
          <w:bCs/>
          <w:sz w:val="24"/>
          <w:szCs w:val="24"/>
        </w:rPr>
        <w:t xml:space="preserve"> 100mcg</w:t>
      </w:r>
      <w:r w:rsidR="00752669" w:rsidRPr="00416C64">
        <w:rPr>
          <w:rStyle w:val="CommentReference"/>
          <w:rFonts w:asciiTheme="minorHAnsi" w:hAnsiTheme="minorHAnsi"/>
          <w:b w:val="0"/>
          <w:bCs/>
          <w:sz w:val="24"/>
          <w:szCs w:val="24"/>
        </w:rPr>
        <w:t>, an inhaled corticosteroid (ICS)</w:t>
      </w:r>
      <w:r w:rsidR="002A50A8" w:rsidRPr="00416C64">
        <w:rPr>
          <w:rStyle w:val="CommentReference"/>
          <w:rFonts w:asciiTheme="minorHAnsi" w:hAnsiTheme="minorHAnsi"/>
          <w:b w:val="0"/>
          <w:bCs/>
          <w:sz w:val="24"/>
          <w:szCs w:val="24"/>
        </w:rPr>
        <w:t xml:space="preserve"> </w:t>
      </w:r>
      <w:r w:rsidR="00EB6E97" w:rsidRPr="00416C64">
        <w:rPr>
          <w:rStyle w:val="CommentReference"/>
          <w:rFonts w:asciiTheme="minorHAnsi" w:hAnsiTheme="minorHAnsi"/>
          <w:b w:val="0"/>
          <w:bCs/>
          <w:sz w:val="24"/>
          <w:szCs w:val="24"/>
        </w:rPr>
        <w:t xml:space="preserve">with </w:t>
      </w:r>
      <w:proofErr w:type="spellStart"/>
      <w:r w:rsidR="00EB6E97" w:rsidRPr="00416C64">
        <w:rPr>
          <w:rStyle w:val="CommentReference"/>
          <w:rFonts w:asciiTheme="minorHAnsi" w:hAnsiTheme="minorHAnsi"/>
          <w:b w:val="0"/>
          <w:bCs/>
          <w:sz w:val="24"/>
          <w:szCs w:val="24"/>
        </w:rPr>
        <w:t>umeclidinium</w:t>
      </w:r>
      <w:proofErr w:type="spellEnd"/>
      <w:r w:rsidR="00EB6E97" w:rsidRPr="00416C64">
        <w:rPr>
          <w:rStyle w:val="CommentReference"/>
          <w:rFonts w:asciiTheme="minorHAnsi" w:hAnsiTheme="minorHAnsi"/>
          <w:b w:val="0"/>
          <w:bCs/>
          <w:sz w:val="24"/>
          <w:szCs w:val="24"/>
        </w:rPr>
        <w:t xml:space="preserve"> </w:t>
      </w:r>
      <w:r w:rsidR="00D24998" w:rsidRPr="00416C64">
        <w:rPr>
          <w:rStyle w:val="CommentReference"/>
          <w:rFonts w:asciiTheme="minorHAnsi" w:hAnsiTheme="minorHAnsi"/>
          <w:b w:val="0"/>
          <w:bCs/>
          <w:sz w:val="24"/>
          <w:szCs w:val="24"/>
        </w:rPr>
        <w:t xml:space="preserve">(UMEC) </w:t>
      </w:r>
      <w:r w:rsidR="00EB6E97" w:rsidRPr="00416C64">
        <w:rPr>
          <w:rStyle w:val="CommentReference"/>
          <w:rFonts w:asciiTheme="minorHAnsi" w:hAnsiTheme="minorHAnsi"/>
          <w:b w:val="0"/>
          <w:bCs/>
          <w:sz w:val="24"/>
          <w:szCs w:val="24"/>
        </w:rPr>
        <w:t>62.5mcg</w:t>
      </w:r>
      <w:r w:rsidR="00752669" w:rsidRPr="00416C64">
        <w:rPr>
          <w:rStyle w:val="CommentReference"/>
          <w:rFonts w:asciiTheme="minorHAnsi" w:hAnsiTheme="minorHAnsi"/>
          <w:b w:val="0"/>
          <w:bCs/>
          <w:sz w:val="24"/>
          <w:szCs w:val="24"/>
        </w:rPr>
        <w:t>, a long acting muscarinic</w:t>
      </w:r>
      <w:r w:rsidR="00F50780" w:rsidRPr="00416C64">
        <w:rPr>
          <w:rStyle w:val="CommentReference"/>
          <w:rFonts w:asciiTheme="minorHAnsi" w:hAnsiTheme="minorHAnsi"/>
          <w:b w:val="0"/>
          <w:bCs/>
          <w:sz w:val="24"/>
          <w:szCs w:val="24"/>
        </w:rPr>
        <w:t xml:space="preserve"> </w:t>
      </w:r>
      <w:r w:rsidR="00752669" w:rsidRPr="00416C64">
        <w:rPr>
          <w:rStyle w:val="CommentReference"/>
          <w:rFonts w:asciiTheme="minorHAnsi" w:hAnsiTheme="minorHAnsi"/>
          <w:b w:val="0"/>
          <w:bCs/>
          <w:sz w:val="24"/>
          <w:szCs w:val="24"/>
        </w:rPr>
        <w:t xml:space="preserve">receptor antagonist (LAMA) </w:t>
      </w:r>
      <w:r w:rsidR="00EB6E97" w:rsidRPr="00416C64">
        <w:rPr>
          <w:rStyle w:val="CommentReference"/>
          <w:rFonts w:asciiTheme="minorHAnsi" w:hAnsiTheme="minorHAnsi"/>
          <w:b w:val="0"/>
          <w:bCs/>
          <w:sz w:val="24"/>
          <w:szCs w:val="24"/>
        </w:rPr>
        <w:t xml:space="preserve">and </w:t>
      </w:r>
      <w:proofErr w:type="spellStart"/>
      <w:r w:rsidR="00EB6E97" w:rsidRPr="00416C64">
        <w:rPr>
          <w:rStyle w:val="CommentReference"/>
          <w:rFonts w:asciiTheme="minorHAnsi" w:hAnsiTheme="minorHAnsi"/>
          <w:b w:val="0"/>
          <w:bCs/>
          <w:sz w:val="24"/>
          <w:szCs w:val="24"/>
        </w:rPr>
        <w:t>vilanterol</w:t>
      </w:r>
      <w:proofErr w:type="spellEnd"/>
      <w:r w:rsidR="00EB6E97" w:rsidRPr="00416C64">
        <w:rPr>
          <w:rStyle w:val="CommentReference"/>
          <w:rFonts w:asciiTheme="minorHAnsi" w:hAnsiTheme="minorHAnsi"/>
          <w:b w:val="0"/>
          <w:bCs/>
          <w:sz w:val="24"/>
          <w:szCs w:val="24"/>
        </w:rPr>
        <w:t xml:space="preserve"> </w:t>
      </w:r>
      <w:r w:rsidR="00D24998" w:rsidRPr="00416C64">
        <w:rPr>
          <w:rStyle w:val="CommentReference"/>
          <w:rFonts w:asciiTheme="minorHAnsi" w:hAnsiTheme="minorHAnsi"/>
          <w:b w:val="0"/>
          <w:bCs/>
          <w:sz w:val="24"/>
          <w:szCs w:val="24"/>
        </w:rPr>
        <w:t xml:space="preserve">(VI) </w:t>
      </w:r>
      <w:r w:rsidR="00EB6E97" w:rsidRPr="00416C64">
        <w:rPr>
          <w:rStyle w:val="CommentReference"/>
          <w:rFonts w:asciiTheme="minorHAnsi" w:hAnsiTheme="minorHAnsi"/>
          <w:b w:val="0"/>
          <w:bCs/>
          <w:sz w:val="24"/>
          <w:szCs w:val="24"/>
        </w:rPr>
        <w:t>25mcg</w:t>
      </w:r>
      <w:r w:rsidR="00752669" w:rsidRPr="00416C64">
        <w:rPr>
          <w:rStyle w:val="CommentReference"/>
          <w:rFonts w:asciiTheme="minorHAnsi" w:hAnsiTheme="minorHAnsi"/>
          <w:b w:val="0"/>
          <w:bCs/>
          <w:sz w:val="24"/>
          <w:szCs w:val="24"/>
        </w:rPr>
        <w:t xml:space="preserve">, a long acting beta-2 </w:t>
      </w:r>
      <w:proofErr w:type="spellStart"/>
      <w:r w:rsidR="00752669" w:rsidRPr="00416C64">
        <w:rPr>
          <w:rStyle w:val="CommentReference"/>
          <w:rFonts w:asciiTheme="minorHAnsi" w:hAnsiTheme="minorHAnsi"/>
          <w:b w:val="0"/>
          <w:bCs/>
          <w:sz w:val="24"/>
          <w:szCs w:val="24"/>
        </w:rPr>
        <w:t>adrenoreceptor</w:t>
      </w:r>
      <w:proofErr w:type="spellEnd"/>
      <w:r w:rsidR="00752669" w:rsidRPr="00416C64">
        <w:rPr>
          <w:rStyle w:val="CommentReference"/>
          <w:rFonts w:asciiTheme="minorHAnsi" w:hAnsiTheme="minorHAnsi"/>
          <w:b w:val="0"/>
          <w:bCs/>
          <w:sz w:val="24"/>
          <w:szCs w:val="24"/>
        </w:rPr>
        <w:t xml:space="preserve"> agonist (LABA),</w:t>
      </w:r>
      <w:r w:rsidR="00EB6E97" w:rsidRPr="00416C64">
        <w:rPr>
          <w:rStyle w:val="CommentReference"/>
          <w:rFonts w:asciiTheme="minorHAnsi" w:hAnsiTheme="minorHAnsi"/>
          <w:b w:val="0"/>
          <w:bCs/>
          <w:sz w:val="24"/>
          <w:szCs w:val="24"/>
        </w:rPr>
        <w:t xml:space="preserve"> </w:t>
      </w:r>
      <w:r w:rsidR="003214BD" w:rsidRPr="00416C64">
        <w:t xml:space="preserve">for treatment of patients with </w:t>
      </w:r>
      <w:r w:rsidRPr="00416C64">
        <w:t>chronic obstructive pulmonary disease (COPD)</w:t>
      </w:r>
      <w:r w:rsidR="006A6C61" w:rsidRPr="00416C64">
        <w:t>, s</w:t>
      </w:r>
      <w:r w:rsidRPr="00416C64">
        <w:t>pecifically</w:t>
      </w:r>
      <w:r w:rsidR="006A6C61" w:rsidRPr="00416C64">
        <w:t xml:space="preserve"> </w:t>
      </w:r>
      <w:r w:rsidR="0031353E" w:rsidRPr="00416C64">
        <w:t xml:space="preserve">the </w:t>
      </w:r>
      <w:r w:rsidRPr="00416C64">
        <w:t xml:space="preserve">removal of the clinical criteria restricting access to patients with a forced expiratory volume in one second (FEV1) </w:t>
      </w:r>
      <w:r w:rsidR="006A6C61" w:rsidRPr="00416C64">
        <w:t>&lt;</w:t>
      </w:r>
      <w:r w:rsidRPr="00416C64">
        <w:t>50% of predicted.</w:t>
      </w:r>
      <w:r w:rsidR="00393D5D" w:rsidRPr="00416C64">
        <w:t xml:space="preserve"> </w:t>
      </w:r>
      <w:r w:rsidR="00656591" w:rsidRPr="00416C64">
        <w:rPr>
          <w:iCs/>
        </w:rPr>
        <w:t xml:space="preserve">The PBAC has not previously </w:t>
      </w:r>
      <w:r w:rsidR="00D03B26" w:rsidRPr="00416C64">
        <w:rPr>
          <w:iCs/>
        </w:rPr>
        <w:t xml:space="preserve">considered </w:t>
      </w:r>
      <w:r w:rsidR="00983317" w:rsidRPr="00416C64">
        <w:rPr>
          <w:iCs/>
        </w:rPr>
        <w:t>use of Trelegy in the requested population</w:t>
      </w:r>
      <w:r w:rsidR="00656591" w:rsidRPr="00416C64">
        <w:rPr>
          <w:iCs/>
        </w:rPr>
        <w:t xml:space="preserve"> (i.e. </w:t>
      </w:r>
      <w:r w:rsidR="00D03B26" w:rsidRPr="00416C64">
        <w:rPr>
          <w:iCs/>
        </w:rPr>
        <w:t xml:space="preserve">in patients with FEV1 </w:t>
      </w:r>
      <w:r w:rsidR="00D03B26" w:rsidRPr="00416C64">
        <w:rPr>
          <w:rFonts w:cs="Calibri"/>
          <w:iCs/>
        </w:rPr>
        <w:t>≥</w:t>
      </w:r>
      <w:r w:rsidR="00D03B26" w:rsidRPr="00416C64">
        <w:rPr>
          <w:iCs/>
        </w:rPr>
        <w:t>50% predicted</w:t>
      </w:r>
      <w:r w:rsidR="00656591" w:rsidRPr="00416C64">
        <w:rPr>
          <w:iCs/>
        </w:rPr>
        <w:t>)</w:t>
      </w:r>
      <w:r w:rsidR="00D03B26" w:rsidRPr="00416C64">
        <w:rPr>
          <w:iCs/>
        </w:rPr>
        <w:t>.</w:t>
      </w:r>
    </w:p>
    <w:p w:rsidR="00BF56C1" w:rsidRPr="009A5B6D" w:rsidRDefault="005C3774" w:rsidP="009A5B6D">
      <w:pPr>
        <w:pStyle w:val="ListParagraph"/>
        <w:widowControl/>
        <w:numPr>
          <w:ilvl w:val="1"/>
          <w:numId w:val="3"/>
        </w:numPr>
        <w:spacing w:after="120"/>
        <w:rPr>
          <w:rStyle w:val="CommentReference"/>
          <w:rFonts w:ascii="Calibri" w:hAnsi="Calibri"/>
          <w:b w:val="0"/>
          <w:sz w:val="24"/>
          <w:szCs w:val="22"/>
        </w:rPr>
      </w:pPr>
      <w:r w:rsidRPr="00416C64">
        <w:t xml:space="preserve">The </w:t>
      </w:r>
      <w:r w:rsidR="0096008A" w:rsidRPr="00416C64">
        <w:t xml:space="preserve">basis for the </w:t>
      </w:r>
      <w:r w:rsidRPr="00416C64">
        <w:t xml:space="preserve">extended </w:t>
      </w:r>
      <w:r w:rsidR="004837B0" w:rsidRPr="00416C64">
        <w:t>restriction</w:t>
      </w:r>
      <w:r w:rsidRPr="00416C64">
        <w:t xml:space="preserve"> </w:t>
      </w:r>
      <w:r w:rsidR="0096008A" w:rsidRPr="00416C64">
        <w:t xml:space="preserve">was </w:t>
      </w:r>
      <w:r w:rsidRPr="00416C64">
        <w:t>acceptable cost-effectiveness versus dual therapy LAMA/</w:t>
      </w:r>
      <w:r w:rsidR="00D24998" w:rsidRPr="00416C64">
        <w:t xml:space="preserve"> </w:t>
      </w:r>
      <w:r w:rsidRPr="00416C64">
        <w:t>LABA, informed by the combination of UMEC 62.5mcg and VI 25mcg.</w:t>
      </w:r>
      <w:r w:rsidR="00393D5D" w:rsidRPr="00416C64">
        <w:t xml:space="preserve"> </w:t>
      </w:r>
      <w:r w:rsidR="00D006B8" w:rsidRPr="00416C64">
        <w:t xml:space="preserve">Given acceptable cost-effectiveness in patients with FEV1 </w:t>
      </w:r>
      <w:r w:rsidR="00D006B8" w:rsidRPr="00416C64">
        <w:rPr>
          <w:rFonts w:cs="Calibri"/>
        </w:rPr>
        <w:t>≥</w:t>
      </w:r>
      <w:r w:rsidR="00D006B8" w:rsidRPr="00416C64">
        <w:t>50% predicted, t</w:t>
      </w:r>
      <w:r w:rsidRPr="00416C64">
        <w:t xml:space="preserve">he submission </w:t>
      </w:r>
      <w:r w:rsidR="004837B0" w:rsidRPr="00416C64">
        <w:t>formally</w:t>
      </w:r>
      <w:r w:rsidRPr="00416C64">
        <w:t xml:space="preserve"> requested removal of subsidisation caps in the current risk-sharing agreement</w:t>
      </w:r>
      <w:r w:rsidR="0096008A" w:rsidRPr="00416C64">
        <w:t>.</w:t>
      </w:r>
    </w:p>
    <w:p w:rsidR="009F2383" w:rsidRPr="00416C64" w:rsidRDefault="009F2383" w:rsidP="00907B72">
      <w:pPr>
        <w:keepNext/>
        <w:keepLines/>
        <w:widowControl/>
        <w:rPr>
          <w:rStyle w:val="CommentReference"/>
        </w:rPr>
      </w:pPr>
      <w:r w:rsidRPr="00416C64">
        <w:rPr>
          <w:rStyle w:val="CommentReference"/>
        </w:rPr>
        <w:lastRenderedPageBreak/>
        <w:t>Table 1:</w:t>
      </w:r>
      <w:r w:rsidR="00393D5D" w:rsidRPr="00416C64">
        <w:rPr>
          <w:rStyle w:val="CommentReference"/>
        </w:rPr>
        <w:t xml:space="preserve"> </w:t>
      </w:r>
      <w:r w:rsidRPr="00416C64">
        <w:rPr>
          <w:rStyle w:val="CommentReference"/>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051"/>
      </w:tblGrid>
      <w:tr w:rsidR="009F2383" w:rsidRPr="00416C64" w:rsidTr="009F2383">
        <w:trPr>
          <w:cantSplit/>
          <w:tblHeader/>
        </w:trPr>
        <w:tc>
          <w:tcPr>
            <w:tcW w:w="1129" w:type="dxa"/>
            <w:shd w:val="clear" w:color="auto" w:fill="auto"/>
          </w:tcPr>
          <w:p w:rsidR="009F2383" w:rsidRPr="00416C64" w:rsidRDefault="009F2383" w:rsidP="00907B72">
            <w:pPr>
              <w:pStyle w:val="Tabletext"/>
              <w:keepNext/>
              <w:keepLines/>
              <w:rPr>
                <w:b/>
                <w:szCs w:val="20"/>
              </w:rPr>
            </w:pPr>
            <w:r w:rsidRPr="00416C64">
              <w:rPr>
                <w:b/>
              </w:rPr>
              <w:t>Component</w:t>
            </w:r>
          </w:p>
        </w:tc>
        <w:tc>
          <w:tcPr>
            <w:tcW w:w="8051" w:type="dxa"/>
            <w:shd w:val="clear" w:color="auto" w:fill="auto"/>
          </w:tcPr>
          <w:p w:rsidR="009F2383" w:rsidRPr="00416C64" w:rsidRDefault="009F2383" w:rsidP="00907B72">
            <w:pPr>
              <w:pStyle w:val="Tabletext"/>
              <w:keepNext/>
              <w:keepLines/>
              <w:jc w:val="center"/>
              <w:rPr>
                <w:b/>
              </w:rPr>
            </w:pPr>
            <w:r w:rsidRPr="00416C64">
              <w:rPr>
                <w:b/>
              </w:rPr>
              <w:t>Description</w:t>
            </w:r>
          </w:p>
        </w:tc>
      </w:tr>
      <w:tr w:rsidR="009F2383" w:rsidRPr="00416C64" w:rsidTr="009F2383">
        <w:trPr>
          <w:cantSplit/>
        </w:trPr>
        <w:tc>
          <w:tcPr>
            <w:tcW w:w="1129" w:type="dxa"/>
            <w:shd w:val="clear" w:color="auto" w:fill="auto"/>
          </w:tcPr>
          <w:p w:rsidR="009F2383" w:rsidRPr="00416C64" w:rsidRDefault="009F2383" w:rsidP="00907B72">
            <w:pPr>
              <w:pStyle w:val="Tabletext"/>
              <w:keepNext/>
              <w:keepLines/>
            </w:pPr>
            <w:r w:rsidRPr="00416C64">
              <w:t>Population</w:t>
            </w:r>
          </w:p>
        </w:tc>
        <w:tc>
          <w:tcPr>
            <w:tcW w:w="8051" w:type="dxa"/>
            <w:shd w:val="clear" w:color="auto" w:fill="auto"/>
          </w:tcPr>
          <w:p w:rsidR="009F2383" w:rsidRPr="00416C64" w:rsidRDefault="009F2383" w:rsidP="00907B72">
            <w:pPr>
              <w:pStyle w:val="Tabletext"/>
              <w:keepNext/>
              <w:keepLines/>
            </w:pPr>
            <w:r w:rsidRPr="00416C64">
              <w:t>Patients with moderate to severe COPD and frequent exacerbations (with significant symptoms despite maintenance therapy of LAMA/LABA or ICS/LABA).</w:t>
            </w:r>
          </w:p>
        </w:tc>
      </w:tr>
      <w:tr w:rsidR="009F2383" w:rsidRPr="00416C64" w:rsidTr="009F2383">
        <w:trPr>
          <w:cantSplit/>
        </w:trPr>
        <w:tc>
          <w:tcPr>
            <w:tcW w:w="1129" w:type="dxa"/>
            <w:shd w:val="clear" w:color="auto" w:fill="auto"/>
          </w:tcPr>
          <w:p w:rsidR="009F2383" w:rsidRPr="00416C64" w:rsidRDefault="009F2383" w:rsidP="00907B72">
            <w:pPr>
              <w:pStyle w:val="Tabletext"/>
              <w:keepNext/>
              <w:keepLines/>
            </w:pPr>
            <w:r w:rsidRPr="00416C64">
              <w:t>Intervention</w:t>
            </w:r>
          </w:p>
        </w:tc>
        <w:tc>
          <w:tcPr>
            <w:tcW w:w="8051" w:type="dxa"/>
            <w:shd w:val="clear" w:color="auto" w:fill="auto"/>
          </w:tcPr>
          <w:p w:rsidR="009F2383" w:rsidRPr="00416C64" w:rsidRDefault="009F2383" w:rsidP="00907B72">
            <w:pPr>
              <w:pStyle w:val="Tabletext"/>
              <w:keepNext/>
              <w:keepLines/>
            </w:pPr>
            <w:r w:rsidRPr="00416C64">
              <w:t>Trelegy inhaled once daily, a triple therapy ICS/LAMA/LABA FDC, comprising of FF/UMEC/VI 100mcg/62.5mcg/25mcg.</w:t>
            </w:r>
          </w:p>
        </w:tc>
      </w:tr>
      <w:tr w:rsidR="009F2383" w:rsidRPr="00416C64" w:rsidTr="009F2383">
        <w:trPr>
          <w:cantSplit/>
        </w:trPr>
        <w:tc>
          <w:tcPr>
            <w:tcW w:w="1129" w:type="dxa"/>
            <w:shd w:val="clear" w:color="auto" w:fill="auto"/>
          </w:tcPr>
          <w:p w:rsidR="009F2383" w:rsidRPr="00416C64" w:rsidRDefault="009F2383" w:rsidP="00907B72">
            <w:pPr>
              <w:pStyle w:val="Tabletext"/>
              <w:keepNext/>
              <w:keepLines/>
            </w:pPr>
            <w:r w:rsidRPr="00416C64">
              <w:t>Comparator</w:t>
            </w:r>
          </w:p>
        </w:tc>
        <w:tc>
          <w:tcPr>
            <w:tcW w:w="8051" w:type="dxa"/>
            <w:shd w:val="clear" w:color="auto" w:fill="auto"/>
          </w:tcPr>
          <w:p w:rsidR="009F2383" w:rsidRPr="00416C64" w:rsidRDefault="009F2383" w:rsidP="00907B72">
            <w:pPr>
              <w:pStyle w:val="Tabletext"/>
              <w:keepNext/>
              <w:keepLines/>
            </w:pPr>
            <w:r w:rsidRPr="00416C64">
              <w:t>Dual therapy comprising LAMA/LABA inhaled once daily</w:t>
            </w:r>
            <w:r w:rsidR="008B3F21" w:rsidRPr="00416C64">
              <w:t>,</w:t>
            </w:r>
            <w:r w:rsidRPr="00416C64">
              <w:t xml:space="preserve"> informed by UMEC/VI</w:t>
            </w:r>
            <w:r w:rsidR="008B3F21" w:rsidRPr="00416C64">
              <w:t xml:space="preserve"> 62.5mcg/25mcg</w:t>
            </w:r>
            <w:r w:rsidR="00C92B3D" w:rsidRPr="00416C64">
              <w:t>.</w:t>
            </w:r>
          </w:p>
        </w:tc>
      </w:tr>
      <w:tr w:rsidR="009F2383" w:rsidRPr="00416C64" w:rsidTr="009F2383">
        <w:trPr>
          <w:cantSplit/>
        </w:trPr>
        <w:tc>
          <w:tcPr>
            <w:tcW w:w="1129" w:type="dxa"/>
            <w:shd w:val="clear" w:color="auto" w:fill="auto"/>
          </w:tcPr>
          <w:p w:rsidR="009F2383" w:rsidRPr="00416C64" w:rsidRDefault="009F2383" w:rsidP="00907B72">
            <w:pPr>
              <w:pStyle w:val="Tabletext"/>
              <w:keepNext/>
              <w:keepLines/>
            </w:pPr>
            <w:r w:rsidRPr="00416C64">
              <w:t>Outcomes</w:t>
            </w:r>
          </w:p>
        </w:tc>
        <w:tc>
          <w:tcPr>
            <w:tcW w:w="8051" w:type="dxa"/>
            <w:shd w:val="clear" w:color="auto" w:fill="auto"/>
          </w:tcPr>
          <w:p w:rsidR="009F2383" w:rsidRPr="00416C64" w:rsidRDefault="009F2383" w:rsidP="00907B72">
            <w:pPr>
              <w:pStyle w:val="Tabletext"/>
              <w:keepNext/>
              <w:keepLines/>
            </w:pPr>
            <w:r w:rsidRPr="00416C64">
              <w:t>Annual rate of moderate or severe exacerbations of COPD</w:t>
            </w:r>
          </w:p>
          <w:p w:rsidR="009F2383" w:rsidRPr="00416C64" w:rsidRDefault="009F2383" w:rsidP="00907B72">
            <w:pPr>
              <w:pStyle w:val="Tabletext"/>
              <w:keepNext/>
              <w:keepLines/>
            </w:pPr>
            <w:r w:rsidRPr="00416C64">
              <w:t>Time to first on-treatment moderate or severe exacerbations of COPD</w:t>
            </w:r>
          </w:p>
          <w:p w:rsidR="009F2383" w:rsidRPr="00416C64" w:rsidRDefault="009F2383" w:rsidP="00907B72">
            <w:pPr>
              <w:pStyle w:val="Tabletext"/>
              <w:keepNext/>
              <w:keepLines/>
            </w:pPr>
            <w:r w:rsidRPr="00416C64">
              <w:t xml:space="preserve">LS mean change from baseline in trough FEV1 </w:t>
            </w:r>
          </w:p>
          <w:p w:rsidR="009F2383" w:rsidRPr="00416C64" w:rsidRDefault="009F2383" w:rsidP="00907B72">
            <w:pPr>
              <w:pStyle w:val="Tabletext"/>
              <w:keepNext/>
              <w:keepLines/>
            </w:pPr>
            <w:r w:rsidRPr="00416C64">
              <w:t>Health related quality of life (SGRQ total score)</w:t>
            </w:r>
          </w:p>
          <w:p w:rsidR="009F2383" w:rsidRPr="00416C64" w:rsidRDefault="009F2383" w:rsidP="00907B72">
            <w:pPr>
              <w:pStyle w:val="Tabletext"/>
              <w:keepNext/>
              <w:keepLines/>
            </w:pPr>
            <w:r w:rsidRPr="00416C64">
              <w:t>Annual rate of on-treatment severe exacerbations of COPD</w:t>
            </w:r>
          </w:p>
          <w:p w:rsidR="009F2383" w:rsidRPr="00416C64" w:rsidRDefault="009F2383" w:rsidP="00907B72">
            <w:pPr>
              <w:pStyle w:val="Tabletext"/>
              <w:keepNext/>
              <w:keepLines/>
            </w:pPr>
            <w:r w:rsidRPr="00416C64">
              <w:t>Time to on-treatment all-cause mortality</w:t>
            </w:r>
          </w:p>
        </w:tc>
      </w:tr>
      <w:tr w:rsidR="009F2383" w:rsidRPr="00416C64" w:rsidTr="009F2383">
        <w:trPr>
          <w:cantSplit/>
        </w:trPr>
        <w:tc>
          <w:tcPr>
            <w:tcW w:w="1129" w:type="dxa"/>
            <w:shd w:val="clear" w:color="auto" w:fill="auto"/>
          </w:tcPr>
          <w:p w:rsidR="009F2383" w:rsidRPr="00416C64" w:rsidRDefault="009F2383" w:rsidP="00907B72">
            <w:pPr>
              <w:pStyle w:val="Tabletext"/>
              <w:keepNext/>
              <w:keepLines/>
            </w:pPr>
            <w:r w:rsidRPr="00416C64">
              <w:t>Clinical claim</w:t>
            </w:r>
          </w:p>
        </w:tc>
        <w:tc>
          <w:tcPr>
            <w:tcW w:w="8051" w:type="dxa"/>
            <w:shd w:val="clear" w:color="auto" w:fill="auto"/>
          </w:tcPr>
          <w:p w:rsidR="009F2383" w:rsidRPr="00416C64" w:rsidRDefault="009F2383" w:rsidP="00907B72">
            <w:pPr>
              <w:pStyle w:val="Tabletext"/>
              <w:keepNext/>
              <w:keepLines/>
            </w:pPr>
            <w:r w:rsidRPr="00416C64">
              <w:t>In COPD patients with moderate to severe disease who are at risk of exacerbations despite maintenance therapy, Trelegy compared with dual therapy comprising LABA/LAMA is more effective at reducing the risk of exacerbations and improving lung function; and comparable in terms of safety.</w:t>
            </w:r>
          </w:p>
        </w:tc>
      </w:tr>
    </w:tbl>
    <w:p w:rsidR="009F2383" w:rsidRPr="00416C64" w:rsidRDefault="009F2383" w:rsidP="00907B72">
      <w:pPr>
        <w:pStyle w:val="TableFooter"/>
        <w:keepNext/>
        <w:keepLines/>
        <w:widowControl/>
      </w:pPr>
      <w:r w:rsidRPr="00416C64">
        <w:t xml:space="preserve">Abbreviations: COPD=chronic obstructive pulmonary disease; FEV1=forced expiratory volume in one second; FF=fluticasone </w:t>
      </w:r>
      <w:proofErr w:type="spellStart"/>
      <w:r w:rsidRPr="00416C64">
        <w:t>furoate</w:t>
      </w:r>
      <w:proofErr w:type="spellEnd"/>
      <w:r w:rsidRPr="00416C64">
        <w:t xml:space="preserve">; </w:t>
      </w:r>
      <w:r w:rsidR="0006586B" w:rsidRPr="00416C64">
        <w:t xml:space="preserve">ICS=inhaled corticosteroid; </w:t>
      </w:r>
      <w:r w:rsidRPr="00416C64">
        <w:t>LABA=long</w:t>
      </w:r>
      <w:r w:rsidR="00B075CE" w:rsidRPr="00416C64">
        <w:t xml:space="preserve"> </w:t>
      </w:r>
      <w:r w:rsidRPr="00416C64">
        <w:t>acting beta-2 agonist; LAMA=long</w:t>
      </w:r>
      <w:r w:rsidR="00B075CE" w:rsidRPr="00416C64">
        <w:t xml:space="preserve"> </w:t>
      </w:r>
      <w:r w:rsidRPr="00416C64">
        <w:t xml:space="preserve">acting muscarinic antagonist; </w:t>
      </w:r>
      <w:r w:rsidR="0006586B" w:rsidRPr="00416C64">
        <w:t xml:space="preserve">LS=least squares; </w:t>
      </w:r>
      <w:r w:rsidRPr="00416C64">
        <w:t>mcg=microgram; SGRQ=St George’s Respiratory Questionnaire; UMEC=</w:t>
      </w:r>
      <w:proofErr w:type="spellStart"/>
      <w:r w:rsidRPr="00416C64">
        <w:t>umeclidinium</w:t>
      </w:r>
      <w:proofErr w:type="spellEnd"/>
      <w:r w:rsidRPr="00416C64">
        <w:t>; VI=</w:t>
      </w:r>
      <w:proofErr w:type="spellStart"/>
      <w:r w:rsidRPr="00416C64">
        <w:t>vilanterol</w:t>
      </w:r>
      <w:proofErr w:type="spellEnd"/>
      <w:r w:rsidRPr="00416C64">
        <w:t>;</w:t>
      </w:r>
    </w:p>
    <w:p w:rsidR="00413F1C" w:rsidRPr="00416C64" w:rsidRDefault="009F2383" w:rsidP="00907B72">
      <w:pPr>
        <w:pStyle w:val="TableFooter"/>
        <w:keepNext/>
        <w:keepLines/>
        <w:widowControl/>
      </w:pPr>
      <w:r w:rsidRPr="00416C64">
        <w:t>Source: Table 1, p15 of the submission.</w:t>
      </w:r>
    </w:p>
    <w:p w:rsidR="00661C3B" w:rsidRPr="00416C64" w:rsidRDefault="00661C3B" w:rsidP="005A2C9B">
      <w:pPr>
        <w:pStyle w:val="TableFooter"/>
        <w:widowControl/>
      </w:pPr>
    </w:p>
    <w:p w:rsidR="00B60939" w:rsidRPr="00416C64" w:rsidRDefault="00B50DB8" w:rsidP="00A56858">
      <w:pPr>
        <w:pStyle w:val="PBACHeading1"/>
        <w:ind w:left="709" w:hanging="709"/>
      </w:pPr>
      <w:bookmarkStart w:id="2" w:name="_Toc535934767"/>
      <w:r w:rsidRPr="00416C64">
        <w:t>Requested listing</w:t>
      </w:r>
      <w:bookmarkEnd w:id="2"/>
    </w:p>
    <w:p w:rsidR="00B075CE" w:rsidRPr="00416C64" w:rsidRDefault="00992474" w:rsidP="009A5B6D">
      <w:pPr>
        <w:pStyle w:val="ListParagraph"/>
        <w:widowControl/>
        <w:numPr>
          <w:ilvl w:val="1"/>
          <w:numId w:val="3"/>
        </w:numPr>
        <w:rPr>
          <w:iCs/>
        </w:rPr>
      </w:pPr>
      <w:r w:rsidRPr="00416C64">
        <w:rPr>
          <w:iCs/>
        </w:rPr>
        <w:t>A</w:t>
      </w:r>
      <w:r w:rsidR="00B075CE" w:rsidRPr="00416C64">
        <w:rPr>
          <w:iCs/>
        </w:rPr>
        <w:t xml:space="preserve">mendments to the </w:t>
      </w:r>
      <w:r w:rsidRPr="00416C64">
        <w:rPr>
          <w:iCs/>
        </w:rPr>
        <w:t xml:space="preserve">current PBS listing of Trelegy for the treatment of COPD </w:t>
      </w:r>
      <w:r w:rsidR="00B075CE" w:rsidRPr="00416C64">
        <w:rPr>
          <w:iCs/>
        </w:rPr>
        <w:t xml:space="preserve">proposed by the submission </w:t>
      </w:r>
      <w:r w:rsidRPr="00416C64">
        <w:rPr>
          <w:iCs/>
        </w:rPr>
        <w:t xml:space="preserve">are </w:t>
      </w:r>
      <w:r w:rsidR="006E4492" w:rsidRPr="00416C64">
        <w:rPr>
          <w:iCs/>
        </w:rPr>
        <w:t xml:space="preserve">shown in bold </w:t>
      </w:r>
      <w:r w:rsidRPr="00416C64">
        <w:rPr>
          <w:iCs/>
        </w:rPr>
        <w:t xml:space="preserve">with </w:t>
      </w:r>
      <w:r w:rsidR="00B075CE" w:rsidRPr="00416C64">
        <w:rPr>
          <w:iCs/>
        </w:rPr>
        <w:t xml:space="preserve">strikethrough </w:t>
      </w:r>
      <w:r w:rsidRPr="00416C64">
        <w:rPr>
          <w:iCs/>
        </w:rPr>
        <w:t xml:space="preserve">used for deletions and </w:t>
      </w:r>
      <w:r w:rsidR="00B075CE" w:rsidRPr="00416C64">
        <w:rPr>
          <w:iCs/>
        </w:rPr>
        <w:t>additions</w:t>
      </w:r>
      <w:r w:rsidRPr="00416C64">
        <w:rPr>
          <w:iCs/>
        </w:rPr>
        <w:t xml:space="preserve"> underlined</w:t>
      </w:r>
      <w:r w:rsidR="00B075CE" w:rsidRPr="00416C64">
        <w:rPr>
          <w:iCs/>
        </w:rPr>
        <w:t xml:space="preserve">. </w:t>
      </w:r>
      <w:r w:rsidR="006E4492" w:rsidRPr="00416C64">
        <w:rPr>
          <w:iCs/>
        </w:rPr>
        <w:t xml:space="preserve">Suggestions proposed by the Secretariat to the requested listing are shaded in grey with strikethrough used for deletions and additions in italics. </w:t>
      </w:r>
    </w:p>
    <w:tbl>
      <w:tblPr>
        <w:tblW w:w="4984" w:type="pct"/>
        <w:tblInd w:w="28" w:type="dxa"/>
        <w:tblCellMar>
          <w:left w:w="28" w:type="dxa"/>
          <w:right w:w="28" w:type="dxa"/>
        </w:tblCellMar>
        <w:tblLook w:val="0000" w:firstRow="0" w:lastRow="0" w:firstColumn="0" w:lastColumn="0" w:noHBand="0" w:noVBand="0"/>
      </w:tblPr>
      <w:tblGrid>
        <w:gridCol w:w="3105"/>
        <w:gridCol w:w="995"/>
        <w:gridCol w:w="772"/>
        <w:gridCol w:w="774"/>
        <w:gridCol w:w="1387"/>
        <w:gridCol w:w="597"/>
        <w:gridCol w:w="1368"/>
      </w:tblGrid>
      <w:tr w:rsidR="000A44CB" w:rsidRPr="00416C64" w:rsidTr="00435D88">
        <w:trPr>
          <w:trHeight w:val="463"/>
        </w:trPr>
        <w:tc>
          <w:tcPr>
            <w:tcW w:w="1725" w:type="pct"/>
            <w:tcBorders>
              <w:top w:val="single" w:sz="4" w:space="0" w:color="auto"/>
              <w:bottom w:val="single" w:sz="4" w:space="0" w:color="auto"/>
            </w:tcBorders>
            <w:vAlign w:val="center"/>
          </w:tcPr>
          <w:p w:rsidR="000A44CB" w:rsidRPr="00416C64" w:rsidRDefault="000A44CB" w:rsidP="005A2C9B">
            <w:pPr>
              <w:keepNext/>
              <w:widowControl/>
              <w:jc w:val="left"/>
              <w:rPr>
                <w:rFonts w:ascii="Arial Narrow" w:hAnsi="Arial Narrow"/>
                <w:b/>
                <w:sz w:val="20"/>
              </w:rPr>
            </w:pPr>
            <w:r w:rsidRPr="00416C64">
              <w:rPr>
                <w:rFonts w:ascii="Arial Narrow" w:hAnsi="Arial Narrow"/>
                <w:b/>
                <w:sz w:val="20"/>
              </w:rPr>
              <w:t>Name, Restriction,</w:t>
            </w:r>
          </w:p>
          <w:p w:rsidR="000A44CB" w:rsidRPr="00416C64" w:rsidRDefault="000A44CB" w:rsidP="005A2C9B">
            <w:pPr>
              <w:keepNext/>
              <w:widowControl/>
              <w:jc w:val="left"/>
              <w:rPr>
                <w:b/>
              </w:rPr>
            </w:pPr>
            <w:r w:rsidRPr="00416C64">
              <w:rPr>
                <w:rFonts w:ascii="Arial Narrow" w:hAnsi="Arial Narrow"/>
                <w:b/>
                <w:sz w:val="20"/>
              </w:rPr>
              <w:t>Manner of administration and form</w:t>
            </w:r>
          </w:p>
        </w:tc>
        <w:tc>
          <w:tcPr>
            <w:tcW w:w="553" w:type="pct"/>
            <w:tcBorders>
              <w:top w:val="single" w:sz="4" w:space="0" w:color="auto"/>
              <w:bottom w:val="single" w:sz="4" w:space="0" w:color="auto"/>
            </w:tcBorders>
            <w:vAlign w:val="center"/>
          </w:tcPr>
          <w:p w:rsidR="000A44CB" w:rsidRPr="00416C64" w:rsidRDefault="000A44CB" w:rsidP="005A2C9B">
            <w:pPr>
              <w:keepNext/>
              <w:widowControl/>
              <w:jc w:val="center"/>
              <w:rPr>
                <w:rFonts w:ascii="Arial Narrow" w:hAnsi="Arial Narrow"/>
                <w:b/>
                <w:sz w:val="20"/>
              </w:rPr>
            </w:pPr>
            <w:r w:rsidRPr="00416C64">
              <w:rPr>
                <w:rFonts w:ascii="Arial Narrow" w:hAnsi="Arial Narrow"/>
                <w:b/>
                <w:sz w:val="20"/>
              </w:rPr>
              <w:t>Max.</w:t>
            </w:r>
          </w:p>
          <w:p w:rsidR="000A44CB" w:rsidRPr="00416C64" w:rsidRDefault="000A44CB" w:rsidP="005A2C9B">
            <w:pPr>
              <w:keepNext/>
              <w:widowControl/>
              <w:jc w:val="center"/>
              <w:rPr>
                <w:rFonts w:ascii="Arial Narrow" w:hAnsi="Arial Narrow"/>
                <w:b/>
                <w:sz w:val="20"/>
              </w:rPr>
            </w:pPr>
            <w:proofErr w:type="spellStart"/>
            <w:r w:rsidRPr="00416C64">
              <w:rPr>
                <w:rFonts w:ascii="Arial Narrow" w:hAnsi="Arial Narrow"/>
                <w:b/>
                <w:sz w:val="20"/>
              </w:rPr>
              <w:t>Qty</w:t>
            </w:r>
            <w:proofErr w:type="spellEnd"/>
            <w:r w:rsidRPr="00416C64">
              <w:rPr>
                <w:rFonts w:ascii="Arial Narrow" w:hAnsi="Arial Narrow"/>
                <w:b/>
                <w:sz w:val="20"/>
              </w:rPr>
              <w:t xml:space="preserve"> (packs)</w:t>
            </w:r>
          </w:p>
        </w:tc>
        <w:tc>
          <w:tcPr>
            <w:tcW w:w="429" w:type="pct"/>
            <w:tcBorders>
              <w:top w:val="single" w:sz="4" w:space="0" w:color="auto"/>
              <w:bottom w:val="single" w:sz="4" w:space="0" w:color="auto"/>
            </w:tcBorders>
            <w:vAlign w:val="center"/>
          </w:tcPr>
          <w:p w:rsidR="000A44CB" w:rsidRPr="00416C64" w:rsidRDefault="000A44CB" w:rsidP="005A2C9B">
            <w:pPr>
              <w:keepNext/>
              <w:widowControl/>
              <w:jc w:val="center"/>
              <w:rPr>
                <w:rFonts w:ascii="Arial Narrow" w:hAnsi="Arial Narrow"/>
                <w:b/>
                <w:sz w:val="20"/>
              </w:rPr>
            </w:pPr>
            <w:r w:rsidRPr="00416C64">
              <w:rPr>
                <w:rFonts w:ascii="Arial Narrow" w:hAnsi="Arial Narrow"/>
                <w:b/>
                <w:sz w:val="20"/>
              </w:rPr>
              <w:t xml:space="preserve">Max </w:t>
            </w:r>
            <w:proofErr w:type="spellStart"/>
            <w:r w:rsidRPr="00416C64">
              <w:rPr>
                <w:rFonts w:ascii="Arial Narrow" w:hAnsi="Arial Narrow"/>
                <w:b/>
                <w:sz w:val="20"/>
              </w:rPr>
              <w:t>Qty</w:t>
            </w:r>
            <w:proofErr w:type="spellEnd"/>
            <w:r w:rsidRPr="00416C64">
              <w:rPr>
                <w:rFonts w:ascii="Arial Narrow" w:hAnsi="Arial Narrow"/>
                <w:b/>
                <w:sz w:val="20"/>
              </w:rPr>
              <w:t xml:space="preserve"> (units)</w:t>
            </w:r>
          </w:p>
        </w:tc>
        <w:tc>
          <w:tcPr>
            <w:tcW w:w="430" w:type="pct"/>
            <w:tcBorders>
              <w:top w:val="single" w:sz="4" w:space="0" w:color="auto"/>
              <w:bottom w:val="single" w:sz="4" w:space="0" w:color="auto"/>
            </w:tcBorders>
            <w:vAlign w:val="center"/>
          </w:tcPr>
          <w:p w:rsidR="000A44CB" w:rsidRPr="00416C64" w:rsidRDefault="000A44CB" w:rsidP="005A2C9B">
            <w:pPr>
              <w:keepNext/>
              <w:widowControl/>
              <w:jc w:val="center"/>
              <w:rPr>
                <w:rFonts w:ascii="Arial Narrow" w:hAnsi="Arial Narrow"/>
                <w:b/>
                <w:sz w:val="20"/>
              </w:rPr>
            </w:pPr>
            <w:r w:rsidRPr="00416C64">
              <w:rPr>
                <w:rFonts w:ascii="Arial Narrow" w:hAnsi="Arial Narrow"/>
                <w:b/>
                <w:sz w:val="20"/>
              </w:rPr>
              <w:t>№.of</w:t>
            </w:r>
          </w:p>
          <w:p w:rsidR="000A44CB" w:rsidRPr="00416C64" w:rsidRDefault="000A44CB" w:rsidP="005A2C9B">
            <w:pPr>
              <w:keepNext/>
              <w:widowControl/>
              <w:jc w:val="center"/>
              <w:rPr>
                <w:rFonts w:ascii="Arial Narrow" w:hAnsi="Arial Narrow"/>
                <w:b/>
                <w:sz w:val="20"/>
              </w:rPr>
            </w:pPr>
            <w:proofErr w:type="spellStart"/>
            <w:r w:rsidRPr="00416C64">
              <w:rPr>
                <w:rFonts w:ascii="Arial Narrow" w:hAnsi="Arial Narrow"/>
                <w:b/>
                <w:sz w:val="20"/>
              </w:rPr>
              <w:t>Rpts</w:t>
            </w:r>
            <w:proofErr w:type="spellEnd"/>
          </w:p>
        </w:tc>
        <w:tc>
          <w:tcPr>
            <w:tcW w:w="771" w:type="pct"/>
            <w:tcBorders>
              <w:top w:val="single" w:sz="4" w:space="0" w:color="auto"/>
              <w:bottom w:val="single" w:sz="4" w:space="0" w:color="auto"/>
            </w:tcBorders>
            <w:vAlign w:val="center"/>
          </w:tcPr>
          <w:p w:rsidR="000A44CB" w:rsidRPr="00416C64" w:rsidRDefault="000A44CB" w:rsidP="005A2C9B">
            <w:pPr>
              <w:keepNext/>
              <w:widowControl/>
              <w:jc w:val="center"/>
              <w:rPr>
                <w:rFonts w:ascii="Arial Narrow" w:hAnsi="Arial Narrow"/>
                <w:b/>
                <w:sz w:val="20"/>
              </w:rPr>
            </w:pPr>
            <w:r w:rsidRPr="00416C64">
              <w:rPr>
                <w:rFonts w:ascii="Arial Narrow" w:hAnsi="Arial Narrow"/>
                <w:b/>
                <w:sz w:val="20"/>
              </w:rPr>
              <w:t xml:space="preserve">Dispensed Price for Max. </w:t>
            </w:r>
            <w:proofErr w:type="spellStart"/>
            <w:r w:rsidRPr="00416C64">
              <w:rPr>
                <w:rFonts w:ascii="Arial Narrow" w:hAnsi="Arial Narrow"/>
                <w:b/>
                <w:sz w:val="20"/>
              </w:rPr>
              <w:t>Qty</w:t>
            </w:r>
            <w:proofErr w:type="spellEnd"/>
          </w:p>
        </w:tc>
        <w:tc>
          <w:tcPr>
            <w:tcW w:w="1092" w:type="pct"/>
            <w:gridSpan w:val="2"/>
            <w:tcBorders>
              <w:top w:val="single" w:sz="4" w:space="0" w:color="auto"/>
              <w:bottom w:val="single" w:sz="4" w:space="0" w:color="auto"/>
            </w:tcBorders>
            <w:vAlign w:val="center"/>
          </w:tcPr>
          <w:p w:rsidR="000A44CB" w:rsidRPr="00416C64" w:rsidRDefault="000A44CB" w:rsidP="005A2C9B">
            <w:pPr>
              <w:keepNext/>
              <w:widowControl/>
              <w:jc w:val="center"/>
              <w:rPr>
                <w:rFonts w:ascii="Arial Narrow" w:hAnsi="Arial Narrow"/>
                <w:b/>
                <w:sz w:val="20"/>
              </w:rPr>
            </w:pPr>
            <w:r w:rsidRPr="00416C64">
              <w:rPr>
                <w:rFonts w:ascii="Arial Narrow" w:hAnsi="Arial Narrow"/>
                <w:b/>
                <w:sz w:val="20"/>
              </w:rPr>
              <w:t>Proprietary Name and Manufacturer</w:t>
            </w:r>
          </w:p>
        </w:tc>
      </w:tr>
      <w:tr w:rsidR="000A44CB" w:rsidRPr="00416C64" w:rsidTr="00435D88">
        <w:trPr>
          <w:trHeight w:val="567"/>
        </w:trPr>
        <w:tc>
          <w:tcPr>
            <w:tcW w:w="1725" w:type="pct"/>
            <w:vAlign w:val="center"/>
          </w:tcPr>
          <w:p w:rsidR="000A44CB" w:rsidRPr="00416C64" w:rsidRDefault="000A44CB" w:rsidP="005A2C9B">
            <w:pPr>
              <w:keepNext/>
              <w:widowControl/>
              <w:jc w:val="left"/>
              <w:rPr>
                <w:rFonts w:ascii="Arial Narrow" w:hAnsi="Arial Narrow"/>
                <w:sz w:val="20"/>
              </w:rPr>
            </w:pPr>
            <w:r w:rsidRPr="00416C64">
              <w:rPr>
                <w:rFonts w:ascii="Arial Narrow" w:hAnsi="Arial Narrow"/>
                <w:smallCaps/>
                <w:sz w:val="20"/>
              </w:rPr>
              <w:t xml:space="preserve">Fluticasone </w:t>
            </w:r>
            <w:proofErr w:type="spellStart"/>
            <w:r w:rsidRPr="00416C64">
              <w:rPr>
                <w:rFonts w:ascii="Arial Narrow" w:hAnsi="Arial Narrow"/>
                <w:smallCaps/>
                <w:sz w:val="20"/>
              </w:rPr>
              <w:t>furoate</w:t>
            </w:r>
            <w:proofErr w:type="spellEnd"/>
            <w:r w:rsidRPr="00416C64">
              <w:rPr>
                <w:rFonts w:ascii="Arial Narrow" w:hAnsi="Arial Narrow"/>
                <w:smallCaps/>
                <w:sz w:val="20"/>
              </w:rPr>
              <w:t xml:space="preserve"> + </w:t>
            </w:r>
            <w:proofErr w:type="spellStart"/>
            <w:r w:rsidRPr="00416C64">
              <w:rPr>
                <w:rFonts w:ascii="Arial Narrow" w:hAnsi="Arial Narrow"/>
                <w:smallCaps/>
                <w:sz w:val="20"/>
              </w:rPr>
              <w:t>umeclidinium</w:t>
            </w:r>
            <w:proofErr w:type="spellEnd"/>
            <w:r w:rsidRPr="00416C64">
              <w:rPr>
                <w:rFonts w:ascii="Arial Narrow" w:hAnsi="Arial Narrow"/>
                <w:smallCaps/>
                <w:sz w:val="20"/>
              </w:rPr>
              <w:t xml:space="preserve"> + </w:t>
            </w:r>
            <w:proofErr w:type="spellStart"/>
            <w:r w:rsidRPr="00416C64">
              <w:rPr>
                <w:rFonts w:ascii="Arial Narrow" w:hAnsi="Arial Narrow"/>
                <w:smallCaps/>
                <w:sz w:val="20"/>
              </w:rPr>
              <w:t>vilanterol</w:t>
            </w:r>
            <w:proofErr w:type="spellEnd"/>
            <w:r w:rsidRPr="00416C64">
              <w:rPr>
                <w:rFonts w:ascii="Arial Narrow" w:hAnsi="Arial Narrow"/>
                <w:smallCaps/>
                <w:sz w:val="20"/>
              </w:rPr>
              <w:t xml:space="preserve">, </w:t>
            </w:r>
            <w:r w:rsidRPr="00416C64">
              <w:rPr>
                <w:rFonts w:ascii="Arial Narrow" w:hAnsi="Arial Narrow"/>
                <w:smallCaps/>
                <w:sz w:val="20"/>
              </w:rPr>
              <w:br/>
            </w:r>
            <w:r w:rsidRPr="00416C64">
              <w:rPr>
                <w:rFonts w:ascii="Arial Narrow" w:hAnsi="Arial Narrow"/>
                <w:sz w:val="20"/>
              </w:rPr>
              <w:t xml:space="preserve">Fluticasone </w:t>
            </w:r>
            <w:proofErr w:type="spellStart"/>
            <w:r w:rsidRPr="00416C64">
              <w:rPr>
                <w:rFonts w:ascii="Arial Narrow" w:hAnsi="Arial Narrow"/>
                <w:sz w:val="20"/>
              </w:rPr>
              <w:t>furoate</w:t>
            </w:r>
            <w:proofErr w:type="spellEnd"/>
            <w:r w:rsidRPr="00416C64">
              <w:rPr>
                <w:rFonts w:ascii="Arial Narrow" w:hAnsi="Arial Narrow"/>
                <w:sz w:val="20"/>
              </w:rPr>
              <w:t xml:space="preserve"> 100 microgram/actuation + </w:t>
            </w:r>
            <w:proofErr w:type="spellStart"/>
            <w:r w:rsidRPr="00416C64">
              <w:rPr>
                <w:rFonts w:ascii="Arial Narrow" w:hAnsi="Arial Narrow"/>
                <w:sz w:val="20"/>
              </w:rPr>
              <w:t>umeclidinium</w:t>
            </w:r>
            <w:proofErr w:type="spellEnd"/>
            <w:r w:rsidRPr="00416C64">
              <w:rPr>
                <w:rFonts w:ascii="Arial Narrow" w:hAnsi="Arial Narrow"/>
                <w:sz w:val="20"/>
              </w:rPr>
              <w:t xml:space="preserve"> 62.5 microgram/actuation + </w:t>
            </w:r>
            <w:proofErr w:type="spellStart"/>
            <w:r w:rsidRPr="00416C64">
              <w:rPr>
                <w:rFonts w:ascii="Arial Narrow" w:hAnsi="Arial Narrow"/>
                <w:sz w:val="20"/>
              </w:rPr>
              <w:t>vilanterol</w:t>
            </w:r>
            <w:proofErr w:type="spellEnd"/>
            <w:r w:rsidRPr="00416C64">
              <w:rPr>
                <w:rFonts w:ascii="Arial Narrow" w:hAnsi="Arial Narrow"/>
                <w:sz w:val="20"/>
              </w:rPr>
              <w:t xml:space="preserve"> 25 microgram/actuation powder for inhalation</w:t>
            </w:r>
            <w:r w:rsidRPr="00416C64">
              <w:rPr>
                <w:rFonts w:ascii="Arial Narrow" w:hAnsi="Arial Narrow"/>
                <w:smallCaps/>
                <w:sz w:val="20"/>
              </w:rPr>
              <w:t>, 30 actuations</w:t>
            </w:r>
          </w:p>
        </w:tc>
        <w:tc>
          <w:tcPr>
            <w:tcW w:w="553" w:type="pct"/>
            <w:vAlign w:val="center"/>
          </w:tcPr>
          <w:p w:rsidR="000A44CB" w:rsidRPr="00416C64" w:rsidRDefault="000A44CB" w:rsidP="005A2C9B">
            <w:pPr>
              <w:keepNext/>
              <w:widowControl/>
              <w:jc w:val="center"/>
              <w:rPr>
                <w:rFonts w:ascii="Arial Narrow" w:hAnsi="Arial Narrow"/>
                <w:sz w:val="20"/>
              </w:rPr>
            </w:pPr>
            <w:r w:rsidRPr="00416C64">
              <w:rPr>
                <w:rFonts w:ascii="Arial Narrow" w:hAnsi="Arial Narrow"/>
                <w:sz w:val="20"/>
              </w:rPr>
              <w:t>1</w:t>
            </w:r>
          </w:p>
        </w:tc>
        <w:tc>
          <w:tcPr>
            <w:tcW w:w="429" w:type="pct"/>
            <w:vAlign w:val="center"/>
          </w:tcPr>
          <w:p w:rsidR="000A44CB" w:rsidRPr="00416C64" w:rsidRDefault="000A44CB" w:rsidP="005A2C9B">
            <w:pPr>
              <w:keepNext/>
              <w:widowControl/>
              <w:jc w:val="center"/>
              <w:rPr>
                <w:rFonts w:ascii="Arial Narrow" w:hAnsi="Arial Narrow"/>
                <w:sz w:val="20"/>
              </w:rPr>
            </w:pPr>
            <w:r w:rsidRPr="00416C64">
              <w:rPr>
                <w:rFonts w:ascii="Arial Narrow" w:hAnsi="Arial Narrow"/>
                <w:sz w:val="20"/>
              </w:rPr>
              <w:t>1</w:t>
            </w:r>
          </w:p>
        </w:tc>
        <w:tc>
          <w:tcPr>
            <w:tcW w:w="430" w:type="pct"/>
            <w:vAlign w:val="center"/>
          </w:tcPr>
          <w:p w:rsidR="000A44CB" w:rsidRPr="00416C64" w:rsidRDefault="000A44CB" w:rsidP="005A2C9B">
            <w:pPr>
              <w:keepNext/>
              <w:widowControl/>
              <w:jc w:val="center"/>
              <w:rPr>
                <w:rFonts w:ascii="Arial Narrow" w:hAnsi="Arial Narrow"/>
                <w:sz w:val="20"/>
              </w:rPr>
            </w:pPr>
            <w:r w:rsidRPr="00416C64">
              <w:rPr>
                <w:rFonts w:ascii="Arial Narrow" w:hAnsi="Arial Narrow"/>
                <w:sz w:val="20"/>
              </w:rPr>
              <w:t>5</w:t>
            </w:r>
          </w:p>
        </w:tc>
        <w:tc>
          <w:tcPr>
            <w:tcW w:w="771" w:type="pct"/>
            <w:vAlign w:val="center"/>
          </w:tcPr>
          <w:p w:rsidR="000A44CB" w:rsidRPr="00416C64" w:rsidRDefault="000A44CB" w:rsidP="005A2C9B">
            <w:pPr>
              <w:keepNext/>
              <w:widowControl/>
              <w:jc w:val="center"/>
              <w:rPr>
                <w:rFonts w:ascii="Arial Narrow" w:hAnsi="Arial Narrow"/>
                <w:sz w:val="20"/>
              </w:rPr>
            </w:pPr>
            <w:r w:rsidRPr="00416C64">
              <w:rPr>
                <w:rFonts w:ascii="Arial Narrow" w:hAnsi="Arial Narrow"/>
                <w:sz w:val="20"/>
              </w:rPr>
              <w:t>$97.35</w:t>
            </w:r>
          </w:p>
        </w:tc>
        <w:tc>
          <w:tcPr>
            <w:tcW w:w="332" w:type="pct"/>
            <w:vAlign w:val="center"/>
          </w:tcPr>
          <w:p w:rsidR="000A44CB" w:rsidRPr="00416C64" w:rsidRDefault="000A44CB" w:rsidP="005A2C9B">
            <w:pPr>
              <w:keepNext/>
              <w:widowControl/>
              <w:jc w:val="center"/>
              <w:rPr>
                <w:rFonts w:ascii="Arial Narrow" w:hAnsi="Arial Narrow"/>
                <w:sz w:val="20"/>
              </w:rPr>
            </w:pPr>
          </w:p>
        </w:tc>
        <w:tc>
          <w:tcPr>
            <w:tcW w:w="760" w:type="pct"/>
            <w:vAlign w:val="center"/>
          </w:tcPr>
          <w:p w:rsidR="000A44CB" w:rsidRPr="00416C64" w:rsidRDefault="000A44CB" w:rsidP="005A2C9B">
            <w:pPr>
              <w:keepNext/>
              <w:widowControl/>
              <w:rPr>
                <w:rFonts w:ascii="Arial Narrow" w:hAnsi="Arial Narrow"/>
                <w:sz w:val="20"/>
              </w:rPr>
            </w:pPr>
            <w:r w:rsidRPr="00416C64">
              <w:rPr>
                <w:rFonts w:ascii="Arial Narrow" w:hAnsi="Arial Narrow"/>
                <w:sz w:val="20"/>
              </w:rPr>
              <w:t xml:space="preserve">Trelegy® </w:t>
            </w:r>
            <w:proofErr w:type="spellStart"/>
            <w:r w:rsidRPr="00416C64">
              <w:rPr>
                <w:rFonts w:ascii="Arial Narrow" w:hAnsi="Arial Narrow"/>
                <w:sz w:val="20"/>
              </w:rPr>
              <w:t>Ellipta</w:t>
            </w:r>
            <w:proofErr w:type="spellEnd"/>
            <w:r w:rsidRPr="00416C64">
              <w:rPr>
                <w:rFonts w:ascii="Arial Narrow" w:hAnsi="Arial Narrow"/>
                <w:sz w:val="20"/>
              </w:rPr>
              <w:t>®</w:t>
            </w:r>
          </w:p>
          <w:p w:rsidR="000A44CB" w:rsidRPr="00416C64" w:rsidRDefault="000A44CB" w:rsidP="005A2C9B">
            <w:pPr>
              <w:keepNext/>
              <w:widowControl/>
              <w:rPr>
                <w:rFonts w:ascii="Arial Narrow" w:hAnsi="Arial Narrow"/>
                <w:sz w:val="20"/>
              </w:rPr>
            </w:pPr>
            <w:r w:rsidRPr="00416C64">
              <w:rPr>
                <w:rFonts w:ascii="Arial Narrow" w:hAnsi="Arial Narrow"/>
                <w:sz w:val="20"/>
              </w:rPr>
              <w:t>GSK</w:t>
            </w:r>
          </w:p>
        </w:tc>
      </w:tr>
    </w:tbl>
    <w:p w:rsidR="000A44CB" w:rsidRPr="00416C64" w:rsidRDefault="000A44CB" w:rsidP="005A2C9B">
      <w:pPr>
        <w:widowControl/>
        <w:rPr>
          <w:rFonts w:asciiTheme="minorHAnsi" w:hAnsiTheme="minorHAnsi" w:cstheme="minorHAnsi"/>
        </w:rPr>
      </w:pPr>
    </w:p>
    <w:tbl>
      <w:tblPr>
        <w:tblStyle w:val="TableGrid"/>
        <w:tblW w:w="5000" w:type="pct"/>
        <w:tblLook w:val="04A0" w:firstRow="1" w:lastRow="0" w:firstColumn="1" w:lastColumn="0" w:noHBand="0" w:noVBand="1"/>
        <w:tblCaption w:val="Proposed changes to PBS listing of Fluticasone furoate + umeclidinium + vilanterol"/>
      </w:tblPr>
      <w:tblGrid>
        <w:gridCol w:w="2034"/>
        <w:gridCol w:w="6983"/>
      </w:tblGrid>
      <w:tr w:rsidR="006E4492" w:rsidRPr="00416C64" w:rsidTr="001D26BB">
        <w:trPr>
          <w:tblHeader/>
        </w:trPr>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t xml:space="preserve">Category </w:t>
            </w:r>
            <w:r w:rsidR="006E4492" w:rsidRPr="00416C64">
              <w:rPr>
                <w:rFonts w:ascii="Arial Narrow" w:hAnsi="Arial Narrow"/>
                <w:b/>
                <w:bCs/>
                <w:sz w:val="20"/>
                <w:szCs w:val="20"/>
              </w:rPr>
              <w:t xml:space="preserve">/ </w:t>
            </w:r>
            <w:r w:rsidRPr="00416C64">
              <w:rPr>
                <w:rFonts w:ascii="Arial Narrow" w:hAnsi="Arial Narrow"/>
                <w:b/>
                <w:bCs/>
                <w:sz w:val="20"/>
                <w:szCs w:val="20"/>
              </w:rPr>
              <w:t>Program</w:t>
            </w:r>
            <w:r w:rsidR="006E4492" w:rsidRPr="00416C64">
              <w:rPr>
                <w:rFonts w:ascii="Arial Narrow" w:hAnsi="Arial Narrow"/>
                <w:b/>
                <w:bCs/>
                <w:sz w:val="20"/>
                <w:szCs w:val="20"/>
              </w:rPr>
              <w:t>:</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GENERAL – General Schedule (Code GE)</w:t>
            </w:r>
          </w:p>
        </w:tc>
      </w:tr>
      <w:tr w:rsidR="006E4492" w:rsidRPr="00416C64" w:rsidTr="00BA64A9">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t>Prescriber type:</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Check1"/>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 xml:space="preserve"> Dental </w:t>
            </w:r>
            <w:r w:rsidRPr="00416C64">
              <w:rPr>
                <w:rFonts w:ascii="Arial Narrow" w:hAnsi="Arial Narrow"/>
                <w:bCs/>
                <w:sz w:val="20"/>
                <w:szCs w:val="20"/>
              </w:rPr>
              <w:fldChar w:fldCharType="begin">
                <w:ffData>
                  <w:name w:val=""/>
                  <w:enabled/>
                  <w:calcOnExit w:val="0"/>
                  <w:checkBox>
                    <w:sizeAuto/>
                    <w:default w:val="1"/>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 xml:space="preserve"> Medical Practitioners </w:t>
            </w:r>
            <w:r w:rsidRPr="00416C64">
              <w:rPr>
                <w:rFonts w:ascii="Arial Narrow" w:hAnsi="Arial Narrow"/>
                <w:bCs/>
                <w:sz w:val="20"/>
                <w:szCs w:val="20"/>
              </w:rPr>
              <w:fldChar w:fldCharType="begin">
                <w:ffData>
                  <w:name w:val=""/>
                  <w:enabled/>
                  <w:calcOnExit w:val="0"/>
                  <w:checkBox>
                    <w:sizeAuto/>
                    <w:default w:val="1"/>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 xml:space="preserve"> Nurse Practitioners </w:t>
            </w:r>
            <w:r w:rsidRPr="00416C64">
              <w:rPr>
                <w:rFonts w:ascii="Arial Narrow" w:hAnsi="Arial Narrow"/>
                <w:bCs/>
                <w:sz w:val="20"/>
                <w:szCs w:val="20"/>
              </w:rPr>
              <w:fldChar w:fldCharType="begin">
                <w:ffData>
                  <w:name w:val=""/>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Optometrists</w:t>
            </w:r>
            <w:r w:rsidR="006E4492" w:rsidRPr="00416C64">
              <w:rPr>
                <w:rFonts w:ascii="Arial Narrow" w:hAnsi="Arial Narrow"/>
                <w:bCs/>
                <w:sz w:val="20"/>
                <w:szCs w:val="20"/>
              </w:rPr>
              <w:t xml:space="preserve"> </w:t>
            </w:r>
            <w:r w:rsidRPr="00416C64">
              <w:rPr>
                <w:rFonts w:ascii="Arial Narrow" w:hAnsi="Arial Narrow"/>
                <w:bCs/>
                <w:sz w:val="20"/>
                <w:szCs w:val="20"/>
              </w:rPr>
              <w:fldChar w:fldCharType="begin">
                <w:ffData>
                  <w:name w:val=""/>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 xml:space="preserve"> Midwives</w:t>
            </w:r>
          </w:p>
        </w:tc>
      </w:tr>
      <w:tr w:rsidR="006E4492" w:rsidRPr="00416C64" w:rsidTr="00BA64A9">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t>PBS Indication:</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Chronic Obstructive Pulmonary Disease </w:t>
            </w:r>
            <w:r w:rsidRPr="00416C64">
              <w:rPr>
                <w:rFonts w:ascii="Arial Narrow" w:hAnsi="Arial Narrow"/>
                <w:bCs/>
                <w:i/>
                <w:sz w:val="20"/>
                <w:szCs w:val="20"/>
                <w:highlight w:val="lightGray"/>
              </w:rPr>
              <w:t>(COPD)</w:t>
            </w:r>
          </w:p>
        </w:tc>
      </w:tr>
      <w:tr w:rsidR="006E4492" w:rsidRPr="00416C64" w:rsidTr="00BA64A9">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lastRenderedPageBreak/>
              <w:t>Restriction Level / Method:</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Check1"/>
                  <w:enabled/>
                  <w:calcOnExit w:val="0"/>
                  <w:checkBox>
                    <w:sizeAuto/>
                    <w:default w:val="0"/>
                  </w:checkBox>
                </w:ffData>
              </w:fldChar>
            </w:r>
            <w:bookmarkStart w:id="3" w:name="Check1"/>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bookmarkEnd w:id="3"/>
            <w:r w:rsidRPr="00416C64">
              <w:rPr>
                <w:rFonts w:ascii="Arial Narrow" w:hAnsi="Arial Narrow"/>
                <w:bCs/>
                <w:sz w:val="20"/>
                <w:szCs w:val="20"/>
              </w:rPr>
              <w:t>Restricted benefit</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Authority Required - In Writing</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Check3"/>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Authority Required - Telephone</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Authority Required – Emergency</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Check5"/>
                  <w:enabled/>
                  <w:calcOnExit w:val="0"/>
                  <w:checkBox>
                    <w:sizeAuto/>
                    <w:default w:val="0"/>
                  </w:checkBox>
                </w:ffData>
              </w:fldChar>
            </w:r>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r w:rsidRPr="00416C64">
              <w:rPr>
                <w:rFonts w:ascii="Arial Narrow" w:hAnsi="Arial Narrow"/>
                <w:bCs/>
                <w:sz w:val="20"/>
                <w:szCs w:val="20"/>
              </w:rPr>
              <w:t>Authority Required - Electronic</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fldChar w:fldCharType="begin">
                <w:ffData>
                  <w:name w:val="Check5"/>
                  <w:enabled/>
                  <w:calcOnExit w:val="0"/>
                  <w:checkBox>
                    <w:sizeAuto/>
                    <w:default w:val="1"/>
                  </w:checkBox>
                </w:ffData>
              </w:fldChar>
            </w:r>
            <w:bookmarkStart w:id="4" w:name="Check5"/>
            <w:r w:rsidRPr="00416C64">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416C64">
              <w:rPr>
                <w:rFonts w:ascii="Arial Narrow" w:hAnsi="Arial Narrow"/>
                <w:bCs/>
                <w:sz w:val="20"/>
                <w:szCs w:val="20"/>
              </w:rPr>
              <w:fldChar w:fldCharType="end"/>
            </w:r>
            <w:bookmarkEnd w:id="4"/>
            <w:r w:rsidRPr="00416C64">
              <w:rPr>
                <w:rFonts w:ascii="Arial Narrow" w:hAnsi="Arial Narrow"/>
                <w:bCs/>
                <w:sz w:val="20"/>
                <w:szCs w:val="20"/>
              </w:rPr>
              <w:t>Streamlined</w:t>
            </w:r>
          </w:p>
        </w:tc>
      </w:tr>
      <w:tr w:rsidR="006E4492" w:rsidRPr="00416C64" w:rsidTr="00BA64A9">
        <w:trPr>
          <w:trHeight w:val="1154"/>
        </w:trPr>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t>Clinical criteria:</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
                <w:bCs/>
                <w:strike/>
                <w:sz w:val="20"/>
                <w:szCs w:val="20"/>
              </w:rPr>
            </w:pPr>
            <w:r w:rsidRPr="00416C64">
              <w:rPr>
                <w:rFonts w:ascii="Arial Narrow" w:hAnsi="Arial Narrow"/>
                <w:b/>
                <w:bCs/>
                <w:strike/>
                <w:sz w:val="20"/>
                <w:szCs w:val="20"/>
              </w:rPr>
              <w:t>Patient must have a forced expiratory volume in 1 second (FEV</w:t>
            </w:r>
            <w:r w:rsidRPr="00416C64">
              <w:rPr>
                <w:rFonts w:ascii="Arial Narrow" w:hAnsi="Arial Narrow"/>
                <w:b/>
                <w:bCs/>
                <w:strike/>
                <w:sz w:val="20"/>
                <w:szCs w:val="20"/>
                <w:vertAlign w:val="subscript"/>
              </w:rPr>
              <w:t>1</w:t>
            </w:r>
            <w:r w:rsidRPr="00416C64">
              <w:rPr>
                <w:rFonts w:ascii="Arial Narrow" w:hAnsi="Arial Narrow"/>
                <w:b/>
                <w:bCs/>
                <w:strike/>
                <w:sz w:val="20"/>
                <w:szCs w:val="20"/>
              </w:rPr>
              <w:t>) less than 50% of predicted normal prior to therapy AND</w:t>
            </w:r>
          </w:p>
          <w:p w:rsidR="00F216CA" w:rsidRPr="00416C64" w:rsidRDefault="00F216CA" w:rsidP="005A2C9B">
            <w:pPr>
              <w:widowControl/>
              <w:tabs>
                <w:tab w:val="left" w:pos="1134"/>
              </w:tabs>
              <w:spacing w:before="60" w:after="40"/>
              <w:ind w:right="221"/>
              <w:jc w:val="left"/>
              <w:rPr>
                <w:rFonts w:ascii="Arial Narrow" w:hAnsi="Arial Narrow"/>
                <w:b/>
                <w:bCs/>
                <w:strike/>
                <w:sz w:val="20"/>
                <w:szCs w:val="20"/>
              </w:rPr>
            </w:pP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Patient must have </w:t>
            </w:r>
            <w:r w:rsidRPr="00416C64">
              <w:rPr>
                <w:rFonts w:ascii="Arial Narrow" w:hAnsi="Arial Narrow"/>
                <w:bCs/>
                <w:strike/>
                <w:sz w:val="20"/>
                <w:szCs w:val="20"/>
                <w:highlight w:val="lightGray"/>
              </w:rPr>
              <w:t>a history of repeated</w:t>
            </w:r>
            <w:r w:rsidRPr="00416C64">
              <w:rPr>
                <w:rFonts w:ascii="Arial Narrow" w:hAnsi="Arial Narrow"/>
                <w:bCs/>
                <w:sz w:val="20"/>
                <w:szCs w:val="20"/>
                <w:highlight w:val="lightGray"/>
              </w:rPr>
              <w:t xml:space="preserve"> </w:t>
            </w:r>
            <w:r w:rsidRPr="00416C64">
              <w:rPr>
                <w:rFonts w:ascii="Arial Narrow" w:hAnsi="Arial Narrow"/>
                <w:bCs/>
                <w:i/>
                <w:sz w:val="20"/>
                <w:szCs w:val="20"/>
                <w:highlight w:val="lightGray"/>
              </w:rPr>
              <w:t>experienced</w:t>
            </w:r>
            <w:r w:rsidRPr="00416C64">
              <w:rPr>
                <w:rFonts w:ascii="Arial Narrow" w:hAnsi="Arial Narrow"/>
                <w:bCs/>
                <w:sz w:val="20"/>
                <w:szCs w:val="20"/>
                <w:highlight w:val="lightGray"/>
              </w:rPr>
              <w:t xml:space="preserve"> </w:t>
            </w:r>
            <w:r w:rsidRPr="00416C64">
              <w:rPr>
                <w:rFonts w:ascii="Arial Narrow" w:hAnsi="Arial Narrow"/>
                <w:bCs/>
                <w:i/>
                <w:sz w:val="20"/>
                <w:szCs w:val="20"/>
                <w:highlight w:val="lightGray"/>
              </w:rPr>
              <w:t xml:space="preserve">at least one severe COPD </w:t>
            </w:r>
            <w:r w:rsidRPr="00416C64">
              <w:rPr>
                <w:rFonts w:ascii="Arial Narrow" w:hAnsi="Arial Narrow"/>
                <w:bCs/>
                <w:sz w:val="20"/>
                <w:szCs w:val="20"/>
                <w:highlight w:val="lightGray"/>
              </w:rPr>
              <w:t>exacerbation</w:t>
            </w:r>
            <w:r w:rsidRPr="00416C64">
              <w:rPr>
                <w:rFonts w:ascii="Arial Narrow" w:hAnsi="Arial Narrow"/>
                <w:bCs/>
                <w:strike/>
                <w:sz w:val="20"/>
                <w:szCs w:val="20"/>
                <w:highlight w:val="lightGray"/>
              </w:rPr>
              <w:t>s</w:t>
            </w:r>
            <w:r w:rsidRPr="00416C64">
              <w:rPr>
                <w:rFonts w:ascii="Arial Narrow" w:hAnsi="Arial Narrow"/>
                <w:bCs/>
                <w:sz w:val="20"/>
                <w:szCs w:val="20"/>
                <w:highlight w:val="lightGray"/>
              </w:rPr>
              <w:t xml:space="preserve">, </w:t>
            </w:r>
            <w:r w:rsidRPr="00416C64">
              <w:rPr>
                <w:rFonts w:ascii="Arial Narrow" w:hAnsi="Arial Narrow"/>
                <w:bCs/>
                <w:i/>
                <w:sz w:val="20"/>
                <w:szCs w:val="20"/>
                <w:highlight w:val="lightGray"/>
              </w:rPr>
              <w:t>which required hospitalisation, or two or more moderate exacerbations in the previous 12 months,</w:t>
            </w:r>
            <w:r w:rsidRPr="00416C64">
              <w:rPr>
                <w:rFonts w:ascii="Arial Narrow" w:hAnsi="Arial Narrow"/>
                <w:bCs/>
                <w:sz w:val="20"/>
                <w:szCs w:val="20"/>
                <w:highlight w:val="lightGray"/>
              </w:rPr>
              <w:t xml:space="preserve"> </w:t>
            </w:r>
            <w:r w:rsidRPr="00416C64">
              <w:rPr>
                <w:rFonts w:ascii="Arial Narrow" w:hAnsi="Arial Narrow"/>
                <w:bCs/>
                <w:strike/>
                <w:sz w:val="20"/>
                <w:szCs w:val="20"/>
                <w:highlight w:val="lightGray"/>
              </w:rPr>
              <w:t>with significant symptoms</w:t>
            </w:r>
            <w:r w:rsidRPr="00416C64">
              <w:rPr>
                <w:rFonts w:ascii="Arial Narrow" w:hAnsi="Arial Narrow"/>
                <w:bCs/>
                <w:sz w:val="20"/>
                <w:szCs w:val="20"/>
              </w:rPr>
              <w:t xml:space="preserve"> despite regular </w:t>
            </w:r>
            <w:r w:rsidRPr="00416C64">
              <w:rPr>
                <w:rFonts w:ascii="Arial Narrow" w:hAnsi="Arial Narrow"/>
                <w:bCs/>
                <w:strike/>
                <w:sz w:val="20"/>
                <w:szCs w:val="20"/>
                <w:highlight w:val="lightGray"/>
              </w:rPr>
              <w:t>long-acting</w:t>
            </w:r>
            <w:r w:rsidRPr="00416C64">
              <w:rPr>
                <w:rFonts w:ascii="Arial Narrow" w:hAnsi="Arial Narrow"/>
                <w:bCs/>
                <w:sz w:val="20"/>
                <w:szCs w:val="20"/>
              </w:rPr>
              <w:t xml:space="preserve"> bronchodilator therapy with a long acting muscarinic antagonist (LAMA) and a long acting beta-2 agonist (LABA) or an inhaled corticosteroid (ICS) and a LABA</w:t>
            </w:r>
            <w:r w:rsidRPr="00416C64">
              <w:rPr>
                <w:rFonts w:ascii="Arial Narrow" w:hAnsi="Arial Narrow"/>
                <w:bCs/>
                <w:i/>
                <w:sz w:val="20"/>
                <w:szCs w:val="20"/>
              </w:rPr>
              <w:t>;</w:t>
            </w:r>
            <w:r w:rsidRPr="00416C64">
              <w:rPr>
                <w:rFonts w:ascii="Arial Narrow" w:hAnsi="Arial Narrow"/>
                <w:bCs/>
                <w:sz w:val="20"/>
                <w:szCs w:val="20"/>
              </w:rPr>
              <w:t xml:space="preserve"> OR</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br/>
              <w:t xml:space="preserve">Patient must have been stabilised on a combination of a LAMA, </w:t>
            </w:r>
            <w:r w:rsidRPr="00416C64">
              <w:rPr>
                <w:rFonts w:ascii="Arial Narrow" w:hAnsi="Arial Narrow"/>
                <w:bCs/>
                <w:strike/>
                <w:sz w:val="20"/>
                <w:szCs w:val="20"/>
              </w:rPr>
              <w:t>a</w:t>
            </w:r>
            <w:r w:rsidRPr="00416C64">
              <w:rPr>
                <w:rFonts w:ascii="Arial Narrow" w:hAnsi="Arial Narrow"/>
                <w:bCs/>
                <w:sz w:val="20"/>
                <w:szCs w:val="20"/>
              </w:rPr>
              <w:t xml:space="preserve"> LABA </w:t>
            </w:r>
            <w:r w:rsidRPr="00416C64">
              <w:rPr>
                <w:rFonts w:ascii="Arial Narrow" w:hAnsi="Arial Narrow"/>
                <w:bCs/>
                <w:sz w:val="20"/>
                <w:szCs w:val="20"/>
              </w:rPr>
              <w:br/>
              <w:t xml:space="preserve">and an ICS for this condition. </w:t>
            </w:r>
          </w:p>
        </w:tc>
      </w:tr>
      <w:tr w:rsidR="006E4492" w:rsidRPr="00416C64" w:rsidTr="00BA64A9">
        <w:tc>
          <w:tcPr>
            <w:tcW w:w="1128" w:type="pct"/>
            <w:shd w:val="clear" w:color="auto" w:fill="auto"/>
          </w:tcPr>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z w:val="20"/>
                <w:szCs w:val="20"/>
              </w:rPr>
              <w:t>Administrative Advice</w:t>
            </w:r>
            <w:r w:rsidR="006E4492" w:rsidRPr="00416C64">
              <w:rPr>
                <w:rFonts w:ascii="Arial Narrow" w:hAnsi="Arial Narrow"/>
                <w:b/>
                <w:bCs/>
                <w:sz w:val="20"/>
                <w:szCs w:val="20"/>
              </w:rPr>
              <w:t>:</w:t>
            </w:r>
          </w:p>
        </w:tc>
        <w:tc>
          <w:tcPr>
            <w:tcW w:w="3872" w:type="pct"/>
          </w:tcPr>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Formal assessment and correction of inhaler technique should be performed in accordance with the COPD-X Plan (available at </w:t>
            </w:r>
            <w:r w:rsidRPr="00416C64">
              <w:rPr>
                <w:rFonts w:ascii="Arial Narrow" w:hAnsi="Arial Narrow"/>
                <w:bCs/>
                <w:sz w:val="20"/>
                <w:szCs w:val="20"/>
                <w:u w:val="single"/>
              </w:rPr>
              <w:t>http://copdx.org.au/</w:t>
            </w:r>
            <w:r w:rsidRPr="00416C64">
              <w:rPr>
                <w:rFonts w:ascii="Arial Narrow" w:hAnsi="Arial Narrow"/>
                <w:bCs/>
                <w:sz w:val="20"/>
                <w:szCs w:val="20"/>
              </w:rPr>
              <w:t xml:space="preserve">); the assessment and adherence to correct technique should be documented in the patient’s medical records. </w:t>
            </w:r>
          </w:p>
          <w:p w:rsidR="000A44CB" w:rsidRPr="00416C64" w:rsidRDefault="000A44CB" w:rsidP="005A2C9B">
            <w:pPr>
              <w:widowControl/>
              <w:tabs>
                <w:tab w:val="left" w:pos="1134"/>
              </w:tabs>
              <w:spacing w:before="60" w:after="40"/>
              <w:ind w:left="221" w:right="221"/>
              <w:jc w:val="left"/>
              <w:rPr>
                <w:rFonts w:ascii="Arial Narrow" w:hAnsi="Arial Narrow"/>
                <w:bCs/>
                <w:sz w:val="20"/>
                <w:szCs w:val="20"/>
              </w:rPr>
            </w:pPr>
          </w:p>
          <w:p w:rsidR="000A44CB" w:rsidRPr="00416C64" w:rsidRDefault="000A44CB" w:rsidP="005A2C9B">
            <w:pPr>
              <w:widowControl/>
              <w:tabs>
                <w:tab w:val="left" w:pos="1134"/>
              </w:tabs>
              <w:spacing w:before="60" w:after="40"/>
              <w:ind w:right="221"/>
              <w:jc w:val="left"/>
              <w:rPr>
                <w:rFonts w:ascii="Arial Narrow" w:hAnsi="Arial Narrow"/>
                <w:b/>
                <w:bCs/>
                <w:sz w:val="20"/>
                <w:szCs w:val="20"/>
              </w:rPr>
            </w:pPr>
            <w:r w:rsidRPr="00416C64">
              <w:rPr>
                <w:rFonts w:ascii="Arial Narrow" w:hAnsi="Arial Narrow"/>
                <w:b/>
                <w:bCs/>
                <w:strike/>
                <w:sz w:val="20"/>
                <w:szCs w:val="20"/>
              </w:rPr>
              <w:t>Diagnosis of COPD should be confirmed with spirometry.</w:t>
            </w:r>
            <w:r w:rsidRPr="00416C64">
              <w:rPr>
                <w:rFonts w:ascii="Arial Narrow" w:hAnsi="Arial Narrow"/>
                <w:b/>
                <w:bCs/>
                <w:sz w:val="20"/>
                <w:szCs w:val="20"/>
              </w:rPr>
              <w:t xml:space="preserve"> </w:t>
            </w:r>
            <w:r w:rsidRPr="00416C64">
              <w:rPr>
                <w:rFonts w:ascii="Arial Narrow" w:hAnsi="Arial Narrow"/>
                <w:b/>
                <w:bCs/>
                <w:sz w:val="20"/>
                <w:szCs w:val="20"/>
                <w:u w:val="single"/>
              </w:rPr>
              <w:t xml:space="preserve">Spirometry is required to confirm diagnosis of COPD and should be considered as a method for monitoring disease progression and assessing treatment response. </w:t>
            </w:r>
          </w:p>
          <w:p w:rsidR="000A44CB" w:rsidRPr="00416C64" w:rsidRDefault="000A44CB" w:rsidP="005A2C9B">
            <w:pPr>
              <w:widowControl/>
              <w:tabs>
                <w:tab w:val="left" w:pos="1134"/>
              </w:tabs>
              <w:spacing w:before="60" w:after="40"/>
              <w:ind w:left="221" w:right="221"/>
              <w:jc w:val="left"/>
              <w:rPr>
                <w:rFonts w:ascii="Arial Narrow" w:hAnsi="Arial Narrow"/>
                <w:bCs/>
                <w:sz w:val="20"/>
                <w:szCs w:val="20"/>
              </w:rPr>
            </w:pP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This product is not PBS-subsidised for the treatment of asthma </w:t>
            </w:r>
            <w:r w:rsidRPr="00416C64">
              <w:rPr>
                <w:rFonts w:ascii="Arial Narrow" w:hAnsi="Arial Narrow"/>
                <w:bCs/>
                <w:i/>
                <w:sz w:val="20"/>
                <w:szCs w:val="20"/>
                <w:highlight w:val="lightGray"/>
              </w:rPr>
              <w:t>or the</w:t>
            </w:r>
            <w:r w:rsidRPr="00416C64">
              <w:rPr>
                <w:rFonts w:ascii="Arial Narrow" w:hAnsi="Arial Narrow"/>
                <w:bCs/>
                <w:sz w:val="20"/>
                <w:szCs w:val="20"/>
              </w:rPr>
              <w:t xml:space="preserve"> </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trike/>
                <w:sz w:val="20"/>
                <w:szCs w:val="20"/>
                <w:highlight w:val="lightGray"/>
              </w:rPr>
              <w:t>This product is not indicated for the</w:t>
            </w:r>
            <w:r w:rsidRPr="00416C64">
              <w:rPr>
                <w:rFonts w:ascii="Arial Narrow" w:hAnsi="Arial Narrow"/>
                <w:bCs/>
                <w:sz w:val="20"/>
                <w:szCs w:val="20"/>
              </w:rPr>
              <w:t xml:space="preserve"> initiation of bronchodilator therapy in COPD.</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The treatment must not be used in combination with an ICS/LABA, LABA/LAMA or LAMA, LABA or ICS monotherapy.</w:t>
            </w:r>
          </w:p>
          <w:p w:rsidR="000A44CB" w:rsidRPr="00416C64" w:rsidRDefault="000A44CB" w:rsidP="005A2C9B">
            <w:pPr>
              <w:widowControl/>
              <w:tabs>
                <w:tab w:val="left" w:pos="1134"/>
              </w:tabs>
              <w:spacing w:before="60" w:after="40"/>
              <w:ind w:left="221" w:right="221"/>
              <w:jc w:val="left"/>
              <w:rPr>
                <w:rFonts w:ascii="Arial Narrow" w:hAnsi="Arial Narrow"/>
                <w:bCs/>
                <w:sz w:val="20"/>
                <w:szCs w:val="20"/>
              </w:rPr>
            </w:pP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A LAMA includes </w:t>
            </w:r>
            <w:proofErr w:type="spellStart"/>
            <w:r w:rsidRPr="00416C64">
              <w:rPr>
                <w:rFonts w:ascii="Arial Narrow" w:hAnsi="Arial Narrow"/>
                <w:bCs/>
                <w:sz w:val="20"/>
                <w:szCs w:val="20"/>
              </w:rPr>
              <w:t>tiotropium</w:t>
            </w:r>
            <w:proofErr w:type="spellEnd"/>
            <w:r w:rsidRPr="00416C64">
              <w:rPr>
                <w:rFonts w:ascii="Arial Narrow" w:hAnsi="Arial Narrow"/>
                <w:bCs/>
                <w:sz w:val="20"/>
                <w:szCs w:val="20"/>
              </w:rPr>
              <w:t xml:space="preserve">, </w:t>
            </w:r>
            <w:proofErr w:type="spellStart"/>
            <w:r w:rsidRPr="00416C64">
              <w:rPr>
                <w:rFonts w:ascii="Arial Narrow" w:hAnsi="Arial Narrow"/>
                <w:bCs/>
                <w:sz w:val="20"/>
                <w:szCs w:val="20"/>
              </w:rPr>
              <w:t>glycopyrronium</w:t>
            </w:r>
            <w:proofErr w:type="spellEnd"/>
            <w:r w:rsidRPr="00416C64">
              <w:rPr>
                <w:rFonts w:ascii="Arial Narrow" w:hAnsi="Arial Narrow"/>
                <w:bCs/>
                <w:sz w:val="20"/>
                <w:szCs w:val="20"/>
              </w:rPr>
              <w:t xml:space="preserve">, </w:t>
            </w:r>
            <w:proofErr w:type="spellStart"/>
            <w:r w:rsidRPr="00416C64">
              <w:rPr>
                <w:rFonts w:ascii="Arial Narrow" w:hAnsi="Arial Narrow"/>
                <w:bCs/>
                <w:sz w:val="20"/>
                <w:szCs w:val="20"/>
              </w:rPr>
              <w:t>aclidinium</w:t>
            </w:r>
            <w:proofErr w:type="spellEnd"/>
            <w:r w:rsidRPr="00416C64">
              <w:rPr>
                <w:rFonts w:ascii="Arial Narrow" w:hAnsi="Arial Narrow"/>
                <w:bCs/>
                <w:sz w:val="20"/>
                <w:szCs w:val="20"/>
              </w:rPr>
              <w:t xml:space="preserve"> or </w:t>
            </w:r>
            <w:proofErr w:type="spellStart"/>
            <w:r w:rsidRPr="00416C64">
              <w:rPr>
                <w:rFonts w:ascii="Arial Narrow" w:hAnsi="Arial Narrow"/>
                <w:bCs/>
                <w:sz w:val="20"/>
                <w:szCs w:val="20"/>
              </w:rPr>
              <w:t>umeclidinium</w:t>
            </w:r>
            <w:proofErr w:type="spellEnd"/>
            <w:r w:rsidRPr="00416C64">
              <w:rPr>
                <w:rFonts w:ascii="Arial Narrow" w:hAnsi="Arial Narrow"/>
                <w:bCs/>
                <w:sz w:val="20"/>
                <w:szCs w:val="20"/>
              </w:rPr>
              <w:t>.</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A LABA includes olodaterol, </w:t>
            </w:r>
            <w:proofErr w:type="spellStart"/>
            <w:r w:rsidRPr="00416C64">
              <w:rPr>
                <w:rFonts w:ascii="Arial Narrow" w:hAnsi="Arial Narrow"/>
                <w:bCs/>
                <w:sz w:val="20"/>
                <w:szCs w:val="20"/>
              </w:rPr>
              <w:t>indacaterol</w:t>
            </w:r>
            <w:proofErr w:type="spellEnd"/>
            <w:r w:rsidRPr="00416C64">
              <w:rPr>
                <w:rFonts w:ascii="Arial Narrow" w:hAnsi="Arial Narrow"/>
                <w:bCs/>
                <w:sz w:val="20"/>
                <w:szCs w:val="20"/>
              </w:rPr>
              <w:t xml:space="preserve">, </w:t>
            </w:r>
            <w:proofErr w:type="spellStart"/>
            <w:r w:rsidRPr="00416C64">
              <w:rPr>
                <w:rFonts w:ascii="Arial Narrow" w:hAnsi="Arial Narrow"/>
                <w:bCs/>
                <w:sz w:val="20"/>
                <w:szCs w:val="20"/>
              </w:rPr>
              <w:t>salmeterol</w:t>
            </w:r>
            <w:proofErr w:type="spellEnd"/>
            <w:r w:rsidRPr="00416C64">
              <w:rPr>
                <w:rFonts w:ascii="Arial Narrow" w:hAnsi="Arial Narrow"/>
                <w:bCs/>
                <w:sz w:val="20"/>
                <w:szCs w:val="20"/>
              </w:rPr>
              <w:t xml:space="preserve">, </w:t>
            </w:r>
            <w:proofErr w:type="spellStart"/>
            <w:r w:rsidRPr="00416C64">
              <w:rPr>
                <w:rFonts w:ascii="Arial Narrow" w:hAnsi="Arial Narrow"/>
                <w:bCs/>
                <w:strike/>
                <w:sz w:val="20"/>
                <w:szCs w:val="20"/>
              </w:rPr>
              <w:t>ef</w:t>
            </w:r>
            <w:r w:rsidRPr="00416C64">
              <w:rPr>
                <w:rFonts w:ascii="Arial Narrow" w:hAnsi="Arial Narrow"/>
                <w:bCs/>
                <w:sz w:val="20"/>
                <w:szCs w:val="20"/>
              </w:rPr>
              <w:t>ormoterol</w:t>
            </w:r>
            <w:proofErr w:type="spellEnd"/>
            <w:r w:rsidRPr="00416C64">
              <w:rPr>
                <w:rFonts w:ascii="Arial Narrow" w:hAnsi="Arial Narrow"/>
                <w:bCs/>
                <w:sz w:val="20"/>
                <w:szCs w:val="20"/>
              </w:rPr>
              <w:t xml:space="preserve"> or </w:t>
            </w:r>
            <w:proofErr w:type="spellStart"/>
            <w:r w:rsidRPr="00416C64">
              <w:rPr>
                <w:rFonts w:ascii="Arial Narrow" w:hAnsi="Arial Narrow"/>
                <w:bCs/>
                <w:sz w:val="20"/>
                <w:szCs w:val="20"/>
              </w:rPr>
              <w:t>vilanterol</w:t>
            </w:r>
            <w:proofErr w:type="spellEnd"/>
            <w:r w:rsidRPr="00416C64">
              <w:rPr>
                <w:rFonts w:ascii="Arial Narrow" w:hAnsi="Arial Narrow"/>
                <w:bCs/>
                <w:sz w:val="20"/>
                <w:szCs w:val="20"/>
              </w:rPr>
              <w:t xml:space="preserve">. </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An ICS includes fluticasone propionate, fluticasone </w:t>
            </w:r>
            <w:proofErr w:type="spellStart"/>
            <w:r w:rsidRPr="00416C64">
              <w:rPr>
                <w:rFonts w:ascii="Arial Narrow" w:hAnsi="Arial Narrow"/>
                <w:bCs/>
                <w:sz w:val="20"/>
                <w:szCs w:val="20"/>
              </w:rPr>
              <w:t>furoate</w:t>
            </w:r>
            <w:proofErr w:type="spellEnd"/>
            <w:r w:rsidRPr="00416C64">
              <w:rPr>
                <w:rFonts w:ascii="Arial Narrow" w:hAnsi="Arial Narrow"/>
                <w:bCs/>
                <w:sz w:val="20"/>
                <w:szCs w:val="20"/>
              </w:rPr>
              <w:t xml:space="preserve">, budesonide, </w:t>
            </w:r>
            <w:proofErr w:type="spellStart"/>
            <w:r w:rsidRPr="00416C64">
              <w:rPr>
                <w:rFonts w:ascii="Arial Narrow" w:hAnsi="Arial Narrow"/>
                <w:bCs/>
                <w:sz w:val="20"/>
                <w:szCs w:val="20"/>
              </w:rPr>
              <w:t>beclomethasone</w:t>
            </w:r>
            <w:proofErr w:type="spellEnd"/>
            <w:r w:rsidRPr="00416C64">
              <w:rPr>
                <w:rFonts w:ascii="Arial Narrow" w:hAnsi="Arial Narrow"/>
                <w:bCs/>
                <w:sz w:val="20"/>
                <w:szCs w:val="20"/>
              </w:rPr>
              <w:t xml:space="preserve"> or </w:t>
            </w:r>
            <w:proofErr w:type="spellStart"/>
            <w:r w:rsidRPr="00416C64">
              <w:rPr>
                <w:rFonts w:ascii="Arial Narrow" w:hAnsi="Arial Narrow"/>
                <w:bCs/>
                <w:sz w:val="20"/>
                <w:szCs w:val="20"/>
              </w:rPr>
              <w:t>ciclesonide</w:t>
            </w:r>
            <w:proofErr w:type="spellEnd"/>
            <w:r w:rsidRPr="00416C64">
              <w:rPr>
                <w:rFonts w:ascii="Arial Narrow" w:hAnsi="Arial Narrow"/>
                <w:bCs/>
                <w:sz w:val="20"/>
                <w:szCs w:val="20"/>
              </w:rPr>
              <w:t xml:space="preserve">. </w:t>
            </w:r>
          </w:p>
          <w:p w:rsidR="000A44CB" w:rsidRPr="00416C64" w:rsidRDefault="000A44CB" w:rsidP="005A2C9B">
            <w:pPr>
              <w:widowControl/>
              <w:tabs>
                <w:tab w:val="left" w:pos="1134"/>
              </w:tabs>
              <w:spacing w:before="60" w:after="40"/>
              <w:ind w:left="221" w:right="221"/>
              <w:jc w:val="left"/>
              <w:rPr>
                <w:rFonts w:ascii="Arial Narrow" w:hAnsi="Arial Narrow"/>
                <w:bCs/>
                <w:sz w:val="20"/>
                <w:szCs w:val="20"/>
              </w:rPr>
            </w:pP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Continuing therapy only:</w:t>
            </w:r>
          </w:p>
          <w:p w:rsidR="000A44CB" w:rsidRPr="00416C64" w:rsidRDefault="000A44CB" w:rsidP="005A2C9B">
            <w:pPr>
              <w:widowControl/>
              <w:tabs>
                <w:tab w:val="left" w:pos="1134"/>
              </w:tabs>
              <w:spacing w:before="60" w:after="40"/>
              <w:ind w:right="221"/>
              <w:jc w:val="left"/>
              <w:rPr>
                <w:rFonts w:ascii="Arial Narrow" w:hAnsi="Arial Narrow"/>
                <w:bCs/>
                <w:sz w:val="20"/>
                <w:szCs w:val="20"/>
              </w:rPr>
            </w:pPr>
            <w:r w:rsidRPr="00416C64">
              <w:rPr>
                <w:rFonts w:ascii="Arial Narrow" w:hAnsi="Arial Narrow"/>
                <w:bCs/>
                <w:sz w:val="20"/>
                <w:szCs w:val="20"/>
              </w:rPr>
              <w:t xml:space="preserve">For prescribing by nurse practitioners as continuing therapy only, where the treatment of, and prescribing of a medicine for, a patient has been initiated by a medical practitioner. Further information can be found in the Explanatory Notes for Nurse Practitioners. </w:t>
            </w:r>
          </w:p>
        </w:tc>
      </w:tr>
    </w:tbl>
    <w:p w:rsidR="00661C3B" w:rsidRPr="00416C64" w:rsidRDefault="006E4492" w:rsidP="005A2C9B">
      <w:pPr>
        <w:pStyle w:val="TableFooter"/>
        <w:widowControl/>
      </w:pPr>
      <w:r w:rsidRPr="00416C64">
        <w:t xml:space="preserve">Abbreviations: COPD=chronic obstructive pulmonary disease; FEV1=forced expiratory volume in one second; FF=fluticasone </w:t>
      </w:r>
      <w:proofErr w:type="spellStart"/>
      <w:r w:rsidRPr="00416C64">
        <w:t>furoate</w:t>
      </w:r>
      <w:proofErr w:type="spellEnd"/>
      <w:r w:rsidRPr="00416C64">
        <w:t>; ICS=inhaled corticosteroid; LABA=long-acting beta-2 agonist; LAMA=long-acting muscarinic antagonist; UMEC=</w:t>
      </w:r>
      <w:proofErr w:type="spellStart"/>
      <w:r w:rsidRPr="00416C64">
        <w:t>umeclidinium</w:t>
      </w:r>
      <w:proofErr w:type="spellEnd"/>
      <w:r w:rsidRPr="00416C64">
        <w:t>; VI=</w:t>
      </w:r>
      <w:proofErr w:type="spellStart"/>
      <w:r w:rsidRPr="00416C64">
        <w:t>vilanterol</w:t>
      </w:r>
      <w:proofErr w:type="spellEnd"/>
      <w:r w:rsidRPr="00416C64">
        <w:t>;</w:t>
      </w:r>
    </w:p>
    <w:p w:rsidR="009F2383" w:rsidRDefault="009F2383" w:rsidP="005A2C9B">
      <w:pPr>
        <w:pStyle w:val="TableFooter"/>
        <w:widowControl/>
      </w:pPr>
      <w:r w:rsidRPr="00416C64">
        <w:t>Source: Table 8, pp28-29 of the submission.</w:t>
      </w:r>
    </w:p>
    <w:p w:rsidR="005A2C9B" w:rsidRPr="00416C64" w:rsidRDefault="005A2C9B" w:rsidP="005A2C9B">
      <w:pPr>
        <w:pStyle w:val="TableFooter"/>
        <w:widowControl/>
      </w:pPr>
    </w:p>
    <w:p w:rsidR="00694B7A" w:rsidRPr="00416C64" w:rsidRDefault="007A17CA" w:rsidP="005A2C9B">
      <w:pPr>
        <w:pStyle w:val="ListParagraph"/>
        <w:widowControl/>
        <w:numPr>
          <w:ilvl w:val="1"/>
          <w:numId w:val="3"/>
        </w:numPr>
      </w:pPr>
      <w:r w:rsidRPr="00416C64">
        <w:t>T</w:t>
      </w:r>
      <w:r w:rsidR="002E4331" w:rsidRPr="00416C64">
        <w:t xml:space="preserve">he submission requested the removal of the clinical criteria “Patient must have a forced expiratory volume in 1 second (FEV1) less than 50% of predicted normal prior </w:t>
      </w:r>
      <w:r w:rsidR="002E4331" w:rsidRPr="00416C64">
        <w:lastRenderedPageBreak/>
        <w:t xml:space="preserve">to therapy” </w:t>
      </w:r>
      <w:r w:rsidRPr="00416C64">
        <w:t>and</w:t>
      </w:r>
      <w:r w:rsidR="002E4331" w:rsidRPr="00416C64">
        <w:t xml:space="preserve"> wording </w:t>
      </w:r>
      <w:r w:rsidRPr="00416C64">
        <w:t>added to</w:t>
      </w:r>
      <w:r w:rsidR="002E4331" w:rsidRPr="00416C64">
        <w:t xml:space="preserve"> administrative advice emphasising the importance of spirometry testing.</w:t>
      </w:r>
      <w:r w:rsidR="00B159A2" w:rsidRPr="00416C64">
        <w:t xml:space="preserve"> </w:t>
      </w:r>
      <w:r w:rsidR="002E4331" w:rsidRPr="00416C64">
        <w:t>All other aspects of the requested restriction (Section 85, Authority Required STREAMLINED, quantity, repeats and price) remain unchanged</w:t>
      </w:r>
      <w:r w:rsidR="00116FD9" w:rsidRPr="00416C64">
        <w:t xml:space="preserve"> from the current PBS listing of Trelegy for treatment of patients with COPD</w:t>
      </w:r>
      <w:r w:rsidR="002E4331" w:rsidRPr="00416C64">
        <w:rPr>
          <w:iCs/>
        </w:rPr>
        <w:t>.</w:t>
      </w:r>
    </w:p>
    <w:p w:rsidR="00802CCE" w:rsidRPr="00416C64" w:rsidRDefault="00E03E69" w:rsidP="005A2C9B">
      <w:pPr>
        <w:pStyle w:val="ListParagraph"/>
        <w:widowControl/>
        <w:numPr>
          <w:ilvl w:val="1"/>
          <w:numId w:val="3"/>
        </w:numPr>
      </w:pPr>
      <w:r w:rsidRPr="00416C64">
        <w:rPr>
          <w:iCs/>
        </w:rPr>
        <w:t>The request</w:t>
      </w:r>
      <w:r w:rsidR="002A50A8" w:rsidRPr="00416C64">
        <w:rPr>
          <w:iCs/>
        </w:rPr>
        <w:t xml:space="preserve"> to</w:t>
      </w:r>
      <w:r w:rsidRPr="00416C64">
        <w:rPr>
          <w:iCs/>
        </w:rPr>
        <w:t xml:space="preserve"> remov</w:t>
      </w:r>
      <w:r w:rsidR="002A50A8" w:rsidRPr="00416C64">
        <w:rPr>
          <w:iCs/>
        </w:rPr>
        <w:t>e</w:t>
      </w:r>
      <w:r w:rsidRPr="00416C64">
        <w:rPr>
          <w:iCs/>
        </w:rPr>
        <w:t xml:space="preserve"> the FEV</w:t>
      </w:r>
      <w:r w:rsidR="002A50A8" w:rsidRPr="00416C64">
        <w:rPr>
          <w:iCs/>
        </w:rPr>
        <w:t>1 threshold</w:t>
      </w:r>
      <w:r w:rsidRPr="00416C64">
        <w:rPr>
          <w:iCs/>
        </w:rPr>
        <w:t xml:space="preserve"> from the clinical criteria in the </w:t>
      </w:r>
      <w:r w:rsidR="00393D5D" w:rsidRPr="00416C64">
        <w:rPr>
          <w:iCs/>
        </w:rPr>
        <w:t>PBS</w:t>
      </w:r>
      <w:r w:rsidRPr="00416C64">
        <w:rPr>
          <w:iCs/>
        </w:rPr>
        <w:t xml:space="preserve"> restriction</w:t>
      </w:r>
      <w:r w:rsidR="00C82D52" w:rsidRPr="00416C64">
        <w:rPr>
          <w:iCs/>
        </w:rPr>
        <w:t xml:space="preserve"> for Trelegy</w:t>
      </w:r>
      <w:r w:rsidRPr="00416C64">
        <w:rPr>
          <w:iCs/>
        </w:rPr>
        <w:t xml:space="preserve"> is consistent with the update to the </w:t>
      </w:r>
      <w:r w:rsidR="002A50A8" w:rsidRPr="00416C64">
        <w:rPr>
          <w:iCs/>
        </w:rPr>
        <w:t>Global Initiative for Chronic Obstructive Lung Disease (</w:t>
      </w:r>
      <w:r w:rsidRPr="00416C64">
        <w:rPr>
          <w:iCs/>
        </w:rPr>
        <w:t>GOLD</w:t>
      </w:r>
      <w:r w:rsidR="002A50A8" w:rsidRPr="00416C64">
        <w:rPr>
          <w:iCs/>
        </w:rPr>
        <w:t>)</w:t>
      </w:r>
      <w:r w:rsidRPr="00416C64">
        <w:rPr>
          <w:iCs/>
        </w:rPr>
        <w:t xml:space="preserve"> guidelines (2017-18).</w:t>
      </w:r>
      <w:r w:rsidR="00393D5D" w:rsidRPr="00416C64">
        <w:rPr>
          <w:iCs/>
        </w:rPr>
        <w:t xml:space="preserve"> </w:t>
      </w:r>
      <w:r w:rsidRPr="00416C64">
        <w:rPr>
          <w:iCs/>
        </w:rPr>
        <w:t xml:space="preserve">However, </w:t>
      </w:r>
      <w:r w:rsidR="00393D5D" w:rsidRPr="00416C64">
        <w:rPr>
          <w:iCs/>
        </w:rPr>
        <w:t>w</w:t>
      </w:r>
      <w:r w:rsidRPr="00416C64">
        <w:rPr>
          <w:iCs/>
        </w:rPr>
        <w:t xml:space="preserve">hile GOLD guidelines refer to moderate to severe exacerbation history in the prior year, the PBS restriction does not specify exacerbation severity and also does not specify that exacerbation history as </w:t>
      </w:r>
      <w:r w:rsidR="00524504">
        <w:rPr>
          <w:iCs/>
        </w:rPr>
        <w:t xml:space="preserve">occurring </w:t>
      </w:r>
      <w:r w:rsidRPr="00416C64">
        <w:rPr>
          <w:iCs/>
        </w:rPr>
        <w:t xml:space="preserve">within the </w:t>
      </w:r>
      <w:r w:rsidR="00524504">
        <w:rPr>
          <w:iCs/>
        </w:rPr>
        <w:t>previous</w:t>
      </w:r>
      <w:r w:rsidR="00524504" w:rsidRPr="00416C64">
        <w:rPr>
          <w:iCs/>
        </w:rPr>
        <w:t xml:space="preserve"> </w:t>
      </w:r>
      <w:r w:rsidRPr="00416C64">
        <w:rPr>
          <w:iCs/>
        </w:rPr>
        <w:t>12 months</w:t>
      </w:r>
      <w:r w:rsidR="00D86368">
        <w:rPr>
          <w:iCs/>
        </w:rPr>
        <w:t>.</w:t>
      </w:r>
      <w:r w:rsidR="00524504">
        <w:rPr>
          <w:iCs/>
        </w:rPr>
        <w:t xml:space="preserve"> The PBAC also noted that the proposed removal of the FEV1 threshold was not consistent with the current COPD</w:t>
      </w:r>
      <w:r w:rsidR="00C93F5C">
        <w:rPr>
          <w:iCs/>
        </w:rPr>
        <w:t>-</w:t>
      </w:r>
      <w:r w:rsidR="00524504">
        <w:rPr>
          <w:iCs/>
        </w:rPr>
        <w:t>X (</w:t>
      </w:r>
      <w:r w:rsidR="00C93F5C">
        <w:rPr>
          <w:iCs/>
        </w:rPr>
        <w:t xml:space="preserve">December, </w:t>
      </w:r>
      <w:r w:rsidR="00524504">
        <w:rPr>
          <w:iCs/>
        </w:rPr>
        <w:t>2018) Guidelines which could cause prescriber confusion</w:t>
      </w:r>
      <w:r w:rsidRPr="00416C64">
        <w:rPr>
          <w:iCs/>
        </w:rPr>
        <w:t>.</w:t>
      </w:r>
      <w:r w:rsidR="009D1F71" w:rsidRPr="00416C64">
        <w:rPr>
          <w:iCs/>
        </w:rPr>
        <w:t xml:space="preserve"> </w:t>
      </w:r>
    </w:p>
    <w:p w:rsidR="00E03E69" w:rsidRPr="00416C64" w:rsidRDefault="009D1F71" w:rsidP="005A2C9B">
      <w:pPr>
        <w:pStyle w:val="ListParagraph"/>
        <w:widowControl/>
        <w:numPr>
          <w:ilvl w:val="1"/>
          <w:numId w:val="3"/>
        </w:numPr>
      </w:pPr>
      <w:r w:rsidRPr="00416C64">
        <w:rPr>
          <w:iCs/>
        </w:rPr>
        <w:t xml:space="preserve">The ESC agreed with the Secretariat’s proposed changes to the restriction with respect to </w:t>
      </w:r>
      <w:r w:rsidR="00B075CE" w:rsidRPr="00416C64">
        <w:rPr>
          <w:iCs/>
        </w:rPr>
        <w:t xml:space="preserve">specification of exacerbation </w:t>
      </w:r>
      <w:r w:rsidRPr="00416C64">
        <w:rPr>
          <w:iCs/>
        </w:rPr>
        <w:t xml:space="preserve">severity </w:t>
      </w:r>
      <w:r w:rsidR="00E74798" w:rsidRPr="00416C64">
        <w:rPr>
          <w:iCs/>
        </w:rPr>
        <w:t>and the 12 month time period</w:t>
      </w:r>
      <w:r w:rsidR="00992474" w:rsidRPr="00416C64">
        <w:rPr>
          <w:iCs/>
        </w:rPr>
        <w:t xml:space="preserve"> for the exacerbation history</w:t>
      </w:r>
      <w:r w:rsidR="00B075CE" w:rsidRPr="00416C64">
        <w:rPr>
          <w:iCs/>
        </w:rPr>
        <w:t xml:space="preserve">. </w:t>
      </w:r>
      <w:r w:rsidR="00BA6BE3" w:rsidRPr="00416C64">
        <w:rPr>
          <w:iCs/>
        </w:rPr>
        <w:t xml:space="preserve">The ESC </w:t>
      </w:r>
      <w:r w:rsidRPr="00416C64">
        <w:rPr>
          <w:iCs/>
        </w:rPr>
        <w:t>considered</w:t>
      </w:r>
      <w:r w:rsidR="009B43F6" w:rsidRPr="00416C64">
        <w:rPr>
          <w:iCs/>
        </w:rPr>
        <w:t xml:space="preserve"> that</w:t>
      </w:r>
      <w:r w:rsidR="00E74798" w:rsidRPr="00416C64">
        <w:rPr>
          <w:iCs/>
        </w:rPr>
        <w:t xml:space="preserve">, in accordance with GOLD guidelines, it </w:t>
      </w:r>
      <w:r w:rsidR="00524504">
        <w:rPr>
          <w:iCs/>
        </w:rPr>
        <w:t>may</w:t>
      </w:r>
      <w:r w:rsidR="00524504" w:rsidRPr="00416C64">
        <w:rPr>
          <w:iCs/>
        </w:rPr>
        <w:t xml:space="preserve"> </w:t>
      </w:r>
      <w:r w:rsidR="00BA6BE3" w:rsidRPr="00416C64">
        <w:rPr>
          <w:iCs/>
        </w:rPr>
        <w:t xml:space="preserve">also </w:t>
      </w:r>
      <w:r w:rsidR="00E74798" w:rsidRPr="00416C64">
        <w:rPr>
          <w:iCs/>
        </w:rPr>
        <w:t xml:space="preserve">be appropriate for either </w:t>
      </w:r>
      <w:r w:rsidR="009B43F6" w:rsidRPr="00416C64">
        <w:rPr>
          <w:iCs/>
        </w:rPr>
        <w:t xml:space="preserve">the </w:t>
      </w:r>
      <w:r w:rsidR="00BA6BE3" w:rsidRPr="00416C64">
        <w:t>COPD Assessment Test</w:t>
      </w:r>
      <w:r w:rsidR="00BA6BE3" w:rsidRPr="00416C64">
        <w:rPr>
          <w:iCs/>
        </w:rPr>
        <w:t xml:space="preserve"> (</w:t>
      </w:r>
      <w:r w:rsidRPr="00416C64">
        <w:rPr>
          <w:iCs/>
        </w:rPr>
        <w:t>CAT</w:t>
      </w:r>
      <w:r w:rsidR="00BA6BE3" w:rsidRPr="00416C64">
        <w:rPr>
          <w:iCs/>
        </w:rPr>
        <w:t>)</w:t>
      </w:r>
      <w:r w:rsidRPr="00416C64">
        <w:rPr>
          <w:iCs/>
        </w:rPr>
        <w:t xml:space="preserve"> or</w:t>
      </w:r>
      <w:r w:rsidR="00BA6BE3" w:rsidRPr="00416C64">
        <w:rPr>
          <w:iCs/>
        </w:rPr>
        <w:t xml:space="preserve"> the</w:t>
      </w:r>
      <w:r w:rsidRPr="00416C64">
        <w:rPr>
          <w:iCs/>
        </w:rPr>
        <w:t xml:space="preserve"> </w:t>
      </w:r>
      <w:r w:rsidR="00BA6BE3" w:rsidRPr="00416C64">
        <w:t>Modified British Medical Research Council questionnaire score</w:t>
      </w:r>
      <w:r w:rsidR="00BA6BE3" w:rsidRPr="00416C64">
        <w:rPr>
          <w:iCs/>
        </w:rPr>
        <w:t xml:space="preserve"> (</w:t>
      </w:r>
      <w:proofErr w:type="spellStart"/>
      <w:r w:rsidRPr="00416C64">
        <w:rPr>
          <w:iCs/>
        </w:rPr>
        <w:t>mMRC</w:t>
      </w:r>
      <w:proofErr w:type="spellEnd"/>
      <w:r w:rsidR="00BA6BE3" w:rsidRPr="00416C64">
        <w:rPr>
          <w:iCs/>
        </w:rPr>
        <w:t>)</w:t>
      </w:r>
      <w:r w:rsidR="009B43F6" w:rsidRPr="00416C64">
        <w:rPr>
          <w:iCs/>
        </w:rPr>
        <w:t xml:space="preserve"> </w:t>
      </w:r>
      <w:r w:rsidR="00E74798" w:rsidRPr="00416C64">
        <w:rPr>
          <w:iCs/>
        </w:rPr>
        <w:t xml:space="preserve">to </w:t>
      </w:r>
      <w:r w:rsidR="009B43F6" w:rsidRPr="00416C64">
        <w:rPr>
          <w:iCs/>
        </w:rPr>
        <w:t xml:space="preserve">be incorporated </w:t>
      </w:r>
      <w:r w:rsidR="00E657F5" w:rsidRPr="00416C64">
        <w:rPr>
          <w:iCs/>
        </w:rPr>
        <w:t xml:space="preserve">in </w:t>
      </w:r>
      <w:r w:rsidR="00E74798" w:rsidRPr="00416C64">
        <w:rPr>
          <w:iCs/>
        </w:rPr>
        <w:t>the proposed restriction</w:t>
      </w:r>
      <w:r w:rsidR="00E657F5" w:rsidRPr="00416C64">
        <w:rPr>
          <w:iCs/>
        </w:rPr>
        <w:t>.</w:t>
      </w:r>
      <w:r w:rsidRPr="00416C64">
        <w:rPr>
          <w:iCs/>
        </w:rPr>
        <w:t xml:space="preserve"> </w:t>
      </w:r>
      <w:r w:rsidR="00AA13DA" w:rsidRPr="00416C64">
        <w:rPr>
          <w:iCs/>
        </w:rPr>
        <w:t xml:space="preserve">The pre-PBAC response argued that the CAT score should not be included in the restriction as it is not routinely used in clinical practice and is not included in PBS restrictions for other COPD medicines. </w:t>
      </w:r>
      <w:r w:rsidR="007745BF" w:rsidRPr="00416C64">
        <w:rPr>
          <w:iCs/>
        </w:rPr>
        <w:t>The PBAC did not consider the incorporation of the CAT or</w:t>
      </w:r>
      <w:r w:rsidR="00AA13DA" w:rsidRPr="00416C64">
        <w:rPr>
          <w:iCs/>
        </w:rPr>
        <w:t xml:space="preserve"> the</w:t>
      </w:r>
      <w:r w:rsidR="007745BF" w:rsidRPr="00416C64">
        <w:rPr>
          <w:iCs/>
        </w:rPr>
        <w:t xml:space="preserve"> </w:t>
      </w:r>
      <w:proofErr w:type="spellStart"/>
      <w:r w:rsidR="007745BF" w:rsidRPr="00416C64">
        <w:rPr>
          <w:iCs/>
        </w:rPr>
        <w:t>mMRC</w:t>
      </w:r>
      <w:proofErr w:type="spellEnd"/>
      <w:r w:rsidR="007745BF" w:rsidRPr="00416C64">
        <w:rPr>
          <w:iCs/>
        </w:rPr>
        <w:t xml:space="preserve"> score in the restriction </w:t>
      </w:r>
      <w:r w:rsidR="00524504">
        <w:rPr>
          <w:iCs/>
        </w:rPr>
        <w:t xml:space="preserve">would be </w:t>
      </w:r>
      <w:r w:rsidR="007745BF" w:rsidRPr="00416C64">
        <w:rPr>
          <w:iCs/>
        </w:rPr>
        <w:t>appropriate</w:t>
      </w:r>
      <w:r w:rsidR="00524504">
        <w:rPr>
          <w:iCs/>
        </w:rPr>
        <w:t xml:space="preserve"> as clinicians would not be familiar with it</w:t>
      </w:r>
      <w:r w:rsidR="007745BF" w:rsidRPr="00416C64">
        <w:rPr>
          <w:iCs/>
        </w:rPr>
        <w:t xml:space="preserve">. </w:t>
      </w:r>
      <w:r w:rsidR="007745BF" w:rsidRPr="00D86368">
        <w:rPr>
          <w:iCs/>
        </w:rPr>
        <w:t xml:space="preserve">The PBAC instead advised that the restriction continue to make reference to the need for a patient to be experiencing significant symptoms despite LAMA/LABA therapy. </w:t>
      </w:r>
      <w:r w:rsidR="00BA6BE3" w:rsidRPr="00416C64">
        <w:rPr>
          <w:iCs/>
        </w:rPr>
        <w:t xml:space="preserve">The </w:t>
      </w:r>
      <w:r w:rsidR="007745BF" w:rsidRPr="00416C64">
        <w:rPr>
          <w:iCs/>
        </w:rPr>
        <w:t>PBAC</w:t>
      </w:r>
      <w:r w:rsidR="00BA6BE3" w:rsidRPr="00416C64">
        <w:rPr>
          <w:iCs/>
        </w:rPr>
        <w:t xml:space="preserve"> also considered that the restriction should include</w:t>
      </w:r>
      <w:r w:rsidR="00BA6BE3" w:rsidRPr="00416C64">
        <w:rPr>
          <w:i/>
          <w:iCs/>
        </w:rPr>
        <w:t xml:space="preserve"> </w:t>
      </w:r>
      <w:r w:rsidR="00BA6BE3" w:rsidRPr="00416C64">
        <w:rPr>
          <w:iCs/>
        </w:rPr>
        <w:t>reference to the importance of spirometry in the diagnosis of COPD</w:t>
      </w:r>
      <w:r w:rsidR="008B6FE6" w:rsidRPr="00416C64">
        <w:rPr>
          <w:iCs/>
        </w:rPr>
        <w:t xml:space="preserve"> with the administrative advice consistent with current LAMA/LABA and ICS/LABA FDC restrictions in relation to this issue</w:t>
      </w:r>
      <w:r w:rsidR="00BA6BE3" w:rsidRPr="00416C64">
        <w:rPr>
          <w:iCs/>
        </w:rPr>
        <w:t xml:space="preserve">. </w:t>
      </w:r>
      <w:r w:rsidRPr="00416C64">
        <w:rPr>
          <w:iCs/>
        </w:rPr>
        <w:t xml:space="preserve">The </w:t>
      </w:r>
      <w:r w:rsidR="007745BF" w:rsidRPr="00416C64">
        <w:rPr>
          <w:iCs/>
        </w:rPr>
        <w:t>PBAC</w:t>
      </w:r>
      <w:r w:rsidRPr="00416C64">
        <w:rPr>
          <w:iCs/>
        </w:rPr>
        <w:t xml:space="preserve"> </w:t>
      </w:r>
      <w:r w:rsidR="00BA6BE3" w:rsidRPr="00416C64">
        <w:rPr>
          <w:iCs/>
        </w:rPr>
        <w:t>considered</w:t>
      </w:r>
      <w:r w:rsidRPr="00416C64">
        <w:rPr>
          <w:iCs/>
        </w:rPr>
        <w:t xml:space="preserve"> that, </w:t>
      </w:r>
      <w:r w:rsidR="00E657F5" w:rsidRPr="00416C64">
        <w:rPr>
          <w:iCs/>
        </w:rPr>
        <w:t>with these changes</w:t>
      </w:r>
      <w:r w:rsidRPr="00416C64">
        <w:rPr>
          <w:iCs/>
        </w:rPr>
        <w:t xml:space="preserve"> made to the restriction, it would be appropriat</w:t>
      </w:r>
      <w:r w:rsidR="009B43F6" w:rsidRPr="00416C64">
        <w:rPr>
          <w:iCs/>
        </w:rPr>
        <w:t>e</w:t>
      </w:r>
      <w:r w:rsidRPr="00416C64">
        <w:rPr>
          <w:iCs/>
        </w:rPr>
        <w:t xml:space="preserve"> to remove the FEV1 criterion. </w:t>
      </w:r>
      <w:r w:rsidR="00C8690E" w:rsidRPr="00416C64">
        <w:rPr>
          <w:iCs/>
        </w:rPr>
        <w:t xml:space="preserve">However, even with the proposed changes to the restriction </w:t>
      </w:r>
      <w:r w:rsidR="00013D57" w:rsidRPr="00416C64">
        <w:rPr>
          <w:iCs/>
        </w:rPr>
        <w:t xml:space="preserve">the </w:t>
      </w:r>
      <w:r w:rsidR="007745BF" w:rsidRPr="00416C64">
        <w:rPr>
          <w:iCs/>
        </w:rPr>
        <w:t>PBAC</w:t>
      </w:r>
      <w:r w:rsidR="00013D57" w:rsidRPr="00416C64">
        <w:rPr>
          <w:iCs/>
        </w:rPr>
        <w:t xml:space="preserve"> remained concerned regarding</w:t>
      </w:r>
      <w:r w:rsidR="00C8690E" w:rsidRPr="00416C64">
        <w:rPr>
          <w:iCs/>
        </w:rPr>
        <w:t xml:space="preserve"> the</w:t>
      </w:r>
      <w:r w:rsidR="00013D57" w:rsidRPr="00416C64">
        <w:rPr>
          <w:iCs/>
        </w:rPr>
        <w:t xml:space="preserve"> potential use of </w:t>
      </w:r>
      <w:r w:rsidR="00C8690E" w:rsidRPr="00416C64">
        <w:t xml:space="preserve">Trelegy earlier in the treatment algorithm than </w:t>
      </w:r>
      <w:r w:rsidR="00802CCE" w:rsidRPr="00416C64">
        <w:t xml:space="preserve">clinically appropriate. </w:t>
      </w:r>
      <w:r w:rsidR="00C8690E" w:rsidRPr="00416C64">
        <w:t xml:space="preserve"> </w:t>
      </w:r>
    </w:p>
    <w:p w:rsidR="006629DD" w:rsidRPr="00416C64" w:rsidRDefault="00AB3BE4" w:rsidP="005A2C9B">
      <w:pPr>
        <w:pStyle w:val="ListParagraph"/>
        <w:widowControl/>
        <w:numPr>
          <w:ilvl w:val="1"/>
          <w:numId w:val="3"/>
        </w:numPr>
        <w:spacing w:after="120"/>
        <w:rPr>
          <w:iCs/>
        </w:rPr>
      </w:pPr>
      <w:r w:rsidRPr="00416C64">
        <w:t>The</w:t>
      </w:r>
      <w:r w:rsidR="00694B7A" w:rsidRPr="00416C64">
        <w:t xml:space="preserve"> submission </w:t>
      </w:r>
      <w:r w:rsidRPr="00416C64">
        <w:t xml:space="preserve">also </w:t>
      </w:r>
      <w:r w:rsidR="00694B7A" w:rsidRPr="00416C64">
        <w:t xml:space="preserve">stated (p 28) that as current PBS listings for ICS/LABA </w:t>
      </w:r>
      <w:r w:rsidRPr="00416C64">
        <w:t xml:space="preserve">combination products </w:t>
      </w:r>
      <w:r w:rsidR="00694B7A" w:rsidRPr="00416C64">
        <w:t xml:space="preserve">also contain this historical </w:t>
      </w:r>
      <w:proofErr w:type="spellStart"/>
      <w:r w:rsidR="00694B7A" w:rsidRPr="00416C64">
        <w:t>spirometric</w:t>
      </w:r>
      <w:proofErr w:type="spellEnd"/>
      <w:r w:rsidR="00694B7A" w:rsidRPr="00416C64">
        <w:t xml:space="preserve"> requirement, the requested amendment </w:t>
      </w:r>
      <w:r w:rsidRPr="00416C64">
        <w:t xml:space="preserve">in this submission </w:t>
      </w:r>
      <w:r w:rsidR="00694B7A" w:rsidRPr="00416C64">
        <w:t>is also considered applicable to all PBS listed ICS/LABA products.</w:t>
      </w:r>
      <w:r w:rsidR="00393D5D" w:rsidRPr="00416C64">
        <w:t xml:space="preserve"> </w:t>
      </w:r>
      <w:r w:rsidR="006629DD" w:rsidRPr="00416C64">
        <w:rPr>
          <w:iCs/>
        </w:rPr>
        <w:t>It is noted that the TGA indications for ICS/LABA FDCs currently restrict use to patients with FEV1&lt;50% or &lt;70% predicted (depending on the product).</w:t>
      </w:r>
      <w:r w:rsidR="00393D5D" w:rsidRPr="00416C64">
        <w:rPr>
          <w:iCs/>
        </w:rPr>
        <w:t xml:space="preserve"> </w:t>
      </w:r>
      <w:r w:rsidR="0061472B" w:rsidRPr="00416C64">
        <w:rPr>
          <w:iCs/>
        </w:rPr>
        <w:t>T</w:t>
      </w:r>
      <w:r w:rsidR="007D14A4" w:rsidRPr="00416C64">
        <w:rPr>
          <w:iCs/>
        </w:rPr>
        <w:t>he PBAC considered that it would be</w:t>
      </w:r>
      <w:r w:rsidR="0061472B" w:rsidRPr="00416C64">
        <w:rPr>
          <w:iCs/>
        </w:rPr>
        <w:t xml:space="preserve"> appropriate for the request to remove the FEV1 threshold from the</w:t>
      </w:r>
      <w:r w:rsidR="007D14A4" w:rsidRPr="00416C64">
        <w:rPr>
          <w:iCs/>
        </w:rPr>
        <w:t xml:space="preserve"> Trelegy</w:t>
      </w:r>
      <w:r w:rsidR="0061472B" w:rsidRPr="00416C64">
        <w:rPr>
          <w:iCs/>
        </w:rPr>
        <w:t xml:space="preserve"> clinical criteria to be applied to the COPD indication for all ICS/LABA FDC products</w:t>
      </w:r>
      <w:r w:rsidR="00524504">
        <w:rPr>
          <w:iCs/>
        </w:rPr>
        <w:t xml:space="preserve"> to maintain consistency</w:t>
      </w:r>
      <w:r w:rsidR="0061472B" w:rsidRPr="00416C64">
        <w:rPr>
          <w:iCs/>
        </w:rPr>
        <w:t xml:space="preserve">. </w:t>
      </w:r>
      <w:r w:rsidR="00524504">
        <w:rPr>
          <w:iCs/>
        </w:rPr>
        <w:t>However, t</w:t>
      </w:r>
      <w:r w:rsidR="0061472B" w:rsidRPr="00416C64">
        <w:rPr>
          <w:iCs/>
        </w:rPr>
        <w:t xml:space="preserve">he PBAC advised that that </w:t>
      </w:r>
      <w:r w:rsidR="007D14A4" w:rsidRPr="00416C64">
        <w:rPr>
          <w:iCs/>
        </w:rPr>
        <w:t xml:space="preserve">any such </w:t>
      </w:r>
      <w:r w:rsidR="0061472B" w:rsidRPr="00416C64">
        <w:rPr>
          <w:iCs/>
        </w:rPr>
        <w:t xml:space="preserve">change to the </w:t>
      </w:r>
      <w:r w:rsidR="007D14A4" w:rsidRPr="00416C64">
        <w:rPr>
          <w:iCs/>
        </w:rPr>
        <w:t xml:space="preserve">ICS/LABA FDC </w:t>
      </w:r>
      <w:r w:rsidR="0061472B" w:rsidRPr="00416C64">
        <w:rPr>
          <w:iCs/>
        </w:rPr>
        <w:t xml:space="preserve">restriction should </w:t>
      </w:r>
      <w:r w:rsidR="00524504">
        <w:rPr>
          <w:iCs/>
        </w:rPr>
        <w:t xml:space="preserve">also </w:t>
      </w:r>
      <w:r w:rsidR="0061472B" w:rsidRPr="00416C64">
        <w:rPr>
          <w:iCs/>
        </w:rPr>
        <w:t xml:space="preserve">be accompanied by specification </w:t>
      </w:r>
      <w:r w:rsidR="0061472B" w:rsidRPr="00416C64">
        <w:rPr>
          <w:iCs/>
        </w:rPr>
        <w:lastRenderedPageBreak/>
        <w:t xml:space="preserve">of the exacerbation severity and the 12 month time period for the exacerbation history. </w:t>
      </w:r>
    </w:p>
    <w:p w:rsidR="0072152B" w:rsidRPr="00416C64" w:rsidRDefault="0072152B" w:rsidP="005A2C9B">
      <w:pPr>
        <w:pStyle w:val="ListParagraph"/>
        <w:widowControl/>
        <w:spacing w:after="120"/>
        <w:rPr>
          <w:iCs/>
        </w:rPr>
      </w:pPr>
      <w:r w:rsidRPr="00416C64">
        <w:rPr>
          <w:i/>
        </w:rPr>
        <w:t>For more detail on PBAC’s view, see section 7 PBAC outcome.</w:t>
      </w:r>
    </w:p>
    <w:p w:rsidR="00B50DB8" w:rsidRPr="00416C64" w:rsidRDefault="00B50DB8" w:rsidP="00A56858">
      <w:pPr>
        <w:pStyle w:val="PBACHeading1"/>
        <w:ind w:left="709" w:hanging="709"/>
      </w:pPr>
      <w:bookmarkStart w:id="5" w:name="_Toc535934768"/>
      <w:r w:rsidRPr="00416C64">
        <w:t>Background</w:t>
      </w:r>
      <w:bookmarkEnd w:id="5"/>
    </w:p>
    <w:p w:rsidR="008F1521" w:rsidRPr="005A2C9B" w:rsidRDefault="008F1521" w:rsidP="001D26BB">
      <w:pPr>
        <w:pStyle w:val="Heading2"/>
        <w:spacing w:before="240"/>
      </w:pPr>
      <w:r w:rsidRPr="005A2C9B">
        <w:t>Current PBS listing</w:t>
      </w:r>
    </w:p>
    <w:p w:rsidR="00393D5D" w:rsidRPr="00416C64" w:rsidRDefault="008F1521" w:rsidP="005A2C9B">
      <w:pPr>
        <w:pStyle w:val="ListParagraph"/>
        <w:widowControl/>
        <w:numPr>
          <w:ilvl w:val="1"/>
          <w:numId w:val="3"/>
        </w:numPr>
      </w:pPr>
      <w:r w:rsidRPr="00416C64">
        <w:t>The PBAC recommended</w:t>
      </w:r>
      <w:r w:rsidR="00393D5D" w:rsidRPr="00416C64">
        <w:t xml:space="preserve"> the</w:t>
      </w:r>
      <w:r w:rsidRPr="00416C64">
        <w:t xml:space="preserve"> listing of Trelegy in December 2017 for treatment of COPD in patients with FEV1 &lt;50% predicted and history of repeated exacerbations with significant symptoms despite maintenance with dual therapy</w:t>
      </w:r>
      <w:r w:rsidR="0034637C" w:rsidRPr="00416C64">
        <w:t xml:space="preserve"> LAMA and LABA, or an ICS</w:t>
      </w:r>
      <w:r w:rsidR="00013D57" w:rsidRPr="00416C64">
        <w:t>.</w:t>
      </w:r>
    </w:p>
    <w:p w:rsidR="00393D5D" w:rsidRPr="00416C64" w:rsidRDefault="00A23C24" w:rsidP="005A2C9B">
      <w:pPr>
        <w:pStyle w:val="ListParagraph"/>
        <w:widowControl/>
        <w:numPr>
          <w:ilvl w:val="1"/>
          <w:numId w:val="3"/>
        </w:numPr>
      </w:pPr>
      <w:r w:rsidRPr="00416C64">
        <w:t xml:space="preserve">The requested listing in the </w:t>
      </w:r>
      <w:r w:rsidR="00082060" w:rsidRPr="00416C64">
        <w:t xml:space="preserve">December 2017 </w:t>
      </w:r>
      <w:r w:rsidRPr="00416C64">
        <w:t>submission</w:t>
      </w:r>
      <w:r w:rsidR="00404721" w:rsidRPr="00416C64">
        <w:t xml:space="preserve"> </w:t>
      </w:r>
      <w:r w:rsidRPr="00416C64">
        <w:t>was on the basis of cost-minimisation to triple therapy with fluticasone propionate 500 mcg/</w:t>
      </w:r>
      <w:proofErr w:type="spellStart"/>
      <w:r w:rsidRPr="00416C64">
        <w:t>salmeterol</w:t>
      </w:r>
      <w:proofErr w:type="spellEnd"/>
      <w:r w:rsidRPr="00416C64">
        <w:t xml:space="preserve"> 50 mcg FDC twice daily plus </w:t>
      </w:r>
      <w:proofErr w:type="spellStart"/>
      <w:r w:rsidRPr="00416C64">
        <w:t>tiotropium</w:t>
      </w:r>
      <w:proofErr w:type="spellEnd"/>
      <w:r w:rsidRPr="00416C64">
        <w:t xml:space="preserve"> 18 mcg once daily as proxy for all ICS, LABA and LAMA combinations. The previous submission also presented a cost-consequence analysis </w:t>
      </w:r>
      <w:r w:rsidR="00C44E86" w:rsidRPr="00416C64">
        <w:t xml:space="preserve">of Trelegy </w:t>
      </w:r>
      <w:r w:rsidRPr="00416C64">
        <w:t>versus any LAMA/LABA FDC.</w:t>
      </w:r>
      <w:r w:rsidR="00393D5D" w:rsidRPr="00416C64">
        <w:t xml:space="preserve"> </w:t>
      </w:r>
      <w:r w:rsidRPr="00416C64">
        <w:t>O</w:t>
      </w:r>
      <w:r w:rsidR="00EF7C9E" w:rsidRPr="00416C64">
        <w:t xml:space="preserve">n </w:t>
      </w:r>
      <w:r w:rsidRPr="00416C64">
        <w:t xml:space="preserve">the grounds of the </w:t>
      </w:r>
      <w:r w:rsidR="00EF7C9E" w:rsidRPr="00416C64">
        <w:t xml:space="preserve">indirect evidence presented, the PBAC accepted that Trelegy is likely </w:t>
      </w:r>
      <w:r w:rsidR="00082060" w:rsidRPr="00416C64">
        <w:t xml:space="preserve">to be </w:t>
      </w:r>
      <w:r w:rsidR="00EF7C9E" w:rsidRPr="00416C64">
        <w:t>non-inferior in terms of efficacy and safety compared to concomitant use of LAMA, LABA and ICS</w:t>
      </w:r>
      <w:r w:rsidRPr="00416C64">
        <w:t xml:space="preserve">, and “whilst this was informative, this was not the appropriate main comparison for determining cost effectiveness of Trelegy” (Paragraph 7.4, Trelegy Public Summary Document (PSD), </w:t>
      </w:r>
      <w:proofErr w:type="gramStart"/>
      <w:r w:rsidRPr="00416C64">
        <w:t>December</w:t>
      </w:r>
      <w:proofErr w:type="gramEnd"/>
      <w:r w:rsidRPr="00416C64">
        <w:t xml:space="preserve"> 2017).</w:t>
      </w:r>
    </w:p>
    <w:p w:rsidR="00B70176" w:rsidRPr="00416C64" w:rsidRDefault="00AA4948" w:rsidP="005A2C9B">
      <w:pPr>
        <w:pStyle w:val="ListParagraph"/>
        <w:widowControl/>
        <w:numPr>
          <w:ilvl w:val="1"/>
          <w:numId w:val="3"/>
        </w:numPr>
      </w:pPr>
      <w:r w:rsidRPr="00416C64">
        <w:t>T</w:t>
      </w:r>
      <w:r w:rsidR="0095508E" w:rsidRPr="00416C64">
        <w:t>he PBAC considered “Trelegy might be associated with a modest improvement in efficacy in terms of lung function and exacerbations over dual therapy with LAMA/LABA” based on indirect evidence</w:t>
      </w:r>
      <w:r w:rsidRPr="00416C64">
        <w:t>, and recommended a “small price advantage … over the price of a currently listed LAMA/LABA FDC”</w:t>
      </w:r>
      <w:r w:rsidR="003A7852" w:rsidRPr="00416C64">
        <w:t xml:space="preserve"> (Paragraphs 7.5 and 7.7, Trelegy </w:t>
      </w:r>
      <w:r w:rsidR="00A23C24" w:rsidRPr="00416C64">
        <w:t>PSD</w:t>
      </w:r>
      <w:r w:rsidR="003A7852" w:rsidRPr="00416C64">
        <w:t>, December 2017).</w:t>
      </w:r>
    </w:p>
    <w:p w:rsidR="002868F9" w:rsidRPr="00416C64" w:rsidRDefault="0095508E" w:rsidP="005A2C9B">
      <w:pPr>
        <w:pStyle w:val="ListParagraph"/>
        <w:widowControl/>
        <w:numPr>
          <w:ilvl w:val="1"/>
          <w:numId w:val="3"/>
        </w:numPr>
      </w:pPr>
      <w:r w:rsidRPr="00416C64">
        <w:t xml:space="preserve">Although limited data from the IMPACT trial was available at that time, the PBAC considered </w:t>
      </w:r>
      <w:r w:rsidRPr="00416C64">
        <w:rPr>
          <w:bCs/>
          <w:szCs w:val="24"/>
        </w:rPr>
        <w:t xml:space="preserve">“the IMPACT trial could be used to inform a cost-effectiveness analysis of triple therapy in COPD over dual therapy with LAMA/LABA in order to more reliably determine the </w:t>
      </w:r>
      <w:r w:rsidRPr="00416C64">
        <w:t>magnitude</w:t>
      </w:r>
      <w:r w:rsidRPr="00416C64">
        <w:rPr>
          <w:bCs/>
          <w:szCs w:val="24"/>
        </w:rPr>
        <w:t xml:space="preserve"> of any incremental benefit and give a better estimate of the cost-effectiveness of triple therapy”</w:t>
      </w:r>
      <w:r w:rsidR="003A7852" w:rsidRPr="00416C64">
        <w:rPr>
          <w:bCs/>
          <w:szCs w:val="24"/>
        </w:rPr>
        <w:t xml:space="preserve"> (Paragraph 7.8, Trelegy PSD, </w:t>
      </w:r>
      <w:r w:rsidR="00DF3751" w:rsidRPr="00416C64">
        <w:rPr>
          <w:bCs/>
          <w:szCs w:val="24"/>
        </w:rPr>
        <w:t>December</w:t>
      </w:r>
      <w:r w:rsidR="003A7852" w:rsidRPr="00416C64">
        <w:rPr>
          <w:bCs/>
          <w:szCs w:val="24"/>
        </w:rPr>
        <w:t xml:space="preserve"> 2017).</w:t>
      </w:r>
      <w:r w:rsidR="005F2175" w:rsidRPr="00416C64">
        <w:rPr>
          <w:bCs/>
          <w:szCs w:val="24"/>
        </w:rPr>
        <w:t xml:space="preserve"> </w:t>
      </w:r>
      <w:r w:rsidR="00602FB5" w:rsidRPr="00416C64">
        <w:rPr>
          <w:bCs/>
          <w:szCs w:val="24"/>
        </w:rPr>
        <w:t>The PBAC noted that t</w:t>
      </w:r>
      <w:r w:rsidR="0076770C" w:rsidRPr="00416C64">
        <w:rPr>
          <w:bCs/>
          <w:szCs w:val="24"/>
        </w:rPr>
        <w:t xml:space="preserve">his was not the purpose of the </w:t>
      </w:r>
      <w:r w:rsidR="003757A7" w:rsidRPr="00416C64">
        <w:rPr>
          <w:bCs/>
          <w:szCs w:val="24"/>
        </w:rPr>
        <w:t xml:space="preserve">current </w:t>
      </w:r>
      <w:r w:rsidR="0076770C" w:rsidRPr="00416C64">
        <w:rPr>
          <w:bCs/>
          <w:szCs w:val="24"/>
        </w:rPr>
        <w:t xml:space="preserve">submission. Instead, the </w:t>
      </w:r>
      <w:r w:rsidR="003757A7" w:rsidRPr="00416C64">
        <w:rPr>
          <w:bCs/>
          <w:szCs w:val="24"/>
        </w:rPr>
        <w:t xml:space="preserve">current </w:t>
      </w:r>
      <w:r w:rsidR="0076770C" w:rsidRPr="00416C64">
        <w:rPr>
          <w:bCs/>
          <w:szCs w:val="24"/>
        </w:rPr>
        <w:t xml:space="preserve">submission presented a cost utility analysis based on the results of the IMPACT trial to justify the removal of the FEV1 threshold in the current restriction and the removal of </w:t>
      </w:r>
      <w:r w:rsidR="007A2AFA" w:rsidRPr="00416C64">
        <w:rPr>
          <w:bCs/>
          <w:szCs w:val="24"/>
        </w:rPr>
        <w:t xml:space="preserve">the </w:t>
      </w:r>
      <w:r w:rsidR="0076770C" w:rsidRPr="00416C64">
        <w:rPr>
          <w:bCs/>
          <w:szCs w:val="24"/>
        </w:rPr>
        <w:t xml:space="preserve">current </w:t>
      </w:r>
      <w:r w:rsidR="00416C64">
        <w:rPr>
          <w:bCs/>
          <w:szCs w:val="24"/>
        </w:rPr>
        <w:t>Risk Sharing Arrangement</w:t>
      </w:r>
      <w:r w:rsidR="007A2AFA" w:rsidRPr="00416C64">
        <w:rPr>
          <w:bCs/>
          <w:szCs w:val="24"/>
        </w:rPr>
        <w:t xml:space="preserve"> and subsidisation caps. </w:t>
      </w:r>
      <w:r w:rsidR="00524504">
        <w:rPr>
          <w:bCs/>
          <w:szCs w:val="24"/>
        </w:rPr>
        <w:t xml:space="preserve"> </w:t>
      </w:r>
    </w:p>
    <w:p w:rsidR="00D30692" w:rsidRPr="00416C64" w:rsidRDefault="00D30692" w:rsidP="005A2C9B">
      <w:pPr>
        <w:pStyle w:val="ListParagraph"/>
        <w:widowControl/>
        <w:numPr>
          <w:ilvl w:val="1"/>
          <w:numId w:val="3"/>
        </w:numPr>
      </w:pPr>
      <w:r w:rsidRPr="00416C64">
        <w:t>The previous Trelegy submission was reviewed by DUSC.</w:t>
      </w:r>
      <w:r w:rsidR="00393D5D" w:rsidRPr="00416C64">
        <w:t xml:space="preserve"> </w:t>
      </w:r>
      <w:r w:rsidRPr="00416C64">
        <w:t xml:space="preserve">DUSC </w:t>
      </w:r>
      <w:r w:rsidR="001F1868" w:rsidRPr="00416C64">
        <w:t xml:space="preserve">noted that the clinical criteria limiting use to patients with an FEV1 &lt;50% predicted normal would not limit inappropriate use of triple therapy, particularly given low levels of spirometry testing performed in general practice and the accuracy of tests in determining disease </w:t>
      </w:r>
      <w:r w:rsidR="001F1868" w:rsidRPr="00416C64">
        <w:lastRenderedPageBreak/>
        <w:t>severity.</w:t>
      </w:r>
      <w:r w:rsidR="00393D5D" w:rsidRPr="00416C64">
        <w:t xml:space="preserve"> </w:t>
      </w:r>
      <w:r w:rsidR="001F1868" w:rsidRPr="00416C64">
        <w:t>DUSC considered that there was</w:t>
      </w:r>
      <w:r w:rsidRPr="00416C64">
        <w:t xml:space="preserve"> a high risk that Trelegy will be use</w:t>
      </w:r>
      <w:r w:rsidR="001F1868" w:rsidRPr="00416C64">
        <w:t>d outside of the PBS restriction earlier in the treatment pathway than may be clinically appropriate, in less severe disease, and in asthma.</w:t>
      </w:r>
      <w:r w:rsidR="00393D5D" w:rsidRPr="00416C64">
        <w:t xml:space="preserve"> </w:t>
      </w:r>
      <w:r w:rsidR="001F1868" w:rsidRPr="00416C64">
        <w:t>This was likely to grow the triple therapy market as patients who would otherwise be managed with mono</w:t>
      </w:r>
      <w:r w:rsidR="00A14871" w:rsidRPr="00416C64">
        <w:t>-</w:t>
      </w:r>
      <w:r w:rsidR="001F1868" w:rsidRPr="00416C64">
        <w:t xml:space="preserve"> or dual therapy may initiate triple therapy</w:t>
      </w:r>
      <w:r w:rsidR="00013D57" w:rsidRPr="00416C64">
        <w:t>.</w:t>
      </w:r>
      <w:r w:rsidR="001F1868" w:rsidRPr="00416C64">
        <w:rPr>
          <w:iCs/>
        </w:rPr>
        <w:t xml:space="preserve"> The</w:t>
      </w:r>
      <w:r w:rsidR="00013D57" w:rsidRPr="00416C64">
        <w:rPr>
          <w:iCs/>
        </w:rPr>
        <w:t xml:space="preserve"> ESC considered that the</w:t>
      </w:r>
      <w:r w:rsidR="001F1868" w:rsidRPr="00416C64">
        <w:rPr>
          <w:iCs/>
        </w:rPr>
        <w:t xml:space="preserve"> risk of use outside of restriction and concerns raised regarding the inappropriate escalation to triple therapy remain relevant to the current submission.</w:t>
      </w:r>
    </w:p>
    <w:p w:rsidR="00B60939" w:rsidRPr="005A2C9B" w:rsidRDefault="00591957" w:rsidP="001D26BB">
      <w:pPr>
        <w:pStyle w:val="Heading2"/>
        <w:spacing w:before="240"/>
      </w:pPr>
      <w:r w:rsidRPr="005A2C9B">
        <w:t>Registration status</w:t>
      </w:r>
    </w:p>
    <w:p w:rsidR="00711D08" w:rsidRPr="00416C64" w:rsidRDefault="009F2383" w:rsidP="005A2C9B">
      <w:pPr>
        <w:pStyle w:val="ListParagraph"/>
        <w:widowControl/>
        <w:numPr>
          <w:ilvl w:val="1"/>
          <w:numId w:val="3"/>
        </w:numPr>
      </w:pPr>
      <w:r w:rsidRPr="00416C64">
        <w:t>Trelegy was</w:t>
      </w:r>
      <w:r w:rsidR="008F1521" w:rsidRPr="00416C64">
        <w:t xml:space="preserve"> TGA</w:t>
      </w:r>
      <w:r w:rsidRPr="00416C64">
        <w:t xml:space="preserve"> registered on the 16 January 2018 for “the maintenance treatment of adults with moderate to severe COPD who require treatment with LAMA+LABA+</w:t>
      </w:r>
      <w:r w:rsidR="006E6493" w:rsidRPr="00416C64">
        <w:rPr>
          <w:rFonts w:cs="Times New Roman"/>
          <w:snapToGrid/>
          <w:color w:val="000000"/>
          <w:sz w:val="22"/>
          <w:lang w:eastAsia="en-AU"/>
        </w:rPr>
        <w:t xml:space="preserve"> </w:t>
      </w:r>
      <w:r w:rsidR="00404721" w:rsidRPr="00416C64">
        <w:t>ICS.</w:t>
      </w:r>
      <w:r w:rsidR="00393D5D" w:rsidRPr="00416C64">
        <w:t xml:space="preserve"> </w:t>
      </w:r>
      <w:r w:rsidRPr="00416C64">
        <w:t xml:space="preserve">Trelegy </w:t>
      </w:r>
      <w:proofErr w:type="spellStart"/>
      <w:r w:rsidRPr="00416C64">
        <w:t>Ellipta</w:t>
      </w:r>
      <w:proofErr w:type="spellEnd"/>
      <w:r w:rsidRPr="00416C64">
        <w:t xml:space="preserve"> is not indicated for the initiation of therapy in COPD.”</w:t>
      </w:r>
      <w:r w:rsidR="00393D5D" w:rsidRPr="00416C64">
        <w:t xml:space="preserve"> </w:t>
      </w:r>
      <w:r w:rsidR="00EF261E" w:rsidRPr="00416C64">
        <w:t>The Sponsor submitted a category 1 application to the TGA on the 25th May 2018 to include data from the IMPACT trial in the product information (PI).</w:t>
      </w:r>
    </w:p>
    <w:p w:rsidR="00711D08" w:rsidRPr="00416C64" w:rsidRDefault="00711D08" w:rsidP="005A2C9B">
      <w:pPr>
        <w:pStyle w:val="ListParagraph"/>
        <w:widowControl/>
        <w:numPr>
          <w:ilvl w:val="1"/>
          <w:numId w:val="3"/>
        </w:numPr>
      </w:pPr>
      <w:r w:rsidRPr="00416C64">
        <w:rPr>
          <w:iCs/>
        </w:rPr>
        <w:t xml:space="preserve">The requested listing was generally consistent with the TGA indication </w:t>
      </w:r>
      <w:r w:rsidR="00FD579C" w:rsidRPr="00416C64">
        <w:rPr>
          <w:iCs/>
        </w:rPr>
        <w:t>despite</w:t>
      </w:r>
      <w:r w:rsidRPr="00416C64">
        <w:rPr>
          <w:iCs/>
        </w:rPr>
        <w:t xml:space="preserve"> no universal grading for COPD severity.</w:t>
      </w:r>
      <w:r w:rsidR="00393D5D" w:rsidRPr="00416C64">
        <w:rPr>
          <w:iCs/>
        </w:rPr>
        <w:t xml:space="preserve"> </w:t>
      </w:r>
      <w:r w:rsidRPr="00416C64">
        <w:rPr>
          <w:iCs/>
        </w:rPr>
        <w:t xml:space="preserve">While the Australian COPD-X guidelines define ‘moderate to severe’ disease based </w:t>
      </w:r>
      <w:r w:rsidR="002E2381" w:rsidRPr="00416C64">
        <w:rPr>
          <w:iCs/>
        </w:rPr>
        <w:t xml:space="preserve">on symptoms and </w:t>
      </w:r>
      <w:r w:rsidRPr="00416C64">
        <w:rPr>
          <w:iCs/>
        </w:rPr>
        <w:t>airflow obstruction (FEV1 % predicted &lt; “</w:t>
      </w:r>
      <w:r w:rsidRPr="00416C64">
        <w:rPr>
          <w:rFonts w:cs="Calibri"/>
          <w:iCs/>
        </w:rPr>
        <w:t>≈</w:t>
      </w:r>
      <w:r w:rsidRPr="00416C64">
        <w:rPr>
          <w:iCs/>
        </w:rPr>
        <w:t xml:space="preserve">59%”), GOLD treatment guidelines </w:t>
      </w:r>
      <w:r w:rsidR="00117790" w:rsidRPr="00416C64">
        <w:rPr>
          <w:iCs/>
        </w:rPr>
        <w:t>separately</w:t>
      </w:r>
      <w:r w:rsidRPr="00416C64">
        <w:rPr>
          <w:iCs/>
        </w:rPr>
        <w:t xml:space="preserve"> classify </w:t>
      </w:r>
      <w:r w:rsidR="002E2381" w:rsidRPr="00416C64">
        <w:rPr>
          <w:iCs/>
        </w:rPr>
        <w:t>severit</w:t>
      </w:r>
      <w:r w:rsidR="00117790" w:rsidRPr="00416C64">
        <w:rPr>
          <w:iCs/>
        </w:rPr>
        <w:t>y</w:t>
      </w:r>
      <w:r w:rsidR="002E2381" w:rsidRPr="00416C64">
        <w:rPr>
          <w:iCs/>
        </w:rPr>
        <w:t xml:space="preserve"> for </w:t>
      </w:r>
      <w:r w:rsidRPr="00416C64">
        <w:rPr>
          <w:iCs/>
        </w:rPr>
        <w:t xml:space="preserve">airflow obstruction (mild to very severe, based on FEV1 % predicted), exacerbations (mild to severe based on required treatment and hospitalisation), and symptoms (‘less’ or ‘more’ based on self-assessed questionnaires). </w:t>
      </w:r>
    </w:p>
    <w:p w:rsidR="0072152B" w:rsidRPr="00416C64" w:rsidRDefault="0072152B" w:rsidP="005A2C9B">
      <w:pPr>
        <w:pStyle w:val="ListParagraph"/>
        <w:widowControl/>
      </w:pPr>
      <w:r w:rsidRPr="00416C64">
        <w:rPr>
          <w:i/>
        </w:rPr>
        <w:t>For more detail on PBAC’s view, see section 7 PBAC outcome.</w:t>
      </w:r>
    </w:p>
    <w:p w:rsidR="00B50DB8" w:rsidRPr="00416C64" w:rsidRDefault="00203181" w:rsidP="001D26BB">
      <w:pPr>
        <w:pStyle w:val="PBACHeading1"/>
        <w:ind w:left="709" w:hanging="709"/>
      </w:pPr>
      <w:bookmarkStart w:id="6" w:name="_Toc535934769"/>
      <w:r w:rsidRPr="00416C64">
        <w:t xml:space="preserve">Population and </w:t>
      </w:r>
      <w:r w:rsidR="008E0D3C" w:rsidRPr="00416C64">
        <w:t>d</w:t>
      </w:r>
      <w:r w:rsidRPr="00416C64">
        <w:t>isease</w:t>
      </w:r>
      <w:bookmarkEnd w:id="6"/>
    </w:p>
    <w:p w:rsidR="00AD4D9B" w:rsidRPr="00416C64" w:rsidRDefault="00AD4D9B" w:rsidP="005A2C9B">
      <w:pPr>
        <w:pStyle w:val="ListParagraph"/>
        <w:widowControl/>
        <w:numPr>
          <w:ilvl w:val="1"/>
          <w:numId w:val="3"/>
        </w:numPr>
      </w:pPr>
      <w:r w:rsidRPr="00416C64">
        <w:t>COPD is characterised by chronic inflammation of the lung tissue causing a mixture of small airways narrowing and emphysema leading to airflow limitation.</w:t>
      </w:r>
      <w:r w:rsidR="00393D5D" w:rsidRPr="00416C64">
        <w:t xml:space="preserve"> </w:t>
      </w:r>
      <w:r w:rsidRPr="00416C64">
        <w:t>Patients most commonly present with shortness of breath, chronic cough and sputum production.</w:t>
      </w:r>
      <w:r w:rsidR="00393D5D" w:rsidRPr="00416C64">
        <w:t xml:space="preserve"> </w:t>
      </w:r>
      <w:r w:rsidRPr="00416C64">
        <w:t>Less common symptoms include wheezing and chest tightness.</w:t>
      </w:r>
      <w:r w:rsidR="00393D5D" w:rsidRPr="00416C64">
        <w:t xml:space="preserve"> </w:t>
      </w:r>
      <w:r w:rsidRPr="00416C64">
        <w:t>Worsening of symptoms by irritants such as infection, exposure to noxious particles or gases (most commonly cigarette smoke) can result in exacerbations, hospitalisations and death.</w:t>
      </w:r>
      <w:r w:rsidR="00393D5D" w:rsidRPr="00416C64">
        <w:t xml:space="preserve"> </w:t>
      </w:r>
    </w:p>
    <w:p w:rsidR="00901465" w:rsidRPr="00416C64" w:rsidRDefault="00CE752F" w:rsidP="005A2C9B">
      <w:pPr>
        <w:pStyle w:val="ListParagraph"/>
        <w:widowControl/>
        <w:numPr>
          <w:ilvl w:val="1"/>
          <w:numId w:val="3"/>
        </w:numPr>
      </w:pPr>
      <w:r w:rsidRPr="00416C64">
        <w:t>T</w:t>
      </w:r>
      <w:r w:rsidR="001356C5" w:rsidRPr="00416C64">
        <w:t>he severity of airflow limitation</w:t>
      </w:r>
      <w:r w:rsidRPr="00416C64">
        <w:t xml:space="preserve"> in COPD is measured using spirometry and defined based on FEV1 % predicted</w:t>
      </w:r>
      <w:r w:rsidR="00901465" w:rsidRPr="00416C64">
        <w:t>.</w:t>
      </w:r>
      <w:r w:rsidR="00393D5D" w:rsidRPr="00416C64">
        <w:t xml:space="preserve"> </w:t>
      </w:r>
      <w:r w:rsidR="00901465" w:rsidRPr="00416C64">
        <w:t>However, there is only a weak correlation between FEV1</w:t>
      </w:r>
      <w:r w:rsidR="00F933FA" w:rsidRPr="00416C64">
        <w:t> </w:t>
      </w:r>
      <w:r w:rsidR="00901465" w:rsidRPr="00416C64">
        <w:t xml:space="preserve">% predicted, symptoms and impairment of a patient’s health status. </w:t>
      </w:r>
      <w:r w:rsidR="00B159A2" w:rsidRPr="00416C64">
        <w:t xml:space="preserve">The ESC considered </w:t>
      </w:r>
      <w:r w:rsidR="00E66BDC" w:rsidRPr="00416C64">
        <w:t xml:space="preserve">that, while FEV1 is a good marker of disease severity, it is not a good determinant of a patient’s future risk of exacerbations. </w:t>
      </w:r>
    </w:p>
    <w:p w:rsidR="007E29D4" w:rsidRPr="00416C64" w:rsidRDefault="00CE752F" w:rsidP="005A2C9B">
      <w:pPr>
        <w:pStyle w:val="ListParagraph"/>
        <w:widowControl/>
        <w:numPr>
          <w:ilvl w:val="1"/>
          <w:numId w:val="3"/>
        </w:numPr>
      </w:pPr>
      <w:r w:rsidRPr="00416C64">
        <w:t xml:space="preserve">Prior to 2017, GOLD </w:t>
      </w:r>
      <w:r w:rsidR="00AC2F92" w:rsidRPr="00416C64">
        <w:t xml:space="preserve">treatment </w:t>
      </w:r>
      <w:r w:rsidRPr="00416C64">
        <w:t xml:space="preserve">guidelines recommended </w:t>
      </w:r>
      <w:r w:rsidR="00AC2F92" w:rsidRPr="00416C64">
        <w:t>pharmacotherapy</w:t>
      </w:r>
      <w:r w:rsidRPr="00416C64">
        <w:t xml:space="preserve"> using spirometry criteria based on early </w:t>
      </w:r>
      <w:r w:rsidR="0003638A" w:rsidRPr="00416C64">
        <w:t>evidence that patients with ‘severe’ lung function impairment (FEV1 &lt;50% predicted) were prone to repeated exacerbations and hospitalisation.</w:t>
      </w:r>
      <w:r w:rsidR="00393D5D" w:rsidRPr="00416C64">
        <w:t xml:space="preserve"> </w:t>
      </w:r>
      <w:r w:rsidR="0003638A" w:rsidRPr="00416C64">
        <w:t xml:space="preserve">However, </w:t>
      </w:r>
      <w:r w:rsidR="00D25F1E" w:rsidRPr="00416C64">
        <w:t xml:space="preserve">updated guidelines reflect </w:t>
      </w:r>
      <w:r w:rsidR="0003638A" w:rsidRPr="00416C64">
        <w:t xml:space="preserve">current evidence </w:t>
      </w:r>
      <w:r w:rsidR="00D25F1E" w:rsidRPr="00416C64">
        <w:t xml:space="preserve">indicating </w:t>
      </w:r>
      <w:r w:rsidR="0003638A" w:rsidRPr="00416C64">
        <w:t xml:space="preserve">that </w:t>
      </w:r>
      <w:r w:rsidR="0003638A" w:rsidRPr="00416C64">
        <w:lastRenderedPageBreak/>
        <w:t>history of previous exacerbations is the best predictor of future episodes and patients with FEV1 ≥50% predicted can experience frequent exacerbations.</w:t>
      </w:r>
    </w:p>
    <w:p w:rsidR="00D25F1E" w:rsidRPr="00416C64" w:rsidRDefault="0067201B" w:rsidP="005A2C9B">
      <w:pPr>
        <w:pStyle w:val="ListParagraph"/>
        <w:widowControl/>
        <w:numPr>
          <w:ilvl w:val="1"/>
          <w:numId w:val="3"/>
        </w:numPr>
      </w:pPr>
      <w:r w:rsidRPr="00416C64">
        <w:t>GOLD (2018) recommends stepwise pharmacotherapy</w:t>
      </w:r>
      <w:r w:rsidR="007E29D4" w:rsidRPr="00416C64">
        <w:t xml:space="preserve"> based on exacerbation history and symptoms, irrespective of FEV1 % predicted.</w:t>
      </w:r>
      <w:r w:rsidR="00393D5D" w:rsidRPr="00416C64">
        <w:t xml:space="preserve"> </w:t>
      </w:r>
      <w:r w:rsidRPr="00416C64">
        <w:t>In particular, the guidelines recommend t</w:t>
      </w:r>
      <w:r w:rsidR="007E29D4" w:rsidRPr="00416C64">
        <w:t>riple therapy ICS/LAMA/LABA as a step up for patients at high risk of exacerbations (</w:t>
      </w:r>
      <w:r w:rsidR="007E29D4" w:rsidRPr="00416C64">
        <w:rPr>
          <w:rFonts w:cs="Calibri"/>
        </w:rPr>
        <w:t>≥</w:t>
      </w:r>
      <w:r w:rsidR="007E29D4" w:rsidRPr="00416C64">
        <w:t>2</w:t>
      </w:r>
      <w:r w:rsidR="00981050" w:rsidRPr="00416C64">
        <w:t xml:space="preserve"> moderate</w:t>
      </w:r>
      <w:r w:rsidR="007E29D4" w:rsidRPr="00416C64">
        <w:t xml:space="preserve"> exacerbations or </w:t>
      </w:r>
      <w:r w:rsidR="007E29D4" w:rsidRPr="00416C64">
        <w:rPr>
          <w:rFonts w:cs="Calibri"/>
        </w:rPr>
        <w:t>≥</w:t>
      </w:r>
      <w:r w:rsidR="007E29D4" w:rsidRPr="00416C64">
        <w:t xml:space="preserve">1 severe exacerbation in past 12 months) with </w:t>
      </w:r>
      <w:r w:rsidRPr="00416C64">
        <w:t>significant</w:t>
      </w:r>
      <w:r w:rsidR="007E29D4" w:rsidRPr="00416C64">
        <w:t xml:space="preserve"> symptoms</w:t>
      </w:r>
      <w:r w:rsidR="00823311" w:rsidRPr="00416C64">
        <w:t xml:space="preserve"> (</w:t>
      </w:r>
      <w:proofErr w:type="spellStart"/>
      <w:r w:rsidR="00823311" w:rsidRPr="00416C64">
        <w:t>mMRC</w:t>
      </w:r>
      <w:proofErr w:type="spellEnd"/>
      <w:r w:rsidR="007976BE" w:rsidRPr="00416C64">
        <w:t xml:space="preserve"> </w:t>
      </w:r>
      <w:r w:rsidR="00823311" w:rsidRPr="00416C64">
        <w:t>≥2, CAT</w:t>
      </w:r>
      <w:r w:rsidR="007976BE" w:rsidRPr="00416C64">
        <w:t xml:space="preserve"> </w:t>
      </w:r>
      <w:r w:rsidR="00823311" w:rsidRPr="00416C64">
        <w:t>≥10)</w:t>
      </w:r>
      <w:r w:rsidRPr="00416C64">
        <w:t>, after dual therapy (LAMA/LABA or ICS/LABA).</w:t>
      </w:r>
      <w:r w:rsidR="00AD2CEB" w:rsidRPr="00416C64">
        <w:t xml:space="preserve"> The ESC noted GOLD’s refined ABCD assessment tool </w:t>
      </w:r>
      <w:r w:rsidR="0072568C" w:rsidRPr="00416C64">
        <w:t xml:space="preserve">which indicates </w:t>
      </w:r>
      <w:r w:rsidR="00AD2CEB" w:rsidRPr="00416C64">
        <w:t xml:space="preserve">that triple therapy be reserved for patients at highest risk of exacerbations, i.e. those in ‘Group D’. </w:t>
      </w:r>
    </w:p>
    <w:p w:rsidR="00AD2CEB" w:rsidRPr="00416C64" w:rsidRDefault="00E8311B" w:rsidP="005A2C9B">
      <w:pPr>
        <w:pStyle w:val="ListParagraph"/>
        <w:widowControl/>
        <w:numPr>
          <w:ilvl w:val="1"/>
          <w:numId w:val="3"/>
        </w:numPr>
      </w:pPr>
      <w:r w:rsidRPr="00416C64">
        <w:t xml:space="preserve">The ESC </w:t>
      </w:r>
      <w:r w:rsidR="0072568C" w:rsidRPr="00416C64">
        <w:t>noted</w:t>
      </w:r>
      <w:r w:rsidR="00AD2CEB" w:rsidRPr="00416C64">
        <w:t xml:space="preserve"> that the Australian COPD</w:t>
      </w:r>
      <w:r w:rsidR="0072568C" w:rsidRPr="00416C64">
        <w:t>-</w:t>
      </w:r>
      <w:r w:rsidR="00AD2CEB" w:rsidRPr="00416C64">
        <w:t xml:space="preserve">X Guidelines still use FEV1 to classify </w:t>
      </w:r>
      <w:r w:rsidRPr="00416C64">
        <w:t xml:space="preserve">COPD </w:t>
      </w:r>
      <w:r w:rsidR="00AD2CEB" w:rsidRPr="00416C64">
        <w:t>severity</w:t>
      </w:r>
      <w:r w:rsidR="007D10B5" w:rsidRPr="00416C64">
        <w:t xml:space="preserve">. The ESC noted that the submission stated that the COPD-X guidelines are ‘written in consideration of the existing PBS criteria. Removal of the </w:t>
      </w:r>
      <w:proofErr w:type="spellStart"/>
      <w:r w:rsidR="007D10B5" w:rsidRPr="00416C64">
        <w:t>spirometric</w:t>
      </w:r>
      <w:proofErr w:type="spellEnd"/>
      <w:r w:rsidR="007D10B5" w:rsidRPr="00416C64">
        <w:t xml:space="preserve"> requirement in the PBS criteria would result in an amendment to the Guidelines.’</w:t>
      </w:r>
      <w:r w:rsidR="00AD2CEB" w:rsidRPr="00416C64">
        <w:t xml:space="preserve"> </w:t>
      </w:r>
      <w:r w:rsidR="00C93F5C">
        <w:t xml:space="preserve">While noting this comment in the submission, the PBAC felt that it was not substantiated or justified but did note that the COPD-X Guidelines are updated every 3 months. </w:t>
      </w:r>
      <w:r w:rsidR="00713AD4" w:rsidRPr="00416C64">
        <w:t>The PBAC noted the inconsistency between the GOLD and COPD-X guidelines in terms of the use of FEV1 criteria t</w:t>
      </w:r>
      <w:r w:rsidR="001D26BB">
        <w:t>o classify COPD severity.</w:t>
      </w:r>
    </w:p>
    <w:p w:rsidR="0072152B" w:rsidRPr="00416C64" w:rsidRDefault="0072152B" w:rsidP="005A2C9B">
      <w:pPr>
        <w:pStyle w:val="ListParagraph"/>
        <w:widowControl/>
      </w:pPr>
      <w:r w:rsidRPr="00416C64">
        <w:rPr>
          <w:i/>
        </w:rPr>
        <w:t>For more detail on PBAC’s view, see section 7 PBAC outcome.</w:t>
      </w:r>
    </w:p>
    <w:p w:rsidR="009F2383" w:rsidRPr="00416C64" w:rsidRDefault="009F2383" w:rsidP="001D26BB">
      <w:pPr>
        <w:pStyle w:val="PBACHeading1"/>
        <w:ind w:left="709" w:hanging="709"/>
      </w:pPr>
      <w:bookmarkStart w:id="7" w:name="_Toc535934770"/>
      <w:r w:rsidRPr="00416C64">
        <w:t>Comparator</w:t>
      </w:r>
      <w:bookmarkEnd w:id="7"/>
    </w:p>
    <w:p w:rsidR="0003638A" w:rsidRPr="00416C64" w:rsidRDefault="00221F5C" w:rsidP="005A2C9B">
      <w:pPr>
        <w:pStyle w:val="ListParagraph"/>
        <w:widowControl/>
        <w:numPr>
          <w:ilvl w:val="1"/>
          <w:numId w:val="3"/>
        </w:numPr>
        <w:rPr>
          <w:iCs/>
        </w:rPr>
      </w:pPr>
      <w:r w:rsidRPr="00416C64">
        <w:t>D</w:t>
      </w:r>
      <w:r w:rsidR="0003638A" w:rsidRPr="00416C64">
        <w:t>ual therapy LAMA/LABA FDC</w:t>
      </w:r>
      <w:r w:rsidRPr="00416C64">
        <w:t xml:space="preserve">, </w:t>
      </w:r>
      <w:r w:rsidR="0003638A" w:rsidRPr="00416C64">
        <w:t xml:space="preserve">informed by the dry-powder inhaler </w:t>
      </w:r>
      <w:proofErr w:type="spellStart"/>
      <w:r w:rsidR="0003638A" w:rsidRPr="00416C64">
        <w:t>Anoro</w:t>
      </w:r>
      <w:proofErr w:type="spellEnd"/>
      <w:r w:rsidR="00D41D77" w:rsidRPr="00416C64">
        <w:t>®</w:t>
      </w:r>
      <w:r w:rsidR="00060979" w:rsidRPr="00416C64">
        <w:t xml:space="preserve"> </w:t>
      </w:r>
      <w:r w:rsidR="0003638A" w:rsidRPr="00416C64">
        <w:t xml:space="preserve">FDC </w:t>
      </w:r>
      <w:r w:rsidR="00B70176" w:rsidRPr="00416C64">
        <w:t>(</w:t>
      </w:r>
      <w:r w:rsidR="0003638A" w:rsidRPr="00416C64">
        <w:t xml:space="preserve">UMEC 62.5mcg </w:t>
      </w:r>
      <w:r w:rsidR="00B70176" w:rsidRPr="00416C64">
        <w:t>/</w:t>
      </w:r>
      <w:r w:rsidR="0003638A" w:rsidRPr="00416C64">
        <w:t xml:space="preserve"> VI 25mcg</w:t>
      </w:r>
      <w:r w:rsidR="00B70176" w:rsidRPr="00416C64">
        <w:t>)</w:t>
      </w:r>
      <w:r w:rsidR="0003638A" w:rsidRPr="00416C64">
        <w:t xml:space="preserve"> administered as one inhalation once daily.</w:t>
      </w:r>
      <w:r w:rsidR="00393D5D" w:rsidRPr="00416C64">
        <w:t xml:space="preserve"> </w:t>
      </w:r>
      <w:r w:rsidR="0003638A" w:rsidRPr="00416C64">
        <w:rPr>
          <w:iCs/>
        </w:rPr>
        <w:t>In December 2017, the PBAC considered that dual therapy LAMA/LABA was the appropriate comparator for determining the cost-effectiveness of triple therapy with Trelegy.</w:t>
      </w:r>
    </w:p>
    <w:p w:rsidR="0072152B" w:rsidRPr="00416C64" w:rsidRDefault="0072152B" w:rsidP="005A2C9B">
      <w:pPr>
        <w:pStyle w:val="ListParagraph"/>
        <w:widowControl/>
        <w:rPr>
          <w:iCs/>
        </w:rPr>
      </w:pPr>
      <w:r w:rsidRPr="00416C64">
        <w:rPr>
          <w:i/>
        </w:rPr>
        <w:t>For more detail on PBAC’s view, see section 7 PBAC outcome.</w:t>
      </w:r>
    </w:p>
    <w:p w:rsidR="00B50DB8" w:rsidRPr="00416C64" w:rsidRDefault="00BD6CF3" w:rsidP="00A56858">
      <w:pPr>
        <w:pStyle w:val="PBACHeading1"/>
        <w:ind w:left="709" w:hanging="709"/>
      </w:pPr>
      <w:bookmarkStart w:id="8" w:name="_Toc535934771"/>
      <w:r w:rsidRPr="00416C64">
        <w:t>C</w:t>
      </w:r>
      <w:r w:rsidR="00B50DB8" w:rsidRPr="00416C64">
        <w:t>onsideration of the evidence</w:t>
      </w:r>
      <w:bookmarkEnd w:id="8"/>
    </w:p>
    <w:p w:rsidR="0072152B" w:rsidRPr="00416C64" w:rsidRDefault="0072152B" w:rsidP="001D26BB">
      <w:pPr>
        <w:pStyle w:val="Heading2"/>
        <w:spacing w:before="240"/>
      </w:pPr>
      <w:bookmarkStart w:id="9" w:name="_Toc535849232"/>
      <w:r w:rsidRPr="00416C64">
        <w:t>Sponsor hearing</w:t>
      </w:r>
    </w:p>
    <w:p w:rsidR="0072152B" w:rsidRPr="005A2C9B" w:rsidRDefault="0072152B" w:rsidP="005A2C9B">
      <w:pPr>
        <w:widowControl/>
        <w:numPr>
          <w:ilvl w:val="1"/>
          <w:numId w:val="3"/>
        </w:numPr>
        <w:rPr>
          <w:rFonts w:asciiTheme="minorHAnsi" w:hAnsiTheme="minorHAnsi"/>
          <w:bCs/>
        </w:rPr>
      </w:pPr>
      <w:r w:rsidRPr="005A2C9B">
        <w:rPr>
          <w:rFonts w:asciiTheme="minorHAnsi" w:hAnsiTheme="minorHAnsi"/>
          <w:bCs/>
        </w:rPr>
        <w:t xml:space="preserve">There was no hearing for this item. </w:t>
      </w:r>
    </w:p>
    <w:p w:rsidR="0072152B" w:rsidRPr="00416C64" w:rsidRDefault="0072152B" w:rsidP="001D26BB">
      <w:pPr>
        <w:pStyle w:val="Heading2"/>
        <w:spacing w:before="240"/>
      </w:pPr>
      <w:r w:rsidRPr="00416C64">
        <w:t>Consumer comments</w:t>
      </w:r>
    </w:p>
    <w:bookmarkEnd w:id="9"/>
    <w:p w:rsidR="0072152B" w:rsidRPr="00416C64" w:rsidRDefault="0072152B" w:rsidP="005A2C9B">
      <w:pPr>
        <w:widowControl/>
        <w:numPr>
          <w:ilvl w:val="1"/>
          <w:numId w:val="3"/>
        </w:numPr>
        <w:rPr>
          <w:rFonts w:asciiTheme="minorHAnsi" w:hAnsiTheme="minorHAnsi"/>
          <w:bCs/>
        </w:rPr>
      </w:pPr>
      <w:r w:rsidRPr="00416C64">
        <w:rPr>
          <w:rFonts w:asciiTheme="minorHAnsi" w:hAnsiTheme="minorHAnsi"/>
          <w:bCs/>
        </w:rPr>
        <w:t>The PBAC noted that no consumer commen</w:t>
      </w:r>
      <w:r w:rsidR="00B63EE7" w:rsidRPr="00416C64">
        <w:rPr>
          <w:rFonts w:asciiTheme="minorHAnsi" w:hAnsiTheme="minorHAnsi"/>
          <w:bCs/>
        </w:rPr>
        <w:t xml:space="preserve">ts were received for this item. </w:t>
      </w:r>
    </w:p>
    <w:p w:rsidR="00B60939" w:rsidRPr="00416C64" w:rsidRDefault="00B60939" w:rsidP="001D26BB">
      <w:pPr>
        <w:pStyle w:val="Heading2"/>
        <w:spacing w:before="240"/>
      </w:pPr>
      <w:bookmarkStart w:id="10" w:name="_Toc535934772"/>
      <w:r w:rsidRPr="00416C64">
        <w:lastRenderedPageBreak/>
        <w:t>Clinical trials</w:t>
      </w:r>
      <w:bookmarkEnd w:id="10"/>
    </w:p>
    <w:p w:rsidR="008D73D1" w:rsidRPr="005A2C9B" w:rsidRDefault="00AA696F" w:rsidP="005A2C9B">
      <w:pPr>
        <w:pStyle w:val="ListParagraph"/>
        <w:keepNext/>
        <w:widowControl/>
        <w:numPr>
          <w:ilvl w:val="1"/>
          <w:numId w:val="3"/>
        </w:numPr>
        <w:rPr>
          <w:rStyle w:val="CommentReference"/>
          <w:rFonts w:ascii="Calibri" w:hAnsi="Calibri"/>
          <w:b w:val="0"/>
          <w:sz w:val="24"/>
          <w:szCs w:val="22"/>
        </w:rPr>
      </w:pPr>
      <w:r w:rsidRPr="00416C64">
        <w:t xml:space="preserve">The submission was based on </w:t>
      </w:r>
      <w:r w:rsidR="0003638A" w:rsidRPr="00416C64">
        <w:t xml:space="preserve">one head-to-head randomised trial </w:t>
      </w:r>
      <w:r w:rsidRPr="00416C64">
        <w:t xml:space="preserve">(IMPACT) </w:t>
      </w:r>
      <w:r w:rsidR="0003638A" w:rsidRPr="00416C64">
        <w:t xml:space="preserve">comparing Trelegy FDC (FF 100mcg / UMEC 62.5mcg / VI 25mcg) to </w:t>
      </w:r>
      <w:proofErr w:type="spellStart"/>
      <w:r w:rsidR="0003638A" w:rsidRPr="00416C64">
        <w:t>Anoro</w:t>
      </w:r>
      <w:proofErr w:type="spellEnd"/>
      <w:r w:rsidRPr="00416C64">
        <w:t xml:space="preserve"> </w:t>
      </w:r>
      <w:r w:rsidR="0003638A" w:rsidRPr="00416C64">
        <w:t>FDC (UMEC 62.5mcg / VI 25mcg)</w:t>
      </w:r>
      <w:r w:rsidR="008928F5" w:rsidRPr="00416C64">
        <w:t>, summarised in the table below</w:t>
      </w:r>
      <w:r w:rsidR="0003638A" w:rsidRPr="00416C64">
        <w:t>.</w:t>
      </w:r>
    </w:p>
    <w:p w:rsidR="009F2383" w:rsidRPr="00416C64" w:rsidRDefault="009F2383" w:rsidP="00BA64A9">
      <w:pPr>
        <w:keepNext/>
        <w:widowControl/>
        <w:spacing w:after="0"/>
        <w:rPr>
          <w:rFonts w:ascii="Arial Narrow" w:hAnsi="Arial Narrow"/>
          <w:b/>
          <w:sz w:val="20"/>
          <w:szCs w:val="16"/>
        </w:rPr>
      </w:pPr>
      <w:r w:rsidRPr="00416C64">
        <w:rPr>
          <w:rStyle w:val="CommentReference"/>
        </w:rPr>
        <w:t>Table 2: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6"/>
        <w:gridCol w:w="5246"/>
        <w:gridCol w:w="2925"/>
      </w:tblGrid>
      <w:tr w:rsidR="009F2383" w:rsidRPr="00416C64" w:rsidTr="009F2383">
        <w:trPr>
          <w:tblHeader/>
        </w:trPr>
        <w:tc>
          <w:tcPr>
            <w:tcW w:w="469" w:type="pct"/>
            <w:vAlign w:val="center"/>
          </w:tcPr>
          <w:p w:rsidR="009F2383" w:rsidRPr="00416C64" w:rsidRDefault="009F2383" w:rsidP="005A2C9B">
            <w:pPr>
              <w:pStyle w:val="Tabletext"/>
              <w:keepNext/>
              <w:rPr>
                <w:b/>
              </w:rPr>
            </w:pPr>
            <w:r w:rsidRPr="00416C64">
              <w:rPr>
                <w:b/>
              </w:rPr>
              <w:t>Trial ID</w:t>
            </w:r>
          </w:p>
        </w:tc>
        <w:tc>
          <w:tcPr>
            <w:tcW w:w="2908" w:type="pct"/>
            <w:vAlign w:val="center"/>
          </w:tcPr>
          <w:p w:rsidR="009F2383" w:rsidRPr="00416C64" w:rsidRDefault="009F2383" w:rsidP="005A2C9B">
            <w:pPr>
              <w:pStyle w:val="Tabletext"/>
              <w:keepNext/>
              <w:jc w:val="center"/>
              <w:rPr>
                <w:b/>
              </w:rPr>
            </w:pPr>
            <w:r w:rsidRPr="00416C64">
              <w:rPr>
                <w:b/>
              </w:rPr>
              <w:t>Publication title</w:t>
            </w:r>
          </w:p>
        </w:tc>
        <w:tc>
          <w:tcPr>
            <w:tcW w:w="1622" w:type="pct"/>
            <w:vAlign w:val="center"/>
          </w:tcPr>
          <w:p w:rsidR="009F2383" w:rsidRPr="00416C64" w:rsidRDefault="009F2383" w:rsidP="005A2C9B">
            <w:pPr>
              <w:pStyle w:val="Tabletext"/>
              <w:keepNext/>
              <w:jc w:val="center"/>
              <w:rPr>
                <w:b/>
              </w:rPr>
            </w:pPr>
            <w:r w:rsidRPr="00416C64">
              <w:rPr>
                <w:b/>
              </w:rPr>
              <w:t>Publication citation</w:t>
            </w:r>
          </w:p>
        </w:tc>
      </w:tr>
      <w:tr w:rsidR="009F2383" w:rsidRPr="00416C64" w:rsidTr="00661C3B">
        <w:trPr>
          <w:trHeight w:val="1387"/>
        </w:trPr>
        <w:tc>
          <w:tcPr>
            <w:tcW w:w="469" w:type="pct"/>
            <w:vMerge w:val="restart"/>
            <w:tcBorders>
              <w:bottom w:val="single" w:sz="4" w:space="0" w:color="auto"/>
            </w:tcBorders>
          </w:tcPr>
          <w:p w:rsidR="009F2383" w:rsidRPr="00416C64" w:rsidRDefault="009F2383" w:rsidP="005A2C9B">
            <w:pPr>
              <w:pStyle w:val="Tabletext"/>
              <w:keepNext/>
              <w:rPr>
                <w:rFonts w:ascii="Times" w:hAnsi="Times"/>
              </w:rPr>
            </w:pPr>
            <w:r w:rsidRPr="00416C64">
              <w:t>IMPACT</w:t>
            </w:r>
          </w:p>
        </w:tc>
        <w:tc>
          <w:tcPr>
            <w:tcW w:w="2908" w:type="pct"/>
            <w:tcBorders>
              <w:bottom w:val="nil"/>
            </w:tcBorders>
          </w:tcPr>
          <w:p w:rsidR="009F2383" w:rsidRPr="00416C64" w:rsidRDefault="009F2383" w:rsidP="005A2C9B">
            <w:pPr>
              <w:pStyle w:val="Tabletext"/>
              <w:keepNext/>
              <w:rPr>
                <w:szCs w:val="18"/>
                <w:lang w:eastAsia="en-AU"/>
              </w:rPr>
            </w:pPr>
            <w:r w:rsidRPr="00416C64">
              <w:rPr>
                <w:szCs w:val="18"/>
                <w:lang w:eastAsia="en-AU"/>
              </w:rPr>
              <w:t xml:space="preserve">Clinical Study Report (CSR): A Phase III, 52 week, randomised, double blind, 3-arm parallel group study, comparing the efficacy, safety and tolerability of the fixed dose triple combination FF/UMEC/VI with the fixed dose dual combinations of FF/VI and UMEC/VI, all administered once-daily in the morning via a dry powder inhaler in subjects with chronic obstructive pulmonary disease. </w:t>
            </w:r>
          </w:p>
        </w:tc>
        <w:tc>
          <w:tcPr>
            <w:tcW w:w="1622" w:type="pct"/>
            <w:tcBorders>
              <w:bottom w:val="nil"/>
            </w:tcBorders>
          </w:tcPr>
          <w:p w:rsidR="009F2383" w:rsidRPr="00416C64" w:rsidRDefault="009F2383" w:rsidP="005A2C9B">
            <w:pPr>
              <w:pStyle w:val="Tabletext"/>
              <w:keepNext/>
              <w:rPr>
                <w:szCs w:val="18"/>
                <w:lang w:eastAsia="en-AU"/>
              </w:rPr>
            </w:pPr>
            <w:r w:rsidRPr="00416C64">
              <w:rPr>
                <w:szCs w:val="18"/>
                <w:lang w:eastAsia="en-AU"/>
              </w:rPr>
              <w:t>CSR* IMPACT, 10 Jan 2018</w:t>
            </w:r>
          </w:p>
        </w:tc>
      </w:tr>
      <w:tr w:rsidR="009F2383" w:rsidRPr="00416C64" w:rsidTr="009F2383">
        <w:tc>
          <w:tcPr>
            <w:tcW w:w="469" w:type="pct"/>
            <w:vMerge/>
            <w:tcBorders>
              <w:bottom w:val="single" w:sz="4" w:space="0" w:color="auto"/>
            </w:tcBorders>
            <w:vAlign w:val="center"/>
          </w:tcPr>
          <w:p w:rsidR="009F2383" w:rsidRPr="00416C64" w:rsidRDefault="009F2383" w:rsidP="005A2C9B">
            <w:pPr>
              <w:pStyle w:val="Tabletext"/>
              <w:keepNext/>
            </w:pPr>
          </w:p>
        </w:tc>
        <w:tc>
          <w:tcPr>
            <w:tcW w:w="2908" w:type="pct"/>
            <w:tcBorders>
              <w:top w:val="nil"/>
              <w:bottom w:val="single" w:sz="4" w:space="0" w:color="auto"/>
            </w:tcBorders>
          </w:tcPr>
          <w:p w:rsidR="00661C3B" w:rsidRPr="00416C64" w:rsidRDefault="00661C3B" w:rsidP="005A2C9B">
            <w:pPr>
              <w:pStyle w:val="Tabletext"/>
              <w:keepNext/>
              <w:rPr>
                <w:szCs w:val="18"/>
                <w:lang w:eastAsia="en-AU"/>
              </w:rPr>
            </w:pPr>
          </w:p>
          <w:p w:rsidR="009F2383" w:rsidRPr="00416C64" w:rsidRDefault="009F2383" w:rsidP="005A2C9B">
            <w:pPr>
              <w:pStyle w:val="Tabletext"/>
              <w:keepNext/>
              <w:rPr>
                <w:szCs w:val="18"/>
                <w:lang w:eastAsia="en-AU"/>
              </w:rPr>
            </w:pPr>
            <w:r w:rsidRPr="00416C64">
              <w:rPr>
                <w:szCs w:val="18"/>
                <w:lang w:eastAsia="en-AU"/>
              </w:rPr>
              <w:t xml:space="preserve">Lipson DA, Barnhart F, </w:t>
            </w:r>
            <w:proofErr w:type="spellStart"/>
            <w:r w:rsidRPr="00416C64">
              <w:rPr>
                <w:szCs w:val="18"/>
                <w:lang w:eastAsia="en-AU"/>
              </w:rPr>
              <w:t>Brealey</w:t>
            </w:r>
            <w:proofErr w:type="spellEnd"/>
            <w:r w:rsidRPr="00416C64">
              <w:rPr>
                <w:szCs w:val="18"/>
                <w:lang w:eastAsia="en-AU"/>
              </w:rPr>
              <w:t xml:space="preserve"> N et al 2018. Once-daily single-inhaler triple versus dual therapy in patients with COPD</w:t>
            </w:r>
          </w:p>
        </w:tc>
        <w:tc>
          <w:tcPr>
            <w:tcW w:w="1622" w:type="pct"/>
            <w:tcBorders>
              <w:top w:val="nil"/>
              <w:bottom w:val="single" w:sz="4" w:space="0" w:color="auto"/>
            </w:tcBorders>
            <w:vAlign w:val="center"/>
          </w:tcPr>
          <w:p w:rsidR="00661C3B" w:rsidRPr="00416C64" w:rsidRDefault="00661C3B" w:rsidP="005A2C9B">
            <w:pPr>
              <w:pStyle w:val="Tabletext"/>
              <w:keepNext/>
              <w:rPr>
                <w:iCs/>
                <w:szCs w:val="18"/>
                <w:lang w:eastAsia="en-AU"/>
              </w:rPr>
            </w:pPr>
          </w:p>
          <w:p w:rsidR="009F2383" w:rsidRPr="00416C64" w:rsidRDefault="009F2383" w:rsidP="005A2C9B">
            <w:pPr>
              <w:pStyle w:val="Tabletext"/>
              <w:keepNext/>
              <w:rPr>
                <w:iCs/>
                <w:szCs w:val="18"/>
                <w:lang w:eastAsia="en-AU"/>
              </w:rPr>
            </w:pPr>
            <w:r w:rsidRPr="00416C64">
              <w:rPr>
                <w:iCs/>
                <w:szCs w:val="18"/>
                <w:lang w:eastAsia="en-AU"/>
              </w:rPr>
              <w:t>The New England Journal of Medicine; 378:1671-1680.10.1056/NEJMoa1713901.</w:t>
            </w:r>
          </w:p>
        </w:tc>
      </w:tr>
    </w:tbl>
    <w:p w:rsidR="009F2383" w:rsidRPr="00416C64" w:rsidRDefault="009F2383" w:rsidP="005A2C9B">
      <w:pPr>
        <w:pStyle w:val="TableFooter"/>
        <w:keepNext/>
        <w:widowControl/>
      </w:pPr>
      <w:r w:rsidRPr="00416C64">
        <w:t>Abbreviations: COPD=chronic obstructive pulmonary disorder; FF=fluticasone fumarate; LABA=long acting beta agonist; LAMA=long acting muscarinic antagonist; UMEC=</w:t>
      </w:r>
      <w:proofErr w:type="spellStart"/>
      <w:r w:rsidRPr="00416C64">
        <w:t>umeclidinium</w:t>
      </w:r>
      <w:proofErr w:type="spellEnd"/>
      <w:r w:rsidRPr="00416C64">
        <w:t>; VI=</w:t>
      </w:r>
      <w:proofErr w:type="spellStart"/>
      <w:r w:rsidRPr="00416C64">
        <w:t>vilanterol</w:t>
      </w:r>
      <w:proofErr w:type="spellEnd"/>
      <w:r w:rsidRPr="00416C64">
        <w:t>;</w:t>
      </w:r>
    </w:p>
    <w:p w:rsidR="009F2383" w:rsidRPr="00416C64" w:rsidRDefault="009F2383" w:rsidP="005A2C9B">
      <w:pPr>
        <w:pStyle w:val="TableFooter"/>
        <w:keepNext/>
        <w:widowControl/>
      </w:pPr>
      <w:r w:rsidRPr="00416C64">
        <w:t>* CSR obtained from sponsor’s database were the primary source for data extractions</w:t>
      </w:r>
    </w:p>
    <w:p w:rsidR="009F2383" w:rsidRDefault="009F2383" w:rsidP="005A2C9B">
      <w:pPr>
        <w:pStyle w:val="TableFooter"/>
        <w:keepNext/>
        <w:widowControl/>
      </w:pPr>
      <w:r w:rsidRPr="00416C64">
        <w:t>Source: Table 12, p34 of the submission.</w:t>
      </w:r>
    </w:p>
    <w:p w:rsidR="005A2C9B" w:rsidRPr="005A2C9B" w:rsidRDefault="005A2C9B" w:rsidP="005A2C9B">
      <w:pPr>
        <w:pStyle w:val="TableFooter"/>
        <w:keepNext/>
        <w:widowControl/>
        <w:rPr>
          <w:sz w:val="20"/>
        </w:rPr>
      </w:pPr>
    </w:p>
    <w:p w:rsidR="009F2383" w:rsidRPr="00416C64" w:rsidRDefault="009F2383" w:rsidP="005A2C9B">
      <w:pPr>
        <w:pStyle w:val="ListParagraph"/>
        <w:widowControl/>
        <w:numPr>
          <w:ilvl w:val="1"/>
          <w:numId w:val="3"/>
        </w:numPr>
      </w:pPr>
      <w:r w:rsidRPr="00416C64">
        <w:t xml:space="preserve">The key features of </w:t>
      </w:r>
      <w:r w:rsidR="008928F5" w:rsidRPr="00416C64">
        <w:t xml:space="preserve">IMPACT are </w:t>
      </w:r>
      <w:r w:rsidRPr="00416C64">
        <w:t>summarised in the table below.</w:t>
      </w:r>
    </w:p>
    <w:p w:rsidR="009F2383" w:rsidRPr="00416C64" w:rsidRDefault="009F2383" w:rsidP="00BA64A9">
      <w:pPr>
        <w:keepNext/>
        <w:widowControl/>
        <w:spacing w:after="0"/>
        <w:rPr>
          <w:rStyle w:val="CommentReference"/>
        </w:rPr>
      </w:pPr>
      <w:r w:rsidRPr="00416C64">
        <w:rPr>
          <w:rStyle w:val="CommentReference"/>
        </w:rPr>
        <w:t>Table 3: Key features of IMPACT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6"/>
        <w:gridCol w:w="564"/>
        <w:gridCol w:w="1448"/>
        <w:gridCol w:w="617"/>
        <w:gridCol w:w="1288"/>
        <w:gridCol w:w="2350"/>
        <w:gridCol w:w="2074"/>
      </w:tblGrid>
      <w:tr w:rsidR="009F2383" w:rsidRPr="00416C64" w:rsidTr="008928F5">
        <w:tc>
          <w:tcPr>
            <w:tcW w:w="375" w:type="pct"/>
            <w:shd w:val="clear" w:color="auto" w:fill="auto"/>
            <w:vAlign w:val="center"/>
          </w:tcPr>
          <w:p w:rsidR="009F2383" w:rsidRPr="00416C64" w:rsidRDefault="009F2383" w:rsidP="005A2C9B">
            <w:pPr>
              <w:pStyle w:val="Tabletext"/>
              <w:keepNext/>
              <w:rPr>
                <w:b/>
              </w:rPr>
            </w:pPr>
            <w:r w:rsidRPr="00416C64">
              <w:rPr>
                <w:b/>
              </w:rPr>
              <w:t>Trial</w:t>
            </w:r>
          </w:p>
        </w:tc>
        <w:tc>
          <w:tcPr>
            <w:tcW w:w="313" w:type="pct"/>
            <w:shd w:val="clear" w:color="auto" w:fill="auto"/>
            <w:vAlign w:val="center"/>
          </w:tcPr>
          <w:p w:rsidR="009F2383" w:rsidRPr="00416C64" w:rsidRDefault="009F2383" w:rsidP="005A2C9B">
            <w:pPr>
              <w:pStyle w:val="Tabletext"/>
              <w:keepNext/>
              <w:jc w:val="center"/>
              <w:rPr>
                <w:b/>
              </w:rPr>
            </w:pPr>
            <w:r w:rsidRPr="00416C64">
              <w:rPr>
                <w:b/>
              </w:rPr>
              <w:t>N</w:t>
            </w:r>
          </w:p>
        </w:tc>
        <w:tc>
          <w:tcPr>
            <w:tcW w:w="803" w:type="pct"/>
            <w:shd w:val="clear" w:color="auto" w:fill="auto"/>
            <w:vAlign w:val="center"/>
          </w:tcPr>
          <w:p w:rsidR="009F2383" w:rsidRPr="00416C64" w:rsidRDefault="009F2383" w:rsidP="005A2C9B">
            <w:pPr>
              <w:pStyle w:val="Tabletext"/>
              <w:keepNext/>
              <w:jc w:val="center"/>
              <w:rPr>
                <w:b/>
              </w:rPr>
            </w:pPr>
            <w:r w:rsidRPr="00416C64">
              <w:rPr>
                <w:b/>
              </w:rPr>
              <w:t>Design/ duration</w:t>
            </w:r>
          </w:p>
        </w:tc>
        <w:tc>
          <w:tcPr>
            <w:tcW w:w="342" w:type="pct"/>
            <w:shd w:val="clear" w:color="auto" w:fill="auto"/>
            <w:vAlign w:val="center"/>
          </w:tcPr>
          <w:p w:rsidR="009F2383" w:rsidRPr="00416C64" w:rsidRDefault="009F2383" w:rsidP="005A2C9B">
            <w:pPr>
              <w:pStyle w:val="Tabletext"/>
              <w:keepNext/>
              <w:jc w:val="center"/>
              <w:rPr>
                <w:b/>
              </w:rPr>
            </w:pPr>
            <w:r w:rsidRPr="00416C64">
              <w:rPr>
                <w:b/>
              </w:rPr>
              <w:t>Risk of bias</w:t>
            </w:r>
          </w:p>
        </w:tc>
        <w:tc>
          <w:tcPr>
            <w:tcW w:w="714" w:type="pct"/>
            <w:shd w:val="clear" w:color="auto" w:fill="auto"/>
            <w:vAlign w:val="center"/>
          </w:tcPr>
          <w:p w:rsidR="009F2383" w:rsidRPr="00416C64" w:rsidRDefault="009F2383" w:rsidP="005A2C9B">
            <w:pPr>
              <w:pStyle w:val="Tabletext"/>
              <w:keepNext/>
              <w:jc w:val="center"/>
              <w:rPr>
                <w:b/>
              </w:rPr>
            </w:pPr>
            <w:r w:rsidRPr="00416C64">
              <w:rPr>
                <w:b/>
              </w:rPr>
              <w:t>Patient population</w:t>
            </w:r>
          </w:p>
        </w:tc>
        <w:tc>
          <w:tcPr>
            <w:tcW w:w="1303" w:type="pct"/>
            <w:shd w:val="clear" w:color="auto" w:fill="auto"/>
            <w:vAlign w:val="center"/>
          </w:tcPr>
          <w:p w:rsidR="009F2383" w:rsidRPr="00416C64" w:rsidRDefault="009F2383" w:rsidP="005A2C9B">
            <w:pPr>
              <w:pStyle w:val="Tabletext"/>
              <w:keepNext/>
              <w:jc w:val="center"/>
              <w:rPr>
                <w:b/>
              </w:rPr>
            </w:pPr>
            <w:r w:rsidRPr="00416C64">
              <w:rPr>
                <w:b/>
              </w:rPr>
              <w:t>Outcome(s)</w:t>
            </w:r>
          </w:p>
        </w:tc>
        <w:tc>
          <w:tcPr>
            <w:tcW w:w="1150" w:type="pct"/>
            <w:shd w:val="clear" w:color="auto" w:fill="auto"/>
            <w:vAlign w:val="center"/>
          </w:tcPr>
          <w:p w:rsidR="009F2383" w:rsidRPr="00416C64" w:rsidRDefault="009F2383" w:rsidP="005A2C9B">
            <w:pPr>
              <w:pStyle w:val="Tabletext"/>
              <w:keepNext/>
              <w:jc w:val="center"/>
              <w:rPr>
                <w:b/>
              </w:rPr>
            </w:pPr>
            <w:r w:rsidRPr="00416C64">
              <w:rPr>
                <w:b/>
              </w:rPr>
              <w:t>Use in modelled evaluation</w:t>
            </w:r>
          </w:p>
        </w:tc>
      </w:tr>
      <w:tr w:rsidR="009F2383" w:rsidRPr="00416C64" w:rsidTr="008928F5">
        <w:tc>
          <w:tcPr>
            <w:tcW w:w="375" w:type="pct"/>
            <w:shd w:val="clear" w:color="auto" w:fill="auto"/>
            <w:vAlign w:val="center"/>
          </w:tcPr>
          <w:p w:rsidR="009F2383" w:rsidRPr="00416C64" w:rsidRDefault="009F2383" w:rsidP="005A2C9B">
            <w:pPr>
              <w:pStyle w:val="Tabletext"/>
              <w:keepNext/>
            </w:pPr>
            <w:r w:rsidRPr="00416C64">
              <w:t>IMPACT</w:t>
            </w:r>
          </w:p>
        </w:tc>
        <w:tc>
          <w:tcPr>
            <w:tcW w:w="313" w:type="pct"/>
            <w:shd w:val="clear" w:color="auto" w:fill="auto"/>
            <w:vAlign w:val="center"/>
          </w:tcPr>
          <w:p w:rsidR="009F2383" w:rsidRPr="00416C64" w:rsidRDefault="009F2383" w:rsidP="005A2C9B">
            <w:pPr>
              <w:pStyle w:val="Tabletext"/>
              <w:keepNext/>
              <w:jc w:val="center"/>
            </w:pPr>
            <w:r w:rsidRPr="00416C64">
              <w:t>10,355</w:t>
            </w:r>
          </w:p>
        </w:tc>
        <w:tc>
          <w:tcPr>
            <w:tcW w:w="803" w:type="pct"/>
            <w:shd w:val="clear" w:color="auto" w:fill="auto"/>
            <w:vAlign w:val="center"/>
          </w:tcPr>
          <w:p w:rsidR="009F2383" w:rsidRPr="00416C64" w:rsidRDefault="009F2383" w:rsidP="005A2C9B">
            <w:pPr>
              <w:pStyle w:val="Tabletext"/>
              <w:keepNext/>
              <w:jc w:val="center"/>
            </w:pPr>
            <w:r w:rsidRPr="00416C64">
              <w:t>MC, R, DB</w:t>
            </w:r>
          </w:p>
          <w:p w:rsidR="009F2383" w:rsidRPr="00416C64" w:rsidRDefault="009F2383" w:rsidP="005A2C9B">
            <w:pPr>
              <w:pStyle w:val="Tabletext"/>
              <w:keepNext/>
              <w:jc w:val="center"/>
            </w:pPr>
            <w:r w:rsidRPr="00416C64">
              <w:t>(52 weeks)</w:t>
            </w:r>
            <w:r w:rsidR="008928F5" w:rsidRPr="00416C64">
              <w:t>, 3-arm</w:t>
            </w:r>
          </w:p>
        </w:tc>
        <w:tc>
          <w:tcPr>
            <w:tcW w:w="342" w:type="pct"/>
            <w:shd w:val="clear" w:color="auto" w:fill="auto"/>
            <w:vAlign w:val="center"/>
          </w:tcPr>
          <w:p w:rsidR="009F2383" w:rsidRPr="00416C64" w:rsidRDefault="009F2383" w:rsidP="005A2C9B">
            <w:pPr>
              <w:pStyle w:val="Tabletext"/>
              <w:keepNext/>
              <w:jc w:val="center"/>
            </w:pPr>
            <w:r w:rsidRPr="00416C64">
              <w:t>Low</w:t>
            </w:r>
          </w:p>
        </w:tc>
        <w:tc>
          <w:tcPr>
            <w:tcW w:w="714" w:type="pct"/>
            <w:shd w:val="clear" w:color="auto" w:fill="auto"/>
            <w:vAlign w:val="center"/>
          </w:tcPr>
          <w:p w:rsidR="009F2383" w:rsidRPr="00416C64" w:rsidRDefault="009F2383" w:rsidP="005A2C9B">
            <w:pPr>
              <w:pStyle w:val="Tabletext"/>
              <w:keepNext/>
              <w:jc w:val="center"/>
            </w:pPr>
            <w:r w:rsidRPr="00416C64">
              <w:t>COPD with exacerbations</w:t>
            </w:r>
            <w:r w:rsidR="00D61FEA" w:rsidRPr="00416C64">
              <w:t xml:space="preserve"> on treatment</w:t>
            </w:r>
          </w:p>
        </w:tc>
        <w:tc>
          <w:tcPr>
            <w:tcW w:w="1303" w:type="pct"/>
            <w:shd w:val="clear" w:color="auto" w:fill="auto"/>
            <w:vAlign w:val="center"/>
          </w:tcPr>
          <w:p w:rsidR="009F2383" w:rsidRPr="00416C64" w:rsidRDefault="009F2383" w:rsidP="005A2C9B">
            <w:pPr>
              <w:pStyle w:val="Tabletext"/>
              <w:keepNext/>
              <w:jc w:val="center"/>
            </w:pPr>
            <w:r w:rsidRPr="00416C64">
              <w:t>Annual rate of exacerbations, lung function (FEV1), all-cause mortality, quality of life</w:t>
            </w:r>
          </w:p>
        </w:tc>
        <w:tc>
          <w:tcPr>
            <w:tcW w:w="1150" w:type="pct"/>
            <w:shd w:val="clear" w:color="auto" w:fill="auto"/>
            <w:vAlign w:val="center"/>
          </w:tcPr>
          <w:p w:rsidR="009F2383" w:rsidRPr="00416C64" w:rsidRDefault="009F2383" w:rsidP="005A2C9B">
            <w:pPr>
              <w:pStyle w:val="Tabletext"/>
              <w:keepNext/>
              <w:jc w:val="center"/>
            </w:pPr>
            <w:r w:rsidRPr="00416C64">
              <w:t>Annual rate of exacerbations, lung function (FEV1)</w:t>
            </w:r>
          </w:p>
        </w:tc>
      </w:tr>
    </w:tbl>
    <w:p w:rsidR="009F2383" w:rsidRPr="00416C64" w:rsidRDefault="009F2383" w:rsidP="005A2C9B">
      <w:pPr>
        <w:pStyle w:val="TableFooter"/>
        <w:keepNext/>
        <w:widowControl/>
      </w:pPr>
      <w:r w:rsidRPr="00416C64">
        <w:t xml:space="preserve">Abbreviations: COPD=chronic obstructive pulmonary disease; DB=double blind; FEV1=forced expiratory volume in one second; FF=fluticasone </w:t>
      </w:r>
      <w:proofErr w:type="spellStart"/>
      <w:r w:rsidRPr="00416C64">
        <w:t>furoate</w:t>
      </w:r>
      <w:proofErr w:type="spellEnd"/>
      <w:r w:rsidRPr="00416C64">
        <w:t>; ICS=inhaled corticosteroid; LABA=long-acting beta-2 agonist; LAMA=long-acting muscarinic antagonist; MC=multi-centre; mcg=microgram; OL=open label; OS=overall survival; R=randomised; UMEC=</w:t>
      </w:r>
      <w:proofErr w:type="spellStart"/>
      <w:r w:rsidRPr="00416C64">
        <w:t>umeclidinium</w:t>
      </w:r>
      <w:proofErr w:type="spellEnd"/>
      <w:r w:rsidRPr="00416C64">
        <w:t>; VI=</w:t>
      </w:r>
      <w:proofErr w:type="spellStart"/>
      <w:r w:rsidRPr="00416C64">
        <w:t>vilanterol</w:t>
      </w:r>
      <w:proofErr w:type="spellEnd"/>
      <w:r w:rsidRPr="00416C64">
        <w:t>;</w:t>
      </w:r>
    </w:p>
    <w:p w:rsidR="009F2383" w:rsidRDefault="009F2383" w:rsidP="005A2C9B">
      <w:pPr>
        <w:pStyle w:val="TableFooter"/>
        <w:keepNext/>
        <w:widowControl/>
      </w:pPr>
      <w:r w:rsidRPr="00416C64">
        <w:t>Source: Section 2.3, pp36-40 of the submission.</w:t>
      </w:r>
    </w:p>
    <w:p w:rsidR="005A2C9B" w:rsidRPr="005A2C9B" w:rsidRDefault="005A2C9B" w:rsidP="005A2C9B">
      <w:pPr>
        <w:pStyle w:val="TableFooter"/>
        <w:keepNext/>
        <w:widowControl/>
        <w:rPr>
          <w:sz w:val="20"/>
        </w:rPr>
      </w:pPr>
    </w:p>
    <w:p w:rsidR="00EF4F80" w:rsidRPr="00416C64" w:rsidRDefault="00B63823" w:rsidP="005A2C9B">
      <w:pPr>
        <w:pStyle w:val="ListParagraph"/>
        <w:widowControl/>
        <w:numPr>
          <w:ilvl w:val="1"/>
          <w:numId w:val="3"/>
        </w:numPr>
      </w:pPr>
      <w:r w:rsidRPr="00416C64">
        <w:t>E</w:t>
      </w:r>
      <w:r w:rsidR="00EF4F80" w:rsidRPr="00416C64">
        <w:t>ligible patients were required to demonstrate at screening:</w:t>
      </w:r>
    </w:p>
    <w:p w:rsidR="00EF4F80" w:rsidRPr="00416C64" w:rsidRDefault="00EF4F80" w:rsidP="005A2C9B">
      <w:pPr>
        <w:pStyle w:val="ListParagraph"/>
        <w:widowControl/>
        <w:numPr>
          <w:ilvl w:val="0"/>
          <w:numId w:val="19"/>
        </w:numPr>
      </w:pPr>
      <w:r w:rsidRPr="00416C64">
        <w:t>CAT sc</w:t>
      </w:r>
      <w:r w:rsidR="007976BE" w:rsidRPr="00416C64">
        <w:t>ore ≥10</w:t>
      </w:r>
      <w:r w:rsidRPr="00416C64">
        <w:t>; and</w:t>
      </w:r>
    </w:p>
    <w:p w:rsidR="00B16F97" w:rsidRPr="00416C64" w:rsidRDefault="00EF4F80" w:rsidP="005A2C9B">
      <w:pPr>
        <w:pStyle w:val="ListParagraph"/>
        <w:widowControl/>
        <w:numPr>
          <w:ilvl w:val="0"/>
          <w:numId w:val="19"/>
        </w:numPr>
      </w:pPr>
      <w:r w:rsidRPr="00416C64">
        <w:t>post-</w:t>
      </w:r>
      <w:r w:rsidRPr="00416C64">
        <w:rPr>
          <w:rFonts w:cs="Calibri"/>
          <w:snapToGrid/>
          <w:szCs w:val="24"/>
          <w:lang w:eastAsia="en-AU"/>
        </w:rPr>
        <w:t>bronchodilator</w:t>
      </w:r>
      <w:r w:rsidRPr="00416C64">
        <w:t xml:space="preserve"> FEV1 &lt;50% predicted with a documented history of ≥1 moderate or severe exacerbations in past 12 months, or post-</w:t>
      </w:r>
      <w:r w:rsidRPr="00416C64">
        <w:rPr>
          <w:rFonts w:cs="Calibri"/>
          <w:snapToGrid/>
          <w:szCs w:val="24"/>
          <w:lang w:eastAsia="en-AU"/>
        </w:rPr>
        <w:t>bronchodilator</w:t>
      </w:r>
      <w:r w:rsidRPr="00416C64">
        <w:t xml:space="preserve"> 50%≤ FEV1 &lt;80% predicted with a history of ≥2 moderate or ≥1 severe exacerbations (hospitalised) in the past 12 months.</w:t>
      </w:r>
      <w:r w:rsidR="00393D5D" w:rsidRPr="00416C64">
        <w:t xml:space="preserve"> </w:t>
      </w:r>
    </w:p>
    <w:p w:rsidR="00B16F97" w:rsidRPr="00416C64" w:rsidRDefault="009F2383" w:rsidP="005A2C9B">
      <w:pPr>
        <w:pStyle w:val="ListParagraph"/>
        <w:widowControl/>
        <w:numPr>
          <w:ilvl w:val="1"/>
          <w:numId w:val="3"/>
        </w:numPr>
      </w:pPr>
      <w:r w:rsidRPr="00416C64">
        <w:t>The IMPACT trial investigat</w:t>
      </w:r>
      <w:r w:rsidR="0041068E" w:rsidRPr="00416C64">
        <w:t>ed</w:t>
      </w:r>
      <w:r w:rsidRPr="00416C64">
        <w:t xml:space="preserve"> the efficacy and safety of </w:t>
      </w:r>
      <w:r w:rsidR="0041068E" w:rsidRPr="00416C64">
        <w:t xml:space="preserve">Trelegy FDC (FF 100mcg / UMEC 62.5mcg / VI 25mcg) versus dual therapies </w:t>
      </w:r>
      <w:proofErr w:type="spellStart"/>
      <w:r w:rsidR="00F32AA3" w:rsidRPr="00416C64">
        <w:t>Breo</w:t>
      </w:r>
      <w:proofErr w:type="spellEnd"/>
      <w:r w:rsidR="00F32AA3" w:rsidRPr="00416C64">
        <w:t xml:space="preserve"> FDC (FF 100mcg / VI 25mcg) and </w:t>
      </w:r>
      <w:proofErr w:type="spellStart"/>
      <w:r w:rsidR="0041068E" w:rsidRPr="00416C64">
        <w:t>Anoro</w:t>
      </w:r>
      <w:proofErr w:type="spellEnd"/>
      <w:r w:rsidR="0041068E" w:rsidRPr="00416C64">
        <w:t xml:space="preserve"> FDC (UMEC 62.5mcg / VI 25mcg)</w:t>
      </w:r>
      <w:r w:rsidR="00F32AA3" w:rsidRPr="00416C64">
        <w:t xml:space="preserve">, </w:t>
      </w:r>
      <w:r w:rsidR="0041068E" w:rsidRPr="00416C64">
        <w:t xml:space="preserve">in patients </w:t>
      </w:r>
      <w:r w:rsidRPr="00416C64">
        <w:t xml:space="preserve">with symptomatic COPD taking </w:t>
      </w:r>
      <w:r w:rsidRPr="00416C64">
        <w:lastRenderedPageBreak/>
        <w:t>any regular long-acting bronchodilator therapy (for ≥3 months at screening).</w:t>
      </w:r>
      <w:r w:rsidR="00393D5D" w:rsidRPr="00416C64">
        <w:t xml:space="preserve"> </w:t>
      </w:r>
      <w:r w:rsidR="00F32AA3" w:rsidRPr="00416C64">
        <w:t>Patients were randomised 2:2:1 respectively.</w:t>
      </w:r>
    </w:p>
    <w:p w:rsidR="00C22564" w:rsidRPr="00416C64" w:rsidRDefault="00992474" w:rsidP="005A2C9B">
      <w:pPr>
        <w:pStyle w:val="ListParagraph"/>
        <w:widowControl/>
        <w:numPr>
          <w:ilvl w:val="1"/>
          <w:numId w:val="3"/>
        </w:numPr>
        <w:rPr>
          <w:iCs/>
        </w:rPr>
      </w:pPr>
      <w:r w:rsidRPr="00416C64">
        <w:t>The ESC noted that t</w:t>
      </w:r>
      <w:r w:rsidR="00421F29" w:rsidRPr="00416C64">
        <w:t xml:space="preserve">he submission primarily used evidence from IMPACT to establish the effectiveness of Trelegy in the broader population </w:t>
      </w:r>
      <w:r w:rsidR="00421F29" w:rsidRPr="00416C64">
        <w:rPr>
          <w:iCs/>
        </w:rPr>
        <w:t xml:space="preserve">(i.e. </w:t>
      </w:r>
      <w:r w:rsidR="00C22564" w:rsidRPr="00416C64">
        <w:rPr>
          <w:iCs/>
        </w:rPr>
        <w:t>currently eligible patients (FEV1 &lt;50% predicted) as well as patients who will become eligible under the requested extension to the PBS listing (FEV1 ≥50% predicted)</w:t>
      </w:r>
      <w:r w:rsidR="00FA013D" w:rsidRPr="00416C64">
        <w:rPr>
          <w:iCs/>
        </w:rPr>
        <w:t>)</w:t>
      </w:r>
      <w:r w:rsidR="00FA013D" w:rsidRPr="00416C64">
        <w:t>.</w:t>
      </w:r>
      <w:r w:rsidR="00393D5D" w:rsidRPr="00416C64">
        <w:t xml:space="preserve"> </w:t>
      </w:r>
      <w:r w:rsidR="00C22564" w:rsidRPr="00416C64">
        <w:t>However, the submission acknowledged that the trial population in IMPACT was heterogeneous with respect to FEV1 % predicted, exacerbation history and prior therapy; and may not be wholly representative of the requested PBS population (defined as patients with a history of repeated exacerbations with significant symptoms despite treatment with dual LAMA/LABA or ICS/LABA).</w:t>
      </w:r>
      <w:r w:rsidR="00393D5D" w:rsidRPr="00416C64">
        <w:t xml:space="preserve"> </w:t>
      </w:r>
      <w:r w:rsidR="00C22564" w:rsidRPr="00416C64">
        <w:t xml:space="preserve">To address potential applicability concerns, the submission presented a series of </w:t>
      </w:r>
      <w:r w:rsidR="00C22564" w:rsidRPr="00416C64">
        <w:rPr>
          <w:i/>
        </w:rPr>
        <w:t>post hoc</w:t>
      </w:r>
      <w:r w:rsidR="00C22564" w:rsidRPr="00416C64">
        <w:t xml:space="preserve"> subgroup analyses to examine whether baseline FEV1 % predicted and exacerbation history, or prior treatment were significant modifiers of treatment effect for key outcomes.</w:t>
      </w:r>
      <w:r w:rsidRPr="00416C64">
        <w:t xml:space="preserve"> The ESC considered that the </w:t>
      </w:r>
      <w:r w:rsidRPr="00416C64">
        <w:rPr>
          <w:i/>
        </w:rPr>
        <w:t>post hoc</w:t>
      </w:r>
      <w:r w:rsidRPr="00416C64">
        <w:t xml:space="preserve"> analyses presented in the submission reduced concerns regarding translation of the IMPACT trial results to the </w:t>
      </w:r>
      <w:r w:rsidR="00E87859" w:rsidRPr="00416C64">
        <w:t xml:space="preserve">requested PBS population. </w:t>
      </w:r>
    </w:p>
    <w:p w:rsidR="009F2383" w:rsidRPr="00416C64" w:rsidRDefault="0041068E" w:rsidP="005A2C9B">
      <w:pPr>
        <w:pStyle w:val="ListParagraph"/>
        <w:widowControl/>
        <w:numPr>
          <w:ilvl w:val="1"/>
          <w:numId w:val="3"/>
        </w:numPr>
        <w:rPr>
          <w:iCs/>
        </w:rPr>
      </w:pPr>
      <w:r w:rsidRPr="00416C64">
        <w:rPr>
          <w:iCs/>
        </w:rPr>
        <w:t>T</w:t>
      </w:r>
      <w:r w:rsidR="007B3401" w:rsidRPr="00416C64">
        <w:rPr>
          <w:iCs/>
        </w:rPr>
        <w:t xml:space="preserve">he absence of a uniform run-in period of dual therapy </w:t>
      </w:r>
      <w:r w:rsidR="00904DD0" w:rsidRPr="00416C64">
        <w:rPr>
          <w:iCs/>
        </w:rPr>
        <w:t xml:space="preserve">potentially </w:t>
      </w:r>
      <w:r w:rsidR="007B3401" w:rsidRPr="00416C64">
        <w:rPr>
          <w:iCs/>
        </w:rPr>
        <w:t>limit</w:t>
      </w:r>
      <w:r w:rsidR="00904DD0" w:rsidRPr="00416C64">
        <w:rPr>
          <w:iCs/>
        </w:rPr>
        <w:t>s</w:t>
      </w:r>
      <w:r w:rsidR="007B3401" w:rsidRPr="00416C64">
        <w:rPr>
          <w:iCs/>
        </w:rPr>
        <w:t xml:space="preserve"> the applicability of the trial results to inform the efficacy of Trelegy as a step up treatment from a LAMA/LABA.</w:t>
      </w:r>
      <w:r w:rsidR="00393D5D" w:rsidRPr="00416C64">
        <w:rPr>
          <w:iCs/>
        </w:rPr>
        <w:t xml:space="preserve"> </w:t>
      </w:r>
      <w:r w:rsidR="009F2383" w:rsidRPr="00416C64">
        <w:rPr>
          <w:iCs/>
        </w:rPr>
        <w:t>Fewer than 10% of the trial population were taking a LAMA/LABA at baseline, and hence stepped-up to ICS/LAMA/LABA.</w:t>
      </w:r>
      <w:r w:rsidR="00393D5D" w:rsidRPr="00416C64">
        <w:rPr>
          <w:iCs/>
        </w:rPr>
        <w:t xml:space="preserve"> </w:t>
      </w:r>
      <w:r w:rsidR="007B3401" w:rsidRPr="00416C64">
        <w:rPr>
          <w:iCs/>
        </w:rPr>
        <w:t xml:space="preserve">Nevertheless, </w:t>
      </w:r>
      <w:r w:rsidR="00404721" w:rsidRPr="00416C64">
        <w:rPr>
          <w:iCs/>
        </w:rPr>
        <w:t xml:space="preserve">the </w:t>
      </w:r>
      <w:r w:rsidR="00E87859" w:rsidRPr="00416C64">
        <w:rPr>
          <w:iCs/>
        </w:rPr>
        <w:t xml:space="preserve">ESC considered that the </w:t>
      </w:r>
      <w:r w:rsidR="007B3401" w:rsidRPr="00416C64">
        <w:rPr>
          <w:i/>
          <w:iCs/>
        </w:rPr>
        <w:t>post-hoc</w:t>
      </w:r>
      <w:r w:rsidR="007B3401" w:rsidRPr="00416C64">
        <w:rPr>
          <w:iCs/>
        </w:rPr>
        <w:t xml:space="preserve"> analysis presented in the submission suggested that the relative treatment effects by prior therapy were generally similar to the</w:t>
      </w:r>
      <w:r w:rsidR="008A422D" w:rsidRPr="00416C64">
        <w:rPr>
          <w:iCs/>
        </w:rPr>
        <w:t xml:space="preserve"> </w:t>
      </w:r>
      <w:r w:rsidR="00823311" w:rsidRPr="00416C64">
        <w:rPr>
          <w:iCs/>
        </w:rPr>
        <w:t xml:space="preserve">intention-to-treat </w:t>
      </w:r>
      <w:r w:rsidR="008A422D" w:rsidRPr="00416C64">
        <w:rPr>
          <w:iCs/>
        </w:rPr>
        <w:t>(</w:t>
      </w:r>
      <w:r w:rsidR="007B3401" w:rsidRPr="00416C64">
        <w:rPr>
          <w:iCs/>
        </w:rPr>
        <w:t>ITT</w:t>
      </w:r>
      <w:r w:rsidR="008A422D" w:rsidRPr="00416C64">
        <w:rPr>
          <w:iCs/>
        </w:rPr>
        <w:t>)</w:t>
      </w:r>
      <w:r w:rsidR="007B3401" w:rsidRPr="00416C64">
        <w:rPr>
          <w:iCs/>
        </w:rPr>
        <w:t xml:space="preserve"> population</w:t>
      </w:r>
      <w:r w:rsidR="009F2383" w:rsidRPr="00416C64">
        <w:rPr>
          <w:iCs/>
        </w:rPr>
        <w:t>.</w:t>
      </w:r>
    </w:p>
    <w:p w:rsidR="009F2383" w:rsidRPr="00416C64" w:rsidRDefault="009F2383" w:rsidP="001D26BB">
      <w:pPr>
        <w:pStyle w:val="Heading2"/>
        <w:spacing w:before="240"/>
      </w:pPr>
      <w:bookmarkStart w:id="11" w:name="_Toc535934773"/>
      <w:r w:rsidRPr="00416C64">
        <w:t>Comparative effectiveness</w:t>
      </w:r>
      <w:bookmarkEnd w:id="11"/>
    </w:p>
    <w:p w:rsidR="009F2383" w:rsidRPr="00416C64" w:rsidRDefault="009F2383" w:rsidP="005A2C9B">
      <w:pPr>
        <w:pStyle w:val="ListParagraph"/>
        <w:widowControl/>
        <w:numPr>
          <w:ilvl w:val="1"/>
          <w:numId w:val="3"/>
        </w:numPr>
      </w:pPr>
      <w:r w:rsidRPr="00416C64">
        <w:rPr>
          <w:rFonts w:cs="Calibri"/>
          <w:snapToGrid/>
          <w:szCs w:val="24"/>
          <w:lang w:eastAsia="en-AU"/>
        </w:rPr>
        <w:t>Table 4 summarises the key efficacy outcomes reported in IMPACT (ITT)</w:t>
      </w:r>
      <w:r w:rsidR="00812478" w:rsidRPr="00416C64">
        <w:rPr>
          <w:rFonts w:cs="Calibri"/>
          <w:snapToGrid/>
          <w:szCs w:val="24"/>
          <w:lang w:eastAsia="en-AU"/>
        </w:rPr>
        <w:t>.</w:t>
      </w:r>
    </w:p>
    <w:p w:rsidR="009F2383" w:rsidRPr="00416C64" w:rsidRDefault="009F2383" w:rsidP="00CE4646">
      <w:pPr>
        <w:keepNext/>
        <w:keepLines/>
        <w:widowControl/>
        <w:spacing w:after="0"/>
        <w:rPr>
          <w:rStyle w:val="CommentReference"/>
        </w:rPr>
      </w:pPr>
      <w:r w:rsidRPr="00416C64">
        <w:rPr>
          <w:rStyle w:val="CommentReference"/>
        </w:rPr>
        <w:lastRenderedPageBreak/>
        <w:t>Table 4: Key efficacy outcomes reported in the IMPACT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324"/>
        <w:gridCol w:w="1324"/>
        <w:gridCol w:w="1324"/>
        <w:gridCol w:w="1417"/>
        <w:gridCol w:w="1365"/>
      </w:tblGrid>
      <w:tr w:rsidR="009F2383" w:rsidRPr="00416C64" w:rsidTr="00BA64A9">
        <w:trPr>
          <w:cantSplit/>
          <w:trHeight w:val="70"/>
          <w:tblHeader/>
        </w:trPr>
        <w:tc>
          <w:tcPr>
            <w:tcW w:w="1255" w:type="pct"/>
            <w:vMerge w:val="restart"/>
            <w:vAlign w:val="center"/>
          </w:tcPr>
          <w:p w:rsidR="009F2383" w:rsidRPr="00416C64" w:rsidRDefault="009F2383" w:rsidP="00CE4646">
            <w:pPr>
              <w:pStyle w:val="Tabletext"/>
              <w:keepNext/>
              <w:keepLines/>
              <w:jc w:val="center"/>
              <w:rPr>
                <w:b/>
                <w:sz w:val="19"/>
                <w:szCs w:val="19"/>
              </w:rPr>
            </w:pPr>
            <w:r w:rsidRPr="00416C64">
              <w:rPr>
                <w:b/>
                <w:sz w:val="19"/>
                <w:szCs w:val="19"/>
              </w:rPr>
              <w:t>Outcome</w:t>
            </w:r>
          </w:p>
        </w:tc>
        <w:tc>
          <w:tcPr>
            <w:tcW w:w="734" w:type="pct"/>
            <w:vMerge w:val="restart"/>
            <w:vAlign w:val="center"/>
          </w:tcPr>
          <w:p w:rsidR="009F2383" w:rsidRPr="00416C64" w:rsidRDefault="009F2383" w:rsidP="00CE4646">
            <w:pPr>
              <w:pStyle w:val="Tabletext"/>
              <w:keepNext/>
              <w:keepLines/>
              <w:jc w:val="center"/>
              <w:rPr>
                <w:b/>
                <w:sz w:val="19"/>
                <w:szCs w:val="19"/>
              </w:rPr>
            </w:pPr>
            <w:r w:rsidRPr="00416C64">
              <w:rPr>
                <w:b/>
                <w:sz w:val="19"/>
                <w:szCs w:val="19"/>
              </w:rPr>
              <w:t xml:space="preserve">FF/UMEC/VI </w:t>
            </w:r>
          </w:p>
          <w:p w:rsidR="009F2383" w:rsidRPr="00416C64" w:rsidRDefault="009F2383" w:rsidP="00CE4646">
            <w:pPr>
              <w:pStyle w:val="Tabletext"/>
              <w:keepNext/>
              <w:keepLines/>
              <w:jc w:val="center"/>
              <w:rPr>
                <w:b/>
                <w:sz w:val="19"/>
                <w:szCs w:val="19"/>
              </w:rPr>
            </w:pPr>
            <w:r w:rsidRPr="00416C64">
              <w:rPr>
                <w:b/>
                <w:sz w:val="19"/>
                <w:szCs w:val="19"/>
              </w:rPr>
              <w:t>N=4151</w:t>
            </w:r>
          </w:p>
        </w:tc>
        <w:tc>
          <w:tcPr>
            <w:tcW w:w="734" w:type="pct"/>
            <w:vMerge w:val="restart"/>
            <w:vAlign w:val="center"/>
          </w:tcPr>
          <w:p w:rsidR="009F2383" w:rsidRPr="00416C64" w:rsidRDefault="009F2383" w:rsidP="00CE4646">
            <w:pPr>
              <w:pStyle w:val="Tabletext"/>
              <w:keepNext/>
              <w:keepLines/>
              <w:jc w:val="center"/>
              <w:rPr>
                <w:b/>
                <w:sz w:val="19"/>
                <w:szCs w:val="19"/>
              </w:rPr>
            </w:pPr>
            <w:r w:rsidRPr="00416C64">
              <w:rPr>
                <w:b/>
                <w:sz w:val="19"/>
                <w:szCs w:val="19"/>
              </w:rPr>
              <w:t xml:space="preserve">FF/VI </w:t>
            </w:r>
          </w:p>
          <w:p w:rsidR="009F2383" w:rsidRPr="00416C64" w:rsidRDefault="009F2383" w:rsidP="00CE4646">
            <w:pPr>
              <w:pStyle w:val="Tabletext"/>
              <w:keepNext/>
              <w:keepLines/>
              <w:jc w:val="center"/>
              <w:rPr>
                <w:b/>
                <w:sz w:val="19"/>
                <w:szCs w:val="19"/>
              </w:rPr>
            </w:pPr>
            <w:r w:rsidRPr="00416C64">
              <w:rPr>
                <w:b/>
                <w:sz w:val="19"/>
                <w:szCs w:val="19"/>
              </w:rPr>
              <w:t>N=4134</w:t>
            </w:r>
          </w:p>
        </w:tc>
        <w:tc>
          <w:tcPr>
            <w:tcW w:w="734" w:type="pct"/>
            <w:vMerge w:val="restart"/>
            <w:vAlign w:val="center"/>
          </w:tcPr>
          <w:p w:rsidR="009F2383" w:rsidRPr="00416C64" w:rsidRDefault="009F2383" w:rsidP="00CE4646">
            <w:pPr>
              <w:pStyle w:val="Tabletext"/>
              <w:keepNext/>
              <w:keepLines/>
              <w:jc w:val="center"/>
              <w:rPr>
                <w:b/>
                <w:sz w:val="19"/>
                <w:szCs w:val="19"/>
              </w:rPr>
            </w:pPr>
            <w:r w:rsidRPr="00416C64">
              <w:rPr>
                <w:b/>
                <w:sz w:val="19"/>
                <w:szCs w:val="19"/>
              </w:rPr>
              <w:t>UMEC/VI</w:t>
            </w:r>
          </w:p>
          <w:p w:rsidR="009F2383" w:rsidRPr="00416C64" w:rsidRDefault="009F2383" w:rsidP="00CE4646">
            <w:pPr>
              <w:pStyle w:val="Tabletext"/>
              <w:keepNext/>
              <w:keepLines/>
              <w:jc w:val="center"/>
              <w:rPr>
                <w:b/>
                <w:sz w:val="19"/>
                <w:szCs w:val="19"/>
              </w:rPr>
            </w:pPr>
            <w:r w:rsidRPr="00416C64">
              <w:rPr>
                <w:b/>
                <w:sz w:val="19"/>
                <w:szCs w:val="19"/>
              </w:rPr>
              <w:t>N=2070</w:t>
            </w:r>
          </w:p>
        </w:tc>
        <w:tc>
          <w:tcPr>
            <w:tcW w:w="1543" w:type="pct"/>
            <w:gridSpan w:val="2"/>
            <w:vAlign w:val="center"/>
          </w:tcPr>
          <w:p w:rsidR="009F2383" w:rsidRPr="00416C64" w:rsidRDefault="009F2383" w:rsidP="00CE4646">
            <w:pPr>
              <w:pStyle w:val="Tabletext"/>
              <w:keepNext/>
              <w:keepLines/>
              <w:jc w:val="center"/>
              <w:rPr>
                <w:b/>
                <w:sz w:val="19"/>
                <w:szCs w:val="19"/>
              </w:rPr>
            </w:pPr>
            <w:r w:rsidRPr="00416C64">
              <w:rPr>
                <w:b/>
                <w:sz w:val="19"/>
                <w:szCs w:val="19"/>
              </w:rPr>
              <w:t>Treatment difference (95% CI)</w:t>
            </w:r>
          </w:p>
        </w:tc>
      </w:tr>
      <w:tr w:rsidR="009F2383" w:rsidRPr="00416C64" w:rsidTr="00BA64A9">
        <w:trPr>
          <w:cantSplit/>
          <w:trHeight w:val="70"/>
          <w:tblHeader/>
        </w:trPr>
        <w:tc>
          <w:tcPr>
            <w:tcW w:w="1255" w:type="pct"/>
            <w:vMerge/>
            <w:vAlign w:val="center"/>
          </w:tcPr>
          <w:p w:rsidR="009F2383" w:rsidRPr="00416C64" w:rsidRDefault="009F2383" w:rsidP="00CE4646">
            <w:pPr>
              <w:pStyle w:val="Tabletext"/>
              <w:keepNext/>
              <w:keepLines/>
              <w:jc w:val="center"/>
              <w:rPr>
                <w:b/>
                <w:sz w:val="19"/>
                <w:szCs w:val="19"/>
              </w:rPr>
            </w:pPr>
          </w:p>
        </w:tc>
        <w:tc>
          <w:tcPr>
            <w:tcW w:w="734" w:type="pct"/>
            <w:vMerge/>
            <w:vAlign w:val="center"/>
          </w:tcPr>
          <w:p w:rsidR="009F2383" w:rsidRPr="00416C64" w:rsidRDefault="009F2383" w:rsidP="00CE4646">
            <w:pPr>
              <w:pStyle w:val="Tabletext"/>
              <w:keepNext/>
              <w:keepLines/>
              <w:jc w:val="center"/>
              <w:rPr>
                <w:b/>
                <w:sz w:val="19"/>
                <w:szCs w:val="19"/>
              </w:rPr>
            </w:pPr>
          </w:p>
        </w:tc>
        <w:tc>
          <w:tcPr>
            <w:tcW w:w="734" w:type="pct"/>
            <w:vMerge/>
            <w:vAlign w:val="center"/>
          </w:tcPr>
          <w:p w:rsidR="009F2383" w:rsidRPr="00416C64" w:rsidRDefault="009F2383" w:rsidP="00CE4646">
            <w:pPr>
              <w:pStyle w:val="Tabletext"/>
              <w:keepNext/>
              <w:keepLines/>
              <w:jc w:val="center"/>
              <w:rPr>
                <w:b/>
                <w:sz w:val="19"/>
                <w:szCs w:val="19"/>
              </w:rPr>
            </w:pPr>
          </w:p>
        </w:tc>
        <w:tc>
          <w:tcPr>
            <w:tcW w:w="734" w:type="pct"/>
            <w:vMerge/>
            <w:vAlign w:val="center"/>
          </w:tcPr>
          <w:p w:rsidR="009F2383" w:rsidRPr="00416C64" w:rsidRDefault="009F2383" w:rsidP="00CE4646">
            <w:pPr>
              <w:pStyle w:val="Tabletext"/>
              <w:keepNext/>
              <w:keepLines/>
              <w:jc w:val="center"/>
              <w:rPr>
                <w:b/>
                <w:sz w:val="19"/>
                <w:szCs w:val="19"/>
              </w:rPr>
            </w:pPr>
          </w:p>
        </w:tc>
        <w:tc>
          <w:tcPr>
            <w:tcW w:w="786" w:type="pct"/>
          </w:tcPr>
          <w:p w:rsidR="009F2383" w:rsidRPr="00416C64" w:rsidRDefault="009F2383" w:rsidP="00CE4646">
            <w:pPr>
              <w:pStyle w:val="Tabletext"/>
              <w:keepNext/>
              <w:keepLines/>
              <w:jc w:val="center"/>
              <w:rPr>
                <w:b/>
                <w:sz w:val="19"/>
                <w:szCs w:val="19"/>
              </w:rPr>
            </w:pPr>
            <w:r w:rsidRPr="00416C64">
              <w:rPr>
                <w:b/>
                <w:sz w:val="19"/>
                <w:szCs w:val="19"/>
              </w:rPr>
              <w:t>FF/UMEC/VI vs FF/VI</w:t>
            </w:r>
          </w:p>
        </w:tc>
        <w:tc>
          <w:tcPr>
            <w:tcW w:w="757" w:type="pct"/>
          </w:tcPr>
          <w:p w:rsidR="009F2383" w:rsidRPr="00416C64" w:rsidRDefault="009F2383" w:rsidP="00CE4646">
            <w:pPr>
              <w:pStyle w:val="Tabletext"/>
              <w:keepNext/>
              <w:keepLines/>
              <w:jc w:val="center"/>
              <w:rPr>
                <w:b/>
                <w:sz w:val="19"/>
                <w:szCs w:val="19"/>
              </w:rPr>
            </w:pPr>
            <w:r w:rsidRPr="00416C64">
              <w:rPr>
                <w:b/>
                <w:sz w:val="19"/>
                <w:szCs w:val="19"/>
              </w:rPr>
              <w:t>FF/UMEC/VI vs UMEC/VI</w:t>
            </w:r>
          </w:p>
        </w:tc>
      </w:tr>
      <w:tr w:rsidR="009F2383" w:rsidRPr="00416C64" w:rsidTr="00BA64A9">
        <w:trPr>
          <w:cantSplit/>
        </w:trPr>
        <w:tc>
          <w:tcPr>
            <w:tcW w:w="5000" w:type="pct"/>
            <w:gridSpan w:val="6"/>
            <w:tcBorders>
              <w:bottom w:val="single" w:sz="4" w:space="0" w:color="auto"/>
            </w:tcBorders>
            <w:vAlign w:val="center"/>
          </w:tcPr>
          <w:p w:rsidR="009F2383" w:rsidRPr="00416C64" w:rsidRDefault="009F2383" w:rsidP="00CE4646">
            <w:pPr>
              <w:pStyle w:val="Tabletext"/>
              <w:keepNext/>
              <w:keepLines/>
              <w:rPr>
                <w:b/>
                <w:bCs/>
                <w:sz w:val="19"/>
                <w:szCs w:val="19"/>
              </w:rPr>
            </w:pPr>
            <w:r w:rsidRPr="00416C64">
              <w:rPr>
                <w:b/>
                <w:bCs/>
                <w:sz w:val="19"/>
                <w:szCs w:val="19"/>
              </w:rPr>
              <w:t>Annual rate of on-treatment exacerbation</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CE4646">
            <w:pPr>
              <w:pStyle w:val="Tabletext"/>
              <w:keepNext/>
              <w:keepLines/>
              <w:rPr>
                <w:sz w:val="19"/>
                <w:szCs w:val="19"/>
              </w:rPr>
            </w:pPr>
            <w:r w:rsidRPr="00416C64">
              <w:rPr>
                <w:sz w:val="19"/>
                <w:szCs w:val="19"/>
              </w:rPr>
              <w:t>Total duration at risk (</w:t>
            </w:r>
            <w:proofErr w:type="spellStart"/>
            <w:r w:rsidRPr="00416C64">
              <w:rPr>
                <w:sz w:val="19"/>
                <w:szCs w:val="19"/>
              </w:rPr>
              <w:t>yrs</w:t>
            </w:r>
            <w:proofErr w:type="spellEnd"/>
            <w:r w:rsidRPr="00416C64">
              <w:rPr>
                <w:sz w:val="19"/>
                <w:szCs w:val="19"/>
              </w:rPr>
              <w:t>)</w:t>
            </w:r>
          </w:p>
        </w:tc>
        <w:tc>
          <w:tcPr>
            <w:tcW w:w="734" w:type="pct"/>
            <w:tcBorders>
              <w:top w:val="single" w:sz="4" w:space="0" w:color="auto"/>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3714.9</w:t>
            </w:r>
          </w:p>
        </w:tc>
        <w:tc>
          <w:tcPr>
            <w:tcW w:w="734" w:type="pct"/>
            <w:tcBorders>
              <w:top w:val="single" w:sz="4" w:space="0" w:color="auto"/>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3457.9</w:t>
            </w:r>
          </w:p>
        </w:tc>
        <w:tc>
          <w:tcPr>
            <w:tcW w:w="734" w:type="pct"/>
            <w:tcBorders>
              <w:top w:val="single" w:sz="4" w:space="0" w:color="auto"/>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1698.3</w:t>
            </w:r>
          </w:p>
        </w:tc>
        <w:tc>
          <w:tcPr>
            <w:tcW w:w="786" w:type="pct"/>
            <w:tcBorders>
              <w:top w:val="single" w:sz="4" w:space="0" w:color="auto"/>
              <w:bottom w:val="nil"/>
            </w:tcBorders>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single" w:sz="4" w:space="0" w:color="auto"/>
              <w:bottom w:val="nil"/>
            </w:tcBorders>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top w:val="nil"/>
              <w:bottom w:val="nil"/>
            </w:tcBorders>
            <w:vAlign w:val="center"/>
          </w:tcPr>
          <w:p w:rsidR="009F2383" w:rsidRPr="00416C64" w:rsidRDefault="009F2383" w:rsidP="00CE4646">
            <w:pPr>
              <w:pStyle w:val="Tabletext"/>
              <w:keepNext/>
              <w:keepLines/>
              <w:rPr>
                <w:sz w:val="19"/>
                <w:szCs w:val="19"/>
              </w:rPr>
            </w:pPr>
            <w:r w:rsidRPr="00416C64">
              <w:rPr>
                <w:sz w:val="19"/>
                <w:szCs w:val="19"/>
              </w:rPr>
              <w:t>Total exacerbations</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3428</w:t>
            </w:r>
          </w:p>
        </w:tc>
        <w:tc>
          <w:tcPr>
            <w:tcW w:w="734" w:type="pct"/>
            <w:tcBorders>
              <w:top w:val="nil"/>
              <w:bottom w:val="nil"/>
            </w:tcBorders>
            <w:vAlign w:val="bottom"/>
          </w:tcPr>
          <w:p w:rsidR="009F2383" w:rsidRPr="00416C64" w:rsidRDefault="009F2383" w:rsidP="00CE4646">
            <w:pPr>
              <w:pStyle w:val="Tabletext"/>
              <w:keepNext/>
              <w:keepLines/>
              <w:jc w:val="center"/>
              <w:rPr>
                <w:sz w:val="19"/>
                <w:szCs w:val="19"/>
              </w:rPr>
            </w:pPr>
            <w:r w:rsidRPr="00416C64">
              <w:rPr>
                <w:sz w:val="19"/>
                <w:szCs w:val="19"/>
              </w:rPr>
              <w:t>3636</w:t>
            </w:r>
          </w:p>
        </w:tc>
        <w:tc>
          <w:tcPr>
            <w:tcW w:w="734" w:type="pct"/>
            <w:tcBorders>
              <w:top w:val="nil"/>
              <w:bottom w:val="nil"/>
            </w:tcBorders>
            <w:vAlign w:val="bottom"/>
          </w:tcPr>
          <w:p w:rsidR="009F2383" w:rsidRPr="00416C64" w:rsidRDefault="009F2383" w:rsidP="00CE4646">
            <w:pPr>
              <w:pStyle w:val="Tabletext"/>
              <w:keepNext/>
              <w:keepLines/>
              <w:jc w:val="center"/>
              <w:rPr>
                <w:sz w:val="19"/>
                <w:szCs w:val="19"/>
              </w:rPr>
            </w:pPr>
            <w:r w:rsidRPr="00416C64">
              <w:rPr>
                <w:sz w:val="19"/>
                <w:szCs w:val="19"/>
              </w:rPr>
              <w:t>1949</w:t>
            </w:r>
          </w:p>
        </w:tc>
        <w:tc>
          <w:tcPr>
            <w:tcW w:w="786"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top w:val="nil"/>
              <w:bottom w:val="nil"/>
            </w:tcBorders>
            <w:vAlign w:val="center"/>
          </w:tcPr>
          <w:p w:rsidR="009F2383" w:rsidRPr="00416C64" w:rsidRDefault="009F2383" w:rsidP="00CE4646">
            <w:pPr>
              <w:pStyle w:val="Tabletext"/>
              <w:keepNext/>
              <w:keepLines/>
              <w:ind w:left="112"/>
              <w:rPr>
                <w:sz w:val="19"/>
                <w:szCs w:val="19"/>
              </w:rPr>
            </w:pPr>
            <w:r w:rsidRPr="00416C64">
              <w:rPr>
                <w:sz w:val="19"/>
                <w:szCs w:val="19"/>
              </w:rPr>
              <w:t>Moderate (%)</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2868 (83.7)</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3054 (84.0)</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1607 (82.5)</w:t>
            </w:r>
          </w:p>
        </w:tc>
        <w:tc>
          <w:tcPr>
            <w:tcW w:w="786" w:type="pct"/>
            <w:tcBorders>
              <w:top w:val="nil"/>
              <w:bottom w:val="nil"/>
            </w:tcBorders>
            <w:vAlign w:val="center"/>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nil"/>
              <w:bottom w:val="nil"/>
            </w:tcBorders>
            <w:vAlign w:val="center"/>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top w:val="nil"/>
              <w:bottom w:val="nil"/>
            </w:tcBorders>
            <w:vAlign w:val="center"/>
          </w:tcPr>
          <w:p w:rsidR="009F2383" w:rsidRPr="00416C64" w:rsidRDefault="009F2383" w:rsidP="00CE4646">
            <w:pPr>
              <w:pStyle w:val="Tabletext"/>
              <w:keepNext/>
              <w:keepLines/>
              <w:ind w:left="112"/>
              <w:rPr>
                <w:sz w:val="19"/>
                <w:szCs w:val="19"/>
              </w:rPr>
            </w:pPr>
            <w:r w:rsidRPr="00416C64">
              <w:rPr>
                <w:sz w:val="19"/>
                <w:szCs w:val="19"/>
              </w:rPr>
              <w:t>Severe (%)</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560 (16.3)</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582 (16.0)</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342 (17.5)</w:t>
            </w:r>
          </w:p>
        </w:tc>
        <w:tc>
          <w:tcPr>
            <w:tcW w:w="786"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top w:val="nil"/>
              <w:bottom w:val="nil"/>
            </w:tcBorders>
            <w:vAlign w:val="center"/>
          </w:tcPr>
          <w:p w:rsidR="009F2383" w:rsidRPr="00416C64" w:rsidRDefault="009F2383" w:rsidP="00CE4646">
            <w:pPr>
              <w:pStyle w:val="Tabletext"/>
              <w:keepNext/>
              <w:keepLines/>
              <w:rPr>
                <w:sz w:val="19"/>
                <w:szCs w:val="19"/>
              </w:rPr>
            </w:pPr>
            <w:r w:rsidRPr="00416C64">
              <w:rPr>
                <w:sz w:val="19"/>
                <w:szCs w:val="19"/>
              </w:rPr>
              <w:t>Rate</w:t>
            </w:r>
            <w:r w:rsidRPr="00416C64">
              <w:rPr>
                <w:sz w:val="19"/>
                <w:szCs w:val="19"/>
                <w:vertAlign w:val="superscript"/>
              </w:rPr>
              <w:t>#</w:t>
            </w:r>
            <w:r w:rsidRPr="00416C64">
              <w:rPr>
                <w:sz w:val="19"/>
                <w:szCs w:val="19"/>
              </w:rPr>
              <w:t xml:space="preserve"> of moderate / severe</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0.92</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1.05</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1.15</w:t>
            </w:r>
          </w:p>
        </w:tc>
        <w:tc>
          <w:tcPr>
            <w:tcW w:w="786"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nil"/>
              <w:bottom w:val="nil"/>
            </w:tcBorders>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CE4646">
            <w:pPr>
              <w:pStyle w:val="Tabletext"/>
              <w:keepNext/>
              <w:keepLines/>
              <w:rPr>
                <w:sz w:val="19"/>
                <w:szCs w:val="19"/>
              </w:rPr>
            </w:pPr>
            <w:r w:rsidRPr="00416C64">
              <w:rPr>
                <w:sz w:val="19"/>
                <w:szCs w:val="19"/>
              </w:rPr>
              <w:t>Rate</w:t>
            </w:r>
            <w:r w:rsidRPr="00416C64">
              <w:rPr>
                <w:sz w:val="19"/>
                <w:szCs w:val="19"/>
                <w:vertAlign w:val="superscript"/>
              </w:rPr>
              <w:t>#</w:t>
            </w:r>
            <w:r w:rsidRPr="00416C64">
              <w:rPr>
                <w:sz w:val="19"/>
                <w:szCs w:val="19"/>
              </w:rPr>
              <w:t xml:space="preserve"> of severe</w:t>
            </w:r>
          </w:p>
        </w:tc>
        <w:tc>
          <w:tcPr>
            <w:tcW w:w="734" w:type="pct"/>
            <w:tcBorders>
              <w:top w:val="nil"/>
              <w:bottom w:val="single" w:sz="4" w:space="0" w:color="auto"/>
            </w:tcBorders>
            <w:vAlign w:val="center"/>
          </w:tcPr>
          <w:p w:rsidR="009F2383" w:rsidRPr="00416C64" w:rsidRDefault="009F2383" w:rsidP="00CE4646">
            <w:pPr>
              <w:pStyle w:val="Tabletext"/>
              <w:keepNext/>
              <w:keepLines/>
              <w:jc w:val="center"/>
              <w:rPr>
                <w:sz w:val="19"/>
                <w:szCs w:val="19"/>
              </w:rPr>
            </w:pPr>
            <w:r w:rsidRPr="00416C64">
              <w:rPr>
                <w:sz w:val="19"/>
                <w:szCs w:val="19"/>
              </w:rPr>
              <w:t>0.15</w:t>
            </w:r>
          </w:p>
        </w:tc>
        <w:tc>
          <w:tcPr>
            <w:tcW w:w="734" w:type="pct"/>
            <w:tcBorders>
              <w:top w:val="nil"/>
              <w:bottom w:val="single" w:sz="4" w:space="0" w:color="auto"/>
            </w:tcBorders>
            <w:vAlign w:val="center"/>
          </w:tcPr>
          <w:p w:rsidR="009F2383" w:rsidRPr="00416C64" w:rsidRDefault="009F2383" w:rsidP="00CE4646">
            <w:pPr>
              <w:pStyle w:val="Tabletext"/>
              <w:keepNext/>
              <w:keepLines/>
              <w:jc w:val="center"/>
              <w:rPr>
                <w:sz w:val="19"/>
                <w:szCs w:val="19"/>
              </w:rPr>
            </w:pPr>
            <w:r w:rsidRPr="00416C64">
              <w:rPr>
                <w:sz w:val="19"/>
                <w:szCs w:val="19"/>
              </w:rPr>
              <w:t>0.17</w:t>
            </w:r>
          </w:p>
        </w:tc>
        <w:tc>
          <w:tcPr>
            <w:tcW w:w="734" w:type="pct"/>
            <w:tcBorders>
              <w:top w:val="nil"/>
              <w:bottom w:val="single" w:sz="4" w:space="0" w:color="auto"/>
            </w:tcBorders>
            <w:vAlign w:val="center"/>
          </w:tcPr>
          <w:p w:rsidR="009F2383" w:rsidRPr="00416C64" w:rsidRDefault="009F2383" w:rsidP="00CE4646">
            <w:pPr>
              <w:pStyle w:val="Tabletext"/>
              <w:keepNext/>
              <w:keepLines/>
              <w:jc w:val="center"/>
              <w:rPr>
                <w:sz w:val="19"/>
                <w:szCs w:val="19"/>
              </w:rPr>
            </w:pPr>
            <w:r w:rsidRPr="00416C64">
              <w:rPr>
                <w:sz w:val="19"/>
                <w:szCs w:val="19"/>
              </w:rPr>
              <w:t>0.20</w:t>
            </w:r>
          </w:p>
        </w:tc>
        <w:tc>
          <w:tcPr>
            <w:tcW w:w="786" w:type="pct"/>
            <w:tcBorders>
              <w:top w:val="nil"/>
              <w:bottom w:val="single" w:sz="4" w:space="0" w:color="auto"/>
            </w:tcBorders>
          </w:tcPr>
          <w:p w:rsidR="009F2383" w:rsidRPr="00416C64" w:rsidRDefault="00094B4D" w:rsidP="00CE4646">
            <w:pPr>
              <w:pStyle w:val="Tabletext"/>
              <w:keepNext/>
              <w:keepLines/>
              <w:jc w:val="center"/>
              <w:rPr>
                <w:sz w:val="19"/>
                <w:szCs w:val="19"/>
              </w:rPr>
            </w:pPr>
            <w:r w:rsidRPr="00416C64">
              <w:rPr>
                <w:sz w:val="19"/>
                <w:szCs w:val="19"/>
              </w:rPr>
              <w:t>-</w:t>
            </w:r>
          </w:p>
        </w:tc>
        <w:tc>
          <w:tcPr>
            <w:tcW w:w="757" w:type="pct"/>
            <w:tcBorders>
              <w:top w:val="nil"/>
              <w:bottom w:val="single" w:sz="4" w:space="0" w:color="auto"/>
            </w:tcBorders>
          </w:tcPr>
          <w:p w:rsidR="009F2383" w:rsidRPr="00416C64" w:rsidRDefault="00094B4D" w:rsidP="00CE4646">
            <w:pPr>
              <w:pStyle w:val="Tabletext"/>
              <w:keepNext/>
              <w:keepLines/>
              <w:jc w:val="center"/>
              <w:rPr>
                <w:sz w:val="19"/>
                <w:szCs w:val="19"/>
              </w:rPr>
            </w:pPr>
            <w:r w:rsidRPr="00416C64">
              <w:rPr>
                <w:sz w:val="19"/>
                <w:szCs w:val="19"/>
              </w:rPr>
              <w:t>-</w:t>
            </w:r>
          </w:p>
        </w:tc>
      </w:tr>
      <w:tr w:rsidR="009F2383" w:rsidRPr="00416C64" w:rsidTr="00BA64A9">
        <w:trPr>
          <w:cantSplit/>
        </w:trPr>
        <w:tc>
          <w:tcPr>
            <w:tcW w:w="1255" w:type="pct"/>
            <w:tcBorders>
              <w:bottom w:val="nil"/>
            </w:tcBorders>
            <w:vAlign w:val="center"/>
          </w:tcPr>
          <w:p w:rsidR="009F2383" w:rsidRPr="00416C64" w:rsidRDefault="009F2383" w:rsidP="00CE4646">
            <w:pPr>
              <w:pStyle w:val="Tabletext"/>
              <w:keepNext/>
              <w:keepLines/>
              <w:rPr>
                <w:sz w:val="19"/>
                <w:szCs w:val="19"/>
                <w:vertAlign w:val="superscript"/>
              </w:rPr>
            </w:pPr>
            <w:r w:rsidRPr="00416C64">
              <w:rPr>
                <w:sz w:val="19"/>
                <w:szCs w:val="19"/>
              </w:rPr>
              <w:t xml:space="preserve">GLM predicted </w:t>
            </w:r>
            <w:proofErr w:type="spellStart"/>
            <w:r w:rsidRPr="00416C64">
              <w:rPr>
                <w:sz w:val="19"/>
                <w:szCs w:val="19"/>
              </w:rPr>
              <w:t>rate</w:t>
            </w:r>
            <w:r w:rsidRPr="00416C64">
              <w:rPr>
                <w:sz w:val="19"/>
                <w:szCs w:val="19"/>
                <w:vertAlign w:val="superscript"/>
              </w:rPr>
              <w:t>a</w:t>
            </w:r>
            <w:proofErr w:type="spellEnd"/>
            <w:r w:rsidRPr="00416C64">
              <w:rPr>
                <w:sz w:val="19"/>
                <w:szCs w:val="19"/>
                <w:vertAlign w:val="superscript"/>
              </w:rPr>
              <w:t xml:space="preserve"> </w:t>
            </w:r>
            <w:r w:rsidRPr="00416C64">
              <w:rPr>
                <w:sz w:val="19"/>
                <w:szCs w:val="19"/>
              </w:rPr>
              <w:t>(95%CI)</w:t>
            </w:r>
          </w:p>
        </w:tc>
        <w:tc>
          <w:tcPr>
            <w:tcW w:w="734" w:type="pct"/>
            <w:tcBorders>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n=4145</w:t>
            </w:r>
          </w:p>
        </w:tc>
        <w:tc>
          <w:tcPr>
            <w:tcW w:w="734" w:type="pct"/>
            <w:tcBorders>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n=4133</w:t>
            </w:r>
          </w:p>
        </w:tc>
        <w:tc>
          <w:tcPr>
            <w:tcW w:w="734" w:type="pct"/>
            <w:tcBorders>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n=2069</w:t>
            </w:r>
          </w:p>
        </w:tc>
        <w:tc>
          <w:tcPr>
            <w:tcW w:w="786" w:type="pct"/>
            <w:tcBorders>
              <w:bottom w:val="nil"/>
            </w:tcBorders>
          </w:tcPr>
          <w:p w:rsidR="009F2383" w:rsidRPr="00416C64" w:rsidRDefault="009F2383" w:rsidP="00CE4646">
            <w:pPr>
              <w:pStyle w:val="Tabletext"/>
              <w:keepNext/>
              <w:keepLines/>
              <w:jc w:val="center"/>
              <w:rPr>
                <w:sz w:val="19"/>
                <w:szCs w:val="19"/>
              </w:rPr>
            </w:pPr>
            <w:r w:rsidRPr="00416C64">
              <w:rPr>
                <w:sz w:val="19"/>
                <w:szCs w:val="19"/>
              </w:rPr>
              <w:t>RR</w:t>
            </w:r>
          </w:p>
        </w:tc>
        <w:tc>
          <w:tcPr>
            <w:tcW w:w="757" w:type="pct"/>
            <w:tcBorders>
              <w:bottom w:val="nil"/>
            </w:tcBorders>
          </w:tcPr>
          <w:p w:rsidR="009F2383" w:rsidRPr="00416C64" w:rsidRDefault="009F2383" w:rsidP="00CE4646">
            <w:pPr>
              <w:pStyle w:val="Tabletext"/>
              <w:keepNext/>
              <w:keepLines/>
              <w:jc w:val="center"/>
              <w:rPr>
                <w:sz w:val="19"/>
                <w:szCs w:val="19"/>
              </w:rPr>
            </w:pPr>
            <w:r w:rsidRPr="00416C64">
              <w:rPr>
                <w:sz w:val="19"/>
                <w:szCs w:val="19"/>
              </w:rPr>
              <w:t>RR</w:t>
            </w:r>
          </w:p>
        </w:tc>
      </w:tr>
      <w:tr w:rsidR="009F2383" w:rsidRPr="00416C64" w:rsidTr="00BA64A9">
        <w:trPr>
          <w:cantSplit/>
          <w:trHeight w:val="239"/>
        </w:trPr>
        <w:tc>
          <w:tcPr>
            <w:tcW w:w="1255" w:type="pct"/>
            <w:tcBorders>
              <w:top w:val="nil"/>
              <w:bottom w:val="nil"/>
            </w:tcBorders>
            <w:vAlign w:val="center"/>
          </w:tcPr>
          <w:p w:rsidR="009F2383" w:rsidRPr="00416C64" w:rsidRDefault="009F2383" w:rsidP="00CE4646">
            <w:pPr>
              <w:pStyle w:val="Tabletext"/>
              <w:keepNext/>
              <w:keepLines/>
              <w:ind w:left="112"/>
              <w:rPr>
                <w:sz w:val="19"/>
                <w:szCs w:val="19"/>
                <w:vertAlign w:val="superscript"/>
              </w:rPr>
            </w:pPr>
            <w:r w:rsidRPr="00416C64">
              <w:rPr>
                <w:sz w:val="19"/>
                <w:szCs w:val="19"/>
              </w:rPr>
              <w:t>Moderate / severe</w:t>
            </w:r>
          </w:p>
        </w:tc>
        <w:tc>
          <w:tcPr>
            <w:tcW w:w="734" w:type="pct"/>
            <w:tcBorders>
              <w:top w:val="nil"/>
              <w:bottom w:val="nil"/>
            </w:tcBorders>
            <w:vAlign w:val="center"/>
          </w:tcPr>
          <w:p w:rsidR="009F2383" w:rsidRPr="00416C64" w:rsidRDefault="009F2383" w:rsidP="00CE4646">
            <w:pPr>
              <w:keepNext/>
              <w:keepLines/>
              <w:widowControl/>
              <w:jc w:val="center"/>
              <w:rPr>
                <w:sz w:val="19"/>
                <w:szCs w:val="19"/>
              </w:rPr>
            </w:pPr>
            <w:r w:rsidRPr="00416C64">
              <w:rPr>
                <w:rFonts w:ascii="Arial Narrow" w:hAnsi="Arial Narrow" w:cs="Times New Roman"/>
                <w:sz w:val="19"/>
                <w:szCs w:val="19"/>
              </w:rPr>
              <w:t>0.91 (0.87, 0.95)</w:t>
            </w:r>
          </w:p>
        </w:tc>
        <w:tc>
          <w:tcPr>
            <w:tcW w:w="734" w:type="pct"/>
            <w:tcBorders>
              <w:top w:val="nil"/>
              <w:bottom w:val="nil"/>
            </w:tcBorders>
            <w:vAlign w:val="center"/>
          </w:tcPr>
          <w:p w:rsidR="009F2383" w:rsidRPr="00416C64" w:rsidRDefault="009F2383" w:rsidP="00CE4646">
            <w:pPr>
              <w:keepNext/>
              <w:keepLines/>
              <w:widowControl/>
              <w:jc w:val="center"/>
              <w:rPr>
                <w:sz w:val="19"/>
                <w:szCs w:val="19"/>
              </w:rPr>
            </w:pPr>
            <w:r w:rsidRPr="00416C64">
              <w:rPr>
                <w:rFonts w:ascii="Arial Narrow" w:hAnsi="Arial Narrow" w:cs="Times New Roman"/>
                <w:sz w:val="19"/>
                <w:szCs w:val="19"/>
              </w:rPr>
              <w:t>1.07 (1.02, 1.12)</w:t>
            </w:r>
          </w:p>
        </w:tc>
        <w:tc>
          <w:tcPr>
            <w:tcW w:w="734" w:type="pct"/>
            <w:tcBorders>
              <w:top w:val="nil"/>
              <w:bottom w:val="nil"/>
            </w:tcBorders>
            <w:vAlign w:val="center"/>
          </w:tcPr>
          <w:p w:rsidR="009F2383" w:rsidRPr="00416C64" w:rsidRDefault="009F2383" w:rsidP="00CE4646">
            <w:pPr>
              <w:pStyle w:val="Tabletext"/>
              <w:keepNext/>
              <w:keepLines/>
              <w:jc w:val="center"/>
              <w:rPr>
                <w:sz w:val="19"/>
                <w:szCs w:val="19"/>
              </w:rPr>
            </w:pPr>
            <w:r w:rsidRPr="00416C64">
              <w:rPr>
                <w:sz w:val="19"/>
                <w:szCs w:val="19"/>
              </w:rPr>
              <w:t>1.21 (1.14, 1.29)</w:t>
            </w:r>
          </w:p>
        </w:tc>
        <w:tc>
          <w:tcPr>
            <w:tcW w:w="786" w:type="pct"/>
            <w:tcBorders>
              <w:top w:val="nil"/>
              <w:bottom w:val="nil"/>
            </w:tcBorders>
          </w:tcPr>
          <w:p w:rsidR="009F2383" w:rsidRPr="00416C64" w:rsidRDefault="009F2383" w:rsidP="00CE4646">
            <w:pPr>
              <w:pStyle w:val="Tabletext"/>
              <w:keepNext/>
              <w:keepLines/>
              <w:jc w:val="center"/>
              <w:rPr>
                <w:b/>
                <w:bCs/>
                <w:sz w:val="19"/>
                <w:szCs w:val="19"/>
              </w:rPr>
            </w:pPr>
            <w:r w:rsidRPr="00416C64">
              <w:rPr>
                <w:b/>
                <w:bCs/>
                <w:sz w:val="19"/>
                <w:szCs w:val="19"/>
              </w:rPr>
              <w:t>0.85 (0.80, 0.90)</w:t>
            </w:r>
          </w:p>
        </w:tc>
        <w:tc>
          <w:tcPr>
            <w:tcW w:w="757" w:type="pct"/>
            <w:tcBorders>
              <w:top w:val="nil"/>
              <w:bottom w:val="nil"/>
            </w:tcBorders>
          </w:tcPr>
          <w:p w:rsidR="009F2383" w:rsidRPr="00416C64" w:rsidRDefault="009F2383" w:rsidP="00CE4646">
            <w:pPr>
              <w:pStyle w:val="Tabletext"/>
              <w:keepNext/>
              <w:keepLines/>
              <w:jc w:val="center"/>
              <w:rPr>
                <w:b/>
                <w:bCs/>
                <w:sz w:val="19"/>
                <w:szCs w:val="19"/>
              </w:rPr>
            </w:pPr>
            <w:r w:rsidRPr="00416C64">
              <w:rPr>
                <w:b/>
                <w:bCs/>
                <w:sz w:val="19"/>
                <w:szCs w:val="19"/>
              </w:rPr>
              <w:t>0.75 (0.70, 0.81)</w:t>
            </w:r>
          </w:p>
        </w:tc>
      </w:tr>
      <w:tr w:rsidR="009F2383" w:rsidRPr="00416C64" w:rsidTr="00BA64A9">
        <w:trPr>
          <w:cantSplit/>
          <w:trHeight w:val="70"/>
        </w:trPr>
        <w:tc>
          <w:tcPr>
            <w:tcW w:w="1255" w:type="pct"/>
            <w:tcBorders>
              <w:top w:val="nil"/>
            </w:tcBorders>
            <w:vAlign w:val="center"/>
          </w:tcPr>
          <w:p w:rsidR="009F2383" w:rsidRPr="00416C64" w:rsidRDefault="009F2383" w:rsidP="00CE4646">
            <w:pPr>
              <w:pStyle w:val="Tabletext"/>
              <w:keepNext/>
              <w:keepLines/>
              <w:ind w:left="112"/>
              <w:rPr>
                <w:sz w:val="19"/>
                <w:szCs w:val="19"/>
              </w:rPr>
            </w:pPr>
            <w:r w:rsidRPr="00416C64">
              <w:rPr>
                <w:sz w:val="19"/>
                <w:szCs w:val="19"/>
              </w:rPr>
              <w:t>Severe</w:t>
            </w:r>
          </w:p>
        </w:tc>
        <w:tc>
          <w:tcPr>
            <w:tcW w:w="734" w:type="pct"/>
            <w:tcBorders>
              <w:top w:val="nil"/>
            </w:tcBorders>
            <w:shd w:val="clear" w:color="auto" w:fill="auto"/>
            <w:vAlign w:val="center"/>
          </w:tcPr>
          <w:p w:rsidR="009F2383" w:rsidRPr="00416C64" w:rsidRDefault="009F2383" w:rsidP="00CE4646">
            <w:pPr>
              <w:keepNext/>
              <w:keepLines/>
              <w:widowControl/>
              <w:jc w:val="center"/>
              <w:rPr>
                <w:rFonts w:ascii="Arial Narrow" w:hAnsi="Arial Narrow" w:cs="Times New Roman"/>
                <w:sz w:val="19"/>
                <w:szCs w:val="19"/>
              </w:rPr>
            </w:pPr>
            <w:r w:rsidRPr="00416C64">
              <w:rPr>
                <w:rFonts w:ascii="Arial Narrow" w:hAnsi="Arial Narrow" w:cs="Times New Roman"/>
                <w:sz w:val="19"/>
                <w:szCs w:val="19"/>
              </w:rPr>
              <w:t>0.13 (0.12, 0.14)</w:t>
            </w:r>
          </w:p>
        </w:tc>
        <w:tc>
          <w:tcPr>
            <w:tcW w:w="734" w:type="pct"/>
            <w:tcBorders>
              <w:top w:val="nil"/>
            </w:tcBorders>
            <w:shd w:val="clear" w:color="auto" w:fill="auto"/>
            <w:vAlign w:val="center"/>
          </w:tcPr>
          <w:p w:rsidR="009F2383" w:rsidRPr="00416C64" w:rsidRDefault="009F2383" w:rsidP="00CE4646">
            <w:pPr>
              <w:keepNext/>
              <w:keepLines/>
              <w:widowControl/>
              <w:jc w:val="center"/>
              <w:rPr>
                <w:rFonts w:ascii="Arial Narrow" w:hAnsi="Arial Narrow" w:cs="Times New Roman"/>
                <w:sz w:val="19"/>
                <w:szCs w:val="19"/>
              </w:rPr>
            </w:pPr>
            <w:r w:rsidRPr="00416C64">
              <w:rPr>
                <w:rFonts w:ascii="Arial Narrow" w:hAnsi="Arial Narrow" w:cs="Times New Roman"/>
                <w:sz w:val="19"/>
                <w:szCs w:val="19"/>
              </w:rPr>
              <w:t>0.15 (0.13, 0.16)</w:t>
            </w:r>
          </w:p>
        </w:tc>
        <w:tc>
          <w:tcPr>
            <w:tcW w:w="734" w:type="pct"/>
            <w:tcBorders>
              <w:top w:val="nil"/>
            </w:tcBorders>
            <w:shd w:val="clear" w:color="auto" w:fill="auto"/>
            <w:vAlign w:val="center"/>
          </w:tcPr>
          <w:p w:rsidR="009F2383" w:rsidRPr="00416C64" w:rsidRDefault="009F2383" w:rsidP="00CE4646">
            <w:pPr>
              <w:pStyle w:val="Tabletext"/>
              <w:keepNext/>
              <w:keepLines/>
              <w:jc w:val="center"/>
              <w:rPr>
                <w:sz w:val="19"/>
                <w:szCs w:val="19"/>
              </w:rPr>
            </w:pPr>
            <w:r w:rsidRPr="00416C64">
              <w:rPr>
                <w:sz w:val="19"/>
                <w:szCs w:val="19"/>
              </w:rPr>
              <w:t>0.19 (0.17, 0.22)</w:t>
            </w:r>
          </w:p>
        </w:tc>
        <w:tc>
          <w:tcPr>
            <w:tcW w:w="786" w:type="pct"/>
            <w:tcBorders>
              <w:top w:val="nil"/>
            </w:tcBorders>
            <w:vAlign w:val="center"/>
          </w:tcPr>
          <w:p w:rsidR="009F2383" w:rsidRPr="00416C64" w:rsidRDefault="009F2383" w:rsidP="00CE4646">
            <w:pPr>
              <w:pStyle w:val="Tabletext"/>
              <w:keepNext/>
              <w:keepLines/>
              <w:jc w:val="center"/>
              <w:rPr>
                <w:b/>
                <w:bCs/>
                <w:sz w:val="19"/>
                <w:szCs w:val="19"/>
              </w:rPr>
            </w:pPr>
            <w:r w:rsidRPr="00416C64">
              <w:rPr>
                <w:b/>
                <w:bCs/>
                <w:sz w:val="19"/>
                <w:szCs w:val="19"/>
              </w:rPr>
              <w:t>0.87 (0.76, 1.01)</w:t>
            </w:r>
          </w:p>
        </w:tc>
        <w:tc>
          <w:tcPr>
            <w:tcW w:w="757" w:type="pct"/>
            <w:tcBorders>
              <w:top w:val="nil"/>
            </w:tcBorders>
            <w:vAlign w:val="center"/>
          </w:tcPr>
          <w:p w:rsidR="009F2383" w:rsidRPr="00416C64" w:rsidRDefault="009F2383" w:rsidP="00CE4646">
            <w:pPr>
              <w:pStyle w:val="Tabletext"/>
              <w:keepNext/>
              <w:keepLines/>
              <w:jc w:val="center"/>
              <w:rPr>
                <w:b/>
                <w:bCs/>
                <w:sz w:val="19"/>
                <w:szCs w:val="19"/>
              </w:rPr>
            </w:pPr>
            <w:r w:rsidRPr="00416C64">
              <w:rPr>
                <w:b/>
                <w:bCs/>
                <w:sz w:val="19"/>
                <w:szCs w:val="19"/>
              </w:rPr>
              <w:t>0.66 (0.56, 0.78)</w:t>
            </w:r>
          </w:p>
        </w:tc>
      </w:tr>
      <w:tr w:rsidR="009F2383" w:rsidRPr="00416C64" w:rsidTr="00BA64A9">
        <w:trPr>
          <w:cantSplit/>
        </w:trPr>
        <w:tc>
          <w:tcPr>
            <w:tcW w:w="5000" w:type="pct"/>
            <w:gridSpan w:val="6"/>
            <w:tcBorders>
              <w:bottom w:val="single" w:sz="4" w:space="0" w:color="auto"/>
            </w:tcBorders>
            <w:vAlign w:val="center"/>
          </w:tcPr>
          <w:p w:rsidR="009F2383" w:rsidRPr="00416C64" w:rsidRDefault="009F2383" w:rsidP="005A2C9B">
            <w:pPr>
              <w:pStyle w:val="Tabletext"/>
              <w:rPr>
                <w:sz w:val="19"/>
                <w:szCs w:val="19"/>
              </w:rPr>
            </w:pPr>
            <w:r w:rsidRPr="00416C64">
              <w:rPr>
                <w:b/>
                <w:bCs/>
                <w:sz w:val="19"/>
                <w:szCs w:val="19"/>
              </w:rPr>
              <w:t>Time to first on-treatment exacerbation</w:t>
            </w:r>
          </w:p>
        </w:tc>
      </w:tr>
      <w:tr w:rsidR="009F2383" w:rsidRPr="00416C64" w:rsidTr="00BA64A9">
        <w:trPr>
          <w:cantSplit/>
        </w:trPr>
        <w:tc>
          <w:tcPr>
            <w:tcW w:w="1255" w:type="pct"/>
            <w:tcBorders>
              <w:bottom w:val="nil"/>
            </w:tcBorders>
            <w:vAlign w:val="center"/>
          </w:tcPr>
          <w:p w:rsidR="009F2383" w:rsidRPr="00416C64" w:rsidRDefault="009F2383" w:rsidP="005A2C9B">
            <w:pPr>
              <w:pStyle w:val="Tabletext"/>
              <w:rPr>
                <w:sz w:val="19"/>
                <w:szCs w:val="19"/>
              </w:rPr>
            </w:pPr>
            <w:r w:rsidRPr="00416C64">
              <w:rPr>
                <w:sz w:val="19"/>
                <w:szCs w:val="19"/>
              </w:rPr>
              <w:t>N with event (%)</w:t>
            </w:r>
          </w:p>
        </w:tc>
        <w:tc>
          <w:tcPr>
            <w:tcW w:w="734" w:type="pct"/>
            <w:tcBorders>
              <w:bottom w:val="nil"/>
            </w:tcBorders>
            <w:shd w:val="clear" w:color="auto" w:fill="auto"/>
            <w:vAlign w:val="center"/>
          </w:tcPr>
          <w:p w:rsidR="009F2383" w:rsidRPr="00416C64" w:rsidRDefault="009F2383" w:rsidP="005A2C9B">
            <w:pPr>
              <w:pStyle w:val="Tabletext"/>
              <w:jc w:val="center"/>
              <w:rPr>
                <w:sz w:val="19"/>
                <w:szCs w:val="19"/>
              </w:rPr>
            </w:pPr>
          </w:p>
        </w:tc>
        <w:tc>
          <w:tcPr>
            <w:tcW w:w="734" w:type="pct"/>
            <w:tcBorders>
              <w:bottom w:val="nil"/>
            </w:tcBorders>
            <w:vAlign w:val="bottom"/>
          </w:tcPr>
          <w:p w:rsidR="009F2383" w:rsidRPr="00416C64" w:rsidRDefault="009F2383" w:rsidP="005A2C9B">
            <w:pPr>
              <w:pStyle w:val="Tabletext"/>
              <w:jc w:val="center"/>
              <w:rPr>
                <w:sz w:val="19"/>
                <w:szCs w:val="19"/>
              </w:rPr>
            </w:pPr>
          </w:p>
        </w:tc>
        <w:tc>
          <w:tcPr>
            <w:tcW w:w="734" w:type="pct"/>
            <w:tcBorders>
              <w:bottom w:val="nil"/>
            </w:tcBorders>
            <w:vAlign w:val="bottom"/>
          </w:tcPr>
          <w:p w:rsidR="009F2383" w:rsidRPr="00416C64" w:rsidRDefault="009F2383" w:rsidP="005A2C9B">
            <w:pPr>
              <w:pStyle w:val="Tabletext"/>
              <w:jc w:val="center"/>
              <w:rPr>
                <w:sz w:val="19"/>
                <w:szCs w:val="19"/>
              </w:rPr>
            </w:pPr>
          </w:p>
        </w:tc>
        <w:tc>
          <w:tcPr>
            <w:tcW w:w="786" w:type="pct"/>
            <w:tcBorders>
              <w:bottom w:val="nil"/>
            </w:tcBorders>
            <w:vAlign w:val="center"/>
          </w:tcPr>
          <w:p w:rsidR="009F2383" w:rsidRPr="00416C64" w:rsidRDefault="009F2383" w:rsidP="005A2C9B">
            <w:pPr>
              <w:keepNext/>
              <w:widowControl/>
              <w:jc w:val="center"/>
              <w:rPr>
                <w:rFonts w:ascii="Arial Narrow" w:hAnsi="Arial Narrow" w:cs="Times New Roman"/>
                <w:sz w:val="19"/>
                <w:szCs w:val="19"/>
                <w:vertAlign w:val="superscript"/>
              </w:rPr>
            </w:pPr>
            <w:proofErr w:type="spellStart"/>
            <w:r w:rsidRPr="00416C64">
              <w:rPr>
                <w:rFonts w:ascii="Arial Narrow" w:hAnsi="Arial Narrow" w:cs="Times New Roman"/>
                <w:sz w:val="19"/>
                <w:szCs w:val="19"/>
              </w:rPr>
              <w:t>HR</w:t>
            </w:r>
            <w:r w:rsidRPr="00416C64">
              <w:rPr>
                <w:rFonts w:ascii="Arial Narrow" w:hAnsi="Arial Narrow" w:cs="Times New Roman"/>
                <w:sz w:val="19"/>
                <w:szCs w:val="19"/>
                <w:vertAlign w:val="superscript"/>
              </w:rPr>
              <w:t>b</w:t>
            </w:r>
            <w:proofErr w:type="spellEnd"/>
          </w:p>
        </w:tc>
        <w:tc>
          <w:tcPr>
            <w:tcW w:w="757" w:type="pct"/>
            <w:tcBorders>
              <w:bottom w:val="nil"/>
            </w:tcBorders>
            <w:vAlign w:val="center"/>
          </w:tcPr>
          <w:p w:rsidR="009F2383" w:rsidRPr="00416C64" w:rsidRDefault="009F2383" w:rsidP="005A2C9B">
            <w:pPr>
              <w:keepNext/>
              <w:widowControl/>
              <w:jc w:val="center"/>
              <w:rPr>
                <w:rFonts w:ascii="Arial Narrow" w:hAnsi="Arial Narrow" w:cs="Times New Roman"/>
                <w:sz w:val="19"/>
                <w:szCs w:val="19"/>
                <w:vertAlign w:val="superscript"/>
              </w:rPr>
            </w:pPr>
            <w:proofErr w:type="spellStart"/>
            <w:r w:rsidRPr="00416C64">
              <w:rPr>
                <w:rFonts w:ascii="Arial Narrow" w:hAnsi="Arial Narrow" w:cs="Times New Roman"/>
                <w:sz w:val="19"/>
                <w:szCs w:val="19"/>
              </w:rPr>
              <w:t>HR</w:t>
            </w:r>
            <w:r w:rsidRPr="00416C64">
              <w:rPr>
                <w:rFonts w:ascii="Arial Narrow" w:hAnsi="Arial Narrow" w:cs="Times New Roman"/>
                <w:sz w:val="19"/>
                <w:szCs w:val="19"/>
                <w:vertAlign w:val="superscript"/>
              </w:rPr>
              <w:t>b</w:t>
            </w:r>
            <w:proofErr w:type="spellEnd"/>
          </w:p>
        </w:tc>
      </w:tr>
      <w:tr w:rsidR="009F2383" w:rsidRPr="00416C64" w:rsidTr="00BA64A9">
        <w:trPr>
          <w:cantSplit/>
        </w:trPr>
        <w:tc>
          <w:tcPr>
            <w:tcW w:w="1255" w:type="pct"/>
            <w:tcBorders>
              <w:top w:val="nil"/>
              <w:bottom w:val="nil"/>
            </w:tcBorders>
            <w:vAlign w:val="center"/>
          </w:tcPr>
          <w:p w:rsidR="009F2383" w:rsidRPr="00416C64" w:rsidRDefault="009F2383" w:rsidP="005A2C9B">
            <w:pPr>
              <w:pStyle w:val="Tabletext"/>
              <w:ind w:left="112"/>
              <w:rPr>
                <w:sz w:val="19"/>
                <w:szCs w:val="19"/>
              </w:rPr>
            </w:pPr>
            <w:r w:rsidRPr="00416C64">
              <w:rPr>
                <w:sz w:val="19"/>
                <w:szCs w:val="19"/>
              </w:rPr>
              <w:t>Moderate / severe</w:t>
            </w:r>
          </w:p>
        </w:tc>
        <w:tc>
          <w:tcPr>
            <w:tcW w:w="734" w:type="pct"/>
            <w:tcBorders>
              <w:top w:val="nil"/>
              <w:bottom w:val="nil"/>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1959 (47)</w:t>
            </w:r>
          </w:p>
        </w:tc>
        <w:tc>
          <w:tcPr>
            <w:tcW w:w="734" w:type="pct"/>
            <w:tcBorders>
              <w:top w:val="nil"/>
              <w:bottom w:val="nil"/>
            </w:tcBorders>
            <w:vAlign w:val="center"/>
          </w:tcPr>
          <w:p w:rsidR="009F2383" w:rsidRPr="00416C64" w:rsidRDefault="009F2383" w:rsidP="005A2C9B">
            <w:pPr>
              <w:pStyle w:val="Tabletext"/>
              <w:jc w:val="center"/>
              <w:rPr>
                <w:sz w:val="19"/>
                <w:szCs w:val="19"/>
              </w:rPr>
            </w:pPr>
            <w:r w:rsidRPr="00416C64">
              <w:rPr>
                <w:sz w:val="19"/>
                <w:szCs w:val="19"/>
              </w:rPr>
              <w:t>2039 (49)</w:t>
            </w:r>
          </w:p>
        </w:tc>
        <w:tc>
          <w:tcPr>
            <w:tcW w:w="734" w:type="pct"/>
            <w:tcBorders>
              <w:top w:val="nil"/>
              <w:bottom w:val="nil"/>
            </w:tcBorders>
            <w:vAlign w:val="center"/>
          </w:tcPr>
          <w:p w:rsidR="009F2383" w:rsidRPr="00416C64" w:rsidRDefault="009F2383" w:rsidP="005A2C9B">
            <w:pPr>
              <w:pStyle w:val="Tabletext"/>
              <w:jc w:val="center"/>
              <w:rPr>
                <w:sz w:val="19"/>
                <w:szCs w:val="19"/>
              </w:rPr>
            </w:pPr>
            <w:r w:rsidRPr="00416C64">
              <w:rPr>
                <w:sz w:val="19"/>
                <w:szCs w:val="19"/>
              </w:rPr>
              <w:t>1036 (50)</w:t>
            </w:r>
          </w:p>
        </w:tc>
        <w:tc>
          <w:tcPr>
            <w:tcW w:w="786" w:type="pct"/>
            <w:tcBorders>
              <w:top w:val="nil"/>
              <w:bottom w:val="nil"/>
            </w:tcBorders>
            <w:vAlign w:val="center"/>
          </w:tcPr>
          <w:p w:rsidR="009F2383" w:rsidRPr="00416C64" w:rsidRDefault="009F2383" w:rsidP="005A2C9B">
            <w:pPr>
              <w:keepNext/>
              <w:widowControl/>
              <w:jc w:val="center"/>
              <w:rPr>
                <w:rFonts w:ascii="Arial Narrow" w:hAnsi="Arial Narrow" w:cs="Times New Roman"/>
                <w:sz w:val="19"/>
                <w:szCs w:val="19"/>
              </w:rPr>
            </w:pPr>
            <w:r w:rsidRPr="00416C64">
              <w:rPr>
                <w:rFonts w:ascii="Arial Narrow" w:hAnsi="Arial Narrow" w:cs="Times New Roman"/>
                <w:b/>
                <w:bCs/>
                <w:sz w:val="19"/>
                <w:szCs w:val="19"/>
              </w:rPr>
              <w:t>0.85 (0.80, 0.91)</w:t>
            </w:r>
          </w:p>
        </w:tc>
        <w:tc>
          <w:tcPr>
            <w:tcW w:w="757" w:type="pct"/>
            <w:tcBorders>
              <w:top w:val="nil"/>
              <w:bottom w:val="nil"/>
            </w:tcBorders>
            <w:vAlign w:val="center"/>
          </w:tcPr>
          <w:p w:rsidR="009F2383" w:rsidRPr="00416C64" w:rsidRDefault="009F2383" w:rsidP="005A2C9B">
            <w:pPr>
              <w:keepNext/>
              <w:widowControl/>
              <w:jc w:val="center"/>
              <w:rPr>
                <w:rFonts w:ascii="Arial Narrow" w:hAnsi="Arial Narrow" w:cs="Times New Roman"/>
                <w:sz w:val="19"/>
                <w:szCs w:val="19"/>
              </w:rPr>
            </w:pPr>
            <w:r w:rsidRPr="00416C64">
              <w:rPr>
                <w:rFonts w:ascii="Arial Narrow" w:hAnsi="Arial Narrow" w:cs="Times New Roman"/>
                <w:b/>
                <w:bCs/>
                <w:sz w:val="19"/>
                <w:szCs w:val="19"/>
              </w:rPr>
              <w:t>0.84 (0.78, 0.91)</w:t>
            </w:r>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sz w:val="19"/>
                <w:szCs w:val="19"/>
              </w:rPr>
              <w:t>Severe</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447 (11)</w:t>
            </w:r>
          </w:p>
        </w:tc>
        <w:tc>
          <w:tcPr>
            <w:tcW w:w="734" w:type="pct"/>
            <w:tcBorders>
              <w:top w:val="nil"/>
              <w:bottom w:val="single" w:sz="4" w:space="0" w:color="auto"/>
            </w:tcBorders>
            <w:vAlign w:val="bottom"/>
          </w:tcPr>
          <w:p w:rsidR="009F2383" w:rsidRPr="00416C64" w:rsidRDefault="009F2383" w:rsidP="005A2C9B">
            <w:pPr>
              <w:pStyle w:val="Tabletext"/>
              <w:jc w:val="center"/>
              <w:rPr>
                <w:sz w:val="19"/>
                <w:szCs w:val="19"/>
              </w:rPr>
            </w:pPr>
            <w:r w:rsidRPr="00416C64">
              <w:rPr>
                <w:sz w:val="19"/>
                <w:szCs w:val="19"/>
              </w:rPr>
              <w:t>461 (11)</w:t>
            </w:r>
          </w:p>
        </w:tc>
        <w:tc>
          <w:tcPr>
            <w:tcW w:w="734" w:type="pct"/>
            <w:tcBorders>
              <w:top w:val="nil"/>
              <w:bottom w:val="single" w:sz="4" w:space="0" w:color="auto"/>
            </w:tcBorders>
            <w:vAlign w:val="bottom"/>
          </w:tcPr>
          <w:p w:rsidR="009F2383" w:rsidRPr="00416C64" w:rsidRDefault="009F2383" w:rsidP="005A2C9B">
            <w:pPr>
              <w:pStyle w:val="Tabletext"/>
              <w:jc w:val="center"/>
              <w:rPr>
                <w:sz w:val="19"/>
                <w:szCs w:val="19"/>
              </w:rPr>
            </w:pPr>
            <w:r w:rsidRPr="00416C64">
              <w:rPr>
                <w:sz w:val="19"/>
                <w:szCs w:val="19"/>
              </w:rPr>
              <w:t>272 (13)</w:t>
            </w:r>
          </w:p>
        </w:tc>
        <w:tc>
          <w:tcPr>
            <w:tcW w:w="786"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sz w:val="19"/>
                <w:szCs w:val="19"/>
              </w:rPr>
            </w:pPr>
            <w:r w:rsidRPr="00416C64">
              <w:rPr>
                <w:rFonts w:ascii="Arial Narrow" w:hAnsi="Arial Narrow" w:cs="Times New Roman"/>
                <w:sz w:val="19"/>
                <w:szCs w:val="19"/>
              </w:rPr>
              <w:t>0.89 (0.78, 1.01)</w:t>
            </w:r>
          </w:p>
        </w:tc>
        <w:tc>
          <w:tcPr>
            <w:tcW w:w="757"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b/>
                <w:bCs/>
                <w:sz w:val="19"/>
                <w:szCs w:val="19"/>
              </w:rPr>
            </w:pPr>
            <w:r w:rsidRPr="00416C64">
              <w:rPr>
                <w:rFonts w:ascii="Arial Narrow" w:hAnsi="Arial Narrow" w:cs="Times New Roman"/>
                <w:b/>
                <w:bCs/>
                <w:sz w:val="19"/>
                <w:szCs w:val="19"/>
              </w:rPr>
              <w:t>0.75 (0.64, 0.87)</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sz w:val="19"/>
                <w:szCs w:val="19"/>
              </w:rPr>
            </w:pPr>
            <w:r w:rsidRPr="00416C64">
              <w:rPr>
                <w:b/>
                <w:bCs/>
                <w:sz w:val="19"/>
                <w:szCs w:val="19"/>
              </w:rPr>
              <w:t>Change from baseline in trough FEV1 (mL)</w:t>
            </w:r>
          </w:p>
        </w:tc>
      </w:tr>
      <w:tr w:rsidR="009F2383" w:rsidRPr="00416C64" w:rsidTr="00BA64A9">
        <w:trPr>
          <w:cantSplit/>
          <w:trHeight w:val="70"/>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r w:rsidRPr="00416C64">
              <w:rPr>
                <w:sz w:val="19"/>
                <w:szCs w:val="19"/>
              </w:rPr>
              <w:t xml:space="preserve">LS mean </w:t>
            </w:r>
            <w:proofErr w:type="spellStart"/>
            <w:r w:rsidRPr="00416C64">
              <w:rPr>
                <w:sz w:val="19"/>
                <w:szCs w:val="19"/>
              </w:rPr>
              <w:t>change</w:t>
            </w:r>
            <w:r w:rsidRPr="00416C64">
              <w:rPr>
                <w:sz w:val="19"/>
                <w:szCs w:val="19"/>
                <w:vertAlign w:val="superscript"/>
              </w:rPr>
              <w:t>c</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n=3366</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sz w:val="19"/>
                <w:szCs w:val="19"/>
              </w:rPr>
              <w:t>n=3060</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sz w:val="19"/>
                <w:szCs w:val="19"/>
              </w:rPr>
              <w:t>n=1490</w:t>
            </w:r>
          </w:p>
        </w:tc>
        <w:tc>
          <w:tcPr>
            <w:tcW w:w="786" w:type="pct"/>
            <w:tcBorders>
              <w:top w:val="single" w:sz="4" w:space="0" w:color="auto"/>
              <w:bottom w:val="nil"/>
            </w:tcBorders>
          </w:tcPr>
          <w:p w:rsidR="009F2383" w:rsidRPr="00416C64" w:rsidRDefault="009F2383" w:rsidP="005A2C9B">
            <w:pPr>
              <w:pStyle w:val="Tabletext"/>
              <w:jc w:val="center"/>
              <w:rPr>
                <w:sz w:val="19"/>
                <w:szCs w:val="19"/>
              </w:rPr>
            </w:pPr>
          </w:p>
        </w:tc>
        <w:tc>
          <w:tcPr>
            <w:tcW w:w="757" w:type="pct"/>
            <w:tcBorders>
              <w:top w:val="single" w:sz="4" w:space="0" w:color="auto"/>
              <w:bottom w:val="nil"/>
            </w:tcBorders>
          </w:tcPr>
          <w:p w:rsidR="009F2383" w:rsidRPr="00416C64" w:rsidRDefault="009F2383" w:rsidP="005A2C9B">
            <w:pPr>
              <w:pStyle w:val="Tabletext"/>
              <w:jc w:val="center"/>
              <w:rPr>
                <w:sz w:val="19"/>
                <w:szCs w:val="19"/>
              </w:rPr>
            </w:pPr>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sz w:val="19"/>
                <w:szCs w:val="19"/>
              </w:rPr>
              <w:t>At Wk52, (95%CI)</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94 (86, 102)</w:t>
            </w:r>
          </w:p>
        </w:tc>
        <w:tc>
          <w:tcPr>
            <w:tcW w:w="734" w:type="pct"/>
            <w:tcBorders>
              <w:top w:val="nil"/>
              <w:bottom w:val="single" w:sz="4" w:space="0" w:color="auto"/>
            </w:tcBorders>
            <w:vAlign w:val="center"/>
          </w:tcPr>
          <w:p w:rsidR="009F2383" w:rsidRPr="00416C64" w:rsidRDefault="009F2383" w:rsidP="005A2C9B">
            <w:pPr>
              <w:pStyle w:val="Tabletext"/>
              <w:jc w:val="center"/>
              <w:rPr>
                <w:sz w:val="19"/>
                <w:szCs w:val="19"/>
              </w:rPr>
            </w:pPr>
            <w:r w:rsidRPr="00416C64">
              <w:rPr>
                <w:sz w:val="19"/>
                <w:szCs w:val="19"/>
              </w:rPr>
              <w:t>-3 (-12, 6)</w:t>
            </w:r>
          </w:p>
        </w:tc>
        <w:tc>
          <w:tcPr>
            <w:tcW w:w="734" w:type="pct"/>
            <w:tcBorders>
              <w:top w:val="nil"/>
              <w:bottom w:val="single" w:sz="4" w:space="0" w:color="auto"/>
            </w:tcBorders>
            <w:vAlign w:val="center"/>
          </w:tcPr>
          <w:p w:rsidR="009F2383" w:rsidRPr="00416C64" w:rsidRDefault="009F2383" w:rsidP="005A2C9B">
            <w:pPr>
              <w:pStyle w:val="Tabletext"/>
              <w:jc w:val="center"/>
              <w:rPr>
                <w:sz w:val="19"/>
                <w:szCs w:val="19"/>
              </w:rPr>
            </w:pPr>
            <w:r w:rsidRPr="00416C64">
              <w:rPr>
                <w:sz w:val="19"/>
                <w:szCs w:val="19"/>
              </w:rPr>
              <w:t>40 (28, 52)</w:t>
            </w:r>
          </w:p>
        </w:tc>
        <w:tc>
          <w:tcPr>
            <w:tcW w:w="786" w:type="pct"/>
            <w:tcBorders>
              <w:top w:val="nil"/>
              <w:bottom w:val="single" w:sz="4" w:space="0" w:color="auto"/>
            </w:tcBorders>
            <w:vAlign w:val="center"/>
          </w:tcPr>
          <w:p w:rsidR="009F2383" w:rsidRPr="00416C64" w:rsidRDefault="009F2383" w:rsidP="005A2C9B">
            <w:pPr>
              <w:pStyle w:val="Tabletext"/>
              <w:jc w:val="center"/>
              <w:rPr>
                <w:b/>
                <w:bCs/>
                <w:sz w:val="19"/>
                <w:szCs w:val="19"/>
              </w:rPr>
            </w:pPr>
            <w:r w:rsidRPr="00416C64">
              <w:rPr>
                <w:b/>
                <w:bCs/>
                <w:sz w:val="19"/>
                <w:szCs w:val="19"/>
              </w:rPr>
              <w:t>97 (85, 109)</w:t>
            </w:r>
          </w:p>
        </w:tc>
        <w:tc>
          <w:tcPr>
            <w:tcW w:w="757" w:type="pct"/>
            <w:tcBorders>
              <w:top w:val="nil"/>
              <w:bottom w:val="single" w:sz="4" w:space="0" w:color="auto"/>
            </w:tcBorders>
            <w:vAlign w:val="center"/>
          </w:tcPr>
          <w:p w:rsidR="009F2383" w:rsidRPr="00416C64" w:rsidRDefault="009F2383" w:rsidP="005A2C9B">
            <w:pPr>
              <w:pStyle w:val="Tabletext"/>
              <w:jc w:val="center"/>
              <w:rPr>
                <w:b/>
                <w:bCs/>
                <w:sz w:val="19"/>
                <w:szCs w:val="19"/>
              </w:rPr>
            </w:pPr>
            <w:r w:rsidRPr="00416C64">
              <w:rPr>
                <w:b/>
                <w:bCs/>
                <w:sz w:val="19"/>
                <w:szCs w:val="19"/>
              </w:rPr>
              <w:t>54 (39, 69)</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sz w:val="19"/>
                <w:szCs w:val="19"/>
              </w:rPr>
            </w:pPr>
            <w:r w:rsidRPr="00416C64">
              <w:rPr>
                <w:b/>
                <w:bCs/>
                <w:sz w:val="19"/>
                <w:szCs w:val="19"/>
              </w:rPr>
              <w:t>Proportion of FEV1 responders (with ≥100mL increase from baseline in trough FEV1)</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proofErr w:type="spellStart"/>
            <w:r w:rsidRPr="00416C64">
              <w:rPr>
                <w:sz w:val="19"/>
                <w:szCs w:val="19"/>
              </w:rPr>
              <w:t>Responders</w:t>
            </w:r>
            <w:r w:rsidRPr="00416C64">
              <w:rPr>
                <w:sz w:val="19"/>
                <w:szCs w:val="19"/>
                <w:vertAlign w:val="superscript"/>
              </w:rPr>
              <w:t>d</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n=4138</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sz w:val="19"/>
                <w:szCs w:val="19"/>
              </w:rPr>
              <w:t>n=4127</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sz w:val="19"/>
                <w:szCs w:val="19"/>
              </w:rPr>
              <w:t>n=2068</w:t>
            </w:r>
          </w:p>
        </w:tc>
        <w:tc>
          <w:tcPr>
            <w:tcW w:w="786" w:type="pct"/>
            <w:tcBorders>
              <w:top w:val="single" w:sz="4" w:space="0" w:color="auto"/>
              <w:bottom w:val="nil"/>
            </w:tcBorders>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OR</w:t>
            </w:r>
            <w:r w:rsidRPr="00416C64">
              <w:rPr>
                <w:rFonts w:ascii="Arial Narrow" w:hAnsi="Arial Narrow" w:cs="Times New Roman"/>
                <w:snapToGrid/>
                <w:sz w:val="19"/>
                <w:szCs w:val="19"/>
                <w:vertAlign w:val="superscript"/>
              </w:rPr>
              <w:t>e</w:t>
            </w:r>
            <w:proofErr w:type="spellEnd"/>
          </w:p>
        </w:tc>
        <w:tc>
          <w:tcPr>
            <w:tcW w:w="757" w:type="pct"/>
            <w:tcBorders>
              <w:top w:val="single" w:sz="4" w:space="0" w:color="auto"/>
              <w:bottom w:val="nil"/>
            </w:tcBorders>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OR</w:t>
            </w:r>
            <w:r w:rsidRPr="00416C64">
              <w:rPr>
                <w:rFonts w:ascii="Arial Narrow" w:hAnsi="Arial Narrow" w:cs="Times New Roman"/>
                <w:snapToGrid/>
                <w:sz w:val="19"/>
                <w:szCs w:val="19"/>
                <w:vertAlign w:val="superscript"/>
              </w:rPr>
              <w:t>e</w:t>
            </w:r>
            <w:proofErr w:type="spellEnd"/>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sz w:val="19"/>
                <w:szCs w:val="19"/>
              </w:rPr>
              <w:t xml:space="preserve">At Wk52, </w:t>
            </w:r>
            <w:proofErr w:type="gramStart"/>
            <w:r w:rsidRPr="00416C64">
              <w:rPr>
                <w:sz w:val="19"/>
                <w:szCs w:val="19"/>
              </w:rPr>
              <w:t>n(</w:t>
            </w:r>
            <w:proofErr w:type="gramEnd"/>
            <w:r w:rsidRPr="00416C64">
              <w:rPr>
                <w:sz w:val="19"/>
                <w:szCs w:val="19"/>
              </w:rPr>
              <w:t>%)</w:t>
            </w:r>
          </w:p>
        </w:tc>
        <w:tc>
          <w:tcPr>
            <w:tcW w:w="734" w:type="pct"/>
            <w:tcBorders>
              <w:top w:val="nil"/>
              <w:bottom w:val="single" w:sz="4" w:space="0" w:color="auto"/>
            </w:tcBorders>
            <w:shd w:val="clear" w:color="auto" w:fill="auto"/>
          </w:tcPr>
          <w:p w:rsidR="009F2383" w:rsidRPr="00416C64" w:rsidRDefault="009F2383" w:rsidP="005A2C9B">
            <w:pPr>
              <w:pStyle w:val="Tabletext"/>
              <w:jc w:val="center"/>
              <w:rPr>
                <w:sz w:val="19"/>
                <w:szCs w:val="19"/>
              </w:rPr>
            </w:pPr>
            <w:r w:rsidRPr="00416C64">
              <w:rPr>
                <w:sz w:val="19"/>
                <w:szCs w:val="19"/>
              </w:rPr>
              <w:t>1561 (38)</w:t>
            </w:r>
          </w:p>
        </w:tc>
        <w:tc>
          <w:tcPr>
            <w:tcW w:w="734" w:type="pct"/>
            <w:tcBorders>
              <w:top w:val="nil"/>
              <w:bottom w:val="single" w:sz="4" w:space="0" w:color="auto"/>
            </w:tcBorders>
          </w:tcPr>
          <w:p w:rsidR="009F2383" w:rsidRPr="00416C64" w:rsidRDefault="009F2383" w:rsidP="005A2C9B">
            <w:pPr>
              <w:pStyle w:val="Tabletext"/>
              <w:jc w:val="center"/>
              <w:rPr>
                <w:sz w:val="19"/>
                <w:szCs w:val="19"/>
              </w:rPr>
            </w:pPr>
            <w:r w:rsidRPr="00416C64">
              <w:rPr>
                <w:sz w:val="19"/>
                <w:szCs w:val="19"/>
              </w:rPr>
              <w:t>939 (23)</w:t>
            </w:r>
          </w:p>
        </w:tc>
        <w:tc>
          <w:tcPr>
            <w:tcW w:w="734" w:type="pct"/>
            <w:tcBorders>
              <w:top w:val="nil"/>
              <w:bottom w:val="single" w:sz="4" w:space="0" w:color="auto"/>
            </w:tcBorders>
          </w:tcPr>
          <w:p w:rsidR="009F2383" w:rsidRPr="00416C64" w:rsidRDefault="009F2383" w:rsidP="005A2C9B">
            <w:pPr>
              <w:pStyle w:val="Tabletext"/>
              <w:jc w:val="center"/>
              <w:rPr>
                <w:sz w:val="19"/>
                <w:szCs w:val="19"/>
              </w:rPr>
            </w:pPr>
            <w:r w:rsidRPr="00416C64">
              <w:rPr>
                <w:sz w:val="19"/>
                <w:szCs w:val="19"/>
              </w:rPr>
              <w:t>561 (27)</w:t>
            </w:r>
          </w:p>
        </w:tc>
        <w:tc>
          <w:tcPr>
            <w:tcW w:w="786"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b/>
                <w:bCs/>
                <w:snapToGrid/>
                <w:sz w:val="19"/>
                <w:szCs w:val="19"/>
              </w:rPr>
            </w:pPr>
            <w:r w:rsidRPr="00416C64">
              <w:rPr>
                <w:rFonts w:ascii="Arial Narrow" w:hAnsi="Arial Narrow" w:cs="Times New Roman"/>
                <w:b/>
                <w:bCs/>
                <w:snapToGrid/>
                <w:sz w:val="19"/>
                <w:szCs w:val="19"/>
              </w:rPr>
              <w:t>2.07 (1.88, 2.28)</w:t>
            </w:r>
          </w:p>
        </w:tc>
        <w:tc>
          <w:tcPr>
            <w:tcW w:w="757"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b/>
                <w:bCs/>
                <w:snapToGrid/>
                <w:sz w:val="19"/>
                <w:szCs w:val="19"/>
              </w:rPr>
            </w:pPr>
            <w:r w:rsidRPr="00416C64">
              <w:rPr>
                <w:rFonts w:ascii="Arial Narrow" w:hAnsi="Arial Narrow" w:cs="Times New Roman"/>
                <w:b/>
                <w:bCs/>
                <w:snapToGrid/>
                <w:sz w:val="19"/>
                <w:szCs w:val="19"/>
              </w:rPr>
              <w:t>1.64 (1.46, 1.84)</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sz w:val="19"/>
                <w:szCs w:val="19"/>
              </w:rPr>
            </w:pPr>
            <w:r w:rsidRPr="00416C64">
              <w:rPr>
                <w:b/>
                <w:bCs/>
                <w:sz w:val="19"/>
                <w:szCs w:val="19"/>
              </w:rPr>
              <w:t>Time to all-cause mortality</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r w:rsidRPr="00416C64">
              <w:rPr>
                <w:sz w:val="19"/>
                <w:szCs w:val="19"/>
              </w:rPr>
              <w:t>N with event (%)</w:t>
            </w:r>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p>
        </w:tc>
        <w:tc>
          <w:tcPr>
            <w:tcW w:w="786" w:type="pct"/>
            <w:tcBorders>
              <w:top w:val="single" w:sz="4" w:space="0" w:color="auto"/>
              <w:bottom w:val="nil"/>
            </w:tcBorders>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HR</w:t>
            </w:r>
            <w:r w:rsidRPr="00416C64">
              <w:rPr>
                <w:rFonts w:ascii="Arial Narrow" w:hAnsi="Arial Narrow" w:cs="Times New Roman"/>
                <w:snapToGrid/>
                <w:sz w:val="19"/>
                <w:szCs w:val="19"/>
                <w:vertAlign w:val="superscript"/>
              </w:rPr>
              <w:t>b</w:t>
            </w:r>
            <w:proofErr w:type="spellEnd"/>
          </w:p>
        </w:tc>
        <w:tc>
          <w:tcPr>
            <w:tcW w:w="757" w:type="pct"/>
            <w:tcBorders>
              <w:top w:val="single" w:sz="4" w:space="0" w:color="auto"/>
              <w:bottom w:val="nil"/>
            </w:tcBorders>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HR</w:t>
            </w:r>
            <w:r w:rsidRPr="00416C64">
              <w:rPr>
                <w:rFonts w:ascii="Arial Narrow" w:hAnsi="Arial Narrow" w:cs="Times New Roman"/>
                <w:snapToGrid/>
                <w:sz w:val="19"/>
                <w:szCs w:val="19"/>
                <w:vertAlign w:val="superscript"/>
              </w:rPr>
              <w:t>b</w:t>
            </w:r>
            <w:proofErr w:type="spellEnd"/>
          </w:p>
        </w:tc>
      </w:tr>
      <w:tr w:rsidR="009F2383" w:rsidRPr="00416C64" w:rsidTr="00BA64A9">
        <w:trPr>
          <w:cantSplit/>
        </w:trPr>
        <w:tc>
          <w:tcPr>
            <w:tcW w:w="1255" w:type="pct"/>
            <w:tcBorders>
              <w:top w:val="nil"/>
              <w:bottom w:val="nil"/>
            </w:tcBorders>
            <w:vAlign w:val="center"/>
          </w:tcPr>
          <w:p w:rsidR="009F2383" w:rsidRPr="00416C64" w:rsidRDefault="009F2383" w:rsidP="005A2C9B">
            <w:pPr>
              <w:pStyle w:val="Tabletext"/>
              <w:ind w:left="112"/>
              <w:rPr>
                <w:sz w:val="19"/>
                <w:szCs w:val="19"/>
              </w:rPr>
            </w:pPr>
            <w:r w:rsidRPr="00416C64">
              <w:rPr>
                <w:sz w:val="19"/>
                <w:szCs w:val="19"/>
              </w:rPr>
              <w:t>On-treatment</w:t>
            </w:r>
          </w:p>
        </w:tc>
        <w:tc>
          <w:tcPr>
            <w:tcW w:w="734" w:type="pct"/>
            <w:tcBorders>
              <w:top w:val="nil"/>
              <w:bottom w:val="nil"/>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1.20%</w:t>
            </w:r>
          </w:p>
        </w:tc>
        <w:tc>
          <w:tcPr>
            <w:tcW w:w="734" w:type="pct"/>
            <w:tcBorders>
              <w:top w:val="nil"/>
              <w:bottom w:val="nil"/>
            </w:tcBorders>
            <w:vAlign w:val="center"/>
          </w:tcPr>
          <w:p w:rsidR="009F2383" w:rsidRPr="00416C64" w:rsidRDefault="009F2383" w:rsidP="005A2C9B">
            <w:pPr>
              <w:pStyle w:val="Tabletext"/>
              <w:jc w:val="center"/>
              <w:rPr>
                <w:sz w:val="19"/>
                <w:szCs w:val="19"/>
              </w:rPr>
            </w:pPr>
            <w:r w:rsidRPr="00416C64">
              <w:rPr>
                <w:sz w:val="19"/>
                <w:szCs w:val="19"/>
              </w:rPr>
              <w:t>1.19%</w:t>
            </w:r>
          </w:p>
        </w:tc>
        <w:tc>
          <w:tcPr>
            <w:tcW w:w="734" w:type="pct"/>
            <w:tcBorders>
              <w:top w:val="nil"/>
              <w:bottom w:val="nil"/>
            </w:tcBorders>
            <w:vAlign w:val="center"/>
          </w:tcPr>
          <w:p w:rsidR="009F2383" w:rsidRPr="00416C64" w:rsidRDefault="009F2383" w:rsidP="005A2C9B">
            <w:pPr>
              <w:pStyle w:val="Tabletext"/>
              <w:jc w:val="center"/>
              <w:rPr>
                <w:sz w:val="19"/>
                <w:szCs w:val="19"/>
              </w:rPr>
            </w:pPr>
            <w:r w:rsidRPr="00416C64">
              <w:rPr>
                <w:sz w:val="19"/>
                <w:szCs w:val="19"/>
              </w:rPr>
              <w:t>1.88%</w:t>
            </w:r>
          </w:p>
        </w:tc>
        <w:tc>
          <w:tcPr>
            <w:tcW w:w="786" w:type="pct"/>
            <w:tcBorders>
              <w:top w:val="nil"/>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0.95 (0.64, 1.40)</w:t>
            </w:r>
          </w:p>
        </w:tc>
        <w:tc>
          <w:tcPr>
            <w:tcW w:w="757" w:type="pct"/>
            <w:tcBorders>
              <w:top w:val="nil"/>
              <w:bottom w:val="nil"/>
            </w:tcBorders>
            <w:vAlign w:val="center"/>
          </w:tcPr>
          <w:p w:rsidR="009F2383" w:rsidRPr="00416C64" w:rsidRDefault="009F2383" w:rsidP="005A2C9B">
            <w:pPr>
              <w:keepNext/>
              <w:widowControl/>
              <w:jc w:val="center"/>
              <w:rPr>
                <w:rFonts w:ascii="Arial Narrow" w:hAnsi="Arial Narrow" w:cs="Times New Roman"/>
                <w:b/>
                <w:bCs/>
                <w:snapToGrid/>
                <w:sz w:val="19"/>
                <w:szCs w:val="19"/>
              </w:rPr>
            </w:pPr>
            <w:r w:rsidRPr="00416C64">
              <w:rPr>
                <w:rFonts w:ascii="Arial Narrow" w:hAnsi="Arial Narrow" w:cs="Times New Roman"/>
                <w:b/>
                <w:bCs/>
                <w:snapToGrid/>
                <w:sz w:val="19"/>
                <w:szCs w:val="19"/>
              </w:rPr>
              <w:t>0.58 (0.38, 0.88)</w:t>
            </w:r>
          </w:p>
        </w:tc>
      </w:tr>
      <w:tr w:rsidR="009F2383" w:rsidRPr="00416C64" w:rsidTr="00BA64A9">
        <w:trPr>
          <w:cantSplit/>
        </w:trPr>
        <w:tc>
          <w:tcPr>
            <w:tcW w:w="1255" w:type="pct"/>
            <w:tcBorders>
              <w:top w:val="nil"/>
              <w:bottom w:val="single" w:sz="4" w:space="0" w:color="auto"/>
            </w:tcBorders>
            <w:vAlign w:val="center"/>
          </w:tcPr>
          <w:p w:rsidR="005A2C9B" w:rsidRPr="00416C64" w:rsidRDefault="009F2383" w:rsidP="009A5B6D">
            <w:pPr>
              <w:pStyle w:val="Tabletext"/>
              <w:ind w:left="112"/>
              <w:rPr>
                <w:sz w:val="19"/>
                <w:szCs w:val="19"/>
              </w:rPr>
            </w:pPr>
            <w:r w:rsidRPr="00416C64">
              <w:rPr>
                <w:sz w:val="19"/>
                <w:szCs w:val="19"/>
              </w:rPr>
              <w:t>On- and off-treatment</w:t>
            </w:r>
          </w:p>
        </w:tc>
        <w:tc>
          <w:tcPr>
            <w:tcW w:w="734" w:type="pct"/>
            <w:tcBorders>
              <w:top w:val="nil"/>
              <w:bottom w:val="single" w:sz="4" w:space="0" w:color="auto"/>
            </w:tcBorders>
            <w:shd w:val="clear" w:color="auto" w:fill="auto"/>
            <w:vAlign w:val="center"/>
          </w:tcPr>
          <w:p w:rsidR="005A2C9B" w:rsidRPr="00416C64" w:rsidRDefault="009F2383" w:rsidP="009A5B6D">
            <w:pPr>
              <w:pStyle w:val="Tabletext"/>
              <w:jc w:val="center"/>
              <w:rPr>
                <w:sz w:val="19"/>
                <w:szCs w:val="19"/>
              </w:rPr>
            </w:pPr>
            <w:r w:rsidRPr="00416C64">
              <w:rPr>
                <w:sz w:val="19"/>
                <w:szCs w:val="19"/>
              </w:rPr>
              <w:t>2.14%</w:t>
            </w:r>
          </w:p>
        </w:tc>
        <w:tc>
          <w:tcPr>
            <w:tcW w:w="734" w:type="pct"/>
            <w:tcBorders>
              <w:top w:val="nil"/>
              <w:bottom w:val="single" w:sz="4" w:space="0" w:color="auto"/>
            </w:tcBorders>
            <w:vAlign w:val="center"/>
          </w:tcPr>
          <w:p w:rsidR="005A2C9B" w:rsidRPr="00416C64" w:rsidRDefault="009F2383" w:rsidP="009A5B6D">
            <w:pPr>
              <w:pStyle w:val="Tabletext"/>
              <w:jc w:val="center"/>
              <w:rPr>
                <w:sz w:val="19"/>
                <w:szCs w:val="19"/>
              </w:rPr>
            </w:pPr>
            <w:r w:rsidRPr="00416C64">
              <w:rPr>
                <w:sz w:val="19"/>
                <w:szCs w:val="19"/>
              </w:rPr>
              <w:t>2.35%</w:t>
            </w:r>
          </w:p>
        </w:tc>
        <w:tc>
          <w:tcPr>
            <w:tcW w:w="734" w:type="pct"/>
            <w:tcBorders>
              <w:top w:val="nil"/>
              <w:bottom w:val="single" w:sz="4" w:space="0" w:color="auto"/>
            </w:tcBorders>
            <w:vAlign w:val="center"/>
          </w:tcPr>
          <w:p w:rsidR="005A2C9B" w:rsidRPr="00416C64" w:rsidRDefault="009F2383" w:rsidP="009A5B6D">
            <w:pPr>
              <w:pStyle w:val="Tabletext"/>
              <w:jc w:val="center"/>
              <w:rPr>
                <w:sz w:val="19"/>
                <w:szCs w:val="19"/>
              </w:rPr>
            </w:pPr>
            <w:r w:rsidRPr="00416C64">
              <w:rPr>
                <w:sz w:val="19"/>
                <w:szCs w:val="19"/>
              </w:rPr>
              <w:t>2.90%</w:t>
            </w:r>
          </w:p>
        </w:tc>
        <w:tc>
          <w:tcPr>
            <w:tcW w:w="786" w:type="pct"/>
            <w:tcBorders>
              <w:top w:val="nil"/>
              <w:bottom w:val="single" w:sz="4" w:space="0" w:color="auto"/>
            </w:tcBorders>
            <w:vAlign w:val="center"/>
          </w:tcPr>
          <w:p w:rsidR="005A2C9B" w:rsidRPr="00416C64" w:rsidRDefault="009F2383" w:rsidP="009A5B6D">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0.90 (0.67, 1.20)</w:t>
            </w:r>
          </w:p>
        </w:tc>
        <w:tc>
          <w:tcPr>
            <w:tcW w:w="757" w:type="pct"/>
            <w:tcBorders>
              <w:top w:val="nil"/>
              <w:bottom w:val="single" w:sz="4" w:space="0" w:color="auto"/>
            </w:tcBorders>
            <w:vAlign w:val="center"/>
          </w:tcPr>
          <w:p w:rsidR="005A2C9B" w:rsidRPr="00416C64" w:rsidRDefault="009F2383" w:rsidP="009A5B6D">
            <w:pPr>
              <w:keepNext/>
              <w:widowControl/>
              <w:jc w:val="center"/>
              <w:rPr>
                <w:rFonts w:ascii="Arial Narrow" w:hAnsi="Arial Narrow" w:cs="Times New Roman"/>
                <w:b/>
                <w:bCs/>
                <w:snapToGrid/>
                <w:sz w:val="19"/>
                <w:szCs w:val="19"/>
              </w:rPr>
            </w:pPr>
            <w:r w:rsidRPr="00416C64">
              <w:rPr>
                <w:rFonts w:ascii="Arial Narrow" w:hAnsi="Arial Narrow" w:cs="Times New Roman"/>
                <w:b/>
                <w:bCs/>
                <w:snapToGrid/>
                <w:sz w:val="19"/>
                <w:szCs w:val="19"/>
              </w:rPr>
              <w:t>0.71 (0.51, 0.99)</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keepNext/>
              <w:rPr>
                <w:b/>
                <w:bCs/>
                <w:sz w:val="19"/>
                <w:szCs w:val="19"/>
              </w:rPr>
            </w:pPr>
            <w:r w:rsidRPr="00416C64">
              <w:rPr>
                <w:b/>
                <w:bCs/>
                <w:sz w:val="19"/>
                <w:szCs w:val="19"/>
              </w:rPr>
              <w:t>Change from baseline in SGRQ-C total score</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keepLines/>
              <w:rPr>
                <w:sz w:val="19"/>
                <w:szCs w:val="19"/>
              </w:rPr>
            </w:pPr>
            <w:r w:rsidRPr="00416C64">
              <w:rPr>
                <w:sz w:val="19"/>
                <w:szCs w:val="19"/>
              </w:rPr>
              <w:t xml:space="preserve">LS mean </w:t>
            </w:r>
            <w:proofErr w:type="spellStart"/>
            <w:r w:rsidRPr="00416C64">
              <w:rPr>
                <w:sz w:val="19"/>
                <w:szCs w:val="19"/>
              </w:rPr>
              <w:t>change</w:t>
            </w:r>
            <w:r w:rsidRPr="00416C64">
              <w:rPr>
                <w:sz w:val="19"/>
                <w:szCs w:val="19"/>
                <w:vertAlign w:val="superscript"/>
              </w:rPr>
              <w:t>c</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keepLines/>
              <w:jc w:val="center"/>
              <w:rPr>
                <w:sz w:val="19"/>
                <w:szCs w:val="19"/>
              </w:rPr>
            </w:pPr>
            <w:r w:rsidRPr="00416C64">
              <w:rPr>
                <w:sz w:val="19"/>
                <w:szCs w:val="19"/>
              </w:rPr>
              <w:t>n=3318</w:t>
            </w:r>
          </w:p>
        </w:tc>
        <w:tc>
          <w:tcPr>
            <w:tcW w:w="734" w:type="pct"/>
            <w:tcBorders>
              <w:top w:val="single" w:sz="4" w:space="0" w:color="auto"/>
              <w:bottom w:val="nil"/>
            </w:tcBorders>
            <w:vAlign w:val="center"/>
          </w:tcPr>
          <w:p w:rsidR="009F2383" w:rsidRPr="00416C64" w:rsidRDefault="009F2383" w:rsidP="005A2C9B">
            <w:pPr>
              <w:pStyle w:val="Tabletext"/>
              <w:keepLines/>
              <w:jc w:val="center"/>
              <w:rPr>
                <w:sz w:val="19"/>
                <w:szCs w:val="19"/>
              </w:rPr>
            </w:pPr>
            <w:r w:rsidRPr="00416C64">
              <w:rPr>
                <w:sz w:val="19"/>
                <w:szCs w:val="19"/>
              </w:rPr>
              <w:t>n=3026</w:t>
            </w:r>
          </w:p>
        </w:tc>
        <w:tc>
          <w:tcPr>
            <w:tcW w:w="734" w:type="pct"/>
            <w:tcBorders>
              <w:top w:val="single" w:sz="4" w:space="0" w:color="auto"/>
              <w:bottom w:val="nil"/>
            </w:tcBorders>
            <w:vAlign w:val="center"/>
          </w:tcPr>
          <w:p w:rsidR="009F2383" w:rsidRPr="00416C64" w:rsidRDefault="009F2383" w:rsidP="005A2C9B">
            <w:pPr>
              <w:pStyle w:val="Tabletext"/>
              <w:keepNext/>
              <w:keepLines/>
              <w:jc w:val="center"/>
              <w:rPr>
                <w:sz w:val="19"/>
                <w:szCs w:val="19"/>
              </w:rPr>
            </w:pPr>
            <w:r w:rsidRPr="00416C64">
              <w:rPr>
                <w:sz w:val="19"/>
                <w:szCs w:val="19"/>
              </w:rPr>
              <w:t>n=1470</w:t>
            </w:r>
          </w:p>
        </w:tc>
        <w:tc>
          <w:tcPr>
            <w:tcW w:w="786" w:type="pct"/>
            <w:tcBorders>
              <w:top w:val="single" w:sz="4" w:space="0" w:color="auto"/>
              <w:bottom w:val="nil"/>
            </w:tcBorders>
            <w:vAlign w:val="center"/>
          </w:tcPr>
          <w:p w:rsidR="009F2383" w:rsidRPr="00416C64" w:rsidRDefault="009F2383" w:rsidP="005A2C9B">
            <w:pPr>
              <w:keepNext/>
              <w:keepLines/>
              <w:widowControl/>
              <w:jc w:val="center"/>
              <w:rPr>
                <w:rFonts w:ascii="Arial Narrow" w:hAnsi="Arial Narrow" w:cs="Times New Roman"/>
                <w:snapToGrid/>
                <w:sz w:val="19"/>
                <w:szCs w:val="19"/>
              </w:rPr>
            </w:pPr>
          </w:p>
        </w:tc>
        <w:tc>
          <w:tcPr>
            <w:tcW w:w="757" w:type="pct"/>
            <w:tcBorders>
              <w:top w:val="single" w:sz="4" w:space="0" w:color="auto"/>
              <w:bottom w:val="nil"/>
            </w:tcBorders>
            <w:vAlign w:val="center"/>
          </w:tcPr>
          <w:p w:rsidR="009F2383" w:rsidRPr="00416C64" w:rsidRDefault="009F2383" w:rsidP="005A2C9B">
            <w:pPr>
              <w:keepNext/>
              <w:keepLines/>
              <w:widowControl/>
              <w:jc w:val="center"/>
              <w:rPr>
                <w:rFonts w:ascii="Arial Narrow" w:hAnsi="Arial Narrow" w:cs="Times New Roman"/>
                <w:snapToGrid/>
                <w:sz w:val="19"/>
                <w:szCs w:val="19"/>
              </w:rPr>
            </w:pPr>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keepLines/>
              <w:ind w:left="112"/>
              <w:rPr>
                <w:sz w:val="19"/>
                <w:szCs w:val="19"/>
              </w:rPr>
            </w:pPr>
            <w:r w:rsidRPr="00416C64">
              <w:rPr>
                <w:sz w:val="19"/>
                <w:szCs w:val="19"/>
              </w:rPr>
              <w:t>At Wk52, (95%CI)</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keepLines/>
              <w:jc w:val="center"/>
              <w:rPr>
                <w:sz w:val="19"/>
                <w:szCs w:val="19"/>
              </w:rPr>
            </w:pPr>
            <w:r w:rsidRPr="00416C64">
              <w:rPr>
                <w:sz w:val="19"/>
                <w:szCs w:val="19"/>
              </w:rPr>
              <w:t>-5.5 (-5.9, 5.0)</w:t>
            </w:r>
          </w:p>
        </w:tc>
        <w:tc>
          <w:tcPr>
            <w:tcW w:w="734" w:type="pct"/>
            <w:tcBorders>
              <w:top w:val="nil"/>
              <w:bottom w:val="single" w:sz="4" w:space="0" w:color="auto"/>
            </w:tcBorders>
            <w:vAlign w:val="center"/>
          </w:tcPr>
          <w:p w:rsidR="009F2383" w:rsidRPr="00416C64" w:rsidRDefault="009F2383" w:rsidP="005A2C9B">
            <w:pPr>
              <w:pStyle w:val="Tabletext"/>
              <w:keepLines/>
              <w:jc w:val="center"/>
              <w:rPr>
                <w:sz w:val="19"/>
                <w:szCs w:val="19"/>
              </w:rPr>
            </w:pPr>
            <w:r w:rsidRPr="00416C64">
              <w:rPr>
                <w:sz w:val="19"/>
                <w:szCs w:val="19"/>
              </w:rPr>
              <w:t>-3.7 (-4.2, -3.2)</w:t>
            </w:r>
          </w:p>
        </w:tc>
        <w:tc>
          <w:tcPr>
            <w:tcW w:w="734" w:type="pct"/>
            <w:tcBorders>
              <w:top w:val="nil"/>
              <w:bottom w:val="single" w:sz="4" w:space="0" w:color="auto"/>
            </w:tcBorders>
            <w:vAlign w:val="center"/>
          </w:tcPr>
          <w:p w:rsidR="009F2383" w:rsidRPr="00416C64" w:rsidRDefault="009F2383" w:rsidP="005A2C9B">
            <w:pPr>
              <w:pStyle w:val="Tabletext"/>
              <w:keepLines/>
              <w:jc w:val="center"/>
              <w:rPr>
                <w:sz w:val="19"/>
                <w:szCs w:val="19"/>
              </w:rPr>
            </w:pPr>
            <w:r w:rsidRPr="00416C64">
              <w:rPr>
                <w:sz w:val="19"/>
                <w:szCs w:val="19"/>
              </w:rPr>
              <w:t>-3.7 (-4.4, 3.0)</w:t>
            </w:r>
          </w:p>
        </w:tc>
        <w:tc>
          <w:tcPr>
            <w:tcW w:w="786" w:type="pct"/>
            <w:tcBorders>
              <w:top w:val="nil"/>
              <w:bottom w:val="single" w:sz="4" w:space="0" w:color="auto"/>
            </w:tcBorders>
            <w:vAlign w:val="center"/>
          </w:tcPr>
          <w:p w:rsidR="009F2383" w:rsidRPr="00416C64" w:rsidRDefault="009F2383" w:rsidP="005A2C9B">
            <w:pPr>
              <w:pStyle w:val="Tabletext"/>
              <w:keepLines/>
              <w:jc w:val="center"/>
              <w:rPr>
                <w:b/>
                <w:bCs/>
                <w:sz w:val="19"/>
                <w:szCs w:val="19"/>
              </w:rPr>
            </w:pPr>
            <w:r w:rsidRPr="00416C64">
              <w:rPr>
                <w:b/>
                <w:bCs/>
                <w:sz w:val="19"/>
                <w:szCs w:val="19"/>
              </w:rPr>
              <w:t>-1.8 (-2.4, -1.1)</w:t>
            </w:r>
          </w:p>
        </w:tc>
        <w:tc>
          <w:tcPr>
            <w:tcW w:w="757" w:type="pct"/>
            <w:tcBorders>
              <w:top w:val="nil"/>
              <w:bottom w:val="single" w:sz="4" w:space="0" w:color="auto"/>
            </w:tcBorders>
            <w:vAlign w:val="center"/>
          </w:tcPr>
          <w:p w:rsidR="009F2383" w:rsidRPr="00416C64" w:rsidRDefault="009F2383" w:rsidP="005A2C9B">
            <w:pPr>
              <w:pStyle w:val="Tabletext"/>
              <w:keepLines/>
              <w:jc w:val="center"/>
              <w:rPr>
                <w:b/>
                <w:bCs/>
                <w:sz w:val="19"/>
                <w:szCs w:val="19"/>
              </w:rPr>
            </w:pPr>
            <w:r w:rsidRPr="00416C64">
              <w:rPr>
                <w:b/>
                <w:bCs/>
                <w:sz w:val="19"/>
                <w:szCs w:val="19"/>
              </w:rPr>
              <w:t>-1.8 (-2.6, -1.0)</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sz w:val="19"/>
                <w:szCs w:val="19"/>
              </w:rPr>
            </w:pPr>
            <w:r w:rsidRPr="00416C64">
              <w:rPr>
                <w:b/>
                <w:bCs/>
                <w:sz w:val="19"/>
                <w:szCs w:val="19"/>
              </w:rPr>
              <w:t>Proportion of SGRQ-C responders (total score ≤4 units below baseline)</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proofErr w:type="spellStart"/>
            <w:r w:rsidRPr="00416C64">
              <w:rPr>
                <w:sz w:val="19"/>
                <w:szCs w:val="19"/>
              </w:rPr>
              <w:t>Responders</w:t>
            </w:r>
            <w:r w:rsidRPr="00416C64">
              <w:rPr>
                <w:sz w:val="19"/>
                <w:szCs w:val="19"/>
                <w:vertAlign w:val="superscript"/>
              </w:rPr>
              <w:t>d</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n=4108</w:t>
            </w:r>
          </w:p>
        </w:tc>
        <w:tc>
          <w:tcPr>
            <w:tcW w:w="734"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n=4092</w:t>
            </w:r>
          </w:p>
        </w:tc>
        <w:tc>
          <w:tcPr>
            <w:tcW w:w="734"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n=2050</w:t>
            </w:r>
          </w:p>
        </w:tc>
        <w:tc>
          <w:tcPr>
            <w:tcW w:w="786"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OR</w:t>
            </w:r>
            <w:r w:rsidRPr="00416C64">
              <w:rPr>
                <w:rFonts w:ascii="Arial Narrow" w:hAnsi="Arial Narrow" w:cs="Times New Roman"/>
                <w:snapToGrid/>
                <w:sz w:val="19"/>
                <w:szCs w:val="19"/>
                <w:vertAlign w:val="superscript"/>
              </w:rPr>
              <w:t>e</w:t>
            </w:r>
            <w:proofErr w:type="spellEnd"/>
          </w:p>
        </w:tc>
        <w:tc>
          <w:tcPr>
            <w:tcW w:w="757"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proofErr w:type="spellStart"/>
            <w:r w:rsidRPr="00416C64">
              <w:rPr>
                <w:rFonts w:ascii="Arial Narrow" w:hAnsi="Arial Narrow" w:cs="Times New Roman"/>
                <w:snapToGrid/>
                <w:sz w:val="19"/>
                <w:szCs w:val="19"/>
              </w:rPr>
              <w:t>OR</w:t>
            </w:r>
            <w:r w:rsidRPr="00416C64">
              <w:rPr>
                <w:rFonts w:ascii="Arial Narrow" w:hAnsi="Arial Narrow" w:cs="Times New Roman"/>
                <w:snapToGrid/>
                <w:sz w:val="19"/>
                <w:szCs w:val="19"/>
                <w:vertAlign w:val="superscript"/>
              </w:rPr>
              <w:t>e</w:t>
            </w:r>
            <w:proofErr w:type="spellEnd"/>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sz w:val="19"/>
                <w:szCs w:val="19"/>
              </w:rPr>
              <w:t xml:space="preserve">At Wk52, </w:t>
            </w:r>
            <w:proofErr w:type="gramStart"/>
            <w:r w:rsidRPr="00416C64">
              <w:rPr>
                <w:sz w:val="19"/>
                <w:szCs w:val="19"/>
              </w:rPr>
              <w:t>n(</w:t>
            </w:r>
            <w:proofErr w:type="gramEnd"/>
            <w:r w:rsidRPr="00416C64">
              <w:rPr>
                <w:sz w:val="19"/>
                <w:szCs w:val="19"/>
              </w:rPr>
              <w:t>%)</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jc w:val="center"/>
              <w:rPr>
                <w:sz w:val="19"/>
                <w:szCs w:val="19"/>
              </w:rPr>
            </w:pPr>
            <w:r w:rsidRPr="00416C64">
              <w:rPr>
                <w:sz w:val="19"/>
                <w:szCs w:val="19"/>
              </w:rPr>
              <w:t>1723 (42)</w:t>
            </w:r>
          </w:p>
        </w:tc>
        <w:tc>
          <w:tcPr>
            <w:tcW w:w="734"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1390 (34)</w:t>
            </w:r>
          </w:p>
        </w:tc>
        <w:tc>
          <w:tcPr>
            <w:tcW w:w="734"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696 (34)</w:t>
            </w:r>
          </w:p>
        </w:tc>
        <w:tc>
          <w:tcPr>
            <w:tcW w:w="786"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1.41 (1.29, 1.55)</w:t>
            </w:r>
          </w:p>
        </w:tc>
        <w:tc>
          <w:tcPr>
            <w:tcW w:w="757" w:type="pct"/>
            <w:tcBorders>
              <w:top w:val="nil"/>
              <w:bottom w:val="single" w:sz="4" w:space="0" w:color="auto"/>
            </w:tcBorders>
            <w:vAlign w:val="center"/>
          </w:tcPr>
          <w:p w:rsidR="009F2383" w:rsidRPr="00416C64" w:rsidRDefault="009F2383" w:rsidP="005A2C9B">
            <w:pPr>
              <w:keepNext/>
              <w:widowControl/>
              <w:jc w:val="center"/>
              <w:rPr>
                <w:rFonts w:ascii="Arial Narrow" w:hAnsi="Arial Narrow" w:cs="Times New Roman"/>
                <w:snapToGrid/>
                <w:sz w:val="19"/>
                <w:szCs w:val="19"/>
              </w:rPr>
            </w:pPr>
            <w:r w:rsidRPr="00416C64">
              <w:rPr>
                <w:rFonts w:ascii="Arial Narrow" w:hAnsi="Arial Narrow" w:cs="Times New Roman"/>
                <w:snapToGrid/>
                <w:sz w:val="19"/>
                <w:szCs w:val="19"/>
              </w:rPr>
              <w:t>1.41 (1.26, 1.57)</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i/>
                <w:iCs/>
                <w:sz w:val="19"/>
                <w:szCs w:val="19"/>
              </w:rPr>
            </w:pPr>
            <w:r w:rsidRPr="00416C64">
              <w:rPr>
                <w:b/>
                <w:bCs/>
                <w:i/>
                <w:iCs/>
                <w:sz w:val="19"/>
                <w:szCs w:val="19"/>
              </w:rPr>
              <w:t>Change from Baseline CAT Score</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r w:rsidRPr="00416C64">
              <w:rPr>
                <w:sz w:val="19"/>
                <w:szCs w:val="19"/>
              </w:rPr>
              <w:t xml:space="preserve">LS mean </w:t>
            </w:r>
            <w:proofErr w:type="spellStart"/>
            <w:r w:rsidRPr="00416C64">
              <w:rPr>
                <w:sz w:val="19"/>
                <w:szCs w:val="19"/>
              </w:rPr>
              <w:t>change</w:t>
            </w:r>
            <w:r w:rsidRPr="00416C64">
              <w:rPr>
                <w:sz w:val="19"/>
                <w:szCs w:val="19"/>
                <w:vertAlign w:val="superscript"/>
              </w:rPr>
              <w:t>c</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r w:rsidRPr="00416C64">
              <w:rPr>
                <w:i/>
                <w:iCs/>
                <w:sz w:val="19"/>
                <w:szCs w:val="19"/>
              </w:rPr>
              <w:t>n=3270</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i/>
                <w:iCs/>
                <w:sz w:val="19"/>
                <w:szCs w:val="19"/>
              </w:rPr>
              <w:t>n=2979</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i/>
                <w:iCs/>
                <w:sz w:val="19"/>
                <w:szCs w:val="19"/>
              </w:rPr>
              <w:t>n=1451</w:t>
            </w:r>
          </w:p>
        </w:tc>
        <w:tc>
          <w:tcPr>
            <w:tcW w:w="786"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p>
        </w:tc>
        <w:tc>
          <w:tcPr>
            <w:tcW w:w="757" w:type="pct"/>
            <w:tcBorders>
              <w:top w:val="single" w:sz="4" w:space="0" w:color="auto"/>
              <w:bottom w:val="nil"/>
            </w:tcBorders>
            <w:vAlign w:val="center"/>
          </w:tcPr>
          <w:p w:rsidR="009F2383" w:rsidRPr="00416C64" w:rsidRDefault="009F2383" w:rsidP="005A2C9B">
            <w:pPr>
              <w:keepNext/>
              <w:widowControl/>
              <w:jc w:val="center"/>
              <w:rPr>
                <w:rFonts w:ascii="Arial Narrow" w:hAnsi="Arial Narrow" w:cs="Times New Roman"/>
                <w:snapToGrid/>
                <w:sz w:val="19"/>
                <w:szCs w:val="19"/>
              </w:rPr>
            </w:pPr>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sz w:val="19"/>
                <w:szCs w:val="19"/>
              </w:rPr>
              <w:t>At Wk52, (95%CI)</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jc w:val="center"/>
              <w:rPr>
                <w:i/>
                <w:iCs/>
                <w:sz w:val="19"/>
                <w:szCs w:val="19"/>
              </w:rPr>
            </w:pPr>
            <w:r w:rsidRPr="00416C64">
              <w:rPr>
                <w:i/>
                <w:iCs/>
                <w:sz w:val="19"/>
                <w:szCs w:val="19"/>
              </w:rPr>
              <w:t>-2.0 (-2.3, -1.8)</w:t>
            </w:r>
          </w:p>
        </w:tc>
        <w:tc>
          <w:tcPr>
            <w:tcW w:w="734" w:type="pct"/>
            <w:tcBorders>
              <w:top w:val="nil"/>
              <w:bottom w:val="single" w:sz="4" w:space="0" w:color="auto"/>
            </w:tcBorders>
            <w:vAlign w:val="center"/>
          </w:tcPr>
          <w:p w:rsidR="009F2383" w:rsidRPr="00416C64" w:rsidRDefault="009F2383" w:rsidP="005A2C9B">
            <w:pPr>
              <w:pStyle w:val="Tabletext"/>
              <w:jc w:val="center"/>
              <w:rPr>
                <w:i/>
                <w:iCs/>
                <w:sz w:val="19"/>
                <w:szCs w:val="19"/>
              </w:rPr>
            </w:pPr>
            <w:r w:rsidRPr="00416C64">
              <w:rPr>
                <w:i/>
                <w:iCs/>
                <w:sz w:val="19"/>
                <w:szCs w:val="19"/>
              </w:rPr>
              <w:t>-1.5 (-1.7, -1.3)</w:t>
            </w:r>
          </w:p>
        </w:tc>
        <w:tc>
          <w:tcPr>
            <w:tcW w:w="734" w:type="pct"/>
            <w:tcBorders>
              <w:top w:val="nil"/>
              <w:bottom w:val="single" w:sz="4" w:space="0" w:color="auto"/>
            </w:tcBorders>
            <w:vAlign w:val="center"/>
          </w:tcPr>
          <w:p w:rsidR="009F2383" w:rsidRPr="00416C64" w:rsidRDefault="009F2383" w:rsidP="005A2C9B">
            <w:pPr>
              <w:pStyle w:val="Tabletext"/>
              <w:jc w:val="center"/>
              <w:rPr>
                <w:sz w:val="19"/>
                <w:szCs w:val="19"/>
              </w:rPr>
            </w:pPr>
            <w:r w:rsidRPr="00416C64">
              <w:rPr>
                <w:i/>
                <w:iCs/>
                <w:sz w:val="19"/>
                <w:szCs w:val="19"/>
              </w:rPr>
              <w:t>-1.6 (-1.9, -1.3)</w:t>
            </w:r>
          </w:p>
        </w:tc>
        <w:tc>
          <w:tcPr>
            <w:tcW w:w="786" w:type="pct"/>
            <w:tcBorders>
              <w:top w:val="nil"/>
              <w:bottom w:val="single" w:sz="4" w:space="0" w:color="auto"/>
            </w:tcBorders>
            <w:vAlign w:val="center"/>
          </w:tcPr>
          <w:p w:rsidR="009F2383" w:rsidRPr="00416C64" w:rsidRDefault="009F2383" w:rsidP="005A2C9B">
            <w:pPr>
              <w:pStyle w:val="Tabletext"/>
              <w:jc w:val="center"/>
              <w:rPr>
                <w:b/>
                <w:bCs/>
                <w:sz w:val="19"/>
                <w:szCs w:val="19"/>
              </w:rPr>
            </w:pPr>
            <w:r w:rsidRPr="00416C64">
              <w:rPr>
                <w:b/>
                <w:bCs/>
                <w:i/>
                <w:iCs/>
                <w:sz w:val="19"/>
                <w:szCs w:val="19"/>
              </w:rPr>
              <w:t>-0.5 (-0.8, -0.2)</w:t>
            </w:r>
          </w:p>
        </w:tc>
        <w:tc>
          <w:tcPr>
            <w:tcW w:w="757" w:type="pct"/>
            <w:tcBorders>
              <w:top w:val="nil"/>
              <w:bottom w:val="single" w:sz="4" w:space="0" w:color="auto"/>
            </w:tcBorders>
            <w:vAlign w:val="center"/>
          </w:tcPr>
          <w:p w:rsidR="009F2383" w:rsidRPr="00416C64" w:rsidRDefault="009F2383" w:rsidP="005A2C9B">
            <w:pPr>
              <w:pStyle w:val="Tabletext"/>
              <w:jc w:val="center"/>
              <w:rPr>
                <w:b/>
                <w:bCs/>
                <w:sz w:val="19"/>
                <w:szCs w:val="19"/>
              </w:rPr>
            </w:pPr>
            <w:r w:rsidRPr="00416C64">
              <w:rPr>
                <w:b/>
                <w:bCs/>
                <w:i/>
                <w:iCs/>
                <w:sz w:val="19"/>
                <w:szCs w:val="19"/>
              </w:rPr>
              <w:t>-0.4 (-0.8, -0.1)</w:t>
            </w:r>
          </w:p>
        </w:tc>
      </w:tr>
      <w:tr w:rsidR="009F2383" w:rsidRPr="00416C64" w:rsidTr="00BA64A9">
        <w:trPr>
          <w:cantSplit/>
        </w:trPr>
        <w:tc>
          <w:tcPr>
            <w:tcW w:w="5000" w:type="pct"/>
            <w:gridSpan w:val="6"/>
            <w:tcBorders>
              <w:top w:val="single" w:sz="4" w:space="0" w:color="auto"/>
              <w:bottom w:val="single" w:sz="4" w:space="0" w:color="auto"/>
            </w:tcBorders>
            <w:vAlign w:val="center"/>
          </w:tcPr>
          <w:p w:rsidR="009F2383" w:rsidRPr="00416C64" w:rsidRDefault="009F2383" w:rsidP="005A2C9B">
            <w:pPr>
              <w:pStyle w:val="Tabletext"/>
              <w:rPr>
                <w:b/>
                <w:bCs/>
                <w:sz w:val="19"/>
                <w:szCs w:val="19"/>
              </w:rPr>
            </w:pPr>
            <w:r w:rsidRPr="00416C64">
              <w:rPr>
                <w:b/>
                <w:bCs/>
                <w:i/>
                <w:iCs/>
                <w:sz w:val="19"/>
                <w:szCs w:val="19"/>
              </w:rPr>
              <w:lastRenderedPageBreak/>
              <w:t>Proportion of CAT responders (CAT score ≤2 units below baseline)</w:t>
            </w:r>
          </w:p>
        </w:tc>
      </w:tr>
      <w:tr w:rsidR="009F2383" w:rsidRPr="00416C64" w:rsidTr="00BA64A9">
        <w:trPr>
          <w:cantSplit/>
        </w:trPr>
        <w:tc>
          <w:tcPr>
            <w:tcW w:w="1255" w:type="pct"/>
            <w:tcBorders>
              <w:top w:val="single" w:sz="4" w:space="0" w:color="auto"/>
              <w:bottom w:val="nil"/>
            </w:tcBorders>
            <w:vAlign w:val="center"/>
          </w:tcPr>
          <w:p w:rsidR="009F2383" w:rsidRPr="00416C64" w:rsidRDefault="009F2383" w:rsidP="005A2C9B">
            <w:pPr>
              <w:pStyle w:val="Tabletext"/>
              <w:rPr>
                <w:sz w:val="19"/>
                <w:szCs w:val="19"/>
              </w:rPr>
            </w:pPr>
            <w:proofErr w:type="spellStart"/>
            <w:r w:rsidRPr="00416C64">
              <w:rPr>
                <w:sz w:val="19"/>
                <w:szCs w:val="19"/>
              </w:rPr>
              <w:t>Responders</w:t>
            </w:r>
            <w:r w:rsidRPr="00416C64">
              <w:rPr>
                <w:sz w:val="19"/>
                <w:szCs w:val="19"/>
                <w:vertAlign w:val="superscript"/>
              </w:rPr>
              <w:t>d</w:t>
            </w:r>
            <w:proofErr w:type="spellEnd"/>
          </w:p>
        </w:tc>
        <w:tc>
          <w:tcPr>
            <w:tcW w:w="734" w:type="pct"/>
            <w:tcBorders>
              <w:top w:val="single" w:sz="4" w:space="0" w:color="auto"/>
              <w:bottom w:val="nil"/>
            </w:tcBorders>
            <w:shd w:val="clear" w:color="auto" w:fill="auto"/>
            <w:vAlign w:val="center"/>
          </w:tcPr>
          <w:p w:rsidR="009F2383" w:rsidRPr="00416C64" w:rsidRDefault="009F2383" w:rsidP="005A2C9B">
            <w:pPr>
              <w:pStyle w:val="Tabletext"/>
              <w:jc w:val="center"/>
              <w:rPr>
                <w:sz w:val="19"/>
                <w:szCs w:val="19"/>
              </w:rPr>
            </w:pPr>
            <w:r w:rsidRPr="00416C64">
              <w:rPr>
                <w:i/>
                <w:iCs/>
                <w:sz w:val="19"/>
                <w:szCs w:val="19"/>
              </w:rPr>
              <w:t>n=4076</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i/>
                <w:iCs/>
                <w:sz w:val="19"/>
                <w:szCs w:val="19"/>
              </w:rPr>
              <w:t>n=4047</w:t>
            </w:r>
          </w:p>
        </w:tc>
        <w:tc>
          <w:tcPr>
            <w:tcW w:w="734" w:type="pct"/>
            <w:tcBorders>
              <w:top w:val="single" w:sz="4" w:space="0" w:color="auto"/>
              <w:bottom w:val="nil"/>
            </w:tcBorders>
            <w:vAlign w:val="center"/>
          </w:tcPr>
          <w:p w:rsidR="009F2383" w:rsidRPr="00416C64" w:rsidRDefault="009F2383" w:rsidP="005A2C9B">
            <w:pPr>
              <w:pStyle w:val="Tabletext"/>
              <w:jc w:val="center"/>
              <w:rPr>
                <w:sz w:val="19"/>
                <w:szCs w:val="19"/>
              </w:rPr>
            </w:pPr>
            <w:r w:rsidRPr="00416C64">
              <w:rPr>
                <w:i/>
                <w:iCs/>
                <w:snapToGrid w:val="0"/>
                <w:sz w:val="19"/>
                <w:szCs w:val="19"/>
              </w:rPr>
              <w:t>n=2034</w:t>
            </w:r>
          </w:p>
        </w:tc>
        <w:tc>
          <w:tcPr>
            <w:tcW w:w="786" w:type="pct"/>
            <w:tcBorders>
              <w:top w:val="single" w:sz="4" w:space="0" w:color="auto"/>
              <w:bottom w:val="nil"/>
            </w:tcBorders>
            <w:vAlign w:val="center"/>
          </w:tcPr>
          <w:p w:rsidR="009F2383" w:rsidRPr="00416C64" w:rsidRDefault="009F2383" w:rsidP="005A2C9B">
            <w:pPr>
              <w:pStyle w:val="Tabletext"/>
              <w:jc w:val="center"/>
              <w:rPr>
                <w:i/>
                <w:iCs/>
                <w:sz w:val="19"/>
                <w:szCs w:val="19"/>
              </w:rPr>
            </w:pPr>
            <w:proofErr w:type="spellStart"/>
            <w:r w:rsidRPr="00416C64">
              <w:rPr>
                <w:i/>
                <w:iCs/>
                <w:sz w:val="19"/>
                <w:szCs w:val="19"/>
              </w:rPr>
              <w:t>OR</w:t>
            </w:r>
            <w:r w:rsidRPr="00416C64">
              <w:rPr>
                <w:i/>
                <w:iCs/>
                <w:sz w:val="19"/>
                <w:szCs w:val="19"/>
                <w:vertAlign w:val="superscript"/>
              </w:rPr>
              <w:t>e</w:t>
            </w:r>
            <w:proofErr w:type="spellEnd"/>
          </w:p>
        </w:tc>
        <w:tc>
          <w:tcPr>
            <w:tcW w:w="757" w:type="pct"/>
            <w:tcBorders>
              <w:top w:val="single" w:sz="4" w:space="0" w:color="auto"/>
              <w:bottom w:val="nil"/>
            </w:tcBorders>
            <w:vAlign w:val="center"/>
          </w:tcPr>
          <w:p w:rsidR="009F2383" w:rsidRPr="00416C64" w:rsidRDefault="009F2383" w:rsidP="005A2C9B">
            <w:pPr>
              <w:pStyle w:val="Tabletext"/>
              <w:jc w:val="center"/>
              <w:rPr>
                <w:i/>
                <w:iCs/>
                <w:sz w:val="19"/>
                <w:szCs w:val="19"/>
              </w:rPr>
            </w:pPr>
            <w:proofErr w:type="spellStart"/>
            <w:r w:rsidRPr="00416C64">
              <w:rPr>
                <w:i/>
                <w:iCs/>
                <w:sz w:val="19"/>
                <w:szCs w:val="19"/>
              </w:rPr>
              <w:t>OR</w:t>
            </w:r>
            <w:r w:rsidRPr="00416C64">
              <w:rPr>
                <w:i/>
                <w:iCs/>
                <w:sz w:val="19"/>
                <w:szCs w:val="19"/>
                <w:vertAlign w:val="superscript"/>
              </w:rPr>
              <w:t>e</w:t>
            </w:r>
            <w:proofErr w:type="spellEnd"/>
          </w:p>
        </w:tc>
      </w:tr>
      <w:tr w:rsidR="009F2383" w:rsidRPr="00416C64" w:rsidTr="00BA64A9">
        <w:trPr>
          <w:cantSplit/>
        </w:trPr>
        <w:tc>
          <w:tcPr>
            <w:tcW w:w="1255" w:type="pct"/>
            <w:tcBorders>
              <w:top w:val="nil"/>
              <w:bottom w:val="single" w:sz="4" w:space="0" w:color="auto"/>
            </w:tcBorders>
            <w:vAlign w:val="center"/>
          </w:tcPr>
          <w:p w:rsidR="009F2383" w:rsidRPr="00416C64" w:rsidRDefault="009F2383" w:rsidP="005A2C9B">
            <w:pPr>
              <w:pStyle w:val="Tabletext"/>
              <w:ind w:left="112"/>
              <w:rPr>
                <w:sz w:val="19"/>
                <w:szCs w:val="19"/>
              </w:rPr>
            </w:pPr>
            <w:r w:rsidRPr="00416C64">
              <w:rPr>
                <w:i/>
                <w:iCs/>
                <w:sz w:val="19"/>
                <w:szCs w:val="19"/>
              </w:rPr>
              <w:t xml:space="preserve">At Wk52, </w:t>
            </w:r>
            <w:proofErr w:type="gramStart"/>
            <w:r w:rsidRPr="00416C64">
              <w:rPr>
                <w:i/>
                <w:iCs/>
                <w:sz w:val="19"/>
                <w:szCs w:val="19"/>
              </w:rPr>
              <w:t>n(</w:t>
            </w:r>
            <w:proofErr w:type="gramEnd"/>
            <w:r w:rsidRPr="00416C64">
              <w:rPr>
                <w:i/>
                <w:iCs/>
                <w:sz w:val="19"/>
                <w:szCs w:val="19"/>
              </w:rPr>
              <w:t>%)</w:t>
            </w:r>
          </w:p>
        </w:tc>
        <w:tc>
          <w:tcPr>
            <w:tcW w:w="734" w:type="pct"/>
            <w:tcBorders>
              <w:top w:val="nil"/>
              <w:bottom w:val="single" w:sz="4" w:space="0" w:color="auto"/>
            </w:tcBorders>
            <w:shd w:val="clear" w:color="auto" w:fill="auto"/>
            <w:vAlign w:val="center"/>
          </w:tcPr>
          <w:p w:rsidR="009F2383" w:rsidRPr="00416C64" w:rsidRDefault="009F2383" w:rsidP="005A2C9B">
            <w:pPr>
              <w:pStyle w:val="Tabletext"/>
              <w:jc w:val="center"/>
              <w:rPr>
                <w:sz w:val="19"/>
                <w:szCs w:val="19"/>
              </w:rPr>
            </w:pPr>
            <w:r w:rsidRPr="00416C64">
              <w:rPr>
                <w:i/>
                <w:iCs/>
                <w:sz w:val="19"/>
                <w:szCs w:val="19"/>
              </w:rPr>
              <w:t>1698 (42)</w:t>
            </w:r>
          </w:p>
        </w:tc>
        <w:tc>
          <w:tcPr>
            <w:tcW w:w="734" w:type="pct"/>
            <w:tcBorders>
              <w:top w:val="nil"/>
              <w:bottom w:val="single" w:sz="4" w:space="0" w:color="auto"/>
            </w:tcBorders>
            <w:vAlign w:val="center"/>
          </w:tcPr>
          <w:p w:rsidR="009F2383" w:rsidRPr="00416C64" w:rsidRDefault="009F2383" w:rsidP="005A2C9B">
            <w:pPr>
              <w:pStyle w:val="Tabletext"/>
              <w:jc w:val="center"/>
              <w:rPr>
                <w:sz w:val="19"/>
                <w:szCs w:val="19"/>
              </w:rPr>
            </w:pPr>
            <w:r w:rsidRPr="00416C64">
              <w:rPr>
                <w:i/>
                <w:iCs/>
                <w:sz w:val="19"/>
                <w:szCs w:val="19"/>
              </w:rPr>
              <w:t>1491 (37)</w:t>
            </w:r>
          </w:p>
        </w:tc>
        <w:tc>
          <w:tcPr>
            <w:tcW w:w="734" w:type="pct"/>
            <w:tcBorders>
              <w:top w:val="nil"/>
              <w:bottom w:val="single" w:sz="4" w:space="0" w:color="auto"/>
            </w:tcBorders>
            <w:vAlign w:val="center"/>
          </w:tcPr>
          <w:p w:rsidR="009F2383" w:rsidRPr="00416C64" w:rsidRDefault="009F2383" w:rsidP="005A2C9B">
            <w:pPr>
              <w:pStyle w:val="Tabletext"/>
              <w:jc w:val="center"/>
              <w:rPr>
                <w:sz w:val="19"/>
                <w:szCs w:val="19"/>
              </w:rPr>
            </w:pPr>
            <w:r w:rsidRPr="00416C64">
              <w:rPr>
                <w:i/>
                <w:iCs/>
                <w:snapToGrid w:val="0"/>
                <w:sz w:val="19"/>
                <w:szCs w:val="19"/>
              </w:rPr>
              <w:t>730 (36)</w:t>
            </w:r>
          </w:p>
        </w:tc>
        <w:tc>
          <w:tcPr>
            <w:tcW w:w="786" w:type="pct"/>
            <w:tcBorders>
              <w:top w:val="nil"/>
              <w:bottom w:val="single" w:sz="4" w:space="0" w:color="auto"/>
            </w:tcBorders>
            <w:vAlign w:val="center"/>
          </w:tcPr>
          <w:p w:rsidR="009F2383" w:rsidRPr="00416C64" w:rsidRDefault="009F2383" w:rsidP="005A2C9B">
            <w:pPr>
              <w:pStyle w:val="Tabletext"/>
              <w:jc w:val="center"/>
              <w:rPr>
                <w:b/>
                <w:bCs/>
                <w:i/>
                <w:iCs/>
                <w:sz w:val="19"/>
                <w:szCs w:val="19"/>
              </w:rPr>
            </w:pPr>
            <w:r w:rsidRPr="00416C64">
              <w:rPr>
                <w:b/>
                <w:bCs/>
                <w:i/>
                <w:iCs/>
                <w:sz w:val="19"/>
                <w:szCs w:val="19"/>
              </w:rPr>
              <w:t>1.24 (1.14, 1.36)</w:t>
            </w:r>
          </w:p>
        </w:tc>
        <w:tc>
          <w:tcPr>
            <w:tcW w:w="757" w:type="pct"/>
            <w:tcBorders>
              <w:top w:val="nil"/>
              <w:bottom w:val="single" w:sz="4" w:space="0" w:color="auto"/>
            </w:tcBorders>
            <w:vAlign w:val="center"/>
          </w:tcPr>
          <w:p w:rsidR="009F2383" w:rsidRPr="00416C64" w:rsidRDefault="009F2383" w:rsidP="005A2C9B">
            <w:pPr>
              <w:pStyle w:val="Tabletext"/>
              <w:jc w:val="center"/>
              <w:rPr>
                <w:b/>
                <w:bCs/>
                <w:i/>
                <w:iCs/>
                <w:sz w:val="19"/>
                <w:szCs w:val="19"/>
              </w:rPr>
            </w:pPr>
            <w:r w:rsidRPr="00416C64">
              <w:rPr>
                <w:b/>
                <w:bCs/>
                <w:i/>
                <w:iCs/>
                <w:sz w:val="19"/>
                <w:szCs w:val="19"/>
              </w:rPr>
              <w:t>1.28 (1.15, 1.43)</w:t>
            </w:r>
          </w:p>
        </w:tc>
      </w:tr>
    </w:tbl>
    <w:p w:rsidR="00B612C3" w:rsidRPr="00416C64" w:rsidRDefault="00B612C3" w:rsidP="005A2C9B">
      <w:pPr>
        <w:pStyle w:val="TableFooter"/>
        <w:widowControl/>
      </w:pPr>
      <w:r w:rsidRPr="00416C64">
        <w:t>Abbreviations: CAT=COPD Assessment Test;</w:t>
      </w:r>
      <w:r w:rsidRPr="00416C64">
        <w:rPr>
          <w:i/>
          <w:iCs/>
        </w:rPr>
        <w:t xml:space="preserve"> </w:t>
      </w:r>
      <w:r w:rsidRPr="00416C64">
        <w:rPr>
          <w:rFonts w:eastAsia="Calibri"/>
        </w:rPr>
        <w:t xml:space="preserve">CI=confidence interval; </w:t>
      </w:r>
      <w:r w:rsidRPr="00416C64">
        <w:t>FEV1=forced expiratory volume in one second; FF=fluticasone fumarate; GLM=generalised linear model; HR=hazard ratio; ITT=intention to treat; LS=least square; n=number of patients with event; N=total patients in group; OR=odds ratio; RR=rate ratio; SQRQ-C= St. George’s Respiratory Questionnaire COPD; UMEC=</w:t>
      </w:r>
      <w:proofErr w:type="spellStart"/>
      <w:r w:rsidRPr="00416C64">
        <w:t>umeclidinium</w:t>
      </w:r>
      <w:proofErr w:type="spellEnd"/>
      <w:r w:rsidRPr="00416C64">
        <w:t>; VI=</w:t>
      </w:r>
      <w:proofErr w:type="spellStart"/>
      <w:r w:rsidRPr="00416C64">
        <w:t>vilanterol</w:t>
      </w:r>
      <w:proofErr w:type="spellEnd"/>
      <w:r w:rsidRPr="00416C64">
        <w:t xml:space="preserve">; </w:t>
      </w:r>
      <w:proofErr w:type="spellStart"/>
      <w:r w:rsidRPr="00416C64">
        <w:t>wk</w:t>
      </w:r>
      <w:proofErr w:type="spellEnd"/>
      <w:r w:rsidRPr="00416C64">
        <w:t>=week;</w:t>
      </w:r>
    </w:p>
    <w:p w:rsidR="009F2383" w:rsidRPr="00416C64" w:rsidRDefault="009F2383" w:rsidP="005A2C9B">
      <w:pPr>
        <w:pStyle w:val="TableFooter"/>
        <w:widowControl/>
        <w:tabs>
          <w:tab w:val="left" w:pos="142"/>
        </w:tabs>
        <w:ind w:left="135" w:hanging="135"/>
      </w:pPr>
      <w:r w:rsidRPr="00416C64">
        <w:rPr>
          <w:vertAlign w:val="superscript"/>
        </w:rPr>
        <w:t>#</w:t>
      </w:r>
      <w:r w:rsidRPr="00416C64">
        <w:rPr>
          <w:vertAlign w:val="superscript"/>
        </w:rPr>
        <w:tab/>
      </w:r>
      <w:r w:rsidRPr="00416C64">
        <w:t>Rate per patient year, calculated as the number of events divided by the total duration at risk</w:t>
      </w:r>
    </w:p>
    <w:p w:rsidR="009F2383" w:rsidRPr="00416C64" w:rsidRDefault="009F2383" w:rsidP="005A2C9B">
      <w:pPr>
        <w:pStyle w:val="TableFooter"/>
        <w:widowControl/>
        <w:tabs>
          <w:tab w:val="left" w:pos="142"/>
        </w:tabs>
        <w:ind w:left="135" w:hanging="135"/>
      </w:pPr>
      <w:r w:rsidRPr="00416C64">
        <w:rPr>
          <w:vertAlign w:val="superscript"/>
        </w:rPr>
        <w:t>a</w:t>
      </w:r>
      <w:r w:rsidRPr="00416C64">
        <w:tab/>
        <w:t>Generalised linear model assuming a negative binomial distribution and covariates of treatment group, gender, exacerbation history (≤1, ≥2 moderate/severe), smoking status (Screening), geographic region, post-bronchodilator percent predicted FEV1 (Screening).</w:t>
      </w:r>
    </w:p>
    <w:p w:rsidR="009F2383" w:rsidRPr="00416C64" w:rsidRDefault="009F2383" w:rsidP="005A2C9B">
      <w:pPr>
        <w:pStyle w:val="TableFooter"/>
        <w:widowControl/>
        <w:tabs>
          <w:tab w:val="left" w:pos="142"/>
        </w:tabs>
        <w:ind w:left="135" w:hanging="135"/>
      </w:pPr>
      <w:r w:rsidRPr="00416C64">
        <w:rPr>
          <w:vertAlign w:val="superscript"/>
        </w:rPr>
        <w:t>b</w:t>
      </w:r>
      <w:r w:rsidRPr="00416C64">
        <w:tab/>
        <w:t>Cox proportional hazards model with covariates of treatment group, gender, exacerbation history (≤1, ≥2 moderate/severe), smoking status (Screening), geographical region, and post-bronchodilator percent predicted FEV1 (Screening).</w:t>
      </w:r>
    </w:p>
    <w:p w:rsidR="009F2383" w:rsidRPr="00416C64" w:rsidRDefault="009F2383" w:rsidP="005A2C9B">
      <w:pPr>
        <w:pStyle w:val="TableFooter"/>
        <w:widowControl/>
        <w:tabs>
          <w:tab w:val="left" w:pos="142"/>
        </w:tabs>
        <w:ind w:left="135" w:hanging="135"/>
      </w:pPr>
      <w:proofErr w:type="gramStart"/>
      <w:r w:rsidRPr="00416C64">
        <w:rPr>
          <w:vertAlign w:val="superscript"/>
        </w:rPr>
        <w:t>c</w:t>
      </w:r>
      <w:proofErr w:type="gramEnd"/>
      <w:r w:rsidRPr="00416C64">
        <w:tab/>
        <w:t>Repeated measures model with covariates of treatment group, smoking status (Screening), geographical region, visit, baseline-by-visit, and treatment group-by-visit interactions.</w:t>
      </w:r>
    </w:p>
    <w:p w:rsidR="00812478" w:rsidRPr="00416C64" w:rsidRDefault="00812478" w:rsidP="005A2C9B">
      <w:pPr>
        <w:pStyle w:val="TableFooter"/>
        <w:widowControl/>
        <w:tabs>
          <w:tab w:val="left" w:pos="142"/>
        </w:tabs>
        <w:ind w:left="135" w:hanging="135"/>
      </w:pPr>
      <w:proofErr w:type="gramStart"/>
      <w:r w:rsidRPr="00416C64">
        <w:rPr>
          <w:vertAlign w:val="superscript"/>
        </w:rPr>
        <w:t>d</w:t>
      </w:r>
      <w:proofErr w:type="gramEnd"/>
      <w:r w:rsidRPr="00416C64">
        <w:tab/>
        <w:t>MCIDs used as the basis to define patients as responders or non-responders for various outcomes. Non-response included patients with a missing assessment with no subsequent non-missing on-treatment assessment for the outcome. Analysis excluded patients if baseline assessment of the outcome was missing or if the outcome value was missing but subsequent on-treatment outcome were present.</w:t>
      </w:r>
    </w:p>
    <w:p w:rsidR="009F2383" w:rsidRPr="00416C64" w:rsidRDefault="009F2383" w:rsidP="005A2C9B">
      <w:pPr>
        <w:pStyle w:val="TableFooter"/>
        <w:widowControl/>
        <w:tabs>
          <w:tab w:val="left" w:pos="142"/>
        </w:tabs>
        <w:ind w:left="135" w:hanging="135"/>
      </w:pPr>
      <w:r w:rsidRPr="00416C64">
        <w:rPr>
          <w:vertAlign w:val="superscript"/>
        </w:rPr>
        <w:t>e</w:t>
      </w:r>
      <w:r w:rsidRPr="00416C64">
        <w:tab/>
        <w:t>Generalised linear mixed model with a logit link function and covariates of treatment group, smoking status (Screening), geographical region, visit, baseline, and baseline-by-visit and treatment-by-visit interactions.</w:t>
      </w:r>
    </w:p>
    <w:p w:rsidR="009F2383" w:rsidRPr="00416C64" w:rsidRDefault="009F2383" w:rsidP="005A2C9B">
      <w:pPr>
        <w:pStyle w:val="TableFooter"/>
        <w:widowControl/>
        <w:rPr>
          <w:i/>
          <w:iCs/>
        </w:rPr>
      </w:pPr>
      <w:r w:rsidRPr="00416C64">
        <w:t>Source: pp55-63 of the submission,</w:t>
      </w:r>
      <w:r w:rsidRPr="00416C64">
        <w:rPr>
          <w:i/>
          <w:iCs/>
        </w:rPr>
        <w:t xml:space="preserve"> Table 38, p150 and 39, p152 of IMPACT CS</w:t>
      </w:r>
      <w:r w:rsidR="00591DDF" w:rsidRPr="00416C64">
        <w:rPr>
          <w:i/>
          <w:iCs/>
        </w:rPr>
        <w:t>R</w:t>
      </w:r>
      <w:r w:rsidRPr="00416C64">
        <w:rPr>
          <w:i/>
          <w:iCs/>
        </w:rPr>
        <w:t>.</w:t>
      </w:r>
    </w:p>
    <w:p w:rsidR="0058421E" w:rsidRPr="00416C64" w:rsidRDefault="0058421E" w:rsidP="005A2C9B">
      <w:pPr>
        <w:pStyle w:val="TableFooter"/>
        <w:widowControl/>
      </w:pPr>
    </w:p>
    <w:p w:rsidR="00812478" w:rsidRPr="00416C64" w:rsidRDefault="00CB69A5" w:rsidP="005A2C9B">
      <w:pPr>
        <w:pStyle w:val="ListParagraph"/>
        <w:widowControl/>
        <w:numPr>
          <w:ilvl w:val="1"/>
          <w:numId w:val="3"/>
        </w:numPr>
        <w:rPr>
          <w:rFonts w:cs="Calibri"/>
          <w:snapToGrid/>
          <w:szCs w:val="24"/>
          <w:lang w:eastAsia="en-AU"/>
        </w:rPr>
      </w:pPr>
      <w:r w:rsidRPr="00416C64">
        <w:rPr>
          <w:rFonts w:cs="Calibri"/>
          <w:snapToGrid/>
          <w:szCs w:val="24"/>
          <w:lang w:eastAsia="en-AU"/>
        </w:rPr>
        <w:t xml:space="preserve">For the comparison of ICS/LAMA/LABA versus LAMA/LABA, </w:t>
      </w:r>
      <w:r w:rsidR="00687C79" w:rsidRPr="00416C64">
        <w:rPr>
          <w:rFonts w:cs="Calibri"/>
          <w:snapToGrid/>
          <w:szCs w:val="24"/>
          <w:lang w:eastAsia="en-AU"/>
        </w:rPr>
        <w:t xml:space="preserve">the PBAC noted that </w:t>
      </w:r>
      <w:r w:rsidRPr="00416C64">
        <w:rPr>
          <w:rFonts w:cs="Calibri"/>
          <w:snapToGrid/>
          <w:szCs w:val="24"/>
          <w:lang w:eastAsia="en-AU"/>
        </w:rPr>
        <w:t xml:space="preserve">IMPACT </w:t>
      </w:r>
      <w:r w:rsidR="00812478" w:rsidRPr="00416C64">
        <w:rPr>
          <w:rFonts w:cs="Calibri"/>
          <w:snapToGrid/>
          <w:szCs w:val="24"/>
          <w:lang w:eastAsia="en-AU"/>
        </w:rPr>
        <w:t>demonstrated:</w:t>
      </w:r>
    </w:p>
    <w:p w:rsidR="00812478" w:rsidRPr="00416C64" w:rsidRDefault="00812478" w:rsidP="005A2C9B">
      <w:pPr>
        <w:pStyle w:val="ListParagraph"/>
        <w:widowControl/>
        <w:numPr>
          <w:ilvl w:val="0"/>
          <w:numId w:val="20"/>
        </w:numPr>
        <w:rPr>
          <w:rFonts w:cs="Calibri"/>
          <w:snapToGrid/>
          <w:szCs w:val="24"/>
          <w:lang w:eastAsia="en-AU"/>
        </w:rPr>
      </w:pPr>
      <w:r w:rsidRPr="00416C64">
        <w:rPr>
          <w:rFonts w:cs="Calibri"/>
          <w:snapToGrid/>
          <w:szCs w:val="24"/>
          <w:lang w:eastAsia="en-AU"/>
        </w:rPr>
        <w:t>The annual rates of moderate/severe exacerbation and severe exacerbation were significantly lower for FF/UMEC/VI compared to UMEC/VI, correspond</w:t>
      </w:r>
      <w:r w:rsidR="009843D8" w:rsidRPr="00416C64">
        <w:rPr>
          <w:rFonts w:cs="Calibri"/>
          <w:snapToGrid/>
          <w:szCs w:val="24"/>
          <w:lang w:eastAsia="en-AU"/>
        </w:rPr>
        <w:t>ing</w:t>
      </w:r>
      <w:r w:rsidRPr="00416C64">
        <w:rPr>
          <w:rFonts w:cs="Calibri"/>
          <w:snapToGrid/>
          <w:szCs w:val="24"/>
          <w:lang w:eastAsia="en-AU"/>
        </w:rPr>
        <w:t xml:space="preserve"> to a 25% (95%CI: 19%, 30%) and 34% (95%CI: 22%, 44%) reduction</w:t>
      </w:r>
      <w:r w:rsidR="009843D8" w:rsidRPr="00416C64">
        <w:rPr>
          <w:rFonts w:cs="Calibri"/>
          <w:snapToGrid/>
          <w:szCs w:val="24"/>
          <w:lang w:eastAsia="en-AU"/>
        </w:rPr>
        <w:t xml:space="preserve"> respecti</w:t>
      </w:r>
      <w:r w:rsidR="007A2AFA" w:rsidRPr="00416C64">
        <w:rPr>
          <w:rFonts w:cs="Calibri"/>
          <w:snapToGrid/>
          <w:szCs w:val="24"/>
          <w:lang w:eastAsia="en-AU"/>
        </w:rPr>
        <w:t xml:space="preserve">vely, which are </w:t>
      </w:r>
      <w:r w:rsidR="00C93F5C">
        <w:rPr>
          <w:rFonts w:cs="Calibri"/>
          <w:snapToGrid/>
          <w:szCs w:val="24"/>
          <w:lang w:eastAsia="en-AU"/>
        </w:rPr>
        <w:t xml:space="preserve">at the </w:t>
      </w:r>
      <w:r w:rsidR="00086526" w:rsidRPr="00416C64">
        <w:rPr>
          <w:rFonts w:cs="Calibri"/>
          <w:snapToGrid/>
          <w:szCs w:val="24"/>
          <w:lang w:eastAsia="en-AU"/>
        </w:rPr>
        <w:t>lower range of the nominated MCID (9% to 54%; for all grades of exacerbations). Relevant consideration of the baseline rate, exacerbation severity and study duration is required for interpretation of the MCID.</w:t>
      </w:r>
    </w:p>
    <w:p w:rsidR="00DA3BFC" w:rsidRPr="00416C64" w:rsidRDefault="009843D8" w:rsidP="005A2C9B">
      <w:pPr>
        <w:pStyle w:val="ListParagraph"/>
        <w:widowControl/>
        <w:numPr>
          <w:ilvl w:val="0"/>
          <w:numId w:val="20"/>
        </w:numPr>
        <w:rPr>
          <w:szCs w:val="20"/>
        </w:rPr>
      </w:pPr>
      <w:r w:rsidRPr="00416C64">
        <w:rPr>
          <w:szCs w:val="20"/>
        </w:rPr>
        <w:t xml:space="preserve">There was a </w:t>
      </w:r>
      <w:r w:rsidR="00DA3BFC" w:rsidRPr="00416C64">
        <w:rPr>
          <w:szCs w:val="20"/>
        </w:rPr>
        <w:t xml:space="preserve">significantly </w:t>
      </w:r>
      <w:r w:rsidRPr="00416C64">
        <w:rPr>
          <w:szCs w:val="20"/>
        </w:rPr>
        <w:t xml:space="preserve">larger improvement </w:t>
      </w:r>
      <w:r w:rsidR="00DA3BFC" w:rsidRPr="00416C64">
        <w:rPr>
          <w:szCs w:val="20"/>
        </w:rPr>
        <w:t xml:space="preserve">in </w:t>
      </w:r>
      <w:r w:rsidRPr="00416C64">
        <w:rPr>
          <w:szCs w:val="20"/>
        </w:rPr>
        <w:t xml:space="preserve">trough FEV1, SCRQ-C score and CAT score at Week 52 </w:t>
      </w:r>
      <w:r w:rsidR="00DA3BFC" w:rsidRPr="00416C64">
        <w:rPr>
          <w:szCs w:val="20"/>
        </w:rPr>
        <w:t xml:space="preserve">compared to baseline for </w:t>
      </w:r>
      <w:r w:rsidRPr="00416C64">
        <w:rPr>
          <w:szCs w:val="20"/>
        </w:rPr>
        <w:t>FF/UMEC/VI compared to UMEC/VI.</w:t>
      </w:r>
      <w:r w:rsidR="00393D5D" w:rsidRPr="00416C64">
        <w:rPr>
          <w:szCs w:val="20"/>
        </w:rPr>
        <w:t xml:space="preserve"> </w:t>
      </w:r>
      <w:r w:rsidRPr="00416C64">
        <w:rPr>
          <w:iCs/>
          <w:szCs w:val="20"/>
        </w:rPr>
        <w:t>Although the average effect</w:t>
      </w:r>
      <w:r w:rsidR="00DA3BFC" w:rsidRPr="00416C64">
        <w:rPr>
          <w:iCs/>
          <w:szCs w:val="20"/>
        </w:rPr>
        <w:t>s</w:t>
      </w:r>
      <w:r w:rsidRPr="00416C64">
        <w:rPr>
          <w:iCs/>
          <w:szCs w:val="20"/>
        </w:rPr>
        <w:t xml:space="preserve"> were smaller than the nominated MCIDs, </w:t>
      </w:r>
      <w:r w:rsidR="00DA3BFC" w:rsidRPr="00416C64">
        <w:rPr>
          <w:iCs/>
          <w:szCs w:val="20"/>
        </w:rPr>
        <w:t xml:space="preserve">more patients were MCID “responders” with </w:t>
      </w:r>
      <w:r w:rsidRPr="00416C64">
        <w:rPr>
          <w:iCs/>
          <w:szCs w:val="20"/>
        </w:rPr>
        <w:t>FF/UMEC/VI</w:t>
      </w:r>
      <w:r w:rsidR="00DA3BFC" w:rsidRPr="00416C64">
        <w:rPr>
          <w:iCs/>
          <w:szCs w:val="20"/>
        </w:rPr>
        <w:t xml:space="preserve"> </w:t>
      </w:r>
      <w:r w:rsidRPr="00416C64">
        <w:rPr>
          <w:iCs/>
          <w:szCs w:val="20"/>
        </w:rPr>
        <w:t>compared to UMEC/VI</w:t>
      </w:r>
      <w:r w:rsidR="008330E2" w:rsidRPr="00416C64">
        <w:rPr>
          <w:iCs/>
          <w:szCs w:val="20"/>
        </w:rPr>
        <w:t>.</w:t>
      </w:r>
    </w:p>
    <w:p w:rsidR="005B450B" w:rsidRPr="00416C64" w:rsidRDefault="005B450B" w:rsidP="005A2C9B">
      <w:pPr>
        <w:pStyle w:val="ListParagraph"/>
        <w:widowControl/>
        <w:numPr>
          <w:ilvl w:val="0"/>
          <w:numId w:val="20"/>
        </w:numPr>
        <w:rPr>
          <w:iCs/>
          <w:szCs w:val="20"/>
        </w:rPr>
      </w:pPr>
      <w:r w:rsidRPr="00416C64">
        <w:rPr>
          <w:szCs w:val="20"/>
        </w:rPr>
        <w:t>There was significant reduction in the risk of all-cause mortality for FF/UMEC/VI</w:t>
      </w:r>
      <w:r w:rsidRPr="00416C64" w:rsidDel="00030F7D">
        <w:rPr>
          <w:szCs w:val="20"/>
        </w:rPr>
        <w:t xml:space="preserve"> </w:t>
      </w:r>
      <w:r w:rsidRPr="00416C64">
        <w:rPr>
          <w:szCs w:val="20"/>
        </w:rPr>
        <w:t>compared to UMEC/VI.</w:t>
      </w:r>
      <w:r w:rsidR="00393D5D" w:rsidRPr="00416C64">
        <w:rPr>
          <w:szCs w:val="20"/>
        </w:rPr>
        <w:t xml:space="preserve"> </w:t>
      </w:r>
      <w:r w:rsidRPr="00416C64">
        <w:rPr>
          <w:iCs/>
          <w:szCs w:val="20"/>
        </w:rPr>
        <w:t xml:space="preserve">Despite the significant result, </w:t>
      </w:r>
      <w:r w:rsidR="00BD56AE" w:rsidRPr="00416C64">
        <w:rPr>
          <w:iCs/>
          <w:szCs w:val="20"/>
        </w:rPr>
        <w:t xml:space="preserve">the trial </w:t>
      </w:r>
      <w:r w:rsidR="0069786C" w:rsidRPr="00416C64">
        <w:rPr>
          <w:iCs/>
          <w:szCs w:val="20"/>
        </w:rPr>
        <w:t>was not</w:t>
      </w:r>
      <w:r w:rsidR="00BD56AE" w:rsidRPr="00416C64">
        <w:rPr>
          <w:iCs/>
          <w:szCs w:val="20"/>
        </w:rPr>
        <w:t xml:space="preserve"> powered</w:t>
      </w:r>
      <w:r w:rsidRPr="00416C64">
        <w:rPr>
          <w:iCs/>
          <w:szCs w:val="20"/>
        </w:rPr>
        <w:t xml:space="preserve"> </w:t>
      </w:r>
      <w:r w:rsidR="005905A5" w:rsidRPr="00416C64">
        <w:rPr>
          <w:iCs/>
          <w:szCs w:val="20"/>
        </w:rPr>
        <w:t xml:space="preserve">to study </w:t>
      </w:r>
      <w:r w:rsidRPr="00416C64">
        <w:rPr>
          <w:iCs/>
          <w:szCs w:val="20"/>
        </w:rPr>
        <w:t>survival and the trial design did not include mortality in its hierarchical testing procedure.</w:t>
      </w:r>
      <w:r w:rsidR="00393D5D" w:rsidRPr="00416C64">
        <w:rPr>
          <w:iCs/>
          <w:szCs w:val="20"/>
        </w:rPr>
        <w:t xml:space="preserve"> </w:t>
      </w:r>
      <w:r w:rsidRPr="00416C64">
        <w:rPr>
          <w:iCs/>
          <w:szCs w:val="20"/>
        </w:rPr>
        <w:t>The trial publication (Lipson et al 2018) interpreted the result as a signal toward lower mortality but emphasised that the finding may be “fragile”.</w:t>
      </w:r>
    </w:p>
    <w:p w:rsidR="00386096" w:rsidRPr="00416C64" w:rsidRDefault="00386096" w:rsidP="005A2C9B">
      <w:pPr>
        <w:pStyle w:val="ListParagraph"/>
        <w:widowControl/>
        <w:numPr>
          <w:ilvl w:val="1"/>
          <w:numId w:val="3"/>
        </w:numPr>
        <w:rPr>
          <w:iCs/>
          <w:szCs w:val="20"/>
        </w:rPr>
      </w:pPr>
      <w:r w:rsidRPr="00416C64">
        <w:rPr>
          <w:iCs/>
          <w:szCs w:val="20"/>
        </w:rPr>
        <w:t xml:space="preserve">IMPACT also indicated that </w:t>
      </w:r>
      <w:r w:rsidR="00D8327F" w:rsidRPr="00416C64">
        <w:rPr>
          <w:iCs/>
          <w:szCs w:val="20"/>
        </w:rPr>
        <w:t>FF</w:t>
      </w:r>
      <w:r w:rsidRPr="00416C64">
        <w:rPr>
          <w:iCs/>
          <w:szCs w:val="20"/>
        </w:rPr>
        <w:t>/</w:t>
      </w:r>
      <w:r w:rsidR="00D8327F" w:rsidRPr="00416C64">
        <w:rPr>
          <w:iCs/>
          <w:szCs w:val="20"/>
        </w:rPr>
        <w:t>VI</w:t>
      </w:r>
      <w:r w:rsidRPr="00416C64">
        <w:rPr>
          <w:iCs/>
          <w:szCs w:val="20"/>
        </w:rPr>
        <w:t xml:space="preserve"> was similar or slightly better on some outcomes</w:t>
      </w:r>
      <w:r w:rsidR="00EE0B5A" w:rsidRPr="00416C64">
        <w:rPr>
          <w:iCs/>
          <w:szCs w:val="20"/>
        </w:rPr>
        <w:t xml:space="preserve"> (change from baseline in trough FEV1</w:t>
      </w:r>
      <w:r w:rsidR="001E7799" w:rsidRPr="00416C64">
        <w:rPr>
          <w:iCs/>
          <w:szCs w:val="20"/>
        </w:rPr>
        <w:t>,</w:t>
      </w:r>
      <w:r w:rsidR="001C573D" w:rsidRPr="00416C64">
        <w:rPr>
          <w:iCs/>
          <w:szCs w:val="20"/>
        </w:rPr>
        <w:t xml:space="preserve"> </w:t>
      </w:r>
      <w:r w:rsidR="001C573D" w:rsidRPr="00416C64">
        <w:rPr>
          <w:iCs/>
        </w:rPr>
        <w:t>St George’s Respiratory Questionnaire COPD (</w:t>
      </w:r>
      <w:r w:rsidR="001E7799" w:rsidRPr="00416C64">
        <w:rPr>
          <w:iCs/>
          <w:szCs w:val="20"/>
        </w:rPr>
        <w:t>SGRQ</w:t>
      </w:r>
      <w:r w:rsidR="00075B14" w:rsidRPr="00416C64">
        <w:rPr>
          <w:iCs/>
          <w:szCs w:val="20"/>
        </w:rPr>
        <w:t>-C</w:t>
      </w:r>
      <w:r w:rsidR="001C573D" w:rsidRPr="00416C64">
        <w:rPr>
          <w:iCs/>
          <w:szCs w:val="20"/>
        </w:rPr>
        <w:t>)</w:t>
      </w:r>
      <w:r w:rsidR="001E7799" w:rsidRPr="00416C64">
        <w:rPr>
          <w:iCs/>
          <w:szCs w:val="20"/>
        </w:rPr>
        <w:t xml:space="preserve"> total score</w:t>
      </w:r>
      <w:r w:rsidR="00EE0B5A" w:rsidRPr="00416C64">
        <w:rPr>
          <w:iCs/>
          <w:szCs w:val="20"/>
        </w:rPr>
        <w:t xml:space="preserve"> and CAT score)</w:t>
      </w:r>
      <w:r w:rsidRPr="00416C64">
        <w:rPr>
          <w:iCs/>
          <w:szCs w:val="20"/>
        </w:rPr>
        <w:t xml:space="preserve"> compared to </w:t>
      </w:r>
      <w:r w:rsidR="00D8327F" w:rsidRPr="00416C64">
        <w:rPr>
          <w:iCs/>
          <w:szCs w:val="20"/>
        </w:rPr>
        <w:t>UMEC</w:t>
      </w:r>
      <w:r w:rsidRPr="00416C64">
        <w:rPr>
          <w:iCs/>
          <w:szCs w:val="20"/>
        </w:rPr>
        <w:t>/</w:t>
      </w:r>
      <w:r w:rsidR="00D8327F" w:rsidRPr="00416C64">
        <w:rPr>
          <w:iCs/>
          <w:szCs w:val="20"/>
        </w:rPr>
        <w:t>VI</w:t>
      </w:r>
      <w:r w:rsidRPr="00416C64">
        <w:rPr>
          <w:iCs/>
          <w:szCs w:val="20"/>
        </w:rPr>
        <w:t>.</w:t>
      </w:r>
      <w:r w:rsidR="00393D5D" w:rsidRPr="00416C64">
        <w:rPr>
          <w:iCs/>
          <w:szCs w:val="20"/>
        </w:rPr>
        <w:t xml:space="preserve"> </w:t>
      </w:r>
      <w:r w:rsidRPr="00416C64">
        <w:rPr>
          <w:iCs/>
        </w:rPr>
        <w:t xml:space="preserve">This evidence is </w:t>
      </w:r>
      <w:r w:rsidRPr="00416C64">
        <w:rPr>
          <w:iCs/>
        </w:rPr>
        <w:lastRenderedPageBreak/>
        <w:t xml:space="preserve">inconsistent with evidence considered in the Post-Market Review of COPD Medicines </w:t>
      </w:r>
      <w:r w:rsidR="00D8327F" w:rsidRPr="00416C64">
        <w:rPr>
          <w:iCs/>
        </w:rPr>
        <w:t>(</w:t>
      </w:r>
      <w:r w:rsidRPr="00416C64">
        <w:rPr>
          <w:iCs/>
        </w:rPr>
        <w:t>2017) and previous PBAC decision-making</w:t>
      </w:r>
      <w:r w:rsidR="00D8327F" w:rsidRPr="00416C64">
        <w:rPr>
          <w:iCs/>
        </w:rPr>
        <w:t>, which suggested LAMA/LABAs are more efficacious than ICS/LABAs</w:t>
      </w:r>
      <w:r w:rsidRPr="00416C64">
        <w:rPr>
          <w:iCs/>
        </w:rPr>
        <w:t>.</w:t>
      </w:r>
      <w:r w:rsidR="00393D5D" w:rsidRPr="00416C64">
        <w:rPr>
          <w:iCs/>
        </w:rPr>
        <w:t xml:space="preserve"> </w:t>
      </w:r>
      <w:r w:rsidRPr="00416C64">
        <w:rPr>
          <w:iCs/>
        </w:rPr>
        <w:t>These differences may be due to differences in trial design and selection criteria across trials directly comparing dual therapy.</w:t>
      </w:r>
    </w:p>
    <w:p w:rsidR="00FA6D7B" w:rsidRPr="00857858" w:rsidRDefault="00FA6D7B" w:rsidP="005A2C9B">
      <w:pPr>
        <w:pStyle w:val="ListParagraph"/>
        <w:widowControl/>
        <w:numPr>
          <w:ilvl w:val="1"/>
          <w:numId w:val="3"/>
        </w:numPr>
        <w:rPr>
          <w:szCs w:val="20"/>
        </w:rPr>
      </w:pPr>
      <w:r w:rsidRPr="00416C64">
        <w:rPr>
          <w:iCs/>
          <w:szCs w:val="20"/>
        </w:rPr>
        <w:t xml:space="preserve">The </w:t>
      </w:r>
      <w:r w:rsidR="00687C79" w:rsidRPr="00416C64">
        <w:rPr>
          <w:iCs/>
          <w:szCs w:val="20"/>
        </w:rPr>
        <w:t xml:space="preserve">PBAC noted that the </w:t>
      </w:r>
      <w:r w:rsidRPr="00416C64">
        <w:rPr>
          <w:iCs/>
          <w:szCs w:val="20"/>
        </w:rPr>
        <w:t xml:space="preserve">treatment effects </w:t>
      </w:r>
      <w:r w:rsidR="00853C52" w:rsidRPr="00416C64">
        <w:rPr>
          <w:iCs/>
          <w:szCs w:val="20"/>
        </w:rPr>
        <w:t xml:space="preserve">in IMPACT were </w:t>
      </w:r>
      <w:r w:rsidRPr="00416C64">
        <w:rPr>
          <w:iCs/>
          <w:szCs w:val="20"/>
        </w:rPr>
        <w:t xml:space="preserve">generally smaller than </w:t>
      </w:r>
      <w:r w:rsidR="00853C52" w:rsidRPr="00416C64">
        <w:rPr>
          <w:iCs/>
          <w:szCs w:val="20"/>
        </w:rPr>
        <w:t xml:space="preserve">those estimated for </w:t>
      </w:r>
      <w:r w:rsidRPr="00416C64">
        <w:rPr>
          <w:iCs/>
          <w:szCs w:val="20"/>
        </w:rPr>
        <w:t>FF/UMEC/VI versus any LAMA/LABA based on indirect comparisons considered by the PBAC in December 2017.</w:t>
      </w:r>
      <w:r w:rsidR="00393D5D" w:rsidRPr="00416C64">
        <w:rPr>
          <w:iCs/>
          <w:szCs w:val="20"/>
        </w:rPr>
        <w:t xml:space="preserve"> </w:t>
      </w:r>
      <w:r w:rsidR="00853C52" w:rsidRPr="00416C64">
        <w:rPr>
          <w:iCs/>
          <w:szCs w:val="20"/>
        </w:rPr>
        <w:t>For reduction in the</w:t>
      </w:r>
      <w:r w:rsidRPr="00416C64">
        <w:rPr>
          <w:iCs/>
          <w:szCs w:val="20"/>
        </w:rPr>
        <w:t xml:space="preserve"> annual rate of moderate/severe exacerbation</w:t>
      </w:r>
      <w:r w:rsidR="00853C52" w:rsidRPr="00416C64">
        <w:rPr>
          <w:iCs/>
          <w:szCs w:val="20"/>
        </w:rPr>
        <w:t>:</w:t>
      </w:r>
      <w:r w:rsidRPr="00416C64">
        <w:rPr>
          <w:iCs/>
          <w:szCs w:val="20"/>
        </w:rPr>
        <w:t xml:space="preserve"> </w:t>
      </w:r>
      <w:r w:rsidRPr="00857858">
        <w:rPr>
          <w:iCs/>
          <w:szCs w:val="20"/>
        </w:rPr>
        <w:t xml:space="preserve">25% (95%CI: 19%, 30%) </w:t>
      </w:r>
      <w:r w:rsidR="00853C52" w:rsidRPr="00857858">
        <w:rPr>
          <w:iCs/>
          <w:szCs w:val="20"/>
        </w:rPr>
        <w:t xml:space="preserve">in IMPACT </w:t>
      </w:r>
      <w:r w:rsidRPr="00857858">
        <w:rPr>
          <w:iCs/>
          <w:szCs w:val="20"/>
        </w:rPr>
        <w:t>versus 32% (95%CI: -3%, 66%)</w:t>
      </w:r>
      <w:r w:rsidR="00853C52" w:rsidRPr="00857858">
        <w:rPr>
          <w:iCs/>
          <w:szCs w:val="20"/>
        </w:rPr>
        <w:t xml:space="preserve"> from indirect evidence.</w:t>
      </w:r>
      <w:r w:rsidR="00393D5D" w:rsidRPr="00857858">
        <w:rPr>
          <w:iCs/>
          <w:szCs w:val="20"/>
        </w:rPr>
        <w:t xml:space="preserve"> </w:t>
      </w:r>
      <w:r w:rsidR="00853C52" w:rsidRPr="00857858">
        <w:rPr>
          <w:iCs/>
          <w:szCs w:val="20"/>
        </w:rPr>
        <w:t xml:space="preserve">For </w:t>
      </w:r>
      <w:r w:rsidRPr="00857858">
        <w:rPr>
          <w:iCs/>
          <w:szCs w:val="20"/>
        </w:rPr>
        <w:t>difference in the mean change from baseline in trough FEV1 at Week 52</w:t>
      </w:r>
      <w:r w:rsidR="00853C52" w:rsidRPr="00857858">
        <w:rPr>
          <w:iCs/>
          <w:szCs w:val="20"/>
        </w:rPr>
        <w:t>:</w:t>
      </w:r>
      <w:r w:rsidRPr="00857858">
        <w:rPr>
          <w:iCs/>
          <w:szCs w:val="20"/>
        </w:rPr>
        <w:t xml:space="preserve"> 54ml (95%CI: 39ml, 69ml) </w:t>
      </w:r>
      <w:r w:rsidR="00853C52" w:rsidRPr="00857858">
        <w:rPr>
          <w:iCs/>
          <w:szCs w:val="20"/>
        </w:rPr>
        <w:t xml:space="preserve">in IMPACT </w:t>
      </w:r>
      <w:r w:rsidRPr="00857858">
        <w:rPr>
          <w:iCs/>
          <w:szCs w:val="20"/>
        </w:rPr>
        <w:t>versus 117ml (67ml, 167ml)</w:t>
      </w:r>
      <w:r w:rsidR="00853C52" w:rsidRPr="00857858">
        <w:rPr>
          <w:iCs/>
          <w:szCs w:val="20"/>
        </w:rPr>
        <w:t xml:space="preserve"> from indirect evidence.</w:t>
      </w:r>
    </w:p>
    <w:p w:rsidR="00DF2299" w:rsidRPr="00416C64" w:rsidRDefault="002253FD" w:rsidP="005A2C9B">
      <w:pPr>
        <w:pStyle w:val="ListParagraph"/>
        <w:widowControl/>
        <w:numPr>
          <w:ilvl w:val="1"/>
          <w:numId w:val="3"/>
        </w:numPr>
        <w:rPr>
          <w:iCs/>
        </w:rPr>
      </w:pPr>
      <w:r w:rsidRPr="00416C64">
        <w:t>A</w:t>
      </w:r>
      <w:r w:rsidR="00BC1358" w:rsidRPr="00416C64">
        <w:t xml:space="preserve"> </w:t>
      </w:r>
      <w:r w:rsidR="00BC1358" w:rsidRPr="00416C64">
        <w:rPr>
          <w:szCs w:val="20"/>
        </w:rPr>
        <w:t>series</w:t>
      </w:r>
      <w:r w:rsidR="00BC1358" w:rsidRPr="00416C64">
        <w:t xml:space="preserve"> of post</w:t>
      </w:r>
      <w:r w:rsidRPr="00416C64">
        <w:t>-</w:t>
      </w:r>
      <w:r w:rsidR="00BC1358" w:rsidRPr="00416C64">
        <w:t xml:space="preserve">hoc subgroup analyses </w:t>
      </w:r>
      <w:r w:rsidRPr="00416C64">
        <w:t xml:space="preserve">for key outcomes in IMPACT demonstrated the treatment effect was similar by </w:t>
      </w:r>
      <w:r w:rsidR="00BC1358" w:rsidRPr="00416C64">
        <w:t xml:space="preserve">baseline FEV1 % predicted </w:t>
      </w:r>
      <w:r w:rsidRPr="00416C64">
        <w:t xml:space="preserve">plus </w:t>
      </w:r>
      <w:r w:rsidR="00BC1358" w:rsidRPr="00416C64">
        <w:t xml:space="preserve">exacerbation history, </w:t>
      </w:r>
      <w:r w:rsidRPr="00416C64">
        <w:t xml:space="preserve">and </w:t>
      </w:r>
      <w:r w:rsidR="00BC1358" w:rsidRPr="00416C64">
        <w:t>prior treatment</w:t>
      </w:r>
      <w:r w:rsidRPr="00416C64">
        <w:t>.</w:t>
      </w:r>
      <w:r w:rsidR="00393D5D" w:rsidRPr="00416C64">
        <w:t xml:space="preserve"> </w:t>
      </w:r>
      <w:r w:rsidR="00887F05" w:rsidRPr="00416C64">
        <w:t>The complementary subgroups by baseline FEV1 % predicted and exacerbation history were FEV1 &lt;50% predicted and &lt;2 moderate and no severe exacerbation in the prior year</w:t>
      </w:r>
      <w:r w:rsidR="00A84F74" w:rsidRPr="00416C64">
        <w:t>;</w:t>
      </w:r>
      <w:r w:rsidR="00887F05" w:rsidRPr="00416C64">
        <w:t xml:space="preserve"> FEV1 &lt;50% predicted and ≥2 moderate or ≥1 severe</w:t>
      </w:r>
      <w:r w:rsidR="00A84F74" w:rsidRPr="00416C64">
        <w:t xml:space="preserve"> exacerbation in the prior year;</w:t>
      </w:r>
      <w:r w:rsidR="00887F05" w:rsidRPr="00416C64">
        <w:t xml:space="preserve"> </w:t>
      </w:r>
      <w:r w:rsidR="00A84F74" w:rsidRPr="00416C64">
        <w:t xml:space="preserve">and </w:t>
      </w:r>
      <w:r w:rsidR="00887F05" w:rsidRPr="00416C64">
        <w:t>FEV1 ≥50-&lt;80% predicted and ≥2 moderate or ≥1 severe exacerbation in the prior year</w:t>
      </w:r>
      <w:r w:rsidR="00DF2299" w:rsidRPr="00416C64">
        <w:t>.</w:t>
      </w:r>
      <w:r w:rsidR="00393D5D" w:rsidRPr="00416C64">
        <w:t xml:space="preserve"> </w:t>
      </w:r>
      <w:r w:rsidR="00DF2299" w:rsidRPr="00416C64">
        <w:rPr>
          <w:iCs/>
        </w:rPr>
        <w:t>This was based on the requested PBS population which includes currently eligible patients (FEV1 &lt;50% predicted) as well as patients who will become eligible under the requested extension to the PBS listing (FEV1 ≥50% predicted)</w:t>
      </w:r>
      <w:r w:rsidR="00887F05" w:rsidRPr="00416C64">
        <w:t>.</w:t>
      </w:r>
      <w:r w:rsidR="00393D5D" w:rsidRPr="00416C64">
        <w:t xml:space="preserve"> </w:t>
      </w:r>
      <w:r w:rsidR="00075B14" w:rsidRPr="00416C64">
        <w:t>Subgroups analyses by</w:t>
      </w:r>
      <w:r w:rsidRPr="00416C64">
        <w:t xml:space="preserve"> </w:t>
      </w:r>
      <w:r w:rsidR="00075B14" w:rsidRPr="00416C64">
        <w:t>prior COPD medication (at screening) included ICS/LABA/LAMA, LABA/LAMA and ICS/LABA.</w:t>
      </w:r>
      <w:r w:rsidR="00393D5D" w:rsidRPr="00416C64">
        <w:t xml:space="preserve"> </w:t>
      </w:r>
    </w:p>
    <w:p w:rsidR="002253FD" w:rsidRPr="00416C64" w:rsidRDefault="00687C79" w:rsidP="005A2C9B">
      <w:pPr>
        <w:pStyle w:val="ListParagraph"/>
        <w:widowControl/>
        <w:numPr>
          <w:ilvl w:val="1"/>
          <w:numId w:val="3"/>
        </w:numPr>
        <w:rPr>
          <w:iCs/>
        </w:rPr>
      </w:pPr>
      <w:r w:rsidRPr="00416C64">
        <w:rPr>
          <w:iCs/>
        </w:rPr>
        <w:t>The PBAC considered that, i</w:t>
      </w:r>
      <w:r w:rsidR="002253FD" w:rsidRPr="00416C64">
        <w:rPr>
          <w:iCs/>
        </w:rPr>
        <w:t>n the absence of formal testing, the results of the subgroup analysis supported the argument that FEV1 % predicted was not a good predictor of treatment benefit in terms of rate of moderate/severe exacerbation, change in trough FEV1 or SG</w:t>
      </w:r>
      <w:r w:rsidR="00F35EE6" w:rsidRPr="00416C64">
        <w:rPr>
          <w:iCs/>
        </w:rPr>
        <w:t>R</w:t>
      </w:r>
      <w:r w:rsidR="002253FD" w:rsidRPr="00416C64">
        <w:rPr>
          <w:iCs/>
        </w:rPr>
        <w:t>Q-C.</w:t>
      </w:r>
      <w:r w:rsidR="00393D5D" w:rsidRPr="00416C64">
        <w:rPr>
          <w:iCs/>
        </w:rPr>
        <w:t xml:space="preserve"> </w:t>
      </w:r>
      <w:r w:rsidR="002253FD" w:rsidRPr="00416C64">
        <w:rPr>
          <w:iCs/>
        </w:rPr>
        <w:t>The relative treatment effect was generally smaller for patients with “FEV1 &lt;50% predicted, &lt;2 moderate and no severe exacerbations” (i.e. fewer exacerbations at baseline).</w:t>
      </w:r>
      <w:r w:rsidR="00393D5D" w:rsidRPr="00416C64">
        <w:rPr>
          <w:iCs/>
        </w:rPr>
        <w:t xml:space="preserve"> </w:t>
      </w:r>
      <w:r w:rsidR="002253FD" w:rsidRPr="00416C64">
        <w:rPr>
          <w:iCs/>
        </w:rPr>
        <w:t>The treatment effect for patients on dual therapy at baseline was generally similar to the ITT population, but small patient numbers reduced statistical precision and confidence.</w:t>
      </w:r>
    </w:p>
    <w:p w:rsidR="00096494" w:rsidRPr="00416C64" w:rsidRDefault="00096494" w:rsidP="005A2C9B">
      <w:pPr>
        <w:pStyle w:val="ListParagraph"/>
        <w:widowControl/>
        <w:numPr>
          <w:ilvl w:val="1"/>
          <w:numId w:val="3"/>
        </w:numPr>
      </w:pPr>
      <w:r w:rsidRPr="00416C64">
        <w:rPr>
          <w:iCs/>
        </w:rPr>
        <w:t xml:space="preserve">The ESC considered that the results of the IMPACT trial provided additional evidence for Trelegy versus dual therapy, reducing uncertainty around the claim of superior comparative effectiveness. However, the ESC noted that single therapy compared to triple therapy is not captured and, as already highlighted, there is a risk of Trelegy being used earlier than intended in the treatment pathway. </w:t>
      </w:r>
    </w:p>
    <w:p w:rsidR="00B60939" w:rsidRPr="00416C64" w:rsidRDefault="00B60939" w:rsidP="001D26BB">
      <w:pPr>
        <w:pStyle w:val="Heading2"/>
        <w:spacing w:before="240"/>
      </w:pPr>
      <w:bookmarkStart w:id="12" w:name="_Toc535934774"/>
      <w:r w:rsidRPr="00416C64">
        <w:t>Comparative harms</w:t>
      </w:r>
      <w:bookmarkEnd w:id="12"/>
    </w:p>
    <w:p w:rsidR="00C64D75" w:rsidRPr="00416C64" w:rsidRDefault="00C64D75" w:rsidP="005A2C9B">
      <w:pPr>
        <w:pStyle w:val="ListParagraph"/>
        <w:widowControl/>
        <w:numPr>
          <w:ilvl w:val="1"/>
          <w:numId w:val="3"/>
        </w:numPr>
      </w:pPr>
      <w:r w:rsidRPr="00416C64">
        <w:t xml:space="preserve">Table </w:t>
      </w:r>
      <w:r w:rsidR="00F35EE6" w:rsidRPr="00416C64">
        <w:t>5</w:t>
      </w:r>
      <w:r w:rsidRPr="00416C64">
        <w:t xml:space="preserve"> summarises the main adverse events (AEs) reported in IMPACT.</w:t>
      </w:r>
      <w:r w:rsidR="00393D5D" w:rsidRPr="00416C64">
        <w:t xml:space="preserve"> </w:t>
      </w:r>
      <w:r w:rsidRPr="00416C64">
        <w:t xml:space="preserve">The incidence of on-treatment AEs, drug-related AEs and serious AEs were generally similar across </w:t>
      </w:r>
      <w:r w:rsidRPr="00416C64">
        <w:lastRenderedPageBreak/>
        <w:t>the groups.</w:t>
      </w:r>
      <w:r w:rsidR="00393D5D" w:rsidRPr="00416C64">
        <w:t xml:space="preserve"> </w:t>
      </w:r>
      <w:r w:rsidRPr="00416C64">
        <w:t>Overall, safety outcomes were consistent with known safety profiles for the use of an ICS, a LAMA, or a LABA in combination</w:t>
      </w:r>
      <w:r w:rsidR="00644BEC" w:rsidRPr="00416C64">
        <w:t>.</w:t>
      </w:r>
      <w:r w:rsidRPr="00416C64">
        <w:t xml:space="preserve"> </w:t>
      </w:r>
    </w:p>
    <w:p w:rsidR="00C64D75" w:rsidRPr="00247995" w:rsidRDefault="0095201C" w:rsidP="005A2C9B">
      <w:pPr>
        <w:pStyle w:val="ListParagraph"/>
        <w:widowControl/>
        <w:numPr>
          <w:ilvl w:val="1"/>
          <w:numId w:val="3"/>
        </w:numPr>
      </w:pPr>
      <w:r w:rsidRPr="00416C64">
        <w:t>FF/UMEC/VI was associated with a higher incidence and exposure adjusted risk of pneumonia and oral candidiasis compared with UMEC/VI.</w:t>
      </w:r>
      <w:r w:rsidR="00393D5D" w:rsidRPr="00416C64">
        <w:t xml:space="preserve"> </w:t>
      </w:r>
      <w:r w:rsidRPr="00416C64">
        <w:rPr>
          <w:iCs/>
          <w:szCs w:val="20"/>
        </w:rPr>
        <w:t>In December 2017, the PBAC considered Trelegy was “</w:t>
      </w:r>
      <w:r w:rsidRPr="00416C64">
        <w:rPr>
          <w:iCs/>
        </w:rPr>
        <w:t xml:space="preserve">likely to be associated with an increased risk of harms over dual therapy with LAMA/LABA, particularly in relation to pneumonia” </w:t>
      </w:r>
      <w:r w:rsidR="009A3095" w:rsidRPr="00416C64">
        <w:rPr>
          <w:bCs/>
          <w:iCs/>
          <w:szCs w:val="24"/>
        </w:rPr>
        <w:t>(Paragraph 7.</w:t>
      </w:r>
      <w:r w:rsidR="00E84E54" w:rsidRPr="00416C64">
        <w:rPr>
          <w:bCs/>
          <w:iCs/>
          <w:szCs w:val="24"/>
        </w:rPr>
        <w:t>6</w:t>
      </w:r>
      <w:r w:rsidR="009A3095" w:rsidRPr="00416C64">
        <w:rPr>
          <w:bCs/>
          <w:iCs/>
          <w:szCs w:val="24"/>
        </w:rPr>
        <w:t xml:space="preserve">, Trelegy PSD, </w:t>
      </w:r>
      <w:proofErr w:type="gramStart"/>
      <w:r w:rsidR="00B63823" w:rsidRPr="00416C64">
        <w:rPr>
          <w:bCs/>
          <w:iCs/>
          <w:szCs w:val="24"/>
        </w:rPr>
        <w:t>December</w:t>
      </w:r>
      <w:proofErr w:type="gramEnd"/>
      <w:r w:rsidR="009A3095" w:rsidRPr="00416C64">
        <w:rPr>
          <w:bCs/>
          <w:iCs/>
          <w:szCs w:val="24"/>
        </w:rPr>
        <w:t xml:space="preserve"> 2017</w:t>
      </w:r>
      <w:r w:rsidRPr="00247995">
        <w:rPr>
          <w:iCs/>
        </w:rPr>
        <w:t>).</w:t>
      </w:r>
      <w:r w:rsidR="00393D5D" w:rsidRPr="00247995">
        <w:rPr>
          <w:iCs/>
        </w:rPr>
        <w:t xml:space="preserve"> </w:t>
      </w:r>
      <w:r w:rsidR="00687C79" w:rsidRPr="00247995">
        <w:rPr>
          <w:iCs/>
        </w:rPr>
        <w:t>The PBAC noted that d</w:t>
      </w:r>
      <w:r w:rsidR="005171B6" w:rsidRPr="00247995">
        <w:rPr>
          <w:iCs/>
        </w:rPr>
        <w:t xml:space="preserve">ata from the subgroup analyses provided in Appendix 3 and 5 of the submission further indicated that patients with FEV1 ≥50-&lt;80% and ≥2 moderate or ≥1 severe exacerbation in the prior year had </w:t>
      </w:r>
      <w:r w:rsidR="00B74049">
        <w:rPr>
          <w:iCs/>
          <w:noProof/>
          <w:color w:val="000000"/>
          <w:highlight w:val="black"/>
        </w:rPr>
        <w:t>'''''''''''''''''''''' ''''''''''''''''''' ''''''''''''''''''' ''''''' '''' ''''''''''''''''''''</w:t>
      </w:r>
      <w:r w:rsidR="005171B6" w:rsidRPr="00247995">
        <w:rPr>
          <w:iCs/>
        </w:rPr>
        <w:t xml:space="preserve"> (</w:t>
      </w:r>
      <w:r w:rsidR="00B74049">
        <w:rPr>
          <w:iCs/>
          <w:noProof/>
          <w:color w:val="000000"/>
          <w:highlight w:val="black"/>
        </w:rPr>
        <w:t>'''''''''</w:t>
      </w:r>
      <w:r w:rsidR="005171B6" w:rsidRPr="00247995">
        <w:rPr>
          <w:iCs/>
        </w:rPr>
        <w:t xml:space="preserve">, 95%CI: </w:t>
      </w:r>
      <w:r w:rsidR="00B74049">
        <w:rPr>
          <w:iCs/>
          <w:noProof/>
          <w:color w:val="000000"/>
          <w:highlight w:val="black"/>
        </w:rPr>
        <w:t>''''''''</w:t>
      </w:r>
      <w:r w:rsidR="005171B6" w:rsidRPr="00247995">
        <w:rPr>
          <w:iCs/>
        </w:rPr>
        <w:t xml:space="preserve">, </w:t>
      </w:r>
      <w:r w:rsidR="00B74049">
        <w:rPr>
          <w:iCs/>
          <w:noProof/>
          <w:color w:val="000000"/>
          <w:highlight w:val="black"/>
        </w:rPr>
        <w:t>''''''''</w:t>
      </w:r>
      <w:r w:rsidR="005171B6" w:rsidRPr="00247995">
        <w:rPr>
          <w:iCs/>
        </w:rPr>
        <w:t>).</w:t>
      </w:r>
    </w:p>
    <w:p w:rsidR="00B60939" w:rsidRPr="00416C64" w:rsidRDefault="00173565" w:rsidP="005A2C9B">
      <w:pPr>
        <w:pStyle w:val="ListParagraph"/>
        <w:keepNext/>
        <w:widowControl/>
        <w:spacing w:after="0"/>
        <w:ind w:left="0"/>
        <w:rPr>
          <w:rStyle w:val="CommentReference"/>
        </w:rPr>
      </w:pPr>
      <w:r w:rsidRPr="00416C64">
        <w:rPr>
          <w:rStyle w:val="CommentReference"/>
        </w:rPr>
        <w:t xml:space="preserve">Table </w:t>
      </w:r>
      <w:r w:rsidR="00F32AA3" w:rsidRPr="00416C64">
        <w:rPr>
          <w:rStyle w:val="CommentReference"/>
        </w:rPr>
        <w:t>5</w:t>
      </w:r>
      <w:r w:rsidR="005D26B4" w:rsidRPr="00416C64">
        <w:rPr>
          <w:rStyle w:val="CommentReference"/>
        </w:rPr>
        <w:t>:</w:t>
      </w:r>
      <w:r w:rsidR="00393D5D" w:rsidRPr="00416C64">
        <w:rPr>
          <w:rStyle w:val="CommentReference"/>
        </w:rPr>
        <w:t xml:space="preserve"> </w:t>
      </w:r>
      <w:r w:rsidR="005D26B4" w:rsidRPr="00416C64">
        <w:rPr>
          <w:rStyle w:val="CommentReference"/>
        </w:rPr>
        <w:t>Summary of key adverse events in the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9"/>
        <w:gridCol w:w="1895"/>
        <w:gridCol w:w="1823"/>
        <w:gridCol w:w="1635"/>
        <w:gridCol w:w="1775"/>
      </w:tblGrid>
      <w:tr w:rsidR="005B6179" w:rsidRPr="00416C64" w:rsidTr="0083326D">
        <w:trPr>
          <w:tblHeader/>
        </w:trPr>
        <w:tc>
          <w:tcPr>
            <w:tcW w:w="1889" w:type="dxa"/>
            <w:vMerge w:val="restart"/>
            <w:vAlign w:val="center"/>
          </w:tcPr>
          <w:p w:rsidR="005B6179" w:rsidRPr="00416C64" w:rsidRDefault="005B6179" w:rsidP="005A2C9B">
            <w:pPr>
              <w:pStyle w:val="Tabletext"/>
              <w:keepNext/>
              <w:jc w:val="center"/>
              <w:rPr>
                <w:b/>
              </w:rPr>
            </w:pPr>
            <w:r w:rsidRPr="00416C64">
              <w:rPr>
                <w:b/>
              </w:rPr>
              <w:t>Adverse event, n (%)</w:t>
            </w:r>
          </w:p>
        </w:tc>
        <w:tc>
          <w:tcPr>
            <w:tcW w:w="1895" w:type="dxa"/>
            <w:vAlign w:val="center"/>
          </w:tcPr>
          <w:p w:rsidR="005B6179" w:rsidRPr="00416C64" w:rsidRDefault="005B6179" w:rsidP="005A2C9B">
            <w:pPr>
              <w:pStyle w:val="Tabletext"/>
              <w:keepNext/>
              <w:jc w:val="center"/>
              <w:rPr>
                <w:b/>
              </w:rPr>
            </w:pPr>
            <w:r w:rsidRPr="00416C64">
              <w:rPr>
                <w:b/>
              </w:rPr>
              <w:t>FF/UMEC/VI</w:t>
            </w:r>
          </w:p>
        </w:tc>
        <w:tc>
          <w:tcPr>
            <w:tcW w:w="1823" w:type="dxa"/>
            <w:vAlign w:val="center"/>
          </w:tcPr>
          <w:p w:rsidR="005B6179" w:rsidRPr="00416C64" w:rsidRDefault="005B6179" w:rsidP="005A2C9B">
            <w:pPr>
              <w:pStyle w:val="Tabletext"/>
              <w:keepNext/>
              <w:jc w:val="center"/>
              <w:rPr>
                <w:b/>
              </w:rPr>
            </w:pPr>
            <w:r w:rsidRPr="00416C64">
              <w:rPr>
                <w:b/>
              </w:rPr>
              <w:t>UMEC/VI</w:t>
            </w:r>
          </w:p>
        </w:tc>
        <w:tc>
          <w:tcPr>
            <w:tcW w:w="3410" w:type="dxa"/>
            <w:gridSpan w:val="2"/>
            <w:vAlign w:val="center"/>
          </w:tcPr>
          <w:p w:rsidR="005B6179" w:rsidRPr="00416C64" w:rsidRDefault="005B6179" w:rsidP="005A2C9B">
            <w:pPr>
              <w:pStyle w:val="Tabletext"/>
              <w:keepNext/>
              <w:jc w:val="center"/>
              <w:rPr>
                <w:b/>
              </w:rPr>
            </w:pPr>
            <w:r w:rsidRPr="00416C64">
              <w:rPr>
                <w:b/>
              </w:rPr>
              <w:t>FF/UMEC/VI vs UMEC/VI</w:t>
            </w:r>
          </w:p>
        </w:tc>
      </w:tr>
      <w:tr w:rsidR="005B6179" w:rsidRPr="00416C64" w:rsidTr="0095201C">
        <w:trPr>
          <w:tblHeader/>
        </w:trPr>
        <w:tc>
          <w:tcPr>
            <w:tcW w:w="1889" w:type="dxa"/>
            <w:vMerge/>
            <w:vAlign w:val="center"/>
          </w:tcPr>
          <w:p w:rsidR="005B6179" w:rsidRPr="00416C64" w:rsidRDefault="005B6179" w:rsidP="005A2C9B">
            <w:pPr>
              <w:pStyle w:val="Tabletext"/>
              <w:keepNext/>
              <w:jc w:val="center"/>
              <w:rPr>
                <w:b/>
              </w:rPr>
            </w:pPr>
          </w:p>
        </w:tc>
        <w:tc>
          <w:tcPr>
            <w:tcW w:w="1895" w:type="dxa"/>
            <w:vAlign w:val="center"/>
          </w:tcPr>
          <w:p w:rsidR="005B6179" w:rsidRPr="00416C64" w:rsidRDefault="005B6179" w:rsidP="005A2C9B">
            <w:pPr>
              <w:pStyle w:val="Tabletext"/>
              <w:keepNext/>
              <w:jc w:val="center"/>
              <w:rPr>
                <w:b/>
              </w:rPr>
            </w:pPr>
            <w:r w:rsidRPr="00416C64">
              <w:rPr>
                <w:b/>
              </w:rPr>
              <w:t>N=4151</w:t>
            </w:r>
          </w:p>
        </w:tc>
        <w:tc>
          <w:tcPr>
            <w:tcW w:w="1823" w:type="dxa"/>
            <w:vAlign w:val="center"/>
          </w:tcPr>
          <w:p w:rsidR="005B6179" w:rsidRPr="00416C64" w:rsidRDefault="005B6179" w:rsidP="005A2C9B">
            <w:pPr>
              <w:pStyle w:val="Tabletext"/>
              <w:keepNext/>
              <w:jc w:val="center"/>
              <w:rPr>
                <w:b/>
              </w:rPr>
            </w:pPr>
            <w:r w:rsidRPr="00416C64">
              <w:rPr>
                <w:b/>
              </w:rPr>
              <w:t>N=2070</w:t>
            </w:r>
          </w:p>
        </w:tc>
        <w:tc>
          <w:tcPr>
            <w:tcW w:w="1635" w:type="dxa"/>
            <w:vAlign w:val="center"/>
          </w:tcPr>
          <w:p w:rsidR="005B6179" w:rsidRPr="00416C64" w:rsidRDefault="005B6179" w:rsidP="005A2C9B">
            <w:pPr>
              <w:pStyle w:val="Tabletext"/>
              <w:keepNext/>
              <w:jc w:val="center"/>
              <w:rPr>
                <w:b/>
              </w:rPr>
            </w:pPr>
            <w:r w:rsidRPr="00416C64">
              <w:rPr>
                <w:b/>
              </w:rPr>
              <w:t>RD (95%CI)</w:t>
            </w:r>
          </w:p>
        </w:tc>
        <w:tc>
          <w:tcPr>
            <w:tcW w:w="1775" w:type="dxa"/>
            <w:vAlign w:val="center"/>
          </w:tcPr>
          <w:p w:rsidR="005B6179" w:rsidRPr="00416C64" w:rsidRDefault="005B6179" w:rsidP="005A2C9B">
            <w:pPr>
              <w:pStyle w:val="Tabletext"/>
              <w:keepNext/>
              <w:jc w:val="center"/>
              <w:rPr>
                <w:b/>
              </w:rPr>
            </w:pPr>
            <w:r w:rsidRPr="00416C64">
              <w:rPr>
                <w:b/>
              </w:rPr>
              <w:t>RR (95% CI)</w:t>
            </w:r>
          </w:p>
        </w:tc>
      </w:tr>
      <w:tr w:rsidR="0095201C" w:rsidRPr="00416C64" w:rsidTr="005B6179">
        <w:tc>
          <w:tcPr>
            <w:tcW w:w="1889" w:type="dxa"/>
            <w:vAlign w:val="center"/>
          </w:tcPr>
          <w:p w:rsidR="0095201C" w:rsidRPr="00416C64" w:rsidRDefault="005B6179" w:rsidP="005A2C9B">
            <w:pPr>
              <w:pStyle w:val="Tabletext"/>
            </w:pPr>
            <w:r w:rsidRPr="00416C64">
              <w:t>Any AE</w:t>
            </w:r>
          </w:p>
        </w:tc>
        <w:tc>
          <w:tcPr>
            <w:tcW w:w="1895" w:type="dxa"/>
            <w:vAlign w:val="center"/>
          </w:tcPr>
          <w:p w:rsidR="0095201C" w:rsidRPr="00416C64" w:rsidRDefault="005B6179" w:rsidP="005A2C9B">
            <w:pPr>
              <w:pStyle w:val="Tabletext"/>
              <w:jc w:val="center"/>
            </w:pPr>
            <w:r w:rsidRPr="00416C64">
              <w:t>2897 (70)</w:t>
            </w:r>
          </w:p>
        </w:tc>
        <w:tc>
          <w:tcPr>
            <w:tcW w:w="1823" w:type="dxa"/>
            <w:vAlign w:val="center"/>
          </w:tcPr>
          <w:p w:rsidR="0095201C" w:rsidRPr="00416C64" w:rsidRDefault="005B6179" w:rsidP="005A2C9B">
            <w:pPr>
              <w:pStyle w:val="Tabletext"/>
              <w:jc w:val="center"/>
            </w:pPr>
            <w:r w:rsidRPr="00416C64">
              <w:t>1429 (69)</w:t>
            </w:r>
          </w:p>
        </w:tc>
        <w:tc>
          <w:tcPr>
            <w:tcW w:w="1635" w:type="dxa"/>
            <w:vAlign w:val="center"/>
          </w:tcPr>
          <w:p w:rsidR="0095201C" w:rsidRPr="00907B72" w:rsidRDefault="005B6179" w:rsidP="005A2C9B">
            <w:pPr>
              <w:pStyle w:val="Tabletext"/>
              <w:jc w:val="center"/>
              <w:rPr>
                <w:i/>
                <w:iCs/>
              </w:rPr>
            </w:pPr>
            <w:r w:rsidRPr="00907B72">
              <w:rPr>
                <w:i/>
                <w:iCs/>
              </w:rPr>
              <w:t>0.01 (-0.02, 0.03)</w:t>
            </w:r>
          </w:p>
        </w:tc>
        <w:tc>
          <w:tcPr>
            <w:tcW w:w="1775" w:type="dxa"/>
            <w:vAlign w:val="center"/>
          </w:tcPr>
          <w:p w:rsidR="0095201C" w:rsidRPr="00907B72" w:rsidRDefault="005B6179" w:rsidP="005A2C9B">
            <w:pPr>
              <w:pStyle w:val="Tabletext"/>
              <w:jc w:val="center"/>
              <w:rPr>
                <w:i/>
                <w:iCs/>
              </w:rPr>
            </w:pPr>
            <w:r w:rsidRPr="00907B72">
              <w:rPr>
                <w:i/>
                <w:iCs/>
              </w:rPr>
              <w:t>1.01 (0.98, 1.05)</w:t>
            </w:r>
          </w:p>
        </w:tc>
      </w:tr>
      <w:tr w:rsidR="0095201C" w:rsidRPr="00416C64" w:rsidTr="005B6179">
        <w:tc>
          <w:tcPr>
            <w:tcW w:w="1889" w:type="dxa"/>
            <w:vAlign w:val="center"/>
          </w:tcPr>
          <w:p w:rsidR="0095201C" w:rsidRPr="00416C64" w:rsidRDefault="005B6179" w:rsidP="005A2C9B">
            <w:pPr>
              <w:pStyle w:val="Tabletext"/>
            </w:pPr>
            <w:r w:rsidRPr="00416C64">
              <w:t>Drug related</w:t>
            </w:r>
            <w:r w:rsidRPr="00416C64">
              <w:rPr>
                <w:vertAlign w:val="superscript"/>
              </w:rPr>
              <w:t>#</w:t>
            </w:r>
          </w:p>
        </w:tc>
        <w:tc>
          <w:tcPr>
            <w:tcW w:w="1895" w:type="dxa"/>
            <w:vAlign w:val="center"/>
          </w:tcPr>
          <w:p w:rsidR="0095201C" w:rsidRPr="00416C64" w:rsidRDefault="005B6179" w:rsidP="005A2C9B">
            <w:pPr>
              <w:pStyle w:val="Tabletext"/>
              <w:jc w:val="center"/>
            </w:pPr>
            <w:r w:rsidRPr="00416C64">
              <w:t>478 (12)</w:t>
            </w:r>
          </w:p>
        </w:tc>
        <w:tc>
          <w:tcPr>
            <w:tcW w:w="1823" w:type="dxa"/>
            <w:vAlign w:val="center"/>
          </w:tcPr>
          <w:p w:rsidR="0095201C" w:rsidRPr="00416C64" w:rsidRDefault="005B6179" w:rsidP="005A2C9B">
            <w:pPr>
              <w:pStyle w:val="Tabletext"/>
              <w:jc w:val="center"/>
            </w:pPr>
            <w:r w:rsidRPr="00416C64">
              <w:t>214 (10)</w:t>
            </w:r>
          </w:p>
        </w:tc>
        <w:tc>
          <w:tcPr>
            <w:tcW w:w="1635" w:type="dxa"/>
            <w:vAlign w:val="center"/>
          </w:tcPr>
          <w:p w:rsidR="0095201C" w:rsidRPr="00907B72" w:rsidRDefault="005B6179" w:rsidP="005A2C9B">
            <w:pPr>
              <w:pStyle w:val="Tabletext"/>
              <w:jc w:val="center"/>
              <w:rPr>
                <w:i/>
                <w:iCs/>
              </w:rPr>
            </w:pPr>
            <w:r w:rsidRPr="00907B72">
              <w:rPr>
                <w:i/>
                <w:iCs/>
              </w:rPr>
              <w:t>0.01 (-0.00, 0.03)</w:t>
            </w:r>
          </w:p>
        </w:tc>
        <w:tc>
          <w:tcPr>
            <w:tcW w:w="1775" w:type="dxa"/>
            <w:vAlign w:val="center"/>
          </w:tcPr>
          <w:p w:rsidR="0095201C" w:rsidRPr="00907B72" w:rsidRDefault="005B6179" w:rsidP="005A2C9B">
            <w:pPr>
              <w:pStyle w:val="Tabletext"/>
              <w:jc w:val="center"/>
              <w:rPr>
                <w:i/>
                <w:iCs/>
              </w:rPr>
            </w:pPr>
            <w:r w:rsidRPr="00907B72">
              <w:rPr>
                <w:i/>
                <w:iCs/>
              </w:rPr>
              <w:t>1.11 (0.96, 1.30)</w:t>
            </w:r>
          </w:p>
        </w:tc>
      </w:tr>
      <w:tr w:rsidR="005B6179" w:rsidRPr="00416C64" w:rsidTr="0083326D">
        <w:tc>
          <w:tcPr>
            <w:tcW w:w="1889" w:type="dxa"/>
            <w:vAlign w:val="center"/>
          </w:tcPr>
          <w:p w:rsidR="005B6179" w:rsidRPr="00416C64" w:rsidRDefault="005B6179" w:rsidP="005A2C9B">
            <w:pPr>
              <w:pStyle w:val="Tabletext"/>
            </w:pPr>
            <w:r w:rsidRPr="00416C64">
              <w:t>Non-fatal SAE</w:t>
            </w:r>
          </w:p>
        </w:tc>
        <w:tc>
          <w:tcPr>
            <w:tcW w:w="1895" w:type="dxa"/>
            <w:vAlign w:val="center"/>
          </w:tcPr>
          <w:p w:rsidR="005B6179" w:rsidRPr="00416C64" w:rsidRDefault="005B6179" w:rsidP="005A2C9B">
            <w:pPr>
              <w:pStyle w:val="Tabletext"/>
              <w:jc w:val="center"/>
            </w:pPr>
            <w:r w:rsidRPr="00416C64">
              <w:t>847 (20)</w:t>
            </w:r>
          </w:p>
        </w:tc>
        <w:tc>
          <w:tcPr>
            <w:tcW w:w="1823" w:type="dxa"/>
            <w:vAlign w:val="center"/>
          </w:tcPr>
          <w:p w:rsidR="005B6179" w:rsidRPr="00416C64" w:rsidRDefault="00AA7213" w:rsidP="005A2C9B">
            <w:pPr>
              <w:pStyle w:val="Tabletext"/>
              <w:jc w:val="center"/>
            </w:pPr>
            <w:r w:rsidRPr="00416C64">
              <w:t>433 (21)</w:t>
            </w:r>
          </w:p>
        </w:tc>
        <w:tc>
          <w:tcPr>
            <w:tcW w:w="1635" w:type="dxa"/>
            <w:vAlign w:val="center"/>
          </w:tcPr>
          <w:p w:rsidR="005B6179" w:rsidRPr="00907B72" w:rsidRDefault="005B6179" w:rsidP="005A2C9B">
            <w:pPr>
              <w:pStyle w:val="Tabletext"/>
              <w:jc w:val="center"/>
              <w:rPr>
                <w:i/>
                <w:iCs/>
              </w:rPr>
            </w:pPr>
            <w:r w:rsidRPr="00907B72">
              <w:rPr>
                <w:i/>
                <w:iCs/>
              </w:rPr>
              <w:t>-0.01 (-0.03, 0.02)</w:t>
            </w:r>
          </w:p>
        </w:tc>
        <w:tc>
          <w:tcPr>
            <w:tcW w:w="1775" w:type="dxa"/>
            <w:vAlign w:val="center"/>
          </w:tcPr>
          <w:p w:rsidR="005B6179" w:rsidRPr="00907B72" w:rsidRDefault="005B6179" w:rsidP="005A2C9B">
            <w:pPr>
              <w:pStyle w:val="Tabletext"/>
              <w:jc w:val="center"/>
              <w:rPr>
                <w:i/>
                <w:iCs/>
              </w:rPr>
            </w:pPr>
            <w:r w:rsidRPr="00907B72">
              <w:rPr>
                <w:i/>
                <w:iCs/>
              </w:rPr>
              <w:t>0.98 (0.88, 1.08)</w:t>
            </w:r>
          </w:p>
        </w:tc>
      </w:tr>
      <w:tr w:rsidR="00C813ED" w:rsidRPr="00416C64" w:rsidTr="00C813ED">
        <w:tc>
          <w:tcPr>
            <w:tcW w:w="9017" w:type="dxa"/>
            <w:gridSpan w:val="5"/>
            <w:vAlign w:val="center"/>
          </w:tcPr>
          <w:p w:rsidR="00C813ED" w:rsidRPr="00907B72" w:rsidRDefault="00C813ED" w:rsidP="005A2C9B">
            <w:pPr>
              <w:pStyle w:val="Tabletext"/>
            </w:pPr>
            <w:r w:rsidRPr="00907B72">
              <w:t>Frequently reported AEs (≥3% in either treatment arms)</w:t>
            </w:r>
          </w:p>
        </w:tc>
      </w:tr>
      <w:tr w:rsidR="0095201C" w:rsidRPr="00416C64" w:rsidTr="00C813ED">
        <w:tc>
          <w:tcPr>
            <w:tcW w:w="1889" w:type="dxa"/>
            <w:vAlign w:val="center"/>
          </w:tcPr>
          <w:p w:rsidR="0095201C" w:rsidRPr="00416C64" w:rsidRDefault="00393D5D" w:rsidP="005A2C9B">
            <w:pPr>
              <w:pStyle w:val="Tabletext"/>
            </w:pPr>
            <w:r w:rsidRPr="00416C64">
              <w:t xml:space="preserve"> </w:t>
            </w:r>
            <w:r w:rsidR="005B6179" w:rsidRPr="00416C64">
              <w:t>Pneumonia</w:t>
            </w:r>
          </w:p>
        </w:tc>
        <w:tc>
          <w:tcPr>
            <w:tcW w:w="1895" w:type="dxa"/>
            <w:vAlign w:val="center"/>
          </w:tcPr>
          <w:p w:rsidR="0095201C" w:rsidRPr="00416C64" w:rsidRDefault="005B6179" w:rsidP="005A2C9B">
            <w:pPr>
              <w:pStyle w:val="Tabletext"/>
              <w:jc w:val="center"/>
            </w:pPr>
            <w:r w:rsidRPr="00416C64">
              <w:t>298 (7)</w:t>
            </w:r>
          </w:p>
        </w:tc>
        <w:tc>
          <w:tcPr>
            <w:tcW w:w="1823" w:type="dxa"/>
            <w:vAlign w:val="center"/>
          </w:tcPr>
          <w:p w:rsidR="0095201C" w:rsidRPr="00416C64" w:rsidRDefault="00C813ED" w:rsidP="005A2C9B">
            <w:pPr>
              <w:pStyle w:val="Tabletext"/>
              <w:jc w:val="center"/>
            </w:pPr>
            <w:r w:rsidRPr="00416C64">
              <w:t>93 (4)</w:t>
            </w:r>
          </w:p>
        </w:tc>
        <w:tc>
          <w:tcPr>
            <w:tcW w:w="1635" w:type="dxa"/>
            <w:vAlign w:val="center"/>
          </w:tcPr>
          <w:p w:rsidR="0095201C" w:rsidRPr="00907B72" w:rsidRDefault="00C813ED" w:rsidP="005A2C9B">
            <w:pPr>
              <w:pStyle w:val="Tabletext"/>
              <w:jc w:val="center"/>
            </w:pPr>
            <w:r w:rsidRPr="00907B72">
              <w:rPr>
                <w:b/>
                <w:bCs/>
              </w:rPr>
              <w:t>0.03 (0.01, 0.04)</w:t>
            </w:r>
          </w:p>
        </w:tc>
        <w:tc>
          <w:tcPr>
            <w:tcW w:w="1775" w:type="dxa"/>
            <w:vAlign w:val="center"/>
          </w:tcPr>
          <w:p w:rsidR="0095201C" w:rsidRPr="00907B72" w:rsidRDefault="00C813ED" w:rsidP="005A2C9B">
            <w:pPr>
              <w:pStyle w:val="Tabletext"/>
              <w:jc w:val="center"/>
            </w:pPr>
            <w:r w:rsidRPr="00907B72">
              <w:rPr>
                <w:b/>
                <w:bCs/>
              </w:rPr>
              <w:t>1.60 (1.27, 2.00)</w:t>
            </w:r>
          </w:p>
        </w:tc>
      </w:tr>
      <w:tr w:rsidR="005B6179" w:rsidRPr="00416C64" w:rsidTr="00C813ED">
        <w:tc>
          <w:tcPr>
            <w:tcW w:w="1889" w:type="dxa"/>
            <w:vAlign w:val="center"/>
          </w:tcPr>
          <w:p w:rsidR="005B6179" w:rsidRPr="00416C64" w:rsidRDefault="00393D5D" w:rsidP="005A2C9B">
            <w:pPr>
              <w:pStyle w:val="Tabletext"/>
            </w:pPr>
            <w:r w:rsidRPr="00416C64">
              <w:t xml:space="preserve"> </w:t>
            </w:r>
            <w:r w:rsidR="00C813ED" w:rsidRPr="00416C64">
              <w:t>Oral candidiasis</w:t>
            </w:r>
          </w:p>
        </w:tc>
        <w:tc>
          <w:tcPr>
            <w:tcW w:w="1895" w:type="dxa"/>
            <w:vAlign w:val="center"/>
          </w:tcPr>
          <w:p w:rsidR="005B6179" w:rsidRPr="00416C64" w:rsidRDefault="00C813ED" w:rsidP="005A2C9B">
            <w:pPr>
              <w:pStyle w:val="Tabletext"/>
              <w:jc w:val="center"/>
            </w:pPr>
            <w:r w:rsidRPr="00416C64">
              <w:t>161 (4)</w:t>
            </w:r>
          </w:p>
        </w:tc>
        <w:tc>
          <w:tcPr>
            <w:tcW w:w="1823" w:type="dxa"/>
            <w:vAlign w:val="center"/>
          </w:tcPr>
          <w:p w:rsidR="005B6179" w:rsidRPr="00416C64" w:rsidRDefault="00C813ED" w:rsidP="005A2C9B">
            <w:pPr>
              <w:pStyle w:val="Tabletext"/>
              <w:jc w:val="center"/>
            </w:pPr>
            <w:r w:rsidRPr="00416C64">
              <w:t>41 (2)</w:t>
            </w:r>
          </w:p>
        </w:tc>
        <w:tc>
          <w:tcPr>
            <w:tcW w:w="1635" w:type="dxa"/>
            <w:vAlign w:val="center"/>
          </w:tcPr>
          <w:p w:rsidR="005B6179" w:rsidRPr="00907B72" w:rsidRDefault="00126A36" w:rsidP="005A2C9B">
            <w:pPr>
              <w:pStyle w:val="Tabletext"/>
              <w:jc w:val="center"/>
              <w:rPr>
                <w:b/>
                <w:bCs/>
                <w:i/>
                <w:iCs/>
              </w:rPr>
            </w:pPr>
            <w:r w:rsidRPr="00907B72">
              <w:rPr>
                <w:b/>
                <w:bCs/>
                <w:i/>
                <w:iCs/>
              </w:rPr>
              <w:t>0.02 (0.01, 0.03)</w:t>
            </w:r>
          </w:p>
        </w:tc>
        <w:tc>
          <w:tcPr>
            <w:tcW w:w="1775" w:type="dxa"/>
            <w:vAlign w:val="center"/>
          </w:tcPr>
          <w:p w:rsidR="005B6179" w:rsidRPr="00907B72" w:rsidRDefault="00C813ED" w:rsidP="005A2C9B">
            <w:pPr>
              <w:pStyle w:val="Tabletext"/>
              <w:jc w:val="center"/>
              <w:rPr>
                <w:b/>
                <w:bCs/>
                <w:i/>
                <w:iCs/>
              </w:rPr>
            </w:pPr>
            <w:r w:rsidRPr="00907B72">
              <w:rPr>
                <w:b/>
                <w:bCs/>
                <w:i/>
                <w:iCs/>
              </w:rPr>
              <w:t>1.96 (1.40, 2.75)</w:t>
            </w:r>
          </w:p>
        </w:tc>
      </w:tr>
      <w:tr w:rsidR="0083326D" w:rsidRPr="00416C64" w:rsidTr="0083326D">
        <w:tc>
          <w:tcPr>
            <w:tcW w:w="1889" w:type="dxa"/>
            <w:vAlign w:val="center"/>
          </w:tcPr>
          <w:p w:rsidR="0083326D" w:rsidRPr="00416C64" w:rsidRDefault="0083326D" w:rsidP="005A2C9B">
            <w:pPr>
              <w:pStyle w:val="Tabletext"/>
            </w:pPr>
            <w:r w:rsidRPr="00416C64">
              <w:t xml:space="preserve">Any </w:t>
            </w:r>
            <w:proofErr w:type="spellStart"/>
            <w:r w:rsidRPr="00416C64">
              <w:t>MACE</w:t>
            </w:r>
            <w:r w:rsidRPr="00416C64">
              <w:rPr>
                <w:vertAlign w:val="superscript"/>
              </w:rPr>
              <w:t>a</w:t>
            </w:r>
            <w:proofErr w:type="spellEnd"/>
          </w:p>
        </w:tc>
        <w:tc>
          <w:tcPr>
            <w:tcW w:w="1895" w:type="dxa"/>
            <w:vAlign w:val="center"/>
          </w:tcPr>
          <w:p w:rsidR="0083326D" w:rsidRPr="00416C64" w:rsidRDefault="0083326D" w:rsidP="005A2C9B">
            <w:pPr>
              <w:pStyle w:val="Tabletext"/>
              <w:jc w:val="center"/>
            </w:pPr>
            <w:r w:rsidRPr="00416C64">
              <w:t>80 (2)</w:t>
            </w:r>
          </w:p>
        </w:tc>
        <w:tc>
          <w:tcPr>
            <w:tcW w:w="1823" w:type="dxa"/>
            <w:vAlign w:val="center"/>
          </w:tcPr>
          <w:p w:rsidR="0083326D" w:rsidRPr="00416C64" w:rsidRDefault="0083326D" w:rsidP="005A2C9B">
            <w:pPr>
              <w:pStyle w:val="Tabletext"/>
              <w:jc w:val="center"/>
            </w:pPr>
            <w:r w:rsidRPr="00416C64">
              <w:t>37 (2)</w:t>
            </w:r>
          </w:p>
        </w:tc>
        <w:tc>
          <w:tcPr>
            <w:tcW w:w="1635" w:type="dxa"/>
            <w:vAlign w:val="center"/>
          </w:tcPr>
          <w:p w:rsidR="0083326D" w:rsidRPr="00907B72" w:rsidRDefault="0083326D" w:rsidP="005A2C9B">
            <w:pPr>
              <w:pStyle w:val="Tabletext"/>
              <w:jc w:val="center"/>
              <w:rPr>
                <w:i/>
                <w:iCs/>
              </w:rPr>
            </w:pPr>
            <w:r w:rsidRPr="00907B72">
              <w:rPr>
                <w:i/>
                <w:iCs/>
              </w:rPr>
              <w:t>0.00 (-0.01, 0.01)</w:t>
            </w:r>
          </w:p>
        </w:tc>
        <w:tc>
          <w:tcPr>
            <w:tcW w:w="1775" w:type="dxa"/>
            <w:vAlign w:val="center"/>
          </w:tcPr>
          <w:p w:rsidR="0083326D" w:rsidRPr="00907B72" w:rsidRDefault="0083326D" w:rsidP="005A2C9B">
            <w:pPr>
              <w:pStyle w:val="Tabletext"/>
              <w:jc w:val="center"/>
              <w:rPr>
                <w:i/>
                <w:iCs/>
              </w:rPr>
            </w:pPr>
            <w:r w:rsidRPr="00907B72">
              <w:rPr>
                <w:i/>
                <w:iCs/>
              </w:rPr>
              <w:t>1.08 (0.73, 1.59)</w:t>
            </w:r>
          </w:p>
        </w:tc>
      </w:tr>
      <w:tr w:rsidR="0083326D" w:rsidRPr="00416C64" w:rsidTr="0083326D">
        <w:tc>
          <w:tcPr>
            <w:tcW w:w="1889" w:type="dxa"/>
            <w:vAlign w:val="center"/>
          </w:tcPr>
          <w:p w:rsidR="0083326D" w:rsidRPr="00416C64" w:rsidRDefault="0083326D" w:rsidP="005A2C9B">
            <w:pPr>
              <w:pStyle w:val="Tabletext"/>
            </w:pPr>
            <w:r w:rsidRPr="00416C64">
              <w:t xml:space="preserve">n with ≥1 bone fracture </w:t>
            </w:r>
            <w:proofErr w:type="spellStart"/>
            <w:r w:rsidRPr="00416C64">
              <w:t>incident</w:t>
            </w:r>
            <w:r w:rsidRPr="00416C64">
              <w:rPr>
                <w:vertAlign w:val="superscript"/>
              </w:rPr>
              <w:t>b</w:t>
            </w:r>
            <w:proofErr w:type="spellEnd"/>
          </w:p>
        </w:tc>
        <w:tc>
          <w:tcPr>
            <w:tcW w:w="1895" w:type="dxa"/>
            <w:vAlign w:val="center"/>
          </w:tcPr>
          <w:p w:rsidR="0083326D" w:rsidRPr="00416C64" w:rsidRDefault="0083326D" w:rsidP="005A2C9B">
            <w:pPr>
              <w:pStyle w:val="Tabletext"/>
              <w:jc w:val="center"/>
            </w:pPr>
            <w:r w:rsidRPr="00416C64">
              <w:t>80 (2)</w:t>
            </w:r>
          </w:p>
        </w:tc>
        <w:tc>
          <w:tcPr>
            <w:tcW w:w="1823" w:type="dxa"/>
            <w:vAlign w:val="center"/>
          </w:tcPr>
          <w:p w:rsidR="0083326D" w:rsidRPr="00416C64" w:rsidRDefault="0083326D" w:rsidP="005A2C9B">
            <w:pPr>
              <w:pStyle w:val="Tabletext"/>
              <w:jc w:val="center"/>
            </w:pPr>
            <w:r w:rsidRPr="00416C64">
              <w:t>31 (1)</w:t>
            </w:r>
          </w:p>
        </w:tc>
        <w:tc>
          <w:tcPr>
            <w:tcW w:w="1635" w:type="dxa"/>
            <w:vAlign w:val="center"/>
          </w:tcPr>
          <w:p w:rsidR="0083326D" w:rsidRPr="00907B72" w:rsidRDefault="0083326D" w:rsidP="005A2C9B">
            <w:pPr>
              <w:pStyle w:val="Tabletext"/>
              <w:jc w:val="center"/>
            </w:pPr>
            <w:r w:rsidRPr="00907B72">
              <w:rPr>
                <w:i/>
                <w:iCs/>
              </w:rPr>
              <w:t>0.00 (-0.00, 0.01)</w:t>
            </w:r>
          </w:p>
        </w:tc>
        <w:tc>
          <w:tcPr>
            <w:tcW w:w="1775" w:type="dxa"/>
            <w:vAlign w:val="center"/>
          </w:tcPr>
          <w:p w:rsidR="0083326D" w:rsidRPr="00907B72" w:rsidRDefault="0083326D" w:rsidP="005A2C9B">
            <w:pPr>
              <w:pStyle w:val="Tabletext"/>
              <w:jc w:val="center"/>
            </w:pPr>
            <w:r w:rsidRPr="00907B72">
              <w:rPr>
                <w:i/>
                <w:iCs/>
              </w:rPr>
              <w:t>1.29 (0.85, 1.94)</w:t>
            </w:r>
          </w:p>
        </w:tc>
      </w:tr>
    </w:tbl>
    <w:p w:rsidR="0083326D" w:rsidRPr="00416C64" w:rsidRDefault="0083326D" w:rsidP="005A2C9B">
      <w:pPr>
        <w:pStyle w:val="TableFooter"/>
        <w:widowControl/>
      </w:pPr>
      <w:r w:rsidRPr="00416C64">
        <w:rPr>
          <w:rFonts w:eastAsia="Calibri"/>
        </w:rPr>
        <w:t>Abbreviations:</w:t>
      </w:r>
      <w:r w:rsidR="00644BEC" w:rsidRPr="00416C64">
        <w:rPr>
          <w:rFonts w:eastAsia="Calibri"/>
        </w:rPr>
        <w:t xml:space="preserve"> </w:t>
      </w:r>
      <w:r w:rsidR="00AA7213" w:rsidRPr="00416C64">
        <w:rPr>
          <w:rFonts w:eastAsia="Calibri"/>
        </w:rPr>
        <w:t xml:space="preserve">AE=adverse event; </w:t>
      </w:r>
      <w:r w:rsidRPr="00416C64">
        <w:rPr>
          <w:rFonts w:eastAsia="Calibri"/>
        </w:rPr>
        <w:t xml:space="preserve">CI=confidence interval; </w:t>
      </w:r>
      <w:r w:rsidRPr="00416C64">
        <w:t xml:space="preserve">FF=fluticasone fumarate; ITT=intention to treat; MACE=major adverse cardiac events; </w:t>
      </w:r>
      <w:r w:rsidRPr="00416C64">
        <w:rPr>
          <w:rFonts w:eastAsia="Calibri"/>
        </w:rPr>
        <w:t>n=number of participants reporting data; N=total participants in group; RD=risk difference; RR= risk</w:t>
      </w:r>
      <w:r w:rsidR="00126A36" w:rsidRPr="00416C64">
        <w:rPr>
          <w:rFonts w:eastAsia="Calibri"/>
        </w:rPr>
        <w:t xml:space="preserve"> ratio</w:t>
      </w:r>
      <w:r w:rsidRPr="00416C64">
        <w:rPr>
          <w:rFonts w:eastAsia="Calibri"/>
        </w:rPr>
        <w:t>;</w:t>
      </w:r>
      <w:r w:rsidRPr="00416C64">
        <w:t xml:space="preserve"> SAE=serious adverse event; UMEC=</w:t>
      </w:r>
      <w:proofErr w:type="spellStart"/>
      <w:r w:rsidRPr="00416C64">
        <w:t>umeclidinium</w:t>
      </w:r>
      <w:proofErr w:type="spellEnd"/>
      <w:r w:rsidRPr="00416C64">
        <w:t>; VI=</w:t>
      </w:r>
      <w:proofErr w:type="spellStart"/>
      <w:r w:rsidRPr="00416C64">
        <w:t>vilanterol</w:t>
      </w:r>
      <w:proofErr w:type="spellEnd"/>
      <w:r w:rsidR="00AA7213" w:rsidRPr="00416C64">
        <w:t>;</w:t>
      </w:r>
    </w:p>
    <w:p w:rsidR="0083326D" w:rsidRPr="00416C64" w:rsidRDefault="0083326D" w:rsidP="005A2C9B">
      <w:pPr>
        <w:pStyle w:val="TableFooter"/>
        <w:widowControl/>
        <w:tabs>
          <w:tab w:val="left" w:pos="142"/>
        </w:tabs>
        <w:ind w:left="135" w:hanging="135"/>
      </w:pPr>
      <w:r w:rsidRPr="00416C64">
        <w:rPr>
          <w:vertAlign w:val="superscript"/>
        </w:rPr>
        <w:t>#</w:t>
      </w:r>
      <w:r w:rsidRPr="00416C64">
        <w:rPr>
          <w:vertAlign w:val="superscript"/>
        </w:rPr>
        <w:tab/>
      </w:r>
      <w:r w:rsidRPr="00416C64">
        <w:t>Investigator’s judgement of causality</w:t>
      </w:r>
    </w:p>
    <w:p w:rsidR="0083326D" w:rsidRPr="00416C64" w:rsidRDefault="0083326D" w:rsidP="005A2C9B">
      <w:pPr>
        <w:pStyle w:val="TableFooter"/>
        <w:widowControl/>
        <w:tabs>
          <w:tab w:val="left" w:pos="142"/>
        </w:tabs>
        <w:ind w:left="135" w:hanging="135"/>
      </w:pPr>
      <w:proofErr w:type="gramStart"/>
      <w:r w:rsidRPr="00416C64">
        <w:rPr>
          <w:vertAlign w:val="superscript"/>
        </w:rPr>
        <w:t>a</w:t>
      </w:r>
      <w:proofErr w:type="gramEnd"/>
      <w:r w:rsidRPr="00416C64">
        <w:tab/>
        <w:t>MACE narrow definition included only the PTs of non-fatal myocardial infarction and non-fatal acute myocardial in addition to central nervous system haemorrhages and cerebrovascular conditions SMQ excluding fatalities.</w:t>
      </w:r>
    </w:p>
    <w:p w:rsidR="0083326D" w:rsidRPr="00416C64" w:rsidRDefault="0083326D" w:rsidP="005A2C9B">
      <w:pPr>
        <w:pStyle w:val="TableFooter"/>
        <w:widowControl/>
        <w:tabs>
          <w:tab w:val="left" w:pos="142"/>
        </w:tabs>
        <w:ind w:left="135" w:hanging="135"/>
      </w:pPr>
      <w:proofErr w:type="gramStart"/>
      <w:r w:rsidRPr="00416C64">
        <w:rPr>
          <w:vertAlign w:val="superscript"/>
        </w:rPr>
        <w:t>b</w:t>
      </w:r>
      <w:proofErr w:type="gramEnd"/>
      <w:r w:rsidRPr="00416C64">
        <w:tab/>
        <w:t>If a subject suffered fractures in multiple locations with the same date of fracture, this was considered to be one fracture incident.</w:t>
      </w:r>
    </w:p>
    <w:p w:rsidR="0083326D" w:rsidRPr="00416C64" w:rsidRDefault="0083326D" w:rsidP="005A2C9B">
      <w:pPr>
        <w:pStyle w:val="TableFooter"/>
        <w:widowControl/>
        <w:tabs>
          <w:tab w:val="left" w:pos="142"/>
        </w:tabs>
        <w:ind w:left="135" w:hanging="135"/>
      </w:pPr>
      <w:r w:rsidRPr="00416C64">
        <w:t>Source: Tables 29 to 33, pp63-70 of the submission.</w:t>
      </w:r>
    </w:p>
    <w:p w:rsidR="00C760A0" w:rsidRPr="00416C64" w:rsidRDefault="00C760A0" w:rsidP="005A2C9B">
      <w:pPr>
        <w:pStyle w:val="TableFooter"/>
        <w:widowControl/>
        <w:tabs>
          <w:tab w:val="left" w:pos="142"/>
        </w:tabs>
        <w:ind w:left="135" w:hanging="135"/>
      </w:pPr>
    </w:p>
    <w:p w:rsidR="00C760A0" w:rsidRPr="00416C64" w:rsidRDefault="00C760A0" w:rsidP="005A2C9B">
      <w:pPr>
        <w:pStyle w:val="ListParagraph"/>
        <w:widowControl/>
        <w:numPr>
          <w:ilvl w:val="1"/>
          <w:numId w:val="3"/>
        </w:numPr>
      </w:pPr>
      <w:r w:rsidRPr="00416C64">
        <w:t xml:space="preserve">The </w:t>
      </w:r>
      <w:r w:rsidR="009D3AEE">
        <w:t>Pre-Sub-Committee Response (</w:t>
      </w:r>
      <w:r w:rsidRPr="00416C64">
        <w:t>PSCR</w:t>
      </w:r>
      <w:r w:rsidR="009D3AEE">
        <w:t>)</w:t>
      </w:r>
      <w:r w:rsidRPr="00416C64">
        <w:t xml:space="preserve"> reported that an additional adjudication process of all post-randomised serious AEs (fatal and non-fatal) did not indicate increased risk with Trelegy compared with </w:t>
      </w:r>
      <w:r w:rsidR="001D27DE" w:rsidRPr="00416C64">
        <w:t xml:space="preserve">UMEC/VI for pneumonia-related events. </w:t>
      </w:r>
      <w:r w:rsidR="00F27124" w:rsidRPr="00416C64">
        <w:t xml:space="preserve">The ESC noted that </w:t>
      </w:r>
      <w:r w:rsidRPr="00416C64">
        <w:t>the additional data on clinically adjudicated (hospitalised) pneumonia SAE</w:t>
      </w:r>
      <w:r w:rsidR="00E87859" w:rsidRPr="00416C64">
        <w:t>s</w:t>
      </w:r>
      <w:r w:rsidRPr="00416C64">
        <w:t xml:space="preserve"> indicated similar pneumonia incidence across treatment groups</w:t>
      </w:r>
      <w:r w:rsidR="00F27124" w:rsidRPr="00416C64">
        <w:t xml:space="preserve"> (COPD exacerbation with evidence of </w:t>
      </w:r>
      <w:r w:rsidR="00F27124" w:rsidRPr="000B2A82">
        <w:t xml:space="preserve">pneumonia </w:t>
      </w:r>
      <w:r w:rsidR="00B74049">
        <w:rPr>
          <w:noProof/>
          <w:color w:val="000000"/>
          <w:highlight w:val="black"/>
        </w:rPr>
        <w:t xml:space="preserve">'''''''' </w:t>
      </w:r>
      <w:r w:rsidR="00F27124" w:rsidRPr="000B2A82">
        <w:t>(</w:t>
      </w:r>
      <w:r w:rsidR="00B74049">
        <w:rPr>
          <w:noProof/>
          <w:color w:val="000000"/>
          <w:highlight w:val="black"/>
        </w:rPr>
        <w:t>'''</w:t>
      </w:r>
      <w:r w:rsidR="00F27124" w:rsidRPr="000B2A82">
        <w:t xml:space="preserve">%) for Trelegy versus </w:t>
      </w:r>
      <w:r w:rsidR="00B74049">
        <w:rPr>
          <w:noProof/>
          <w:color w:val="000000"/>
          <w:highlight w:val="black"/>
        </w:rPr>
        <w:t>''''''</w:t>
      </w:r>
      <w:r w:rsidR="00F27124" w:rsidRPr="000B2A82">
        <w:t xml:space="preserve"> (</w:t>
      </w:r>
      <w:r w:rsidR="00B74049">
        <w:rPr>
          <w:noProof/>
          <w:color w:val="000000"/>
          <w:highlight w:val="black"/>
        </w:rPr>
        <w:t>'''</w:t>
      </w:r>
      <w:r w:rsidR="00F27124" w:rsidRPr="000B2A82">
        <w:t>%)</w:t>
      </w:r>
      <w:r w:rsidR="00F27124" w:rsidRPr="00416C64">
        <w:t xml:space="preserve"> for UMEC/VI; Pneumonia without COPD </w:t>
      </w:r>
      <w:r w:rsidR="00F27124" w:rsidRPr="000B2A82">
        <w:t xml:space="preserve">exacerbation </w:t>
      </w:r>
      <w:r w:rsidR="00B74049">
        <w:rPr>
          <w:noProof/>
          <w:color w:val="000000"/>
          <w:highlight w:val="black"/>
        </w:rPr>
        <w:t xml:space="preserve">''''' </w:t>
      </w:r>
      <w:r w:rsidR="00DE04E7" w:rsidRPr="000B2A82">
        <w:t>(</w:t>
      </w:r>
      <w:r w:rsidR="00B74049">
        <w:rPr>
          <w:noProof/>
          <w:color w:val="000000"/>
          <w:highlight w:val="black"/>
        </w:rPr>
        <w:t>'''</w:t>
      </w:r>
      <w:r w:rsidR="00DE04E7" w:rsidRPr="000B2A82">
        <w:t>%) versus 21 (</w:t>
      </w:r>
      <w:r w:rsidR="00B74049">
        <w:rPr>
          <w:noProof/>
          <w:color w:val="000000"/>
          <w:highlight w:val="black"/>
        </w:rPr>
        <w:t>'''</w:t>
      </w:r>
      <w:r w:rsidR="00DE04E7" w:rsidRPr="000B2A82">
        <w:t>%)).</w:t>
      </w:r>
      <w:r w:rsidR="00DE04E7" w:rsidRPr="00416C64">
        <w:t xml:space="preserve"> The ESC noted that the total number of pneumonia-related events </w:t>
      </w:r>
      <w:r w:rsidR="00E87859" w:rsidRPr="00416C64">
        <w:t xml:space="preserve">had reduced from </w:t>
      </w:r>
      <w:r w:rsidR="00B74049">
        <w:rPr>
          <w:noProof/>
          <w:color w:val="000000"/>
          <w:highlight w:val="black"/>
        </w:rPr>
        <w:t>''''''''</w:t>
      </w:r>
      <w:r w:rsidR="00E87859" w:rsidRPr="00416C64">
        <w:t xml:space="preserve"> to </w:t>
      </w:r>
      <w:r w:rsidR="00B74049">
        <w:rPr>
          <w:noProof/>
          <w:color w:val="000000"/>
          <w:highlight w:val="black"/>
        </w:rPr>
        <w:t>''''''''</w:t>
      </w:r>
      <w:r w:rsidR="00DE04E7" w:rsidRPr="000B2A82">
        <w:t xml:space="preserve"> during th</w:t>
      </w:r>
      <w:r w:rsidR="008E1F5F" w:rsidRPr="000B2A82">
        <w:t xml:space="preserve">e adjudication process </w:t>
      </w:r>
      <w:r w:rsidR="00DE04E7" w:rsidRPr="000B2A82">
        <w:t xml:space="preserve">with a </w:t>
      </w:r>
      <w:r w:rsidR="00B74049">
        <w:rPr>
          <w:noProof/>
          <w:color w:val="000000"/>
          <w:highlight w:val="black"/>
        </w:rPr>
        <w:t>''''''</w:t>
      </w:r>
      <w:r w:rsidR="00DE04E7" w:rsidRPr="000B2A82">
        <w:t>% red</w:t>
      </w:r>
      <w:r w:rsidR="00DE04E7" w:rsidRPr="00416C64">
        <w:t xml:space="preserve">uction in such events in the Trelegy arm </w:t>
      </w:r>
      <w:r w:rsidR="00DE04E7" w:rsidRPr="000B2A82">
        <w:t xml:space="preserve">and a </w:t>
      </w:r>
      <w:r w:rsidR="00B74049">
        <w:rPr>
          <w:noProof/>
          <w:color w:val="000000"/>
          <w:highlight w:val="black"/>
        </w:rPr>
        <w:t>'''''</w:t>
      </w:r>
      <w:r w:rsidR="00DE04E7" w:rsidRPr="000B2A82">
        <w:t>% reduction</w:t>
      </w:r>
      <w:r w:rsidR="00DE04E7" w:rsidRPr="00416C64">
        <w:t xml:space="preserve"> in the UMEC/VI arm. The ESC considered it was </w:t>
      </w:r>
      <w:r w:rsidR="00DE04E7" w:rsidRPr="00416C64">
        <w:lastRenderedPageBreak/>
        <w:t xml:space="preserve">unclear why there </w:t>
      </w:r>
      <w:r w:rsidR="008E1F5F" w:rsidRPr="00416C64">
        <w:t>were</w:t>
      </w:r>
      <w:r w:rsidR="00DE04E7" w:rsidRPr="00416C64">
        <w:t xml:space="preserve"> such differential errors in reporting AEs in a double-blind, multi-centre study of about 10,000 participants. </w:t>
      </w:r>
      <w:r w:rsidR="00687C79" w:rsidRPr="00416C64">
        <w:t>T</w:t>
      </w:r>
      <w:r w:rsidR="003662E9" w:rsidRPr="00416C64">
        <w:t>he pre-PBAC response argued</w:t>
      </w:r>
      <w:r w:rsidR="00687C79" w:rsidRPr="00416C64">
        <w:t xml:space="preserve"> that </w:t>
      </w:r>
      <w:r w:rsidR="003662E9" w:rsidRPr="00416C64">
        <w:t>pneumonia AEs reported in Table 5 included broad definitions of pneumonia including non-hospitalised pneumonia while the adjudicated pneumonia definition focuses on the hospitalised and fatal pneumonia. The PBAC considered that inclusion of non-hospitalised pneumonia provides a more reliable assessment of the risks associated with the use of Trelegy and concluded that the claim of non-inferior safety</w:t>
      </w:r>
      <w:r w:rsidR="00C93F5C">
        <w:t xml:space="preserve"> could not be substantiated</w:t>
      </w:r>
      <w:r w:rsidR="003662E9" w:rsidRPr="00416C64">
        <w:t>.</w:t>
      </w:r>
    </w:p>
    <w:p w:rsidR="007F1017" w:rsidRPr="00416C64" w:rsidRDefault="007F1017" w:rsidP="001D26BB">
      <w:pPr>
        <w:pStyle w:val="Heading2"/>
        <w:spacing w:before="240"/>
      </w:pPr>
      <w:bookmarkStart w:id="13" w:name="_Toc535934775"/>
      <w:r w:rsidRPr="00416C64">
        <w:t>Benefits/harms</w:t>
      </w:r>
      <w:bookmarkEnd w:id="13"/>
    </w:p>
    <w:p w:rsidR="0083326D" w:rsidRPr="00416C64" w:rsidRDefault="0083326D" w:rsidP="005A2C9B">
      <w:pPr>
        <w:pStyle w:val="ListParagraph"/>
        <w:widowControl/>
        <w:numPr>
          <w:ilvl w:val="1"/>
          <w:numId w:val="3"/>
        </w:numPr>
      </w:pPr>
      <w:r w:rsidRPr="00416C64">
        <w:rPr>
          <w:rFonts w:cs="Calibri"/>
          <w:snapToGrid/>
          <w:szCs w:val="24"/>
          <w:lang w:eastAsia="en-AU"/>
        </w:rPr>
        <w:t xml:space="preserve">A summary of the comparative benefits and harms for </w:t>
      </w:r>
      <w:r w:rsidR="002C4B75" w:rsidRPr="00416C64">
        <w:t xml:space="preserve">FF/UMEC/VI </w:t>
      </w:r>
      <w:r w:rsidRPr="00416C64">
        <w:rPr>
          <w:rFonts w:cs="Calibri"/>
          <w:snapToGrid/>
          <w:szCs w:val="24"/>
          <w:lang w:eastAsia="en-AU"/>
        </w:rPr>
        <w:t xml:space="preserve">versus UMEC/VI FDC is presented in Table </w:t>
      </w:r>
      <w:r w:rsidR="00D805B7" w:rsidRPr="00416C64">
        <w:rPr>
          <w:rFonts w:cs="Calibri"/>
          <w:snapToGrid/>
          <w:szCs w:val="24"/>
          <w:lang w:eastAsia="en-AU"/>
        </w:rPr>
        <w:t>6</w:t>
      </w:r>
      <w:r w:rsidRPr="00416C64">
        <w:rPr>
          <w:rFonts w:cs="Calibri"/>
          <w:snapToGrid/>
          <w:szCs w:val="24"/>
          <w:lang w:eastAsia="en-AU"/>
        </w:rPr>
        <w:t xml:space="preserve"> below. </w:t>
      </w:r>
    </w:p>
    <w:p w:rsidR="000D5AE3" w:rsidRPr="00416C64" w:rsidRDefault="000D5AE3" w:rsidP="005A2C9B">
      <w:pPr>
        <w:widowControl/>
        <w:jc w:val="left"/>
        <w:rPr>
          <w:rStyle w:val="CommentReference"/>
        </w:rPr>
      </w:pPr>
      <w:r w:rsidRPr="00416C64">
        <w:rPr>
          <w:rStyle w:val="CommentReference"/>
        </w:rPr>
        <w:br w:type="page"/>
      </w:r>
    </w:p>
    <w:p w:rsidR="00B62715" w:rsidRPr="00416C64" w:rsidRDefault="00383671" w:rsidP="00BA64A9">
      <w:pPr>
        <w:keepLines/>
        <w:widowControl/>
        <w:spacing w:after="0"/>
        <w:rPr>
          <w:rStyle w:val="CommentReference"/>
        </w:rPr>
      </w:pPr>
      <w:r w:rsidRPr="00416C64">
        <w:rPr>
          <w:rStyle w:val="CommentReference"/>
        </w:rPr>
        <w:lastRenderedPageBreak/>
        <w:t>Table 6: Summary of comparative benefits and harms for FF/UMEC/VI and UMEC/VI</w:t>
      </w:r>
    </w:p>
    <w:tbl>
      <w:tblPr>
        <w:tblW w:w="5000" w:type="pct"/>
        <w:tblLayout w:type="fixed"/>
        <w:tblCellMar>
          <w:left w:w="28" w:type="dxa"/>
          <w:right w:w="28" w:type="dxa"/>
        </w:tblCellMar>
        <w:tblLook w:val="04A0" w:firstRow="1" w:lastRow="0" w:firstColumn="1" w:lastColumn="0" w:noHBand="0" w:noVBand="1"/>
      </w:tblPr>
      <w:tblGrid>
        <w:gridCol w:w="1128"/>
        <w:gridCol w:w="1419"/>
        <w:gridCol w:w="1417"/>
        <w:gridCol w:w="1419"/>
        <w:gridCol w:w="1062"/>
        <w:gridCol w:w="1064"/>
        <w:gridCol w:w="1508"/>
      </w:tblGrid>
      <w:tr w:rsidR="007F4A61" w:rsidRPr="00416C64" w:rsidTr="00E333D1">
        <w:trPr>
          <w:trHeight w:val="150"/>
        </w:trPr>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416C64" w:rsidRDefault="0083326D" w:rsidP="005A2C9B">
            <w:pPr>
              <w:keepNext/>
              <w:keepLines/>
              <w:widowControl/>
              <w:rPr>
                <w:rFonts w:ascii="Arial Narrow" w:hAnsi="Arial Narrow"/>
                <w:b/>
                <w:color w:val="000000"/>
                <w:sz w:val="20"/>
                <w:szCs w:val="18"/>
              </w:rPr>
            </w:pPr>
            <w:r w:rsidRPr="00416C64">
              <w:rPr>
                <w:rFonts w:ascii="Arial Narrow" w:hAnsi="Arial Narrow"/>
                <w:b/>
                <w:color w:val="000000"/>
                <w:sz w:val="20"/>
                <w:szCs w:val="18"/>
              </w:rPr>
              <w:t>IMPACT</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rsidR="00B62715" w:rsidRPr="00416C64" w:rsidRDefault="0083326D" w:rsidP="005A2C9B">
            <w:pPr>
              <w:keepNext/>
              <w:keepLines/>
              <w:widowControl/>
              <w:jc w:val="center"/>
              <w:rPr>
                <w:rFonts w:ascii="Arial Narrow" w:hAnsi="Arial Narrow"/>
                <w:b/>
                <w:color w:val="000000"/>
                <w:sz w:val="20"/>
                <w:szCs w:val="18"/>
              </w:rPr>
            </w:pPr>
            <w:r w:rsidRPr="00416C64">
              <w:rPr>
                <w:rFonts w:ascii="Arial Narrow" w:hAnsi="Arial Narrow"/>
                <w:b/>
                <w:color w:val="000000"/>
                <w:sz w:val="20"/>
                <w:szCs w:val="18"/>
              </w:rPr>
              <w:t>FF/UMEC/VI</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B24DF6" w:rsidRPr="00416C64" w:rsidRDefault="0083326D" w:rsidP="005A2C9B">
            <w:pPr>
              <w:keepNext/>
              <w:keepLines/>
              <w:widowControl/>
              <w:jc w:val="center"/>
              <w:rPr>
                <w:rFonts w:ascii="Arial Narrow" w:hAnsi="Arial Narrow"/>
                <w:b/>
                <w:color w:val="000000"/>
                <w:sz w:val="20"/>
                <w:szCs w:val="18"/>
              </w:rPr>
            </w:pPr>
            <w:r w:rsidRPr="00416C64">
              <w:rPr>
                <w:rFonts w:ascii="Arial Narrow" w:hAnsi="Arial Narrow"/>
                <w:b/>
                <w:color w:val="000000"/>
                <w:sz w:val="20"/>
                <w:szCs w:val="18"/>
              </w:rPr>
              <w:t>UMEC/VI</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keepLines/>
              <w:widowControl/>
              <w:jc w:val="center"/>
              <w:rPr>
                <w:rFonts w:ascii="Arial Narrow" w:hAnsi="Arial Narrow"/>
                <w:b/>
                <w:color w:val="000000"/>
                <w:sz w:val="20"/>
                <w:szCs w:val="18"/>
              </w:rPr>
            </w:pPr>
            <w:r w:rsidRPr="00416C64">
              <w:rPr>
                <w:rFonts w:ascii="Arial Narrow" w:hAnsi="Arial Narrow"/>
                <w:b/>
                <w:color w:val="000000"/>
                <w:sz w:val="20"/>
                <w:szCs w:val="18"/>
              </w:rPr>
              <w:t>RR</w:t>
            </w:r>
            <w:r w:rsidR="00126A36" w:rsidRPr="00416C64">
              <w:rPr>
                <w:rFonts w:ascii="Arial Narrow" w:hAnsi="Arial Narrow"/>
                <w:b/>
                <w:color w:val="000000"/>
                <w:sz w:val="20"/>
                <w:szCs w:val="18"/>
              </w:rPr>
              <w:t xml:space="preserve"> </w:t>
            </w:r>
            <w:r w:rsidRPr="00416C64">
              <w:rPr>
                <w:rFonts w:ascii="Arial Narrow" w:hAnsi="Arial Narrow"/>
                <w:b/>
                <w:color w:val="000000"/>
                <w:sz w:val="20"/>
                <w:szCs w:val="18"/>
              </w:rPr>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keepLines/>
              <w:widowControl/>
              <w:jc w:val="center"/>
              <w:rPr>
                <w:rFonts w:ascii="Arial Narrow" w:hAnsi="Arial Narrow"/>
                <w:b/>
                <w:color w:val="000000"/>
                <w:sz w:val="20"/>
                <w:szCs w:val="18"/>
              </w:rPr>
            </w:pPr>
            <w:r w:rsidRPr="00416C64">
              <w:rPr>
                <w:rFonts w:ascii="Arial Narrow" w:hAnsi="Arial Narrow"/>
                <w:b/>
                <w:color w:val="000000"/>
                <w:sz w:val="20"/>
                <w:szCs w:val="18"/>
              </w:rPr>
              <w:t>E</w:t>
            </w:r>
            <w:r w:rsidR="00126A36" w:rsidRPr="00416C64">
              <w:rPr>
                <w:rFonts w:ascii="Arial Narrow" w:hAnsi="Arial Narrow"/>
                <w:b/>
                <w:color w:val="000000"/>
                <w:sz w:val="20"/>
                <w:szCs w:val="18"/>
              </w:rPr>
              <w:t>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keepLines/>
              <w:widowControl/>
              <w:jc w:val="center"/>
              <w:rPr>
                <w:rFonts w:ascii="Arial Narrow" w:hAnsi="Arial Narrow"/>
                <w:b/>
                <w:color w:val="000000"/>
                <w:sz w:val="20"/>
                <w:szCs w:val="18"/>
              </w:rPr>
            </w:pPr>
            <w:r w:rsidRPr="00416C64">
              <w:rPr>
                <w:rFonts w:ascii="Arial Narrow" w:hAnsi="Arial Narrow"/>
                <w:b/>
                <w:color w:val="000000"/>
                <w:sz w:val="20"/>
                <w:szCs w:val="18"/>
              </w:rPr>
              <w:t>RD</w:t>
            </w:r>
            <w:r w:rsidR="00126A36" w:rsidRPr="00416C64">
              <w:rPr>
                <w:rFonts w:ascii="Arial Narrow" w:hAnsi="Arial Narrow"/>
                <w:b/>
                <w:color w:val="000000"/>
                <w:sz w:val="20"/>
                <w:szCs w:val="18"/>
              </w:rPr>
              <w:t xml:space="preserve"> </w:t>
            </w:r>
            <w:r w:rsidRPr="00416C64">
              <w:rPr>
                <w:rFonts w:ascii="Arial Narrow" w:hAnsi="Arial Narrow"/>
                <w:b/>
                <w:color w:val="000000"/>
                <w:sz w:val="20"/>
                <w:szCs w:val="18"/>
              </w:rPr>
              <w:t>(95% CI)</w:t>
            </w:r>
          </w:p>
        </w:tc>
      </w:tr>
      <w:tr w:rsidR="007F4A61" w:rsidRPr="00416C64" w:rsidTr="00E333D1">
        <w:trPr>
          <w:trHeight w:val="315"/>
        </w:trPr>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416C64" w:rsidRDefault="00B62715" w:rsidP="005A2C9B">
            <w:pPr>
              <w:keepNext/>
              <w:widowControl/>
              <w:rPr>
                <w:rFonts w:ascii="Arial Narrow" w:hAnsi="Arial Narrow"/>
                <w:b/>
                <w:color w:val="000000"/>
                <w:sz w:val="20"/>
                <w:szCs w:val="18"/>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widowControl/>
              <w:jc w:val="center"/>
              <w:rPr>
                <w:rFonts w:ascii="Arial Narrow" w:hAnsi="Arial Narrow"/>
                <w:b/>
                <w:color w:val="000000"/>
                <w:sz w:val="20"/>
                <w:szCs w:val="18"/>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widowControl/>
              <w:jc w:val="center"/>
              <w:rPr>
                <w:rFonts w:ascii="Arial Narrow" w:hAnsi="Arial Narrow"/>
                <w:b/>
                <w:color w:val="000000"/>
                <w:sz w:val="20"/>
                <w:szCs w:val="18"/>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widowControl/>
              <w:jc w:val="center"/>
              <w:rPr>
                <w:rFonts w:ascii="Arial Narrow" w:hAnsi="Arial Narrow"/>
                <w:b/>
                <w:color w:val="000000"/>
                <w:sz w:val="20"/>
                <w:szCs w:val="18"/>
              </w:rPr>
            </w:pPr>
          </w:p>
        </w:tc>
        <w:tc>
          <w:tcPr>
            <w:tcW w:w="589" w:type="pct"/>
            <w:tcBorders>
              <w:top w:val="single" w:sz="4" w:space="0" w:color="auto"/>
              <w:left w:val="single" w:sz="4" w:space="0" w:color="auto"/>
              <w:bottom w:val="single" w:sz="4" w:space="0" w:color="auto"/>
              <w:right w:val="single" w:sz="4" w:space="0" w:color="auto"/>
            </w:tcBorders>
            <w:vAlign w:val="center"/>
          </w:tcPr>
          <w:p w:rsidR="00B62715" w:rsidRPr="00416C64" w:rsidRDefault="0071190E" w:rsidP="005A2C9B">
            <w:pPr>
              <w:keepNext/>
              <w:widowControl/>
              <w:jc w:val="center"/>
              <w:rPr>
                <w:rFonts w:ascii="Arial Narrow" w:hAnsi="Arial Narrow"/>
                <w:b/>
                <w:color w:val="000000"/>
                <w:sz w:val="20"/>
                <w:szCs w:val="18"/>
              </w:rPr>
            </w:pPr>
            <w:r w:rsidRPr="00416C64">
              <w:rPr>
                <w:rFonts w:ascii="Arial Narrow" w:hAnsi="Arial Narrow"/>
                <w:b/>
                <w:color w:val="000000"/>
                <w:sz w:val="20"/>
                <w:szCs w:val="18"/>
              </w:rPr>
              <w:t>FF/UMEC/VI</w:t>
            </w:r>
          </w:p>
        </w:tc>
        <w:tc>
          <w:tcPr>
            <w:tcW w:w="590" w:type="pct"/>
            <w:tcBorders>
              <w:top w:val="single" w:sz="4" w:space="0" w:color="auto"/>
              <w:left w:val="single" w:sz="4" w:space="0" w:color="auto"/>
              <w:bottom w:val="single" w:sz="4" w:space="0" w:color="auto"/>
              <w:right w:val="single" w:sz="4" w:space="0" w:color="auto"/>
            </w:tcBorders>
            <w:vAlign w:val="center"/>
          </w:tcPr>
          <w:p w:rsidR="00B62715" w:rsidRPr="00416C64" w:rsidRDefault="0071190E" w:rsidP="005A2C9B">
            <w:pPr>
              <w:keepNext/>
              <w:widowControl/>
              <w:jc w:val="center"/>
              <w:rPr>
                <w:rFonts w:ascii="Arial Narrow" w:hAnsi="Arial Narrow"/>
                <w:b/>
                <w:color w:val="000000"/>
                <w:sz w:val="20"/>
                <w:szCs w:val="18"/>
              </w:rPr>
            </w:pPr>
            <w:r w:rsidRPr="00416C64">
              <w:rPr>
                <w:rFonts w:ascii="Arial Narrow" w:hAnsi="Arial Narrow"/>
                <w:b/>
                <w:color w:val="000000"/>
                <w:sz w:val="20"/>
                <w:szCs w:val="18"/>
              </w:rPr>
              <w:t>UMEC/VI</w:t>
            </w:r>
          </w:p>
        </w:tc>
        <w:tc>
          <w:tcPr>
            <w:tcW w:w="836" w:type="pct"/>
            <w:vMerge/>
            <w:tcBorders>
              <w:top w:val="single" w:sz="4" w:space="0" w:color="auto"/>
              <w:left w:val="single" w:sz="4" w:space="0" w:color="auto"/>
              <w:bottom w:val="single" w:sz="4" w:space="0" w:color="auto"/>
              <w:right w:val="single" w:sz="4" w:space="0" w:color="auto"/>
            </w:tcBorders>
            <w:vAlign w:val="center"/>
          </w:tcPr>
          <w:p w:rsidR="00B62715" w:rsidRPr="00416C64" w:rsidRDefault="00B62715" w:rsidP="005A2C9B">
            <w:pPr>
              <w:keepNext/>
              <w:widowControl/>
              <w:jc w:val="center"/>
              <w:rPr>
                <w:rFonts w:ascii="Arial Narrow" w:hAnsi="Arial Narrow"/>
                <w:b/>
                <w:color w:val="000000"/>
                <w:sz w:val="20"/>
                <w:szCs w:val="18"/>
              </w:rPr>
            </w:pPr>
          </w:p>
        </w:tc>
      </w:tr>
      <w:tr w:rsidR="00B62715" w:rsidRPr="00416C64" w:rsidTr="004A4E0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2715" w:rsidRPr="00416C64" w:rsidRDefault="00B62715" w:rsidP="005A2C9B">
            <w:pPr>
              <w:keepNext/>
              <w:widowControl/>
              <w:rPr>
                <w:rFonts w:ascii="Arial Narrow" w:hAnsi="Arial Narrow"/>
                <w:b/>
                <w:color w:val="000000"/>
                <w:sz w:val="20"/>
                <w:szCs w:val="18"/>
              </w:rPr>
            </w:pPr>
            <w:r w:rsidRPr="00416C64">
              <w:rPr>
                <w:rFonts w:ascii="Arial Narrow" w:hAnsi="Arial Narrow"/>
                <w:b/>
                <w:color w:val="000000"/>
                <w:sz w:val="20"/>
                <w:szCs w:val="18"/>
              </w:rPr>
              <w:t>Benefits</w:t>
            </w:r>
          </w:p>
        </w:tc>
      </w:tr>
      <w:tr w:rsidR="00E333D1" w:rsidRPr="00416C64" w:rsidTr="004A4E0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bCs/>
                <w:color w:val="000000"/>
                <w:sz w:val="20"/>
                <w:szCs w:val="18"/>
              </w:rPr>
            </w:pPr>
            <w:r w:rsidRPr="00416C64">
              <w:rPr>
                <w:rFonts w:ascii="Arial Narrow" w:hAnsi="Arial Narrow"/>
                <w:bCs/>
                <w:color w:val="000000"/>
                <w:sz w:val="20"/>
                <w:szCs w:val="18"/>
              </w:rPr>
              <w:t>Annual rate of on-treatment exacerbation</w:t>
            </w:r>
          </w:p>
        </w:tc>
      </w:tr>
      <w:tr w:rsidR="00E333D1" w:rsidRPr="00416C64" w:rsidTr="00F35EE6">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color w:val="000000"/>
                <w:sz w:val="20"/>
                <w:szCs w:val="18"/>
              </w:rPr>
            </w:pPr>
            <w:r w:rsidRPr="00416C64">
              <w:rPr>
                <w:rFonts w:ascii="Arial Narrow" w:hAnsi="Arial Narrow"/>
                <w:color w:val="000000"/>
                <w:sz w:val="20"/>
                <w:szCs w:val="18"/>
              </w:rPr>
              <w:t>Moderate/ severe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0.91 (0.87, 0.95)</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1.21 (1.14, 1.29)</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0.75 (0.70, 0.81)</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91</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121</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F54770" w:rsidP="005A2C9B">
            <w:pPr>
              <w:keepNext/>
              <w:widowControl/>
              <w:jc w:val="center"/>
              <w:rPr>
                <w:rFonts w:ascii="Arial Narrow" w:hAnsi="Arial Narrow"/>
                <w:b/>
                <w:bCs/>
                <w:i/>
                <w:iCs/>
                <w:color w:val="000000"/>
                <w:sz w:val="20"/>
                <w:szCs w:val="18"/>
              </w:rPr>
            </w:pPr>
            <w:r w:rsidRPr="00416C64">
              <w:rPr>
                <w:rFonts w:ascii="Arial Narrow" w:hAnsi="Arial Narrow"/>
                <w:b/>
                <w:bCs/>
                <w:i/>
                <w:iCs/>
                <w:color w:val="000000"/>
                <w:sz w:val="20"/>
                <w:szCs w:val="18"/>
              </w:rPr>
              <w:t>-0.30 (NR)</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Severe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0.13 (0.12, 0.14)</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0.19 (0.17, 0.22)</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0.66 (0.56, 0.78)</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13</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19</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F54770" w:rsidP="005A2C9B">
            <w:pPr>
              <w:keepNext/>
              <w:widowControl/>
              <w:jc w:val="center"/>
              <w:rPr>
                <w:rFonts w:ascii="Arial Narrow" w:hAnsi="Arial Narrow"/>
                <w:b/>
                <w:bCs/>
                <w:i/>
                <w:iCs/>
                <w:color w:val="000000"/>
                <w:sz w:val="20"/>
                <w:szCs w:val="18"/>
              </w:rPr>
            </w:pPr>
            <w:r w:rsidRPr="00416C64">
              <w:rPr>
                <w:rFonts w:ascii="Arial Narrow" w:hAnsi="Arial Narrow"/>
                <w:b/>
                <w:bCs/>
                <w:i/>
                <w:iCs/>
                <w:color w:val="000000"/>
                <w:sz w:val="20"/>
                <w:szCs w:val="18"/>
              </w:rPr>
              <w:t>-0.06 (NR)</w:t>
            </w:r>
          </w:p>
        </w:tc>
      </w:tr>
      <w:tr w:rsidR="00E333D1" w:rsidRPr="00416C64" w:rsidTr="00E333D1">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color w:val="000000"/>
                <w:sz w:val="20"/>
                <w:szCs w:val="18"/>
              </w:rPr>
            </w:pPr>
            <w:r w:rsidRPr="00416C64">
              <w:rPr>
                <w:rFonts w:ascii="Arial Narrow" w:hAnsi="Arial Narrow"/>
                <w:bCs/>
                <w:color w:val="000000"/>
                <w:sz w:val="20"/>
                <w:szCs w:val="18"/>
              </w:rPr>
              <w:t>Patients with on-treatment exacerbations</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Moderate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1719/4151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887/2070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0.97 (0.91, 1.03)</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41</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43</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-0.01 (-0.04, 0.01)</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Severe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447/4151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272/2070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0.82 (0.71, 0.94)</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11</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13</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-0.02 (-0.04, -0.01)</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Moderate/ severe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1959/4151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1036/2070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0.94 (0.89, 1.00)</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47</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50</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-0.03 (-0.05, -0.00)</w:t>
            </w:r>
          </w:p>
        </w:tc>
      </w:tr>
      <w:tr w:rsidR="00E333D1" w:rsidRPr="00416C64" w:rsidTr="0027404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color w:val="000000"/>
                <w:sz w:val="20"/>
                <w:szCs w:val="18"/>
              </w:rPr>
            </w:pPr>
            <w:r w:rsidRPr="00416C64">
              <w:rPr>
                <w:rFonts w:ascii="Arial Narrow" w:hAnsi="Arial Narrow"/>
                <w:color w:val="000000"/>
                <w:sz w:val="20"/>
                <w:szCs w:val="18"/>
              </w:rPr>
              <w:t>Trough FEV1 responders at Week 52 (with ≥100mL increase from baseline)</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Responders</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1561/4138</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561/2068</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1.39 (1.28, 1.51)</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38</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27</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0.11 (0.08, 0.13)</w:t>
            </w:r>
          </w:p>
        </w:tc>
      </w:tr>
      <w:tr w:rsidR="00E333D1" w:rsidRPr="00416C64" w:rsidTr="0027404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color w:val="000000"/>
                <w:sz w:val="20"/>
                <w:szCs w:val="18"/>
              </w:rPr>
            </w:pPr>
            <w:r w:rsidRPr="00416C64">
              <w:rPr>
                <w:rFonts w:ascii="Arial Narrow" w:hAnsi="Arial Narrow"/>
                <w:color w:val="000000"/>
                <w:sz w:val="20"/>
                <w:szCs w:val="18"/>
              </w:rPr>
              <w:t>SGRQ-C responders at Week 52 (total score ≤4 units below baseline)</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Responders</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1723/4108</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696/2050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1.24 (1.15, 1.33)</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42</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34</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0.08 (0.05, 0.11)</w:t>
            </w:r>
          </w:p>
        </w:tc>
      </w:tr>
      <w:tr w:rsidR="00E333D1" w:rsidRPr="00416C64" w:rsidTr="0027404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jc w:val="left"/>
              <w:rPr>
                <w:rFonts w:ascii="Arial Narrow" w:hAnsi="Arial Narrow"/>
                <w:color w:val="000000"/>
                <w:sz w:val="20"/>
                <w:szCs w:val="18"/>
              </w:rPr>
            </w:pPr>
            <w:r w:rsidRPr="00416C64">
              <w:rPr>
                <w:rFonts w:ascii="Arial Narrow" w:hAnsi="Arial Narrow"/>
                <w:color w:val="000000"/>
                <w:sz w:val="20"/>
                <w:szCs w:val="18"/>
              </w:rPr>
              <w:t>CAT responders at Week 52 (CAT score ≤2 units below baseline)</w:t>
            </w:r>
          </w:p>
        </w:tc>
      </w:tr>
      <w:tr w:rsidR="00E333D1" w:rsidRPr="00416C64" w:rsidTr="00E333D1">
        <w:tc>
          <w:tcPr>
            <w:tcW w:w="625" w:type="pct"/>
            <w:tcBorders>
              <w:top w:val="single" w:sz="4" w:space="0" w:color="auto"/>
              <w:left w:val="single" w:sz="4" w:space="0" w:color="auto"/>
              <w:bottom w:val="doub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Responders</w:t>
            </w:r>
          </w:p>
        </w:tc>
        <w:tc>
          <w:tcPr>
            <w:tcW w:w="787"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1698/4076</w:t>
            </w:r>
          </w:p>
        </w:tc>
        <w:tc>
          <w:tcPr>
            <w:tcW w:w="786"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730/2034</w:t>
            </w:r>
          </w:p>
        </w:tc>
        <w:tc>
          <w:tcPr>
            <w:tcW w:w="787"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1.16 (1.08, 1.24)</w:t>
            </w:r>
          </w:p>
        </w:tc>
        <w:tc>
          <w:tcPr>
            <w:tcW w:w="589"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42</w:t>
            </w:r>
          </w:p>
        </w:tc>
        <w:tc>
          <w:tcPr>
            <w:tcW w:w="590"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36</w:t>
            </w:r>
          </w:p>
        </w:tc>
        <w:tc>
          <w:tcPr>
            <w:tcW w:w="836" w:type="pct"/>
            <w:tcBorders>
              <w:top w:val="single" w:sz="4" w:space="0" w:color="auto"/>
              <w:left w:val="single" w:sz="4" w:space="0" w:color="auto"/>
              <w:bottom w:val="doub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szCs w:val="18"/>
              </w:rPr>
            </w:pPr>
            <w:r w:rsidRPr="00416C64">
              <w:rPr>
                <w:rFonts w:ascii="Arial Narrow" w:hAnsi="Arial Narrow"/>
                <w:b/>
                <w:bCs/>
                <w:color w:val="000000"/>
                <w:sz w:val="20"/>
                <w:szCs w:val="18"/>
              </w:rPr>
              <w:t>0.06 (0.03, 0.08)</w:t>
            </w:r>
          </w:p>
        </w:tc>
      </w:tr>
      <w:tr w:rsidR="00E333D1" w:rsidRPr="00416C64" w:rsidTr="003D1DE4">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b/>
                <w:color w:val="000000"/>
                <w:sz w:val="20"/>
                <w:szCs w:val="18"/>
              </w:rPr>
            </w:pPr>
            <w:r w:rsidRPr="00416C64">
              <w:rPr>
                <w:rFonts w:ascii="Arial Narrow" w:hAnsi="Arial Narrow"/>
                <w:b/>
                <w:color w:val="000000"/>
                <w:sz w:val="20"/>
                <w:szCs w:val="18"/>
              </w:rPr>
              <w:t xml:space="preserve">Harms </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Any AE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2897/4151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1429/2070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1.01 (0.98, 1.05)</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70</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69</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0.01 (-0.02, 0.03)</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Drug related</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478/4151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214/2070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1.11 (0.96, 1.30)</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12</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10</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0.01 (-0.00, 0.03)</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Non-fatal SAE</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847/4151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801/2070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0.98 (0.88, 1.08)</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20</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19</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szCs w:val="18"/>
              </w:rPr>
            </w:pPr>
            <w:r w:rsidRPr="00416C64">
              <w:rPr>
                <w:rFonts w:ascii="Arial Narrow" w:hAnsi="Arial Narrow"/>
                <w:color w:val="000000"/>
                <w:sz w:val="20"/>
                <w:szCs w:val="18"/>
              </w:rPr>
              <w:t>-0.01 (-0.03, 0.02)</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Pneumonia</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298/4151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93/2070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rPr>
            </w:pPr>
            <w:r w:rsidRPr="00416C64">
              <w:rPr>
                <w:rFonts w:ascii="Arial Narrow" w:hAnsi="Arial Narrow"/>
                <w:b/>
                <w:bCs/>
                <w:color w:val="000000"/>
                <w:sz w:val="20"/>
              </w:rPr>
              <w:t>1.60 (1.27, 2.00)</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7</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4</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rPr>
            </w:pPr>
            <w:r w:rsidRPr="00416C64">
              <w:rPr>
                <w:rFonts w:ascii="Arial Narrow" w:hAnsi="Arial Narrow"/>
                <w:b/>
                <w:bCs/>
                <w:color w:val="000000"/>
                <w:sz w:val="20"/>
              </w:rPr>
              <w:t>0.03 (0.01, 0.04)</w:t>
            </w:r>
          </w:p>
        </w:tc>
      </w:tr>
      <w:tr w:rsidR="00E333D1" w:rsidRPr="00416C64" w:rsidTr="00E333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E333D1" w:rsidRPr="00416C64" w:rsidRDefault="00E333D1" w:rsidP="005A2C9B">
            <w:pPr>
              <w:keepNext/>
              <w:widowControl/>
              <w:rPr>
                <w:rFonts w:ascii="Arial Narrow" w:hAnsi="Arial Narrow"/>
                <w:color w:val="000000"/>
                <w:sz w:val="20"/>
                <w:szCs w:val="18"/>
              </w:rPr>
            </w:pPr>
            <w:r w:rsidRPr="00416C64">
              <w:rPr>
                <w:rFonts w:ascii="Arial Narrow" w:hAnsi="Arial Narrow"/>
                <w:color w:val="000000"/>
                <w:sz w:val="20"/>
                <w:szCs w:val="18"/>
              </w:rPr>
              <w:t>Oral candidiasis</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161/4151</w:t>
            </w:r>
          </w:p>
        </w:tc>
        <w:tc>
          <w:tcPr>
            <w:tcW w:w="78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41/2070</w:t>
            </w:r>
          </w:p>
        </w:tc>
        <w:tc>
          <w:tcPr>
            <w:tcW w:w="787"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rPr>
            </w:pPr>
            <w:r w:rsidRPr="00416C64">
              <w:rPr>
                <w:rFonts w:ascii="Arial Narrow" w:hAnsi="Arial Narrow"/>
                <w:b/>
                <w:bCs/>
                <w:color w:val="000000"/>
                <w:sz w:val="20"/>
              </w:rPr>
              <w:t>1.96 (1.40, 2.75)</w:t>
            </w:r>
          </w:p>
        </w:tc>
        <w:tc>
          <w:tcPr>
            <w:tcW w:w="589"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4</w:t>
            </w:r>
          </w:p>
        </w:tc>
        <w:tc>
          <w:tcPr>
            <w:tcW w:w="590"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color w:val="000000"/>
                <w:sz w:val="20"/>
              </w:rPr>
            </w:pPr>
            <w:r w:rsidRPr="00416C64">
              <w:rPr>
                <w:rFonts w:ascii="Arial Narrow" w:hAnsi="Arial Narrow"/>
                <w:color w:val="000000"/>
                <w:sz w:val="20"/>
              </w:rPr>
              <w:t>2</w:t>
            </w:r>
          </w:p>
        </w:tc>
        <w:tc>
          <w:tcPr>
            <w:tcW w:w="836" w:type="pct"/>
            <w:tcBorders>
              <w:top w:val="single" w:sz="4" w:space="0" w:color="auto"/>
              <w:left w:val="single" w:sz="4" w:space="0" w:color="auto"/>
              <w:bottom w:val="single" w:sz="4" w:space="0" w:color="auto"/>
              <w:right w:val="single" w:sz="4" w:space="0" w:color="auto"/>
            </w:tcBorders>
            <w:vAlign w:val="center"/>
          </w:tcPr>
          <w:p w:rsidR="00E333D1" w:rsidRPr="00416C64" w:rsidRDefault="00E333D1" w:rsidP="005A2C9B">
            <w:pPr>
              <w:keepNext/>
              <w:widowControl/>
              <w:jc w:val="center"/>
              <w:rPr>
                <w:rFonts w:ascii="Arial Narrow" w:hAnsi="Arial Narrow"/>
                <w:b/>
                <w:bCs/>
                <w:color w:val="000000"/>
                <w:sz w:val="20"/>
              </w:rPr>
            </w:pPr>
            <w:r w:rsidRPr="00416C64">
              <w:rPr>
                <w:rFonts w:ascii="Arial Narrow" w:hAnsi="Arial Narrow"/>
                <w:b/>
                <w:bCs/>
                <w:color w:val="000000"/>
                <w:sz w:val="20"/>
              </w:rPr>
              <w:t>0.02 (0.01, 0.03)</w:t>
            </w:r>
          </w:p>
        </w:tc>
      </w:tr>
    </w:tbl>
    <w:p w:rsidR="00126A36" w:rsidRPr="00416C64" w:rsidRDefault="00126A36" w:rsidP="005A2C9B">
      <w:pPr>
        <w:pStyle w:val="TableFooter"/>
        <w:widowControl/>
      </w:pPr>
      <w:r w:rsidRPr="00416C64">
        <w:rPr>
          <w:rFonts w:eastAsia="Calibri"/>
        </w:rPr>
        <w:t xml:space="preserve">Abbreviations: </w:t>
      </w:r>
      <w:r w:rsidR="00344894" w:rsidRPr="00416C64">
        <w:rPr>
          <w:iCs/>
        </w:rPr>
        <w:t>CAT=COPD Assessment Test;</w:t>
      </w:r>
      <w:r w:rsidR="00344894" w:rsidRPr="00416C64">
        <w:rPr>
          <w:i/>
          <w:iCs/>
        </w:rPr>
        <w:t xml:space="preserve"> </w:t>
      </w:r>
      <w:r w:rsidRPr="00416C64">
        <w:rPr>
          <w:rFonts w:eastAsia="Calibri"/>
        </w:rPr>
        <w:t xml:space="preserve">CI=confidence interval; </w:t>
      </w:r>
      <w:r w:rsidR="00344894" w:rsidRPr="00416C64">
        <w:t xml:space="preserve">FEV1=forced expiratory volume in one second; </w:t>
      </w:r>
      <w:r w:rsidRPr="00416C64">
        <w:t xml:space="preserve">FF=fluticasone fumarate; HR = hazard ratio; ITT=intention to treat; </w:t>
      </w:r>
      <w:r w:rsidRPr="00416C64">
        <w:rPr>
          <w:rFonts w:eastAsia="Calibri"/>
        </w:rPr>
        <w:t>n=number of participants reporting data; N=total participants in group; RD=risk difference; RR= risk ratio;</w:t>
      </w:r>
      <w:r w:rsidRPr="00416C64">
        <w:t xml:space="preserve"> SAE=serious adverse event; </w:t>
      </w:r>
      <w:r w:rsidR="00344894" w:rsidRPr="00416C64">
        <w:t xml:space="preserve">SQRQ-C= St. George’s Respiratory Questionnaire COPD; </w:t>
      </w:r>
      <w:r w:rsidRPr="00416C64">
        <w:t>UMEC=</w:t>
      </w:r>
      <w:proofErr w:type="spellStart"/>
      <w:r w:rsidRPr="00416C64">
        <w:t>umeclidinium</w:t>
      </w:r>
      <w:proofErr w:type="spellEnd"/>
      <w:r w:rsidRPr="00416C64">
        <w:t>; VI=</w:t>
      </w:r>
      <w:proofErr w:type="spellStart"/>
      <w:r w:rsidRPr="00416C64">
        <w:t>vilanterol</w:t>
      </w:r>
      <w:proofErr w:type="spellEnd"/>
      <w:r w:rsidRPr="00416C64">
        <w:t>;</w:t>
      </w:r>
    </w:p>
    <w:p w:rsidR="00126A36" w:rsidRPr="00416C64" w:rsidRDefault="007F4A61" w:rsidP="005A2C9B">
      <w:pPr>
        <w:pStyle w:val="TableFooter"/>
        <w:widowControl/>
        <w:tabs>
          <w:tab w:val="left" w:pos="142"/>
        </w:tabs>
        <w:ind w:left="135" w:hanging="135"/>
        <w:rPr>
          <w:sz w:val="20"/>
        </w:rPr>
      </w:pPr>
      <w:r w:rsidRPr="00416C64">
        <w:t xml:space="preserve">Source: </w:t>
      </w:r>
      <w:r w:rsidR="00126A36" w:rsidRPr="00416C64">
        <w:t>Section 2.5.1, pp55-72 and Tables 29 t</w:t>
      </w:r>
      <w:r w:rsidR="003A5558" w:rsidRPr="00416C64">
        <w:t xml:space="preserve">o 33, pp63-70 of the submission </w:t>
      </w:r>
      <w:r w:rsidR="003A5558" w:rsidRPr="00416C64">
        <w:rPr>
          <w:i/>
          <w:iCs/>
        </w:rPr>
        <w:t>and Table 38, p150 and 39, p152 of IMPACT CSR</w:t>
      </w:r>
    </w:p>
    <w:p w:rsidR="00126A36" w:rsidRPr="00416C64" w:rsidRDefault="00126A36" w:rsidP="005A2C9B">
      <w:pPr>
        <w:pStyle w:val="ListParagraph"/>
        <w:widowControl/>
        <w:spacing w:after="0"/>
        <w:ind w:left="0"/>
      </w:pPr>
    </w:p>
    <w:p w:rsidR="003A5558" w:rsidRPr="00416C64" w:rsidRDefault="00F933FA" w:rsidP="005A2C9B">
      <w:pPr>
        <w:pStyle w:val="ListParagraph"/>
        <w:widowControl/>
        <w:numPr>
          <w:ilvl w:val="1"/>
          <w:numId w:val="3"/>
        </w:numPr>
      </w:pPr>
      <w:r w:rsidRPr="00416C64">
        <w:t>O</w:t>
      </w:r>
      <w:r w:rsidR="003A5558" w:rsidRPr="00416C64">
        <w:t xml:space="preserve">n the basis of </w:t>
      </w:r>
      <w:r w:rsidR="003A5558" w:rsidRPr="00416C64">
        <w:rPr>
          <w:rFonts w:cs="Calibri"/>
          <w:snapToGrid/>
          <w:szCs w:val="24"/>
          <w:lang w:eastAsia="en-AU"/>
        </w:rPr>
        <w:t>direct</w:t>
      </w:r>
      <w:r w:rsidR="003A5558" w:rsidRPr="00416C64">
        <w:t xml:space="preserve"> evidence presented by the submission, for every 100 patients treated with FF/UMEC/VI versus UMEC/VI</w:t>
      </w:r>
      <w:r w:rsidR="00BA4579" w:rsidRPr="00416C64">
        <w:t xml:space="preserve"> over 52 weeks</w:t>
      </w:r>
      <w:r w:rsidR="003A5558" w:rsidRPr="00416C64">
        <w:t>:</w:t>
      </w:r>
    </w:p>
    <w:p w:rsidR="00E333D1" w:rsidRPr="00416C64" w:rsidRDefault="00F54770" w:rsidP="005A2C9B">
      <w:pPr>
        <w:widowControl/>
        <w:numPr>
          <w:ilvl w:val="0"/>
          <w:numId w:val="2"/>
        </w:numPr>
        <w:spacing w:before="40"/>
        <w:ind w:left="993" w:hanging="284"/>
      </w:pPr>
      <w:r w:rsidRPr="00416C64">
        <w:t>Approximately 30 fewer moderate or severe exacerbations per year on treatment (25% reduction in the number of moderate or severe exacerbations)</w:t>
      </w:r>
    </w:p>
    <w:p w:rsidR="00F54770" w:rsidRPr="00416C64" w:rsidRDefault="00F54770" w:rsidP="005A2C9B">
      <w:pPr>
        <w:widowControl/>
        <w:numPr>
          <w:ilvl w:val="0"/>
          <w:numId w:val="2"/>
        </w:numPr>
        <w:spacing w:before="40"/>
        <w:ind w:left="993" w:hanging="284"/>
      </w:pPr>
      <w:r w:rsidRPr="00416C64">
        <w:t>Approximately 6 fewer severe exacerbations per year on treatment (34% reduction in the number of severe exacerbations)</w:t>
      </w:r>
    </w:p>
    <w:p w:rsidR="00BA4579" w:rsidRPr="00416C64" w:rsidRDefault="00BA4579" w:rsidP="005A2C9B">
      <w:pPr>
        <w:widowControl/>
        <w:numPr>
          <w:ilvl w:val="0"/>
          <w:numId w:val="2"/>
        </w:numPr>
        <w:spacing w:before="40"/>
        <w:ind w:left="993" w:hanging="284"/>
      </w:pPr>
      <w:r w:rsidRPr="00416C64">
        <w:t>Approximately 3 fewer patients would have moderate or severe exacerbation;</w:t>
      </w:r>
    </w:p>
    <w:p w:rsidR="00F54770" w:rsidRPr="00416C64" w:rsidRDefault="00F54770" w:rsidP="005A2C9B">
      <w:pPr>
        <w:widowControl/>
        <w:numPr>
          <w:ilvl w:val="0"/>
          <w:numId w:val="2"/>
        </w:numPr>
        <w:spacing w:before="40"/>
        <w:ind w:left="993" w:hanging="284"/>
      </w:pPr>
      <w:r w:rsidRPr="00416C64">
        <w:lastRenderedPageBreak/>
        <w:t>Approximately 2 fewer patients would have severe exacerbation;</w:t>
      </w:r>
    </w:p>
    <w:p w:rsidR="00BA4579" w:rsidRPr="00416C64" w:rsidRDefault="00BA4579" w:rsidP="005A2C9B">
      <w:pPr>
        <w:widowControl/>
        <w:numPr>
          <w:ilvl w:val="0"/>
          <w:numId w:val="2"/>
        </w:numPr>
        <w:spacing w:before="40"/>
        <w:ind w:left="993" w:hanging="284"/>
      </w:pPr>
      <w:r w:rsidRPr="00416C64">
        <w:t xml:space="preserve">Approximately 11 </w:t>
      </w:r>
      <w:r w:rsidR="00773F98" w:rsidRPr="00416C64">
        <w:t>more</w:t>
      </w:r>
      <w:r w:rsidRPr="00416C64">
        <w:t xml:space="preserve"> patients would have improve</w:t>
      </w:r>
      <w:r w:rsidR="00BA1D36" w:rsidRPr="00416C64">
        <w:t>d</w:t>
      </w:r>
      <w:r w:rsidRPr="00416C64">
        <w:t xml:space="preserve"> </w:t>
      </w:r>
      <w:r w:rsidR="002F0242" w:rsidRPr="00416C64">
        <w:t xml:space="preserve">lung function measured by </w:t>
      </w:r>
      <w:r w:rsidRPr="00416C64">
        <w:t>trough FEV1 (</w:t>
      </w:r>
      <w:r w:rsidRPr="00416C64">
        <w:rPr>
          <w:rFonts w:cs="Calibri"/>
        </w:rPr>
        <w:t>≥</w:t>
      </w:r>
      <w:r w:rsidRPr="00416C64">
        <w:t>100mL increase from baseline);</w:t>
      </w:r>
    </w:p>
    <w:p w:rsidR="00BA1D36" w:rsidRPr="00416C64" w:rsidRDefault="00BA1D36" w:rsidP="005A2C9B">
      <w:pPr>
        <w:widowControl/>
        <w:numPr>
          <w:ilvl w:val="0"/>
          <w:numId w:val="2"/>
        </w:numPr>
        <w:spacing w:before="40"/>
        <w:ind w:left="993" w:hanging="284"/>
      </w:pPr>
      <w:r w:rsidRPr="00416C64">
        <w:t xml:space="preserve">Approximately 8 </w:t>
      </w:r>
      <w:r w:rsidR="00773F98" w:rsidRPr="00416C64">
        <w:t>more</w:t>
      </w:r>
      <w:r w:rsidRPr="00416C64">
        <w:t xml:space="preserve"> patients would have improved </w:t>
      </w:r>
      <w:r w:rsidR="005F1595" w:rsidRPr="00416C64">
        <w:t xml:space="preserve">in their COPD health status on the </w:t>
      </w:r>
      <w:r w:rsidRPr="00416C64">
        <w:t>SGRQ-C score (≤4 units below baseline);</w:t>
      </w:r>
    </w:p>
    <w:p w:rsidR="00BA1D36" w:rsidRPr="00416C64" w:rsidRDefault="00BA1D36" w:rsidP="005A2C9B">
      <w:pPr>
        <w:widowControl/>
        <w:numPr>
          <w:ilvl w:val="0"/>
          <w:numId w:val="2"/>
        </w:numPr>
        <w:spacing w:before="40"/>
        <w:ind w:left="993" w:hanging="284"/>
      </w:pPr>
      <w:r w:rsidRPr="00416C64">
        <w:t xml:space="preserve">Approximately 6 </w:t>
      </w:r>
      <w:r w:rsidR="00773F98" w:rsidRPr="00416C64">
        <w:t>more</w:t>
      </w:r>
      <w:r w:rsidRPr="00416C64">
        <w:t xml:space="preserve"> patients would have improved</w:t>
      </w:r>
      <w:r w:rsidR="005F1595" w:rsidRPr="00416C64">
        <w:t xml:space="preserve"> in their COPD health status impairment measured on the</w:t>
      </w:r>
      <w:r w:rsidRPr="00416C64">
        <w:t xml:space="preserve"> CAT score (≤2 units below baseline);</w:t>
      </w:r>
    </w:p>
    <w:p w:rsidR="00BA1D36" w:rsidRPr="00416C64" w:rsidRDefault="00BA1D36" w:rsidP="005A2C9B">
      <w:pPr>
        <w:widowControl/>
        <w:numPr>
          <w:ilvl w:val="0"/>
          <w:numId w:val="2"/>
        </w:numPr>
        <w:spacing w:before="40"/>
        <w:ind w:left="993" w:hanging="284"/>
      </w:pPr>
      <w:r w:rsidRPr="00416C64">
        <w:t>Approximately 3 more patients would experience pneumonia;</w:t>
      </w:r>
    </w:p>
    <w:p w:rsidR="00BA1D36" w:rsidRPr="00416C64" w:rsidRDefault="00BA1D36" w:rsidP="005A2C9B">
      <w:pPr>
        <w:widowControl/>
        <w:numPr>
          <w:ilvl w:val="0"/>
          <w:numId w:val="2"/>
        </w:numPr>
        <w:spacing w:before="40"/>
        <w:ind w:left="993" w:hanging="284"/>
      </w:pPr>
      <w:r w:rsidRPr="00416C64">
        <w:t>Approximately 2 more patients would experience oral candidiasis.</w:t>
      </w:r>
    </w:p>
    <w:p w:rsidR="00B60939" w:rsidRPr="00416C64" w:rsidRDefault="00B60939" w:rsidP="001D26BB">
      <w:pPr>
        <w:pStyle w:val="Heading2"/>
        <w:spacing w:before="240"/>
      </w:pPr>
      <w:bookmarkStart w:id="14" w:name="_Toc535934776"/>
      <w:r w:rsidRPr="00416C64">
        <w:t>Clinical claim</w:t>
      </w:r>
      <w:bookmarkEnd w:id="14"/>
    </w:p>
    <w:p w:rsidR="00BA1D36" w:rsidRPr="00416C64" w:rsidRDefault="00BA1D36" w:rsidP="005A2C9B">
      <w:pPr>
        <w:pStyle w:val="ListParagraph"/>
        <w:widowControl/>
        <w:numPr>
          <w:ilvl w:val="1"/>
          <w:numId w:val="3"/>
        </w:numPr>
        <w:rPr>
          <w:iCs/>
        </w:rPr>
      </w:pPr>
      <w:r w:rsidRPr="00416C64">
        <w:t xml:space="preserve">The submission described Trelegy as superior in terms of comparative </w:t>
      </w:r>
      <w:r w:rsidRPr="00416C64">
        <w:rPr>
          <w:rFonts w:cs="Calibri"/>
          <w:snapToGrid/>
          <w:szCs w:val="24"/>
          <w:lang w:eastAsia="en-AU"/>
        </w:rPr>
        <w:t>effectiveness</w:t>
      </w:r>
      <w:r w:rsidRPr="00416C64">
        <w:t xml:space="preserve"> and non-inferior in terms of comparative safety compared with dual therapy LAMA/LABA, informed by UMEC/VI.</w:t>
      </w:r>
      <w:r w:rsidR="00393D5D" w:rsidRPr="00416C64">
        <w:t xml:space="preserve"> </w:t>
      </w:r>
      <w:r w:rsidR="002C4B75" w:rsidRPr="00416C64">
        <w:rPr>
          <w:iCs/>
        </w:rPr>
        <w:t xml:space="preserve">Data from IMPACT supports the claim of superior </w:t>
      </w:r>
      <w:r w:rsidR="00375634" w:rsidRPr="00416C64">
        <w:rPr>
          <w:iCs/>
        </w:rPr>
        <w:t>efficacy</w:t>
      </w:r>
      <w:r w:rsidR="002C4B75" w:rsidRPr="00416C64">
        <w:rPr>
          <w:iCs/>
        </w:rPr>
        <w:t xml:space="preserve"> but not the claim of non-inferior safety.</w:t>
      </w:r>
      <w:r w:rsidR="00393D5D" w:rsidRPr="00416C64">
        <w:rPr>
          <w:iCs/>
        </w:rPr>
        <w:t xml:space="preserve"> </w:t>
      </w:r>
      <w:r w:rsidRPr="00416C64">
        <w:rPr>
          <w:iCs/>
        </w:rPr>
        <w:t xml:space="preserve">FF/UMEC/VI was associated with higher incidence of pneumonia and oral candidiasis compared to UMEC/VI, in-line with the known safety </w:t>
      </w:r>
      <w:r w:rsidR="00D805B7" w:rsidRPr="00416C64">
        <w:rPr>
          <w:iCs/>
        </w:rPr>
        <w:t xml:space="preserve">profile </w:t>
      </w:r>
      <w:r w:rsidRPr="00416C64">
        <w:rPr>
          <w:iCs/>
        </w:rPr>
        <w:t>of FF and other ICS drugs.</w:t>
      </w:r>
      <w:r w:rsidR="003F4871" w:rsidRPr="00416C64">
        <w:rPr>
          <w:iCs/>
        </w:rPr>
        <w:t xml:space="preserve"> </w:t>
      </w:r>
      <w:r w:rsidR="0052112A" w:rsidRPr="00416C64">
        <w:rPr>
          <w:iCs/>
        </w:rPr>
        <w:t>The ESC considered the results of IMPACT support</w:t>
      </w:r>
      <w:r w:rsidR="00F933FA" w:rsidRPr="00416C64">
        <w:rPr>
          <w:iCs/>
        </w:rPr>
        <w:t>ed</w:t>
      </w:r>
      <w:r w:rsidR="0052112A" w:rsidRPr="00416C64">
        <w:rPr>
          <w:iCs/>
        </w:rPr>
        <w:t xml:space="preserve"> the claim </w:t>
      </w:r>
      <w:r w:rsidR="00FB3160" w:rsidRPr="00416C64">
        <w:rPr>
          <w:iCs/>
        </w:rPr>
        <w:t>of superior</w:t>
      </w:r>
      <w:r w:rsidR="00F933FA" w:rsidRPr="00416C64">
        <w:rPr>
          <w:iCs/>
        </w:rPr>
        <w:t xml:space="preserve"> efficacy</w:t>
      </w:r>
      <w:r w:rsidR="00FB3160" w:rsidRPr="00416C64">
        <w:rPr>
          <w:iCs/>
        </w:rPr>
        <w:t xml:space="preserve"> but noted that the statistically significant increase in the </w:t>
      </w:r>
      <w:r w:rsidR="00BD5FD4" w:rsidRPr="00416C64">
        <w:rPr>
          <w:iCs/>
        </w:rPr>
        <w:t xml:space="preserve">investigator-reported incidence of pneumonia and oral candidiasis </w:t>
      </w:r>
      <w:r w:rsidR="00807C04">
        <w:rPr>
          <w:iCs/>
        </w:rPr>
        <w:t>did not substantiate</w:t>
      </w:r>
      <w:r w:rsidR="000455A7" w:rsidRPr="00416C64">
        <w:rPr>
          <w:iCs/>
        </w:rPr>
        <w:t xml:space="preserve"> the claim of non-</w:t>
      </w:r>
      <w:r w:rsidR="00763B51" w:rsidRPr="00416C64">
        <w:rPr>
          <w:iCs/>
        </w:rPr>
        <w:t xml:space="preserve">inferior </w:t>
      </w:r>
      <w:r w:rsidR="00FB3160" w:rsidRPr="00416C64">
        <w:rPr>
          <w:iCs/>
        </w:rPr>
        <w:t>safet</w:t>
      </w:r>
      <w:r w:rsidR="000455A7" w:rsidRPr="00416C64">
        <w:rPr>
          <w:iCs/>
        </w:rPr>
        <w:t>y</w:t>
      </w:r>
      <w:r w:rsidR="00FB3160" w:rsidRPr="00416C64">
        <w:rPr>
          <w:iCs/>
        </w:rPr>
        <w:t xml:space="preserve">. </w:t>
      </w:r>
      <w:r w:rsidR="00BD5FD4" w:rsidRPr="00416C64">
        <w:rPr>
          <w:iCs/>
        </w:rPr>
        <w:t xml:space="preserve">The ESC noted the differential errors in reporting pneumonia-related AEs highlighted by the data presented in the PSCR and considered that </w:t>
      </w:r>
      <w:r w:rsidR="000455A7" w:rsidRPr="00416C64">
        <w:rPr>
          <w:iCs/>
        </w:rPr>
        <w:t xml:space="preserve">the additional data provided did not alleviate the uncertainty </w:t>
      </w:r>
      <w:r w:rsidR="00BD5FD4" w:rsidRPr="00416C64">
        <w:rPr>
          <w:iCs/>
        </w:rPr>
        <w:t xml:space="preserve">around the claim of non-inferior safety. </w:t>
      </w:r>
    </w:p>
    <w:p w:rsidR="0072152B" w:rsidRPr="00416C64" w:rsidRDefault="0072152B" w:rsidP="005A2C9B">
      <w:pPr>
        <w:pStyle w:val="ListParagraph"/>
        <w:widowControl/>
        <w:numPr>
          <w:ilvl w:val="1"/>
          <w:numId w:val="3"/>
        </w:numPr>
        <w:rPr>
          <w:iCs/>
        </w:rPr>
      </w:pPr>
      <w:r w:rsidRPr="00416C64">
        <w:rPr>
          <w:iCs/>
        </w:rPr>
        <w:t>The PBAC considered th</w:t>
      </w:r>
      <w:r w:rsidR="00B63EE7" w:rsidRPr="00416C64">
        <w:rPr>
          <w:iCs/>
        </w:rPr>
        <w:t xml:space="preserve">at the claim of superior comparative effectiveness over LAMA/LABA dual therapy was reasonable. </w:t>
      </w:r>
    </w:p>
    <w:p w:rsidR="0072152B" w:rsidRPr="00416C64" w:rsidRDefault="0072152B" w:rsidP="005A2C9B">
      <w:pPr>
        <w:pStyle w:val="ListParagraph"/>
        <w:widowControl/>
        <w:numPr>
          <w:ilvl w:val="1"/>
          <w:numId w:val="3"/>
        </w:numPr>
        <w:rPr>
          <w:iCs/>
        </w:rPr>
      </w:pPr>
      <w:r w:rsidRPr="00416C64">
        <w:rPr>
          <w:iCs/>
        </w:rPr>
        <w:t xml:space="preserve">The PBAC considered that the claim of </w:t>
      </w:r>
      <w:r w:rsidR="00B63EE7" w:rsidRPr="00416C64">
        <w:rPr>
          <w:iCs/>
        </w:rPr>
        <w:t xml:space="preserve">non-inferior comparative safety </w:t>
      </w:r>
      <w:r w:rsidR="003662E9" w:rsidRPr="00416C64">
        <w:rPr>
          <w:iCs/>
        </w:rPr>
        <w:t xml:space="preserve">compared to LAMA/LABA dual therapy was not adequately supported by the data, and that triple therapy </w:t>
      </w:r>
      <w:r w:rsidR="00807C04">
        <w:rPr>
          <w:iCs/>
        </w:rPr>
        <w:t>had</w:t>
      </w:r>
      <w:r w:rsidR="003662E9" w:rsidRPr="00416C64">
        <w:rPr>
          <w:iCs/>
        </w:rPr>
        <w:t xml:space="preserve"> inferior safety to LAMA/LABA dual therapy</w:t>
      </w:r>
      <w:r w:rsidR="00B63EE7" w:rsidRPr="00416C64">
        <w:rPr>
          <w:iCs/>
        </w:rPr>
        <w:t xml:space="preserve">. </w:t>
      </w:r>
    </w:p>
    <w:p w:rsidR="00B60939" w:rsidRPr="00416C64" w:rsidRDefault="00B60939" w:rsidP="001D26BB">
      <w:pPr>
        <w:pStyle w:val="Heading2"/>
        <w:spacing w:before="240"/>
      </w:pPr>
      <w:bookmarkStart w:id="15" w:name="_Toc535934777"/>
      <w:r w:rsidRPr="00416C64">
        <w:t>Economic analysis</w:t>
      </w:r>
      <w:bookmarkEnd w:id="15"/>
      <w:r w:rsidR="00491B3A" w:rsidRPr="00416C64">
        <w:t xml:space="preserve"> </w:t>
      </w:r>
    </w:p>
    <w:p w:rsidR="004B7FE8" w:rsidRPr="00416C64" w:rsidRDefault="0072537B" w:rsidP="005A2C9B">
      <w:pPr>
        <w:pStyle w:val="ListParagraph"/>
        <w:widowControl/>
        <w:numPr>
          <w:ilvl w:val="1"/>
          <w:numId w:val="3"/>
        </w:numPr>
      </w:pPr>
      <w:r w:rsidRPr="00416C64">
        <w:t xml:space="preserve">The </w:t>
      </w:r>
      <w:r w:rsidR="0076770C" w:rsidRPr="00416C64">
        <w:t>re</w:t>
      </w:r>
      <w:r w:rsidRPr="00416C64">
        <w:t xml:space="preserve">submission presented a </w:t>
      </w:r>
      <w:r w:rsidR="004B7FE8" w:rsidRPr="00416C64">
        <w:t xml:space="preserve">cost utility analysis </w:t>
      </w:r>
      <w:r w:rsidRPr="00416C64">
        <w:t>based on results from IMPACT</w:t>
      </w:r>
      <w:r w:rsidR="004B7FE8" w:rsidRPr="00416C64">
        <w:t xml:space="preserve"> (ITT)</w:t>
      </w:r>
      <w:r w:rsidR="00E61BAD" w:rsidRPr="00416C64">
        <w:t xml:space="preserve"> to justify the inclusion of moderate COPD patients in the </w:t>
      </w:r>
      <w:r w:rsidR="005F1595" w:rsidRPr="00416C64">
        <w:t>proposed</w:t>
      </w:r>
      <w:r w:rsidR="00E61BAD" w:rsidRPr="00416C64">
        <w:t xml:space="preserve"> PBS population</w:t>
      </w:r>
      <w:r w:rsidR="004B7FE8" w:rsidRPr="00416C64">
        <w:t xml:space="preserve">, </w:t>
      </w:r>
      <w:r w:rsidR="00E61BAD" w:rsidRPr="00416C64">
        <w:t xml:space="preserve">as </w:t>
      </w:r>
      <w:r w:rsidR="004B7FE8" w:rsidRPr="00416C64">
        <w:t>summarised in Table 7</w:t>
      </w:r>
      <w:r w:rsidRPr="00416C64">
        <w:t>.</w:t>
      </w:r>
      <w:r w:rsidR="00393D5D" w:rsidRPr="00416C64">
        <w:t xml:space="preserve"> </w:t>
      </w:r>
      <w:r w:rsidR="004B7FE8" w:rsidRPr="00416C64">
        <w:rPr>
          <w:iCs/>
        </w:rPr>
        <w:t>The ITT population included patients currently eligible (i.e. FEV1 &lt;50% predicted) and ineligible (</w:t>
      </w:r>
      <w:r w:rsidR="00D805B7" w:rsidRPr="00416C64">
        <w:rPr>
          <w:iCs/>
        </w:rPr>
        <w:t xml:space="preserve">i.e. </w:t>
      </w:r>
      <w:r w:rsidR="004B7FE8" w:rsidRPr="00416C64">
        <w:rPr>
          <w:iCs/>
        </w:rPr>
        <w:t>FEV1 ≥50</w:t>
      </w:r>
      <w:r w:rsidR="0042417F" w:rsidRPr="00416C64">
        <w:rPr>
          <w:iCs/>
        </w:rPr>
        <w:t>-</w:t>
      </w:r>
      <w:r w:rsidR="005F1595" w:rsidRPr="00416C64">
        <w:rPr>
          <w:iCs/>
        </w:rPr>
        <w:t>&lt;80</w:t>
      </w:r>
      <w:r w:rsidR="004B7FE8" w:rsidRPr="00416C64">
        <w:rPr>
          <w:iCs/>
        </w:rPr>
        <w:t>% predicted) for Trelegy.</w:t>
      </w:r>
    </w:p>
    <w:p w:rsidR="0072537B" w:rsidRPr="00416C64" w:rsidRDefault="0072537B" w:rsidP="00BA64A9">
      <w:pPr>
        <w:keepNext/>
        <w:widowControl/>
        <w:spacing w:after="0"/>
        <w:rPr>
          <w:rStyle w:val="CommentReference"/>
        </w:rPr>
      </w:pPr>
      <w:r w:rsidRPr="00416C64">
        <w:rPr>
          <w:rStyle w:val="CommentReference"/>
        </w:rPr>
        <w:lastRenderedPageBreak/>
        <w:t xml:space="preserve">Table </w:t>
      </w:r>
      <w:r w:rsidR="004B7FE8" w:rsidRPr="00416C64">
        <w:rPr>
          <w:rStyle w:val="CommentReference"/>
        </w:rPr>
        <w:t>7</w:t>
      </w:r>
      <w:r w:rsidRPr="00416C64">
        <w:rPr>
          <w:rStyle w:val="CommentReference"/>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462"/>
      </w:tblGrid>
      <w:tr w:rsidR="0072537B" w:rsidRPr="00416C64" w:rsidTr="0072537B">
        <w:tc>
          <w:tcPr>
            <w:tcW w:w="862" w:type="pct"/>
            <w:vAlign w:val="center"/>
          </w:tcPr>
          <w:p w:rsidR="0072537B" w:rsidRPr="00416C64" w:rsidRDefault="0072537B" w:rsidP="005A2C9B">
            <w:pPr>
              <w:pStyle w:val="Tabletext"/>
              <w:keepNext/>
              <w:rPr>
                <w:b/>
              </w:rPr>
            </w:pPr>
            <w:r w:rsidRPr="00416C64">
              <w:rPr>
                <w:b/>
              </w:rPr>
              <w:t>Component</w:t>
            </w:r>
          </w:p>
        </w:tc>
        <w:tc>
          <w:tcPr>
            <w:tcW w:w="4138" w:type="pct"/>
          </w:tcPr>
          <w:p w:rsidR="0072537B" w:rsidRPr="00416C64" w:rsidRDefault="0072537B" w:rsidP="005A2C9B">
            <w:pPr>
              <w:pStyle w:val="Tabletext"/>
              <w:keepNext/>
              <w:jc w:val="center"/>
              <w:rPr>
                <w:b/>
              </w:rPr>
            </w:pPr>
            <w:r w:rsidRPr="00416C64">
              <w:rPr>
                <w:b/>
              </w:rPr>
              <w:t>Description</w:t>
            </w:r>
          </w:p>
        </w:tc>
      </w:tr>
      <w:tr w:rsidR="0072537B" w:rsidRPr="00416C64" w:rsidTr="0072537B">
        <w:tc>
          <w:tcPr>
            <w:tcW w:w="862" w:type="pct"/>
            <w:vAlign w:val="center"/>
          </w:tcPr>
          <w:p w:rsidR="0072537B" w:rsidRPr="00416C64" w:rsidRDefault="0072537B" w:rsidP="005A2C9B">
            <w:pPr>
              <w:pStyle w:val="Tabletext"/>
              <w:keepNext/>
            </w:pPr>
            <w:r w:rsidRPr="00416C64">
              <w:t>Type of analysis</w:t>
            </w:r>
          </w:p>
        </w:tc>
        <w:tc>
          <w:tcPr>
            <w:tcW w:w="4138" w:type="pct"/>
          </w:tcPr>
          <w:p w:rsidR="0072537B" w:rsidRPr="00416C64" w:rsidRDefault="0072537B" w:rsidP="005A2C9B">
            <w:pPr>
              <w:pStyle w:val="Tabletext"/>
              <w:keepNext/>
            </w:pPr>
            <w:r w:rsidRPr="00416C64">
              <w:t>Cost-utility analysis</w:t>
            </w:r>
          </w:p>
        </w:tc>
      </w:tr>
      <w:tr w:rsidR="0072537B" w:rsidRPr="00416C64" w:rsidTr="0072537B">
        <w:tc>
          <w:tcPr>
            <w:tcW w:w="862" w:type="pct"/>
            <w:vAlign w:val="center"/>
          </w:tcPr>
          <w:p w:rsidR="0072537B" w:rsidRPr="00416C64" w:rsidRDefault="0072537B" w:rsidP="005A2C9B">
            <w:pPr>
              <w:pStyle w:val="Tabletext"/>
              <w:keepNext/>
            </w:pPr>
            <w:r w:rsidRPr="00416C64">
              <w:t>Outcomes</w:t>
            </w:r>
          </w:p>
        </w:tc>
        <w:tc>
          <w:tcPr>
            <w:tcW w:w="4138" w:type="pct"/>
          </w:tcPr>
          <w:p w:rsidR="0072537B" w:rsidRPr="00416C64" w:rsidRDefault="0072537B" w:rsidP="005A2C9B">
            <w:pPr>
              <w:pStyle w:val="Tabletext"/>
              <w:keepNext/>
            </w:pPr>
            <w:r w:rsidRPr="00416C64">
              <w:t>Life years gained, quality-adjusted life years</w:t>
            </w:r>
          </w:p>
        </w:tc>
      </w:tr>
      <w:tr w:rsidR="0072537B" w:rsidRPr="00416C64" w:rsidTr="0072537B">
        <w:tc>
          <w:tcPr>
            <w:tcW w:w="862" w:type="pct"/>
            <w:vAlign w:val="center"/>
          </w:tcPr>
          <w:p w:rsidR="0072537B" w:rsidRPr="00416C64" w:rsidRDefault="0072537B" w:rsidP="005A2C9B">
            <w:pPr>
              <w:pStyle w:val="Tabletext"/>
              <w:keepNext/>
            </w:pPr>
            <w:r w:rsidRPr="00416C64">
              <w:t>Time horizon</w:t>
            </w:r>
          </w:p>
        </w:tc>
        <w:tc>
          <w:tcPr>
            <w:tcW w:w="4138" w:type="pct"/>
          </w:tcPr>
          <w:p w:rsidR="0072537B" w:rsidRPr="00416C64" w:rsidRDefault="0072537B" w:rsidP="005A2C9B">
            <w:pPr>
              <w:pStyle w:val="Tabletext"/>
              <w:keepNext/>
            </w:pPr>
            <w:r w:rsidRPr="00416C64">
              <w:t>10 years in the model base case vs. 1 year in the key trial</w:t>
            </w:r>
          </w:p>
        </w:tc>
      </w:tr>
      <w:tr w:rsidR="0072537B" w:rsidRPr="00416C64" w:rsidTr="0072537B">
        <w:tc>
          <w:tcPr>
            <w:tcW w:w="862" w:type="pct"/>
            <w:vAlign w:val="center"/>
          </w:tcPr>
          <w:p w:rsidR="0072537B" w:rsidRPr="00416C64" w:rsidRDefault="0072537B" w:rsidP="005A2C9B">
            <w:pPr>
              <w:pStyle w:val="Tabletext"/>
              <w:keepNext/>
            </w:pPr>
            <w:r w:rsidRPr="00416C64">
              <w:t>Methods used to generate results</w:t>
            </w:r>
          </w:p>
        </w:tc>
        <w:tc>
          <w:tcPr>
            <w:tcW w:w="4138" w:type="pct"/>
          </w:tcPr>
          <w:p w:rsidR="0072537B" w:rsidRPr="00416C64" w:rsidRDefault="0072537B" w:rsidP="005A2C9B">
            <w:pPr>
              <w:pStyle w:val="Tabletext"/>
              <w:keepNext/>
            </w:pPr>
            <w:r w:rsidRPr="00416C64">
              <w:t>Trial-based decision tree (1 year) then Markov model (9 years)</w:t>
            </w:r>
          </w:p>
        </w:tc>
      </w:tr>
      <w:tr w:rsidR="0072537B" w:rsidRPr="00416C64" w:rsidTr="0072537B">
        <w:tc>
          <w:tcPr>
            <w:tcW w:w="862" w:type="pct"/>
            <w:vAlign w:val="center"/>
          </w:tcPr>
          <w:p w:rsidR="0072537B" w:rsidRPr="00416C64" w:rsidRDefault="0072537B" w:rsidP="005A2C9B">
            <w:pPr>
              <w:pStyle w:val="Tabletext"/>
              <w:keepNext/>
            </w:pPr>
            <w:r w:rsidRPr="00416C64">
              <w:t>Health states</w:t>
            </w:r>
          </w:p>
        </w:tc>
        <w:tc>
          <w:tcPr>
            <w:tcW w:w="4138" w:type="pct"/>
          </w:tcPr>
          <w:p w:rsidR="0072537B" w:rsidRPr="00416C64" w:rsidRDefault="0072537B" w:rsidP="005A2C9B">
            <w:pPr>
              <w:pStyle w:val="Tabletext"/>
              <w:keepNext/>
            </w:pPr>
            <w:r w:rsidRPr="00416C64">
              <w:t xml:space="preserve">Model includes </w:t>
            </w:r>
            <w:r w:rsidRPr="00416C64">
              <w:rPr>
                <w:i/>
                <w:iCs/>
              </w:rPr>
              <w:t>7</w:t>
            </w:r>
            <w:r w:rsidRPr="00416C64">
              <w:t xml:space="preserve"> health states b</w:t>
            </w:r>
            <w:r w:rsidR="000E3D53" w:rsidRPr="00416C64">
              <w:t>ased on</w:t>
            </w:r>
            <w:r w:rsidRPr="00416C64">
              <w:t xml:space="preserve"> FEV1%</w:t>
            </w:r>
            <w:r w:rsidR="001E6A92" w:rsidRPr="00416C64">
              <w:t xml:space="preserve"> predicted</w:t>
            </w:r>
            <w:r w:rsidRPr="00416C64">
              <w:t xml:space="preserve"> category and history of recent exacerbations within the past year, as well as dead.</w:t>
            </w:r>
          </w:p>
          <w:p w:rsidR="0072537B" w:rsidRPr="00416C64" w:rsidRDefault="0072537B" w:rsidP="005A2C9B">
            <w:pPr>
              <w:pStyle w:val="Tabletext"/>
              <w:keepNext/>
              <w:numPr>
                <w:ilvl w:val="0"/>
                <w:numId w:val="1"/>
              </w:numPr>
              <w:ind w:left="253" w:hanging="184"/>
            </w:pPr>
            <w:r w:rsidRPr="00416C64">
              <w:t>FEV1% 50</w:t>
            </w:r>
            <w:r w:rsidR="00A25FE4" w:rsidRPr="00416C64">
              <w:t>&lt;</w:t>
            </w:r>
            <w:r w:rsidRPr="00416C64">
              <w:t>80 (‘moderate’ COPD), no recent history of exacerbations (&lt;12m)</w:t>
            </w:r>
          </w:p>
          <w:p w:rsidR="0072537B" w:rsidRPr="00416C64" w:rsidRDefault="0072537B" w:rsidP="005A2C9B">
            <w:pPr>
              <w:pStyle w:val="Tabletext"/>
              <w:keepNext/>
              <w:numPr>
                <w:ilvl w:val="0"/>
                <w:numId w:val="1"/>
              </w:numPr>
              <w:ind w:left="253" w:hanging="184"/>
            </w:pPr>
            <w:r w:rsidRPr="00416C64">
              <w:t>FEV1% 50</w:t>
            </w:r>
            <w:r w:rsidR="00A25FE4" w:rsidRPr="00416C64">
              <w:t>&lt;</w:t>
            </w:r>
            <w:r w:rsidRPr="00416C64">
              <w:t>80 (‘moderate’ COPD), recent history of exacerbations (&lt;12m)</w:t>
            </w:r>
          </w:p>
          <w:p w:rsidR="0072537B" w:rsidRPr="00416C64" w:rsidRDefault="0072537B" w:rsidP="005A2C9B">
            <w:pPr>
              <w:pStyle w:val="Tabletext"/>
              <w:keepNext/>
              <w:numPr>
                <w:ilvl w:val="0"/>
                <w:numId w:val="1"/>
              </w:numPr>
              <w:ind w:left="253" w:hanging="184"/>
            </w:pPr>
            <w:r w:rsidRPr="00416C64">
              <w:t>FEV1% 30&lt;50 (‘severe’ COPD), no recent history of exacerbations (&lt;12m)</w:t>
            </w:r>
          </w:p>
          <w:p w:rsidR="0072537B" w:rsidRPr="00416C64" w:rsidRDefault="0072537B" w:rsidP="005A2C9B">
            <w:pPr>
              <w:pStyle w:val="Tabletext"/>
              <w:keepNext/>
              <w:numPr>
                <w:ilvl w:val="0"/>
                <w:numId w:val="1"/>
              </w:numPr>
              <w:ind w:left="253" w:hanging="184"/>
            </w:pPr>
            <w:r w:rsidRPr="00416C64">
              <w:t>FEV1% 30&lt;50 (‘severe’ COPD), recent history of exacerbations (&lt;12m)</w:t>
            </w:r>
          </w:p>
          <w:p w:rsidR="0072537B" w:rsidRPr="00416C64" w:rsidRDefault="0072537B" w:rsidP="005A2C9B">
            <w:pPr>
              <w:pStyle w:val="Tabletext"/>
              <w:keepNext/>
              <w:numPr>
                <w:ilvl w:val="0"/>
                <w:numId w:val="1"/>
              </w:numPr>
              <w:ind w:left="253" w:hanging="184"/>
            </w:pPr>
            <w:r w:rsidRPr="00416C64">
              <w:t>FEV1% &lt;30 (‘very severe’ COPD), no recent history of exacerbations (&lt;12m)</w:t>
            </w:r>
          </w:p>
          <w:p w:rsidR="0072537B" w:rsidRPr="00416C64" w:rsidRDefault="0072537B" w:rsidP="005A2C9B">
            <w:pPr>
              <w:pStyle w:val="Tabletext"/>
              <w:keepNext/>
              <w:numPr>
                <w:ilvl w:val="0"/>
                <w:numId w:val="1"/>
              </w:numPr>
              <w:ind w:left="253" w:hanging="184"/>
            </w:pPr>
            <w:r w:rsidRPr="00416C64">
              <w:t>FEV1% &lt;30 (‘very severe’ COPD), recent history of exacerbations (&lt;12m)</w:t>
            </w:r>
          </w:p>
          <w:p w:rsidR="0072537B" w:rsidRPr="00416C64" w:rsidRDefault="0072537B" w:rsidP="005A2C9B">
            <w:pPr>
              <w:pStyle w:val="Tabletext"/>
              <w:keepNext/>
              <w:numPr>
                <w:ilvl w:val="0"/>
                <w:numId w:val="1"/>
              </w:numPr>
              <w:ind w:left="253" w:hanging="184"/>
            </w:pPr>
            <w:r w:rsidRPr="00416C64">
              <w:t>Dead</w:t>
            </w:r>
          </w:p>
        </w:tc>
      </w:tr>
      <w:tr w:rsidR="0072537B" w:rsidRPr="00416C64" w:rsidTr="0072537B">
        <w:tc>
          <w:tcPr>
            <w:tcW w:w="862" w:type="pct"/>
            <w:vAlign w:val="center"/>
          </w:tcPr>
          <w:p w:rsidR="0072537B" w:rsidRPr="00416C64" w:rsidRDefault="0072537B" w:rsidP="005A2C9B">
            <w:pPr>
              <w:pStyle w:val="Tabletext"/>
              <w:keepNext/>
            </w:pPr>
            <w:r w:rsidRPr="00416C64">
              <w:t>Cycle length</w:t>
            </w:r>
          </w:p>
        </w:tc>
        <w:tc>
          <w:tcPr>
            <w:tcW w:w="4138" w:type="pct"/>
          </w:tcPr>
          <w:p w:rsidR="0072537B" w:rsidRPr="00416C64" w:rsidRDefault="0072537B" w:rsidP="005A2C9B">
            <w:pPr>
              <w:pStyle w:val="Tabletext"/>
              <w:keepNext/>
            </w:pPr>
            <w:r w:rsidRPr="00416C64">
              <w:t>1 year (half-cycle corrected)</w:t>
            </w:r>
          </w:p>
        </w:tc>
      </w:tr>
      <w:tr w:rsidR="0072537B" w:rsidRPr="00416C64" w:rsidTr="0072537B">
        <w:tc>
          <w:tcPr>
            <w:tcW w:w="862" w:type="pct"/>
            <w:vAlign w:val="center"/>
          </w:tcPr>
          <w:p w:rsidR="0072537B" w:rsidRPr="00416C64" w:rsidRDefault="0072537B" w:rsidP="005A2C9B">
            <w:pPr>
              <w:pStyle w:val="Tabletext"/>
              <w:keepNext/>
            </w:pPr>
            <w:r w:rsidRPr="00416C64">
              <w:t>Transition probabilities</w:t>
            </w:r>
          </w:p>
        </w:tc>
        <w:tc>
          <w:tcPr>
            <w:tcW w:w="4138" w:type="pct"/>
          </w:tcPr>
          <w:p w:rsidR="0072537B" w:rsidRPr="00416C64" w:rsidRDefault="0072537B" w:rsidP="005A2C9B">
            <w:pPr>
              <w:pStyle w:val="Tabletext"/>
              <w:keepNext/>
            </w:pPr>
            <w:r w:rsidRPr="00CF4045">
              <w:t>A post-hoc analysis</w:t>
            </w:r>
            <w:r w:rsidRPr="00416C64">
              <w:t xml:space="preserve"> of the IMPACT</w:t>
            </w:r>
            <w:r w:rsidR="00133DF3" w:rsidRPr="00416C64">
              <w:t xml:space="preserve"> trial</w:t>
            </w:r>
            <w:r w:rsidRPr="00416C64">
              <w:t xml:space="preserve"> informs the distribution across the health states at 1 year.</w:t>
            </w:r>
            <w:r w:rsidR="00393D5D" w:rsidRPr="00416C64">
              <w:t xml:space="preserve"> </w:t>
            </w:r>
            <w:r w:rsidRPr="00416C64">
              <w:t xml:space="preserve">Two regressions estimated from TORCH (a 3 year RCT) and mortality estimates from </w:t>
            </w:r>
            <w:proofErr w:type="spellStart"/>
            <w:r w:rsidRPr="00416C64">
              <w:t>Afonso</w:t>
            </w:r>
            <w:proofErr w:type="spellEnd"/>
            <w:r w:rsidRPr="00416C64">
              <w:t xml:space="preserve"> et al 2011 inform the transition across the health states thereafter in the Markov model.</w:t>
            </w:r>
            <w:r w:rsidR="00393D5D" w:rsidRPr="00416C64">
              <w:t xml:space="preserve"> </w:t>
            </w:r>
            <w:r w:rsidRPr="00416C64">
              <w:t>The first regression of TORCH data estimates the decline in FEV1 over time as a function of recent exacerbations.</w:t>
            </w:r>
            <w:r w:rsidR="00393D5D" w:rsidRPr="00416C64">
              <w:t xml:space="preserve"> </w:t>
            </w:r>
            <w:r w:rsidRPr="00416C64">
              <w:t>The second regression of TORCH data estimates the rate of exacerbations as a function of FEV1% predicted and recent exacerbations.</w:t>
            </w:r>
          </w:p>
        </w:tc>
      </w:tr>
      <w:tr w:rsidR="0072537B" w:rsidRPr="00416C64" w:rsidTr="0072537B">
        <w:tc>
          <w:tcPr>
            <w:tcW w:w="862" w:type="pct"/>
            <w:vAlign w:val="center"/>
          </w:tcPr>
          <w:p w:rsidR="0072537B" w:rsidRPr="00416C64" w:rsidRDefault="0072537B" w:rsidP="005A2C9B">
            <w:pPr>
              <w:pStyle w:val="Tabletext"/>
              <w:keepNext/>
            </w:pPr>
            <w:r w:rsidRPr="00416C64">
              <w:t>Utilities</w:t>
            </w:r>
          </w:p>
        </w:tc>
        <w:tc>
          <w:tcPr>
            <w:tcW w:w="4138" w:type="pct"/>
          </w:tcPr>
          <w:p w:rsidR="0072537B" w:rsidRPr="00416C64" w:rsidRDefault="0072537B" w:rsidP="005A2C9B">
            <w:pPr>
              <w:pStyle w:val="Tabletext"/>
              <w:keepNext/>
            </w:pPr>
            <w:r w:rsidRPr="00416C64">
              <w:t xml:space="preserve">Trial-based utility by treatment arm; utilities for FEV1% predicted health states informed by Rutten-van </w:t>
            </w:r>
            <w:proofErr w:type="spellStart"/>
            <w:r w:rsidRPr="00416C64">
              <w:t>Molken</w:t>
            </w:r>
            <w:proofErr w:type="spellEnd"/>
            <w:r w:rsidRPr="00416C64">
              <w:t xml:space="preserve"> et al 2006; disutility for clinical events informed by NICE COPD guidelines 2012.</w:t>
            </w:r>
          </w:p>
        </w:tc>
      </w:tr>
      <w:tr w:rsidR="0072537B" w:rsidRPr="00416C64" w:rsidTr="0072537B">
        <w:tc>
          <w:tcPr>
            <w:tcW w:w="862" w:type="pct"/>
            <w:vAlign w:val="center"/>
          </w:tcPr>
          <w:p w:rsidR="0072537B" w:rsidRPr="00416C64" w:rsidRDefault="0072537B" w:rsidP="005A2C9B">
            <w:pPr>
              <w:pStyle w:val="Tabletext"/>
              <w:keepNext/>
            </w:pPr>
            <w:r w:rsidRPr="00416C64">
              <w:t>Costs</w:t>
            </w:r>
          </w:p>
        </w:tc>
        <w:tc>
          <w:tcPr>
            <w:tcW w:w="4138" w:type="pct"/>
          </w:tcPr>
          <w:p w:rsidR="0072537B" w:rsidRPr="00416C64" w:rsidRDefault="0072537B" w:rsidP="005A2C9B">
            <w:pPr>
              <w:pStyle w:val="Tabletext"/>
              <w:keepNext/>
            </w:pPr>
            <w:r w:rsidRPr="00416C64">
              <w:t>Included costs associated with treatment, replacement therapy (discontinuation), maintenance, exacerbation and pneumonia.</w:t>
            </w:r>
          </w:p>
        </w:tc>
      </w:tr>
      <w:tr w:rsidR="0072537B" w:rsidRPr="00416C64" w:rsidTr="0072537B">
        <w:tc>
          <w:tcPr>
            <w:tcW w:w="862" w:type="pct"/>
            <w:vAlign w:val="center"/>
          </w:tcPr>
          <w:p w:rsidR="0072537B" w:rsidRPr="00416C64" w:rsidRDefault="0072537B" w:rsidP="005A2C9B">
            <w:pPr>
              <w:pStyle w:val="Tabletext"/>
              <w:keepNext/>
            </w:pPr>
            <w:r w:rsidRPr="00416C64">
              <w:t>Software package</w:t>
            </w:r>
          </w:p>
        </w:tc>
        <w:tc>
          <w:tcPr>
            <w:tcW w:w="4138" w:type="pct"/>
          </w:tcPr>
          <w:p w:rsidR="0072537B" w:rsidRPr="00416C64" w:rsidRDefault="0072537B" w:rsidP="005A2C9B">
            <w:pPr>
              <w:pStyle w:val="Tabletext"/>
              <w:keepNext/>
            </w:pPr>
            <w:r w:rsidRPr="00416C64">
              <w:t>Microsoft Excel.</w:t>
            </w:r>
          </w:p>
        </w:tc>
      </w:tr>
    </w:tbl>
    <w:p w:rsidR="0072537B" w:rsidRPr="00416C64" w:rsidRDefault="0072537B" w:rsidP="005A2C9B">
      <w:pPr>
        <w:pStyle w:val="TableFooter"/>
        <w:widowControl/>
      </w:pPr>
      <w:r w:rsidRPr="00416C64">
        <w:t xml:space="preserve">Abbreviations: COPD=chronic obstructive pulmonary disease; FEV1=forced expiratory volume in one second; FF=fluticasone fumarate; </w:t>
      </w:r>
      <w:r w:rsidR="00344894" w:rsidRPr="00416C64">
        <w:t xml:space="preserve">RCT=randomised controlled trial; </w:t>
      </w:r>
      <w:r w:rsidRPr="00416C64">
        <w:t>UMEC=</w:t>
      </w:r>
      <w:proofErr w:type="spellStart"/>
      <w:r w:rsidRPr="00416C64">
        <w:t>umeclidinium</w:t>
      </w:r>
      <w:proofErr w:type="spellEnd"/>
      <w:r w:rsidRPr="00416C64">
        <w:t>; VI=</w:t>
      </w:r>
      <w:proofErr w:type="spellStart"/>
      <w:r w:rsidRPr="00416C64">
        <w:t>vilanterol</w:t>
      </w:r>
      <w:proofErr w:type="spellEnd"/>
      <w:r w:rsidR="00387045" w:rsidRPr="00416C64">
        <w:t>.</w:t>
      </w:r>
    </w:p>
    <w:p w:rsidR="0072537B" w:rsidRDefault="0072537B" w:rsidP="005A2C9B">
      <w:pPr>
        <w:pStyle w:val="TableFooter"/>
        <w:widowControl/>
      </w:pPr>
      <w:r w:rsidRPr="00416C64">
        <w:t>Source: Table 52, p108 of the submission</w:t>
      </w:r>
    </w:p>
    <w:p w:rsidR="005A2C9B" w:rsidRPr="00416C64" w:rsidRDefault="005A2C9B" w:rsidP="005A2C9B">
      <w:pPr>
        <w:pStyle w:val="TableFooter"/>
        <w:widowControl/>
        <w:rPr>
          <w:sz w:val="20"/>
        </w:rPr>
      </w:pPr>
    </w:p>
    <w:p w:rsidR="00FF63F2" w:rsidRPr="00416C64" w:rsidRDefault="004B7FE8" w:rsidP="005A2C9B">
      <w:pPr>
        <w:pStyle w:val="ListParagraph"/>
        <w:widowControl/>
        <w:numPr>
          <w:ilvl w:val="1"/>
          <w:numId w:val="3"/>
        </w:numPr>
      </w:pPr>
      <w:r w:rsidRPr="00416C64">
        <w:t xml:space="preserve">The modelled analysis consisted of </w:t>
      </w:r>
      <w:r w:rsidR="00FF63F2" w:rsidRPr="00416C64">
        <w:t>a short-term trial-based model based on costs and outcomes measured in IMPACT (1 year) and a long-term Markov model to extrapolate costs and outcomes into the future (to 10 years).</w:t>
      </w:r>
      <w:r w:rsidR="00393D5D" w:rsidRPr="00416C64">
        <w:t xml:space="preserve"> </w:t>
      </w:r>
    </w:p>
    <w:p w:rsidR="00FF63F2" w:rsidRPr="00416C64" w:rsidRDefault="00AE7B24" w:rsidP="005A2C9B">
      <w:pPr>
        <w:pStyle w:val="ListParagraph"/>
        <w:widowControl/>
        <w:numPr>
          <w:ilvl w:val="1"/>
          <w:numId w:val="3"/>
        </w:numPr>
      </w:pPr>
      <w:r w:rsidRPr="00416C64">
        <w:rPr>
          <w:u w:val="single"/>
        </w:rPr>
        <w:t>Short-term trial-based model</w:t>
      </w:r>
      <w:r w:rsidRPr="00416C64">
        <w:t xml:space="preserve">: </w:t>
      </w:r>
      <w:r w:rsidR="00FF63F2" w:rsidRPr="00416C64">
        <w:t xml:space="preserve">Post-hoc analysis of IMPACT trial data informed the proportion of patients starting in each of the three FEV1 </w:t>
      </w:r>
      <w:r w:rsidR="00344894" w:rsidRPr="00416C64">
        <w:t xml:space="preserve">% </w:t>
      </w:r>
      <w:r w:rsidR="00FF63F2" w:rsidRPr="00416C64">
        <w:t xml:space="preserve">predicted health states at Week 0 and the proportion of patients in each of the FEV1 </w:t>
      </w:r>
      <w:r w:rsidR="00344894" w:rsidRPr="00416C64">
        <w:t xml:space="preserve">% </w:t>
      </w:r>
      <w:r w:rsidR="00FF63F2" w:rsidRPr="00416C64">
        <w:t>predicted health states with and without recent exacerbation at Week 52.</w:t>
      </w:r>
      <w:r w:rsidR="00393D5D" w:rsidRPr="00416C64">
        <w:t xml:space="preserve"> </w:t>
      </w:r>
      <w:r w:rsidR="00FF63F2" w:rsidRPr="00416C64">
        <w:t>Within trial mortality was used to adjust the distribution across the health states at Week 52.</w:t>
      </w:r>
      <w:r w:rsidR="00393D5D" w:rsidRPr="00416C64">
        <w:t xml:space="preserve"> </w:t>
      </w:r>
      <w:r w:rsidR="00FF63F2" w:rsidRPr="00416C64">
        <w:t xml:space="preserve">The post-hoc analysis also informed the proportion of patients who discontinued treatment by Week 52, and the </w:t>
      </w:r>
      <w:r w:rsidR="00FF63F2" w:rsidRPr="00416C64">
        <w:lastRenderedPageBreak/>
        <w:t>number of moderate exacerbations, severe exacerbations and episodes of pneumonia</w:t>
      </w:r>
      <w:r w:rsidRPr="00416C64">
        <w:t>.</w:t>
      </w:r>
      <w:r w:rsidR="00393D5D" w:rsidRPr="00416C64">
        <w:t xml:space="preserve"> </w:t>
      </w:r>
      <w:r w:rsidR="00FF63F2" w:rsidRPr="00416C64">
        <w:t>Patients could discontinue treatment and commence replacement therapy (any COPD me</w:t>
      </w:r>
      <w:r w:rsidR="001E0A0F" w:rsidRPr="00416C64">
        <w:t>dication) based on IMPACT.</w:t>
      </w:r>
      <w:r w:rsidR="0037426B" w:rsidRPr="00416C64">
        <w:t xml:space="preserve"> </w:t>
      </w:r>
      <w:r w:rsidR="00DC6342" w:rsidRPr="00416C64">
        <w:t xml:space="preserve"> The ESC noted that the majority of the treatment effect occu</w:t>
      </w:r>
      <w:r w:rsidR="00AD4DD4" w:rsidRPr="00416C64">
        <w:t>r</w:t>
      </w:r>
      <w:r w:rsidR="00DC6342" w:rsidRPr="00416C64">
        <w:t>r</w:t>
      </w:r>
      <w:r w:rsidR="00AD4DD4" w:rsidRPr="00416C64">
        <w:t>ed</w:t>
      </w:r>
      <w:r w:rsidR="00DC6342" w:rsidRPr="00416C64">
        <w:t xml:space="preserve"> within the first twelve months of the model. </w:t>
      </w:r>
    </w:p>
    <w:p w:rsidR="001E0A0F" w:rsidRPr="00416C64" w:rsidRDefault="001E0A0F" w:rsidP="005A2C9B">
      <w:pPr>
        <w:pStyle w:val="ListParagraph"/>
        <w:widowControl/>
        <w:numPr>
          <w:ilvl w:val="1"/>
          <w:numId w:val="3"/>
        </w:numPr>
      </w:pPr>
      <w:r w:rsidRPr="00416C64">
        <w:rPr>
          <w:u w:val="single"/>
        </w:rPr>
        <w:t>Long-term Markov model</w:t>
      </w:r>
      <w:r w:rsidRPr="00416C64">
        <w:t>: Patients commenced in the Markov model in the corresponding health state at the end of the trial-based model.</w:t>
      </w:r>
      <w:r w:rsidR="00393D5D" w:rsidRPr="00416C64">
        <w:t xml:space="preserve"> </w:t>
      </w:r>
      <w:r w:rsidRPr="00416C64">
        <w:t>In each model cycle, patients either remained in the same FEV1 % predicted health state, transitioned to the subsequent and more severe FEV1 % predicted health state, or died.</w:t>
      </w:r>
      <w:r w:rsidR="00393D5D" w:rsidRPr="00416C64">
        <w:t xml:space="preserve"> </w:t>
      </w:r>
      <w:r w:rsidRPr="00416C64">
        <w:t xml:space="preserve">The proportion of patients with acute exacerbation in the previous cycle determined the distribution across the FEV1 % </w:t>
      </w:r>
      <w:r w:rsidR="00344894" w:rsidRPr="00416C64">
        <w:t xml:space="preserve">predicted </w:t>
      </w:r>
      <w:r w:rsidRPr="00416C64">
        <w:t>health states with or without recent history of exacerbation.</w:t>
      </w:r>
      <w:r w:rsidR="00393D5D" w:rsidRPr="00416C64">
        <w:t xml:space="preserve"> </w:t>
      </w:r>
      <w:r w:rsidRPr="00416C64">
        <w:t>Patients could also experience an acute episode of pneumonia in each cycle that did not impact on mortality or other transitions.</w:t>
      </w:r>
      <w:r w:rsidR="00393D5D" w:rsidRPr="00416C64">
        <w:t xml:space="preserve"> </w:t>
      </w:r>
      <w:r w:rsidRPr="00416C64">
        <w:t>There was no further treatment discontinuation in the Markov model.</w:t>
      </w:r>
    </w:p>
    <w:p w:rsidR="00C01B0E" w:rsidRPr="00416C64" w:rsidRDefault="00F1027D" w:rsidP="005A2C9B">
      <w:pPr>
        <w:pStyle w:val="ListParagraph"/>
        <w:widowControl/>
        <w:numPr>
          <w:ilvl w:val="1"/>
          <w:numId w:val="3"/>
        </w:numPr>
      </w:pPr>
      <w:r w:rsidRPr="00416C64">
        <w:t xml:space="preserve">The treatment effect in the trial-based </w:t>
      </w:r>
      <w:r w:rsidR="00891EED" w:rsidRPr="00416C64">
        <w:t>model</w:t>
      </w:r>
      <w:r w:rsidRPr="00416C64">
        <w:t xml:space="preserve"> </w:t>
      </w:r>
      <w:r w:rsidR="00891EED" w:rsidRPr="00416C64">
        <w:t>were</w:t>
      </w:r>
      <w:r w:rsidRPr="00416C64">
        <w:t xml:space="preserve"> </w:t>
      </w:r>
      <w:r w:rsidR="00891EED" w:rsidRPr="00416C64">
        <w:t xml:space="preserve">the </w:t>
      </w:r>
      <w:r w:rsidRPr="00416C64">
        <w:t xml:space="preserve">direct effects reported in IMPACT, including </w:t>
      </w:r>
      <w:r w:rsidRPr="00416C64">
        <w:rPr>
          <w:iCs/>
        </w:rPr>
        <w:t>fewer</w:t>
      </w:r>
      <w:r w:rsidRPr="00416C64">
        <w:t xml:space="preserve"> exacerbations, improved mortality and better lung function causing a one-time shift in the distribution of the population across health states.</w:t>
      </w:r>
      <w:r w:rsidR="00393D5D" w:rsidRPr="00416C64">
        <w:t xml:space="preserve"> </w:t>
      </w:r>
      <w:r w:rsidR="00C01B0E" w:rsidRPr="00416C64">
        <w:t>T</w:t>
      </w:r>
      <w:r w:rsidR="005E58F1" w:rsidRPr="00416C64">
        <w:t>h</w:t>
      </w:r>
      <w:r w:rsidR="00C01B0E" w:rsidRPr="00416C64">
        <w:t xml:space="preserve">e model calculated trial-based </w:t>
      </w:r>
      <w:r w:rsidR="00344894" w:rsidRPr="00416C64">
        <w:t>quality adjusted life years (</w:t>
      </w:r>
      <w:r w:rsidR="00C01B0E" w:rsidRPr="00416C64">
        <w:t>QALYs</w:t>
      </w:r>
      <w:r w:rsidR="00344894" w:rsidRPr="00416C64">
        <w:t>)</w:t>
      </w:r>
      <w:r w:rsidR="00C01B0E" w:rsidRPr="00416C64">
        <w:t xml:space="preserve"> directly from IMPACT EQ-5D data by estimating the area under the curve at Week 26 and Week 52, adjusted for disutility associated with exacerbation and pneumonia.</w:t>
      </w:r>
      <w:r w:rsidR="00393D5D" w:rsidRPr="00416C64">
        <w:t xml:space="preserve"> </w:t>
      </w:r>
      <w:r w:rsidR="00A56F4E" w:rsidRPr="00416C64">
        <w:rPr>
          <w:iCs/>
        </w:rPr>
        <w:t>The submission did not present the full methodology or the adjustment for disutility, and so there may be some potential for double counting given the EQ-5D likely incorporated some disutility associated with clinical events.</w:t>
      </w:r>
      <w:r w:rsidR="00393D5D" w:rsidRPr="00416C64">
        <w:rPr>
          <w:iCs/>
        </w:rPr>
        <w:t xml:space="preserve"> </w:t>
      </w:r>
      <w:r w:rsidR="00A56F4E" w:rsidRPr="00416C64">
        <w:rPr>
          <w:iCs/>
        </w:rPr>
        <w:t>The methodology also likely incorporated the small survival benefit for triple therapy reported in IMPACT, which was considered “fragile”.</w:t>
      </w:r>
      <w:r w:rsidR="00393D5D" w:rsidRPr="00416C64">
        <w:rPr>
          <w:iCs/>
        </w:rPr>
        <w:t xml:space="preserve"> </w:t>
      </w:r>
      <w:r w:rsidR="00A56F4E" w:rsidRPr="00416C64">
        <w:rPr>
          <w:iCs/>
        </w:rPr>
        <w:t xml:space="preserve">However, </w:t>
      </w:r>
      <w:r w:rsidR="00AD4DD4" w:rsidRPr="00416C64">
        <w:rPr>
          <w:iCs/>
        </w:rPr>
        <w:t xml:space="preserve">the ESC agreed that </w:t>
      </w:r>
      <w:r w:rsidR="00A56F4E" w:rsidRPr="00416C64">
        <w:rPr>
          <w:iCs/>
        </w:rPr>
        <w:t xml:space="preserve">the incremental QALY gain </w:t>
      </w:r>
      <w:r w:rsidR="00A56F4E" w:rsidRPr="000B2A82">
        <w:rPr>
          <w:iCs/>
        </w:rPr>
        <w:t xml:space="preserve">of </w:t>
      </w:r>
      <w:r w:rsidR="00B74049">
        <w:rPr>
          <w:iCs/>
          <w:noProof/>
          <w:color w:val="000000"/>
          <w:highlight w:val="black"/>
        </w:rPr>
        <w:t>'''''''''''</w:t>
      </w:r>
      <w:r w:rsidR="00A56F4E" w:rsidRPr="000B2A82">
        <w:rPr>
          <w:iCs/>
        </w:rPr>
        <w:t xml:space="preserve"> in</w:t>
      </w:r>
      <w:r w:rsidR="00A56F4E" w:rsidRPr="00416C64">
        <w:rPr>
          <w:iCs/>
        </w:rPr>
        <w:t xml:space="preserve"> the trial period appeared reasonable.</w:t>
      </w:r>
      <w:r w:rsidR="00393D5D" w:rsidRPr="00416C64">
        <w:t xml:space="preserve"> </w:t>
      </w:r>
      <w:r w:rsidR="0067660B" w:rsidRPr="00416C64">
        <w:t>The PSCR stated</w:t>
      </w:r>
      <w:r w:rsidR="009D3620" w:rsidRPr="00416C64">
        <w:t xml:space="preserve"> that the trial-based and Markov models applied disutility due to exacerbation and pneumonia in the same way.</w:t>
      </w:r>
      <w:r w:rsidR="0067660B" w:rsidRPr="00416C64">
        <w:t xml:space="preserve"> The PSCR also stated that with EQ-5D data collected at only two-time points, the potential for double counting is minimal. </w:t>
      </w:r>
      <w:r w:rsidR="005120ED" w:rsidRPr="00416C64">
        <w:t xml:space="preserve">The ESC </w:t>
      </w:r>
      <w:r w:rsidR="00E0249E" w:rsidRPr="00416C64">
        <w:t>agreed</w:t>
      </w:r>
      <w:r w:rsidR="005120ED" w:rsidRPr="00416C64">
        <w:t xml:space="preserve"> the </w:t>
      </w:r>
      <w:r w:rsidR="0067660B" w:rsidRPr="00416C64">
        <w:t xml:space="preserve">impact of </w:t>
      </w:r>
      <w:r w:rsidR="005120ED" w:rsidRPr="00416C64">
        <w:t>double count</w:t>
      </w:r>
      <w:r w:rsidR="00207E15" w:rsidRPr="00416C64">
        <w:t xml:space="preserve">ing </w:t>
      </w:r>
      <w:r w:rsidR="0067660B" w:rsidRPr="00416C64">
        <w:t>appeared to be minimal</w:t>
      </w:r>
      <w:r w:rsidR="005120ED" w:rsidRPr="00416C64">
        <w:t>.</w:t>
      </w:r>
      <w:r w:rsidR="005120ED" w:rsidRPr="00416C64">
        <w:rPr>
          <w:i/>
        </w:rPr>
        <w:t xml:space="preserve"> </w:t>
      </w:r>
    </w:p>
    <w:p w:rsidR="00F1027D" w:rsidRPr="00416C64" w:rsidRDefault="00F1027D" w:rsidP="005A2C9B">
      <w:pPr>
        <w:pStyle w:val="ListParagraph"/>
        <w:widowControl/>
        <w:numPr>
          <w:ilvl w:val="1"/>
          <w:numId w:val="3"/>
        </w:numPr>
      </w:pPr>
      <w:r w:rsidRPr="00416C64">
        <w:t>In the Markov component, the submission assumed no direct effects on exacerbations, mortality or lung function.</w:t>
      </w:r>
      <w:r w:rsidR="00393D5D" w:rsidRPr="00416C64">
        <w:t xml:space="preserve"> </w:t>
      </w:r>
      <w:r w:rsidR="00891EED" w:rsidRPr="00416C64">
        <w:rPr>
          <w:iCs/>
        </w:rPr>
        <w:t>However, t</w:t>
      </w:r>
      <w:r w:rsidRPr="00416C64">
        <w:rPr>
          <w:iCs/>
        </w:rPr>
        <w:t xml:space="preserve">he shift in the health state distributions after the trial could have indirect effects on exacerbation, </w:t>
      </w:r>
      <w:r w:rsidR="00035F2C">
        <w:rPr>
          <w:iCs/>
        </w:rPr>
        <w:t>mortality</w:t>
      </w:r>
      <w:r w:rsidRPr="00416C64">
        <w:rPr>
          <w:iCs/>
        </w:rPr>
        <w:t xml:space="preserve"> and lung function over time.</w:t>
      </w:r>
      <w:r w:rsidR="00393D5D" w:rsidRPr="00416C64">
        <w:rPr>
          <w:iCs/>
        </w:rPr>
        <w:t xml:space="preserve"> </w:t>
      </w:r>
      <w:r w:rsidR="00891EED" w:rsidRPr="00416C64">
        <w:rPr>
          <w:iCs/>
        </w:rPr>
        <w:t>For example, f</w:t>
      </w:r>
      <w:r w:rsidRPr="00416C64">
        <w:rPr>
          <w:iCs/>
        </w:rPr>
        <w:t xml:space="preserve">ewer exacerbations resulted in slower FEV1 % predicted decline and fewer future exacerbations; slower FEV1 % predicted decline resulted in fewer exacerbations and mortality, summarised in Figure </w:t>
      </w:r>
      <w:r w:rsidR="00891EED" w:rsidRPr="00416C64">
        <w:rPr>
          <w:iCs/>
        </w:rPr>
        <w:t>1</w:t>
      </w:r>
      <w:r w:rsidRPr="00416C64">
        <w:rPr>
          <w:iCs/>
        </w:rPr>
        <w:t>.</w:t>
      </w:r>
      <w:r w:rsidR="00393D5D" w:rsidRPr="00416C64">
        <w:t xml:space="preserve"> </w:t>
      </w:r>
      <w:r w:rsidR="00C01B0E" w:rsidRPr="00416C64">
        <w:t>The Markov model calculated QALYs based on utility weights in the literature.</w:t>
      </w:r>
    </w:p>
    <w:p w:rsidR="00F1027D" w:rsidRPr="00416C64" w:rsidRDefault="00F1027D" w:rsidP="005A2C9B">
      <w:pPr>
        <w:keepNext/>
        <w:keepLines/>
        <w:widowControl/>
        <w:rPr>
          <w:rStyle w:val="CommentReference"/>
        </w:rPr>
      </w:pPr>
      <w:r w:rsidRPr="00416C64">
        <w:rPr>
          <w:rStyle w:val="CommentReference"/>
        </w:rPr>
        <w:lastRenderedPageBreak/>
        <w:t>Figure</w:t>
      </w:r>
      <w:r w:rsidR="00891EED" w:rsidRPr="00416C64">
        <w:rPr>
          <w:rStyle w:val="CommentReference"/>
        </w:rPr>
        <w:t xml:space="preserve"> 1</w:t>
      </w:r>
      <w:r w:rsidRPr="00416C64">
        <w:rPr>
          <w:rStyle w:val="CommentReference"/>
        </w:rPr>
        <w:t>: Treatment effects in the modelled evaluation</w:t>
      </w:r>
    </w:p>
    <w:p w:rsidR="00F1027D" w:rsidRPr="00416C64" w:rsidRDefault="00F1027D" w:rsidP="005A2C9B">
      <w:pPr>
        <w:keepNext/>
        <w:keepLines/>
        <w:widowControl/>
      </w:pPr>
      <w:r w:rsidRPr="00416C64">
        <w:rPr>
          <w:noProof/>
          <w:lang w:eastAsia="en-AU"/>
        </w:rPr>
        <w:drawing>
          <wp:inline distT="0" distB="0" distL="0" distR="0" wp14:anchorId="446FE69A" wp14:editId="13EE83CE">
            <wp:extent cx="5544185" cy="2114550"/>
            <wp:effectExtent l="0" t="0" r="0" b="0"/>
            <wp:docPr id="11" name="Picture 11" title="Figure 1: Treatment effects in the modelled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4185" cy="2114550"/>
                    </a:xfrm>
                    <a:prstGeom prst="rect">
                      <a:avLst/>
                    </a:prstGeom>
                    <a:noFill/>
                  </pic:spPr>
                </pic:pic>
              </a:graphicData>
            </a:graphic>
          </wp:inline>
        </w:drawing>
      </w:r>
    </w:p>
    <w:p w:rsidR="00F1027D" w:rsidRPr="00416C64" w:rsidRDefault="00F1027D" w:rsidP="005A2C9B">
      <w:pPr>
        <w:keepNext/>
        <w:keepLines/>
        <w:widowControl/>
        <w:rPr>
          <w:rFonts w:ascii="Arial Narrow" w:hAnsi="Arial Narrow"/>
          <w:sz w:val="18"/>
          <w:szCs w:val="18"/>
        </w:rPr>
      </w:pPr>
      <w:r w:rsidRPr="00416C64">
        <w:rPr>
          <w:rFonts w:ascii="Arial Narrow" w:hAnsi="Arial Narrow"/>
          <w:sz w:val="18"/>
          <w:szCs w:val="18"/>
        </w:rPr>
        <w:t xml:space="preserve">Source: Constructed during the evaluation </w:t>
      </w:r>
    </w:p>
    <w:p w:rsidR="00BF2020" w:rsidRPr="00416C64" w:rsidRDefault="0010451C" w:rsidP="005A2C9B">
      <w:pPr>
        <w:pStyle w:val="ListParagraph"/>
        <w:widowControl/>
        <w:numPr>
          <w:ilvl w:val="1"/>
          <w:numId w:val="3"/>
        </w:numPr>
        <w:rPr>
          <w:i/>
          <w:iCs/>
        </w:rPr>
      </w:pPr>
      <w:r w:rsidRPr="00416C64">
        <w:t>Table 8</w:t>
      </w:r>
      <w:r w:rsidR="00620598" w:rsidRPr="00416C64">
        <w:t xml:space="preserve"> provides a summary of the key drivers in the modelled economic evaluation.</w:t>
      </w:r>
    </w:p>
    <w:p w:rsidR="00BF2020" w:rsidRPr="00416C64" w:rsidRDefault="00BF2020" w:rsidP="00BA64A9">
      <w:pPr>
        <w:widowControl/>
        <w:spacing w:after="0"/>
        <w:rPr>
          <w:rFonts w:ascii="Arial Narrow" w:hAnsi="Arial Narrow"/>
          <w:b/>
          <w:sz w:val="20"/>
          <w:szCs w:val="16"/>
        </w:rPr>
      </w:pPr>
      <w:r w:rsidRPr="00416C64">
        <w:rPr>
          <w:rStyle w:val="CommentReference"/>
        </w:rPr>
        <w:t>Table 8: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3"/>
        <w:gridCol w:w="6915"/>
        <w:gridCol w:w="1079"/>
      </w:tblGrid>
      <w:tr w:rsidR="00BF2020" w:rsidRPr="00416C64" w:rsidTr="005A2C9B">
        <w:trPr>
          <w:tblHeader/>
        </w:trPr>
        <w:tc>
          <w:tcPr>
            <w:tcW w:w="562"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b/>
                <w:bCs/>
                <w:iCs/>
                <w:color w:val="000000"/>
                <w:sz w:val="20"/>
                <w:szCs w:val="20"/>
                <w:lang w:val="en-AU"/>
              </w:rPr>
              <w:t>Description</w:t>
            </w:r>
          </w:p>
        </w:tc>
        <w:tc>
          <w:tcPr>
            <w:tcW w:w="3837"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b/>
                <w:bCs/>
                <w:iCs/>
                <w:color w:val="000000"/>
                <w:sz w:val="20"/>
                <w:szCs w:val="20"/>
                <w:lang w:val="en-AU"/>
              </w:rPr>
              <w:t>Method/Value</w:t>
            </w:r>
          </w:p>
        </w:tc>
        <w:tc>
          <w:tcPr>
            <w:tcW w:w="601"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b/>
                <w:bCs/>
                <w:iCs/>
                <w:color w:val="000000"/>
                <w:sz w:val="20"/>
                <w:szCs w:val="20"/>
                <w:lang w:val="en-AU"/>
              </w:rPr>
              <w:t>Impact</w:t>
            </w:r>
          </w:p>
        </w:tc>
      </w:tr>
      <w:tr w:rsidR="00BF2020" w:rsidRPr="00416C64" w:rsidTr="005A2C9B">
        <w:tc>
          <w:tcPr>
            <w:tcW w:w="562"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Health state distribution at Week 52</w:t>
            </w:r>
          </w:p>
        </w:tc>
        <w:tc>
          <w:tcPr>
            <w:tcW w:w="3837"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The model uses IPD from IMPACT to estimate the change in the six FEV1 % predicted-exacerbation health states at Week 52, which are extrapolated over the time horizon. Trial-based QALYs calculated from area under the curve in IMPACT, including mortality differences and adjustments for exacerbations and pneumonia.</w:t>
            </w:r>
          </w:p>
        </w:tc>
        <w:tc>
          <w:tcPr>
            <w:tcW w:w="601"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iCs/>
                <w:color w:val="000000"/>
                <w:sz w:val="20"/>
                <w:szCs w:val="20"/>
                <w:lang w:val="en-AU"/>
              </w:rPr>
              <w:t xml:space="preserve">Uncertainty in trial outcomes was not </w:t>
            </w:r>
            <w:proofErr w:type="spellStart"/>
            <w:r w:rsidRPr="00416C64">
              <w:rPr>
                <w:rFonts w:ascii="Arial Narrow" w:hAnsi="Arial Narrow"/>
                <w:iCs/>
                <w:color w:val="000000"/>
                <w:sz w:val="20"/>
                <w:szCs w:val="20"/>
                <w:lang w:val="en-AU"/>
              </w:rPr>
              <w:t>tested</w:t>
            </w:r>
            <w:r w:rsidR="001D5867" w:rsidRPr="00416C64">
              <w:rPr>
                <w:rFonts w:ascii="Arial Narrow" w:hAnsi="Arial Narrow"/>
                <w:iCs/>
                <w:color w:val="000000"/>
                <w:sz w:val="20"/>
                <w:szCs w:val="20"/>
                <w:vertAlign w:val="superscript"/>
                <w:lang w:val="en-AU"/>
              </w:rPr>
              <w:t>a</w:t>
            </w:r>
            <w:proofErr w:type="spellEnd"/>
          </w:p>
        </w:tc>
      </w:tr>
      <w:tr w:rsidR="00BF2020" w:rsidRPr="00416C64" w:rsidTr="005A2C9B">
        <w:tc>
          <w:tcPr>
            <w:tcW w:w="562"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Pneumonia disutility</w:t>
            </w:r>
          </w:p>
        </w:tc>
        <w:tc>
          <w:tcPr>
            <w:tcW w:w="3837"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Model assumed disutility for pneumonia was -0.01 (NICE 2012). Updated estimate was much larger at -0.13 (NICE 2018).</w:t>
            </w:r>
          </w:p>
        </w:tc>
        <w:tc>
          <w:tcPr>
            <w:tcW w:w="601"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iCs/>
                <w:color w:val="000000"/>
                <w:sz w:val="20"/>
                <w:szCs w:val="20"/>
                <w:lang w:val="en-AU"/>
              </w:rPr>
              <w:t>Moderate, favours Trelegy</w:t>
            </w:r>
          </w:p>
        </w:tc>
      </w:tr>
      <w:tr w:rsidR="00BF2020" w:rsidRPr="00416C64" w:rsidTr="005A2C9B">
        <w:tc>
          <w:tcPr>
            <w:tcW w:w="562"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Replacement therapy costs</w:t>
            </w:r>
          </w:p>
        </w:tc>
        <w:tc>
          <w:tcPr>
            <w:tcW w:w="3837"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Model inappropriately assumed majority of patients who discontinued dual therapy in the model commenced the more costly triple therapy, based on replacement therapy in IMPACT.</w:t>
            </w:r>
          </w:p>
        </w:tc>
        <w:tc>
          <w:tcPr>
            <w:tcW w:w="601"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iCs/>
                <w:color w:val="000000"/>
                <w:sz w:val="20"/>
                <w:szCs w:val="20"/>
                <w:lang w:val="en-AU"/>
              </w:rPr>
              <w:t>Moderate, favours Trelegy</w:t>
            </w:r>
          </w:p>
        </w:tc>
      </w:tr>
      <w:tr w:rsidR="00BF2020" w:rsidRPr="00416C64" w:rsidTr="005A2C9B">
        <w:tc>
          <w:tcPr>
            <w:tcW w:w="562"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Cost of treating pneumonia</w:t>
            </w:r>
          </w:p>
        </w:tc>
        <w:tc>
          <w:tcPr>
            <w:tcW w:w="3837" w:type="pct"/>
            <w:tcMar>
              <w:top w:w="0" w:type="dxa"/>
              <w:left w:w="28" w:type="dxa"/>
              <w:bottom w:w="0" w:type="dxa"/>
              <w:right w:w="28" w:type="dxa"/>
            </w:tcMar>
            <w:vAlign w:val="center"/>
            <w:hideMark/>
          </w:tcPr>
          <w:p w:rsidR="00BF2020" w:rsidRPr="00416C64" w:rsidRDefault="00BF2020" w:rsidP="005A2C9B">
            <w:pPr>
              <w:pStyle w:val="NormalWeb"/>
              <w:spacing w:before="0" w:after="0"/>
              <w:rPr>
                <w:sz w:val="20"/>
                <w:szCs w:val="20"/>
                <w:lang w:val="en-AU"/>
              </w:rPr>
            </w:pPr>
            <w:r w:rsidRPr="00416C64">
              <w:rPr>
                <w:rFonts w:ascii="Arial Narrow" w:hAnsi="Arial Narrow"/>
                <w:iCs/>
                <w:color w:val="000000"/>
                <w:sz w:val="20"/>
                <w:szCs w:val="20"/>
                <w:lang w:val="en-AU"/>
              </w:rPr>
              <w:t xml:space="preserve">The model inappropriately underestimated hospital costs associated with treating pneumonia by dividing total costs by average length of stay. Correcting this error increases the cost of treating pneumonia in hospital by a factor </w:t>
            </w:r>
            <w:r w:rsidRPr="000B2A82">
              <w:rPr>
                <w:rFonts w:ascii="Arial Narrow" w:hAnsi="Arial Narrow"/>
                <w:iCs/>
                <w:color w:val="000000"/>
                <w:sz w:val="20"/>
                <w:szCs w:val="20"/>
                <w:lang w:val="en-AU"/>
              </w:rPr>
              <w:t xml:space="preserve">of </w:t>
            </w:r>
            <w:r w:rsidR="00B74049">
              <w:rPr>
                <w:rFonts w:ascii="Arial Narrow" w:hAnsi="Arial Narrow"/>
                <w:iCs/>
                <w:noProof/>
                <w:color w:val="000000"/>
                <w:sz w:val="20"/>
                <w:szCs w:val="20"/>
                <w:highlight w:val="black"/>
                <w:lang w:val="en-AU"/>
              </w:rPr>
              <w:t>'''''''''''</w:t>
            </w:r>
            <w:r w:rsidRPr="000B2A82">
              <w:rPr>
                <w:rFonts w:ascii="Arial Narrow" w:hAnsi="Arial Narrow"/>
                <w:iCs/>
                <w:color w:val="000000"/>
                <w:sz w:val="20"/>
                <w:szCs w:val="20"/>
                <w:lang w:val="en-AU"/>
              </w:rPr>
              <w:t>.</w:t>
            </w:r>
          </w:p>
        </w:tc>
        <w:tc>
          <w:tcPr>
            <w:tcW w:w="601" w:type="pct"/>
            <w:tcMar>
              <w:top w:w="0" w:type="dxa"/>
              <w:left w:w="28" w:type="dxa"/>
              <w:bottom w:w="0" w:type="dxa"/>
              <w:right w:w="28" w:type="dxa"/>
            </w:tcMar>
            <w:vAlign w:val="center"/>
            <w:hideMark/>
          </w:tcPr>
          <w:p w:rsidR="00BF2020" w:rsidRPr="00416C64" w:rsidRDefault="00BF2020" w:rsidP="005A2C9B">
            <w:pPr>
              <w:pStyle w:val="NormalWeb"/>
              <w:spacing w:before="0" w:after="0"/>
              <w:jc w:val="center"/>
              <w:rPr>
                <w:sz w:val="20"/>
                <w:szCs w:val="20"/>
                <w:lang w:val="en-AU"/>
              </w:rPr>
            </w:pPr>
            <w:r w:rsidRPr="00416C64">
              <w:rPr>
                <w:rFonts w:ascii="Arial Narrow" w:hAnsi="Arial Narrow"/>
                <w:iCs/>
                <w:color w:val="000000"/>
                <w:sz w:val="20"/>
                <w:szCs w:val="20"/>
                <w:lang w:val="en-AU"/>
              </w:rPr>
              <w:t>Moderate, favours Trelegy</w:t>
            </w:r>
          </w:p>
        </w:tc>
      </w:tr>
    </w:tbl>
    <w:p w:rsidR="00BF2020" w:rsidRPr="00416C64" w:rsidRDefault="001D5867" w:rsidP="005A2C9B">
      <w:pPr>
        <w:pStyle w:val="NormalWeb"/>
        <w:spacing w:before="0" w:after="0"/>
        <w:rPr>
          <w:rFonts w:ascii="Arial Narrow" w:hAnsi="Arial Narrow"/>
          <w:iCs/>
          <w:color w:val="000000"/>
          <w:sz w:val="18"/>
          <w:szCs w:val="18"/>
          <w:lang w:val="en-AU"/>
        </w:rPr>
      </w:pPr>
      <w:proofErr w:type="spellStart"/>
      <w:proofErr w:type="gramStart"/>
      <w:r w:rsidRPr="00416C64">
        <w:rPr>
          <w:rFonts w:ascii="Arial Narrow" w:hAnsi="Arial Narrow"/>
          <w:color w:val="000000"/>
          <w:sz w:val="18"/>
          <w:szCs w:val="18"/>
          <w:vertAlign w:val="superscript"/>
          <w:lang w:val="en-AU"/>
        </w:rPr>
        <w:t>a</w:t>
      </w:r>
      <w:proofErr w:type="spellEnd"/>
      <w:proofErr w:type="gramEnd"/>
      <w:r w:rsidR="00BF2020" w:rsidRPr="00416C64">
        <w:rPr>
          <w:rFonts w:ascii="Arial Narrow" w:hAnsi="Arial Narrow"/>
          <w:color w:val="000000"/>
          <w:sz w:val="18"/>
          <w:szCs w:val="18"/>
          <w:lang w:val="en-AU"/>
        </w:rPr>
        <w:t xml:space="preserve"> </w:t>
      </w:r>
      <w:r w:rsidR="00BF2020" w:rsidRPr="00416C64">
        <w:rPr>
          <w:rFonts w:ascii="Arial Narrow" w:hAnsi="Arial Narrow"/>
          <w:iCs/>
          <w:color w:val="000000"/>
          <w:sz w:val="18"/>
          <w:szCs w:val="18"/>
          <w:lang w:val="en-AU"/>
        </w:rPr>
        <w:t xml:space="preserve">Uncertainty in trial outcomes was not tested because the submission did not provide the IPD. </w:t>
      </w:r>
    </w:p>
    <w:p w:rsidR="00534F37" w:rsidRPr="00416C64" w:rsidRDefault="00534F37" w:rsidP="005A2C9B">
      <w:pPr>
        <w:pStyle w:val="NormalWeb"/>
        <w:spacing w:before="0" w:after="0"/>
        <w:rPr>
          <w:lang w:val="en-AU" w:eastAsia="en-AU"/>
        </w:rPr>
      </w:pPr>
      <w:r w:rsidRPr="00416C64">
        <w:rPr>
          <w:rFonts w:ascii="Arial Narrow" w:hAnsi="Arial Narrow"/>
          <w:iCs/>
          <w:color w:val="000000"/>
          <w:sz w:val="18"/>
          <w:szCs w:val="18"/>
          <w:lang w:val="en-AU"/>
        </w:rPr>
        <w:t>IPD = Individual patient data</w:t>
      </w:r>
    </w:p>
    <w:p w:rsidR="00620598" w:rsidRPr="00416C64" w:rsidRDefault="00620598" w:rsidP="005A2C9B">
      <w:pPr>
        <w:widowControl/>
        <w:rPr>
          <w:rFonts w:ascii="Arial Narrow" w:hAnsi="Arial Narrow"/>
          <w:sz w:val="18"/>
          <w:szCs w:val="18"/>
        </w:rPr>
      </w:pPr>
      <w:r w:rsidRPr="00416C64">
        <w:rPr>
          <w:rFonts w:ascii="Arial Narrow" w:hAnsi="Arial Narrow"/>
          <w:sz w:val="18"/>
          <w:szCs w:val="18"/>
        </w:rPr>
        <w:t>Source: compiled during the evaluation</w:t>
      </w:r>
    </w:p>
    <w:p w:rsidR="00DF6B1A" w:rsidRPr="00416C64" w:rsidRDefault="00891EED" w:rsidP="005A2C9B">
      <w:pPr>
        <w:pStyle w:val="ListParagraph"/>
        <w:widowControl/>
        <w:numPr>
          <w:ilvl w:val="1"/>
          <w:numId w:val="3"/>
        </w:numPr>
        <w:rPr>
          <w:iCs/>
        </w:rPr>
      </w:pPr>
      <w:r w:rsidRPr="00416C64">
        <w:rPr>
          <w:iCs/>
        </w:rPr>
        <w:t xml:space="preserve">Overall, the main driver </w:t>
      </w:r>
      <w:r w:rsidR="006E6038" w:rsidRPr="00416C64">
        <w:rPr>
          <w:iCs/>
        </w:rPr>
        <w:t xml:space="preserve">of benefits </w:t>
      </w:r>
      <w:r w:rsidRPr="00416C64">
        <w:rPr>
          <w:iCs/>
        </w:rPr>
        <w:t xml:space="preserve">in the model was the shift in the FEV1 % predicted health states in favour of Trelegy (ICS/LAMA/LABA) </w:t>
      </w:r>
      <w:r w:rsidR="006E6038" w:rsidRPr="00416C64">
        <w:rPr>
          <w:iCs/>
        </w:rPr>
        <w:t>at Week 52</w:t>
      </w:r>
      <w:r w:rsidRPr="00416C64">
        <w:rPr>
          <w:iCs/>
        </w:rPr>
        <w:t>, as well as the reduction in the number of exacerbations (moderate and severe) during the trial period.</w:t>
      </w:r>
      <w:r w:rsidR="00393D5D" w:rsidRPr="00416C64">
        <w:rPr>
          <w:iCs/>
        </w:rPr>
        <w:t xml:space="preserve"> </w:t>
      </w:r>
      <w:r w:rsidR="00620598" w:rsidRPr="00416C64">
        <w:rPr>
          <w:iCs/>
        </w:rPr>
        <w:t>However, uncertainty around these parameters was not testable given the structure of the modelled evaluation.</w:t>
      </w:r>
      <w:r w:rsidR="00352E27" w:rsidRPr="00416C64">
        <w:rPr>
          <w:iCs/>
        </w:rPr>
        <w:t xml:space="preserve"> </w:t>
      </w:r>
      <w:r w:rsidR="00E87859" w:rsidRPr="00416C64">
        <w:rPr>
          <w:iCs/>
        </w:rPr>
        <w:t>The PSCR</w:t>
      </w:r>
      <w:r w:rsidR="00DF6B1A" w:rsidRPr="00416C64">
        <w:rPr>
          <w:iCs/>
        </w:rPr>
        <w:t xml:space="preserve"> stated that the distribution of health states at the beginning of the Markov model was user adjustable for sensitivity testing such that uncertainty around these parameters could be tested. </w:t>
      </w:r>
      <w:r w:rsidR="00534F37" w:rsidRPr="00416C64">
        <w:rPr>
          <w:iCs/>
        </w:rPr>
        <w:t>The ESC noted that the uncertainty in trial outcomes was not tested as the submission did not provide the individual patient data required. For example, the ESC noted that re-sampling the health state distributions requires information about the joint distributions of change in FEV1% predicted and exacerbations.</w:t>
      </w:r>
    </w:p>
    <w:p w:rsidR="00891EED" w:rsidRPr="00416C64" w:rsidRDefault="002D2F70" w:rsidP="005A2C9B">
      <w:pPr>
        <w:pStyle w:val="ListParagraph"/>
        <w:widowControl/>
        <w:numPr>
          <w:ilvl w:val="1"/>
          <w:numId w:val="3"/>
        </w:numPr>
        <w:rPr>
          <w:iCs/>
        </w:rPr>
      </w:pPr>
      <w:r w:rsidRPr="00416C64">
        <w:rPr>
          <w:iCs/>
        </w:rPr>
        <w:lastRenderedPageBreak/>
        <w:t xml:space="preserve">The size of any indirect effects in the Markov model were negligible given there was no difference </w:t>
      </w:r>
      <w:r w:rsidR="006E6038" w:rsidRPr="00416C64">
        <w:rPr>
          <w:iCs/>
        </w:rPr>
        <w:t>in the proportion of patients with any exacerbation at Week 52 in the post-hoc IMPACT analysis</w:t>
      </w:r>
      <w:r w:rsidR="00F52F23" w:rsidRPr="00416C64">
        <w:rPr>
          <w:iCs/>
        </w:rPr>
        <w:t xml:space="preserve"> (in contrast to the ITT results)</w:t>
      </w:r>
      <w:r w:rsidRPr="00416C64">
        <w:rPr>
          <w:iCs/>
        </w:rPr>
        <w:t>.</w:t>
      </w:r>
      <w:r w:rsidR="00393D5D" w:rsidRPr="00416C64">
        <w:rPr>
          <w:iCs/>
        </w:rPr>
        <w:t xml:space="preserve"> </w:t>
      </w:r>
      <w:r w:rsidR="006E6038" w:rsidRPr="00416C64">
        <w:rPr>
          <w:iCs/>
        </w:rPr>
        <w:t>The increase in the risk of pneumonia resulted in a small disutility over the time horizon.</w:t>
      </w:r>
    </w:p>
    <w:p w:rsidR="0016719D" w:rsidRPr="00416C64" w:rsidRDefault="0016719D" w:rsidP="005A2C9B">
      <w:pPr>
        <w:pStyle w:val="ListParagraph"/>
        <w:widowControl/>
        <w:numPr>
          <w:ilvl w:val="1"/>
          <w:numId w:val="3"/>
        </w:numPr>
        <w:rPr>
          <w:iCs/>
        </w:rPr>
      </w:pPr>
      <w:r w:rsidRPr="00416C64">
        <w:rPr>
          <w:iCs/>
        </w:rPr>
        <w:t xml:space="preserve">The ESC considered that, in addition to underestimating disutility for pneumonia, another key driver of the model </w:t>
      </w:r>
      <w:r w:rsidR="00045E7F" w:rsidRPr="00416C64">
        <w:rPr>
          <w:iCs/>
        </w:rPr>
        <w:t xml:space="preserve">was underestimation of pneumonia hospitalisation costs. The ESC noted that </w:t>
      </w:r>
      <w:r w:rsidR="00045E7F" w:rsidRPr="00416C64">
        <w:t xml:space="preserve">for the treatment of pneumonia, the submission assumed treatment required </w:t>
      </w:r>
      <w:r w:rsidR="00045E7F" w:rsidRPr="00A03DE6">
        <w:t>hospitalisation (</w:t>
      </w:r>
      <w:r w:rsidR="00B74049">
        <w:rPr>
          <w:noProof/>
          <w:color w:val="000000"/>
          <w:highlight w:val="black"/>
        </w:rPr>
        <w:t>'''''</w:t>
      </w:r>
      <w:r w:rsidR="00045E7F" w:rsidRPr="00A03DE6">
        <w:t>%) or an emergency department visit (</w:t>
      </w:r>
      <w:r w:rsidR="00B74049">
        <w:rPr>
          <w:noProof/>
          <w:color w:val="000000"/>
          <w:highlight w:val="black"/>
        </w:rPr>
        <w:t>'''''</w:t>
      </w:r>
      <w:r w:rsidR="00045E7F" w:rsidRPr="00A03DE6">
        <w:t>%)</w:t>
      </w:r>
      <w:r w:rsidR="00045E7F" w:rsidRPr="00416C64">
        <w:t xml:space="preserve"> based on data in IMPACT, costed using AR-DRGs. In contrast to the estimation of treatment costs for an exacerbation, the submission divided the inpatient DRG for pneumonia by the average length of stay. The ESC noted that the submission did not justify this assumption, which likely underestimated the cost of pneumonia treatment in hospital by a factor of 4.24 (average length of stay for E62A and E62B, 5.94 and 2.54 days respectively). </w:t>
      </w:r>
      <w:r w:rsidRPr="00416C64">
        <w:rPr>
          <w:iCs/>
        </w:rPr>
        <w:t xml:space="preserve"> </w:t>
      </w:r>
      <w:r w:rsidR="00C34FFF" w:rsidRPr="00416C64">
        <w:rPr>
          <w:iCs/>
        </w:rPr>
        <w:t xml:space="preserve">The PSCR acknowledged the error in the calculation of the cost of hospitalised pneumonia and confirmed that correcting this error </w:t>
      </w:r>
      <w:r w:rsidR="00C34FFF" w:rsidRPr="00416C64">
        <w:t xml:space="preserve">increased the ICER </w:t>
      </w:r>
      <w:r w:rsidR="00C34FFF" w:rsidRPr="00416C64">
        <w:rPr>
          <w:iCs/>
        </w:rPr>
        <w:t>to $15,</w:t>
      </w:r>
      <w:r w:rsidR="009D3AEE">
        <w:rPr>
          <w:iCs/>
        </w:rPr>
        <w:t>000</w:t>
      </w:r>
      <w:r w:rsidR="00C34FFF" w:rsidRPr="00416C64">
        <w:rPr>
          <w:iCs/>
        </w:rPr>
        <w:t>/QALY</w:t>
      </w:r>
      <w:r w:rsidR="009D3AEE">
        <w:rPr>
          <w:iCs/>
        </w:rPr>
        <w:t xml:space="preserve"> to $45,000/QALY</w:t>
      </w:r>
      <w:r w:rsidR="00E87859" w:rsidRPr="00416C64">
        <w:rPr>
          <w:iCs/>
        </w:rPr>
        <w:t xml:space="preserve"> over the 10 year time horizon</w:t>
      </w:r>
      <w:r w:rsidR="00C34FFF" w:rsidRPr="00416C64">
        <w:rPr>
          <w:iCs/>
        </w:rPr>
        <w:t>.</w:t>
      </w:r>
    </w:p>
    <w:p w:rsidR="0011591F" w:rsidRPr="00416C64" w:rsidRDefault="0011591F" w:rsidP="005A2C9B">
      <w:pPr>
        <w:pStyle w:val="ListParagraph"/>
        <w:widowControl/>
        <w:numPr>
          <w:ilvl w:val="1"/>
          <w:numId w:val="3"/>
        </w:numPr>
      </w:pPr>
      <w:r w:rsidRPr="00416C64">
        <w:rPr>
          <w:iCs/>
        </w:rPr>
        <w:t xml:space="preserve">The main cost </w:t>
      </w:r>
      <w:r w:rsidRPr="00A03DE6">
        <w:rPr>
          <w:iCs/>
        </w:rPr>
        <w:t>offsets in trial-based analysis were due to exacerbation (-$</w:t>
      </w:r>
      <w:r w:rsidR="00B74049">
        <w:rPr>
          <w:iCs/>
          <w:noProof/>
          <w:color w:val="000000"/>
          <w:highlight w:val="black"/>
        </w:rPr>
        <w:t>''''''''</w:t>
      </w:r>
      <w:r w:rsidRPr="00A03DE6">
        <w:rPr>
          <w:iCs/>
        </w:rPr>
        <w:t>) and replacement therapy (-$</w:t>
      </w:r>
      <w:r w:rsidR="00B74049">
        <w:rPr>
          <w:iCs/>
          <w:noProof/>
          <w:color w:val="000000"/>
          <w:highlight w:val="black"/>
        </w:rPr>
        <w:t>'''''</w:t>
      </w:r>
      <w:r w:rsidRPr="00A03DE6">
        <w:rPr>
          <w:iCs/>
        </w:rPr>
        <w:t>), whereas the main cost offsets in the Markov model extrapolation were due to replacement therapy (-$</w:t>
      </w:r>
      <w:r w:rsidR="00B74049">
        <w:rPr>
          <w:iCs/>
          <w:noProof/>
          <w:color w:val="000000"/>
          <w:highlight w:val="black"/>
        </w:rPr>
        <w:t>''''''''</w:t>
      </w:r>
      <w:r w:rsidRPr="00A03DE6">
        <w:rPr>
          <w:iCs/>
        </w:rPr>
        <w:t>) and maintenance costs (-$</w:t>
      </w:r>
      <w:r w:rsidR="00B74049">
        <w:rPr>
          <w:iCs/>
          <w:noProof/>
          <w:color w:val="000000"/>
          <w:highlight w:val="black"/>
        </w:rPr>
        <w:t>'''''</w:t>
      </w:r>
      <w:r w:rsidRPr="00A03DE6">
        <w:rPr>
          <w:iCs/>
        </w:rPr>
        <w:t>).</w:t>
      </w:r>
      <w:r w:rsidR="00393D5D" w:rsidRPr="00416C64">
        <w:rPr>
          <w:iCs/>
        </w:rPr>
        <w:t xml:space="preserve"> </w:t>
      </w:r>
      <w:r w:rsidR="004A1ECB" w:rsidRPr="00416C64">
        <w:rPr>
          <w:iCs/>
        </w:rPr>
        <w:t>Difference between the trial base</w:t>
      </w:r>
      <w:r w:rsidR="00AD4DD4" w:rsidRPr="00416C64">
        <w:rPr>
          <w:iCs/>
        </w:rPr>
        <w:t>d</w:t>
      </w:r>
      <w:r w:rsidR="004A1ECB" w:rsidRPr="00416C64">
        <w:rPr>
          <w:iCs/>
        </w:rPr>
        <w:t xml:space="preserve"> and modelled economic evaluation estimates on cost offsets were due to time horizon and the </w:t>
      </w:r>
      <w:r w:rsidR="002D2F70" w:rsidRPr="00416C64">
        <w:rPr>
          <w:iCs/>
        </w:rPr>
        <w:t>inappropriate</w:t>
      </w:r>
      <w:r w:rsidR="004A1ECB" w:rsidRPr="00416C64">
        <w:rPr>
          <w:iCs/>
        </w:rPr>
        <w:t xml:space="preserve"> assumption in the Markov model that </w:t>
      </w:r>
      <w:r w:rsidRPr="00416C64">
        <w:rPr>
          <w:iCs/>
        </w:rPr>
        <w:t xml:space="preserve">the majority of patients who discontinue dual therapy </w:t>
      </w:r>
      <w:r w:rsidR="004A1ECB" w:rsidRPr="00416C64">
        <w:rPr>
          <w:iCs/>
        </w:rPr>
        <w:t xml:space="preserve">would </w:t>
      </w:r>
      <w:r w:rsidRPr="00416C64">
        <w:rPr>
          <w:iCs/>
        </w:rPr>
        <w:t>commence the more costly triple therapy</w:t>
      </w:r>
      <w:r w:rsidR="002D2F70" w:rsidRPr="00416C64">
        <w:rPr>
          <w:iCs/>
        </w:rPr>
        <w:t>, based on replacement therapy in IMPACT.</w:t>
      </w:r>
      <w:r w:rsidR="00393D5D" w:rsidRPr="00416C64">
        <w:rPr>
          <w:iCs/>
        </w:rPr>
        <w:t xml:space="preserve"> </w:t>
      </w:r>
      <w:r w:rsidR="002D2F70" w:rsidRPr="00416C64">
        <w:rPr>
          <w:iCs/>
        </w:rPr>
        <w:t>This assumption</w:t>
      </w:r>
      <w:r w:rsidRPr="00416C64">
        <w:rPr>
          <w:iCs/>
        </w:rPr>
        <w:t xml:space="preserve"> was not reasonable</w:t>
      </w:r>
      <w:r w:rsidRPr="00416C64">
        <w:t xml:space="preserve"> </w:t>
      </w:r>
      <w:r w:rsidRPr="00416C64">
        <w:rPr>
          <w:iCs/>
        </w:rPr>
        <w:t xml:space="preserve">given the model intended to estimate cost-effectiveness of triple therapy ICS/LAMA/LABA </w:t>
      </w:r>
      <w:r w:rsidR="00323225" w:rsidRPr="00416C64">
        <w:rPr>
          <w:iCs/>
        </w:rPr>
        <w:t xml:space="preserve">compared to no </w:t>
      </w:r>
      <w:r w:rsidRPr="00416C64">
        <w:rPr>
          <w:iCs/>
        </w:rPr>
        <w:t>triple therapy (i.</w:t>
      </w:r>
      <w:r w:rsidR="002D2F70" w:rsidRPr="00416C64">
        <w:rPr>
          <w:iCs/>
        </w:rPr>
        <w:t>e. dual therapy LAMA/LABA only), and model inputs from IMPACT were by definition “on-treatment”.</w:t>
      </w:r>
      <w:r w:rsidR="00A21578" w:rsidRPr="00416C64">
        <w:rPr>
          <w:iCs/>
        </w:rPr>
        <w:t xml:space="preserve"> T</w:t>
      </w:r>
      <w:r w:rsidR="006773AC" w:rsidRPr="00416C64">
        <w:rPr>
          <w:iCs/>
        </w:rPr>
        <w:t>he</w:t>
      </w:r>
      <w:r w:rsidR="006773AC" w:rsidRPr="00416C64">
        <w:t xml:space="preserve"> PSCR provided data on the efficacy of FF/UMEC/VI compared to ICS/LABA (from IMPACT and FULFIL trials) and UMEC/VI (from IMPACT) to justify the assumption that patients who discontinued LAMA/LABA would commence treatment on multiple-inhaler triple therapy (MITT) rather than switch to ICS/LABA.  Given the model intended to estimate the cost-effectiveness of triple therapy ICS/LAMA/LABA (FDC or MITT) versus a world without triple therapy (i.e. dual therapy LAMA/LABA only), the ESC considered it was not reasonable to include cost-offsets in the model associated with patients who discontin</w:t>
      </w:r>
      <w:r w:rsidR="00593044" w:rsidRPr="00416C64">
        <w:t>ued dual therapy and step up to</w:t>
      </w:r>
      <w:r w:rsidR="006773AC" w:rsidRPr="00416C64">
        <w:t xml:space="preserve"> triple therapy.  </w:t>
      </w:r>
      <w:r w:rsidR="00593044" w:rsidRPr="00416C64">
        <w:t xml:space="preserve">The ESC noted that </w:t>
      </w:r>
      <w:r w:rsidR="00593044" w:rsidRPr="00416C64">
        <w:rPr>
          <w:iCs/>
        </w:rPr>
        <w:t xml:space="preserve">the treatment effect in the model was the “on-treatment” treatment effect, and hence the model </w:t>
      </w:r>
      <w:r w:rsidR="00D760FC" w:rsidRPr="00416C64">
        <w:rPr>
          <w:iCs/>
        </w:rPr>
        <w:t>should</w:t>
      </w:r>
      <w:r w:rsidR="00593044" w:rsidRPr="00416C64">
        <w:rPr>
          <w:iCs/>
        </w:rPr>
        <w:t xml:space="preserve"> not include benefits for patients who stepped up from dual to triple therapy in the LAMA/LABA arm. </w:t>
      </w:r>
      <w:r w:rsidR="003F28A2" w:rsidRPr="00416C64">
        <w:rPr>
          <w:iCs/>
        </w:rPr>
        <w:t>T</w:t>
      </w:r>
      <w:r w:rsidR="00A21578" w:rsidRPr="00416C64">
        <w:rPr>
          <w:iCs/>
        </w:rPr>
        <w:t>he</w:t>
      </w:r>
      <w:r w:rsidR="00B37A42" w:rsidRPr="00416C64">
        <w:rPr>
          <w:iCs/>
        </w:rPr>
        <w:t xml:space="preserve"> ESC noted </w:t>
      </w:r>
      <w:r w:rsidR="00207E15" w:rsidRPr="00416C64">
        <w:rPr>
          <w:iCs/>
        </w:rPr>
        <w:t>this</w:t>
      </w:r>
      <w:r w:rsidR="00593044" w:rsidRPr="00416C64">
        <w:rPr>
          <w:iCs/>
        </w:rPr>
        <w:t xml:space="preserve"> issue</w:t>
      </w:r>
      <w:r w:rsidR="00207E15" w:rsidRPr="00416C64">
        <w:rPr>
          <w:iCs/>
        </w:rPr>
        <w:t xml:space="preserve"> to be </w:t>
      </w:r>
      <w:r w:rsidR="003F28A2" w:rsidRPr="00416C64">
        <w:rPr>
          <w:iCs/>
        </w:rPr>
        <w:t>the key concern</w:t>
      </w:r>
      <w:r w:rsidR="00207E15" w:rsidRPr="00416C64">
        <w:rPr>
          <w:iCs/>
        </w:rPr>
        <w:t xml:space="preserve"> associated with the model structure</w:t>
      </w:r>
      <w:r w:rsidR="00A21578" w:rsidRPr="00416C64">
        <w:rPr>
          <w:iCs/>
        </w:rPr>
        <w:t xml:space="preserve">. </w:t>
      </w:r>
      <w:r w:rsidR="003F28A2" w:rsidRPr="00416C64">
        <w:rPr>
          <w:iCs/>
        </w:rPr>
        <w:t>The ESC noted that w</w:t>
      </w:r>
      <w:r w:rsidR="001E44F9" w:rsidRPr="00416C64">
        <w:rPr>
          <w:iCs/>
        </w:rPr>
        <w:t xml:space="preserve">hen replacement therapy costs were removed from the Markov </w:t>
      </w:r>
      <w:r w:rsidR="00645134" w:rsidRPr="00416C64">
        <w:rPr>
          <w:iCs/>
        </w:rPr>
        <w:t>m</w:t>
      </w:r>
      <w:r w:rsidR="001E44F9" w:rsidRPr="00416C64">
        <w:rPr>
          <w:iCs/>
        </w:rPr>
        <w:t xml:space="preserve">odel and </w:t>
      </w:r>
      <w:r w:rsidR="003F28A2" w:rsidRPr="00416C64">
        <w:rPr>
          <w:iCs/>
        </w:rPr>
        <w:t xml:space="preserve">it was </w:t>
      </w:r>
      <w:r w:rsidR="001E44F9" w:rsidRPr="00416C64">
        <w:rPr>
          <w:iCs/>
        </w:rPr>
        <w:t>assume</w:t>
      </w:r>
      <w:r w:rsidR="003F28A2" w:rsidRPr="00416C64">
        <w:rPr>
          <w:iCs/>
        </w:rPr>
        <w:t>d</w:t>
      </w:r>
      <w:r w:rsidR="001E44F9" w:rsidRPr="00416C64">
        <w:rPr>
          <w:iCs/>
        </w:rPr>
        <w:t xml:space="preserve"> patients would instead switch from LAMA/LABA to ICS/LABA the ICER increased to</w:t>
      </w:r>
      <w:r w:rsidR="009D3AEE">
        <w:rPr>
          <w:iCs/>
        </w:rPr>
        <w:t xml:space="preserve"> less than</w:t>
      </w:r>
      <w:r w:rsidR="001E44F9" w:rsidRPr="00416C64">
        <w:rPr>
          <w:iCs/>
        </w:rPr>
        <w:t xml:space="preserve"> $</w:t>
      </w:r>
      <w:r w:rsidR="009D3AEE">
        <w:rPr>
          <w:iCs/>
        </w:rPr>
        <w:t>15,000/QALY</w:t>
      </w:r>
      <w:r w:rsidR="001E44F9" w:rsidRPr="00416C64">
        <w:rPr>
          <w:iCs/>
        </w:rPr>
        <w:t xml:space="preserve"> from a base case of</w:t>
      </w:r>
      <w:r w:rsidR="009D3AEE">
        <w:rPr>
          <w:iCs/>
        </w:rPr>
        <w:t xml:space="preserve"> less than</w:t>
      </w:r>
      <w:r w:rsidR="001E44F9" w:rsidRPr="00416C64">
        <w:rPr>
          <w:iCs/>
        </w:rPr>
        <w:t xml:space="preserve"> $</w:t>
      </w:r>
      <w:r w:rsidR="009D3AEE">
        <w:rPr>
          <w:iCs/>
        </w:rPr>
        <w:t>15,000</w:t>
      </w:r>
      <w:r w:rsidR="001E44F9" w:rsidRPr="00416C64">
        <w:rPr>
          <w:iCs/>
        </w:rPr>
        <w:t>/QALY.</w:t>
      </w:r>
      <w:r w:rsidR="00343B5E" w:rsidRPr="00416C64">
        <w:rPr>
          <w:iCs/>
        </w:rPr>
        <w:t xml:space="preserve"> The </w:t>
      </w:r>
      <w:r w:rsidR="00343B5E" w:rsidRPr="00416C64">
        <w:rPr>
          <w:iCs/>
        </w:rPr>
        <w:lastRenderedPageBreak/>
        <w:t xml:space="preserve">pre-PBAC </w:t>
      </w:r>
      <w:r w:rsidR="00EC30E9" w:rsidRPr="00416C64">
        <w:rPr>
          <w:iCs/>
        </w:rPr>
        <w:t xml:space="preserve">response </w:t>
      </w:r>
      <w:r w:rsidR="00343B5E" w:rsidRPr="00416C64">
        <w:rPr>
          <w:iCs/>
        </w:rPr>
        <w:t xml:space="preserve">disagreed with the ESC and argued that the intent of the model is to estimate cost-effectiveness of triple therapy when used earlier in the treatment algorithm since triple therapy is currently Guideline supported and PBS approved for use later in the treatment algorithm. </w:t>
      </w:r>
      <w:r w:rsidR="00EC30E9" w:rsidRPr="00416C64">
        <w:rPr>
          <w:iCs/>
        </w:rPr>
        <w:t>The pre-PBAC response also argued that the model was conservative as treatment switches only occur in year 1, whereas in practice there would be more switch to triple therapy with COPD progression over the 10-year duration of the model. The PBAC noted that</w:t>
      </w:r>
      <w:r w:rsidR="00925A20" w:rsidRPr="00416C64">
        <w:rPr>
          <w:iCs/>
        </w:rPr>
        <w:t>, as the model aimed to compare treatment with dual therapy compared to treatment with triple therapy,</w:t>
      </w:r>
      <w:r w:rsidR="00EC30E9" w:rsidRPr="00416C64">
        <w:rPr>
          <w:iCs/>
        </w:rPr>
        <w:t xml:space="preserve"> the benefits for patients stepped up from dual to triple therapy in the LAMA/LABA arm were appropriately not included in the model and hence agreed with the ESC that the cost-offsets associated with such a treatment switch should also not be included in the model.  </w:t>
      </w:r>
    </w:p>
    <w:p w:rsidR="00F52F23" w:rsidRPr="00416C64" w:rsidRDefault="006E382B" w:rsidP="005A2C9B">
      <w:pPr>
        <w:pStyle w:val="ListParagraph"/>
        <w:widowControl/>
        <w:numPr>
          <w:ilvl w:val="1"/>
          <w:numId w:val="3"/>
        </w:numPr>
      </w:pPr>
      <w:r w:rsidRPr="00416C64">
        <w:rPr>
          <w:iCs/>
        </w:rPr>
        <w:t>Although there were</w:t>
      </w:r>
      <w:r w:rsidR="003F472B" w:rsidRPr="00416C64">
        <w:rPr>
          <w:iCs/>
        </w:rPr>
        <w:t xml:space="preserve"> </w:t>
      </w:r>
      <w:r w:rsidR="00D55150" w:rsidRPr="00416C64">
        <w:rPr>
          <w:iCs/>
        </w:rPr>
        <w:t xml:space="preserve">a </w:t>
      </w:r>
      <w:r w:rsidR="003F472B" w:rsidRPr="00416C64">
        <w:rPr>
          <w:iCs/>
        </w:rPr>
        <w:t xml:space="preserve">number of </w:t>
      </w:r>
      <w:r w:rsidR="00F52F23" w:rsidRPr="00416C64">
        <w:rPr>
          <w:iCs/>
        </w:rPr>
        <w:t xml:space="preserve">small </w:t>
      </w:r>
      <w:r w:rsidR="009765E9" w:rsidRPr="00416C64">
        <w:rPr>
          <w:iCs/>
        </w:rPr>
        <w:t xml:space="preserve">additional </w:t>
      </w:r>
      <w:r w:rsidR="003F472B" w:rsidRPr="00416C64">
        <w:rPr>
          <w:iCs/>
        </w:rPr>
        <w:t>discrepancies and errors identified during the evaluation, ultimately</w:t>
      </w:r>
      <w:r w:rsidR="003F472B" w:rsidRPr="00416C64">
        <w:rPr>
          <w:i/>
          <w:iCs/>
        </w:rPr>
        <w:t xml:space="preserve"> </w:t>
      </w:r>
      <w:r w:rsidR="003F472B" w:rsidRPr="00416C64">
        <w:rPr>
          <w:iCs/>
        </w:rPr>
        <w:t xml:space="preserve">the model was not </w:t>
      </w:r>
      <w:r w:rsidR="00DC0214" w:rsidRPr="00416C64">
        <w:rPr>
          <w:iCs/>
        </w:rPr>
        <w:t xml:space="preserve">particularly </w:t>
      </w:r>
      <w:r w:rsidR="003F472B" w:rsidRPr="00416C64">
        <w:rPr>
          <w:iCs/>
        </w:rPr>
        <w:t xml:space="preserve">sensitive to </w:t>
      </w:r>
      <w:r w:rsidR="00B3776A" w:rsidRPr="00416C64">
        <w:rPr>
          <w:iCs/>
        </w:rPr>
        <w:t>them</w:t>
      </w:r>
      <w:r w:rsidRPr="00416C64">
        <w:rPr>
          <w:iCs/>
        </w:rPr>
        <w:t>.</w:t>
      </w:r>
      <w:r w:rsidR="00393D5D" w:rsidRPr="00416C64">
        <w:rPr>
          <w:iCs/>
        </w:rPr>
        <w:t xml:space="preserve"> </w:t>
      </w:r>
      <w:r w:rsidRPr="00416C64">
        <w:rPr>
          <w:iCs/>
        </w:rPr>
        <w:t>These included</w:t>
      </w:r>
      <w:r w:rsidR="003F472B" w:rsidRPr="00416C64">
        <w:rPr>
          <w:iCs/>
        </w:rPr>
        <w:t xml:space="preserve"> </w:t>
      </w:r>
      <w:r w:rsidRPr="00416C64">
        <w:rPr>
          <w:iCs/>
        </w:rPr>
        <w:t>m</w:t>
      </w:r>
      <w:r w:rsidR="00F52F23" w:rsidRPr="00416C64">
        <w:rPr>
          <w:iCs/>
        </w:rPr>
        <w:t xml:space="preserve">odel </w:t>
      </w:r>
      <w:r w:rsidR="00AE7B24" w:rsidRPr="00416C64">
        <w:rPr>
          <w:iCs/>
        </w:rPr>
        <w:t xml:space="preserve">parameters derived from the </w:t>
      </w:r>
      <w:r w:rsidR="00DC0214" w:rsidRPr="00416C64">
        <w:rPr>
          <w:iCs/>
        </w:rPr>
        <w:t>post-hoc</w:t>
      </w:r>
      <w:r w:rsidR="00AE7B24" w:rsidRPr="00416C64">
        <w:rPr>
          <w:iCs/>
        </w:rPr>
        <w:t xml:space="preserve"> analysis </w:t>
      </w:r>
      <w:r w:rsidR="00F52F23" w:rsidRPr="00416C64">
        <w:rPr>
          <w:iCs/>
        </w:rPr>
        <w:t xml:space="preserve">of IMPACT </w:t>
      </w:r>
      <w:r w:rsidR="00DC0214" w:rsidRPr="00416C64">
        <w:rPr>
          <w:iCs/>
        </w:rPr>
        <w:t>that</w:t>
      </w:r>
      <w:r w:rsidR="00B3776A" w:rsidRPr="00416C64">
        <w:rPr>
          <w:iCs/>
        </w:rPr>
        <w:t xml:space="preserve"> </w:t>
      </w:r>
      <w:r w:rsidR="00AE7B24" w:rsidRPr="00416C64">
        <w:rPr>
          <w:iCs/>
        </w:rPr>
        <w:t>did not match the ITT results</w:t>
      </w:r>
      <w:r w:rsidR="00B3776A" w:rsidRPr="00416C64">
        <w:rPr>
          <w:iCs/>
        </w:rPr>
        <w:t xml:space="preserve"> (</w:t>
      </w:r>
      <w:r w:rsidR="00F52F23" w:rsidRPr="00416C64">
        <w:rPr>
          <w:iCs/>
        </w:rPr>
        <w:t xml:space="preserve">proportion of deaths, </w:t>
      </w:r>
      <w:r w:rsidR="00AE7B24" w:rsidRPr="00416C64">
        <w:rPr>
          <w:iCs/>
        </w:rPr>
        <w:t>proportion of discontinuations</w:t>
      </w:r>
      <w:r w:rsidR="00F52F23" w:rsidRPr="00416C64">
        <w:rPr>
          <w:iCs/>
        </w:rPr>
        <w:t>, and proportion with any moderate/severe exacerbation</w:t>
      </w:r>
      <w:r w:rsidR="00B3776A" w:rsidRPr="00416C64">
        <w:rPr>
          <w:iCs/>
        </w:rPr>
        <w:t>)</w:t>
      </w:r>
      <w:r w:rsidR="00AE7B24" w:rsidRPr="00416C64">
        <w:rPr>
          <w:iCs/>
        </w:rPr>
        <w:t>.</w:t>
      </w:r>
      <w:r w:rsidR="00393D5D" w:rsidRPr="00416C64">
        <w:rPr>
          <w:iCs/>
        </w:rPr>
        <w:t xml:space="preserve"> </w:t>
      </w:r>
      <w:r w:rsidR="00B3776A" w:rsidRPr="00416C64">
        <w:rPr>
          <w:iCs/>
        </w:rPr>
        <w:t xml:space="preserve">The submission also incorrectly </w:t>
      </w:r>
      <w:r w:rsidR="00F52F23" w:rsidRPr="00416C64">
        <w:rPr>
          <w:iCs/>
        </w:rPr>
        <w:t xml:space="preserve">interpreted </w:t>
      </w:r>
      <w:r w:rsidR="00B3776A" w:rsidRPr="00416C64">
        <w:rPr>
          <w:iCs/>
        </w:rPr>
        <w:t>a regression</w:t>
      </w:r>
      <w:r w:rsidR="00F52F23" w:rsidRPr="00416C64">
        <w:rPr>
          <w:iCs/>
        </w:rPr>
        <w:t xml:space="preserve"> coefficient for “recent exacerbation history” </w:t>
      </w:r>
      <w:r w:rsidR="00B3776A" w:rsidRPr="00416C64">
        <w:rPr>
          <w:iCs/>
        </w:rPr>
        <w:t xml:space="preserve">as a </w:t>
      </w:r>
      <w:r w:rsidR="00F52F23" w:rsidRPr="00416C64">
        <w:rPr>
          <w:iCs/>
        </w:rPr>
        <w:t xml:space="preserve">slope coefficient, overestimating the </w:t>
      </w:r>
      <w:r w:rsidR="00B3776A" w:rsidRPr="00416C64">
        <w:rPr>
          <w:iCs/>
        </w:rPr>
        <w:t>rate</w:t>
      </w:r>
      <w:r w:rsidR="00F52F23" w:rsidRPr="00416C64">
        <w:rPr>
          <w:iCs/>
        </w:rPr>
        <w:t xml:space="preserve"> of FEV1 decline associated with recent exacerbation.</w:t>
      </w:r>
    </w:p>
    <w:p w:rsidR="00E15DAE" w:rsidRPr="00416C64" w:rsidRDefault="00E15DAE" w:rsidP="005A2C9B">
      <w:pPr>
        <w:pStyle w:val="ListParagraph"/>
        <w:widowControl/>
        <w:numPr>
          <w:ilvl w:val="1"/>
          <w:numId w:val="3"/>
        </w:numPr>
      </w:pPr>
      <w:r w:rsidRPr="00416C64">
        <w:t>Figure</w:t>
      </w:r>
      <w:r w:rsidR="00D55150" w:rsidRPr="00416C64">
        <w:t>s</w:t>
      </w:r>
      <w:r w:rsidRPr="00416C64">
        <w:t xml:space="preserve"> </w:t>
      </w:r>
      <w:r w:rsidR="002C0509" w:rsidRPr="00416C64">
        <w:t>2</w:t>
      </w:r>
      <w:r w:rsidRPr="00416C64">
        <w:t xml:space="preserve"> </w:t>
      </w:r>
      <w:r w:rsidR="00D55150" w:rsidRPr="00416C64">
        <w:t xml:space="preserve">and 3 </w:t>
      </w:r>
      <w:r w:rsidRPr="00416C64">
        <w:t>present trace</w:t>
      </w:r>
      <w:r w:rsidR="00D55150" w:rsidRPr="00416C64">
        <w:t>s</w:t>
      </w:r>
      <w:r w:rsidRPr="00416C64">
        <w:t xml:space="preserve"> of the FEV1 % predicted health states</w:t>
      </w:r>
      <w:r w:rsidR="00D55150" w:rsidRPr="00416C64">
        <w:t xml:space="preserve"> and number of clinical events in the model</w:t>
      </w:r>
      <w:r w:rsidR="002C0509" w:rsidRPr="00416C64">
        <w:t>.</w:t>
      </w:r>
      <w:r w:rsidR="00393D5D" w:rsidRPr="00416C64">
        <w:t xml:space="preserve"> </w:t>
      </w:r>
      <w:r w:rsidR="00B000B5" w:rsidRPr="00416C64">
        <w:rPr>
          <w:iCs/>
        </w:rPr>
        <w:t>The figures illustrate the shift in FEV1 % predicted health states in favour of Trelegy (ICS/LAMA/LABA) in the trial-based period, as well as the reduction in the number of exacerbations (moderate and severe) and increase in cases of pneumonia.</w:t>
      </w:r>
    </w:p>
    <w:p w:rsidR="00E15DAE" w:rsidRPr="00416C64" w:rsidRDefault="00D55150" w:rsidP="00BA64A9">
      <w:pPr>
        <w:keepNext/>
        <w:keepLines/>
        <w:widowControl/>
        <w:spacing w:after="0"/>
        <w:rPr>
          <w:rFonts w:ascii="Arial Narrow" w:hAnsi="Arial Narrow"/>
          <w:b/>
          <w:bCs/>
          <w:i/>
          <w:iCs/>
          <w:snapToGrid/>
          <w:sz w:val="20"/>
          <w:szCs w:val="18"/>
          <w:lang w:eastAsia="en-AU"/>
        </w:rPr>
      </w:pPr>
      <w:r w:rsidRPr="00416C64">
        <w:rPr>
          <w:rFonts w:ascii="Arial Narrow" w:hAnsi="Arial Narrow"/>
          <w:b/>
          <w:bCs/>
          <w:i/>
          <w:iCs/>
          <w:snapToGrid/>
          <w:sz w:val="20"/>
          <w:szCs w:val="18"/>
          <w:lang w:eastAsia="en-AU"/>
        </w:rPr>
        <w:lastRenderedPageBreak/>
        <w:t>Figure 2</w:t>
      </w:r>
      <w:r w:rsidR="00E15DAE" w:rsidRPr="00416C64">
        <w:rPr>
          <w:rFonts w:ascii="Arial Narrow" w:hAnsi="Arial Narrow"/>
          <w:b/>
          <w:bCs/>
          <w:i/>
          <w:iCs/>
          <w:snapToGrid/>
          <w:sz w:val="20"/>
          <w:szCs w:val="18"/>
          <w:lang w:eastAsia="en-AU"/>
        </w:rPr>
        <w:t>: Markov trace of FEV1 % predicted health states and proportion with any exacerbation, by arm and cycle</w:t>
      </w:r>
    </w:p>
    <w:p w:rsidR="00E15DAE" w:rsidRPr="00416C64" w:rsidRDefault="00B74049" w:rsidP="005A2C9B">
      <w:pPr>
        <w:keepNext/>
        <w:keepLines/>
        <w:widowControl/>
      </w:pPr>
      <w:r>
        <w:rPr>
          <w:noProof/>
          <w:snapToGrid/>
          <w:lang w:eastAsia="en-AU"/>
        </w:rPr>
        <w:drawing>
          <wp:inline distT="0" distB="0" distL="0" distR="0">
            <wp:extent cx="5227320" cy="3505200"/>
            <wp:effectExtent l="0" t="0" r="0" b="0"/>
            <wp:docPr id="2" name="Picture 2" descr="&#10;" title="Figure 2: Markov trace of FEV1 % predicted health states and proportion with any exacerbation, by arm and cycl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27320" cy="3505200"/>
                    </a:xfrm>
                    <a:prstGeom prst="rect">
                      <a:avLst/>
                    </a:prstGeom>
                  </pic:spPr>
                </pic:pic>
              </a:graphicData>
            </a:graphic>
          </wp:inline>
        </w:drawing>
      </w:r>
    </w:p>
    <w:p w:rsidR="00E15DAE" w:rsidRPr="00416C64" w:rsidRDefault="00E15DAE" w:rsidP="005A2C9B">
      <w:pPr>
        <w:pStyle w:val="TableFooter"/>
        <w:keepNext/>
        <w:keepLines/>
        <w:widowControl/>
        <w:rPr>
          <w:i/>
          <w:iCs/>
        </w:rPr>
      </w:pPr>
      <w:r w:rsidRPr="00416C64">
        <w:rPr>
          <w:i/>
          <w:iCs/>
        </w:rPr>
        <w:t xml:space="preserve">Abbreviations: COPD=chronic obstructive pulmonary disease; FEV1=forced expiratory volume in one second; FF=fluticasone fumarate; mod=moderate COPD; </w:t>
      </w:r>
      <w:proofErr w:type="spellStart"/>
      <w:r w:rsidRPr="00416C64">
        <w:rPr>
          <w:i/>
          <w:iCs/>
        </w:rPr>
        <w:t>sev</w:t>
      </w:r>
      <w:proofErr w:type="spellEnd"/>
      <w:r w:rsidRPr="00416C64">
        <w:rPr>
          <w:i/>
          <w:iCs/>
        </w:rPr>
        <w:t xml:space="preserve">=severe COPD; </w:t>
      </w:r>
      <w:proofErr w:type="spellStart"/>
      <w:r w:rsidRPr="00416C64">
        <w:rPr>
          <w:i/>
          <w:iCs/>
        </w:rPr>
        <w:t>v.sev</w:t>
      </w:r>
      <w:proofErr w:type="spellEnd"/>
      <w:r w:rsidRPr="00416C64">
        <w:rPr>
          <w:i/>
          <w:iCs/>
        </w:rPr>
        <w:t>=very severe COPD; UMEC=</w:t>
      </w:r>
      <w:proofErr w:type="spellStart"/>
      <w:r w:rsidRPr="00416C64">
        <w:rPr>
          <w:i/>
          <w:iCs/>
        </w:rPr>
        <w:t>umeclidinium</w:t>
      </w:r>
      <w:proofErr w:type="spellEnd"/>
      <w:r w:rsidRPr="00416C64">
        <w:rPr>
          <w:i/>
          <w:iCs/>
        </w:rPr>
        <w:t>; VI=</w:t>
      </w:r>
      <w:proofErr w:type="spellStart"/>
      <w:r w:rsidRPr="00416C64">
        <w:rPr>
          <w:i/>
          <w:iCs/>
        </w:rPr>
        <w:t>vilanterol</w:t>
      </w:r>
      <w:proofErr w:type="spellEnd"/>
      <w:r w:rsidR="00A47B46" w:rsidRPr="00416C64">
        <w:rPr>
          <w:i/>
          <w:iCs/>
        </w:rPr>
        <w:t>.</w:t>
      </w:r>
      <w:r w:rsidRPr="00416C64">
        <w:rPr>
          <w:i/>
          <w:iCs/>
        </w:rPr>
        <w:t xml:space="preserve"> </w:t>
      </w:r>
    </w:p>
    <w:p w:rsidR="00E15DAE" w:rsidRPr="00416C64" w:rsidRDefault="00E15DAE" w:rsidP="005A2C9B">
      <w:pPr>
        <w:pStyle w:val="TableFooter"/>
        <w:keepNext/>
        <w:keepLines/>
        <w:widowControl/>
        <w:rPr>
          <w:i/>
          <w:iCs/>
        </w:rPr>
      </w:pPr>
      <w:r w:rsidRPr="00416C64">
        <w:rPr>
          <w:i/>
          <w:iCs/>
          <w:snapToGrid/>
          <w:szCs w:val="18"/>
          <w:lang w:eastAsia="en-AU"/>
        </w:rPr>
        <w:t xml:space="preserve">Source: </w:t>
      </w:r>
      <w:r w:rsidRPr="00416C64">
        <w:rPr>
          <w:i/>
          <w:iCs/>
        </w:rPr>
        <w:t xml:space="preserve">constructed during the evaluation using Attachment 3 Cost effectiveness </w:t>
      </w:r>
      <w:proofErr w:type="spellStart"/>
      <w:r w:rsidRPr="00416C64">
        <w:rPr>
          <w:i/>
          <w:iCs/>
        </w:rPr>
        <w:t>model_Sect</w:t>
      </w:r>
      <w:proofErr w:type="spellEnd"/>
      <w:r w:rsidRPr="00416C64">
        <w:rPr>
          <w:i/>
          <w:iCs/>
        </w:rPr>
        <w:t xml:space="preserve"> 3.xlsm.</w:t>
      </w:r>
    </w:p>
    <w:p w:rsidR="001E44F9" w:rsidRPr="00416C64" w:rsidRDefault="001E44F9" w:rsidP="005A2C9B">
      <w:pPr>
        <w:widowControl/>
      </w:pPr>
    </w:p>
    <w:p w:rsidR="00E15DAE" w:rsidRPr="00416C64" w:rsidRDefault="00E15DAE" w:rsidP="00BA64A9">
      <w:pPr>
        <w:keepNext/>
        <w:keepLines/>
        <w:widowControl/>
        <w:spacing w:after="0"/>
        <w:rPr>
          <w:rFonts w:ascii="Arial Narrow" w:hAnsi="Arial Narrow"/>
          <w:b/>
          <w:bCs/>
          <w:i/>
          <w:iCs/>
          <w:snapToGrid/>
          <w:sz w:val="20"/>
          <w:szCs w:val="18"/>
          <w:lang w:eastAsia="en-AU"/>
        </w:rPr>
      </w:pPr>
      <w:r w:rsidRPr="00416C64">
        <w:rPr>
          <w:rFonts w:ascii="Arial Narrow" w:hAnsi="Arial Narrow"/>
          <w:b/>
          <w:bCs/>
          <w:i/>
          <w:iCs/>
          <w:snapToGrid/>
          <w:sz w:val="20"/>
          <w:szCs w:val="18"/>
          <w:lang w:eastAsia="en-AU"/>
        </w:rPr>
        <w:t xml:space="preserve">Figure </w:t>
      </w:r>
      <w:r w:rsidR="00D55150" w:rsidRPr="00416C64">
        <w:rPr>
          <w:rFonts w:ascii="Arial Narrow" w:hAnsi="Arial Narrow"/>
          <w:b/>
          <w:bCs/>
          <w:i/>
          <w:iCs/>
          <w:snapToGrid/>
          <w:sz w:val="20"/>
          <w:szCs w:val="18"/>
          <w:lang w:eastAsia="en-AU"/>
        </w:rPr>
        <w:t>3</w:t>
      </w:r>
      <w:r w:rsidRPr="00416C64">
        <w:rPr>
          <w:rFonts w:ascii="Arial Narrow" w:hAnsi="Arial Narrow"/>
          <w:b/>
          <w:bCs/>
          <w:i/>
          <w:iCs/>
          <w:snapToGrid/>
          <w:sz w:val="20"/>
          <w:szCs w:val="18"/>
          <w:lang w:eastAsia="en-AU"/>
        </w:rPr>
        <w:t>: Number of clinical events (per person), by arm and cycle</w:t>
      </w:r>
    </w:p>
    <w:p w:rsidR="00E15DAE" w:rsidRPr="00416C64" w:rsidRDefault="00B74049" w:rsidP="005A2C9B">
      <w:pPr>
        <w:widowControl/>
      </w:pPr>
      <w:r>
        <w:rPr>
          <w:noProof/>
          <w:snapToGrid/>
          <w:lang w:eastAsia="en-AU"/>
        </w:rPr>
        <w:drawing>
          <wp:inline distT="0" distB="0" distL="0" distR="0">
            <wp:extent cx="5339715" cy="3086735"/>
            <wp:effectExtent l="0" t="0" r="0" b="0"/>
            <wp:docPr id="1" name="Picture 1" title="Figure 3: Number of clinical events (per person), by arm and cycl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39715" cy="3086735"/>
                    </a:xfrm>
                    <a:prstGeom prst="rect">
                      <a:avLst/>
                    </a:prstGeom>
                  </pic:spPr>
                </pic:pic>
              </a:graphicData>
            </a:graphic>
          </wp:inline>
        </w:drawing>
      </w:r>
    </w:p>
    <w:p w:rsidR="00E15DAE" w:rsidRPr="00416C64" w:rsidRDefault="00E15DAE" w:rsidP="005A2C9B">
      <w:pPr>
        <w:pStyle w:val="TableFooter"/>
        <w:widowControl/>
        <w:rPr>
          <w:i/>
          <w:iCs/>
        </w:rPr>
      </w:pPr>
      <w:r w:rsidRPr="00416C64">
        <w:rPr>
          <w:i/>
          <w:iCs/>
        </w:rPr>
        <w:t>Abbreviations: FEV1=forced expiratory volume in one second; FF=fluticasone fumarate; UMEC=</w:t>
      </w:r>
      <w:proofErr w:type="spellStart"/>
      <w:r w:rsidRPr="00416C64">
        <w:rPr>
          <w:i/>
          <w:iCs/>
        </w:rPr>
        <w:t>umeclidinium</w:t>
      </w:r>
      <w:proofErr w:type="spellEnd"/>
      <w:r w:rsidRPr="00416C64">
        <w:rPr>
          <w:i/>
          <w:iCs/>
        </w:rPr>
        <w:t>; VI=</w:t>
      </w:r>
      <w:proofErr w:type="spellStart"/>
      <w:r w:rsidRPr="00416C64">
        <w:rPr>
          <w:i/>
          <w:iCs/>
        </w:rPr>
        <w:t>vilanterol</w:t>
      </w:r>
      <w:proofErr w:type="spellEnd"/>
      <w:r w:rsidRPr="00416C64">
        <w:rPr>
          <w:i/>
          <w:iCs/>
        </w:rPr>
        <w:t xml:space="preserve">; </w:t>
      </w:r>
    </w:p>
    <w:p w:rsidR="00E15DAE" w:rsidRPr="00416C64" w:rsidRDefault="00E15DAE" w:rsidP="005A2C9B">
      <w:pPr>
        <w:pStyle w:val="TableFooter"/>
        <w:widowControl/>
        <w:rPr>
          <w:i/>
          <w:iCs/>
        </w:rPr>
      </w:pPr>
      <w:r w:rsidRPr="00416C64">
        <w:rPr>
          <w:i/>
          <w:iCs/>
          <w:snapToGrid/>
          <w:szCs w:val="18"/>
          <w:lang w:eastAsia="en-AU"/>
        </w:rPr>
        <w:t xml:space="preserve">Source: </w:t>
      </w:r>
      <w:r w:rsidRPr="00416C64">
        <w:rPr>
          <w:i/>
          <w:iCs/>
        </w:rPr>
        <w:t xml:space="preserve">constructed during the evaluation using Attachment 3 Cost effectiveness </w:t>
      </w:r>
      <w:proofErr w:type="spellStart"/>
      <w:r w:rsidRPr="00416C64">
        <w:rPr>
          <w:i/>
          <w:iCs/>
        </w:rPr>
        <w:t>model_Sect</w:t>
      </w:r>
      <w:proofErr w:type="spellEnd"/>
      <w:r w:rsidRPr="00416C64">
        <w:rPr>
          <w:i/>
          <w:iCs/>
        </w:rPr>
        <w:t xml:space="preserve"> 3.xlsm.</w:t>
      </w:r>
    </w:p>
    <w:p w:rsidR="003F28A2" w:rsidRPr="00416C64" w:rsidRDefault="003F28A2" w:rsidP="005A2C9B">
      <w:pPr>
        <w:pStyle w:val="TableFooter"/>
        <w:widowControl/>
        <w:rPr>
          <w:i/>
          <w:iCs/>
        </w:rPr>
      </w:pPr>
    </w:p>
    <w:p w:rsidR="000D5AE3" w:rsidRPr="006A4936" w:rsidRDefault="00E15DAE" w:rsidP="005A2C9B">
      <w:pPr>
        <w:pStyle w:val="ListParagraph"/>
        <w:widowControl/>
        <w:numPr>
          <w:ilvl w:val="1"/>
          <w:numId w:val="3"/>
        </w:numPr>
        <w:rPr>
          <w:rStyle w:val="CommentReference"/>
          <w:rFonts w:ascii="Calibri" w:hAnsi="Calibri"/>
          <w:b w:val="0"/>
          <w:sz w:val="24"/>
          <w:szCs w:val="22"/>
        </w:rPr>
      </w:pPr>
      <w:r w:rsidRPr="00416C64">
        <w:t>Table</w:t>
      </w:r>
      <w:r w:rsidR="0010451C" w:rsidRPr="00416C64">
        <w:t xml:space="preserve"> 9</w:t>
      </w:r>
      <w:r w:rsidR="007D1232" w:rsidRPr="00416C64">
        <w:t xml:space="preserve"> </w:t>
      </w:r>
      <w:r w:rsidRPr="00416C64">
        <w:t>provides the results of the stepped economic evaluation</w:t>
      </w:r>
      <w:r w:rsidR="00AD4DD4" w:rsidRPr="00416C64">
        <w:t xml:space="preserve"> as presented in the submission</w:t>
      </w:r>
      <w:r w:rsidRPr="00416C64">
        <w:t xml:space="preserve">. </w:t>
      </w:r>
      <w:r w:rsidR="00DB6B03" w:rsidRPr="00416C64">
        <w:t>The results indicated Trelegy (FF/UMEC/VI) was dominant compared to UMEC/VI over the trial-based period, and had an ICER</w:t>
      </w:r>
      <w:r w:rsidR="009D3AEE">
        <w:t xml:space="preserve"> less than</w:t>
      </w:r>
      <w:r w:rsidR="00DB6B03" w:rsidRPr="00416C64">
        <w:t xml:space="preserve"> $</w:t>
      </w:r>
      <w:r w:rsidR="009D3AEE">
        <w:t>15,000</w:t>
      </w:r>
      <w:r w:rsidR="00DB6B03" w:rsidRPr="00416C64">
        <w:t>/QALY over 10 years.</w:t>
      </w:r>
      <w:r w:rsidR="00C34FFF" w:rsidRPr="00416C64">
        <w:t xml:space="preserve"> </w:t>
      </w:r>
      <w:r w:rsidR="00AD4DD4" w:rsidRPr="00416C64">
        <w:rPr>
          <w:iCs/>
        </w:rPr>
        <w:t xml:space="preserve"> The ESC considered a more reliable base case should include revised pneumonia hospitalisation costs and discontinuation from LAMA/LABA to ICS/LABA instead of triple therapy. This increased the ICER to $</w:t>
      </w:r>
      <w:r w:rsidR="009D3AEE">
        <w:rPr>
          <w:iCs/>
        </w:rPr>
        <w:t>15,000</w:t>
      </w:r>
      <w:r w:rsidR="00AD4DD4" w:rsidRPr="00416C64">
        <w:rPr>
          <w:iCs/>
        </w:rPr>
        <w:t>/QALY</w:t>
      </w:r>
      <w:r w:rsidR="009D3AEE">
        <w:rPr>
          <w:iCs/>
        </w:rPr>
        <w:t xml:space="preserve"> to $25,000/QALY</w:t>
      </w:r>
      <w:r w:rsidR="00AD4DD4" w:rsidRPr="00416C64">
        <w:rPr>
          <w:iCs/>
        </w:rPr>
        <w:t xml:space="preserve"> over the 10 year modelled time horizon. </w:t>
      </w:r>
      <w:r w:rsidR="001E4D7B" w:rsidRPr="00416C64">
        <w:rPr>
          <w:iCs/>
        </w:rPr>
        <w:t xml:space="preserve">The PBAC agreed </w:t>
      </w:r>
      <w:r w:rsidR="00676A09" w:rsidRPr="00416C64">
        <w:rPr>
          <w:iCs/>
        </w:rPr>
        <w:t>that</w:t>
      </w:r>
      <w:r w:rsidR="001E4D7B" w:rsidRPr="00416C64">
        <w:rPr>
          <w:iCs/>
        </w:rPr>
        <w:t xml:space="preserve"> </w:t>
      </w:r>
      <w:r w:rsidR="0081659D" w:rsidRPr="00416C64">
        <w:rPr>
          <w:iCs/>
        </w:rPr>
        <w:t xml:space="preserve">the </w:t>
      </w:r>
      <w:r w:rsidR="001E4D7B" w:rsidRPr="00416C64">
        <w:rPr>
          <w:iCs/>
        </w:rPr>
        <w:t>revised base case proposed by the ESC</w:t>
      </w:r>
      <w:r w:rsidR="00676A09" w:rsidRPr="00416C64">
        <w:rPr>
          <w:iCs/>
        </w:rPr>
        <w:t xml:space="preserve"> was appropriate</w:t>
      </w:r>
      <w:r w:rsidR="001E4D7B" w:rsidRPr="00416C64">
        <w:rPr>
          <w:iCs/>
        </w:rPr>
        <w:t xml:space="preserve">. </w:t>
      </w:r>
    </w:p>
    <w:p w:rsidR="00383671" w:rsidRPr="00416C64" w:rsidRDefault="00E15DAE" w:rsidP="00BA64A9">
      <w:pPr>
        <w:widowControl/>
        <w:spacing w:after="0"/>
        <w:rPr>
          <w:rFonts w:ascii="Arial Narrow" w:hAnsi="Arial Narrow"/>
          <w:b/>
          <w:sz w:val="20"/>
          <w:szCs w:val="16"/>
        </w:rPr>
      </w:pPr>
      <w:r w:rsidRPr="00416C64">
        <w:rPr>
          <w:rStyle w:val="CommentReference"/>
        </w:rPr>
        <w:t xml:space="preserve">Table </w:t>
      </w:r>
      <w:r w:rsidR="0010451C" w:rsidRPr="00416C64">
        <w:rPr>
          <w:rStyle w:val="CommentReference"/>
        </w:rPr>
        <w:t>9</w:t>
      </w:r>
      <w:r w:rsidR="007D1232" w:rsidRPr="00416C64">
        <w:rPr>
          <w:rStyle w:val="CommentReference"/>
        </w:rPr>
        <w:t>:</w:t>
      </w:r>
      <w:r w:rsidRPr="00416C64">
        <w:rPr>
          <w:rStyle w:val="CommentReference"/>
        </w:rPr>
        <w:t xml:space="preserve"> Results of the stepped economic evaluation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1915"/>
        <w:gridCol w:w="1986"/>
        <w:gridCol w:w="2359"/>
      </w:tblGrid>
      <w:tr w:rsidR="00E15DAE" w:rsidRPr="00416C64" w:rsidTr="003214BD">
        <w:trPr>
          <w:tblHeader/>
        </w:trPr>
        <w:tc>
          <w:tcPr>
            <w:tcW w:w="1529" w:type="pct"/>
            <w:vAlign w:val="center"/>
          </w:tcPr>
          <w:p w:rsidR="00E15DAE" w:rsidRPr="00416C64" w:rsidRDefault="00E15DAE" w:rsidP="005A2C9B">
            <w:pPr>
              <w:pStyle w:val="Tabletext"/>
              <w:keepNext/>
              <w:rPr>
                <w:b/>
              </w:rPr>
            </w:pPr>
            <w:r w:rsidRPr="00416C64">
              <w:rPr>
                <w:b/>
              </w:rPr>
              <w:t>Step and component</w:t>
            </w:r>
          </w:p>
        </w:tc>
        <w:tc>
          <w:tcPr>
            <w:tcW w:w="1062" w:type="pct"/>
            <w:vAlign w:val="center"/>
          </w:tcPr>
          <w:p w:rsidR="00E15DAE" w:rsidRPr="00416C64" w:rsidRDefault="00E15DAE" w:rsidP="005A2C9B">
            <w:pPr>
              <w:pStyle w:val="Tabletext"/>
              <w:keepNext/>
              <w:jc w:val="center"/>
              <w:rPr>
                <w:b/>
              </w:rPr>
            </w:pPr>
            <w:r w:rsidRPr="00416C64">
              <w:rPr>
                <w:b/>
              </w:rPr>
              <w:t>Proposed medicine</w:t>
            </w:r>
          </w:p>
        </w:tc>
        <w:tc>
          <w:tcPr>
            <w:tcW w:w="1101" w:type="pct"/>
            <w:vAlign w:val="center"/>
          </w:tcPr>
          <w:p w:rsidR="00E15DAE" w:rsidRPr="00416C64" w:rsidRDefault="00E15DAE" w:rsidP="005A2C9B">
            <w:pPr>
              <w:pStyle w:val="Tabletext"/>
              <w:keepNext/>
              <w:jc w:val="center"/>
              <w:rPr>
                <w:b/>
              </w:rPr>
            </w:pPr>
            <w:r w:rsidRPr="00416C64">
              <w:rPr>
                <w:b/>
              </w:rPr>
              <w:t>Comparator</w:t>
            </w:r>
          </w:p>
        </w:tc>
        <w:tc>
          <w:tcPr>
            <w:tcW w:w="1308" w:type="pct"/>
            <w:vAlign w:val="center"/>
          </w:tcPr>
          <w:p w:rsidR="00E15DAE" w:rsidRPr="00416C64" w:rsidRDefault="00E15DAE" w:rsidP="005A2C9B">
            <w:pPr>
              <w:pStyle w:val="Tabletext"/>
              <w:keepNext/>
              <w:jc w:val="center"/>
              <w:rPr>
                <w:b/>
              </w:rPr>
            </w:pPr>
            <w:r w:rsidRPr="00416C64">
              <w:rPr>
                <w:b/>
              </w:rPr>
              <w:t>Increment</w:t>
            </w:r>
          </w:p>
        </w:tc>
      </w:tr>
      <w:tr w:rsidR="00E15DAE" w:rsidRPr="00416C64" w:rsidTr="003214BD">
        <w:tc>
          <w:tcPr>
            <w:tcW w:w="5000" w:type="pct"/>
            <w:gridSpan w:val="4"/>
            <w:vAlign w:val="center"/>
          </w:tcPr>
          <w:p w:rsidR="00E15DAE" w:rsidRPr="00416C64" w:rsidRDefault="00E15DAE" w:rsidP="005A2C9B">
            <w:pPr>
              <w:pStyle w:val="Tabletext"/>
              <w:keepNext/>
              <w:rPr>
                <w:b/>
                <w:snapToGrid w:val="0"/>
              </w:rPr>
            </w:pPr>
            <w:r w:rsidRPr="00416C64">
              <w:rPr>
                <w:b/>
                <w:snapToGrid w:val="0"/>
              </w:rPr>
              <w:t>Step 1: Trial-based costs and outcomes (Year 1)</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Costs</w:t>
            </w:r>
          </w:p>
        </w:tc>
        <w:tc>
          <w:tcPr>
            <w:tcW w:w="1062" w:type="pct"/>
            <w:vAlign w:val="center"/>
          </w:tcPr>
          <w:p w:rsidR="00E15DAE" w:rsidRPr="007D736A" w:rsidRDefault="00E15DAE" w:rsidP="005A2C9B">
            <w:pPr>
              <w:pStyle w:val="Tabletext"/>
              <w:keepNext/>
              <w:jc w:val="center"/>
              <w:rPr>
                <w:rFonts w:ascii="Times" w:hAnsi="Times"/>
              </w:rPr>
            </w:pPr>
            <w:r w:rsidRPr="007D736A">
              <w:t>$</w:t>
            </w:r>
            <w:r w:rsidR="00B74049">
              <w:rPr>
                <w:noProof/>
                <w:color w:val="000000"/>
                <w:highlight w:val="black"/>
              </w:rPr>
              <w:t>''''''''''''''</w:t>
            </w:r>
          </w:p>
        </w:tc>
        <w:tc>
          <w:tcPr>
            <w:tcW w:w="1101" w:type="pct"/>
            <w:vAlign w:val="center"/>
          </w:tcPr>
          <w:p w:rsidR="00E15DAE" w:rsidRPr="007D736A" w:rsidRDefault="00E15DAE" w:rsidP="005A2C9B">
            <w:pPr>
              <w:pStyle w:val="Tabletext"/>
              <w:keepNext/>
              <w:jc w:val="center"/>
              <w:rPr>
                <w:rFonts w:ascii="Times" w:hAnsi="Times"/>
              </w:rPr>
            </w:pPr>
            <w:r w:rsidRPr="007D736A">
              <w:t>$</w:t>
            </w:r>
            <w:r w:rsidR="00B74049">
              <w:rPr>
                <w:noProof/>
                <w:color w:val="000000"/>
                <w:highlight w:val="black"/>
              </w:rPr>
              <w:t>''''''''''''</w:t>
            </w:r>
          </w:p>
        </w:tc>
        <w:tc>
          <w:tcPr>
            <w:tcW w:w="1308" w:type="pct"/>
            <w:vAlign w:val="center"/>
          </w:tcPr>
          <w:p w:rsidR="00E15DAE" w:rsidRPr="007D736A" w:rsidRDefault="00E15DAE" w:rsidP="005A2C9B">
            <w:pPr>
              <w:pStyle w:val="Tabletext"/>
              <w:keepNext/>
              <w:jc w:val="center"/>
              <w:rPr>
                <w:rFonts w:ascii="Times" w:hAnsi="Times"/>
              </w:rPr>
            </w:pPr>
            <w:r w:rsidRPr="007D736A">
              <w:t>-$</w:t>
            </w:r>
            <w:r w:rsidR="00B74049">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LYG</w:t>
            </w:r>
          </w:p>
        </w:tc>
        <w:tc>
          <w:tcPr>
            <w:tcW w:w="1062" w:type="pct"/>
            <w:vAlign w:val="center"/>
          </w:tcPr>
          <w:p w:rsidR="00E15DAE" w:rsidRPr="00B74049" w:rsidRDefault="00B74049" w:rsidP="005A2C9B">
            <w:pPr>
              <w:pStyle w:val="Tabletext"/>
              <w:keepNext/>
              <w:jc w:val="center"/>
              <w:rPr>
                <w:rFonts w:ascii="Times" w:hAnsi="Times"/>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rFonts w:ascii="Times" w:hAnsi="Times"/>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pPr>
            <w:r w:rsidRPr="00416C64">
              <w:t>QALYs</w:t>
            </w:r>
          </w:p>
        </w:tc>
        <w:tc>
          <w:tcPr>
            <w:tcW w:w="1062"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3692" w:type="pct"/>
            <w:gridSpan w:val="3"/>
            <w:vAlign w:val="center"/>
          </w:tcPr>
          <w:p w:rsidR="00E15DAE" w:rsidRPr="00416C64" w:rsidRDefault="00E15DAE" w:rsidP="005A2C9B">
            <w:pPr>
              <w:pStyle w:val="Tabletext"/>
              <w:keepNext/>
              <w:rPr>
                <w:rFonts w:ascii="Times" w:hAnsi="Times"/>
                <w:snapToGrid w:val="0"/>
              </w:rPr>
            </w:pPr>
            <w:r w:rsidRPr="00416C64">
              <w:t>Incremental cost/extra LYG gained</w:t>
            </w:r>
          </w:p>
        </w:tc>
        <w:tc>
          <w:tcPr>
            <w:tcW w:w="1308" w:type="pct"/>
            <w:vAlign w:val="center"/>
          </w:tcPr>
          <w:p w:rsidR="00E15DAE" w:rsidRPr="00B74049" w:rsidRDefault="00B74049" w:rsidP="005A2C9B">
            <w:pPr>
              <w:pStyle w:val="Tabletext"/>
              <w:keepNext/>
              <w:jc w:val="center"/>
              <w:rPr>
                <w:rFonts w:ascii="Times" w:hAnsi="Times"/>
                <w:highlight w:val="black"/>
              </w:rPr>
            </w:pPr>
            <w:r>
              <w:rPr>
                <w:noProof/>
                <w:color w:val="000000"/>
                <w:highlight w:val="black"/>
              </w:rPr>
              <w:t>''''''''''''''''''''' ''''''''''''''''''''''''''''</w:t>
            </w:r>
          </w:p>
        </w:tc>
      </w:tr>
      <w:tr w:rsidR="00E15DAE" w:rsidRPr="00416C64" w:rsidTr="003214BD">
        <w:tc>
          <w:tcPr>
            <w:tcW w:w="3692" w:type="pct"/>
            <w:gridSpan w:val="3"/>
            <w:vAlign w:val="center"/>
          </w:tcPr>
          <w:p w:rsidR="00E15DAE" w:rsidRPr="00416C64" w:rsidRDefault="00E15DAE" w:rsidP="005A2C9B">
            <w:pPr>
              <w:pStyle w:val="Tabletext"/>
              <w:keepNext/>
              <w:rPr>
                <w:bCs/>
              </w:rPr>
            </w:pPr>
            <w:r w:rsidRPr="00416C64">
              <w:rPr>
                <w:bCs/>
              </w:rPr>
              <w:t>Incremental cost/extra QALY gained</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 '''''''''''''''''''''''</w:t>
            </w:r>
          </w:p>
        </w:tc>
      </w:tr>
      <w:tr w:rsidR="00E15DAE" w:rsidRPr="00416C64" w:rsidTr="003214BD">
        <w:tc>
          <w:tcPr>
            <w:tcW w:w="5000" w:type="pct"/>
            <w:gridSpan w:val="4"/>
            <w:vAlign w:val="center"/>
          </w:tcPr>
          <w:p w:rsidR="00E15DAE" w:rsidRPr="00416C64" w:rsidRDefault="00E15DAE" w:rsidP="005A2C9B">
            <w:pPr>
              <w:pStyle w:val="Tabletext"/>
              <w:keepNext/>
              <w:rPr>
                <w:b/>
                <w:snapToGrid w:val="0"/>
              </w:rPr>
            </w:pPr>
            <w:r w:rsidRPr="00416C64">
              <w:rPr>
                <w:b/>
                <w:snapToGrid w:val="0"/>
              </w:rPr>
              <w:t xml:space="preserve">Step 2: </w:t>
            </w:r>
            <w:r w:rsidRPr="00416C64">
              <w:rPr>
                <w:b/>
              </w:rPr>
              <w:t>Markov model costs and outcomes (Years 2 to 10)</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Costs</w:t>
            </w:r>
          </w:p>
        </w:tc>
        <w:tc>
          <w:tcPr>
            <w:tcW w:w="1062"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c>
          <w:tcPr>
            <w:tcW w:w="1101"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LYG</w:t>
            </w:r>
          </w:p>
        </w:tc>
        <w:tc>
          <w:tcPr>
            <w:tcW w:w="1062"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pPr>
            <w:r w:rsidRPr="00416C64">
              <w:t>QALYs</w:t>
            </w:r>
          </w:p>
        </w:tc>
        <w:tc>
          <w:tcPr>
            <w:tcW w:w="1062"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3692" w:type="pct"/>
            <w:gridSpan w:val="3"/>
            <w:vAlign w:val="center"/>
          </w:tcPr>
          <w:p w:rsidR="00E15DAE" w:rsidRPr="007D736A" w:rsidRDefault="00E15DAE" w:rsidP="005A2C9B">
            <w:pPr>
              <w:pStyle w:val="Tabletext"/>
              <w:keepNext/>
              <w:rPr>
                <w:rFonts w:ascii="Times" w:hAnsi="Times"/>
                <w:snapToGrid w:val="0"/>
              </w:rPr>
            </w:pPr>
            <w:r w:rsidRPr="007D736A">
              <w:t>Incremental cost/extra LYG gained</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r>
      <w:tr w:rsidR="00E15DAE" w:rsidRPr="00416C64" w:rsidTr="003214BD">
        <w:tc>
          <w:tcPr>
            <w:tcW w:w="3692" w:type="pct"/>
            <w:gridSpan w:val="3"/>
            <w:vAlign w:val="center"/>
          </w:tcPr>
          <w:p w:rsidR="00E15DAE" w:rsidRPr="007D736A" w:rsidRDefault="00E15DAE" w:rsidP="005A2C9B">
            <w:pPr>
              <w:pStyle w:val="Tabletext"/>
              <w:keepNext/>
              <w:rPr>
                <w:bCs/>
              </w:rPr>
            </w:pPr>
            <w:r w:rsidRPr="007D736A">
              <w:rPr>
                <w:bCs/>
              </w:rPr>
              <w:t>Incremental cost/extra QALY gained</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r>
      <w:tr w:rsidR="00E15DAE" w:rsidRPr="00416C64" w:rsidTr="003214BD">
        <w:tc>
          <w:tcPr>
            <w:tcW w:w="5000" w:type="pct"/>
            <w:gridSpan w:val="4"/>
            <w:vAlign w:val="center"/>
          </w:tcPr>
          <w:p w:rsidR="00E15DAE" w:rsidRPr="00416C64" w:rsidRDefault="00E15DAE" w:rsidP="005A2C9B">
            <w:pPr>
              <w:pStyle w:val="Tabletext"/>
              <w:keepNext/>
              <w:rPr>
                <w:b/>
                <w:snapToGrid w:val="0"/>
              </w:rPr>
            </w:pPr>
            <w:r w:rsidRPr="00416C64">
              <w:rPr>
                <w:b/>
                <w:snapToGrid w:val="0"/>
              </w:rPr>
              <w:t>Step 3: Combined model costs and outcomes (Years 1 to 10)</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Costs</w:t>
            </w:r>
          </w:p>
        </w:tc>
        <w:tc>
          <w:tcPr>
            <w:tcW w:w="1062"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c>
          <w:tcPr>
            <w:tcW w:w="1101"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rPr>
                <w:rFonts w:ascii="Times" w:hAnsi="Times"/>
              </w:rPr>
            </w:pPr>
            <w:r w:rsidRPr="00416C64">
              <w:t>LYG</w:t>
            </w:r>
          </w:p>
        </w:tc>
        <w:tc>
          <w:tcPr>
            <w:tcW w:w="1062"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1529" w:type="pct"/>
            <w:vAlign w:val="center"/>
          </w:tcPr>
          <w:p w:rsidR="00E15DAE" w:rsidRPr="00416C64" w:rsidRDefault="00E15DAE" w:rsidP="005A2C9B">
            <w:pPr>
              <w:pStyle w:val="Tabletext"/>
              <w:keepNext/>
            </w:pPr>
            <w:r w:rsidRPr="00416C64">
              <w:t>QALYs</w:t>
            </w:r>
          </w:p>
        </w:tc>
        <w:tc>
          <w:tcPr>
            <w:tcW w:w="1062"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101" w:type="pct"/>
            <w:vAlign w:val="center"/>
          </w:tcPr>
          <w:p w:rsidR="00E15DAE" w:rsidRPr="00B74049" w:rsidRDefault="00B74049" w:rsidP="005A2C9B">
            <w:pPr>
              <w:pStyle w:val="Tabletext"/>
              <w:keepNext/>
              <w:jc w:val="center"/>
              <w:rPr>
                <w:highlight w:val="black"/>
              </w:rPr>
            </w:pPr>
            <w:r>
              <w:rPr>
                <w:noProof/>
                <w:color w:val="000000"/>
                <w:highlight w:val="black"/>
              </w:rPr>
              <w:t>'''''''''''''''</w:t>
            </w:r>
          </w:p>
        </w:tc>
        <w:tc>
          <w:tcPr>
            <w:tcW w:w="1308" w:type="pct"/>
            <w:vAlign w:val="center"/>
          </w:tcPr>
          <w:p w:rsidR="00E15DAE" w:rsidRPr="00B74049" w:rsidRDefault="00B74049" w:rsidP="005A2C9B">
            <w:pPr>
              <w:pStyle w:val="Tabletext"/>
              <w:keepNext/>
              <w:jc w:val="center"/>
              <w:rPr>
                <w:highlight w:val="black"/>
              </w:rPr>
            </w:pPr>
            <w:r>
              <w:rPr>
                <w:noProof/>
                <w:color w:val="000000"/>
                <w:highlight w:val="black"/>
              </w:rPr>
              <w:t>''''''''''''''''</w:t>
            </w:r>
          </w:p>
        </w:tc>
      </w:tr>
      <w:tr w:rsidR="00E15DAE" w:rsidRPr="00416C64" w:rsidTr="003214BD">
        <w:tc>
          <w:tcPr>
            <w:tcW w:w="3692" w:type="pct"/>
            <w:gridSpan w:val="3"/>
            <w:vAlign w:val="center"/>
          </w:tcPr>
          <w:p w:rsidR="00E15DAE" w:rsidRPr="007D736A" w:rsidRDefault="00E15DAE" w:rsidP="005A2C9B">
            <w:pPr>
              <w:pStyle w:val="Tabletext"/>
              <w:keepNext/>
              <w:rPr>
                <w:rFonts w:ascii="Times" w:hAnsi="Times"/>
              </w:rPr>
            </w:pPr>
            <w:r w:rsidRPr="007D736A">
              <w:t>Incremental cost/extra LYG gained</w:t>
            </w:r>
          </w:p>
        </w:tc>
        <w:tc>
          <w:tcPr>
            <w:tcW w:w="1308" w:type="pct"/>
            <w:vAlign w:val="center"/>
          </w:tcPr>
          <w:p w:rsidR="00E15DAE" w:rsidRPr="007D736A" w:rsidRDefault="00E15DAE" w:rsidP="005A2C9B">
            <w:pPr>
              <w:pStyle w:val="Tabletext"/>
              <w:keepNext/>
              <w:jc w:val="center"/>
            </w:pPr>
            <w:r w:rsidRPr="007D736A">
              <w:t>$</w:t>
            </w:r>
            <w:r w:rsidR="00B74049">
              <w:rPr>
                <w:noProof/>
                <w:color w:val="000000"/>
                <w:highlight w:val="black"/>
              </w:rPr>
              <w:t>''''''''''''''</w:t>
            </w:r>
          </w:p>
        </w:tc>
      </w:tr>
      <w:tr w:rsidR="00E15DAE" w:rsidRPr="00416C64" w:rsidTr="003214BD">
        <w:tc>
          <w:tcPr>
            <w:tcW w:w="3692" w:type="pct"/>
            <w:gridSpan w:val="3"/>
            <w:vAlign w:val="center"/>
          </w:tcPr>
          <w:p w:rsidR="00E15DAE" w:rsidRPr="007D736A" w:rsidRDefault="00E15DAE" w:rsidP="005A2C9B">
            <w:pPr>
              <w:pStyle w:val="Tabletext"/>
              <w:keepNext/>
              <w:rPr>
                <w:b/>
              </w:rPr>
            </w:pPr>
            <w:r w:rsidRPr="007D736A">
              <w:rPr>
                <w:b/>
              </w:rPr>
              <w:t>Incremental cost/extra QALY gained (base case)</w:t>
            </w:r>
          </w:p>
        </w:tc>
        <w:tc>
          <w:tcPr>
            <w:tcW w:w="1308" w:type="pct"/>
            <w:vAlign w:val="center"/>
          </w:tcPr>
          <w:p w:rsidR="00E15DAE" w:rsidRPr="007D736A" w:rsidRDefault="00E15DAE" w:rsidP="005A2C9B">
            <w:pPr>
              <w:pStyle w:val="Tabletext"/>
              <w:keepNext/>
              <w:jc w:val="center"/>
              <w:rPr>
                <w:b/>
              </w:rPr>
            </w:pPr>
            <w:r w:rsidRPr="007D736A">
              <w:rPr>
                <w:b/>
              </w:rPr>
              <w:t>$</w:t>
            </w:r>
            <w:r w:rsidR="00B74049">
              <w:rPr>
                <w:b/>
                <w:noProof/>
                <w:color w:val="000000"/>
                <w:highlight w:val="black"/>
              </w:rPr>
              <w:t>'''''''''''</w:t>
            </w:r>
          </w:p>
        </w:tc>
      </w:tr>
      <w:tr w:rsidR="00AD4DD4" w:rsidRPr="00416C64" w:rsidTr="003214BD">
        <w:tc>
          <w:tcPr>
            <w:tcW w:w="3692" w:type="pct"/>
            <w:gridSpan w:val="3"/>
            <w:vAlign w:val="center"/>
          </w:tcPr>
          <w:p w:rsidR="00AD4DD4" w:rsidRPr="007D736A" w:rsidRDefault="00AD4DD4" w:rsidP="005A2C9B">
            <w:pPr>
              <w:pStyle w:val="Tabletext"/>
              <w:keepNext/>
              <w:rPr>
                <w:b/>
                <w:i/>
              </w:rPr>
            </w:pPr>
            <w:r w:rsidRPr="007D736A">
              <w:rPr>
                <w:b/>
                <w:i/>
              </w:rPr>
              <w:t>Incremental cost/extra QALY gained (ESC revised base case)</w:t>
            </w:r>
          </w:p>
        </w:tc>
        <w:tc>
          <w:tcPr>
            <w:tcW w:w="1308" w:type="pct"/>
            <w:vAlign w:val="center"/>
          </w:tcPr>
          <w:p w:rsidR="00AD4DD4" w:rsidRPr="007D736A" w:rsidRDefault="00AD4DD4" w:rsidP="005A2C9B">
            <w:pPr>
              <w:pStyle w:val="Tabletext"/>
              <w:keepNext/>
              <w:jc w:val="center"/>
              <w:rPr>
                <w:b/>
                <w:i/>
              </w:rPr>
            </w:pPr>
            <w:r w:rsidRPr="007D736A">
              <w:rPr>
                <w:b/>
                <w:i/>
              </w:rPr>
              <w:t>$</w:t>
            </w:r>
            <w:r w:rsidR="00B74049">
              <w:rPr>
                <w:b/>
                <w:i/>
                <w:noProof/>
                <w:color w:val="000000"/>
                <w:highlight w:val="black"/>
              </w:rPr>
              <w:t>''''''''''''</w:t>
            </w:r>
          </w:p>
        </w:tc>
      </w:tr>
    </w:tbl>
    <w:p w:rsidR="00E15DAE" w:rsidRPr="00416C64" w:rsidRDefault="00E15DAE" w:rsidP="005A2C9B">
      <w:pPr>
        <w:pStyle w:val="TableFooter"/>
        <w:widowControl/>
        <w:rPr>
          <w:sz w:val="20"/>
        </w:rPr>
      </w:pPr>
      <w:r w:rsidRPr="00416C64">
        <w:t>Source: Tables 70 to 73, pp136-137 of the submission.</w:t>
      </w:r>
    </w:p>
    <w:p w:rsidR="00D110BD" w:rsidRPr="00416C64" w:rsidRDefault="00D110BD" w:rsidP="005A2C9B">
      <w:pPr>
        <w:widowControl/>
      </w:pPr>
    </w:p>
    <w:p w:rsidR="001E4418" w:rsidRPr="00416C64" w:rsidRDefault="001E4418" w:rsidP="005A2C9B">
      <w:pPr>
        <w:pStyle w:val="ListParagraph"/>
        <w:widowControl/>
        <w:numPr>
          <w:ilvl w:val="1"/>
          <w:numId w:val="3"/>
        </w:numPr>
        <w:rPr>
          <w:iCs/>
        </w:rPr>
      </w:pPr>
      <w:r w:rsidRPr="00416C64">
        <w:rPr>
          <w:iCs/>
        </w:rPr>
        <w:t>The submission did not present any external validation of model outputs.</w:t>
      </w:r>
      <w:r w:rsidR="00393D5D" w:rsidRPr="00416C64">
        <w:rPr>
          <w:iCs/>
        </w:rPr>
        <w:t xml:space="preserve"> </w:t>
      </w:r>
      <w:r w:rsidRPr="00416C64">
        <w:rPr>
          <w:iCs/>
        </w:rPr>
        <w:t>However, a structurally different modelled analysis of IMPACT data considered by CADTH (2018) estimated similar incremental QALYs.</w:t>
      </w:r>
      <w:r w:rsidR="00393D5D" w:rsidRPr="00416C64">
        <w:rPr>
          <w:iCs/>
        </w:rPr>
        <w:t xml:space="preserve"> </w:t>
      </w:r>
      <w:r w:rsidRPr="00416C64">
        <w:rPr>
          <w:iCs/>
        </w:rPr>
        <w:t xml:space="preserve">In that model, triple therapy FF/UMEC/VI resulted in an </w:t>
      </w:r>
      <w:r w:rsidRPr="00A25BA8">
        <w:rPr>
          <w:iCs/>
        </w:rPr>
        <w:t>addition</w:t>
      </w:r>
      <w:r w:rsidR="00B92342" w:rsidRPr="00A25BA8">
        <w:rPr>
          <w:iCs/>
        </w:rPr>
        <w:t>al</w:t>
      </w:r>
      <w:r w:rsidRPr="00A25BA8">
        <w:rPr>
          <w:iCs/>
        </w:rPr>
        <w:t xml:space="preserve"> </w:t>
      </w:r>
      <w:r w:rsidR="00B74049">
        <w:rPr>
          <w:iCs/>
          <w:noProof/>
          <w:color w:val="000000"/>
          <w:highlight w:val="black"/>
        </w:rPr>
        <w:t>'''''''''''</w:t>
      </w:r>
      <w:r w:rsidRPr="00A25BA8">
        <w:rPr>
          <w:iCs/>
        </w:rPr>
        <w:t xml:space="preserve"> QALYs versus</w:t>
      </w:r>
      <w:r w:rsidRPr="00416C64">
        <w:rPr>
          <w:iCs/>
        </w:rPr>
        <w:t xml:space="preserve"> UMEC/VI over a lifetime model horizon.</w:t>
      </w:r>
      <w:r w:rsidR="00393D5D" w:rsidRPr="00416C64">
        <w:rPr>
          <w:iCs/>
        </w:rPr>
        <w:t xml:space="preserve"> </w:t>
      </w:r>
      <w:r w:rsidRPr="00416C64">
        <w:rPr>
          <w:iCs/>
        </w:rPr>
        <w:t xml:space="preserve">In the modelled analysis presented in the submission, triple therapy resulted in an </w:t>
      </w:r>
      <w:r w:rsidRPr="00A25BA8">
        <w:rPr>
          <w:iCs/>
        </w:rPr>
        <w:t xml:space="preserve">additional </w:t>
      </w:r>
      <w:r w:rsidR="00B74049">
        <w:rPr>
          <w:iCs/>
          <w:noProof/>
          <w:color w:val="000000"/>
          <w:highlight w:val="black"/>
        </w:rPr>
        <w:t>'''''''''''''</w:t>
      </w:r>
      <w:r w:rsidRPr="00A25BA8">
        <w:rPr>
          <w:iCs/>
        </w:rPr>
        <w:t xml:space="preserve"> QALYs</w:t>
      </w:r>
      <w:r w:rsidR="003F60C5" w:rsidRPr="00416C64">
        <w:rPr>
          <w:iCs/>
        </w:rPr>
        <w:t xml:space="preserve"> </w:t>
      </w:r>
      <w:r w:rsidR="00B92342" w:rsidRPr="00416C64">
        <w:rPr>
          <w:iCs/>
        </w:rPr>
        <w:t>gained</w:t>
      </w:r>
      <w:r w:rsidRPr="00416C64">
        <w:rPr>
          <w:iCs/>
        </w:rPr>
        <w:t xml:space="preserve"> over the same time horizon.</w:t>
      </w:r>
      <w:r w:rsidR="00393D5D" w:rsidRPr="00416C64">
        <w:rPr>
          <w:iCs/>
        </w:rPr>
        <w:t xml:space="preserve"> </w:t>
      </w:r>
      <w:r w:rsidRPr="00416C64">
        <w:rPr>
          <w:iCs/>
        </w:rPr>
        <w:t xml:space="preserve">Limited reporting </w:t>
      </w:r>
      <w:r w:rsidRPr="00416C64">
        <w:rPr>
          <w:iCs/>
        </w:rPr>
        <w:lastRenderedPageBreak/>
        <w:t>precluded any comparison of incremental costs between the two models; higher incremental cost in the CADTH model (</w:t>
      </w:r>
      <w:r w:rsidRPr="00DF7ED6">
        <w:rPr>
          <w:iCs/>
        </w:rPr>
        <w:t>CAN$</w:t>
      </w:r>
      <w:r w:rsidR="00B74049">
        <w:rPr>
          <w:iCs/>
          <w:noProof/>
          <w:color w:val="000000"/>
          <w:highlight w:val="black"/>
        </w:rPr>
        <w:t>'''''''''</w:t>
      </w:r>
      <w:r w:rsidR="00B92342" w:rsidRPr="00DF7ED6">
        <w:rPr>
          <w:rStyle w:val="FootnoteReference"/>
          <w:iCs/>
        </w:rPr>
        <w:footnoteReference w:id="1"/>
      </w:r>
      <w:r w:rsidRPr="00DF7ED6">
        <w:rPr>
          <w:iCs/>
        </w:rPr>
        <w:t xml:space="preserve"> versus AU$</w:t>
      </w:r>
      <w:r w:rsidR="00B74049">
        <w:rPr>
          <w:iCs/>
          <w:noProof/>
          <w:color w:val="000000"/>
          <w:highlight w:val="black"/>
        </w:rPr>
        <w:t>''''''''</w:t>
      </w:r>
      <w:r w:rsidRPr="00DF7ED6">
        <w:rPr>
          <w:iCs/>
        </w:rPr>
        <w:t xml:space="preserve"> over</w:t>
      </w:r>
      <w:r w:rsidRPr="00416C64">
        <w:rPr>
          <w:iCs/>
        </w:rPr>
        <w:t xml:space="preserve"> a lifetime) may have been driven partly by a higher requested price for FF/UMEC/VI in Canada (annual drug cost of </w:t>
      </w:r>
      <w:r w:rsidRPr="00242FCF">
        <w:rPr>
          <w:iCs/>
        </w:rPr>
        <w:t>CAN$1,608</w:t>
      </w:r>
      <w:r w:rsidR="0067016C" w:rsidRPr="00242FCF">
        <w:rPr>
          <w:rStyle w:val="FootnoteReference"/>
          <w:iCs/>
        </w:rPr>
        <w:footnoteReference w:id="2"/>
      </w:r>
      <w:r w:rsidRPr="00242FCF">
        <w:rPr>
          <w:iCs/>
        </w:rPr>
        <w:t xml:space="preserve"> vs</w:t>
      </w:r>
      <w:r w:rsidRPr="00416C64">
        <w:rPr>
          <w:iCs/>
        </w:rPr>
        <w:t xml:space="preserve"> AU$</w:t>
      </w:r>
      <w:r w:rsidR="00B74049">
        <w:rPr>
          <w:iCs/>
          <w:noProof/>
          <w:color w:val="000000"/>
          <w:highlight w:val="black"/>
        </w:rPr>
        <w:t>'''''''''''</w:t>
      </w:r>
      <w:r w:rsidRPr="00416C64">
        <w:rPr>
          <w:iCs/>
        </w:rPr>
        <w:t>).</w:t>
      </w:r>
    </w:p>
    <w:p w:rsidR="00E15DAE" w:rsidRPr="00416C64" w:rsidRDefault="00E15DAE" w:rsidP="005A2C9B">
      <w:pPr>
        <w:pStyle w:val="ListParagraph"/>
        <w:widowControl/>
        <w:numPr>
          <w:ilvl w:val="1"/>
          <w:numId w:val="3"/>
        </w:numPr>
      </w:pPr>
      <w:r w:rsidRPr="00416C64">
        <w:t xml:space="preserve">Table </w:t>
      </w:r>
      <w:r w:rsidR="0010451C" w:rsidRPr="00416C64">
        <w:t>10</w:t>
      </w:r>
      <w:r w:rsidRPr="00416C64">
        <w:t xml:space="preserve"> presents the results of the sensitivity analyses.</w:t>
      </w:r>
      <w:r w:rsidR="00393D5D" w:rsidRPr="00416C64">
        <w:t xml:space="preserve"> </w:t>
      </w:r>
      <w:r w:rsidRPr="00416C64">
        <w:t>The results indicated that the model was most sensitive to the cost offsets for replacement therapy and the cost of treating cases of pneumonia.</w:t>
      </w:r>
      <w:r w:rsidR="009146BD" w:rsidRPr="00416C64">
        <w:t xml:space="preserve"> </w:t>
      </w:r>
      <w:r w:rsidR="00A40A7C" w:rsidRPr="00416C64">
        <w:t>The ESC noted that the sensitivity analyses presented in Table 10 was based on a base case of</w:t>
      </w:r>
      <w:r w:rsidR="00B15772">
        <w:t xml:space="preserve"> less than</w:t>
      </w:r>
      <w:r w:rsidR="00A40A7C" w:rsidRPr="00416C64">
        <w:t xml:space="preserve"> $</w:t>
      </w:r>
      <w:r w:rsidR="00B15772">
        <w:t>15,000</w:t>
      </w:r>
      <w:r w:rsidR="00A40A7C" w:rsidRPr="00416C64">
        <w:t>/QALY not the ESC revised base case of $</w:t>
      </w:r>
      <w:r w:rsidR="00B15772">
        <w:t>15,000</w:t>
      </w:r>
      <w:r w:rsidR="00A40A7C" w:rsidRPr="00416C64">
        <w:t>/QALY</w:t>
      </w:r>
      <w:r w:rsidR="00B15772">
        <w:t xml:space="preserve"> to $45,000/QALY</w:t>
      </w:r>
      <w:r w:rsidR="00A40A7C" w:rsidRPr="00416C64">
        <w:t xml:space="preserve">. </w:t>
      </w:r>
    </w:p>
    <w:p w:rsidR="00E15DAE" w:rsidRPr="00416C64" w:rsidRDefault="00E15DAE" w:rsidP="00BA64A9">
      <w:pPr>
        <w:keepNext/>
        <w:widowControl/>
        <w:spacing w:after="0"/>
        <w:rPr>
          <w:rStyle w:val="CommentReference"/>
        </w:rPr>
      </w:pPr>
      <w:r w:rsidRPr="00416C64">
        <w:rPr>
          <w:rStyle w:val="CommentReference"/>
        </w:rPr>
        <w:t xml:space="preserve">Table </w:t>
      </w:r>
      <w:r w:rsidR="007D1232" w:rsidRPr="00416C64">
        <w:rPr>
          <w:rStyle w:val="CommentReference"/>
        </w:rPr>
        <w:t>1</w:t>
      </w:r>
      <w:r w:rsidR="000369F4" w:rsidRPr="00416C64">
        <w:rPr>
          <w:rStyle w:val="CommentReference"/>
        </w:rPr>
        <w:t>0</w:t>
      </w:r>
      <w:r w:rsidRPr="00416C64">
        <w:rPr>
          <w:rStyle w:val="CommentReference"/>
        </w:rPr>
        <w:t>: Results of other sensitivity analyses coded into the model and conducted during the evaluation</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84"/>
        <w:gridCol w:w="1006"/>
        <w:gridCol w:w="1006"/>
        <w:gridCol w:w="1007"/>
      </w:tblGrid>
      <w:tr w:rsidR="00E15DAE" w:rsidRPr="00416C64" w:rsidTr="003214BD">
        <w:trPr>
          <w:tblHeader/>
        </w:trPr>
        <w:tc>
          <w:tcPr>
            <w:tcW w:w="6284" w:type="dxa"/>
            <w:tcBorders>
              <w:bottom w:val="single" w:sz="4" w:space="0" w:color="auto"/>
            </w:tcBorders>
          </w:tcPr>
          <w:p w:rsidR="00E15DAE" w:rsidRPr="00416C64" w:rsidRDefault="00E15DAE" w:rsidP="005A2C9B">
            <w:pPr>
              <w:pStyle w:val="Tabletext"/>
              <w:keepNext/>
              <w:tabs>
                <w:tab w:val="left" w:pos="142"/>
              </w:tabs>
              <w:rPr>
                <w:b/>
              </w:rPr>
            </w:pPr>
            <w:r w:rsidRPr="00416C64">
              <w:rPr>
                <w:b/>
              </w:rPr>
              <w:t>Analyses</w:t>
            </w:r>
          </w:p>
        </w:tc>
        <w:tc>
          <w:tcPr>
            <w:tcW w:w="1006" w:type="dxa"/>
            <w:tcBorders>
              <w:bottom w:val="single" w:sz="4" w:space="0" w:color="auto"/>
            </w:tcBorders>
            <w:vAlign w:val="center"/>
          </w:tcPr>
          <w:p w:rsidR="00E15DAE" w:rsidRPr="00416C64" w:rsidRDefault="00E15DAE" w:rsidP="005A2C9B">
            <w:pPr>
              <w:pStyle w:val="Tabletext"/>
              <w:keepNext/>
              <w:jc w:val="center"/>
              <w:rPr>
                <w:b/>
              </w:rPr>
            </w:pPr>
            <w:r w:rsidRPr="00416C64">
              <w:rPr>
                <w:b/>
              </w:rPr>
              <w:t>Incremental cost</w:t>
            </w:r>
          </w:p>
        </w:tc>
        <w:tc>
          <w:tcPr>
            <w:tcW w:w="1006" w:type="dxa"/>
            <w:tcBorders>
              <w:bottom w:val="single" w:sz="4" w:space="0" w:color="auto"/>
            </w:tcBorders>
            <w:vAlign w:val="center"/>
          </w:tcPr>
          <w:p w:rsidR="00E15DAE" w:rsidRPr="00416C64" w:rsidRDefault="00E15DAE" w:rsidP="005A2C9B">
            <w:pPr>
              <w:pStyle w:val="Tabletext"/>
              <w:keepNext/>
              <w:jc w:val="center"/>
              <w:rPr>
                <w:b/>
              </w:rPr>
            </w:pPr>
            <w:r w:rsidRPr="00416C64">
              <w:rPr>
                <w:b/>
              </w:rPr>
              <w:t>Incremental QALY</w:t>
            </w:r>
          </w:p>
        </w:tc>
        <w:tc>
          <w:tcPr>
            <w:tcW w:w="1007" w:type="dxa"/>
            <w:tcBorders>
              <w:bottom w:val="single" w:sz="4" w:space="0" w:color="auto"/>
            </w:tcBorders>
            <w:vAlign w:val="center"/>
          </w:tcPr>
          <w:p w:rsidR="00E15DAE" w:rsidRPr="00416C64" w:rsidRDefault="00E15DAE" w:rsidP="005A2C9B">
            <w:pPr>
              <w:pStyle w:val="Tabletext"/>
              <w:keepNext/>
              <w:jc w:val="center"/>
              <w:rPr>
                <w:b/>
              </w:rPr>
            </w:pPr>
            <w:r w:rsidRPr="00416C64">
              <w:rPr>
                <w:b/>
              </w:rPr>
              <w:t>ICER</w:t>
            </w:r>
          </w:p>
        </w:tc>
      </w:tr>
      <w:tr w:rsidR="00E15DAE" w:rsidRPr="00416C64" w:rsidTr="003214BD">
        <w:tc>
          <w:tcPr>
            <w:tcW w:w="6284" w:type="dxa"/>
            <w:tcBorders>
              <w:bottom w:val="nil"/>
            </w:tcBorders>
          </w:tcPr>
          <w:p w:rsidR="00E15DAE" w:rsidRPr="00416C64" w:rsidRDefault="00E15DAE" w:rsidP="005A2C9B">
            <w:pPr>
              <w:pStyle w:val="Tabletext"/>
              <w:keepNext/>
              <w:tabs>
                <w:tab w:val="left" w:pos="142"/>
              </w:tabs>
              <w:rPr>
                <w:b/>
              </w:rPr>
            </w:pPr>
            <w:r w:rsidRPr="00416C64">
              <w:rPr>
                <w:b/>
              </w:rPr>
              <w:t>Base case (ITT)</w:t>
            </w:r>
          </w:p>
        </w:tc>
        <w:tc>
          <w:tcPr>
            <w:tcW w:w="1006" w:type="dxa"/>
            <w:tcBorders>
              <w:bottom w:val="nil"/>
            </w:tcBorders>
            <w:vAlign w:val="center"/>
          </w:tcPr>
          <w:p w:rsidR="00E15DAE" w:rsidRPr="00DF7ED6" w:rsidRDefault="00E15DAE" w:rsidP="005A2C9B">
            <w:pPr>
              <w:pStyle w:val="Tabletext"/>
              <w:keepNext/>
              <w:jc w:val="center"/>
              <w:rPr>
                <w:b/>
                <w:bCs/>
              </w:rPr>
            </w:pPr>
            <w:r w:rsidRPr="00DF7ED6">
              <w:rPr>
                <w:b/>
                <w:bCs/>
              </w:rPr>
              <w:t>$</w:t>
            </w:r>
            <w:r w:rsidR="00B74049">
              <w:rPr>
                <w:b/>
                <w:bCs/>
                <w:noProof/>
                <w:color w:val="000000"/>
                <w:highlight w:val="black"/>
              </w:rPr>
              <w:t>'''''''</w:t>
            </w:r>
          </w:p>
        </w:tc>
        <w:tc>
          <w:tcPr>
            <w:tcW w:w="1006" w:type="dxa"/>
            <w:tcBorders>
              <w:bottom w:val="nil"/>
            </w:tcBorders>
            <w:vAlign w:val="center"/>
          </w:tcPr>
          <w:p w:rsidR="00E15DAE" w:rsidRPr="00B74049" w:rsidRDefault="00B74049" w:rsidP="005A2C9B">
            <w:pPr>
              <w:pStyle w:val="Tabletext"/>
              <w:keepNext/>
              <w:jc w:val="center"/>
              <w:rPr>
                <w:b/>
                <w:bCs/>
                <w:highlight w:val="black"/>
              </w:rPr>
            </w:pPr>
            <w:r>
              <w:rPr>
                <w:b/>
                <w:bCs/>
                <w:noProof/>
                <w:color w:val="000000"/>
                <w:highlight w:val="black"/>
              </w:rPr>
              <w:t>''''''''''''''</w:t>
            </w:r>
          </w:p>
        </w:tc>
        <w:tc>
          <w:tcPr>
            <w:tcW w:w="1007" w:type="dxa"/>
            <w:tcBorders>
              <w:bottom w:val="nil"/>
            </w:tcBorders>
            <w:vAlign w:val="center"/>
          </w:tcPr>
          <w:p w:rsidR="00E15DAE" w:rsidRPr="00DF7ED6" w:rsidRDefault="00E15DAE" w:rsidP="005A2C9B">
            <w:pPr>
              <w:pStyle w:val="Tabletext"/>
              <w:keepNext/>
              <w:jc w:val="center"/>
              <w:rPr>
                <w:b/>
              </w:rPr>
            </w:pPr>
            <w:r w:rsidRPr="00DF7ED6">
              <w:rPr>
                <w:b/>
              </w:rPr>
              <w:t>$</w:t>
            </w:r>
            <w:r w:rsidR="00B74049">
              <w:rPr>
                <w:b/>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pPr>
            <w:r w:rsidRPr="00416C64">
              <w:t>Post-trial treatment effect for 5 years without waning</w:t>
            </w:r>
          </w:p>
        </w:tc>
        <w:tc>
          <w:tcPr>
            <w:tcW w:w="1006"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c>
          <w:tcPr>
            <w:tcW w:w="1007"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pPr>
            <w:r w:rsidRPr="00416C64">
              <w:t>Post-trial treatment effect for 5 years with waning</w:t>
            </w:r>
          </w:p>
        </w:tc>
        <w:tc>
          <w:tcPr>
            <w:tcW w:w="1006"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c>
          <w:tcPr>
            <w:tcW w:w="1007"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pPr>
            <w:r w:rsidRPr="00416C64">
              <w:t>Time horizon – lifetime</w:t>
            </w:r>
          </w:p>
        </w:tc>
        <w:tc>
          <w:tcPr>
            <w:tcW w:w="1006"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c>
          <w:tcPr>
            <w:tcW w:w="1007"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pPr>
            <w:r w:rsidRPr="00416C64">
              <w:t>No within trial mortality (within trial utility on)</w:t>
            </w:r>
          </w:p>
        </w:tc>
        <w:tc>
          <w:tcPr>
            <w:tcW w:w="1006"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c>
          <w:tcPr>
            <w:tcW w:w="1007"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pPr>
            <w:r w:rsidRPr="00416C64">
              <w:t>No within trial mortality (within trial utility off)</w:t>
            </w:r>
          </w:p>
        </w:tc>
        <w:tc>
          <w:tcPr>
            <w:tcW w:w="1006"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highlight w:val="black"/>
              </w:rPr>
            </w:pPr>
            <w:r>
              <w:rPr>
                <w:noProof/>
                <w:color w:val="000000"/>
                <w:highlight w:val="black"/>
              </w:rPr>
              <w:t>'''''''''''''''</w:t>
            </w:r>
          </w:p>
        </w:tc>
        <w:tc>
          <w:tcPr>
            <w:tcW w:w="1007" w:type="dxa"/>
            <w:tcBorders>
              <w:top w:val="nil"/>
              <w:bottom w:val="nil"/>
            </w:tcBorders>
            <w:vAlign w:val="center"/>
          </w:tcPr>
          <w:p w:rsidR="00E15DAE" w:rsidRPr="00DF7ED6" w:rsidRDefault="00E15DAE" w:rsidP="005A2C9B">
            <w:pPr>
              <w:pStyle w:val="Tabletext"/>
              <w:keepNext/>
              <w:tabs>
                <w:tab w:val="left" w:pos="142"/>
              </w:tabs>
              <w:jc w:val="center"/>
            </w:pPr>
            <w:r w:rsidRPr="00DF7ED6">
              <w:t>$</w:t>
            </w:r>
            <w:r w:rsidR="00B74049">
              <w:rPr>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keepNext/>
              <w:tabs>
                <w:tab w:val="left" w:pos="254"/>
              </w:tabs>
              <w:ind w:left="112"/>
              <w:rPr>
                <w:i/>
                <w:iCs/>
              </w:rPr>
            </w:pPr>
            <w:r w:rsidRPr="00416C64">
              <w:rPr>
                <w:i/>
                <w:iCs/>
              </w:rPr>
              <w:t>No increased rate of FEV1 % predicted decline for recent exacerbation</w:t>
            </w:r>
          </w:p>
        </w:tc>
        <w:tc>
          <w:tcPr>
            <w:tcW w:w="1006" w:type="dxa"/>
            <w:tcBorders>
              <w:top w:val="nil"/>
              <w:bottom w:val="nil"/>
            </w:tcBorders>
            <w:vAlign w:val="center"/>
          </w:tcPr>
          <w:p w:rsidR="00E15DAE" w:rsidRPr="00DF7ED6" w:rsidRDefault="00E15DAE" w:rsidP="005A2C9B">
            <w:pPr>
              <w:pStyle w:val="Tabletext"/>
              <w:keepNext/>
              <w:tabs>
                <w:tab w:val="left" w:pos="142"/>
              </w:tabs>
              <w:jc w:val="center"/>
              <w:rPr>
                <w:i/>
                <w:iCs/>
              </w:rPr>
            </w:pPr>
            <w:r w:rsidRPr="00DF7ED6">
              <w:rPr>
                <w:i/>
                <w:iCs/>
              </w:rPr>
              <w:t>$</w:t>
            </w:r>
            <w:r w:rsidR="00B74049">
              <w:rPr>
                <w:i/>
                <w:iCs/>
                <w:noProof/>
                <w:color w:val="000000"/>
                <w:highlight w:val="black"/>
              </w:rPr>
              <w:t>'''''''''</w:t>
            </w:r>
          </w:p>
        </w:tc>
        <w:tc>
          <w:tcPr>
            <w:tcW w:w="1006" w:type="dxa"/>
            <w:tcBorders>
              <w:top w:val="nil"/>
              <w:bottom w:val="nil"/>
            </w:tcBorders>
            <w:vAlign w:val="center"/>
          </w:tcPr>
          <w:p w:rsidR="00E15DAE" w:rsidRPr="00B74049" w:rsidRDefault="00B74049" w:rsidP="005A2C9B">
            <w:pPr>
              <w:pStyle w:val="Tabletext"/>
              <w:keepNext/>
              <w:tabs>
                <w:tab w:val="left" w:pos="142"/>
              </w:tabs>
              <w:jc w:val="center"/>
              <w:rPr>
                <w:i/>
                <w:iCs/>
                <w:highlight w:val="black"/>
              </w:rPr>
            </w:pPr>
            <w:r>
              <w:rPr>
                <w:i/>
                <w:iCs/>
                <w:noProof/>
                <w:color w:val="000000"/>
                <w:highlight w:val="black"/>
              </w:rPr>
              <w:t>''''''''''''''''</w:t>
            </w:r>
          </w:p>
        </w:tc>
        <w:tc>
          <w:tcPr>
            <w:tcW w:w="1007" w:type="dxa"/>
            <w:tcBorders>
              <w:top w:val="nil"/>
              <w:bottom w:val="nil"/>
            </w:tcBorders>
            <w:vAlign w:val="center"/>
          </w:tcPr>
          <w:p w:rsidR="00E15DAE" w:rsidRPr="00DF7ED6" w:rsidRDefault="00E15DAE" w:rsidP="005A2C9B">
            <w:pPr>
              <w:pStyle w:val="Tabletext"/>
              <w:keepNext/>
              <w:tabs>
                <w:tab w:val="left" w:pos="142"/>
              </w:tabs>
              <w:jc w:val="center"/>
              <w:rPr>
                <w:i/>
                <w:iCs/>
              </w:rPr>
            </w:pPr>
            <w:r w:rsidRPr="00DF7ED6">
              <w:rPr>
                <w:i/>
                <w:iCs/>
              </w:rPr>
              <w:t>$</w:t>
            </w:r>
            <w:r w:rsidR="00B74049">
              <w:rPr>
                <w:i/>
                <w:iCs/>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tabs>
                <w:tab w:val="left" w:pos="254"/>
              </w:tabs>
              <w:ind w:left="112"/>
              <w:rPr>
                <w:i/>
                <w:iCs/>
              </w:rPr>
            </w:pPr>
            <w:r w:rsidRPr="00416C64">
              <w:rPr>
                <w:i/>
                <w:iCs/>
              </w:rPr>
              <w:t>NICE 2018 disutility estimates for clinical events</w:t>
            </w:r>
          </w:p>
        </w:tc>
        <w:tc>
          <w:tcPr>
            <w:tcW w:w="1006"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w:t>
            </w:r>
          </w:p>
        </w:tc>
        <w:tc>
          <w:tcPr>
            <w:tcW w:w="1006" w:type="dxa"/>
            <w:tcBorders>
              <w:top w:val="nil"/>
              <w:bottom w:val="nil"/>
            </w:tcBorders>
            <w:vAlign w:val="center"/>
          </w:tcPr>
          <w:p w:rsidR="00E15DAE" w:rsidRPr="00B74049" w:rsidRDefault="00B74049" w:rsidP="005A2C9B">
            <w:pPr>
              <w:pStyle w:val="Tabletext"/>
              <w:tabs>
                <w:tab w:val="left" w:pos="142"/>
              </w:tabs>
              <w:jc w:val="center"/>
              <w:rPr>
                <w:i/>
                <w:iCs/>
                <w:highlight w:val="black"/>
              </w:rPr>
            </w:pPr>
            <w:r>
              <w:rPr>
                <w:i/>
                <w:iCs/>
                <w:noProof/>
                <w:color w:val="000000"/>
                <w:highlight w:val="black"/>
              </w:rPr>
              <w:t xml:space="preserve">'''''''''''''''' </w:t>
            </w:r>
          </w:p>
        </w:tc>
        <w:tc>
          <w:tcPr>
            <w:tcW w:w="1007"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tabs>
                <w:tab w:val="left" w:pos="254"/>
              </w:tabs>
              <w:ind w:left="112"/>
              <w:rPr>
                <w:i/>
                <w:iCs/>
              </w:rPr>
            </w:pPr>
            <w:r w:rsidRPr="00416C64">
              <w:rPr>
                <w:i/>
                <w:iCs/>
              </w:rPr>
              <w:t>Discontinuation from LAMA/LABA to ICS/LAMA, not triple therapy</w:t>
            </w:r>
          </w:p>
        </w:tc>
        <w:tc>
          <w:tcPr>
            <w:tcW w:w="1006"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 xml:space="preserve">'''''''''' </w:t>
            </w:r>
          </w:p>
        </w:tc>
        <w:tc>
          <w:tcPr>
            <w:tcW w:w="1006" w:type="dxa"/>
            <w:tcBorders>
              <w:top w:val="nil"/>
              <w:bottom w:val="nil"/>
            </w:tcBorders>
            <w:vAlign w:val="center"/>
          </w:tcPr>
          <w:p w:rsidR="00E15DAE" w:rsidRPr="00B74049" w:rsidRDefault="00B74049" w:rsidP="005A2C9B">
            <w:pPr>
              <w:pStyle w:val="Tabletext"/>
              <w:tabs>
                <w:tab w:val="left" w:pos="142"/>
              </w:tabs>
              <w:jc w:val="center"/>
              <w:rPr>
                <w:i/>
                <w:iCs/>
                <w:highlight w:val="black"/>
              </w:rPr>
            </w:pPr>
            <w:r>
              <w:rPr>
                <w:i/>
                <w:iCs/>
                <w:noProof/>
                <w:color w:val="000000"/>
                <w:highlight w:val="black"/>
              </w:rPr>
              <w:t>'''''''''''''''</w:t>
            </w:r>
          </w:p>
        </w:tc>
        <w:tc>
          <w:tcPr>
            <w:tcW w:w="1007"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w:t>
            </w:r>
          </w:p>
        </w:tc>
      </w:tr>
      <w:tr w:rsidR="00315B8D" w:rsidRPr="00416C64" w:rsidTr="003214BD">
        <w:tc>
          <w:tcPr>
            <w:tcW w:w="6284" w:type="dxa"/>
            <w:tcBorders>
              <w:top w:val="nil"/>
              <w:bottom w:val="nil"/>
            </w:tcBorders>
          </w:tcPr>
          <w:p w:rsidR="00315B8D" w:rsidRPr="00416C64" w:rsidRDefault="00315B8D" w:rsidP="005A2C9B">
            <w:pPr>
              <w:pStyle w:val="Tabletext"/>
              <w:tabs>
                <w:tab w:val="left" w:pos="254"/>
              </w:tabs>
              <w:ind w:left="112"/>
              <w:rPr>
                <w:i/>
                <w:iCs/>
              </w:rPr>
            </w:pPr>
            <w:r w:rsidRPr="00416C64">
              <w:rPr>
                <w:i/>
                <w:iCs/>
              </w:rPr>
              <w:t>No cost associated with discontinuation</w:t>
            </w:r>
          </w:p>
        </w:tc>
        <w:tc>
          <w:tcPr>
            <w:tcW w:w="1006" w:type="dxa"/>
            <w:tcBorders>
              <w:top w:val="nil"/>
              <w:bottom w:val="nil"/>
            </w:tcBorders>
            <w:vAlign w:val="center"/>
          </w:tcPr>
          <w:p w:rsidR="00315B8D" w:rsidRPr="00DF7ED6" w:rsidRDefault="00315B8D" w:rsidP="005A2C9B">
            <w:pPr>
              <w:pStyle w:val="Tabletext"/>
              <w:tabs>
                <w:tab w:val="left" w:pos="142"/>
              </w:tabs>
              <w:jc w:val="center"/>
              <w:rPr>
                <w:i/>
                <w:iCs/>
              </w:rPr>
            </w:pPr>
            <w:r w:rsidRPr="00DF7ED6">
              <w:rPr>
                <w:i/>
                <w:iCs/>
              </w:rPr>
              <w:t>$</w:t>
            </w:r>
            <w:r w:rsidR="00B74049">
              <w:rPr>
                <w:i/>
                <w:iCs/>
                <w:noProof/>
                <w:color w:val="000000"/>
                <w:highlight w:val="black"/>
              </w:rPr>
              <w:t>''''''''''</w:t>
            </w:r>
          </w:p>
        </w:tc>
        <w:tc>
          <w:tcPr>
            <w:tcW w:w="1006" w:type="dxa"/>
            <w:tcBorders>
              <w:top w:val="nil"/>
              <w:bottom w:val="nil"/>
            </w:tcBorders>
            <w:vAlign w:val="center"/>
          </w:tcPr>
          <w:p w:rsidR="00315B8D" w:rsidRPr="00B74049" w:rsidRDefault="00B74049" w:rsidP="005A2C9B">
            <w:pPr>
              <w:pStyle w:val="Tabletext"/>
              <w:tabs>
                <w:tab w:val="left" w:pos="142"/>
              </w:tabs>
              <w:jc w:val="center"/>
              <w:rPr>
                <w:i/>
                <w:iCs/>
                <w:highlight w:val="black"/>
              </w:rPr>
            </w:pPr>
            <w:r>
              <w:rPr>
                <w:i/>
                <w:iCs/>
                <w:noProof/>
                <w:color w:val="000000"/>
                <w:highlight w:val="black"/>
              </w:rPr>
              <w:t>'''''''''''''''''</w:t>
            </w:r>
          </w:p>
        </w:tc>
        <w:tc>
          <w:tcPr>
            <w:tcW w:w="1007" w:type="dxa"/>
            <w:tcBorders>
              <w:top w:val="nil"/>
              <w:bottom w:val="nil"/>
            </w:tcBorders>
            <w:vAlign w:val="center"/>
          </w:tcPr>
          <w:p w:rsidR="00315B8D" w:rsidRPr="00DF7ED6" w:rsidRDefault="00315B8D" w:rsidP="005A2C9B">
            <w:pPr>
              <w:pStyle w:val="Tabletext"/>
              <w:tabs>
                <w:tab w:val="left" w:pos="142"/>
              </w:tabs>
              <w:jc w:val="center"/>
              <w:rPr>
                <w:i/>
                <w:iCs/>
              </w:rPr>
            </w:pPr>
            <w:r w:rsidRPr="00DF7ED6">
              <w:rPr>
                <w:i/>
                <w:iCs/>
              </w:rPr>
              <w:t>$</w:t>
            </w:r>
            <w:r w:rsidR="00B74049">
              <w:rPr>
                <w:i/>
                <w:iCs/>
                <w:noProof/>
                <w:color w:val="000000"/>
                <w:highlight w:val="black"/>
              </w:rPr>
              <w:t>'''''''''''''''''</w:t>
            </w:r>
          </w:p>
        </w:tc>
      </w:tr>
      <w:tr w:rsidR="00E15DAE" w:rsidRPr="00416C64" w:rsidTr="003214BD">
        <w:tc>
          <w:tcPr>
            <w:tcW w:w="6284" w:type="dxa"/>
            <w:tcBorders>
              <w:top w:val="nil"/>
              <w:bottom w:val="nil"/>
            </w:tcBorders>
          </w:tcPr>
          <w:p w:rsidR="00E15DAE" w:rsidRPr="00416C64" w:rsidRDefault="00E15DAE" w:rsidP="005A2C9B">
            <w:pPr>
              <w:pStyle w:val="Tabletext"/>
              <w:tabs>
                <w:tab w:val="left" w:pos="254"/>
              </w:tabs>
              <w:ind w:left="112"/>
              <w:rPr>
                <w:i/>
                <w:iCs/>
              </w:rPr>
            </w:pPr>
            <w:r w:rsidRPr="00416C64">
              <w:rPr>
                <w:i/>
                <w:iCs/>
              </w:rPr>
              <w:t>No length of stay adjustment to DRG for pneumonia</w:t>
            </w:r>
          </w:p>
        </w:tc>
        <w:tc>
          <w:tcPr>
            <w:tcW w:w="1006"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w:t>
            </w:r>
          </w:p>
        </w:tc>
        <w:tc>
          <w:tcPr>
            <w:tcW w:w="1006" w:type="dxa"/>
            <w:tcBorders>
              <w:top w:val="nil"/>
              <w:bottom w:val="nil"/>
            </w:tcBorders>
            <w:vAlign w:val="center"/>
          </w:tcPr>
          <w:p w:rsidR="00E15DAE" w:rsidRPr="00B74049" w:rsidRDefault="00B74049" w:rsidP="005A2C9B">
            <w:pPr>
              <w:pStyle w:val="Tabletext"/>
              <w:tabs>
                <w:tab w:val="left" w:pos="142"/>
              </w:tabs>
              <w:jc w:val="center"/>
              <w:rPr>
                <w:i/>
                <w:iCs/>
                <w:highlight w:val="black"/>
              </w:rPr>
            </w:pPr>
            <w:r>
              <w:rPr>
                <w:i/>
                <w:iCs/>
                <w:noProof/>
                <w:color w:val="000000"/>
                <w:highlight w:val="black"/>
              </w:rPr>
              <w:t>''''''''''''''''</w:t>
            </w:r>
          </w:p>
        </w:tc>
        <w:tc>
          <w:tcPr>
            <w:tcW w:w="1007" w:type="dxa"/>
            <w:tcBorders>
              <w:top w:val="nil"/>
              <w:bottom w:val="nil"/>
            </w:tcBorders>
            <w:vAlign w:val="center"/>
          </w:tcPr>
          <w:p w:rsidR="00E15DAE" w:rsidRPr="00DF7ED6" w:rsidRDefault="00E15DAE" w:rsidP="005A2C9B">
            <w:pPr>
              <w:pStyle w:val="Tabletext"/>
              <w:tabs>
                <w:tab w:val="left" w:pos="142"/>
              </w:tabs>
              <w:jc w:val="center"/>
              <w:rPr>
                <w:i/>
                <w:iCs/>
              </w:rPr>
            </w:pPr>
            <w:r w:rsidRPr="00DF7ED6">
              <w:rPr>
                <w:i/>
                <w:iCs/>
              </w:rPr>
              <w:t>$</w:t>
            </w:r>
            <w:r w:rsidR="00B74049">
              <w:rPr>
                <w:i/>
                <w:iCs/>
                <w:noProof/>
                <w:color w:val="000000"/>
                <w:highlight w:val="black"/>
              </w:rPr>
              <w:t>''''''''''''''''</w:t>
            </w:r>
          </w:p>
        </w:tc>
      </w:tr>
      <w:tr w:rsidR="00E15DAE" w:rsidRPr="00416C64" w:rsidTr="003214BD">
        <w:tc>
          <w:tcPr>
            <w:tcW w:w="6284" w:type="dxa"/>
          </w:tcPr>
          <w:p w:rsidR="00E15DAE" w:rsidRPr="00416C64" w:rsidRDefault="00E15DAE" w:rsidP="005A2C9B">
            <w:pPr>
              <w:pStyle w:val="Tabletext"/>
              <w:tabs>
                <w:tab w:val="left" w:pos="142"/>
              </w:tabs>
              <w:rPr>
                <w:b/>
                <w:bCs/>
              </w:rPr>
            </w:pPr>
            <w:r w:rsidRPr="00416C64">
              <w:rPr>
                <w:b/>
                <w:bCs/>
              </w:rPr>
              <w:t>Current PBS subgroup (FEV1&lt;50% predicted &amp; ≥2 exacerbations)</w:t>
            </w:r>
          </w:p>
        </w:tc>
        <w:tc>
          <w:tcPr>
            <w:tcW w:w="1006" w:type="dxa"/>
            <w:vAlign w:val="center"/>
          </w:tcPr>
          <w:p w:rsidR="00E15DAE" w:rsidRPr="00DF7ED6" w:rsidRDefault="00E15DAE" w:rsidP="005A2C9B">
            <w:pPr>
              <w:pStyle w:val="Tabletext"/>
              <w:tabs>
                <w:tab w:val="left" w:pos="142"/>
              </w:tabs>
              <w:jc w:val="center"/>
              <w:rPr>
                <w:b/>
                <w:bCs/>
              </w:rPr>
            </w:pPr>
            <w:r w:rsidRPr="00DF7ED6">
              <w:rPr>
                <w:b/>
                <w:bCs/>
              </w:rPr>
              <w:t>$</w:t>
            </w:r>
            <w:r w:rsidR="00B74049">
              <w:rPr>
                <w:b/>
                <w:bCs/>
                <w:noProof/>
                <w:color w:val="000000"/>
                <w:highlight w:val="black"/>
              </w:rPr>
              <w:t>'''''</w:t>
            </w:r>
          </w:p>
        </w:tc>
        <w:tc>
          <w:tcPr>
            <w:tcW w:w="1006" w:type="dxa"/>
            <w:vAlign w:val="center"/>
          </w:tcPr>
          <w:p w:rsidR="00E15DAE" w:rsidRPr="00B74049" w:rsidRDefault="00B74049" w:rsidP="005A2C9B">
            <w:pPr>
              <w:pStyle w:val="Tabletext"/>
              <w:tabs>
                <w:tab w:val="left" w:pos="142"/>
              </w:tabs>
              <w:jc w:val="center"/>
              <w:rPr>
                <w:b/>
                <w:bCs/>
                <w:highlight w:val="black"/>
              </w:rPr>
            </w:pPr>
            <w:r>
              <w:rPr>
                <w:b/>
                <w:bCs/>
                <w:noProof/>
                <w:color w:val="000000"/>
                <w:highlight w:val="black"/>
              </w:rPr>
              <w:t>''''''''''''</w:t>
            </w:r>
          </w:p>
        </w:tc>
        <w:tc>
          <w:tcPr>
            <w:tcW w:w="1007" w:type="dxa"/>
            <w:vAlign w:val="center"/>
          </w:tcPr>
          <w:p w:rsidR="00E15DAE" w:rsidRPr="00B74049" w:rsidRDefault="00B74049" w:rsidP="005A2C9B">
            <w:pPr>
              <w:pStyle w:val="Tabletext"/>
              <w:tabs>
                <w:tab w:val="left" w:pos="142"/>
              </w:tabs>
              <w:jc w:val="center"/>
              <w:rPr>
                <w:b/>
                <w:bCs/>
                <w:highlight w:val="black"/>
              </w:rPr>
            </w:pPr>
            <w:r>
              <w:rPr>
                <w:b/>
                <w:bCs/>
                <w:noProof/>
                <w:color w:val="000000"/>
                <w:highlight w:val="black"/>
              </w:rPr>
              <w:t>'''''''''''''''''''''</w:t>
            </w:r>
          </w:p>
        </w:tc>
      </w:tr>
    </w:tbl>
    <w:p w:rsidR="00E15DAE" w:rsidRPr="00416C64" w:rsidRDefault="00E15DAE" w:rsidP="005A2C9B">
      <w:pPr>
        <w:pStyle w:val="TableFooter"/>
        <w:widowControl/>
        <w:rPr>
          <w:i/>
          <w:iCs/>
        </w:rPr>
      </w:pPr>
      <w:r w:rsidRPr="00416C64">
        <w:rPr>
          <w:i/>
          <w:iCs/>
        </w:rPr>
        <w:t>Abbreviations: FEV1=forced expiratory volume in one second; ICER=incremental cost effectiveness ratio; ICS=inhaled corticosteroid;</w:t>
      </w:r>
      <w:r w:rsidRPr="00416C64">
        <w:t xml:space="preserve"> </w:t>
      </w:r>
      <w:r w:rsidRPr="00416C64">
        <w:rPr>
          <w:i/>
          <w:iCs/>
        </w:rPr>
        <w:t>ITT=intention to treat; LABA=long-acting beta-2 agonist; LAMA=long-acting muscarinic antagonist; QALY=quality adjusted life year;</w:t>
      </w:r>
    </w:p>
    <w:p w:rsidR="00E15DAE" w:rsidRPr="00416C64" w:rsidRDefault="00E15DAE" w:rsidP="005A2C9B">
      <w:pPr>
        <w:pStyle w:val="TableFooter"/>
        <w:widowControl/>
        <w:rPr>
          <w:i/>
          <w:iCs/>
        </w:rPr>
      </w:pPr>
      <w:r w:rsidRPr="00416C64">
        <w:rPr>
          <w:i/>
          <w:iCs/>
        </w:rPr>
        <w:t xml:space="preserve">Source: Constructed during the evaluation; Attachment 3 Cost effectiveness </w:t>
      </w:r>
      <w:proofErr w:type="spellStart"/>
      <w:r w:rsidRPr="00416C64">
        <w:rPr>
          <w:i/>
          <w:iCs/>
        </w:rPr>
        <w:t>model_Sect</w:t>
      </w:r>
      <w:proofErr w:type="spellEnd"/>
      <w:r w:rsidRPr="00416C64">
        <w:rPr>
          <w:i/>
          <w:iCs/>
        </w:rPr>
        <w:t xml:space="preserve"> 3.xlsm</w:t>
      </w:r>
    </w:p>
    <w:p w:rsidR="00E15DAE" w:rsidRPr="00416C64" w:rsidRDefault="00E15DAE" w:rsidP="005A2C9B">
      <w:pPr>
        <w:widowControl/>
      </w:pPr>
    </w:p>
    <w:p w:rsidR="007D1232" w:rsidRPr="00416C64" w:rsidRDefault="00DB6B03" w:rsidP="005A2C9B">
      <w:pPr>
        <w:pStyle w:val="ListParagraph"/>
        <w:widowControl/>
        <w:numPr>
          <w:ilvl w:val="1"/>
          <w:numId w:val="3"/>
        </w:numPr>
      </w:pPr>
      <w:r w:rsidRPr="00416C64">
        <w:rPr>
          <w:iCs/>
        </w:rPr>
        <w:t>R</w:t>
      </w:r>
      <w:r w:rsidR="007D1232" w:rsidRPr="00416C64">
        <w:rPr>
          <w:iCs/>
        </w:rPr>
        <w:t>esults for the subgroup</w:t>
      </w:r>
      <w:r w:rsidRPr="00416C64">
        <w:rPr>
          <w:iCs/>
        </w:rPr>
        <w:t xml:space="preserve"> in IMPACT</w:t>
      </w:r>
      <w:r w:rsidR="007D1232" w:rsidRPr="00416C64">
        <w:rPr>
          <w:iCs/>
        </w:rPr>
        <w:t xml:space="preserve"> </w:t>
      </w:r>
      <w:r w:rsidRPr="00416C64">
        <w:rPr>
          <w:iCs/>
        </w:rPr>
        <w:t xml:space="preserve">defined by </w:t>
      </w:r>
      <w:r w:rsidR="007D1232" w:rsidRPr="00416C64">
        <w:rPr>
          <w:iCs/>
        </w:rPr>
        <w:t>current</w:t>
      </w:r>
      <w:r w:rsidRPr="00416C64">
        <w:rPr>
          <w:iCs/>
        </w:rPr>
        <w:t xml:space="preserve"> PBS criteria </w:t>
      </w:r>
      <w:r w:rsidR="007D1232" w:rsidRPr="00416C64">
        <w:rPr>
          <w:iCs/>
        </w:rPr>
        <w:t>(defined as FEV1&lt;50% predicted and ≥2 exacerbations in past 12 months) indicat</w:t>
      </w:r>
      <w:r w:rsidRPr="00416C64">
        <w:rPr>
          <w:iCs/>
        </w:rPr>
        <w:t>ed</w:t>
      </w:r>
      <w:r w:rsidR="007D1232" w:rsidRPr="00416C64">
        <w:rPr>
          <w:iCs/>
        </w:rPr>
        <w:t xml:space="preserve"> that triple therapy was dominant compared to dual therapy with a greater improvement in QALYs.</w:t>
      </w:r>
      <w:r w:rsidR="00393D5D" w:rsidRPr="00416C64">
        <w:rPr>
          <w:iCs/>
        </w:rPr>
        <w:t xml:space="preserve"> </w:t>
      </w:r>
      <w:r w:rsidR="007D1232" w:rsidRPr="00416C64">
        <w:rPr>
          <w:iCs/>
        </w:rPr>
        <w:t>Although the submission did not present results for the complement, that is patients currently ineligible for PBS treatment</w:t>
      </w:r>
      <w:r w:rsidRPr="00416C64">
        <w:rPr>
          <w:iCs/>
        </w:rPr>
        <w:t xml:space="preserve"> (FEV1 ≥50% predicted)</w:t>
      </w:r>
      <w:r w:rsidR="007D1232" w:rsidRPr="00416C64">
        <w:rPr>
          <w:iCs/>
        </w:rPr>
        <w:t>, the results imply that treatment would not be as effective or cost-effective in those patients.</w:t>
      </w:r>
    </w:p>
    <w:p w:rsidR="009D3620" w:rsidRPr="00416C64" w:rsidRDefault="009D3620" w:rsidP="005A2C9B">
      <w:pPr>
        <w:pStyle w:val="ListParagraph"/>
        <w:widowControl/>
        <w:numPr>
          <w:ilvl w:val="1"/>
          <w:numId w:val="3"/>
        </w:numPr>
      </w:pPr>
      <w:r w:rsidRPr="00416C64">
        <w:lastRenderedPageBreak/>
        <w:t xml:space="preserve">The ESC noted that the potential for Trelegy use earlier in the treatment pathway </w:t>
      </w:r>
      <w:r w:rsidR="00A51399" w:rsidRPr="00416C64">
        <w:t>wa</w:t>
      </w:r>
      <w:r w:rsidRPr="00416C64">
        <w:t>s not captured in the model. The ESC considered that a more informative model would take this into account to determine if triple therapy is cost effective not only to dual therapy, but also to single therapy and to no therapy</w:t>
      </w:r>
      <w:r w:rsidR="00AC5EF1" w:rsidRPr="00416C64">
        <w:t>.</w:t>
      </w:r>
    </w:p>
    <w:p w:rsidR="00C25D9C" w:rsidRPr="00DF7ED6" w:rsidRDefault="00C25D9C" w:rsidP="001D26BB">
      <w:pPr>
        <w:pStyle w:val="Heading2"/>
        <w:spacing w:before="240"/>
      </w:pPr>
      <w:bookmarkStart w:id="16" w:name="_Toc535934778"/>
      <w:r w:rsidRPr="00416C64">
        <w:t>Drug cost/patient/</w:t>
      </w:r>
      <w:r w:rsidRPr="00DF7ED6">
        <w:t>year</w:t>
      </w:r>
      <w:r w:rsidR="00475544" w:rsidRPr="00DF7ED6">
        <w:t>: $</w:t>
      </w:r>
      <w:r w:rsidR="00B74049" w:rsidRPr="001D26BB">
        <w:t>'''''''''''''''''</w:t>
      </w:r>
      <w:r w:rsidR="00475544" w:rsidRPr="00DF7ED6">
        <w:t xml:space="preserve"> (Trelegy)</w:t>
      </w:r>
      <w:bookmarkEnd w:id="16"/>
    </w:p>
    <w:p w:rsidR="00475544" w:rsidRPr="00416C64" w:rsidRDefault="00475544" w:rsidP="005A2C9B">
      <w:pPr>
        <w:pStyle w:val="ListParagraph"/>
        <w:widowControl/>
        <w:numPr>
          <w:ilvl w:val="1"/>
          <w:numId w:val="3"/>
        </w:numPr>
      </w:pPr>
      <w:r w:rsidRPr="00DF7ED6">
        <w:t>The model estimated the cost of Trelegy (FF/UMEC/VI) per patient per year on treatment was $</w:t>
      </w:r>
      <w:r w:rsidR="00B74049">
        <w:rPr>
          <w:noProof/>
          <w:color w:val="000000"/>
          <w:highlight w:val="black"/>
        </w:rPr>
        <w:t>'''''''''''''''</w:t>
      </w:r>
      <w:r w:rsidRPr="00DF7ED6">
        <w:t xml:space="preserve"> (364 days).</w:t>
      </w:r>
      <w:r w:rsidR="00393D5D" w:rsidRPr="00DF7ED6">
        <w:t xml:space="preserve"> </w:t>
      </w:r>
      <w:r w:rsidRPr="00DF7ED6">
        <w:t>The incremental cost of FF/UMEC/VI versus UMEC/VI per patient per year on treatment was $</w:t>
      </w:r>
      <w:r w:rsidR="00B74049">
        <w:rPr>
          <w:noProof/>
          <w:color w:val="000000"/>
          <w:highlight w:val="black"/>
        </w:rPr>
        <w:t>'''''''''''</w:t>
      </w:r>
      <w:r w:rsidRPr="00DF7ED6">
        <w:t xml:space="preserve"> (364</w:t>
      </w:r>
      <w:r w:rsidRPr="00416C64">
        <w:t xml:space="preserve"> days). </w:t>
      </w:r>
    </w:p>
    <w:p w:rsidR="00B60939" w:rsidRPr="00416C64" w:rsidRDefault="00B60939" w:rsidP="001D26BB">
      <w:pPr>
        <w:pStyle w:val="Heading2"/>
        <w:spacing w:before="240"/>
      </w:pPr>
      <w:bookmarkStart w:id="17" w:name="_Toc535934779"/>
      <w:r w:rsidRPr="00416C64">
        <w:t>Estimated PBS usage &amp; financial implications</w:t>
      </w:r>
      <w:bookmarkEnd w:id="17"/>
    </w:p>
    <w:p w:rsidR="0072416F" w:rsidRPr="00416C64" w:rsidRDefault="00C25D9C" w:rsidP="005A2C9B">
      <w:pPr>
        <w:pStyle w:val="ListParagraph"/>
        <w:widowControl/>
        <w:numPr>
          <w:ilvl w:val="1"/>
          <w:numId w:val="3"/>
        </w:numPr>
      </w:pPr>
      <w:r w:rsidRPr="00416C64">
        <w:t xml:space="preserve">This submission </w:t>
      </w:r>
      <w:r w:rsidR="00492407" w:rsidRPr="00416C64">
        <w:t xml:space="preserve">was not </w:t>
      </w:r>
      <w:r w:rsidRPr="00416C64">
        <w:t>considered by DUSC</w:t>
      </w:r>
      <w:r w:rsidR="00475544" w:rsidRPr="00416C64">
        <w:t>.</w:t>
      </w:r>
    </w:p>
    <w:p w:rsidR="00475544" w:rsidRPr="00416C64" w:rsidRDefault="00475544" w:rsidP="005A2C9B">
      <w:pPr>
        <w:pStyle w:val="ListParagraph"/>
        <w:widowControl/>
        <w:numPr>
          <w:ilvl w:val="1"/>
          <w:numId w:val="3"/>
        </w:numPr>
      </w:pPr>
      <w:r w:rsidRPr="00416C64">
        <w:t xml:space="preserve">The submission applied both an epidemiological and market share approach to generate utilisation and financial estimates for the proposed change to </w:t>
      </w:r>
      <w:proofErr w:type="spellStart"/>
      <w:r w:rsidRPr="00416C64">
        <w:t>Trelegy’s</w:t>
      </w:r>
      <w:proofErr w:type="spellEnd"/>
      <w:r w:rsidRPr="00416C64">
        <w:t xml:space="preserve"> PBS listing</w:t>
      </w:r>
      <w:r w:rsidR="00AE69E4" w:rsidRPr="00416C64">
        <w:t>.</w:t>
      </w:r>
    </w:p>
    <w:p w:rsidR="00B201A4" w:rsidRPr="00416C64" w:rsidRDefault="00475544" w:rsidP="005A2C9B">
      <w:pPr>
        <w:pStyle w:val="ListParagraph"/>
        <w:widowControl/>
        <w:numPr>
          <w:ilvl w:val="1"/>
          <w:numId w:val="3"/>
        </w:numPr>
      </w:pPr>
      <w:r w:rsidRPr="00416C64">
        <w:rPr>
          <w:iCs/>
        </w:rPr>
        <w:t>The financial estimates presented in the submission assumed Trelegy will only substitute for LAMA/LABA FDC products in a proportion of patients still experiencing repeated exacerbation.</w:t>
      </w:r>
      <w:r w:rsidR="00393D5D" w:rsidRPr="00416C64">
        <w:rPr>
          <w:iCs/>
        </w:rPr>
        <w:t xml:space="preserve"> </w:t>
      </w:r>
      <w:r w:rsidRPr="00416C64">
        <w:rPr>
          <w:iCs/>
        </w:rPr>
        <w:t>This</w:t>
      </w:r>
      <w:r w:rsidR="003A5AFC" w:rsidRPr="00416C64">
        <w:rPr>
          <w:iCs/>
        </w:rPr>
        <w:t xml:space="preserve"> </w:t>
      </w:r>
      <w:r w:rsidR="00894612" w:rsidRPr="00416C64">
        <w:rPr>
          <w:iCs/>
        </w:rPr>
        <w:t xml:space="preserve">is reasonable </w:t>
      </w:r>
      <w:r w:rsidRPr="00416C64">
        <w:rPr>
          <w:iCs/>
        </w:rPr>
        <w:t>based on the rationale that patients on ICS/LABA combination can already access Trelegy on</w:t>
      </w:r>
      <w:r w:rsidR="00B86E05" w:rsidRPr="00416C64">
        <w:rPr>
          <w:iCs/>
        </w:rPr>
        <w:t xml:space="preserve"> the</w:t>
      </w:r>
      <w:r w:rsidRPr="00416C64">
        <w:rPr>
          <w:iCs/>
        </w:rPr>
        <w:t xml:space="preserve"> PBS given they would have already satisfied the clinical criteria (</w:t>
      </w:r>
      <w:r w:rsidR="009A5B6D" w:rsidRPr="00416C64">
        <w:rPr>
          <w:iCs/>
        </w:rPr>
        <w:t>i.e.</w:t>
      </w:r>
      <w:r w:rsidRPr="00416C64">
        <w:rPr>
          <w:iCs/>
        </w:rPr>
        <w:t>, FEV1 &lt;50% predicted).</w:t>
      </w:r>
      <w:r w:rsidR="00393D5D" w:rsidRPr="00416C64">
        <w:rPr>
          <w:iCs/>
        </w:rPr>
        <w:t xml:space="preserve"> </w:t>
      </w:r>
    </w:p>
    <w:p w:rsidR="00475544" w:rsidRPr="00416C64" w:rsidRDefault="00BA64A9" w:rsidP="00BA64A9">
      <w:pPr>
        <w:keepNext/>
        <w:widowControl/>
        <w:spacing w:after="0"/>
        <w:rPr>
          <w:rStyle w:val="CommentReference"/>
        </w:rPr>
      </w:pPr>
      <w:r>
        <w:rPr>
          <w:rStyle w:val="CommentReference"/>
        </w:rPr>
        <w:br w:type="column"/>
      </w:r>
      <w:r w:rsidR="00475544" w:rsidRPr="00416C64">
        <w:rPr>
          <w:rStyle w:val="CommentReference"/>
        </w:rPr>
        <w:lastRenderedPageBreak/>
        <w:t xml:space="preserve">Table </w:t>
      </w:r>
      <w:r w:rsidR="000369F4" w:rsidRPr="00416C64">
        <w:rPr>
          <w:rStyle w:val="CommentReference"/>
        </w:rPr>
        <w:t>11</w:t>
      </w:r>
      <w:r w:rsidR="00475544" w:rsidRPr="00416C64">
        <w:rPr>
          <w:rStyle w:val="CommentReference"/>
        </w:rPr>
        <w:t>:</w:t>
      </w:r>
      <w:r w:rsidR="00393D5D" w:rsidRPr="00416C64">
        <w:rPr>
          <w:rStyle w:val="CommentReference"/>
        </w:rPr>
        <w:t xml:space="preserve"> </w:t>
      </w:r>
      <w:r w:rsidR="00475544" w:rsidRPr="00416C64">
        <w:rPr>
          <w:rStyle w:val="CommentReference"/>
        </w:rPr>
        <w:t>Estimated use and financial impact of the proposed change to Trelegy PBS listing</w:t>
      </w:r>
    </w:p>
    <w:tbl>
      <w:tblPr>
        <w:tblStyle w:val="TableGrid"/>
        <w:tblW w:w="5000" w:type="pct"/>
        <w:tblCellMar>
          <w:left w:w="28" w:type="dxa"/>
          <w:right w:w="28" w:type="dxa"/>
        </w:tblCellMar>
        <w:tblLook w:val="04A0" w:firstRow="1" w:lastRow="0" w:firstColumn="1" w:lastColumn="0" w:noHBand="0" w:noVBand="1"/>
        <w:tblCaption w:val="Table 11: Estimated use and financial impact of the proposed change to Trelegy PBS listing"/>
      </w:tblPr>
      <w:tblGrid>
        <w:gridCol w:w="1893"/>
        <w:gridCol w:w="1186"/>
        <w:gridCol w:w="1187"/>
        <w:gridCol w:w="1187"/>
        <w:gridCol w:w="1187"/>
        <w:gridCol w:w="1187"/>
        <w:gridCol w:w="1190"/>
      </w:tblGrid>
      <w:tr w:rsidR="002911E9" w:rsidRPr="00416C64" w:rsidTr="001D26BB">
        <w:trPr>
          <w:tblHeader/>
        </w:trPr>
        <w:tc>
          <w:tcPr>
            <w:tcW w:w="1050" w:type="pct"/>
          </w:tcPr>
          <w:p w:rsidR="002911E9" w:rsidRPr="00416C64" w:rsidRDefault="002911E9" w:rsidP="005A2C9B">
            <w:pPr>
              <w:keepNext/>
              <w:widowControl/>
              <w:jc w:val="left"/>
              <w:rPr>
                <w:rStyle w:val="CommentReference"/>
                <w:sz w:val="18"/>
                <w:szCs w:val="18"/>
              </w:rPr>
            </w:pPr>
            <w:r w:rsidRPr="00416C64">
              <w:rPr>
                <w:rStyle w:val="CommentReference"/>
                <w:sz w:val="18"/>
                <w:szCs w:val="18"/>
              </w:rPr>
              <w:t>Description</w:t>
            </w:r>
          </w:p>
        </w:tc>
        <w:tc>
          <w:tcPr>
            <w:tcW w:w="658"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1</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2019</w:t>
            </w:r>
          </w:p>
        </w:tc>
        <w:tc>
          <w:tcPr>
            <w:tcW w:w="658"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2</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2020</w:t>
            </w:r>
          </w:p>
        </w:tc>
        <w:tc>
          <w:tcPr>
            <w:tcW w:w="658"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3</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2021</w:t>
            </w:r>
          </w:p>
        </w:tc>
        <w:tc>
          <w:tcPr>
            <w:tcW w:w="658"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4</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2022</w:t>
            </w:r>
          </w:p>
        </w:tc>
        <w:tc>
          <w:tcPr>
            <w:tcW w:w="658"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5</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2023</w:t>
            </w:r>
          </w:p>
        </w:tc>
        <w:tc>
          <w:tcPr>
            <w:tcW w:w="659" w:type="pct"/>
          </w:tcPr>
          <w:p w:rsidR="002911E9" w:rsidRPr="00416C64" w:rsidRDefault="002911E9" w:rsidP="005A2C9B">
            <w:pPr>
              <w:keepNext/>
              <w:widowControl/>
              <w:jc w:val="center"/>
              <w:rPr>
                <w:rStyle w:val="CommentReference"/>
                <w:sz w:val="18"/>
                <w:szCs w:val="18"/>
              </w:rPr>
            </w:pPr>
            <w:r w:rsidRPr="00416C64">
              <w:rPr>
                <w:rStyle w:val="CommentReference"/>
                <w:sz w:val="18"/>
                <w:szCs w:val="18"/>
              </w:rPr>
              <w:t>Year 6</w:t>
            </w:r>
          </w:p>
          <w:p w:rsidR="002911E9" w:rsidRPr="00416C64" w:rsidRDefault="002911E9" w:rsidP="005A2C9B">
            <w:pPr>
              <w:keepNext/>
              <w:widowControl/>
              <w:jc w:val="center"/>
              <w:rPr>
                <w:rStyle w:val="CommentReference"/>
                <w:sz w:val="18"/>
                <w:szCs w:val="18"/>
              </w:rPr>
            </w:pPr>
            <w:r w:rsidRPr="00416C64">
              <w:rPr>
                <w:rStyle w:val="CommentReference"/>
                <w:sz w:val="18"/>
                <w:szCs w:val="18"/>
              </w:rPr>
              <w:t>2024</w:t>
            </w:r>
          </w:p>
        </w:tc>
      </w:tr>
      <w:tr w:rsidR="002911E9" w:rsidRPr="00416C64" w:rsidTr="002911E9">
        <w:tc>
          <w:tcPr>
            <w:tcW w:w="5000" w:type="pct"/>
            <w:gridSpan w:val="7"/>
          </w:tcPr>
          <w:p w:rsidR="002911E9" w:rsidRPr="00416C64" w:rsidRDefault="002911E9" w:rsidP="005A2C9B">
            <w:pPr>
              <w:keepNext/>
              <w:widowControl/>
              <w:jc w:val="left"/>
              <w:rPr>
                <w:rStyle w:val="CommentReference"/>
                <w:sz w:val="18"/>
                <w:szCs w:val="18"/>
              </w:rPr>
            </w:pPr>
            <w:r w:rsidRPr="00416C64">
              <w:rPr>
                <w:rStyle w:val="CommentReference"/>
                <w:sz w:val="18"/>
                <w:szCs w:val="18"/>
              </w:rPr>
              <w:t>Number of PBS/RPBS scripts for Trelegy</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Fonts w:ascii="Arial Narrow" w:eastAsiaTheme="minorEastAsia" w:hAnsi="Arial Narrow" w:cs="Arial Narrow"/>
                <w:spacing w:val="-1"/>
                <w:sz w:val="18"/>
                <w:szCs w:val="18"/>
                <w:lang w:eastAsia="en-AU"/>
              </w:rPr>
              <w:t>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9"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Fonts w:ascii="Arial Narrow" w:eastAsiaTheme="minorEastAsia" w:hAnsi="Arial Narrow" w:cs="Arial Narrow"/>
                <w:spacing w:val="-1"/>
                <w:sz w:val="18"/>
                <w:szCs w:val="18"/>
                <w:lang w:eastAsia="en-AU"/>
              </w:rPr>
              <w:t>RP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8"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c>
          <w:tcPr>
            <w:tcW w:w="659" w:type="pct"/>
          </w:tcPr>
          <w:p w:rsidR="002911E9" w:rsidRPr="00B74049" w:rsidRDefault="00B74049" w:rsidP="005A2C9B">
            <w:pPr>
              <w:keepNext/>
              <w:widowControl/>
              <w:jc w:val="center"/>
              <w:rPr>
                <w:rStyle w:val="CommentReference"/>
                <w:b w:val="0"/>
                <w:bCs/>
                <w:sz w:val="18"/>
                <w:szCs w:val="18"/>
                <w:highlight w:val="black"/>
              </w:rPr>
            </w:pPr>
            <w:r>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Style w:val="CommentReference"/>
                <w:b w:val="0"/>
                <w:bCs/>
                <w:sz w:val="18"/>
                <w:szCs w:val="18"/>
              </w:rPr>
              <w:t>Total PBS/RPBS</w:t>
            </w:r>
          </w:p>
        </w:tc>
        <w:tc>
          <w:tcPr>
            <w:tcW w:w="658"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c>
          <w:tcPr>
            <w:tcW w:w="658"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c>
          <w:tcPr>
            <w:tcW w:w="658"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c>
          <w:tcPr>
            <w:tcW w:w="658"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c>
          <w:tcPr>
            <w:tcW w:w="658"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c>
          <w:tcPr>
            <w:tcW w:w="659" w:type="pct"/>
          </w:tcPr>
          <w:p w:rsidR="002911E9" w:rsidRPr="00B74049" w:rsidRDefault="00B74049" w:rsidP="005A2C9B">
            <w:pPr>
              <w:keepNext/>
              <w:widowControl/>
              <w:jc w:val="center"/>
              <w:rPr>
                <w:rStyle w:val="CommentReference"/>
                <w:b w:val="0"/>
                <w:bCs/>
                <w:sz w:val="18"/>
                <w:szCs w:val="18"/>
                <w:highlight w:val="black"/>
              </w:rPr>
            </w:pPr>
            <w:r>
              <w:rPr>
                <w:rFonts w:ascii="Arial Narrow" w:hAnsi="Arial Narrow"/>
                <w:noProof/>
                <w:color w:val="000000"/>
                <w:sz w:val="18"/>
                <w:szCs w:val="18"/>
                <w:highlight w:val="black"/>
              </w:rPr>
              <w:t xml:space="preserve">'''''''''''''''''''' </w:t>
            </w:r>
          </w:p>
        </w:tc>
      </w:tr>
      <w:tr w:rsidR="002911E9" w:rsidRPr="00416C64" w:rsidTr="002911E9">
        <w:tc>
          <w:tcPr>
            <w:tcW w:w="5000" w:type="pct"/>
            <w:gridSpan w:val="7"/>
          </w:tcPr>
          <w:p w:rsidR="002911E9" w:rsidRPr="00DF7ED6" w:rsidRDefault="002911E9" w:rsidP="005A2C9B">
            <w:pPr>
              <w:keepNext/>
              <w:widowControl/>
              <w:jc w:val="left"/>
              <w:rPr>
                <w:rStyle w:val="CommentReference"/>
                <w:sz w:val="18"/>
                <w:szCs w:val="18"/>
              </w:rPr>
            </w:pPr>
            <w:r w:rsidRPr="00DF7ED6">
              <w:rPr>
                <w:rStyle w:val="CommentReference"/>
                <w:sz w:val="18"/>
                <w:szCs w:val="18"/>
              </w:rPr>
              <w:t>Total cost of Trelegy at DPMQ</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Fonts w:ascii="Arial Narrow" w:eastAsiaTheme="minorEastAsia" w:hAnsi="Arial Narrow" w:cs="Arial Narrow"/>
                <w:spacing w:val="-1"/>
                <w:sz w:val="18"/>
                <w:szCs w:val="18"/>
                <w:lang w:eastAsia="en-AU"/>
              </w:rPr>
              <w:t>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9"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Fonts w:ascii="Arial Narrow" w:eastAsiaTheme="minorEastAsia" w:hAnsi="Arial Narrow" w:cs="Arial Narrow"/>
                <w:spacing w:val="-1"/>
                <w:sz w:val="18"/>
                <w:szCs w:val="18"/>
                <w:lang w:eastAsia="en-AU"/>
              </w:rPr>
              <w:t>RP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9" w:type="pct"/>
          </w:tcPr>
          <w:p w:rsidR="002911E9" w:rsidRPr="00DF7ED6" w:rsidRDefault="002911E9" w:rsidP="005A2C9B">
            <w:pPr>
              <w:keepNext/>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keepNext/>
              <w:widowControl/>
              <w:rPr>
                <w:rStyle w:val="CommentReference"/>
                <w:b w:val="0"/>
                <w:bCs/>
                <w:sz w:val="18"/>
                <w:szCs w:val="18"/>
              </w:rPr>
            </w:pPr>
            <w:r w:rsidRPr="00DF7ED6">
              <w:rPr>
                <w:rStyle w:val="CommentReference"/>
                <w:b w:val="0"/>
                <w:bCs/>
                <w:sz w:val="18"/>
                <w:szCs w:val="18"/>
              </w:rPr>
              <w:t>Total PBS/RPBS</w:t>
            </w:r>
          </w:p>
        </w:tc>
        <w:tc>
          <w:tcPr>
            <w:tcW w:w="658"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tcPr>
          <w:p w:rsidR="002911E9" w:rsidRPr="00DF7ED6" w:rsidRDefault="002911E9" w:rsidP="005A2C9B">
            <w:pPr>
              <w:keepNext/>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5000" w:type="pct"/>
            <w:gridSpan w:val="7"/>
            <w:vAlign w:val="center"/>
          </w:tcPr>
          <w:p w:rsidR="002911E9" w:rsidRPr="00DF7ED6" w:rsidRDefault="002911E9" w:rsidP="005A2C9B">
            <w:pPr>
              <w:keepNext/>
              <w:widowControl/>
              <w:jc w:val="left"/>
              <w:rPr>
                <w:rStyle w:val="CommentReference"/>
                <w:sz w:val="18"/>
                <w:szCs w:val="18"/>
              </w:rPr>
            </w:pPr>
            <w:r w:rsidRPr="00DF7ED6">
              <w:rPr>
                <w:rStyle w:val="CommentReference"/>
                <w:sz w:val="18"/>
                <w:szCs w:val="18"/>
              </w:rPr>
              <w:t>Patient copayments for Trelegy</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RP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Total PBS/RPBS</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5000" w:type="pct"/>
            <w:gridSpan w:val="7"/>
          </w:tcPr>
          <w:p w:rsidR="002911E9" w:rsidRPr="00DF7ED6" w:rsidRDefault="002911E9" w:rsidP="005A2C9B">
            <w:pPr>
              <w:widowControl/>
              <w:jc w:val="left"/>
              <w:rPr>
                <w:rStyle w:val="CommentReference"/>
                <w:sz w:val="18"/>
                <w:szCs w:val="18"/>
              </w:rPr>
            </w:pPr>
            <w:r w:rsidRPr="00DF7ED6">
              <w:rPr>
                <w:rStyle w:val="CommentReference"/>
                <w:sz w:val="18"/>
                <w:szCs w:val="18"/>
              </w:rPr>
              <w:t>Total additional cost to PBS/RPBS for Trelegy at DPMQ (net of patient copayments)</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9"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RP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c>
          <w:tcPr>
            <w:tcW w:w="659" w:type="pct"/>
          </w:tcPr>
          <w:p w:rsidR="002911E9" w:rsidRPr="00DF7ED6" w:rsidRDefault="002911E9" w:rsidP="005A2C9B">
            <w:pPr>
              <w:widowControl/>
              <w:jc w:val="center"/>
              <w:rPr>
                <w:rStyle w:val="CommentReference"/>
                <w:b w:val="0"/>
                <w:bCs/>
                <w:sz w:val="18"/>
                <w:szCs w:val="18"/>
              </w:rPr>
            </w:pPr>
            <w:r w:rsidRPr="00DF7ED6">
              <w:rPr>
                <w:rStyle w:val="CommentReference"/>
                <w:b w:val="0"/>
                <w:bCs/>
                <w:sz w:val="18"/>
                <w:szCs w:val="18"/>
              </w:rPr>
              <w:t>$</w:t>
            </w:r>
            <w:r w:rsidR="00B74049">
              <w:rPr>
                <w:rStyle w:val="CommentReference"/>
                <w:b w:val="0"/>
                <w:bCs/>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Total PBS/RPBS</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5000" w:type="pct"/>
            <w:gridSpan w:val="7"/>
          </w:tcPr>
          <w:p w:rsidR="002911E9" w:rsidRPr="00DF7ED6" w:rsidRDefault="002911E9" w:rsidP="005A2C9B">
            <w:pPr>
              <w:widowControl/>
              <w:jc w:val="left"/>
              <w:rPr>
                <w:rStyle w:val="CommentReference"/>
                <w:sz w:val="18"/>
                <w:szCs w:val="18"/>
              </w:rPr>
            </w:pPr>
            <w:r w:rsidRPr="00DF7ED6">
              <w:rPr>
                <w:rStyle w:val="CommentReference"/>
                <w:sz w:val="18"/>
                <w:szCs w:val="18"/>
              </w:rPr>
              <w:t>PBS cost offset from reduced use of LAMA/LABA (net of patient copayments)</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Fonts w:ascii="Arial Narrow" w:eastAsiaTheme="minorEastAsia" w:hAnsi="Arial Narrow" w:cs="Arial Narrow"/>
                <w:spacing w:val="-1"/>
                <w:sz w:val="18"/>
                <w:szCs w:val="18"/>
                <w:lang w:eastAsia="en-AU"/>
              </w:rPr>
              <w:t>RP</w:t>
            </w:r>
            <w:r w:rsidRPr="00DF7ED6">
              <w:rPr>
                <w:rFonts w:ascii="Arial Narrow" w:eastAsiaTheme="minorEastAsia" w:hAnsi="Arial Narrow" w:cs="Arial Narrow"/>
                <w:spacing w:val="1"/>
                <w:sz w:val="18"/>
                <w:szCs w:val="18"/>
                <w:lang w:eastAsia="en-AU"/>
              </w:rPr>
              <w:t>B</w:t>
            </w:r>
            <w:r w:rsidRPr="00DF7ED6">
              <w:rPr>
                <w:rFonts w:ascii="Arial Narrow" w:eastAsiaTheme="minorEastAsia" w:hAnsi="Arial Narrow" w:cs="Arial Narrow"/>
                <w:sz w:val="18"/>
                <w:szCs w:val="18"/>
                <w:lang w:eastAsia="en-AU"/>
              </w:rPr>
              <w:t>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bCs/>
                <w:sz w:val="18"/>
                <w:szCs w:val="18"/>
              </w:rPr>
            </w:pPr>
            <w:r w:rsidRPr="00DF7ED6">
              <w:rPr>
                <w:rFonts w:ascii="Arial Narrow" w:hAnsi="Arial Narrow"/>
                <w:bCs/>
                <w:sz w:val="18"/>
                <w:szCs w:val="18"/>
              </w:rPr>
              <w:t>$</w:t>
            </w:r>
            <w:r w:rsidR="00B74049">
              <w:rPr>
                <w:rFonts w:ascii="Arial Narrow" w:hAnsi="Arial Narrow"/>
                <w:bCs/>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Total PBS/RPBS</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bottom"/>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5000" w:type="pct"/>
            <w:gridSpan w:val="7"/>
          </w:tcPr>
          <w:p w:rsidR="002911E9" w:rsidRPr="00DF7ED6" w:rsidRDefault="002911E9" w:rsidP="005A2C9B">
            <w:pPr>
              <w:widowControl/>
              <w:jc w:val="left"/>
              <w:rPr>
                <w:rStyle w:val="CommentReference"/>
                <w:sz w:val="18"/>
                <w:szCs w:val="18"/>
              </w:rPr>
            </w:pPr>
            <w:r w:rsidRPr="00DF7ED6">
              <w:rPr>
                <w:rStyle w:val="CommentReference"/>
                <w:sz w:val="18"/>
                <w:szCs w:val="18"/>
              </w:rPr>
              <w:t>Net cost due to listing of additional population for Trelegy</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PBS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RPBS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Total PBS/RPBS</w:t>
            </w:r>
          </w:p>
        </w:tc>
        <w:tc>
          <w:tcPr>
            <w:tcW w:w="658"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8"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c>
          <w:tcPr>
            <w:tcW w:w="659" w:type="pct"/>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p>
        </w:tc>
      </w:tr>
      <w:tr w:rsidR="002911E9" w:rsidRPr="00416C64" w:rsidTr="002911E9">
        <w:tc>
          <w:tcPr>
            <w:tcW w:w="1050" w:type="pct"/>
            <w:vAlign w:val="center"/>
          </w:tcPr>
          <w:p w:rsidR="002911E9" w:rsidRPr="00DF7ED6" w:rsidRDefault="002911E9" w:rsidP="005A2C9B">
            <w:pPr>
              <w:widowControl/>
              <w:jc w:val="left"/>
              <w:rPr>
                <w:rStyle w:val="CommentReference"/>
                <w:b w:val="0"/>
                <w:bCs/>
                <w:sz w:val="18"/>
                <w:szCs w:val="18"/>
              </w:rPr>
            </w:pPr>
            <w:r w:rsidRPr="00DF7ED6">
              <w:rPr>
                <w:rStyle w:val="CommentReference"/>
                <w:b w:val="0"/>
                <w:bCs/>
                <w:sz w:val="18"/>
                <w:szCs w:val="18"/>
              </w:rPr>
              <w:t>Cost offsets for avoiding moderate exacerbations (antibiotics, systemic steroids, oxygen)</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r>
      <w:tr w:rsidR="002911E9" w:rsidRPr="00416C64" w:rsidTr="002911E9">
        <w:tc>
          <w:tcPr>
            <w:tcW w:w="1050" w:type="pct"/>
          </w:tcPr>
          <w:p w:rsidR="002911E9" w:rsidRPr="00DF7ED6" w:rsidRDefault="002911E9" w:rsidP="005A2C9B">
            <w:pPr>
              <w:widowControl/>
              <w:rPr>
                <w:rStyle w:val="CommentReference"/>
                <w:b w:val="0"/>
                <w:bCs/>
                <w:sz w:val="18"/>
                <w:szCs w:val="18"/>
              </w:rPr>
            </w:pPr>
            <w:r w:rsidRPr="00DF7ED6">
              <w:rPr>
                <w:rStyle w:val="CommentReference"/>
                <w:b w:val="0"/>
                <w:bCs/>
                <w:sz w:val="18"/>
                <w:szCs w:val="18"/>
              </w:rPr>
              <w:t>MBS savings for reduced visits for exacerbations</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8" w:type="pct"/>
            <w:vAlign w:val="center"/>
          </w:tcPr>
          <w:p w:rsidR="002911E9" w:rsidRPr="00DF7ED6" w:rsidRDefault="002911E9" w:rsidP="005A2C9B">
            <w:pPr>
              <w:widowControl/>
              <w:jc w:val="center"/>
              <w:rPr>
                <w:rStyle w:val="CommentReference"/>
                <w:b w:val="0"/>
                <w:bCs/>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c>
          <w:tcPr>
            <w:tcW w:w="659" w:type="pct"/>
            <w:vAlign w:val="center"/>
          </w:tcPr>
          <w:p w:rsidR="002911E9" w:rsidRPr="00DF7ED6" w:rsidRDefault="002911E9" w:rsidP="005A2C9B">
            <w:pPr>
              <w:widowControl/>
              <w:jc w:val="center"/>
              <w:rPr>
                <w:rFonts w:ascii="Arial Narrow" w:hAnsi="Arial Narrow"/>
                <w:sz w:val="18"/>
                <w:szCs w:val="18"/>
              </w:rPr>
            </w:pPr>
            <w:r w:rsidRPr="00DF7ED6">
              <w:rPr>
                <w:rFonts w:ascii="Arial Narrow" w:hAnsi="Arial Narrow"/>
                <w:sz w:val="18"/>
                <w:szCs w:val="18"/>
              </w:rPr>
              <w:t>($</w:t>
            </w:r>
            <w:r w:rsidR="00B74049">
              <w:rPr>
                <w:rFonts w:ascii="Arial Narrow" w:hAnsi="Arial Narrow"/>
                <w:noProof/>
                <w:color w:val="000000"/>
                <w:sz w:val="18"/>
                <w:szCs w:val="18"/>
                <w:highlight w:val="black"/>
              </w:rPr>
              <w:t>'''''''''''''''''''''</w:t>
            </w:r>
            <w:r w:rsidRPr="00DF7ED6">
              <w:rPr>
                <w:rFonts w:ascii="Arial Narrow" w:hAnsi="Arial Narrow"/>
                <w:sz w:val="18"/>
                <w:szCs w:val="18"/>
              </w:rPr>
              <w:t>)</w:t>
            </w:r>
          </w:p>
        </w:tc>
      </w:tr>
      <w:tr w:rsidR="002911E9" w:rsidRPr="00416C64" w:rsidTr="002911E9">
        <w:tc>
          <w:tcPr>
            <w:tcW w:w="1050" w:type="pct"/>
          </w:tcPr>
          <w:p w:rsidR="002911E9" w:rsidRPr="00DF7ED6" w:rsidRDefault="002911E9" w:rsidP="005A2C9B">
            <w:pPr>
              <w:widowControl/>
              <w:jc w:val="left"/>
              <w:rPr>
                <w:rStyle w:val="CommentReference"/>
                <w:sz w:val="18"/>
                <w:szCs w:val="18"/>
              </w:rPr>
            </w:pPr>
            <w:r w:rsidRPr="00DF7ED6">
              <w:rPr>
                <w:rStyle w:val="CommentReference"/>
                <w:sz w:val="18"/>
                <w:szCs w:val="18"/>
              </w:rPr>
              <w:t>Net impact to Government Budget</w:t>
            </w:r>
          </w:p>
        </w:tc>
        <w:tc>
          <w:tcPr>
            <w:tcW w:w="658" w:type="pct"/>
            <w:vAlign w:val="center"/>
          </w:tcPr>
          <w:p w:rsidR="002911E9" w:rsidRPr="00DF7ED6" w:rsidRDefault="002911E9" w:rsidP="005A2C9B">
            <w:pPr>
              <w:widowControl/>
              <w:jc w:val="center"/>
              <w:rPr>
                <w:rStyle w:val="CommentReference"/>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c>
          <w:tcPr>
            <w:tcW w:w="658" w:type="pct"/>
            <w:vAlign w:val="center"/>
          </w:tcPr>
          <w:p w:rsidR="002911E9" w:rsidRPr="00DF7ED6" w:rsidRDefault="002911E9" w:rsidP="005A2C9B">
            <w:pPr>
              <w:widowControl/>
              <w:jc w:val="center"/>
              <w:rPr>
                <w:rStyle w:val="CommentReference"/>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c>
          <w:tcPr>
            <w:tcW w:w="659" w:type="pct"/>
            <w:vAlign w:val="center"/>
          </w:tcPr>
          <w:p w:rsidR="002911E9" w:rsidRPr="00DF7ED6" w:rsidRDefault="002911E9" w:rsidP="005A2C9B">
            <w:pPr>
              <w:widowControl/>
              <w:jc w:val="center"/>
              <w:rPr>
                <w:rFonts w:ascii="Arial Narrow" w:hAnsi="Arial Narrow"/>
                <w:b/>
                <w:sz w:val="18"/>
                <w:szCs w:val="18"/>
              </w:rPr>
            </w:pPr>
            <w:r w:rsidRPr="00DF7ED6">
              <w:rPr>
                <w:rFonts w:ascii="Arial Narrow" w:hAnsi="Arial Narrow"/>
                <w:b/>
                <w:sz w:val="18"/>
                <w:szCs w:val="18"/>
              </w:rPr>
              <w:t>$</w:t>
            </w:r>
            <w:r w:rsidR="00B74049">
              <w:rPr>
                <w:rFonts w:ascii="Arial Narrow" w:hAnsi="Arial Narrow"/>
                <w:b/>
                <w:noProof/>
                <w:color w:val="000000"/>
                <w:sz w:val="18"/>
                <w:szCs w:val="18"/>
                <w:highlight w:val="black"/>
              </w:rPr>
              <w:t>'''''''''''''''''''''</w:t>
            </w:r>
          </w:p>
        </w:tc>
      </w:tr>
    </w:tbl>
    <w:p w:rsidR="00475544" w:rsidRPr="00416C64" w:rsidRDefault="00475544" w:rsidP="005A2C9B">
      <w:pPr>
        <w:widowControl/>
        <w:rPr>
          <w:rStyle w:val="CommentReference"/>
          <w:b w:val="0"/>
          <w:bCs/>
          <w:sz w:val="18"/>
          <w:szCs w:val="14"/>
        </w:rPr>
      </w:pPr>
      <w:r w:rsidRPr="00416C64">
        <w:rPr>
          <w:rStyle w:val="CommentReference"/>
          <w:b w:val="0"/>
          <w:bCs/>
          <w:sz w:val="18"/>
          <w:szCs w:val="14"/>
        </w:rPr>
        <w:t>Abbreviations: DPMQ</w:t>
      </w:r>
      <w:r w:rsidR="0069786C" w:rsidRPr="00416C64">
        <w:rPr>
          <w:rStyle w:val="CommentReference"/>
          <w:b w:val="0"/>
          <w:bCs/>
          <w:sz w:val="18"/>
          <w:szCs w:val="14"/>
        </w:rPr>
        <w:t>=</w:t>
      </w:r>
      <w:r w:rsidRPr="00416C64">
        <w:rPr>
          <w:rStyle w:val="CommentReference"/>
          <w:b w:val="0"/>
          <w:bCs/>
          <w:sz w:val="18"/>
          <w:szCs w:val="14"/>
        </w:rPr>
        <w:t>dispensed price maximum quantity; FF</w:t>
      </w:r>
      <w:r w:rsidR="0069786C" w:rsidRPr="00416C64">
        <w:rPr>
          <w:rStyle w:val="CommentReference"/>
          <w:b w:val="0"/>
          <w:bCs/>
          <w:sz w:val="18"/>
          <w:szCs w:val="14"/>
        </w:rPr>
        <w:t>=</w:t>
      </w:r>
      <w:r w:rsidRPr="00416C64">
        <w:rPr>
          <w:rStyle w:val="CommentReference"/>
          <w:b w:val="0"/>
          <w:bCs/>
          <w:sz w:val="18"/>
          <w:szCs w:val="14"/>
        </w:rPr>
        <w:t xml:space="preserve">fluticasone </w:t>
      </w:r>
      <w:proofErr w:type="spellStart"/>
      <w:r w:rsidRPr="00416C64">
        <w:rPr>
          <w:rStyle w:val="CommentReference"/>
          <w:b w:val="0"/>
          <w:bCs/>
          <w:sz w:val="18"/>
          <w:szCs w:val="14"/>
        </w:rPr>
        <w:t>furoate</w:t>
      </w:r>
      <w:proofErr w:type="spellEnd"/>
      <w:r w:rsidRPr="00416C64">
        <w:rPr>
          <w:rStyle w:val="CommentReference"/>
          <w:b w:val="0"/>
          <w:bCs/>
          <w:sz w:val="18"/>
          <w:szCs w:val="14"/>
        </w:rPr>
        <w:t>; PBS=pharmaceutical benefits scheme; RPBS= repatriation pharmaceutical benefits scheme; UMEC</w:t>
      </w:r>
      <w:r w:rsidR="0069786C" w:rsidRPr="00416C64">
        <w:rPr>
          <w:rStyle w:val="CommentReference"/>
          <w:b w:val="0"/>
          <w:bCs/>
          <w:sz w:val="18"/>
          <w:szCs w:val="14"/>
        </w:rPr>
        <w:t>=</w:t>
      </w:r>
      <w:proofErr w:type="spellStart"/>
      <w:r w:rsidR="0069786C" w:rsidRPr="00416C64">
        <w:rPr>
          <w:rStyle w:val="CommentReference"/>
          <w:b w:val="0"/>
          <w:bCs/>
          <w:sz w:val="18"/>
          <w:szCs w:val="14"/>
        </w:rPr>
        <w:t>umeclidinium</w:t>
      </w:r>
      <w:proofErr w:type="spellEnd"/>
      <w:r w:rsidR="0069786C" w:rsidRPr="00416C64">
        <w:rPr>
          <w:rStyle w:val="CommentReference"/>
          <w:b w:val="0"/>
          <w:bCs/>
          <w:sz w:val="18"/>
          <w:szCs w:val="14"/>
        </w:rPr>
        <w:t>; VI=</w:t>
      </w:r>
      <w:proofErr w:type="spellStart"/>
      <w:r w:rsidRPr="00416C64">
        <w:rPr>
          <w:rStyle w:val="CommentReference"/>
          <w:b w:val="0"/>
          <w:bCs/>
          <w:sz w:val="18"/>
          <w:szCs w:val="14"/>
        </w:rPr>
        <w:t>vilanter</w:t>
      </w:r>
      <w:r w:rsidR="0069786C" w:rsidRPr="00416C64">
        <w:rPr>
          <w:rStyle w:val="CommentReference"/>
          <w:b w:val="0"/>
          <w:bCs/>
          <w:sz w:val="18"/>
          <w:szCs w:val="14"/>
        </w:rPr>
        <w:t>ol</w:t>
      </w:r>
      <w:proofErr w:type="spellEnd"/>
      <w:r w:rsidR="0069786C" w:rsidRPr="00416C64">
        <w:rPr>
          <w:rStyle w:val="CommentReference"/>
          <w:b w:val="0"/>
          <w:bCs/>
          <w:sz w:val="18"/>
          <w:szCs w:val="14"/>
        </w:rPr>
        <w:t>;</w:t>
      </w:r>
    </w:p>
    <w:p w:rsidR="00C25D9C" w:rsidRPr="00416C64" w:rsidRDefault="00475544" w:rsidP="005A2C9B">
      <w:pPr>
        <w:widowControl/>
        <w:rPr>
          <w:rStyle w:val="CommentReference"/>
          <w:b w:val="0"/>
          <w:bCs/>
          <w:sz w:val="18"/>
          <w:szCs w:val="14"/>
        </w:rPr>
      </w:pPr>
      <w:r w:rsidRPr="00416C64">
        <w:rPr>
          <w:rStyle w:val="CommentReference"/>
          <w:b w:val="0"/>
          <w:bCs/>
          <w:sz w:val="18"/>
          <w:szCs w:val="14"/>
        </w:rPr>
        <w:t xml:space="preserve">Source: Trelegy </w:t>
      </w:r>
      <w:proofErr w:type="spellStart"/>
      <w:r w:rsidRPr="00416C64">
        <w:rPr>
          <w:rStyle w:val="CommentReference"/>
          <w:b w:val="0"/>
          <w:bCs/>
          <w:sz w:val="18"/>
          <w:szCs w:val="14"/>
        </w:rPr>
        <w:t>Ellipta</w:t>
      </w:r>
      <w:proofErr w:type="spellEnd"/>
      <w:r w:rsidRPr="00416C64">
        <w:rPr>
          <w:rStyle w:val="CommentReference"/>
          <w:b w:val="0"/>
          <w:bCs/>
          <w:sz w:val="18"/>
          <w:szCs w:val="14"/>
        </w:rPr>
        <w:t xml:space="preserve"> Utilisation and Cost Model Workbook, Table 86-88, pp156-160 of the submission.</w:t>
      </w:r>
    </w:p>
    <w:p w:rsidR="00576972" w:rsidRPr="00416C64" w:rsidRDefault="00475544" w:rsidP="005A2C9B">
      <w:pPr>
        <w:pStyle w:val="ListParagraph"/>
        <w:widowControl/>
        <w:numPr>
          <w:ilvl w:val="1"/>
          <w:numId w:val="3"/>
        </w:numPr>
      </w:pPr>
      <w:r w:rsidRPr="00416C64">
        <w:rPr>
          <w:iCs/>
        </w:rPr>
        <w:t>The</w:t>
      </w:r>
      <w:r w:rsidR="00E87859" w:rsidRPr="00416C64">
        <w:rPr>
          <w:iCs/>
        </w:rPr>
        <w:t xml:space="preserve"> ESC noted that the</w:t>
      </w:r>
      <w:r w:rsidRPr="00416C64">
        <w:rPr>
          <w:iCs/>
        </w:rPr>
        <w:t xml:space="preserve"> financial estimates were most sensitive to assumptions around Trelegy uptake and LAMA/LABA proportional market share of the overall COPD </w:t>
      </w:r>
      <w:r w:rsidRPr="00416C64">
        <w:rPr>
          <w:iCs/>
        </w:rPr>
        <w:lastRenderedPageBreak/>
        <w:t>maintenance therapies on PBS</w:t>
      </w:r>
      <w:r w:rsidR="000369F4" w:rsidRPr="00416C64">
        <w:rPr>
          <w:iCs/>
        </w:rPr>
        <w:t>.</w:t>
      </w:r>
      <w:r w:rsidR="00393D5D" w:rsidRPr="00416C64">
        <w:rPr>
          <w:iCs/>
        </w:rPr>
        <w:t xml:space="preserve"> </w:t>
      </w:r>
      <w:r w:rsidR="000369F4" w:rsidRPr="00416C64">
        <w:rPr>
          <w:iCs/>
        </w:rPr>
        <w:t>T</w:t>
      </w:r>
      <w:r w:rsidRPr="00416C64">
        <w:rPr>
          <w:iCs/>
        </w:rPr>
        <w:t xml:space="preserve">hese </w:t>
      </w:r>
      <w:r w:rsidR="009327B0" w:rsidRPr="00416C64">
        <w:rPr>
          <w:iCs/>
        </w:rPr>
        <w:t xml:space="preserve">inputs </w:t>
      </w:r>
      <w:r w:rsidRPr="00416C64">
        <w:rPr>
          <w:iCs/>
        </w:rPr>
        <w:t xml:space="preserve">feed into the calculation of </w:t>
      </w:r>
      <w:r w:rsidR="000369F4" w:rsidRPr="00416C64">
        <w:rPr>
          <w:iCs/>
        </w:rPr>
        <w:t>eligible and treated patients on Trelegy</w:t>
      </w:r>
      <w:r w:rsidRPr="00416C64">
        <w:rPr>
          <w:iCs/>
        </w:rPr>
        <w:t>.</w:t>
      </w:r>
      <w:r w:rsidR="00393D5D" w:rsidRPr="00416C64">
        <w:rPr>
          <w:iCs/>
        </w:rPr>
        <w:t xml:space="preserve"> </w:t>
      </w:r>
      <w:r w:rsidR="000369F4" w:rsidRPr="00416C64">
        <w:rPr>
          <w:iCs/>
        </w:rPr>
        <w:t>T</w:t>
      </w:r>
      <w:r w:rsidRPr="00416C64">
        <w:rPr>
          <w:iCs/>
        </w:rPr>
        <w:t>he submission’s estimates do not account for cost offsets associated with reduction of severe exacerbations, which is conservative.</w:t>
      </w:r>
      <w:r w:rsidR="00962851" w:rsidRPr="00416C64">
        <w:rPr>
          <w:iCs/>
        </w:rPr>
        <w:t xml:space="preserve"> </w:t>
      </w:r>
    </w:p>
    <w:p w:rsidR="0077205A" w:rsidRPr="00416C64" w:rsidRDefault="0077205A" w:rsidP="005A2C9B">
      <w:pPr>
        <w:pStyle w:val="ListParagraph"/>
        <w:widowControl/>
        <w:numPr>
          <w:ilvl w:val="1"/>
          <w:numId w:val="3"/>
        </w:numPr>
        <w:rPr>
          <w:i/>
          <w:iCs/>
        </w:rPr>
      </w:pPr>
      <w:r w:rsidRPr="00416C64">
        <w:rPr>
          <w:iCs/>
        </w:rPr>
        <w:t xml:space="preserve">The </w:t>
      </w:r>
      <w:r w:rsidR="00330C79" w:rsidRPr="00416C64">
        <w:rPr>
          <w:iCs/>
        </w:rPr>
        <w:t xml:space="preserve">PBAC noted the </w:t>
      </w:r>
      <w:r w:rsidRPr="00416C64">
        <w:rPr>
          <w:iCs/>
        </w:rPr>
        <w:t>submission’s</w:t>
      </w:r>
      <w:r w:rsidR="00942A24" w:rsidRPr="00416C64">
        <w:rPr>
          <w:iCs/>
        </w:rPr>
        <w:t xml:space="preserve"> estimated</w:t>
      </w:r>
      <w:r w:rsidRPr="00416C64">
        <w:rPr>
          <w:iCs/>
        </w:rPr>
        <w:t xml:space="preserve"> budget </w:t>
      </w:r>
      <w:r w:rsidR="00942A24" w:rsidRPr="00416C64">
        <w:rPr>
          <w:iCs/>
        </w:rPr>
        <w:t xml:space="preserve">impact </w:t>
      </w:r>
      <w:r w:rsidRPr="00416C64">
        <w:rPr>
          <w:iCs/>
        </w:rPr>
        <w:t>is in addition to the net expenditure in the population approved in the December 2017 submission, in which the estimated net total cost just less than $10 million over six years of listing.</w:t>
      </w:r>
      <w:r w:rsidR="00393D5D" w:rsidRPr="00416C64">
        <w:rPr>
          <w:iCs/>
        </w:rPr>
        <w:t xml:space="preserve"> </w:t>
      </w:r>
      <w:r w:rsidR="009F5760" w:rsidRPr="00416C64">
        <w:rPr>
          <w:iCs/>
        </w:rPr>
        <w:t xml:space="preserve">The PBAC noted the amendments to the proposed restriction outlined in paragraph 2.4 and considered that it was reasonable to accept the financial estimates as the basis for an increase in the financial cap of the existing </w:t>
      </w:r>
      <w:r w:rsidR="00416C64">
        <w:rPr>
          <w:iCs/>
        </w:rPr>
        <w:t>Risk Sharing Arrangement</w:t>
      </w:r>
      <w:r w:rsidR="009F5760" w:rsidRPr="00416C64">
        <w:rPr>
          <w:iCs/>
        </w:rPr>
        <w:t xml:space="preserve">. </w:t>
      </w:r>
      <w:r w:rsidR="009F5760" w:rsidRPr="00416C64" w:rsidDel="009F5760">
        <w:rPr>
          <w:iCs/>
        </w:rPr>
        <w:t xml:space="preserve"> </w:t>
      </w:r>
    </w:p>
    <w:p w:rsidR="00330C79" w:rsidRPr="00416C64" w:rsidRDefault="00330C79" w:rsidP="005A2C9B">
      <w:pPr>
        <w:pStyle w:val="ListParagraph"/>
        <w:widowControl/>
        <w:numPr>
          <w:ilvl w:val="1"/>
          <w:numId w:val="3"/>
        </w:numPr>
        <w:rPr>
          <w:i/>
          <w:iCs/>
        </w:rPr>
      </w:pPr>
      <w:r w:rsidRPr="00416C64">
        <w:rPr>
          <w:iCs/>
        </w:rPr>
        <w:t xml:space="preserve">The submission also suggested the removal of the </w:t>
      </w:r>
      <w:proofErr w:type="spellStart"/>
      <w:r w:rsidRPr="00416C64">
        <w:rPr>
          <w:iCs/>
        </w:rPr>
        <w:t>spirometric</w:t>
      </w:r>
      <w:proofErr w:type="spellEnd"/>
      <w:r w:rsidRPr="00416C64">
        <w:rPr>
          <w:iCs/>
        </w:rPr>
        <w:t xml:space="preserve"> requirement would be applicable to PBS listed ICS/LABA FDCs. Although no consideration was given in the financial estimates on the implication of this suggested change, it is expected</w:t>
      </w:r>
      <w:r w:rsidR="00533731">
        <w:rPr>
          <w:iCs/>
        </w:rPr>
        <w:t xml:space="preserve"> that</w:t>
      </w:r>
      <w:r w:rsidRPr="00416C64">
        <w:rPr>
          <w:iCs/>
        </w:rPr>
        <w:t xml:space="preserve"> more</w:t>
      </w:r>
      <w:r w:rsidRPr="00416C64">
        <w:rPr>
          <w:i/>
          <w:iCs/>
        </w:rPr>
        <w:t xml:space="preserve"> </w:t>
      </w:r>
      <w:r w:rsidRPr="00416C64">
        <w:rPr>
          <w:iCs/>
        </w:rPr>
        <w:t xml:space="preserve">patients would be able to access these treatments since a barrier to </w:t>
      </w:r>
      <w:r w:rsidR="00533731">
        <w:rPr>
          <w:iCs/>
        </w:rPr>
        <w:t xml:space="preserve">the </w:t>
      </w:r>
      <w:r w:rsidRPr="00416C64">
        <w:rPr>
          <w:iCs/>
        </w:rPr>
        <w:t>next lines of therapies is removed and this could have utilisation implications for all COPD maintenance therapies on PBS. The submission’s approach (focusing only on substitution of LAMA/LABA FDCs) does not allow these dynamics to be considered.</w:t>
      </w:r>
      <w:r w:rsidRPr="00416C64">
        <w:rPr>
          <w:i/>
          <w:iCs/>
        </w:rPr>
        <w:t xml:space="preserve"> </w:t>
      </w:r>
      <w:r w:rsidRPr="00416C64">
        <w:rPr>
          <w:iCs/>
        </w:rPr>
        <w:t xml:space="preserve">The PBAC noted that the </w:t>
      </w:r>
      <w:r w:rsidR="00C72EE0" w:rsidRPr="00416C64">
        <w:rPr>
          <w:iCs/>
        </w:rPr>
        <w:t xml:space="preserve">proposed </w:t>
      </w:r>
      <w:r w:rsidRPr="00416C64">
        <w:rPr>
          <w:iCs/>
        </w:rPr>
        <w:t xml:space="preserve">removal of the FEV1 criteria of the COPD indication for all ICS/LABA FDC products would be accompanied by changes to the clinical criteria as outlined in paragraph 2.5. As such, the PBAC considered it less likely that removal of the FEV1 criteria for ICS/LABA FDC products would have a significant impact on utilisation of COPD maintenance therapies. </w:t>
      </w:r>
    </w:p>
    <w:p w:rsidR="00576972" w:rsidRPr="00416C64" w:rsidRDefault="00576972" w:rsidP="001D26BB">
      <w:pPr>
        <w:pStyle w:val="Heading2"/>
        <w:spacing w:before="240"/>
      </w:pPr>
      <w:bookmarkStart w:id="18" w:name="_Toc535934780"/>
      <w:r w:rsidRPr="00416C64">
        <w:t>Quality Use of Medicines</w:t>
      </w:r>
      <w:bookmarkEnd w:id="18"/>
    </w:p>
    <w:p w:rsidR="000A142B" w:rsidRPr="00416C64" w:rsidRDefault="00BD52BC" w:rsidP="005A2C9B">
      <w:pPr>
        <w:pStyle w:val="ListParagraph"/>
        <w:widowControl/>
        <w:numPr>
          <w:ilvl w:val="1"/>
          <w:numId w:val="3"/>
        </w:numPr>
      </w:pPr>
      <w:r w:rsidRPr="00416C64">
        <w:t>The submission presented a number of quality of use of medicine activities engaged by the sponsor (completed and ongoing) with clinicians to provide clarity on medicine choices in COPD as well as data on classification of medication errors reported for Trelegy (as per TGA documents</w:t>
      </w:r>
      <w:r w:rsidR="00F15A83" w:rsidRPr="00416C64">
        <w:t xml:space="preserve"> and the</w:t>
      </w:r>
      <w:r w:rsidRPr="00416C64">
        <w:t xml:space="preserve"> </w:t>
      </w:r>
      <w:r w:rsidR="00F15A83" w:rsidRPr="00416C64">
        <w:t>Periodic Benefit Risk Evaluation Report (</w:t>
      </w:r>
      <w:r w:rsidRPr="00416C64">
        <w:t>PBRER</w:t>
      </w:r>
      <w:r w:rsidR="00F15A83" w:rsidRPr="00416C64">
        <w:t>)</w:t>
      </w:r>
      <w:r w:rsidRPr="00416C64">
        <w:t xml:space="preserve"> for 18 September 2017 to March 2018).</w:t>
      </w:r>
      <w:r w:rsidR="00393D5D" w:rsidRPr="00416C64">
        <w:t xml:space="preserve"> </w:t>
      </w:r>
      <w:r w:rsidRPr="00416C64">
        <w:t>From limited data received so far, no significant safety information on patterns of medication error have been identified.</w:t>
      </w:r>
      <w:r w:rsidR="00E657F5" w:rsidRPr="00416C64">
        <w:t xml:space="preserve"> </w:t>
      </w:r>
    </w:p>
    <w:p w:rsidR="00EC4E53" w:rsidRPr="00416C64" w:rsidRDefault="00E657F5" w:rsidP="005A2C9B">
      <w:pPr>
        <w:widowControl/>
        <w:numPr>
          <w:ilvl w:val="1"/>
          <w:numId w:val="3"/>
        </w:numPr>
        <w:rPr>
          <w:rFonts w:asciiTheme="minorHAnsi" w:hAnsiTheme="minorHAnsi"/>
          <w:bCs/>
          <w:szCs w:val="24"/>
        </w:rPr>
      </w:pPr>
      <w:r w:rsidRPr="00416C64">
        <w:t xml:space="preserve">The ESC </w:t>
      </w:r>
      <w:r w:rsidR="000A142B" w:rsidRPr="00416C64">
        <w:t xml:space="preserve">highlighted </w:t>
      </w:r>
      <w:r w:rsidRPr="00416C64">
        <w:t>concerns regarding use of Trelegy earlier in the treatment pathway than intended</w:t>
      </w:r>
      <w:r w:rsidR="000A142B" w:rsidRPr="00416C64">
        <w:t xml:space="preserve"> along with </w:t>
      </w:r>
      <w:r w:rsidRPr="00416C64">
        <w:t xml:space="preserve">risks associated with </w:t>
      </w:r>
      <w:r w:rsidR="00E87859" w:rsidRPr="00416C64">
        <w:t xml:space="preserve">concomitant use of both Trelegy and </w:t>
      </w:r>
      <w:r w:rsidR="00AC5EF1" w:rsidRPr="00416C64">
        <w:t xml:space="preserve">other mono or dual therapy </w:t>
      </w:r>
      <w:r w:rsidRPr="00416C64">
        <w:t xml:space="preserve">inhalers </w:t>
      </w:r>
      <w:r w:rsidR="000A142B" w:rsidRPr="00416C64">
        <w:t>as potential quality use of medicines issues</w:t>
      </w:r>
      <w:r w:rsidRPr="00416C64">
        <w:t xml:space="preserve">. Conversely, the ESC noted </w:t>
      </w:r>
      <w:r w:rsidR="00E87859" w:rsidRPr="00416C64">
        <w:t xml:space="preserve">that there may be </w:t>
      </w:r>
      <w:r w:rsidRPr="00416C64">
        <w:t xml:space="preserve">potential safety benefits </w:t>
      </w:r>
      <w:r w:rsidR="000A142B" w:rsidRPr="00416C64">
        <w:t xml:space="preserve">of being on one inhaler </w:t>
      </w:r>
      <w:r w:rsidRPr="00416C64">
        <w:t>compared with being on multiple inhalers</w:t>
      </w:r>
      <w:r w:rsidR="00352E27" w:rsidRPr="00416C64">
        <w:t xml:space="preserve">, </w:t>
      </w:r>
      <w:r w:rsidR="003E6EFD" w:rsidRPr="00416C64">
        <w:t xml:space="preserve">which may be </w:t>
      </w:r>
      <w:r w:rsidR="00AC5EF1" w:rsidRPr="00416C64">
        <w:t>of benefit</w:t>
      </w:r>
      <w:r w:rsidR="00352E27" w:rsidRPr="00416C64">
        <w:t xml:space="preserve"> for many patients with COPD. </w:t>
      </w:r>
      <w:r w:rsidR="001F077E" w:rsidRPr="00416C64">
        <w:t>The PBAC noted that in its December 2017 consideration of Trelegy it had recommendation a DUSC review of Trelegy be conducted two years after listing to explore whether triple therapy market growth had been appropriate.</w:t>
      </w:r>
    </w:p>
    <w:p w:rsidR="000656C0" w:rsidRPr="00416C64" w:rsidRDefault="000656C0" w:rsidP="005A2C9B">
      <w:pPr>
        <w:pStyle w:val="ListParagraph"/>
        <w:widowControl/>
        <w:numPr>
          <w:ilvl w:val="1"/>
          <w:numId w:val="3"/>
        </w:numPr>
      </w:pPr>
      <w:r w:rsidRPr="00416C64">
        <w:t xml:space="preserve">The PBAC noted that removal of the clinical criteria restricting access to patients with a FEV1 of &lt; 50% predicted would </w:t>
      </w:r>
      <w:r w:rsidR="00B26F03" w:rsidRPr="00416C64">
        <w:t xml:space="preserve">be consistent with GOLD recommendations but not current COPD-X guidelines. The PBAC noted that such inconsistency may lead to </w:t>
      </w:r>
      <w:r w:rsidR="00B26F03" w:rsidRPr="00416C64">
        <w:lastRenderedPageBreak/>
        <w:t xml:space="preserve">potential prescriber confusion. </w:t>
      </w:r>
      <w:r w:rsidR="00533731">
        <w:t xml:space="preserve"> The PBAC was also concerned that removal of the FEV1 criteria could be seen to undermine the importance of spirometry in the diagnosis and monitoring of COPD.</w:t>
      </w:r>
    </w:p>
    <w:p w:rsidR="00576972" w:rsidRPr="00416C64" w:rsidRDefault="00BD52BC" w:rsidP="005A2C9B">
      <w:pPr>
        <w:pStyle w:val="ListParagraph"/>
        <w:widowControl/>
        <w:numPr>
          <w:ilvl w:val="1"/>
          <w:numId w:val="3"/>
        </w:numPr>
      </w:pPr>
      <w:r w:rsidRPr="00416C64">
        <w:t>While there are currently no imposed post-marketing efficacy studies planned for Trelegy, the submission stated that a number of pharmacovigilance studies are either completed, currently ongoing or were planned for FF/VI and UMEC/VI.</w:t>
      </w:r>
      <w:r w:rsidR="00393D5D" w:rsidRPr="00416C64">
        <w:t xml:space="preserve"> </w:t>
      </w:r>
      <w:r w:rsidRPr="00416C64">
        <w:t xml:space="preserve">These range from studies considering cardiovascular and cerebrovascular side effects of UMEC/VI compared to </w:t>
      </w:r>
      <w:proofErr w:type="spellStart"/>
      <w:r w:rsidRPr="00416C64">
        <w:t>tiotropium</w:t>
      </w:r>
      <w:proofErr w:type="spellEnd"/>
      <w:r w:rsidRPr="00416C64">
        <w:t>, bone mineral density effects of ICS in FF/VI versus VI alone to a study considering “real world” experience with UMEC/VI and UMEC post market.</w:t>
      </w:r>
    </w:p>
    <w:p w:rsidR="00576972" w:rsidRPr="00416C64" w:rsidRDefault="00576972" w:rsidP="001D26BB">
      <w:pPr>
        <w:pStyle w:val="Heading2"/>
        <w:spacing w:before="240"/>
      </w:pPr>
      <w:bookmarkStart w:id="19" w:name="_Toc535934781"/>
      <w:r w:rsidRPr="00416C64">
        <w:t>Financial Management – Risk Sharing Arrangements</w:t>
      </w:r>
      <w:bookmarkEnd w:id="19"/>
    </w:p>
    <w:p w:rsidR="00475544" w:rsidRPr="00DF7ED6" w:rsidRDefault="00475544" w:rsidP="005A2C9B">
      <w:pPr>
        <w:pStyle w:val="ListParagraph"/>
        <w:widowControl/>
        <w:numPr>
          <w:ilvl w:val="1"/>
          <w:numId w:val="3"/>
        </w:numPr>
      </w:pPr>
      <w:r w:rsidRPr="00DF7ED6">
        <w:t xml:space="preserve">In the December 2017 consideration of Trelegy, the PBAC recommended a </w:t>
      </w:r>
      <w:r w:rsidR="00416C64" w:rsidRPr="00DF7ED6">
        <w:t>Risk Sharing Arrangement</w:t>
      </w:r>
      <w:r w:rsidRPr="00DF7ED6">
        <w:t xml:space="preserve"> for Trelegy to address uncertainties associated with cost effectiveness, underestimated market share and market growth, as well as quality use of medicines issues identified in relation to use earlier in the treatment pathway than clinically appropriate.</w:t>
      </w:r>
      <w:r w:rsidR="00393D5D" w:rsidRPr="00DF7ED6">
        <w:t xml:space="preserve"> </w:t>
      </w:r>
      <w:r w:rsidRPr="00DF7ED6">
        <w:t xml:space="preserve">The </w:t>
      </w:r>
      <w:r w:rsidR="00676A09" w:rsidRPr="00DF7ED6">
        <w:t>re</w:t>
      </w:r>
      <w:r w:rsidRPr="00DF7ED6">
        <w:t xml:space="preserve">submission </w:t>
      </w:r>
      <w:r w:rsidR="00B74049">
        <w:rPr>
          <w:noProof/>
          <w:color w:val="000000"/>
          <w:highlight w:val="black"/>
        </w:rPr>
        <w:t>''''''''''''''' '''''''''''''''''''' ''''' ''''''''''''' ''''''' ''''''''''''''' ''''''' '''''''''' ''''''''''''''''''''''' '''''''' '''''''''''''''''' ''''''''''''''''''''''''' '''''''' '''''''''''''' ''''''' '''''''''''''''''''''''' '''''''' '''''' ''''''' ''''''''' '''''''''''''''''' '''''''' '''''' ''''''''''''''''''''''</w:t>
      </w:r>
      <w:r w:rsidRPr="00DF7ED6">
        <w:t>.</w:t>
      </w:r>
      <w:r w:rsidR="009146BD" w:rsidRPr="00DF7ED6">
        <w:t xml:space="preserve"> The ESC noted that the PSCR</w:t>
      </w:r>
      <w:r w:rsidR="00485D56" w:rsidRPr="00DF7ED6">
        <w:t xml:space="preserve"> </w:t>
      </w:r>
      <w:r w:rsidR="009146BD" w:rsidRPr="00C85B6E">
        <w:t>modified the request</w:t>
      </w:r>
      <w:r w:rsidR="007743D9" w:rsidRPr="00C85B6E">
        <w:t xml:space="preserve"> </w:t>
      </w:r>
      <w:r w:rsidR="00992474" w:rsidRPr="00C85B6E">
        <w:t>stating that the evidence provided in the submission ‘</w:t>
      </w:r>
      <w:r w:rsidR="00992474" w:rsidRPr="00C85B6E">
        <w:rPr>
          <w:iCs/>
        </w:rPr>
        <w:t>supports an expansion of the use of Trelegy to patients with FEV1&gt;50% currently not incorporated in the existing risk share arrangement</w:t>
      </w:r>
      <w:r w:rsidR="00992474" w:rsidRPr="00DF7ED6">
        <w:rPr>
          <w:iCs/>
        </w:rPr>
        <w:t xml:space="preserve">. Consequently, the risk share arrangement, </w:t>
      </w:r>
      <w:r w:rsidR="00992474" w:rsidRPr="00C85B6E">
        <w:rPr>
          <w:iCs/>
        </w:rPr>
        <w:t>if not removed, should at least be adjusted to include the expanded cost-effective population that would derive clinical benefit</w:t>
      </w:r>
      <w:r w:rsidR="00992474" w:rsidRPr="00DF7ED6">
        <w:rPr>
          <w:iCs/>
        </w:rPr>
        <w:t>.’</w:t>
      </w:r>
      <w:r w:rsidR="009146BD" w:rsidRPr="00DF7ED6">
        <w:rPr>
          <w:iCs/>
        </w:rPr>
        <w:t xml:space="preserve"> </w:t>
      </w:r>
      <w:r w:rsidR="00AC5EF1" w:rsidRPr="00DF7ED6">
        <w:rPr>
          <w:iCs/>
        </w:rPr>
        <w:t xml:space="preserve">The ESC considered that it may be reasonable to slightly increase the existing caps, pending review of stable utilisation data for Trelegy once available. </w:t>
      </w:r>
    </w:p>
    <w:p w:rsidR="00EC4E53" w:rsidRPr="00DF7ED6" w:rsidRDefault="00EC4E53" w:rsidP="005A2C9B">
      <w:pPr>
        <w:pStyle w:val="ListParagraph"/>
        <w:widowControl/>
        <w:numPr>
          <w:ilvl w:val="1"/>
          <w:numId w:val="3"/>
        </w:numPr>
      </w:pPr>
      <w:r w:rsidRPr="00DF7ED6">
        <w:rPr>
          <w:iCs/>
        </w:rPr>
        <w:t>Despite presentation of cost effectiveness data for triple versus dual maintenance therapy (LAMA/LABA) in COPD, uncertainties associate</w:t>
      </w:r>
      <w:r w:rsidR="000369F4" w:rsidRPr="00DF7ED6">
        <w:rPr>
          <w:iCs/>
        </w:rPr>
        <w:t>d</w:t>
      </w:r>
      <w:r w:rsidRPr="00DF7ED6">
        <w:rPr>
          <w:iCs/>
        </w:rPr>
        <w:t xml:space="preserve"> with underestimated market share and market growth, as well as quality use of medicines issues identified in relation to use earlier in the treatment pathway than clinically appropriate remain. </w:t>
      </w:r>
    </w:p>
    <w:p w:rsidR="00396AD0" w:rsidRPr="00DF7ED6" w:rsidRDefault="00EC4E53" w:rsidP="005A2C9B">
      <w:pPr>
        <w:pStyle w:val="ListParagraph"/>
        <w:widowControl/>
        <w:numPr>
          <w:ilvl w:val="1"/>
          <w:numId w:val="3"/>
        </w:numPr>
      </w:pPr>
      <w:r w:rsidRPr="00DF7ED6">
        <w:rPr>
          <w:iCs/>
        </w:rPr>
        <w:t>The</w:t>
      </w:r>
      <w:r w:rsidR="000A142B" w:rsidRPr="00DF7ED6">
        <w:rPr>
          <w:iCs/>
        </w:rPr>
        <w:t xml:space="preserve"> ESC noted that the</w:t>
      </w:r>
      <w:r w:rsidRPr="00DF7ED6">
        <w:rPr>
          <w:iCs/>
        </w:rPr>
        <w:t xml:space="preserve"> submission did not present any cost effectiveness data for triple therapy versus LAMA </w:t>
      </w:r>
      <w:proofErr w:type="gramStart"/>
      <w:r w:rsidRPr="00DF7ED6">
        <w:rPr>
          <w:iCs/>
        </w:rPr>
        <w:t>monotherapy</w:t>
      </w:r>
      <w:proofErr w:type="gramEnd"/>
      <w:r w:rsidRPr="00DF7ED6">
        <w:rPr>
          <w:iCs/>
        </w:rPr>
        <w:t xml:space="preserve"> or examine potential utilisation changes across the whole COPD market.</w:t>
      </w:r>
      <w:r w:rsidR="00393D5D" w:rsidRPr="00DF7ED6">
        <w:rPr>
          <w:iCs/>
        </w:rPr>
        <w:t xml:space="preserve"> </w:t>
      </w:r>
      <w:r w:rsidRPr="00DF7ED6">
        <w:rPr>
          <w:iCs/>
        </w:rPr>
        <w:t xml:space="preserve">Furthermore, </w:t>
      </w:r>
      <w:r w:rsidR="000A142B" w:rsidRPr="00DF7ED6">
        <w:rPr>
          <w:iCs/>
        </w:rPr>
        <w:t xml:space="preserve">the ESC considered that </w:t>
      </w:r>
      <w:r w:rsidRPr="00DF7ED6">
        <w:rPr>
          <w:iCs/>
        </w:rPr>
        <w:t xml:space="preserve">given the usage for Trelegy on PBS is not yet stable, it would be difficult to determine whether the existing caps will be breached in the first or subsequent years. </w:t>
      </w:r>
      <w:r w:rsidR="00C72EE0" w:rsidRPr="00DF7ED6">
        <w:rPr>
          <w:iCs/>
        </w:rPr>
        <w:t xml:space="preserve">The pre-PBAC response argued that whether the existing caps will be breached or Trelegy use is stable </w:t>
      </w:r>
      <w:r w:rsidR="00C72EE0" w:rsidRPr="00B354A9">
        <w:rPr>
          <w:iCs/>
        </w:rPr>
        <w:t xml:space="preserve">are not relevant to the requested change to the risk share as the current </w:t>
      </w:r>
      <w:r w:rsidR="00416C64" w:rsidRPr="00B354A9">
        <w:rPr>
          <w:iCs/>
        </w:rPr>
        <w:t>Risk Sharing Arrangement</w:t>
      </w:r>
      <w:r w:rsidR="00C72EE0" w:rsidRPr="00B354A9">
        <w:rPr>
          <w:iCs/>
        </w:rPr>
        <w:t xml:space="preserve"> does not incorporate use in the expanded population</w:t>
      </w:r>
      <w:r w:rsidR="00C72EE0" w:rsidRPr="00DF7ED6">
        <w:rPr>
          <w:iCs/>
        </w:rPr>
        <w:t>.</w:t>
      </w:r>
    </w:p>
    <w:p w:rsidR="002C7952" w:rsidRPr="00416C64" w:rsidRDefault="0072152B" w:rsidP="005A2C9B">
      <w:pPr>
        <w:widowControl/>
        <w:ind w:firstLine="720"/>
      </w:pPr>
      <w:r w:rsidRPr="00416C64">
        <w:rPr>
          <w:i/>
        </w:rPr>
        <w:t>For more detail on PBAC’s view, see section 7 PBAC outcome.</w:t>
      </w:r>
    </w:p>
    <w:p w:rsidR="0072152B" w:rsidRPr="005A2C9B" w:rsidRDefault="0072152B" w:rsidP="001D26BB">
      <w:pPr>
        <w:pStyle w:val="PBACHeading1"/>
        <w:ind w:left="709" w:hanging="709"/>
      </w:pPr>
      <w:r w:rsidRPr="005A2C9B">
        <w:lastRenderedPageBreak/>
        <w:t>PBAC Outcome</w:t>
      </w:r>
    </w:p>
    <w:p w:rsidR="00470A03" w:rsidRDefault="00C708C8" w:rsidP="005A2C9B">
      <w:pPr>
        <w:widowControl/>
        <w:numPr>
          <w:ilvl w:val="1"/>
          <w:numId w:val="3"/>
        </w:numPr>
      </w:pPr>
      <w:r w:rsidRPr="00416C64">
        <w:rPr>
          <w:rFonts w:asciiTheme="minorHAnsi" w:hAnsiTheme="minorHAnsi"/>
          <w:bCs/>
          <w:szCs w:val="24"/>
        </w:rPr>
        <w:t xml:space="preserve">The PBAC recommended </w:t>
      </w:r>
      <w:r w:rsidR="007B0856" w:rsidRPr="00416C64">
        <w:rPr>
          <w:rFonts w:asciiTheme="minorHAnsi" w:hAnsiTheme="minorHAnsi"/>
          <w:bCs/>
          <w:szCs w:val="24"/>
        </w:rPr>
        <w:t>an</w:t>
      </w:r>
      <w:r w:rsidRPr="00416C64">
        <w:rPr>
          <w:rFonts w:asciiTheme="minorHAnsi" w:hAnsiTheme="minorHAnsi"/>
          <w:bCs/>
          <w:szCs w:val="24"/>
        </w:rPr>
        <w:t xml:space="preserve"> extension </w:t>
      </w:r>
      <w:r w:rsidR="007B0856" w:rsidRPr="00416C64">
        <w:rPr>
          <w:rFonts w:asciiTheme="minorHAnsi" w:hAnsiTheme="minorHAnsi"/>
          <w:bCs/>
          <w:szCs w:val="24"/>
        </w:rPr>
        <w:t>to</w:t>
      </w:r>
      <w:r w:rsidRPr="00416C64">
        <w:rPr>
          <w:rFonts w:asciiTheme="minorHAnsi" w:hAnsiTheme="minorHAnsi"/>
          <w:bCs/>
          <w:szCs w:val="24"/>
        </w:rPr>
        <w:t xml:space="preserve"> the </w:t>
      </w:r>
      <w:r w:rsidR="007B0856" w:rsidRPr="00416C64">
        <w:rPr>
          <w:rFonts w:asciiTheme="minorHAnsi" w:hAnsiTheme="minorHAnsi"/>
          <w:bCs/>
          <w:szCs w:val="24"/>
        </w:rPr>
        <w:t>existing Aut</w:t>
      </w:r>
      <w:r w:rsidR="0038363A" w:rsidRPr="00416C64">
        <w:rPr>
          <w:rFonts w:asciiTheme="minorHAnsi" w:hAnsiTheme="minorHAnsi"/>
          <w:bCs/>
          <w:szCs w:val="24"/>
        </w:rPr>
        <w:t>hority Required (STREAMLINED)</w:t>
      </w:r>
      <w:r w:rsidRPr="00416C64">
        <w:rPr>
          <w:rFonts w:asciiTheme="minorHAnsi" w:hAnsiTheme="minorHAnsi"/>
          <w:bCs/>
          <w:szCs w:val="24"/>
        </w:rPr>
        <w:t xml:space="preserve"> listing of </w:t>
      </w:r>
      <w:r w:rsidR="00802C95" w:rsidRPr="00416C64">
        <w:rPr>
          <w:rFonts w:asciiTheme="minorHAnsi" w:hAnsiTheme="minorHAnsi"/>
          <w:bCs/>
          <w:szCs w:val="24"/>
        </w:rPr>
        <w:t xml:space="preserve">fluticasone </w:t>
      </w:r>
      <w:proofErr w:type="spellStart"/>
      <w:r w:rsidR="00802C95" w:rsidRPr="00416C64">
        <w:rPr>
          <w:rFonts w:asciiTheme="minorHAnsi" w:hAnsiTheme="minorHAnsi"/>
          <w:bCs/>
          <w:szCs w:val="24"/>
        </w:rPr>
        <w:t>furoate</w:t>
      </w:r>
      <w:proofErr w:type="spellEnd"/>
      <w:r w:rsidR="00802C95" w:rsidRPr="00416C64">
        <w:rPr>
          <w:rFonts w:asciiTheme="minorHAnsi" w:hAnsiTheme="minorHAnsi"/>
          <w:bCs/>
          <w:szCs w:val="24"/>
        </w:rPr>
        <w:t xml:space="preserve"> with </w:t>
      </w:r>
      <w:proofErr w:type="spellStart"/>
      <w:r w:rsidR="00802C95" w:rsidRPr="00416C64">
        <w:rPr>
          <w:rFonts w:asciiTheme="minorHAnsi" w:hAnsiTheme="minorHAnsi"/>
          <w:bCs/>
          <w:szCs w:val="24"/>
        </w:rPr>
        <w:t>umeclidinium</w:t>
      </w:r>
      <w:proofErr w:type="spellEnd"/>
      <w:r w:rsidR="00802C95" w:rsidRPr="00416C64">
        <w:rPr>
          <w:rFonts w:asciiTheme="minorHAnsi" w:hAnsiTheme="minorHAnsi"/>
          <w:bCs/>
          <w:szCs w:val="24"/>
        </w:rPr>
        <w:t xml:space="preserve"> and </w:t>
      </w:r>
      <w:proofErr w:type="spellStart"/>
      <w:r w:rsidR="00802C95" w:rsidRPr="00416C64">
        <w:rPr>
          <w:rFonts w:asciiTheme="minorHAnsi" w:hAnsiTheme="minorHAnsi"/>
          <w:bCs/>
          <w:szCs w:val="24"/>
        </w:rPr>
        <w:t>vilanterol</w:t>
      </w:r>
      <w:proofErr w:type="spellEnd"/>
      <w:r w:rsidR="00802C95" w:rsidRPr="00416C64">
        <w:rPr>
          <w:rFonts w:asciiTheme="minorHAnsi" w:hAnsiTheme="minorHAnsi"/>
          <w:bCs/>
          <w:szCs w:val="24"/>
        </w:rPr>
        <w:t xml:space="preserve"> (Trelegy)</w:t>
      </w:r>
      <w:r w:rsidR="00F50780" w:rsidRPr="00416C64">
        <w:rPr>
          <w:rFonts w:asciiTheme="minorHAnsi" w:hAnsiTheme="minorHAnsi"/>
          <w:bCs/>
          <w:szCs w:val="24"/>
        </w:rPr>
        <w:t xml:space="preserve"> for COPD</w:t>
      </w:r>
      <w:r w:rsidR="0038363A" w:rsidRPr="00416C64">
        <w:rPr>
          <w:rFonts w:asciiTheme="minorHAnsi" w:hAnsiTheme="minorHAnsi"/>
          <w:bCs/>
          <w:szCs w:val="24"/>
        </w:rPr>
        <w:t>, specifically</w:t>
      </w:r>
      <w:r w:rsidRPr="00416C64">
        <w:t xml:space="preserve"> t</w:t>
      </w:r>
      <w:r w:rsidR="0038363A" w:rsidRPr="00416C64">
        <w:t xml:space="preserve">he </w:t>
      </w:r>
      <w:r w:rsidRPr="00416C64">
        <w:t>removal of the FEV1 threshold from the clini</w:t>
      </w:r>
      <w:r w:rsidR="0068176F" w:rsidRPr="00416C64">
        <w:t>cal criteria in the restriction</w:t>
      </w:r>
      <w:r w:rsidR="0038363A" w:rsidRPr="00416C64">
        <w:t xml:space="preserve">. </w:t>
      </w:r>
    </w:p>
    <w:p w:rsidR="007A1175" w:rsidRPr="00416C64" w:rsidRDefault="0038363A" w:rsidP="005A2C9B">
      <w:pPr>
        <w:widowControl/>
        <w:numPr>
          <w:ilvl w:val="1"/>
          <w:numId w:val="3"/>
        </w:numPr>
        <w:rPr>
          <w:rFonts w:asciiTheme="minorHAnsi" w:hAnsiTheme="minorHAnsi"/>
          <w:bCs/>
          <w:szCs w:val="24"/>
        </w:rPr>
      </w:pPr>
      <w:r w:rsidRPr="00416C64">
        <w:t xml:space="preserve">The PBAC </w:t>
      </w:r>
      <w:r w:rsidR="00676A09" w:rsidRPr="00416C64">
        <w:t>was</w:t>
      </w:r>
      <w:r w:rsidRPr="00416C64">
        <w:t xml:space="preserve"> satisfied that Trelegy provides, for some patients, a significant improvement in efficacy over dual therapy (LAMA/LABA). </w:t>
      </w:r>
    </w:p>
    <w:p w:rsidR="007A1175" w:rsidRPr="00416C64" w:rsidRDefault="007A1175" w:rsidP="005A2C9B">
      <w:pPr>
        <w:widowControl/>
        <w:numPr>
          <w:ilvl w:val="1"/>
          <w:numId w:val="3"/>
        </w:numPr>
      </w:pPr>
      <w:r w:rsidRPr="00416C64">
        <w:t xml:space="preserve">The PBAC recommended the removal of the FEV1 threshold from the Trelegy clinical criteria noting the change to be consistent with recent amendments to the GOLD guidelines (2018). The PBAC considered that the </w:t>
      </w:r>
      <w:r w:rsidR="00B021EE" w:rsidRPr="00416C64">
        <w:t>GOLD g</w:t>
      </w:r>
      <w:r w:rsidRPr="00416C64">
        <w:t xml:space="preserve">uidelines reflect current evidence indicating that </w:t>
      </w:r>
      <w:r w:rsidR="009B1CD5" w:rsidRPr="00416C64">
        <w:t xml:space="preserve">FEV1 lacks precision to be used clinically as a predictor of exacerbations or mortality in patients with COPD and noted that </w:t>
      </w:r>
      <w:r w:rsidRPr="00416C64">
        <w:t xml:space="preserve">history </w:t>
      </w:r>
      <w:r w:rsidR="001B2411" w:rsidRPr="00416C64">
        <w:t xml:space="preserve">of </w:t>
      </w:r>
      <w:r w:rsidRPr="00416C64">
        <w:t>previous exacerbations is</w:t>
      </w:r>
      <w:r w:rsidR="009B1CD5" w:rsidRPr="00416C64">
        <w:t xml:space="preserve"> regarded as</w:t>
      </w:r>
      <w:r w:rsidRPr="00416C64">
        <w:t xml:space="preserve"> the best predictor of future COPD episodes. </w:t>
      </w:r>
      <w:r w:rsidR="001B2411" w:rsidRPr="00416C64">
        <w:t>As such, t</w:t>
      </w:r>
      <w:r w:rsidRPr="00416C64">
        <w:t xml:space="preserve">he PBAC considered that the removal of the FEV1 threshold should be accompanied by </w:t>
      </w:r>
      <w:r w:rsidR="001B2411" w:rsidRPr="00416C64">
        <w:t xml:space="preserve">a </w:t>
      </w:r>
      <w:r w:rsidRPr="00416C64">
        <w:t xml:space="preserve">strengthening </w:t>
      </w:r>
      <w:r w:rsidR="001B2411" w:rsidRPr="00416C64">
        <w:t xml:space="preserve">of the </w:t>
      </w:r>
      <w:r w:rsidRPr="00416C64">
        <w:t>clinical criteria to include specification of exacerbation severity and a 12 month time period for the exacerbation history</w:t>
      </w:r>
      <w:r w:rsidR="001B2411" w:rsidRPr="00416C64">
        <w:t xml:space="preserve">. </w:t>
      </w:r>
      <w:r w:rsidR="001B2411" w:rsidRPr="00D86368">
        <w:t>In addition, the PBAC recommended the restriction retain</w:t>
      </w:r>
      <w:r w:rsidRPr="00D86368">
        <w:t xml:space="preserve"> reference to the requirement for a patient to be experiencing significant symptoms despite LAMA/LABA therapy</w:t>
      </w:r>
      <w:r w:rsidRPr="00416C64">
        <w:t xml:space="preserve">. </w:t>
      </w:r>
      <w:r w:rsidR="001B2411" w:rsidRPr="00416C64">
        <w:t>The PB</w:t>
      </w:r>
      <w:r w:rsidR="00C72EE0" w:rsidRPr="00416C64">
        <w:t>AC also considered</w:t>
      </w:r>
      <w:r w:rsidR="001B2411" w:rsidRPr="00416C64">
        <w:rPr>
          <w:iCs/>
        </w:rPr>
        <w:t xml:space="preserve"> that the restriction should include</w:t>
      </w:r>
      <w:r w:rsidR="001B2411" w:rsidRPr="00416C64">
        <w:rPr>
          <w:i/>
          <w:iCs/>
        </w:rPr>
        <w:t xml:space="preserve"> </w:t>
      </w:r>
      <w:r w:rsidR="001B2411" w:rsidRPr="00416C64">
        <w:rPr>
          <w:iCs/>
        </w:rPr>
        <w:t>reference to the importance of spirometry in the diagnosis of COPD.</w:t>
      </w:r>
    </w:p>
    <w:p w:rsidR="001B2411" w:rsidRPr="00416C64" w:rsidRDefault="00B021EE" w:rsidP="005A2C9B">
      <w:pPr>
        <w:widowControl/>
        <w:numPr>
          <w:ilvl w:val="1"/>
          <w:numId w:val="3"/>
        </w:numPr>
      </w:pPr>
      <w:r w:rsidRPr="00416C64">
        <w:t xml:space="preserve">The PBAC noted that the Australian COPD-X Guidelines </w:t>
      </w:r>
      <w:r w:rsidR="00FF5437" w:rsidRPr="00416C64">
        <w:t>(</w:t>
      </w:r>
      <w:r w:rsidR="00533731">
        <w:t xml:space="preserve">December, </w:t>
      </w:r>
      <w:r w:rsidR="00FF5437" w:rsidRPr="00416C64">
        <w:t>2018)</w:t>
      </w:r>
      <w:r w:rsidR="00847309" w:rsidRPr="00416C64">
        <w:t xml:space="preserve"> use FEV1 to classify COPD severity. The PBAC was concerned that the inconsistency between the GOLD and COPD-X guidelines may cause prescriber confusion. The PBAC considered that the current recommendations of the COPD-X guidelines were likely influenced by </w:t>
      </w:r>
      <w:r w:rsidR="004A5D68" w:rsidRPr="00416C64">
        <w:t xml:space="preserve">the </w:t>
      </w:r>
      <w:r w:rsidR="00847309" w:rsidRPr="00416C64">
        <w:t xml:space="preserve">PBS criteria for subsidy. </w:t>
      </w:r>
      <w:r w:rsidR="001B2411" w:rsidRPr="00416C64">
        <w:t xml:space="preserve">The PBAC recommended that the PBAC Secretariat write to the organisations responsible for updating the COPD-X guidelines (Lung Foundation Australia and the Thoracic Society of Australia and New Zealand) advising them of the </w:t>
      </w:r>
      <w:r w:rsidR="00416C64" w:rsidRPr="00416C64">
        <w:t>PBAC’s</w:t>
      </w:r>
      <w:r w:rsidR="001B2411" w:rsidRPr="00416C64">
        <w:t xml:space="preserve"> recommendations in relation to the Trelegy restriction</w:t>
      </w:r>
      <w:r w:rsidR="00533731">
        <w:t xml:space="preserve"> and of the PBAC concerns about maintaining consistency between the COPD-X Guidelines and the PBS prescribing criteria</w:t>
      </w:r>
      <w:r w:rsidR="001B2411" w:rsidRPr="00416C64">
        <w:t>.</w:t>
      </w:r>
    </w:p>
    <w:p w:rsidR="003C071B" w:rsidRPr="00416C64" w:rsidRDefault="00802C95" w:rsidP="005A2C9B">
      <w:pPr>
        <w:widowControl/>
        <w:numPr>
          <w:ilvl w:val="1"/>
          <w:numId w:val="3"/>
        </w:numPr>
        <w:rPr>
          <w:rFonts w:asciiTheme="minorHAnsi" w:hAnsiTheme="minorHAnsi"/>
          <w:bCs/>
          <w:szCs w:val="24"/>
        </w:rPr>
      </w:pPr>
      <w:r w:rsidRPr="00416C64">
        <w:t xml:space="preserve">The PBAC considered that </w:t>
      </w:r>
      <w:r w:rsidR="009B1CD5" w:rsidRPr="00416C64">
        <w:t xml:space="preserve">LAMA/LABA </w:t>
      </w:r>
      <w:r w:rsidRPr="00416C64">
        <w:t xml:space="preserve">dual therapy was </w:t>
      </w:r>
      <w:r w:rsidR="009B1CD5" w:rsidRPr="00416C64">
        <w:t xml:space="preserve">an </w:t>
      </w:r>
      <w:r w:rsidRPr="00416C64">
        <w:t xml:space="preserve">appropriate </w:t>
      </w:r>
      <w:r w:rsidR="009B1CD5" w:rsidRPr="00416C64">
        <w:t xml:space="preserve">comparator. </w:t>
      </w:r>
    </w:p>
    <w:p w:rsidR="000A3F4B" w:rsidRPr="00416C64" w:rsidRDefault="000A3F4B" w:rsidP="005A2C9B">
      <w:pPr>
        <w:widowControl/>
        <w:numPr>
          <w:ilvl w:val="1"/>
          <w:numId w:val="3"/>
        </w:numPr>
        <w:rPr>
          <w:rFonts w:asciiTheme="minorHAnsi" w:hAnsiTheme="minorHAnsi"/>
          <w:bCs/>
          <w:szCs w:val="24"/>
        </w:rPr>
      </w:pPr>
      <w:r w:rsidRPr="00416C64">
        <w:t xml:space="preserve">The PBAC noted </w:t>
      </w:r>
      <w:r w:rsidR="00FF5437" w:rsidRPr="00416C64">
        <w:t>that the submission primarily used evidence from the IMPACT trial to establish the effectiveness of the Trelegy in the broader population (i.e. currently eligible patients (FEV1 &lt; 50% predicted) as well as patients who will be become eligible under the requested extension to the PBS listing (i.e. FEV1</w:t>
      </w:r>
      <w:r w:rsidR="00FF5437" w:rsidRPr="00416C64">
        <w:rPr>
          <w:rFonts w:cs="Calibri"/>
        </w:rPr>
        <w:t>≥</w:t>
      </w:r>
      <w:r w:rsidR="00FF5437" w:rsidRPr="00416C64">
        <w:t xml:space="preserve"> 50% predicted)). T</w:t>
      </w:r>
      <w:r w:rsidRPr="00416C64">
        <w:t xml:space="preserve">he </w:t>
      </w:r>
      <w:r w:rsidR="00FF5437" w:rsidRPr="00416C64">
        <w:t xml:space="preserve">PBAC considered that the </w:t>
      </w:r>
      <w:r w:rsidRPr="00416C64">
        <w:t>IMPACT trial</w:t>
      </w:r>
      <w:r w:rsidR="00FF5437" w:rsidRPr="00416C64">
        <w:t xml:space="preserve"> results indicate </w:t>
      </w:r>
      <w:r w:rsidRPr="00416C64">
        <w:t>that Trelegy is associated with improved efficacy in terms of lung function and exacerbations over dual therapy with LAMA/LABA</w:t>
      </w:r>
      <w:r w:rsidR="00FF5437" w:rsidRPr="00416C64">
        <w:t>. However, the PBAC noted th</w:t>
      </w:r>
      <w:r w:rsidR="00D120D0" w:rsidRPr="00416C64">
        <w:t>at the treatment effects in IMP</w:t>
      </w:r>
      <w:r w:rsidR="00FF5437" w:rsidRPr="00416C64">
        <w:t>AC</w:t>
      </w:r>
      <w:r w:rsidR="00D120D0" w:rsidRPr="00416C64">
        <w:t>T</w:t>
      </w:r>
      <w:r w:rsidR="00FF5437" w:rsidRPr="00416C64">
        <w:t xml:space="preserve"> were generally smaller than those estimated for FF/UMEC/VI versus any LAMA/LABA based on </w:t>
      </w:r>
      <w:r w:rsidR="00D120D0" w:rsidRPr="00416C64">
        <w:t xml:space="preserve">the </w:t>
      </w:r>
      <w:r w:rsidR="00FF5437" w:rsidRPr="00416C64">
        <w:t>indirect comparisons considered by the PBAC in December 2017</w:t>
      </w:r>
      <w:r w:rsidR="00D1290E">
        <w:t>.</w:t>
      </w:r>
      <w:r w:rsidRPr="00416C64">
        <w:t xml:space="preserve"> </w:t>
      </w:r>
    </w:p>
    <w:p w:rsidR="00B60BFC" w:rsidRPr="00416C64" w:rsidRDefault="00B60BFC" w:rsidP="005A2C9B">
      <w:pPr>
        <w:widowControl/>
        <w:numPr>
          <w:ilvl w:val="1"/>
          <w:numId w:val="3"/>
        </w:numPr>
        <w:rPr>
          <w:rFonts w:asciiTheme="minorHAnsi" w:hAnsiTheme="minorHAnsi"/>
          <w:bCs/>
          <w:szCs w:val="24"/>
        </w:rPr>
      </w:pPr>
      <w:r w:rsidRPr="00416C64">
        <w:rPr>
          <w:rFonts w:asciiTheme="minorHAnsi" w:hAnsiTheme="minorHAnsi"/>
          <w:bCs/>
          <w:szCs w:val="24"/>
        </w:rPr>
        <w:lastRenderedPageBreak/>
        <w:t>The PBAC, whilst noting the smaller treatment effect</w:t>
      </w:r>
      <w:r w:rsidR="00FF5437" w:rsidRPr="00416C64">
        <w:rPr>
          <w:rFonts w:asciiTheme="minorHAnsi" w:hAnsiTheme="minorHAnsi"/>
          <w:bCs/>
          <w:szCs w:val="24"/>
        </w:rPr>
        <w:t xml:space="preserve"> </w:t>
      </w:r>
      <w:r w:rsidRPr="00416C64">
        <w:rPr>
          <w:rFonts w:asciiTheme="minorHAnsi" w:hAnsiTheme="minorHAnsi"/>
          <w:bCs/>
          <w:szCs w:val="24"/>
        </w:rPr>
        <w:t xml:space="preserve">in </w:t>
      </w:r>
      <w:r w:rsidR="000823D5" w:rsidRPr="00416C64">
        <w:rPr>
          <w:rFonts w:asciiTheme="minorHAnsi" w:hAnsiTheme="minorHAnsi"/>
          <w:bCs/>
          <w:szCs w:val="24"/>
        </w:rPr>
        <w:t xml:space="preserve">the </w:t>
      </w:r>
      <w:r w:rsidRPr="00416C64">
        <w:rPr>
          <w:rFonts w:asciiTheme="minorHAnsi" w:hAnsiTheme="minorHAnsi"/>
          <w:bCs/>
          <w:szCs w:val="24"/>
        </w:rPr>
        <w:t>IMPACT</w:t>
      </w:r>
      <w:r w:rsidR="000823D5" w:rsidRPr="00416C64">
        <w:rPr>
          <w:rFonts w:asciiTheme="minorHAnsi" w:hAnsiTheme="minorHAnsi"/>
          <w:bCs/>
          <w:szCs w:val="24"/>
        </w:rPr>
        <w:t xml:space="preserve"> trial</w:t>
      </w:r>
      <w:r w:rsidRPr="00416C64">
        <w:rPr>
          <w:rFonts w:asciiTheme="minorHAnsi" w:hAnsiTheme="minorHAnsi"/>
          <w:bCs/>
          <w:szCs w:val="24"/>
        </w:rPr>
        <w:t xml:space="preserve">, advised that the results of the subgroup analysis supported the argument that FEV1 % predicted is not a good predictor of treatment benefit in terms of rate of moderate/severe exacerbation, change in trough FEV1 or SGRQ-C. </w:t>
      </w:r>
    </w:p>
    <w:p w:rsidR="003C071B" w:rsidRPr="00416C64" w:rsidRDefault="00CB6333" w:rsidP="005A2C9B">
      <w:pPr>
        <w:widowControl/>
        <w:numPr>
          <w:ilvl w:val="1"/>
          <w:numId w:val="3"/>
        </w:numPr>
        <w:rPr>
          <w:rFonts w:asciiTheme="minorHAnsi" w:hAnsiTheme="minorHAnsi"/>
          <w:bCs/>
          <w:szCs w:val="24"/>
        </w:rPr>
      </w:pPr>
      <w:r w:rsidRPr="00416C64">
        <w:rPr>
          <w:rFonts w:asciiTheme="minorHAnsi" w:hAnsiTheme="minorHAnsi"/>
          <w:bCs/>
          <w:szCs w:val="24"/>
        </w:rPr>
        <w:t>T</w:t>
      </w:r>
      <w:r w:rsidR="00C963EB" w:rsidRPr="00416C64">
        <w:rPr>
          <w:rFonts w:asciiTheme="minorHAnsi" w:hAnsiTheme="minorHAnsi"/>
          <w:bCs/>
          <w:szCs w:val="24"/>
        </w:rPr>
        <w:t xml:space="preserve">he PBAC </w:t>
      </w:r>
      <w:r w:rsidR="00D603B8" w:rsidRPr="00416C64">
        <w:rPr>
          <w:rFonts w:asciiTheme="minorHAnsi" w:hAnsiTheme="minorHAnsi"/>
          <w:bCs/>
          <w:szCs w:val="24"/>
        </w:rPr>
        <w:t xml:space="preserve">noted the increased incidence </w:t>
      </w:r>
      <w:r w:rsidR="00D120D0" w:rsidRPr="00416C64">
        <w:rPr>
          <w:rFonts w:asciiTheme="minorHAnsi" w:hAnsiTheme="minorHAnsi"/>
          <w:bCs/>
          <w:szCs w:val="24"/>
        </w:rPr>
        <w:t>of</w:t>
      </w:r>
      <w:r w:rsidR="00D603B8" w:rsidRPr="00416C64">
        <w:rPr>
          <w:rFonts w:asciiTheme="minorHAnsi" w:hAnsiTheme="minorHAnsi"/>
          <w:bCs/>
          <w:szCs w:val="24"/>
        </w:rPr>
        <w:t xml:space="preserve"> pneumonia and oral candidiasis associated with Trelegy versus UMEC/VI</w:t>
      </w:r>
      <w:r w:rsidR="00F775FF" w:rsidRPr="00416C64">
        <w:rPr>
          <w:rFonts w:asciiTheme="minorHAnsi" w:hAnsiTheme="minorHAnsi"/>
          <w:bCs/>
          <w:szCs w:val="24"/>
        </w:rPr>
        <w:t xml:space="preserve"> reported in the IMPACT trial. </w:t>
      </w:r>
      <w:r w:rsidR="00D74EA3" w:rsidRPr="00416C64">
        <w:rPr>
          <w:rFonts w:asciiTheme="minorHAnsi" w:hAnsiTheme="minorHAnsi"/>
          <w:bCs/>
          <w:szCs w:val="24"/>
        </w:rPr>
        <w:t xml:space="preserve">The PBAC reaffirmed its December 2017 advice that triple therapy with Trelegy was likely to be associated with an increased risk of harms over dual therapy with LAMA/LABA, particularly in relation to pneumonia. As such the PBAC reaffirmed that the appropriate place in therapy for Trelegy should be following inadequate control with dual therapy. </w:t>
      </w:r>
    </w:p>
    <w:p w:rsidR="00973B95" w:rsidRPr="001A472D" w:rsidRDefault="007F6A0E" w:rsidP="005A2C9B">
      <w:pPr>
        <w:widowControl/>
        <w:numPr>
          <w:ilvl w:val="1"/>
          <w:numId w:val="3"/>
        </w:numPr>
      </w:pPr>
      <w:r w:rsidRPr="00416C64">
        <w:t xml:space="preserve">In considering the cost-effectiveness of Trelegy the </w:t>
      </w:r>
      <w:r w:rsidR="007D0B8A" w:rsidRPr="00416C64">
        <w:t>PBAC noted that a</w:t>
      </w:r>
      <w:r w:rsidRPr="00416C64">
        <w:t xml:space="preserve"> </w:t>
      </w:r>
      <w:r w:rsidR="00C7092C" w:rsidRPr="00416C64">
        <w:t>correction for pneumonia costs was acknowledged and accepted by the sponsor increasing the base case ICER to $15,</w:t>
      </w:r>
      <w:r w:rsidR="009D3AEE">
        <w:t>000</w:t>
      </w:r>
      <w:r w:rsidR="00C7092C" w:rsidRPr="00416C64">
        <w:t>/QALY</w:t>
      </w:r>
      <w:r w:rsidR="009D3AEE">
        <w:t xml:space="preserve"> to $45,000/QALY</w:t>
      </w:r>
      <w:r w:rsidR="00C7092C" w:rsidRPr="00416C64">
        <w:t xml:space="preserve"> over the 10 year time horizon. However, the PBAC agreed with the ESC that a more reliable base case should include </w:t>
      </w:r>
      <w:r w:rsidR="00F979F5" w:rsidRPr="00416C64">
        <w:t xml:space="preserve">both </w:t>
      </w:r>
      <w:r w:rsidR="00C7092C" w:rsidRPr="00416C64">
        <w:t>revised pneumonia hospitalisation costs and discontinuation from LAMA/LABA to ICS/LABA instead of triple therapy. The PBAC considered the resulting ICER of $</w:t>
      </w:r>
      <w:r w:rsidR="00B15772">
        <w:t>15,000</w:t>
      </w:r>
      <w:r w:rsidR="00C7092C" w:rsidRPr="00416C64">
        <w:t>/QALY</w:t>
      </w:r>
      <w:r w:rsidR="00B15772">
        <w:t xml:space="preserve"> to $45,000/QALY</w:t>
      </w:r>
      <w:r w:rsidR="00C7092C" w:rsidRPr="00416C64">
        <w:t xml:space="preserve"> over the 10 year modelled time horizon to be acceptable and concluded it was reasonable to accept the cost-effectiveness of Trelegy in the requested PBS population</w:t>
      </w:r>
      <w:r w:rsidR="001A472D">
        <w:t>.</w:t>
      </w:r>
      <w:r w:rsidR="00C7092C" w:rsidRPr="00416C64">
        <w:t xml:space="preserve"> </w:t>
      </w:r>
    </w:p>
    <w:p w:rsidR="00F979F5" w:rsidRPr="00416C64" w:rsidRDefault="00642665" w:rsidP="005A2C9B">
      <w:pPr>
        <w:widowControl/>
        <w:numPr>
          <w:ilvl w:val="1"/>
          <w:numId w:val="3"/>
        </w:numPr>
        <w:rPr>
          <w:rFonts w:asciiTheme="minorHAnsi" w:hAnsiTheme="minorHAnsi"/>
          <w:bCs/>
          <w:szCs w:val="24"/>
        </w:rPr>
      </w:pPr>
      <w:r w:rsidRPr="00416C64">
        <w:t>The PBAC noted the financial estimates proposed for Trelegy in this submission are in addition to the net expenditure approved in the December 2017 submission.</w:t>
      </w:r>
      <w:r w:rsidR="00F979F5" w:rsidRPr="00416C64">
        <w:t xml:space="preserve"> The PBAC considered that the overall estimated budget impact was relatively low.</w:t>
      </w:r>
    </w:p>
    <w:p w:rsidR="00962851" w:rsidRPr="00C277DA" w:rsidRDefault="00BE6EFC" w:rsidP="005A2C9B">
      <w:pPr>
        <w:widowControl/>
        <w:numPr>
          <w:ilvl w:val="1"/>
          <w:numId w:val="3"/>
        </w:numPr>
        <w:rPr>
          <w:rFonts w:asciiTheme="minorHAnsi" w:hAnsiTheme="minorHAnsi"/>
          <w:bCs/>
          <w:szCs w:val="24"/>
        </w:rPr>
      </w:pPr>
      <w:r w:rsidRPr="00C277DA">
        <w:t xml:space="preserve">The PBAC </w:t>
      </w:r>
      <w:r w:rsidR="009772B6" w:rsidRPr="00C277DA">
        <w:t xml:space="preserve">recalled that in December 2017 it had recommended a </w:t>
      </w:r>
      <w:r w:rsidR="00416C64" w:rsidRPr="00C277DA">
        <w:t>Risk Sharing Arrangement</w:t>
      </w:r>
      <w:r w:rsidR="009772B6" w:rsidRPr="00C277DA">
        <w:t xml:space="preserve"> for Trelegy to address uncertainties associated with underestimated market share and market growth, as well as quality use of medicines issues identified in relation to use earlier in the treatment pathway than clinically appropriate. </w:t>
      </w:r>
      <w:r w:rsidR="00F979F5" w:rsidRPr="00C277DA">
        <w:t xml:space="preserve">The PBAC considered that a </w:t>
      </w:r>
      <w:r w:rsidR="00416C64" w:rsidRPr="00C277DA">
        <w:t>Risk Sharing Arrangement</w:t>
      </w:r>
      <w:r w:rsidR="00F979F5" w:rsidRPr="00C277DA">
        <w:t xml:space="preserve"> remained appropriate to mitigate any residual uncertainties regarding the potential use of Trelegy outside the proposed restriction. The PBAC </w:t>
      </w:r>
      <w:r w:rsidR="009772B6" w:rsidRPr="00C277DA">
        <w:t xml:space="preserve">recommended that the </w:t>
      </w:r>
      <w:r w:rsidR="00962851" w:rsidRPr="00C277DA">
        <w:t xml:space="preserve">current </w:t>
      </w:r>
      <w:r w:rsidR="00416C64" w:rsidRPr="00C277DA">
        <w:t>Risk Sharing Arrangement</w:t>
      </w:r>
      <w:r w:rsidR="00962851" w:rsidRPr="00C277DA">
        <w:t xml:space="preserve"> </w:t>
      </w:r>
      <w:r w:rsidR="00F979F5" w:rsidRPr="00C277DA">
        <w:t>be</w:t>
      </w:r>
      <w:r w:rsidR="00962851" w:rsidRPr="00C277DA">
        <w:t xml:space="preserve"> amended </w:t>
      </w:r>
      <w:r w:rsidR="001D36B5" w:rsidRPr="00C277DA">
        <w:t xml:space="preserve">to </w:t>
      </w:r>
      <w:r w:rsidR="00B74049">
        <w:rPr>
          <w:noProof/>
          <w:color w:val="000000"/>
          <w:highlight w:val="black"/>
        </w:rPr>
        <w:t xml:space="preserve">'''''''''' '''' ''' '''''''''' '''''''''''' </w:t>
      </w:r>
      <w:r w:rsidR="001D36B5" w:rsidRPr="00C277DA">
        <w:t xml:space="preserve">for any PBS expenditure beyond these caps and </w:t>
      </w:r>
      <w:r w:rsidR="00962851" w:rsidRPr="00C277DA">
        <w:t>to allow a</w:t>
      </w:r>
      <w:r w:rsidR="00F979F5" w:rsidRPr="00C277DA">
        <w:t xml:space="preserve">n </w:t>
      </w:r>
      <w:r w:rsidR="00962851" w:rsidRPr="00C277DA">
        <w:t xml:space="preserve">increase in the </w:t>
      </w:r>
      <w:r w:rsidR="001D36B5" w:rsidRPr="00C277DA">
        <w:t xml:space="preserve">subsidisation </w:t>
      </w:r>
      <w:r w:rsidR="00962851" w:rsidRPr="00C277DA">
        <w:t>cap</w:t>
      </w:r>
      <w:r w:rsidR="001D36B5" w:rsidRPr="00C277DA">
        <w:t>s</w:t>
      </w:r>
      <w:r w:rsidR="00962851" w:rsidRPr="00C277DA">
        <w:t xml:space="preserve"> to accommodate the increased </w:t>
      </w:r>
      <w:r w:rsidR="001F077E" w:rsidRPr="00C277DA">
        <w:t xml:space="preserve">patient </w:t>
      </w:r>
      <w:r w:rsidR="00962851" w:rsidRPr="00C277DA">
        <w:t xml:space="preserve">population proposed in this submission. </w:t>
      </w:r>
    </w:p>
    <w:p w:rsidR="009F5760" w:rsidRPr="00416C64" w:rsidRDefault="009F5760" w:rsidP="005A2C9B">
      <w:pPr>
        <w:widowControl/>
        <w:numPr>
          <w:ilvl w:val="1"/>
          <w:numId w:val="3"/>
        </w:numPr>
        <w:rPr>
          <w:rFonts w:asciiTheme="minorHAnsi" w:hAnsiTheme="minorHAnsi"/>
          <w:bCs/>
          <w:szCs w:val="24"/>
        </w:rPr>
      </w:pPr>
      <w:r w:rsidRPr="00416C64">
        <w:t xml:space="preserve">The PBAC reiterated its December 2017 recommendation that a DUSC review of Trelegy should be conducted two years after </w:t>
      </w:r>
      <w:r w:rsidR="00844046">
        <w:t xml:space="preserve">implementation of the expanded </w:t>
      </w:r>
      <w:r w:rsidRPr="00416C64">
        <w:t>listing</w:t>
      </w:r>
      <w:r w:rsidR="001F077E" w:rsidRPr="00416C64">
        <w:t xml:space="preserve"> to explore whether triple therapy market growth has been appropriate</w:t>
      </w:r>
      <w:r w:rsidRPr="00416C64">
        <w:t xml:space="preserve">. </w:t>
      </w:r>
    </w:p>
    <w:p w:rsidR="001F077E" w:rsidRPr="00416C64" w:rsidRDefault="001F077E" w:rsidP="005A2C9B">
      <w:pPr>
        <w:widowControl/>
        <w:numPr>
          <w:ilvl w:val="1"/>
          <w:numId w:val="3"/>
        </w:numPr>
        <w:rPr>
          <w:rFonts w:asciiTheme="minorHAnsi" w:hAnsiTheme="minorHAnsi"/>
          <w:bCs/>
          <w:szCs w:val="24"/>
        </w:rPr>
      </w:pPr>
      <w:r w:rsidRPr="00416C64">
        <w:rPr>
          <w:iCs/>
        </w:rPr>
        <w:t xml:space="preserve">The PBAC </w:t>
      </w:r>
      <w:r w:rsidR="0005178A" w:rsidRPr="00416C64">
        <w:rPr>
          <w:iCs/>
        </w:rPr>
        <w:t xml:space="preserve">considered </w:t>
      </w:r>
      <w:r w:rsidRPr="00416C64">
        <w:rPr>
          <w:iCs/>
        </w:rPr>
        <w:t xml:space="preserve">that the requested removal of the clinical criteria (FEV1&lt;50% predicted) </w:t>
      </w:r>
      <w:r w:rsidR="0005178A" w:rsidRPr="00416C64">
        <w:rPr>
          <w:iCs/>
        </w:rPr>
        <w:t>was also</w:t>
      </w:r>
      <w:r w:rsidRPr="00416C64">
        <w:rPr>
          <w:iCs/>
        </w:rPr>
        <w:t xml:space="preserve"> applicable to all ICS/LABA FDC products for COPD on the PBS</w:t>
      </w:r>
      <w:r w:rsidR="0005178A" w:rsidRPr="00416C64">
        <w:rPr>
          <w:iCs/>
        </w:rPr>
        <w:t xml:space="preserve"> and as such recommended that </w:t>
      </w:r>
      <w:r w:rsidR="0005178A" w:rsidRPr="00416C64">
        <w:rPr>
          <w:rFonts w:asciiTheme="minorHAnsi" w:hAnsiTheme="minorHAnsi"/>
          <w:bCs/>
          <w:szCs w:val="24"/>
        </w:rPr>
        <w:t xml:space="preserve">flow-on restriction changes to these products were appropriate. </w:t>
      </w:r>
      <w:r w:rsidRPr="00416C64">
        <w:rPr>
          <w:iCs/>
        </w:rPr>
        <w:t xml:space="preserve">The </w:t>
      </w:r>
      <w:r w:rsidR="0005178A" w:rsidRPr="00416C64">
        <w:rPr>
          <w:iCs/>
        </w:rPr>
        <w:t>PBAC recommended</w:t>
      </w:r>
      <w:r w:rsidRPr="00416C64">
        <w:rPr>
          <w:iCs/>
        </w:rPr>
        <w:t xml:space="preserve"> that the removal of the FEV1 criteria of the COPD in</w:t>
      </w:r>
      <w:r w:rsidR="0005178A" w:rsidRPr="00416C64">
        <w:rPr>
          <w:iCs/>
        </w:rPr>
        <w:t xml:space="preserve">dication for all ICS/LABA </w:t>
      </w:r>
      <w:r w:rsidRPr="00416C64">
        <w:rPr>
          <w:iCs/>
        </w:rPr>
        <w:t xml:space="preserve">be accompanied by changes to the clinical criteria to </w:t>
      </w:r>
      <w:r w:rsidRPr="00416C64">
        <w:rPr>
          <w:iCs/>
        </w:rPr>
        <w:lastRenderedPageBreak/>
        <w:t>include specification of exacerbation severity and a 12 month time period for the exacerbation history along with reference to the requirement for a patient to be experiencing significant symptoms despite regular beta-2 agonist therapy.</w:t>
      </w:r>
      <w:r w:rsidR="0005178A" w:rsidRPr="00416C64">
        <w:rPr>
          <w:iCs/>
        </w:rPr>
        <w:t xml:space="preserve"> </w:t>
      </w:r>
      <w:r w:rsidR="002C32CF" w:rsidRPr="00416C64">
        <w:rPr>
          <w:iCs/>
        </w:rPr>
        <w:t xml:space="preserve">As a result of such changes the PBAC considered that the clinical criterion ‘The treatment must be for symptomatic treatment’ could be removed from the COPD indication for ICS/LABA FDC products. Hence, the PBAC advised the clinical criteria of the COPD indication for ICS/LABA FDC products would include the following two criterion only ‘Patient must have significant symptoms despite regular beta-2 agonist bronchodilator therapy’ AND ‘Patient must have experienced at least one severe COPD exacerbation, which required hospitalisation, or two or more moderate exacerbations in the previous 12 months’. </w:t>
      </w:r>
      <w:r w:rsidR="0005178A" w:rsidRPr="00416C64">
        <w:rPr>
          <w:rFonts w:asciiTheme="minorHAnsi" w:hAnsiTheme="minorHAnsi"/>
          <w:bCs/>
          <w:szCs w:val="24"/>
        </w:rPr>
        <w:t xml:space="preserve">The PBAC considered that, due to the potential for inconsistency with the COPD-X Australian guidelines, the proposed changes to all </w:t>
      </w:r>
      <w:r w:rsidR="0005178A" w:rsidRPr="00416C64">
        <w:rPr>
          <w:iCs/>
        </w:rPr>
        <w:t xml:space="preserve">ICS/LABA FDC products for COPD on the PBS should be </w:t>
      </w:r>
      <w:r w:rsidR="0055686C" w:rsidRPr="00416C64">
        <w:rPr>
          <w:iCs/>
        </w:rPr>
        <w:t xml:space="preserve">included in the </w:t>
      </w:r>
      <w:r w:rsidR="0005178A" w:rsidRPr="00416C64">
        <w:t xml:space="preserve">PBAC Secretariat </w:t>
      </w:r>
      <w:r w:rsidR="0055686C" w:rsidRPr="00416C64">
        <w:t>correspondence</w:t>
      </w:r>
      <w:r w:rsidR="007D0B8A" w:rsidRPr="00416C64">
        <w:t xml:space="preserve"> (see in paragraph 7.4) </w:t>
      </w:r>
      <w:r w:rsidR="0055686C" w:rsidRPr="00416C64">
        <w:t xml:space="preserve">with the </w:t>
      </w:r>
      <w:r w:rsidR="0005178A" w:rsidRPr="00416C64">
        <w:t xml:space="preserve">organisations responsible for updating the COPD-X guidelines. </w:t>
      </w:r>
    </w:p>
    <w:p w:rsidR="003C071B" w:rsidRPr="009A5B6D" w:rsidRDefault="003C071B" w:rsidP="005A2C9B">
      <w:pPr>
        <w:widowControl/>
        <w:numPr>
          <w:ilvl w:val="1"/>
          <w:numId w:val="3"/>
        </w:numPr>
        <w:rPr>
          <w:rFonts w:asciiTheme="minorHAnsi" w:hAnsiTheme="minorHAnsi"/>
          <w:bCs/>
          <w:szCs w:val="24"/>
        </w:rPr>
      </w:pPr>
      <w:r w:rsidRPr="00416C64">
        <w:rPr>
          <w:rFonts w:asciiTheme="minorHAnsi" w:hAnsiTheme="minorHAnsi"/>
          <w:bCs/>
          <w:szCs w:val="24"/>
        </w:rPr>
        <w:t>The PBAC noted that this submission is not eligible for an I</w:t>
      </w:r>
      <w:r w:rsidR="0046548A" w:rsidRPr="00416C64">
        <w:rPr>
          <w:rFonts w:asciiTheme="minorHAnsi" w:hAnsiTheme="minorHAnsi"/>
          <w:bCs/>
          <w:szCs w:val="24"/>
        </w:rPr>
        <w:t>ndependent Review as it was</w:t>
      </w:r>
      <w:r w:rsidRPr="00416C64">
        <w:rPr>
          <w:rFonts w:asciiTheme="minorHAnsi" w:hAnsiTheme="minorHAnsi"/>
          <w:bCs/>
          <w:szCs w:val="24"/>
        </w:rPr>
        <w:t xml:space="preserve"> a positive recommendation. </w:t>
      </w:r>
    </w:p>
    <w:p w:rsidR="0072152B" w:rsidRPr="00416C64" w:rsidRDefault="0072152B" w:rsidP="005A2C9B">
      <w:pPr>
        <w:widowControl/>
        <w:rPr>
          <w:rFonts w:asciiTheme="minorHAnsi" w:hAnsiTheme="minorHAnsi"/>
          <w:b/>
          <w:bCs/>
          <w:szCs w:val="24"/>
        </w:rPr>
      </w:pPr>
      <w:r w:rsidRPr="00416C64">
        <w:rPr>
          <w:rFonts w:asciiTheme="minorHAnsi" w:hAnsiTheme="minorHAnsi"/>
          <w:b/>
          <w:bCs/>
          <w:szCs w:val="24"/>
        </w:rPr>
        <w:t>Outcome:</w:t>
      </w:r>
    </w:p>
    <w:p w:rsidR="00271D14" w:rsidRPr="009A5B6D" w:rsidRDefault="0068176F" w:rsidP="005A2C9B">
      <w:pPr>
        <w:widowControl/>
        <w:rPr>
          <w:rFonts w:asciiTheme="minorHAnsi" w:hAnsiTheme="minorHAnsi"/>
          <w:bCs/>
          <w:szCs w:val="24"/>
        </w:rPr>
      </w:pPr>
      <w:r w:rsidRPr="00416C64">
        <w:rPr>
          <w:rFonts w:asciiTheme="minorHAnsi" w:hAnsiTheme="minorHAnsi"/>
          <w:bCs/>
          <w:szCs w:val="24"/>
        </w:rPr>
        <w:t xml:space="preserve">Recommended </w:t>
      </w:r>
    </w:p>
    <w:p w:rsidR="0072152B" w:rsidRPr="005A2C9B" w:rsidRDefault="0072152B" w:rsidP="001D26BB">
      <w:pPr>
        <w:pStyle w:val="PBACHeading1"/>
        <w:ind w:left="709" w:hanging="709"/>
      </w:pPr>
      <w:r w:rsidRPr="005A2C9B">
        <w:t>Recommended listing</w:t>
      </w:r>
    </w:p>
    <w:p w:rsidR="00271D14" w:rsidRPr="00416C64" w:rsidRDefault="0068176F" w:rsidP="005A2C9B">
      <w:pPr>
        <w:widowControl/>
        <w:numPr>
          <w:ilvl w:val="1"/>
          <w:numId w:val="3"/>
        </w:numPr>
        <w:jc w:val="left"/>
        <w:rPr>
          <w:rFonts w:asciiTheme="minorHAnsi" w:hAnsiTheme="minorHAnsi" w:cstheme="minorHAnsi"/>
          <w:snapToGrid/>
          <w:szCs w:val="24"/>
        </w:rPr>
      </w:pPr>
      <w:r w:rsidRPr="00416C64">
        <w:rPr>
          <w:rFonts w:asciiTheme="minorHAnsi" w:hAnsiTheme="minorHAnsi" w:cstheme="minorHAnsi"/>
          <w:snapToGrid/>
          <w:szCs w:val="24"/>
        </w:rPr>
        <w:t>Amend</w:t>
      </w:r>
      <w:r w:rsidR="00271D14" w:rsidRPr="00416C64">
        <w:rPr>
          <w:rFonts w:asciiTheme="minorHAnsi" w:hAnsiTheme="minorHAnsi" w:cstheme="minorHAnsi"/>
          <w:snapToGrid/>
          <w:szCs w:val="24"/>
        </w:rPr>
        <w:t xml:space="preserve"> existing listing as follows:</w:t>
      </w:r>
      <w:r w:rsidR="00271D14" w:rsidRPr="00416C64">
        <w:rPr>
          <w:rFonts w:asciiTheme="minorHAnsi" w:hAnsiTheme="minorHAnsi" w:cstheme="minorHAnsi"/>
          <w:snapToGrid/>
          <w:szCs w:val="24"/>
        </w:rPr>
        <w:br/>
      </w:r>
      <w:r w:rsidR="00271D14" w:rsidRPr="00416C64">
        <w:rPr>
          <w:rFonts w:asciiTheme="minorHAnsi" w:hAnsiTheme="minorHAnsi" w:cstheme="minorHAnsi"/>
          <w:highlight w:val="yellow"/>
        </w:rPr>
        <w:t xml:space="preserve"> </w:t>
      </w:r>
    </w:p>
    <w:tbl>
      <w:tblPr>
        <w:tblW w:w="5000" w:type="pct"/>
        <w:tblInd w:w="28" w:type="dxa"/>
        <w:tblLayout w:type="fixed"/>
        <w:tblCellMar>
          <w:left w:w="28" w:type="dxa"/>
          <w:right w:w="28" w:type="dxa"/>
        </w:tblCellMar>
        <w:tblLook w:val="0000" w:firstRow="0" w:lastRow="0" w:firstColumn="0" w:lastColumn="0" w:noHBand="0" w:noVBand="0"/>
      </w:tblPr>
      <w:tblGrid>
        <w:gridCol w:w="3373"/>
        <w:gridCol w:w="1134"/>
        <w:gridCol w:w="710"/>
        <w:gridCol w:w="1275"/>
        <w:gridCol w:w="2535"/>
      </w:tblGrid>
      <w:tr w:rsidR="007D0B8A" w:rsidRPr="00416C64" w:rsidTr="007D0B8A">
        <w:trPr>
          <w:trHeight w:val="463"/>
        </w:trPr>
        <w:tc>
          <w:tcPr>
            <w:tcW w:w="1869" w:type="pct"/>
            <w:tcBorders>
              <w:top w:val="single" w:sz="4" w:space="0" w:color="auto"/>
              <w:bottom w:val="single" w:sz="4" w:space="0" w:color="auto"/>
            </w:tcBorders>
            <w:vAlign w:val="center"/>
          </w:tcPr>
          <w:p w:rsidR="007D0B8A" w:rsidRPr="00416C64" w:rsidRDefault="007D0B8A" w:rsidP="005A2C9B">
            <w:pPr>
              <w:keepNext/>
              <w:widowControl/>
              <w:rPr>
                <w:rFonts w:ascii="Arial Narrow" w:hAnsi="Arial Narrow"/>
                <w:b/>
                <w:sz w:val="20"/>
              </w:rPr>
            </w:pPr>
            <w:r w:rsidRPr="00416C64">
              <w:rPr>
                <w:rFonts w:ascii="Arial Narrow" w:hAnsi="Arial Narrow"/>
                <w:b/>
                <w:sz w:val="20"/>
              </w:rPr>
              <w:t>Name, Restriction,</w:t>
            </w:r>
          </w:p>
          <w:p w:rsidR="007D0B8A" w:rsidRPr="00416C64" w:rsidRDefault="007D0B8A" w:rsidP="005A2C9B">
            <w:pPr>
              <w:keepNext/>
              <w:widowControl/>
              <w:rPr>
                <w:rFonts w:ascii="Arial Narrow" w:hAnsi="Arial Narrow"/>
                <w:b/>
                <w:sz w:val="20"/>
              </w:rPr>
            </w:pPr>
            <w:r w:rsidRPr="00416C64">
              <w:rPr>
                <w:rFonts w:ascii="Arial Narrow" w:hAnsi="Arial Narrow"/>
                <w:b/>
                <w:sz w:val="20"/>
              </w:rPr>
              <w:t>Manner of administration and form</w:t>
            </w:r>
          </w:p>
        </w:tc>
        <w:tc>
          <w:tcPr>
            <w:tcW w:w="628" w:type="pct"/>
            <w:tcBorders>
              <w:top w:val="single" w:sz="4" w:space="0" w:color="auto"/>
              <w:bottom w:val="single" w:sz="4" w:space="0" w:color="auto"/>
            </w:tcBorders>
            <w:vAlign w:val="center"/>
          </w:tcPr>
          <w:p w:rsidR="007D0B8A" w:rsidRPr="00416C64" w:rsidRDefault="007D0B8A" w:rsidP="005A2C9B">
            <w:pPr>
              <w:keepNext/>
              <w:widowControl/>
              <w:jc w:val="center"/>
              <w:rPr>
                <w:rFonts w:ascii="Arial Narrow" w:hAnsi="Arial Narrow"/>
                <w:b/>
                <w:sz w:val="20"/>
              </w:rPr>
            </w:pPr>
            <w:r w:rsidRPr="00416C64">
              <w:rPr>
                <w:rFonts w:ascii="Arial Narrow" w:hAnsi="Arial Narrow"/>
                <w:b/>
                <w:sz w:val="20"/>
              </w:rPr>
              <w:t>Max.</w:t>
            </w:r>
          </w:p>
          <w:p w:rsidR="007D0B8A" w:rsidRPr="00416C64" w:rsidRDefault="007D0B8A" w:rsidP="005A2C9B">
            <w:pPr>
              <w:keepNext/>
              <w:widowControl/>
              <w:jc w:val="center"/>
              <w:rPr>
                <w:rFonts w:ascii="Arial Narrow" w:hAnsi="Arial Narrow"/>
                <w:b/>
                <w:sz w:val="20"/>
              </w:rPr>
            </w:pPr>
            <w:proofErr w:type="spellStart"/>
            <w:r w:rsidRPr="00416C64">
              <w:rPr>
                <w:rFonts w:ascii="Arial Narrow" w:hAnsi="Arial Narrow"/>
                <w:b/>
                <w:sz w:val="20"/>
              </w:rPr>
              <w:t>Qty</w:t>
            </w:r>
            <w:proofErr w:type="spellEnd"/>
            <w:r w:rsidRPr="00416C64">
              <w:rPr>
                <w:rFonts w:ascii="Arial Narrow" w:hAnsi="Arial Narrow"/>
                <w:b/>
                <w:sz w:val="20"/>
              </w:rPr>
              <w:t xml:space="preserve"> (packs)</w:t>
            </w:r>
          </w:p>
        </w:tc>
        <w:tc>
          <w:tcPr>
            <w:tcW w:w="393" w:type="pct"/>
            <w:tcBorders>
              <w:top w:val="single" w:sz="4" w:space="0" w:color="auto"/>
              <w:bottom w:val="single" w:sz="4" w:space="0" w:color="auto"/>
            </w:tcBorders>
            <w:vAlign w:val="center"/>
          </w:tcPr>
          <w:p w:rsidR="007D0B8A" w:rsidRPr="00416C64" w:rsidRDefault="007D0B8A" w:rsidP="005A2C9B">
            <w:pPr>
              <w:keepNext/>
              <w:widowControl/>
              <w:jc w:val="center"/>
              <w:rPr>
                <w:rFonts w:ascii="Arial Narrow" w:hAnsi="Arial Narrow"/>
                <w:b/>
                <w:sz w:val="20"/>
              </w:rPr>
            </w:pPr>
            <w:r w:rsidRPr="00416C64">
              <w:rPr>
                <w:rFonts w:ascii="Arial Narrow" w:hAnsi="Arial Narrow"/>
                <w:b/>
                <w:sz w:val="20"/>
              </w:rPr>
              <w:t xml:space="preserve">Max </w:t>
            </w:r>
            <w:proofErr w:type="spellStart"/>
            <w:r w:rsidRPr="00416C64">
              <w:rPr>
                <w:rFonts w:ascii="Arial Narrow" w:hAnsi="Arial Narrow"/>
                <w:b/>
                <w:sz w:val="20"/>
              </w:rPr>
              <w:t>Qty</w:t>
            </w:r>
            <w:proofErr w:type="spellEnd"/>
            <w:r w:rsidRPr="00416C64">
              <w:rPr>
                <w:rFonts w:ascii="Arial Narrow" w:hAnsi="Arial Narrow"/>
                <w:b/>
                <w:sz w:val="20"/>
              </w:rPr>
              <w:t xml:space="preserve"> (units)</w:t>
            </w:r>
          </w:p>
        </w:tc>
        <w:tc>
          <w:tcPr>
            <w:tcW w:w="706" w:type="pct"/>
            <w:tcBorders>
              <w:top w:val="single" w:sz="4" w:space="0" w:color="auto"/>
              <w:bottom w:val="single" w:sz="4" w:space="0" w:color="auto"/>
            </w:tcBorders>
            <w:vAlign w:val="center"/>
          </w:tcPr>
          <w:p w:rsidR="007D0B8A" w:rsidRPr="00416C64" w:rsidRDefault="007D0B8A" w:rsidP="005A2C9B">
            <w:pPr>
              <w:keepNext/>
              <w:widowControl/>
              <w:jc w:val="center"/>
              <w:rPr>
                <w:rFonts w:ascii="Arial Narrow" w:hAnsi="Arial Narrow"/>
                <w:b/>
                <w:sz w:val="20"/>
              </w:rPr>
            </w:pPr>
            <w:r w:rsidRPr="00416C64">
              <w:rPr>
                <w:rFonts w:ascii="Arial Narrow" w:hAnsi="Arial Narrow"/>
                <w:b/>
                <w:sz w:val="20"/>
              </w:rPr>
              <w:t>№.of</w:t>
            </w:r>
          </w:p>
          <w:p w:rsidR="007D0B8A" w:rsidRPr="00416C64" w:rsidRDefault="007D0B8A" w:rsidP="005A2C9B">
            <w:pPr>
              <w:keepNext/>
              <w:widowControl/>
              <w:jc w:val="center"/>
              <w:rPr>
                <w:rFonts w:ascii="Arial Narrow" w:hAnsi="Arial Narrow"/>
                <w:b/>
                <w:sz w:val="20"/>
              </w:rPr>
            </w:pPr>
            <w:proofErr w:type="spellStart"/>
            <w:r w:rsidRPr="00416C64">
              <w:rPr>
                <w:rFonts w:ascii="Arial Narrow" w:hAnsi="Arial Narrow"/>
                <w:b/>
                <w:sz w:val="20"/>
              </w:rPr>
              <w:t>Rpts</w:t>
            </w:r>
            <w:proofErr w:type="spellEnd"/>
          </w:p>
        </w:tc>
        <w:tc>
          <w:tcPr>
            <w:tcW w:w="1404" w:type="pct"/>
            <w:tcBorders>
              <w:top w:val="single" w:sz="4" w:space="0" w:color="auto"/>
              <w:bottom w:val="single" w:sz="4" w:space="0" w:color="auto"/>
            </w:tcBorders>
            <w:vAlign w:val="center"/>
          </w:tcPr>
          <w:p w:rsidR="007D0B8A" w:rsidRPr="00416C64" w:rsidRDefault="007D0B8A" w:rsidP="005A2C9B">
            <w:pPr>
              <w:keepNext/>
              <w:widowControl/>
              <w:jc w:val="left"/>
              <w:rPr>
                <w:rFonts w:ascii="Arial Narrow" w:hAnsi="Arial Narrow"/>
                <w:b/>
                <w:sz w:val="20"/>
              </w:rPr>
            </w:pPr>
            <w:r w:rsidRPr="00416C64">
              <w:rPr>
                <w:rFonts w:ascii="Arial Narrow" w:hAnsi="Arial Narrow"/>
                <w:b/>
                <w:sz w:val="20"/>
              </w:rPr>
              <w:t>Proprietary Name and Manufacturer</w:t>
            </w:r>
          </w:p>
        </w:tc>
      </w:tr>
      <w:tr w:rsidR="007D0B8A" w:rsidRPr="00416C64" w:rsidTr="007D0B8A">
        <w:trPr>
          <w:trHeight w:val="567"/>
        </w:trPr>
        <w:tc>
          <w:tcPr>
            <w:tcW w:w="1869" w:type="pct"/>
            <w:vAlign w:val="center"/>
          </w:tcPr>
          <w:p w:rsidR="007D0B8A" w:rsidRPr="00416C64" w:rsidRDefault="007D0B8A" w:rsidP="005A2C9B">
            <w:pPr>
              <w:keepNext/>
              <w:widowControl/>
              <w:jc w:val="left"/>
              <w:rPr>
                <w:rFonts w:ascii="Arial Narrow" w:hAnsi="Arial Narrow"/>
                <w:sz w:val="20"/>
              </w:rPr>
            </w:pPr>
            <w:r w:rsidRPr="00416C64">
              <w:rPr>
                <w:rFonts w:ascii="Arial Narrow" w:hAnsi="Arial Narrow"/>
                <w:smallCaps/>
                <w:sz w:val="20"/>
              </w:rPr>
              <w:t xml:space="preserve">Fluticasone </w:t>
            </w:r>
            <w:proofErr w:type="spellStart"/>
            <w:r w:rsidRPr="00416C64">
              <w:rPr>
                <w:rFonts w:ascii="Arial Narrow" w:hAnsi="Arial Narrow"/>
                <w:smallCaps/>
                <w:sz w:val="20"/>
              </w:rPr>
              <w:t>furoate</w:t>
            </w:r>
            <w:proofErr w:type="spellEnd"/>
            <w:r w:rsidRPr="00416C64">
              <w:rPr>
                <w:rFonts w:ascii="Arial Narrow" w:hAnsi="Arial Narrow"/>
                <w:smallCaps/>
                <w:sz w:val="20"/>
              </w:rPr>
              <w:t xml:space="preserve"> + </w:t>
            </w:r>
            <w:proofErr w:type="spellStart"/>
            <w:r w:rsidRPr="00416C64">
              <w:rPr>
                <w:rFonts w:ascii="Arial Narrow" w:hAnsi="Arial Narrow"/>
                <w:smallCaps/>
                <w:sz w:val="20"/>
              </w:rPr>
              <w:t>umeclidinium</w:t>
            </w:r>
            <w:proofErr w:type="spellEnd"/>
            <w:r w:rsidRPr="00416C64">
              <w:rPr>
                <w:rFonts w:ascii="Arial Narrow" w:hAnsi="Arial Narrow"/>
                <w:smallCaps/>
                <w:sz w:val="20"/>
              </w:rPr>
              <w:t xml:space="preserve"> + </w:t>
            </w:r>
            <w:proofErr w:type="spellStart"/>
            <w:r w:rsidRPr="00416C64">
              <w:rPr>
                <w:rFonts w:ascii="Arial Narrow" w:hAnsi="Arial Narrow"/>
                <w:smallCaps/>
                <w:sz w:val="20"/>
              </w:rPr>
              <w:t>vilanterol</w:t>
            </w:r>
            <w:proofErr w:type="spellEnd"/>
            <w:r w:rsidRPr="00416C64">
              <w:rPr>
                <w:rFonts w:ascii="Arial Narrow" w:hAnsi="Arial Narrow"/>
                <w:smallCaps/>
                <w:sz w:val="20"/>
              </w:rPr>
              <w:t xml:space="preserve">, </w:t>
            </w:r>
            <w:r w:rsidRPr="00416C64">
              <w:rPr>
                <w:rFonts w:ascii="Arial Narrow" w:hAnsi="Arial Narrow"/>
                <w:smallCaps/>
                <w:sz w:val="20"/>
              </w:rPr>
              <w:br/>
            </w:r>
            <w:r w:rsidRPr="00416C64">
              <w:rPr>
                <w:rFonts w:ascii="Arial Narrow" w:hAnsi="Arial Narrow"/>
                <w:sz w:val="20"/>
              </w:rPr>
              <w:t xml:space="preserve">Fluticasone </w:t>
            </w:r>
            <w:proofErr w:type="spellStart"/>
            <w:r w:rsidRPr="00416C64">
              <w:rPr>
                <w:rFonts w:ascii="Arial Narrow" w:hAnsi="Arial Narrow"/>
                <w:sz w:val="20"/>
              </w:rPr>
              <w:t>furoate</w:t>
            </w:r>
            <w:proofErr w:type="spellEnd"/>
            <w:r w:rsidRPr="00416C64">
              <w:rPr>
                <w:rFonts w:ascii="Arial Narrow" w:hAnsi="Arial Narrow"/>
                <w:sz w:val="20"/>
              </w:rPr>
              <w:t xml:space="preserve"> 100 microgram/actuation + </w:t>
            </w:r>
            <w:proofErr w:type="spellStart"/>
            <w:r w:rsidRPr="00416C64">
              <w:rPr>
                <w:rFonts w:ascii="Arial Narrow" w:hAnsi="Arial Narrow"/>
                <w:sz w:val="20"/>
              </w:rPr>
              <w:t>umeclidinium</w:t>
            </w:r>
            <w:proofErr w:type="spellEnd"/>
            <w:r w:rsidRPr="00416C64">
              <w:rPr>
                <w:rFonts w:ascii="Arial Narrow" w:hAnsi="Arial Narrow"/>
                <w:sz w:val="20"/>
              </w:rPr>
              <w:t xml:space="preserve"> 62.5 microgram/actuation + </w:t>
            </w:r>
            <w:proofErr w:type="spellStart"/>
            <w:r w:rsidRPr="00416C64">
              <w:rPr>
                <w:rFonts w:ascii="Arial Narrow" w:hAnsi="Arial Narrow"/>
                <w:sz w:val="20"/>
              </w:rPr>
              <w:t>vilanterol</w:t>
            </w:r>
            <w:proofErr w:type="spellEnd"/>
            <w:r w:rsidRPr="00416C64">
              <w:rPr>
                <w:rFonts w:ascii="Arial Narrow" w:hAnsi="Arial Narrow"/>
                <w:sz w:val="20"/>
              </w:rPr>
              <w:t xml:space="preserve"> 25 microgram/actuation powder for inhalation</w:t>
            </w:r>
            <w:r w:rsidRPr="00416C64">
              <w:rPr>
                <w:rFonts w:ascii="Arial Narrow" w:hAnsi="Arial Narrow"/>
                <w:smallCaps/>
                <w:sz w:val="20"/>
              </w:rPr>
              <w:t>, 30 actuations</w:t>
            </w:r>
          </w:p>
        </w:tc>
        <w:tc>
          <w:tcPr>
            <w:tcW w:w="628" w:type="pct"/>
            <w:vAlign w:val="center"/>
          </w:tcPr>
          <w:p w:rsidR="007D0B8A" w:rsidRPr="00416C64" w:rsidRDefault="007D0B8A" w:rsidP="005A2C9B">
            <w:pPr>
              <w:keepNext/>
              <w:widowControl/>
              <w:jc w:val="center"/>
              <w:rPr>
                <w:rFonts w:ascii="Arial Narrow" w:hAnsi="Arial Narrow"/>
                <w:sz w:val="20"/>
              </w:rPr>
            </w:pPr>
            <w:r w:rsidRPr="00416C64">
              <w:rPr>
                <w:rFonts w:ascii="Arial Narrow" w:hAnsi="Arial Narrow"/>
                <w:sz w:val="20"/>
              </w:rPr>
              <w:t>1</w:t>
            </w:r>
          </w:p>
        </w:tc>
        <w:tc>
          <w:tcPr>
            <w:tcW w:w="393" w:type="pct"/>
            <w:vAlign w:val="center"/>
          </w:tcPr>
          <w:p w:rsidR="007D0B8A" w:rsidRPr="00416C64" w:rsidRDefault="007D0B8A" w:rsidP="005A2C9B">
            <w:pPr>
              <w:keepNext/>
              <w:widowControl/>
              <w:jc w:val="center"/>
              <w:rPr>
                <w:rFonts w:ascii="Arial Narrow" w:hAnsi="Arial Narrow"/>
                <w:sz w:val="20"/>
              </w:rPr>
            </w:pPr>
            <w:r w:rsidRPr="00416C64">
              <w:rPr>
                <w:rFonts w:ascii="Arial Narrow" w:hAnsi="Arial Narrow"/>
                <w:sz w:val="20"/>
              </w:rPr>
              <w:t>1</w:t>
            </w:r>
          </w:p>
        </w:tc>
        <w:tc>
          <w:tcPr>
            <w:tcW w:w="706" w:type="pct"/>
            <w:vAlign w:val="center"/>
          </w:tcPr>
          <w:p w:rsidR="007D0B8A" w:rsidRPr="00416C64" w:rsidRDefault="007D0B8A" w:rsidP="005A2C9B">
            <w:pPr>
              <w:keepNext/>
              <w:widowControl/>
              <w:jc w:val="center"/>
              <w:rPr>
                <w:rFonts w:ascii="Arial Narrow" w:hAnsi="Arial Narrow"/>
                <w:sz w:val="20"/>
              </w:rPr>
            </w:pPr>
            <w:r w:rsidRPr="00416C64">
              <w:rPr>
                <w:rFonts w:ascii="Arial Narrow" w:hAnsi="Arial Narrow"/>
                <w:sz w:val="20"/>
              </w:rPr>
              <w:t>5</w:t>
            </w:r>
          </w:p>
        </w:tc>
        <w:tc>
          <w:tcPr>
            <w:tcW w:w="1404" w:type="pct"/>
            <w:vAlign w:val="center"/>
          </w:tcPr>
          <w:p w:rsidR="007D0B8A" w:rsidRPr="00416C64" w:rsidRDefault="007D0B8A" w:rsidP="005A2C9B">
            <w:pPr>
              <w:keepNext/>
              <w:widowControl/>
              <w:jc w:val="center"/>
              <w:rPr>
                <w:rFonts w:ascii="Arial Narrow" w:hAnsi="Arial Narrow"/>
                <w:sz w:val="20"/>
              </w:rPr>
            </w:pPr>
          </w:p>
          <w:p w:rsidR="007D0B8A" w:rsidRPr="00416C64" w:rsidRDefault="007D0B8A" w:rsidP="005A2C9B">
            <w:pPr>
              <w:keepNext/>
              <w:widowControl/>
              <w:rPr>
                <w:rFonts w:ascii="Arial Narrow" w:hAnsi="Arial Narrow"/>
                <w:sz w:val="20"/>
              </w:rPr>
            </w:pPr>
            <w:r w:rsidRPr="00416C64">
              <w:rPr>
                <w:rFonts w:ascii="Arial Narrow" w:hAnsi="Arial Narrow"/>
                <w:sz w:val="20"/>
              </w:rPr>
              <w:t xml:space="preserve">Trelegy® </w:t>
            </w:r>
            <w:proofErr w:type="spellStart"/>
            <w:r w:rsidRPr="00416C64">
              <w:rPr>
                <w:rFonts w:ascii="Arial Narrow" w:hAnsi="Arial Narrow"/>
                <w:sz w:val="20"/>
              </w:rPr>
              <w:t>Ellipta</w:t>
            </w:r>
            <w:proofErr w:type="spellEnd"/>
            <w:r w:rsidRPr="00416C64">
              <w:rPr>
                <w:rFonts w:ascii="Arial Narrow" w:hAnsi="Arial Narrow"/>
                <w:sz w:val="20"/>
              </w:rPr>
              <w:t>®</w:t>
            </w:r>
          </w:p>
          <w:p w:rsidR="007D0B8A" w:rsidRPr="00416C64" w:rsidRDefault="007D0B8A" w:rsidP="005A2C9B">
            <w:pPr>
              <w:keepNext/>
              <w:widowControl/>
              <w:rPr>
                <w:rFonts w:ascii="Arial Narrow" w:hAnsi="Arial Narrow"/>
                <w:sz w:val="20"/>
              </w:rPr>
            </w:pPr>
            <w:r w:rsidRPr="00416C64">
              <w:rPr>
                <w:rFonts w:ascii="Arial Narrow" w:hAnsi="Arial Narrow"/>
                <w:sz w:val="20"/>
              </w:rPr>
              <w:t>GSK</w:t>
            </w:r>
          </w:p>
        </w:tc>
      </w:tr>
    </w:tbl>
    <w:p w:rsidR="00271D14" w:rsidRPr="00416C64" w:rsidRDefault="00271D14" w:rsidP="005A2C9B">
      <w:pPr>
        <w:widowControl/>
        <w:rPr>
          <w:rFonts w:asciiTheme="minorHAnsi" w:hAnsiTheme="minorHAnsi" w:cstheme="minorHAnsi"/>
        </w:rPr>
      </w:pPr>
    </w:p>
    <w:tbl>
      <w:tblPr>
        <w:tblStyle w:val="TableGrid"/>
        <w:tblW w:w="5000" w:type="pct"/>
        <w:tblLook w:val="04A0" w:firstRow="1" w:lastRow="0" w:firstColumn="1" w:lastColumn="0" w:noHBand="0" w:noVBand="1"/>
        <w:tblCaption w:val="Recommended PBS listing "/>
      </w:tblPr>
      <w:tblGrid>
        <w:gridCol w:w="2842"/>
        <w:gridCol w:w="6175"/>
      </w:tblGrid>
      <w:tr w:rsidR="00271D14" w:rsidRPr="00416C64" w:rsidTr="001D26BB">
        <w:trPr>
          <w:tblHeader/>
        </w:trPr>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Category / Program</w:t>
            </w:r>
          </w:p>
        </w:tc>
        <w:tc>
          <w:tcPr>
            <w:tcW w:w="3424" w:type="pct"/>
          </w:tcPr>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t>GENERAL – General Schedule (Code GE)</w:t>
            </w:r>
          </w:p>
        </w:tc>
      </w:tr>
      <w:tr w:rsidR="00271D14" w:rsidRPr="00416C64" w:rsidTr="00BA64A9">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Prescriber type:</w:t>
            </w:r>
          </w:p>
        </w:tc>
        <w:tc>
          <w:tcPr>
            <w:tcW w:w="3424" w:type="pct"/>
          </w:tcPr>
          <w:p w:rsidR="007D0B8A"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Check1"/>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Dental </w:t>
            </w:r>
            <w:r w:rsidRPr="00BA64A9">
              <w:rPr>
                <w:rFonts w:ascii="Arial Narrow" w:hAnsi="Arial Narrow"/>
                <w:bCs/>
                <w:sz w:val="20"/>
                <w:szCs w:val="20"/>
              </w:rPr>
              <w:fldChar w:fldCharType="begin">
                <w:ffData>
                  <w:name w:val=""/>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Medical Practitioners </w:t>
            </w:r>
            <w:r w:rsidRPr="00BA64A9">
              <w:rPr>
                <w:rFonts w:ascii="Arial Narrow" w:hAnsi="Arial Narrow"/>
                <w:bCs/>
                <w:sz w:val="20"/>
                <w:szCs w:val="20"/>
              </w:rPr>
              <w:fldChar w:fldCharType="begin">
                <w:ffData>
                  <w:name w:val=""/>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Nurse Practitioners </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Optometrists</w:t>
            </w:r>
            <w:r w:rsidR="007D0B8A" w:rsidRPr="00BA64A9">
              <w:rPr>
                <w:rFonts w:ascii="Arial Narrow" w:hAnsi="Arial Narrow"/>
                <w:bCs/>
                <w:sz w:val="20"/>
                <w:szCs w:val="20"/>
              </w:rPr>
              <w:t xml:space="preserve"> </w:t>
            </w: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Midwives</w:t>
            </w:r>
          </w:p>
        </w:tc>
      </w:tr>
      <w:tr w:rsidR="00271D14" w:rsidRPr="00416C64" w:rsidTr="00BA64A9">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PBS Indication:</w:t>
            </w:r>
          </w:p>
        </w:tc>
        <w:tc>
          <w:tcPr>
            <w:tcW w:w="3424" w:type="pct"/>
          </w:tcPr>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t>Chronic Obstructive Pulmonary Disease (COPD)</w:t>
            </w:r>
          </w:p>
        </w:tc>
      </w:tr>
      <w:tr w:rsidR="00271D14" w:rsidRPr="00416C64" w:rsidTr="00BA64A9">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Restriction Level / Method:</w:t>
            </w:r>
          </w:p>
        </w:tc>
        <w:tc>
          <w:tcPr>
            <w:tcW w:w="3424" w:type="pct"/>
          </w:tcPr>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Check1"/>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Restricted benefit</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In Writing</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Check3"/>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Telephone</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Emergency</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lastRenderedPageBreak/>
              <w:fldChar w:fldCharType="begin">
                <w:ffData>
                  <w:name w:val="Check5"/>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Electronic</w:t>
            </w:r>
          </w:p>
          <w:p w:rsidR="00271D14" w:rsidRPr="00BA64A9" w:rsidRDefault="00271D14" w:rsidP="005A2C9B">
            <w:pPr>
              <w:widowControl/>
              <w:tabs>
                <w:tab w:val="left" w:pos="1134"/>
              </w:tabs>
              <w:spacing w:before="60" w:after="40"/>
              <w:ind w:left="221" w:right="221"/>
              <w:rPr>
                <w:rFonts w:ascii="Arial Narrow" w:hAnsi="Arial Narrow"/>
                <w:bCs/>
                <w:sz w:val="20"/>
                <w:szCs w:val="20"/>
              </w:rPr>
            </w:pPr>
            <w:r w:rsidRPr="00BA64A9">
              <w:rPr>
                <w:rFonts w:ascii="Arial Narrow" w:hAnsi="Arial Narrow"/>
                <w:bCs/>
                <w:sz w:val="20"/>
                <w:szCs w:val="20"/>
              </w:rPr>
              <w:fldChar w:fldCharType="begin">
                <w:ffData>
                  <w:name w:val="Check5"/>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Streamlined</w:t>
            </w:r>
          </w:p>
        </w:tc>
      </w:tr>
      <w:tr w:rsidR="00271D14" w:rsidRPr="00416C64" w:rsidTr="00BA64A9">
        <w:trPr>
          <w:trHeight w:val="1154"/>
        </w:trPr>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lastRenderedPageBreak/>
              <w:t>Clinical criteria:</w:t>
            </w:r>
          </w:p>
        </w:tc>
        <w:tc>
          <w:tcPr>
            <w:tcW w:w="3424" w:type="pct"/>
          </w:tcPr>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br/>
              <w:t xml:space="preserve">Patient must have experienced at least one severe COPD exacerbation, which required hospitalisation, or two or more moderate exacerbations in the previous 12 months, </w:t>
            </w:r>
            <w:r w:rsidR="007745BF" w:rsidRPr="00BA64A9">
              <w:rPr>
                <w:rFonts w:ascii="Arial Narrow" w:hAnsi="Arial Narrow"/>
                <w:bCs/>
                <w:sz w:val="20"/>
                <w:szCs w:val="20"/>
              </w:rPr>
              <w:t xml:space="preserve">with significant symptoms </w:t>
            </w:r>
            <w:r w:rsidRPr="00BA64A9">
              <w:rPr>
                <w:rFonts w:ascii="Arial Narrow" w:hAnsi="Arial Narrow"/>
                <w:bCs/>
                <w:sz w:val="20"/>
                <w:szCs w:val="20"/>
              </w:rPr>
              <w:t xml:space="preserve">despite regular bronchodilator therapy with a long acting muscarinic antagonist (LAMA) and a long acting beta-2 agonist (LABA) or an inhaled corticosteroid (ICS) and a LABA; </w:t>
            </w:r>
          </w:p>
          <w:p w:rsidR="00271D14" w:rsidRPr="00BA64A9" w:rsidRDefault="007745BF"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OR</w:t>
            </w:r>
            <w:r w:rsidR="00271D14" w:rsidRPr="00BA64A9">
              <w:rPr>
                <w:rFonts w:ascii="Arial Narrow" w:hAnsi="Arial Narrow"/>
                <w:bCs/>
                <w:sz w:val="20"/>
                <w:szCs w:val="20"/>
              </w:rPr>
              <w:br/>
              <w:t xml:space="preserve">Patient must have been stabilised on a combination of a LAMA, LABA </w:t>
            </w:r>
            <w:r w:rsidR="00271D14" w:rsidRPr="00BA64A9">
              <w:rPr>
                <w:rFonts w:ascii="Arial Narrow" w:hAnsi="Arial Narrow"/>
                <w:bCs/>
                <w:sz w:val="20"/>
                <w:szCs w:val="20"/>
              </w:rPr>
              <w:br/>
              <w:t xml:space="preserve">and an ICS for this condition. </w:t>
            </w:r>
            <w:r w:rsidR="00271D14" w:rsidRPr="00BA64A9">
              <w:rPr>
                <w:rFonts w:ascii="Arial Narrow" w:hAnsi="Arial Narrow"/>
                <w:bCs/>
                <w:sz w:val="20"/>
                <w:szCs w:val="20"/>
              </w:rPr>
              <w:br/>
            </w:r>
          </w:p>
        </w:tc>
      </w:tr>
      <w:tr w:rsidR="00271D14" w:rsidRPr="00416C64" w:rsidTr="00BA64A9">
        <w:tc>
          <w:tcPr>
            <w:tcW w:w="1576" w:type="pct"/>
            <w:shd w:val="clear" w:color="auto" w:fill="auto"/>
          </w:tcPr>
          <w:p w:rsidR="00271D14" w:rsidRPr="00BA64A9" w:rsidRDefault="00271D14"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Administrative Advice</w:t>
            </w:r>
          </w:p>
        </w:tc>
        <w:tc>
          <w:tcPr>
            <w:tcW w:w="3424" w:type="pct"/>
          </w:tcPr>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Formal assessment and correction of inhaler technique should be performed in accordance with the COPD-X Plan (available at </w:t>
            </w:r>
            <w:r w:rsidRPr="00BA64A9">
              <w:rPr>
                <w:rFonts w:ascii="Arial Narrow" w:hAnsi="Arial Narrow"/>
                <w:bCs/>
                <w:sz w:val="20"/>
                <w:szCs w:val="20"/>
                <w:u w:val="single"/>
              </w:rPr>
              <w:t>http://copdx.org.au/</w:t>
            </w:r>
            <w:r w:rsidRPr="00BA64A9">
              <w:rPr>
                <w:rFonts w:ascii="Arial Narrow" w:hAnsi="Arial Narrow"/>
                <w:bCs/>
                <w:sz w:val="20"/>
                <w:szCs w:val="20"/>
              </w:rPr>
              <w:t xml:space="preserve">); the assessment and adherence to correct technique should be documented in the patient’s medical records. </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p>
          <w:p w:rsidR="00271D14" w:rsidRPr="00BA64A9" w:rsidRDefault="000D5538"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Diagnosis of COPD should include measurement of airflow obstruction using spirometry, with confirmation of post-bronchodilator airflow obstruction. </w:t>
            </w:r>
          </w:p>
          <w:p w:rsidR="00F133E7" w:rsidRPr="00BA64A9" w:rsidRDefault="00F133E7" w:rsidP="005A2C9B">
            <w:pPr>
              <w:widowControl/>
              <w:tabs>
                <w:tab w:val="left" w:pos="1134"/>
              </w:tabs>
              <w:spacing w:before="60" w:after="40"/>
              <w:ind w:left="221" w:right="221"/>
              <w:jc w:val="left"/>
              <w:rPr>
                <w:rFonts w:ascii="Arial Narrow" w:hAnsi="Arial Narrow"/>
                <w:bCs/>
                <w:sz w:val="20"/>
                <w:szCs w:val="20"/>
              </w:rPr>
            </w:pP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This product is not PBS-subsidised for the treatment of asthma or the initiation of bronchodilator therapy in COPD.</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The treatment must not be used in combination with an ICS/LABA, LABA/LAMA or LAMA, LABA or ICS monotherapy.</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A LAMA includes </w:t>
            </w:r>
            <w:proofErr w:type="spellStart"/>
            <w:r w:rsidRPr="00BA64A9">
              <w:rPr>
                <w:rFonts w:ascii="Arial Narrow" w:hAnsi="Arial Narrow"/>
                <w:bCs/>
                <w:sz w:val="20"/>
                <w:szCs w:val="20"/>
              </w:rPr>
              <w:t>tiotropium</w:t>
            </w:r>
            <w:proofErr w:type="spellEnd"/>
            <w:r w:rsidRPr="00BA64A9">
              <w:rPr>
                <w:rFonts w:ascii="Arial Narrow" w:hAnsi="Arial Narrow"/>
                <w:bCs/>
                <w:sz w:val="20"/>
                <w:szCs w:val="20"/>
              </w:rPr>
              <w:t xml:space="preserve">, </w:t>
            </w:r>
            <w:proofErr w:type="spellStart"/>
            <w:r w:rsidRPr="00BA64A9">
              <w:rPr>
                <w:rFonts w:ascii="Arial Narrow" w:hAnsi="Arial Narrow"/>
                <w:bCs/>
                <w:sz w:val="20"/>
                <w:szCs w:val="20"/>
              </w:rPr>
              <w:t>glycopyrronium</w:t>
            </w:r>
            <w:proofErr w:type="spellEnd"/>
            <w:r w:rsidRPr="00BA64A9">
              <w:rPr>
                <w:rFonts w:ascii="Arial Narrow" w:hAnsi="Arial Narrow"/>
                <w:bCs/>
                <w:sz w:val="20"/>
                <w:szCs w:val="20"/>
              </w:rPr>
              <w:t xml:space="preserve">, </w:t>
            </w:r>
            <w:proofErr w:type="spellStart"/>
            <w:r w:rsidRPr="00BA64A9">
              <w:rPr>
                <w:rFonts w:ascii="Arial Narrow" w:hAnsi="Arial Narrow"/>
                <w:bCs/>
                <w:sz w:val="20"/>
                <w:szCs w:val="20"/>
              </w:rPr>
              <w:t>aclidinium</w:t>
            </w:r>
            <w:proofErr w:type="spellEnd"/>
            <w:r w:rsidRPr="00BA64A9">
              <w:rPr>
                <w:rFonts w:ascii="Arial Narrow" w:hAnsi="Arial Narrow"/>
                <w:bCs/>
                <w:sz w:val="20"/>
                <w:szCs w:val="20"/>
              </w:rPr>
              <w:t xml:space="preserve"> or </w:t>
            </w:r>
            <w:proofErr w:type="spellStart"/>
            <w:r w:rsidRPr="00BA64A9">
              <w:rPr>
                <w:rFonts w:ascii="Arial Narrow" w:hAnsi="Arial Narrow"/>
                <w:bCs/>
                <w:sz w:val="20"/>
                <w:szCs w:val="20"/>
              </w:rPr>
              <w:t>umeclidinium</w:t>
            </w:r>
            <w:proofErr w:type="spellEnd"/>
            <w:r w:rsidRPr="00BA64A9">
              <w:rPr>
                <w:rFonts w:ascii="Arial Narrow" w:hAnsi="Arial Narrow"/>
                <w:bCs/>
                <w:sz w:val="20"/>
                <w:szCs w:val="20"/>
              </w:rPr>
              <w:t>.</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A LABA includes olodaterol, </w:t>
            </w:r>
            <w:proofErr w:type="spellStart"/>
            <w:r w:rsidRPr="00BA64A9">
              <w:rPr>
                <w:rFonts w:ascii="Arial Narrow" w:hAnsi="Arial Narrow"/>
                <w:bCs/>
                <w:sz w:val="20"/>
                <w:szCs w:val="20"/>
              </w:rPr>
              <w:t>indacaterol</w:t>
            </w:r>
            <w:proofErr w:type="spellEnd"/>
            <w:r w:rsidRPr="00BA64A9">
              <w:rPr>
                <w:rFonts w:ascii="Arial Narrow" w:hAnsi="Arial Narrow"/>
                <w:bCs/>
                <w:sz w:val="20"/>
                <w:szCs w:val="20"/>
              </w:rPr>
              <w:t xml:space="preserve">, </w:t>
            </w:r>
            <w:proofErr w:type="spellStart"/>
            <w:r w:rsidRPr="00BA64A9">
              <w:rPr>
                <w:rFonts w:ascii="Arial Narrow" w:hAnsi="Arial Narrow"/>
                <w:bCs/>
                <w:sz w:val="20"/>
                <w:szCs w:val="20"/>
              </w:rPr>
              <w:t>salmeterol</w:t>
            </w:r>
            <w:proofErr w:type="spellEnd"/>
            <w:r w:rsidRPr="00BA64A9">
              <w:rPr>
                <w:rFonts w:ascii="Arial Narrow" w:hAnsi="Arial Narrow"/>
                <w:bCs/>
                <w:sz w:val="20"/>
                <w:szCs w:val="20"/>
              </w:rPr>
              <w:t xml:space="preserve">, </w:t>
            </w:r>
            <w:proofErr w:type="spellStart"/>
            <w:r w:rsidRPr="00BA64A9">
              <w:rPr>
                <w:rFonts w:ascii="Arial Narrow" w:hAnsi="Arial Narrow"/>
                <w:bCs/>
                <w:sz w:val="20"/>
                <w:szCs w:val="20"/>
              </w:rPr>
              <w:t>formoterol</w:t>
            </w:r>
            <w:proofErr w:type="spellEnd"/>
            <w:r w:rsidRPr="00BA64A9">
              <w:rPr>
                <w:rFonts w:ascii="Arial Narrow" w:hAnsi="Arial Narrow"/>
                <w:bCs/>
                <w:sz w:val="20"/>
                <w:szCs w:val="20"/>
              </w:rPr>
              <w:t xml:space="preserve"> or </w:t>
            </w:r>
            <w:proofErr w:type="spellStart"/>
            <w:r w:rsidRPr="00BA64A9">
              <w:rPr>
                <w:rFonts w:ascii="Arial Narrow" w:hAnsi="Arial Narrow"/>
                <w:bCs/>
                <w:sz w:val="20"/>
                <w:szCs w:val="20"/>
              </w:rPr>
              <w:t>vilanterol</w:t>
            </w:r>
            <w:proofErr w:type="spellEnd"/>
            <w:r w:rsidRPr="00BA64A9">
              <w:rPr>
                <w:rFonts w:ascii="Arial Narrow" w:hAnsi="Arial Narrow"/>
                <w:bCs/>
                <w:sz w:val="20"/>
                <w:szCs w:val="20"/>
              </w:rPr>
              <w:t xml:space="preserve">. </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An ICS includes fluticasone propionate, fluticasone </w:t>
            </w:r>
            <w:proofErr w:type="spellStart"/>
            <w:r w:rsidRPr="00BA64A9">
              <w:rPr>
                <w:rFonts w:ascii="Arial Narrow" w:hAnsi="Arial Narrow"/>
                <w:bCs/>
                <w:sz w:val="20"/>
                <w:szCs w:val="20"/>
              </w:rPr>
              <w:t>furoate</w:t>
            </w:r>
            <w:proofErr w:type="spellEnd"/>
            <w:r w:rsidRPr="00BA64A9">
              <w:rPr>
                <w:rFonts w:ascii="Arial Narrow" w:hAnsi="Arial Narrow"/>
                <w:bCs/>
                <w:sz w:val="20"/>
                <w:szCs w:val="20"/>
              </w:rPr>
              <w:t xml:space="preserve">, budesonide, </w:t>
            </w:r>
            <w:proofErr w:type="spellStart"/>
            <w:r w:rsidRPr="00BA64A9">
              <w:rPr>
                <w:rFonts w:ascii="Arial Narrow" w:hAnsi="Arial Narrow"/>
                <w:bCs/>
                <w:sz w:val="20"/>
                <w:szCs w:val="20"/>
              </w:rPr>
              <w:t>beclomethasone</w:t>
            </w:r>
            <w:proofErr w:type="spellEnd"/>
            <w:r w:rsidRPr="00BA64A9">
              <w:rPr>
                <w:rFonts w:ascii="Arial Narrow" w:hAnsi="Arial Narrow"/>
                <w:bCs/>
                <w:sz w:val="20"/>
                <w:szCs w:val="20"/>
              </w:rPr>
              <w:t xml:space="preserve"> or </w:t>
            </w:r>
            <w:proofErr w:type="spellStart"/>
            <w:r w:rsidRPr="00BA64A9">
              <w:rPr>
                <w:rFonts w:ascii="Arial Narrow" w:hAnsi="Arial Narrow"/>
                <w:bCs/>
                <w:sz w:val="20"/>
                <w:szCs w:val="20"/>
              </w:rPr>
              <w:t>ciclesonide</w:t>
            </w:r>
            <w:proofErr w:type="spellEnd"/>
            <w:r w:rsidRPr="00BA64A9">
              <w:rPr>
                <w:rFonts w:ascii="Arial Narrow" w:hAnsi="Arial Narrow"/>
                <w:bCs/>
                <w:sz w:val="20"/>
                <w:szCs w:val="20"/>
              </w:rPr>
              <w:t xml:space="preserve">. </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Continuing therapy only:</w:t>
            </w:r>
          </w:p>
          <w:p w:rsidR="00271D14" w:rsidRPr="00BA64A9" w:rsidRDefault="00271D14" w:rsidP="005A2C9B">
            <w:pPr>
              <w:widowControl/>
              <w:tabs>
                <w:tab w:val="left" w:pos="1134"/>
              </w:tabs>
              <w:spacing w:before="60" w:after="40"/>
              <w:ind w:left="221" w:right="221"/>
              <w:jc w:val="left"/>
              <w:rPr>
                <w:rFonts w:ascii="Arial Narrow" w:hAnsi="Arial Narrow"/>
                <w:bCs/>
                <w:sz w:val="20"/>
                <w:szCs w:val="20"/>
              </w:rPr>
            </w:pPr>
            <w:r w:rsidRPr="00BA64A9">
              <w:rPr>
                <w:rFonts w:ascii="Arial Narrow" w:hAnsi="Arial Narrow"/>
                <w:bCs/>
                <w:sz w:val="20"/>
                <w:szCs w:val="20"/>
              </w:rPr>
              <w:t xml:space="preserve">For prescribing by nurse practitioners as continuing therapy only, where the treatment of, and prescribing of a medicine for, a patient has been initiated by a medical practitioner. Further information can be found in the Explanatory Notes for Nurse Practitioners. </w:t>
            </w:r>
          </w:p>
          <w:p w:rsidR="00FD620B" w:rsidRPr="00BA64A9" w:rsidRDefault="00FD620B" w:rsidP="005A2C9B">
            <w:pPr>
              <w:widowControl/>
              <w:tabs>
                <w:tab w:val="left" w:pos="1134"/>
              </w:tabs>
              <w:spacing w:before="60" w:after="40"/>
              <w:ind w:left="221" w:right="221"/>
              <w:jc w:val="left"/>
              <w:rPr>
                <w:rFonts w:ascii="Arial Narrow" w:hAnsi="Arial Narrow"/>
                <w:bCs/>
                <w:sz w:val="20"/>
                <w:szCs w:val="20"/>
              </w:rPr>
            </w:pPr>
          </w:p>
        </w:tc>
      </w:tr>
    </w:tbl>
    <w:p w:rsidR="000A189C" w:rsidRPr="00416C64" w:rsidRDefault="000A189C" w:rsidP="005A2C9B">
      <w:pPr>
        <w:widowControl/>
        <w:jc w:val="left"/>
        <w:rPr>
          <w:b/>
          <w:snapToGrid/>
          <w:sz w:val="32"/>
        </w:rPr>
      </w:pPr>
    </w:p>
    <w:p w:rsidR="000A189C" w:rsidRPr="00BA64A9" w:rsidRDefault="00F133E7" w:rsidP="005A2C9B">
      <w:pPr>
        <w:widowControl/>
        <w:jc w:val="left"/>
        <w:rPr>
          <w:b/>
          <w:snapToGrid/>
          <w:sz w:val="20"/>
        </w:rPr>
      </w:pPr>
      <w:r w:rsidRPr="00416C64">
        <w:rPr>
          <w:rFonts w:asciiTheme="minorHAnsi" w:hAnsiTheme="minorHAnsi" w:cstheme="minorHAnsi"/>
          <w:snapToGrid/>
          <w:szCs w:val="24"/>
        </w:rPr>
        <w:t>8.2</w:t>
      </w:r>
      <w:r w:rsidRPr="00416C64">
        <w:rPr>
          <w:rFonts w:asciiTheme="minorHAnsi" w:hAnsiTheme="minorHAnsi" w:cstheme="minorHAnsi"/>
          <w:snapToGrid/>
          <w:szCs w:val="24"/>
        </w:rPr>
        <w:tab/>
        <w:t>Amend existing listing</w:t>
      </w:r>
      <w:r w:rsidR="004A5D68" w:rsidRPr="00416C64">
        <w:rPr>
          <w:rFonts w:asciiTheme="minorHAnsi" w:hAnsiTheme="minorHAnsi" w:cstheme="minorHAnsi"/>
          <w:snapToGrid/>
          <w:szCs w:val="24"/>
        </w:rPr>
        <w:t>s</w:t>
      </w:r>
      <w:r w:rsidRPr="00416C64">
        <w:rPr>
          <w:rFonts w:asciiTheme="minorHAnsi" w:hAnsiTheme="minorHAnsi" w:cstheme="minorHAnsi"/>
          <w:snapToGrid/>
          <w:szCs w:val="24"/>
        </w:rPr>
        <w:t xml:space="preserve"> for </w:t>
      </w:r>
      <w:r w:rsidR="004A5D68" w:rsidRPr="00416C64">
        <w:rPr>
          <w:rFonts w:asciiTheme="minorHAnsi" w:hAnsiTheme="minorHAnsi" w:cstheme="minorHAnsi"/>
          <w:snapToGrid/>
          <w:szCs w:val="24"/>
        </w:rPr>
        <w:t xml:space="preserve">all </w:t>
      </w:r>
      <w:r w:rsidRPr="00416C64">
        <w:rPr>
          <w:rFonts w:asciiTheme="minorHAnsi" w:hAnsiTheme="minorHAnsi" w:cstheme="minorHAnsi"/>
          <w:snapToGrid/>
          <w:szCs w:val="24"/>
        </w:rPr>
        <w:t xml:space="preserve">ICS/LABA </w:t>
      </w:r>
      <w:r w:rsidR="004A5D68" w:rsidRPr="00416C64">
        <w:rPr>
          <w:rFonts w:asciiTheme="minorHAnsi" w:hAnsiTheme="minorHAnsi" w:cstheme="minorHAnsi"/>
          <w:snapToGrid/>
          <w:szCs w:val="24"/>
        </w:rPr>
        <w:t xml:space="preserve">FDC </w:t>
      </w:r>
      <w:r w:rsidRPr="00416C64">
        <w:rPr>
          <w:rFonts w:asciiTheme="minorHAnsi" w:hAnsiTheme="minorHAnsi" w:cstheme="minorHAnsi"/>
          <w:snapToGrid/>
          <w:szCs w:val="24"/>
        </w:rPr>
        <w:t xml:space="preserve">products </w:t>
      </w:r>
      <w:r w:rsidR="004A5D68" w:rsidRPr="00416C64">
        <w:rPr>
          <w:rFonts w:asciiTheme="minorHAnsi" w:hAnsiTheme="minorHAnsi" w:cstheme="minorHAnsi"/>
          <w:snapToGrid/>
          <w:szCs w:val="24"/>
        </w:rPr>
        <w:t xml:space="preserve">for COPD </w:t>
      </w:r>
      <w:r w:rsidR="00AE3413" w:rsidRPr="00416C64">
        <w:rPr>
          <w:rFonts w:asciiTheme="minorHAnsi" w:hAnsiTheme="minorHAnsi" w:cstheme="minorHAnsi"/>
          <w:snapToGrid/>
          <w:szCs w:val="24"/>
        </w:rPr>
        <w:t xml:space="preserve">(Streamlined Authority code 4689) </w:t>
      </w:r>
      <w:r w:rsidRPr="00416C64">
        <w:rPr>
          <w:rFonts w:asciiTheme="minorHAnsi" w:hAnsiTheme="minorHAnsi" w:cstheme="minorHAnsi"/>
          <w:snapToGrid/>
          <w:szCs w:val="24"/>
        </w:rPr>
        <w:t>as follows:</w:t>
      </w:r>
      <w:r w:rsidRPr="00416C64">
        <w:rPr>
          <w:rFonts w:asciiTheme="minorHAnsi" w:hAnsiTheme="minorHAnsi" w:cstheme="minorHAnsi"/>
          <w:snapToGrid/>
          <w:szCs w:val="24"/>
        </w:rPr>
        <w:br/>
      </w:r>
    </w:p>
    <w:tbl>
      <w:tblPr>
        <w:tblStyle w:val="TableGrid"/>
        <w:tblW w:w="5000" w:type="pct"/>
        <w:tblLook w:val="04A0" w:firstRow="1" w:lastRow="0" w:firstColumn="1" w:lastColumn="0" w:noHBand="0" w:noVBand="1"/>
        <w:tblCaption w:val="Flow on changes to ICS/LABA FDC products for COPD "/>
      </w:tblPr>
      <w:tblGrid>
        <w:gridCol w:w="2842"/>
        <w:gridCol w:w="6175"/>
      </w:tblGrid>
      <w:tr w:rsidR="000A189C" w:rsidRPr="00BA64A9" w:rsidTr="001D26BB">
        <w:trPr>
          <w:tblHeader/>
        </w:trPr>
        <w:tc>
          <w:tcPr>
            <w:tcW w:w="1576" w:type="pct"/>
            <w:shd w:val="clear" w:color="auto" w:fill="auto"/>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lastRenderedPageBreak/>
              <w:t>Category / Program</w:t>
            </w:r>
          </w:p>
        </w:tc>
        <w:tc>
          <w:tcPr>
            <w:tcW w:w="3424" w:type="pct"/>
            <w:shd w:val="clear" w:color="auto" w:fill="auto"/>
          </w:tcPr>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t>GENERAL – General Schedule (Code GE)</w:t>
            </w:r>
          </w:p>
        </w:tc>
      </w:tr>
      <w:tr w:rsidR="000A189C" w:rsidRPr="00BA64A9" w:rsidTr="00BA64A9">
        <w:tc>
          <w:tcPr>
            <w:tcW w:w="1576" w:type="pct"/>
            <w:shd w:val="clear" w:color="auto" w:fill="auto"/>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Prescriber type:</w:t>
            </w:r>
          </w:p>
        </w:tc>
        <w:tc>
          <w:tcPr>
            <w:tcW w:w="3424" w:type="pct"/>
            <w:shd w:val="clear" w:color="auto" w:fill="auto"/>
          </w:tcPr>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Check1"/>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Dental </w:t>
            </w:r>
            <w:r w:rsidRPr="00BA64A9">
              <w:rPr>
                <w:rFonts w:ascii="Arial Narrow" w:hAnsi="Arial Narrow"/>
                <w:bCs/>
                <w:sz w:val="20"/>
                <w:szCs w:val="20"/>
              </w:rPr>
              <w:fldChar w:fldCharType="begin">
                <w:ffData>
                  <w:name w:val=""/>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Medical Practitioners </w:t>
            </w:r>
            <w:r w:rsidRPr="00BA64A9">
              <w:rPr>
                <w:rFonts w:ascii="Arial Narrow" w:hAnsi="Arial Narrow"/>
                <w:bCs/>
                <w:sz w:val="20"/>
                <w:szCs w:val="20"/>
              </w:rPr>
              <w:fldChar w:fldCharType="begin">
                <w:ffData>
                  <w:name w:val=""/>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Nurse Practitioners </w:t>
            </w: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Optometrists</w:t>
            </w:r>
            <w:r w:rsidR="001F4C51" w:rsidRPr="00BA64A9">
              <w:rPr>
                <w:rFonts w:ascii="Arial Narrow" w:hAnsi="Arial Narrow"/>
                <w:bCs/>
                <w:sz w:val="20"/>
                <w:szCs w:val="20"/>
              </w:rPr>
              <w:t xml:space="preserve"> </w:t>
            </w: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 xml:space="preserve"> Midwives</w:t>
            </w:r>
          </w:p>
        </w:tc>
      </w:tr>
      <w:tr w:rsidR="000A189C" w:rsidRPr="00BA64A9" w:rsidTr="00BA64A9">
        <w:tc>
          <w:tcPr>
            <w:tcW w:w="1576" w:type="pct"/>
            <w:shd w:val="clear" w:color="auto" w:fill="auto"/>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PBS Indication:</w:t>
            </w:r>
          </w:p>
        </w:tc>
        <w:tc>
          <w:tcPr>
            <w:tcW w:w="3424" w:type="pct"/>
            <w:shd w:val="clear" w:color="auto" w:fill="auto"/>
          </w:tcPr>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t>Chronic Obstructive Pulmonary Disease (COPD)</w:t>
            </w:r>
          </w:p>
        </w:tc>
      </w:tr>
      <w:tr w:rsidR="000A189C" w:rsidRPr="00BA64A9" w:rsidTr="00BA64A9">
        <w:tc>
          <w:tcPr>
            <w:tcW w:w="1576" w:type="pct"/>
            <w:shd w:val="clear" w:color="auto" w:fill="FFFFFF" w:themeFill="background1"/>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Restriction Level / Method:</w:t>
            </w:r>
          </w:p>
        </w:tc>
        <w:tc>
          <w:tcPr>
            <w:tcW w:w="3424" w:type="pct"/>
            <w:shd w:val="clear" w:color="auto" w:fill="auto"/>
          </w:tcPr>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Check1"/>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Restricted benefit</w:t>
            </w:r>
          </w:p>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In Writing</w:t>
            </w:r>
          </w:p>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Check3"/>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Telephone</w:t>
            </w:r>
          </w:p>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Emergency</w:t>
            </w:r>
          </w:p>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Check5"/>
                  <w:enabled/>
                  <w:calcOnExit w:val="0"/>
                  <w:checkBox>
                    <w:sizeAuto/>
                    <w:default w:val="0"/>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Authority Required - Electronic</w:t>
            </w:r>
          </w:p>
          <w:p w:rsidR="000A189C" w:rsidRPr="00BA64A9" w:rsidRDefault="000A189C" w:rsidP="00BA64A9">
            <w:pPr>
              <w:widowControl/>
              <w:tabs>
                <w:tab w:val="left" w:pos="1134"/>
              </w:tabs>
              <w:spacing w:before="60" w:after="40"/>
              <w:ind w:right="221"/>
              <w:rPr>
                <w:rFonts w:ascii="Arial Narrow" w:hAnsi="Arial Narrow"/>
                <w:bCs/>
                <w:sz w:val="20"/>
                <w:szCs w:val="20"/>
              </w:rPr>
            </w:pPr>
            <w:r w:rsidRPr="00BA64A9">
              <w:rPr>
                <w:rFonts w:ascii="Arial Narrow" w:hAnsi="Arial Narrow"/>
                <w:bCs/>
                <w:sz w:val="20"/>
                <w:szCs w:val="20"/>
              </w:rPr>
              <w:fldChar w:fldCharType="begin">
                <w:ffData>
                  <w:name w:val="Check5"/>
                  <w:enabled/>
                  <w:calcOnExit w:val="0"/>
                  <w:checkBox>
                    <w:sizeAuto/>
                    <w:default w:val="1"/>
                  </w:checkBox>
                </w:ffData>
              </w:fldChar>
            </w:r>
            <w:r w:rsidRPr="00BA64A9">
              <w:rPr>
                <w:rFonts w:ascii="Arial Narrow" w:hAnsi="Arial Narrow"/>
                <w:bCs/>
                <w:sz w:val="20"/>
                <w:szCs w:val="20"/>
              </w:rPr>
              <w:instrText xml:space="preserve"> FORMCHECKBOX </w:instrText>
            </w:r>
            <w:r w:rsidR="001D26BB">
              <w:rPr>
                <w:rFonts w:ascii="Arial Narrow" w:hAnsi="Arial Narrow"/>
                <w:bCs/>
                <w:sz w:val="20"/>
                <w:szCs w:val="20"/>
              </w:rPr>
            </w:r>
            <w:r w:rsidR="001D26BB">
              <w:rPr>
                <w:rFonts w:ascii="Arial Narrow" w:hAnsi="Arial Narrow"/>
                <w:bCs/>
                <w:sz w:val="20"/>
                <w:szCs w:val="20"/>
              </w:rPr>
              <w:fldChar w:fldCharType="separate"/>
            </w:r>
            <w:r w:rsidRPr="00BA64A9">
              <w:rPr>
                <w:rFonts w:ascii="Arial Narrow" w:hAnsi="Arial Narrow"/>
                <w:bCs/>
                <w:sz w:val="20"/>
                <w:szCs w:val="20"/>
              </w:rPr>
              <w:fldChar w:fldCharType="end"/>
            </w:r>
            <w:r w:rsidRPr="00BA64A9">
              <w:rPr>
                <w:rFonts w:ascii="Arial Narrow" w:hAnsi="Arial Narrow"/>
                <w:bCs/>
                <w:sz w:val="20"/>
                <w:szCs w:val="20"/>
              </w:rPr>
              <w:t>Streamlined</w:t>
            </w:r>
          </w:p>
        </w:tc>
      </w:tr>
      <w:tr w:rsidR="000A189C" w:rsidRPr="00BA64A9" w:rsidTr="00BA64A9">
        <w:trPr>
          <w:trHeight w:val="1154"/>
        </w:trPr>
        <w:tc>
          <w:tcPr>
            <w:tcW w:w="1576" w:type="pct"/>
            <w:shd w:val="clear" w:color="auto" w:fill="FFFFFF" w:themeFill="background1"/>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Clinical criteria:</w:t>
            </w:r>
          </w:p>
        </w:tc>
        <w:tc>
          <w:tcPr>
            <w:tcW w:w="3424" w:type="pct"/>
          </w:tcPr>
          <w:p w:rsidR="000D5538" w:rsidRPr="00BA64A9" w:rsidRDefault="000D5538" w:rsidP="00BA64A9">
            <w:pPr>
              <w:widowControl/>
              <w:tabs>
                <w:tab w:val="left" w:pos="1134"/>
              </w:tabs>
              <w:spacing w:before="60" w:after="40"/>
              <w:ind w:right="221"/>
              <w:jc w:val="left"/>
              <w:rPr>
                <w:rFonts w:ascii="Arial Narrow" w:hAnsi="Arial Narrow"/>
                <w:bCs/>
                <w:sz w:val="20"/>
                <w:szCs w:val="20"/>
              </w:rPr>
            </w:pPr>
            <w:r w:rsidRPr="00BA64A9">
              <w:rPr>
                <w:rFonts w:ascii="Arial Narrow" w:hAnsi="Arial Narrow"/>
                <w:bCs/>
                <w:sz w:val="20"/>
                <w:szCs w:val="20"/>
              </w:rPr>
              <w:t xml:space="preserve">Patient must have significant symptoms despite regular beta-2 agonist bronchodilator therapy. </w:t>
            </w:r>
          </w:p>
          <w:p w:rsidR="000D5538" w:rsidRPr="00BA64A9" w:rsidRDefault="000D5538" w:rsidP="00BA64A9">
            <w:pPr>
              <w:widowControl/>
              <w:tabs>
                <w:tab w:val="left" w:pos="1134"/>
              </w:tabs>
              <w:spacing w:before="60" w:after="40"/>
              <w:ind w:right="221"/>
              <w:jc w:val="left"/>
              <w:rPr>
                <w:rFonts w:ascii="Arial Narrow" w:hAnsi="Arial Narrow"/>
                <w:bCs/>
                <w:sz w:val="20"/>
                <w:szCs w:val="20"/>
              </w:rPr>
            </w:pPr>
            <w:r w:rsidRPr="00BA64A9">
              <w:rPr>
                <w:rFonts w:ascii="Arial Narrow" w:hAnsi="Arial Narrow"/>
                <w:bCs/>
                <w:sz w:val="20"/>
                <w:szCs w:val="20"/>
              </w:rPr>
              <w:t>AND</w:t>
            </w:r>
          </w:p>
          <w:p w:rsidR="00C36DEA" w:rsidRPr="00BA64A9" w:rsidRDefault="000A189C" w:rsidP="00BA64A9">
            <w:pPr>
              <w:widowControl/>
              <w:tabs>
                <w:tab w:val="left" w:pos="1134"/>
              </w:tabs>
              <w:spacing w:before="60" w:after="40"/>
              <w:ind w:right="221"/>
              <w:jc w:val="left"/>
              <w:rPr>
                <w:rFonts w:ascii="Arial Narrow" w:hAnsi="Arial Narrow"/>
                <w:bCs/>
                <w:sz w:val="20"/>
                <w:szCs w:val="20"/>
              </w:rPr>
            </w:pPr>
            <w:r w:rsidRPr="00BA64A9">
              <w:rPr>
                <w:rFonts w:ascii="Arial Narrow" w:hAnsi="Arial Narrow"/>
                <w:bCs/>
                <w:sz w:val="20"/>
                <w:szCs w:val="20"/>
              </w:rPr>
              <w:t>Patient must have experienced at least one severe COPD exacerbation, which required hospitalisation, or two or more moderate exacerbati</w:t>
            </w:r>
            <w:r w:rsidR="000D5538" w:rsidRPr="00BA64A9">
              <w:rPr>
                <w:rFonts w:ascii="Arial Narrow" w:hAnsi="Arial Narrow"/>
                <w:bCs/>
                <w:sz w:val="20"/>
                <w:szCs w:val="20"/>
              </w:rPr>
              <w:t xml:space="preserve">ons in the previous 12 months. </w:t>
            </w:r>
            <w:r w:rsidR="000D5538" w:rsidRPr="00BA64A9">
              <w:rPr>
                <w:rFonts w:ascii="Arial Narrow" w:hAnsi="Arial Narrow"/>
                <w:bCs/>
                <w:sz w:val="20"/>
                <w:szCs w:val="20"/>
              </w:rPr>
              <w:br/>
            </w:r>
          </w:p>
        </w:tc>
      </w:tr>
      <w:tr w:rsidR="000A189C" w:rsidRPr="00BA64A9" w:rsidTr="00BA64A9">
        <w:tc>
          <w:tcPr>
            <w:tcW w:w="1576" w:type="pct"/>
            <w:shd w:val="clear" w:color="auto" w:fill="auto"/>
          </w:tcPr>
          <w:p w:rsidR="000A189C" w:rsidRPr="00BA64A9" w:rsidRDefault="000A189C" w:rsidP="005A2C9B">
            <w:pPr>
              <w:widowControl/>
              <w:tabs>
                <w:tab w:val="left" w:pos="1134"/>
              </w:tabs>
              <w:spacing w:before="60" w:after="40"/>
              <w:ind w:left="221" w:right="221"/>
              <w:rPr>
                <w:rFonts w:ascii="Arial Narrow" w:hAnsi="Arial Narrow"/>
                <w:b/>
                <w:bCs/>
                <w:sz w:val="20"/>
                <w:szCs w:val="20"/>
              </w:rPr>
            </w:pPr>
            <w:r w:rsidRPr="00BA64A9">
              <w:rPr>
                <w:rFonts w:ascii="Arial Narrow" w:hAnsi="Arial Narrow"/>
                <w:b/>
                <w:bCs/>
                <w:sz w:val="20"/>
                <w:szCs w:val="20"/>
              </w:rPr>
              <w:t>Administrative Advice</w:t>
            </w:r>
          </w:p>
        </w:tc>
        <w:tc>
          <w:tcPr>
            <w:tcW w:w="3424" w:type="pct"/>
            <w:shd w:val="clear" w:color="auto" w:fill="auto"/>
          </w:tcPr>
          <w:p w:rsidR="00C36DEA" w:rsidRPr="00BA64A9" w:rsidRDefault="00C36DEA" w:rsidP="00BA64A9">
            <w:pPr>
              <w:widowControl/>
              <w:tabs>
                <w:tab w:val="left" w:pos="1134"/>
              </w:tabs>
              <w:spacing w:before="60" w:after="40"/>
              <w:ind w:right="221"/>
              <w:jc w:val="left"/>
              <w:rPr>
                <w:rFonts w:ascii="Arial Narrow" w:hAnsi="Arial Narrow" w:cstheme="minorHAnsi"/>
                <w:bCs/>
                <w:sz w:val="20"/>
                <w:szCs w:val="20"/>
              </w:rPr>
            </w:pPr>
          </w:p>
          <w:p w:rsidR="000A189C" w:rsidRPr="00BA64A9" w:rsidRDefault="00F133E7" w:rsidP="00BA64A9">
            <w:pPr>
              <w:widowControl/>
              <w:tabs>
                <w:tab w:val="left" w:pos="1134"/>
              </w:tabs>
              <w:spacing w:before="60" w:after="40"/>
              <w:ind w:right="221"/>
              <w:jc w:val="left"/>
              <w:rPr>
                <w:rFonts w:ascii="Arial Narrow" w:hAnsi="Arial Narrow" w:cstheme="minorHAnsi"/>
                <w:bCs/>
                <w:sz w:val="20"/>
                <w:szCs w:val="20"/>
              </w:rPr>
            </w:pPr>
            <w:r w:rsidRPr="00BA64A9">
              <w:rPr>
                <w:rFonts w:ascii="Arial Narrow" w:hAnsi="Arial Narrow" w:cstheme="minorHAnsi"/>
                <w:bCs/>
                <w:sz w:val="20"/>
                <w:szCs w:val="20"/>
              </w:rPr>
              <w:t xml:space="preserve">This product is not indicated for the initiation of bronchodilator therapy in COPD. </w:t>
            </w:r>
          </w:p>
          <w:p w:rsidR="00F133E7" w:rsidRPr="00BA64A9" w:rsidRDefault="00F133E7" w:rsidP="00BA64A9">
            <w:pPr>
              <w:widowControl/>
              <w:tabs>
                <w:tab w:val="left" w:pos="1134"/>
              </w:tabs>
              <w:spacing w:before="60" w:after="40"/>
              <w:ind w:right="221"/>
              <w:jc w:val="left"/>
              <w:rPr>
                <w:rFonts w:ascii="Arial Narrow" w:hAnsi="Arial Narrow" w:cstheme="minorHAnsi"/>
                <w:bCs/>
                <w:sz w:val="20"/>
                <w:szCs w:val="20"/>
              </w:rPr>
            </w:pPr>
          </w:p>
          <w:p w:rsidR="00F133E7" w:rsidRPr="00BA64A9" w:rsidRDefault="00F133E7" w:rsidP="00BA64A9">
            <w:pPr>
              <w:widowControl/>
              <w:tabs>
                <w:tab w:val="left" w:pos="1134"/>
              </w:tabs>
              <w:spacing w:before="60" w:after="40"/>
              <w:ind w:right="221"/>
              <w:jc w:val="left"/>
              <w:rPr>
                <w:rFonts w:ascii="Arial Narrow" w:hAnsi="Arial Narrow" w:cstheme="minorHAnsi"/>
                <w:bCs/>
                <w:sz w:val="20"/>
                <w:szCs w:val="20"/>
              </w:rPr>
            </w:pPr>
            <w:r w:rsidRPr="00BA64A9">
              <w:rPr>
                <w:rFonts w:ascii="Arial Narrow" w:hAnsi="Arial Narrow" w:cstheme="minorHAnsi"/>
                <w:bCs/>
                <w:sz w:val="20"/>
                <w:szCs w:val="20"/>
              </w:rPr>
              <w:t xml:space="preserve">The treatment must not be used in combination with LABA monotherapy or LAMA/LABA combination therapy. </w:t>
            </w:r>
          </w:p>
          <w:p w:rsidR="00F133E7" w:rsidRPr="00BA64A9" w:rsidRDefault="00F133E7" w:rsidP="00BA64A9">
            <w:pPr>
              <w:widowControl/>
              <w:tabs>
                <w:tab w:val="left" w:pos="1134"/>
              </w:tabs>
              <w:spacing w:before="60" w:after="40"/>
              <w:ind w:right="221"/>
              <w:jc w:val="left"/>
              <w:rPr>
                <w:rFonts w:ascii="Arial Narrow" w:hAnsi="Arial Narrow" w:cstheme="minorHAnsi"/>
                <w:bCs/>
                <w:sz w:val="20"/>
                <w:szCs w:val="20"/>
              </w:rPr>
            </w:pPr>
          </w:p>
          <w:p w:rsidR="00F133E7" w:rsidRPr="00BA64A9" w:rsidRDefault="00F133E7" w:rsidP="00BA64A9">
            <w:pPr>
              <w:widowControl/>
              <w:tabs>
                <w:tab w:val="left" w:pos="1134"/>
              </w:tabs>
              <w:spacing w:before="60" w:after="40"/>
              <w:ind w:right="221"/>
              <w:jc w:val="left"/>
              <w:rPr>
                <w:rFonts w:ascii="Arial Narrow" w:hAnsi="Arial Narrow" w:cstheme="minorHAnsi"/>
                <w:bCs/>
                <w:sz w:val="20"/>
                <w:szCs w:val="20"/>
              </w:rPr>
            </w:pPr>
            <w:r w:rsidRPr="00BA64A9">
              <w:rPr>
                <w:rFonts w:ascii="Arial Narrow" w:hAnsi="Arial Narrow" w:cstheme="minorHAnsi"/>
                <w:snapToGrid/>
                <w:color w:val="222222"/>
                <w:sz w:val="20"/>
                <w:szCs w:val="20"/>
                <w:lang w:eastAsia="en-AU"/>
              </w:rPr>
              <w:t xml:space="preserve">A LAMA/LABA includes </w:t>
            </w:r>
            <w:proofErr w:type="spellStart"/>
            <w:r w:rsidRPr="00BA64A9">
              <w:rPr>
                <w:rFonts w:ascii="Arial Narrow" w:hAnsi="Arial Narrow" w:cstheme="minorHAnsi"/>
                <w:snapToGrid/>
                <w:color w:val="222222"/>
                <w:sz w:val="20"/>
                <w:szCs w:val="20"/>
                <w:lang w:eastAsia="en-AU"/>
              </w:rPr>
              <w:t>aclidinium</w:t>
            </w:r>
            <w:proofErr w:type="spellEnd"/>
            <w:r w:rsidRPr="00BA64A9">
              <w:rPr>
                <w:rFonts w:ascii="Arial Narrow" w:hAnsi="Arial Narrow" w:cstheme="minorHAnsi"/>
                <w:snapToGrid/>
                <w:color w:val="222222"/>
                <w:sz w:val="20"/>
                <w:szCs w:val="20"/>
                <w:lang w:eastAsia="en-AU"/>
              </w:rPr>
              <w:t>/</w:t>
            </w:r>
            <w:proofErr w:type="spellStart"/>
            <w:r w:rsidRPr="00BA64A9">
              <w:rPr>
                <w:rFonts w:ascii="Arial Narrow" w:hAnsi="Arial Narrow" w:cstheme="minorHAnsi"/>
                <w:snapToGrid/>
                <w:color w:val="222222"/>
                <w:sz w:val="20"/>
                <w:szCs w:val="20"/>
                <w:lang w:eastAsia="en-AU"/>
              </w:rPr>
              <w:t>formoterol</w:t>
            </w:r>
            <w:proofErr w:type="spellEnd"/>
            <w:r w:rsidRPr="00BA64A9">
              <w:rPr>
                <w:rFonts w:ascii="Arial Narrow" w:hAnsi="Arial Narrow" w:cstheme="minorHAnsi"/>
                <w:snapToGrid/>
                <w:color w:val="222222"/>
                <w:sz w:val="20"/>
                <w:szCs w:val="20"/>
                <w:lang w:eastAsia="en-AU"/>
              </w:rPr>
              <w:t xml:space="preserve">, </w:t>
            </w:r>
            <w:proofErr w:type="spellStart"/>
            <w:r w:rsidRPr="00BA64A9">
              <w:rPr>
                <w:rFonts w:ascii="Arial Narrow" w:hAnsi="Arial Narrow" w:cstheme="minorHAnsi"/>
                <w:snapToGrid/>
                <w:color w:val="222222"/>
                <w:sz w:val="20"/>
                <w:szCs w:val="20"/>
                <w:lang w:eastAsia="en-AU"/>
              </w:rPr>
              <w:t>glycopyrronium</w:t>
            </w:r>
            <w:proofErr w:type="spellEnd"/>
            <w:r w:rsidRPr="00BA64A9">
              <w:rPr>
                <w:rFonts w:ascii="Arial Narrow" w:hAnsi="Arial Narrow" w:cstheme="minorHAnsi"/>
                <w:snapToGrid/>
                <w:color w:val="222222"/>
                <w:sz w:val="20"/>
                <w:szCs w:val="20"/>
                <w:lang w:eastAsia="en-AU"/>
              </w:rPr>
              <w:t>/</w:t>
            </w:r>
            <w:proofErr w:type="spellStart"/>
            <w:r w:rsidRPr="00BA64A9">
              <w:rPr>
                <w:rFonts w:ascii="Arial Narrow" w:hAnsi="Arial Narrow" w:cstheme="minorHAnsi"/>
                <w:snapToGrid/>
                <w:color w:val="222222"/>
                <w:sz w:val="20"/>
                <w:szCs w:val="20"/>
                <w:lang w:eastAsia="en-AU"/>
              </w:rPr>
              <w:t>indacaterol</w:t>
            </w:r>
            <w:proofErr w:type="spellEnd"/>
            <w:r w:rsidRPr="00BA64A9">
              <w:rPr>
                <w:rFonts w:ascii="Arial Narrow" w:hAnsi="Arial Narrow" w:cstheme="minorHAnsi"/>
                <w:snapToGrid/>
                <w:color w:val="222222"/>
                <w:sz w:val="20"/>
                <w:szCs w:val="20"/>
                <w:lang w:eastAsia="en-AU"/>
              </w:rPr>
              <w:t xml:space="preserve">, </w:t>
            </w:r>
            <w:proofErr w:type="spellStart"/>
            <w:r w:rsidRPr="00BA64A9">
              <w:rPr>
                <w:rFonts w:ascii="Arial Narrow" w:hAnsi="Arial Narrow" w:cstheme="minorHAnsi"/>
                <w:snapToGrid/>
                <w:color w:val="222222"/>
                <w:sz w:val="20"/>
                <w:szCs w:val="20"/>
                <w:lang w:eastAsia="en-AU"/>
              </w:rPr>
              <w:t>tiotropium</w:t>
            </w:r>
            <w:proofErr w:type="spellEnd"/>
            <w:r w:rsidRPr="00BA64A9">
              <w:rPr>
                <w:rFonts w:ascii="Arial Narrow" w:hAnsi="Arial Narrow" w:cstheme="minorHAnsi"/>
                <w:snapToGrid/>
                <w:color w:val="222222"/>
                <w:sz w:val="20"/>
                <w:szCs w:val="20"/>
                <w:lang w:eastAsia="en-AU"/>
              </w:rPr>
              <w:t xml:space="preserve">/olodaterol, or </w:t>
            </w:r>
            <w:proofErr w:type="spellStart"/>
            <w:r w:rsidRPr="00BA64A9">
              <w:rPr>
                <w:rFonts w:ascii="Arial Narrow" w:hAnsi="Arial Narrow" w:cstheme="minorHAnsi"/>
                <w:snapToGrid/>
                <w:color w:val="222222"/>
                <w:sz w:val="20"/>
                <w:szCs w:val="20"/>
                <w:lang w:eastAsia="en-AU"/>
              </w:rPr>
              <w:t>umeclidinium</w:t>
            </w:r>
            <w:proofErr w:type="spellEnd"/>
            <w:r w:rsidRPr="00BA64A9">
              <w:rPr>
                <w:rFonts w:ascii="Arial Narrow" w:hAnsi="Arial Narrow" w:cstheme="minorHAnsi"/>
                <w:snapToGrid/>
                <w:color w:val="222222"/>
                <w:sz w:val="20"/>
                <w:szCs w:val="20"/>
                <w:lang w:eastAsia="en-AU"/>
              </w:rPr>
              <w:t>/</w:t>
            </w:r>
            <w:proofErr w:type="spellStart"/>
            <w:r w:rsidRPr="00BA64A9">
              <w:rPr>
                <w:rFonts w:ascii="Arial Narrow" w:hAnsi="Arial Narrow" w:cstheme="minorHAnsi"/>
                <w:snapToGrid/>
                <w:color w:val="222222"/>
                <w:sz w:val="20"/>
                <w:szCs w:val="20"/>
                <w:lang w:eastAsia="en-AU"/>
              </w:rPr>
              <w:t>vilanterol</w:t>
            </w:r>
            <w:proofErr w:type="spellEnd"/>
            <w:r w:rsidRPr="00BA64A9">
              <w:rPr>
                <w:rFonts w:ascii="Arial Narrow" w:hAnsi="Arial Narrow" w:cstheme="minorHAnsi"/>
                <w:snapToGrid/>
                <w:color w:val="222222"/>
                <w:sz w:val="20"/>
                <w:szCs w:val="20"/>
                <w:lang w:eastAsia="en-AU"/>
              </w:rPr>
              <w:t xml:space="preserve">. </w:t>
            </w:r>
          </w:p>
          <w:p w:rsidR="00F133E7" w:rsidRPr="00BA64A9" w:rsidRDefault="00F133E7" w:rsidP="00BA64A9">
            <w:pPr>
              <w:widowControl/>
              <w:spacing w:line="300" w:lineRule="atLeast"/>
              <w:jc w:val="left"/>
              <w:rPr>
                <w:rFonts w:ascii="Arial Narrow" w:hAnsi="Arial Narrow" w:cstheme="minorHAnsi"/>
                <w:snapToGrid/>
                <w:color w:val="333333"/>
                <w:sz w:val="20"/>
                <w:szCs w:val="20"/>
                <w:lang w:eastAsia="en-AU"/>
              </w:rPr>
            </w:pPr>
          </w:p>
          <w:p w:rsidR="00C36DEA" w:rsidRPr="00BA64A9" w:rsidRDefault="00F133E7" w:rsidP="00BA64A9">
            <w:pPr>
              <w:widowControl/>
              <w:tabs>
                <w:tab w:val="left" w:pos="1134"/>
              </w:tabs>
              <w:spacing w:before="60" w:after="40"/>
              <w:ind w:right="221"/>
              <w:jc w:val="left"/>
              <w:rPr>
                <w:rFonts w:ascii="Arial Narrow" w:hAnsi="Arial Narrow"/>
                <w:bCs/>
                <w:sz w:val="20"/>
                <w:szCs w:val="20"/>
              </w:rPr>
            </w:pPr>
            <w:r w:rsidRPr="00BA64A9">
              <w:rPr>
                <w:rFonts w:ascii="Arial Narrow" w:hAnsi="Arial Narrow" w:cstheme="minorHAnsi"/>
                <w:snapToGrid/>
                <w:sz w:val="20"/>
                <w:szCs w:val="20"/>
                <w:lang w:eastAsia="en-AU"/>
              </w:rPr>
              <w:t>Diagnosis of COPD should include measurement of airflow obstruction using spirometry, with confirmation of post-bronchodilator airflow obstruction.</w:t>
            </w:r>
          </w:p>
        </w:tc>
      </w:tr>
    </w:tbl>
    <w:p w:rsidR="00A56858" w:rsidRDefault="00A56858" w:rsidP="005A2C9B">
      <w:pPr>
        <w:widowControl/>
      </w:pPr>
    </w:p>
    <w:p w:rsidR="008A3C3E" w:rsidRDefault="00A56858" w:rsidP="00404249">
      <w:pPr>
        <w:pStyle w:val="PBACHeading1"/>
        <w:ind w:left="709" w:hanging="709"/>
      </w:pPr>
      <w:r>
        <w:t>Context for Decision</w:t>
      </w:r>
    </w:p>
    <w:p w:rsidR="00A56858" w:rsidRPr="00A56858" w:rsidRDefault="00A56858" w:rsidP="00A56858">
      <w:pPr>
        <w:spacing w:after="0"/>
        <w:ind w:left="426"/>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6858" w:rsidRDefault="00A56858" w:rsidP="00404249">
      <w:pPr>
        <w:pStyle w:val="PBACHeading1"/>
        <w:ind w:left="709" w:hanging="709"/>
      </w:pPr>
      <w:r>
        <w:t xml:space="preserve">Sponsor’s Comment </w:t>
      </w:r>
    </w:p>
    <w:p w:rsidR="00A56858" w:rsidRPr="001D26BB" w:rsidRDefault="00404249" w:rsidP="001D26BB">
      <w:pPr>
        <w:ind w:left="426"/>
        <w:rPr>
          <w:rFonts w:asciiTheme="minorHAnsi" w:hAnsiTheme="minorHAnsi"/>
          <w:bCs/>
        </w:rPr>
      </w:pPr>
      <w:r w:rsidRPr="00404249">
        <w:rPr>
          <w:rFonts w:asciiTheme="minorHAnsi" w:hAnsiTheme="minorHAnsi"/>
          <w:bCs/>
        </w:rPr>
        <w:t xml:space="preserve">GSK welcomes the PBAC recommendation to </w:t>
      </w:r>
      <w:r>
        <w:rPr>
          <w:rFonts w:asciiTheme="minorHAnsi" w:hAnsiTheme="minorHAnsi"/>
          <w:bCs/>
        </w:rPr>
        <w:t xml:space="preserve">remove </w:t>
      </w:r>
      <w:r w:rsidRPr="00416C64">
        <w:t>the clinical criteria</w:t>
      </w:r>
      <w:r w:rsidR="00695FAD">
        <w:t xml:space="preserve"> currently</w:t>
      </w:r>
      <w:r w:rsidRPr="00416C64">
        <w:t xml:space="preserve"> restricting access</w:t>
      </w:r>
      <w:r>
        <w:t xml:space="preserve"> to </w:t>
      </w:r>
      <w:r w:rsidRPr="00404249">
        <w:rPr>
          <w:rFonts w:asciiTheme="minorHAnsi" w:hAnsiTheme="minorHAnsi"/>
          <w:bCs/>
        </w:rPr>
        <w:t xml:space="preserve">Trelegy </w:t>
      </w:r>
      <w:proofErr w:type="spellStart"/>
      <w:r w:rsidRPr="00404249">
        <w:rPr>
          <w:rFonts w:asciiTheme="minorHAnsi" w:hAnsiTheme="minorHAnsi"/>
          <w:bCs/>
        </w:rPr>
        <w:t>Ellipta</w:t>
      </w:r>
      <w:proofErr w:type="spellEnd"/>
      <w:r w:rsidRPr="00404249">
        <w:rPr>
          <w:rFonts w:asciiTheme="minorHAnsi" w:hAnsiTheme="minorHAnsi"/>
          <w:bCs/>
        </w:rPr>
        <w:t xml:space="preserve"> (fluticasone </w:t>
      </w:r>
      <w:proofErr w:type="spellStart"/>
      <w:r w:rsidRPr="00404249">
        <w:rPr>
          <w:rFonts w:asciiTheme="minorHAnsi" w:hAnsiTheme="minorHAnsi"/>
          <w:bCs/>
        </w:rPr>
        <w:t>furoate</w:t>
      </w:r>
      <w:proofErr w:type="spellEnd"/>
      <w:r w:rsidRPr="00404249">
        <w:rPr>
          <w:rFonts w:asciiTheme="minorHAnsi" w:hAnsiTheme="minorHAnsi"/>
          <w:bCs/>
        </w:rPr>
        <w:t>/</w:t>
      </w:r>
      <w:proofErr w:type="spellStart"/>
      <w:r w:rsidRPr="00404249">
        <w:rPr>
          <w:rFonts w:asciiTheme="minorHAnsi" w:hAnsiTheme="minorHAnsi"/>
          <w:bCs/>
        </w:rPr>
        <w:t>umeclidinium</w:t>
      </w:r>
      <w:proofErr w:type="spellEnd"/>
      <w:r w:rsidRPr="00404249">
        <w:rPr>
          <w:rFonts w:asciiTheme="minorHAnsi" w:hAnsiTheme="minorHAnsi"/>
          <w:bCs/>
        </w:rPr>
        <w:t>/</w:t>
      </w:r>
      <w:proofErr w:type="spellStart"/>
      <w:r w:rsidRPr="00404249">
        <w:rPr>
          <w:rFonts w:asciiTheme="minorHAnsi" w:hAnsiTheme="minorHAnsi"/>
          <w:bCs/>
        </w:rPr>
        <w:t>vilanterol</w:t>
      </w:r>
      <w:proofErr w:type="spellEnd"/>
      <w:r w:rsidRPr="00404249">
        <w:rPr>
          <w:rFonts w:asciiTheme="minorHAnsi" w:hAnsiTheme="minorHAnsi"/>
          <w:bCs/>
        </w:rPr>
        <w:t>)</w:t>
      </w:r>
      <w:r w:rsidRPr="00416C64">
        <w:t xml:space="preserve"> to</w:t>
      </w:r>
      <w:r>
        <w:t xml:space="preserve"> COPD</w:t>
      </w:r>
      <w:r w:rsidRPr="00416C64">
        <w:t xml:space="preserve"> patients with a forced expiratory volume in one second (FEV1) &lt;50% of predicted.</w:t>
      </w:r>
    </w:p>
    <w:sectPr w:rsidR="00A56858" w:rsidRPr="001D26BB" w:rsidSect="00E2135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A9C64" w16cid:durableId="209BB881"/>
  <w16cid:commentId w16cid:paraId="6636A99B" w16cid:durableId="209BC980"/>
  <w16cid:commentId w16cid:paraId="47AE6126" w16cid:durableId="209BB8E1"/>
  <w16cid:commentId w16cid:paraId="7AA11DF6" w16cid:durableId="209BCA28"/>
  <w16cid:commentId w16cid:paraId="71483F29" w16cid:durableId="209B9253"/>
  <w16cid:commentId w16cid:paraId="596FB582" w16cid:durableId="209BCAB9"/>
  <w16cid:commentId w16cid:paraId="31A6B997" w16cid:durableId="209B9401"/>
  <w16cid:commentId w16cid:paraId="3F53F8BC" w16cid:durableId="209B9410"/>
  <w16cid:commentId w16cid:paraId="28A39516" w16cid:durableId="209BCB49"/>
  <w16cid:commentId w16cid:paraId="1013FC99" w16cid:durableId="209BCB4F"/>
  <w16cid:commentId w16cid:paraId="2AF58305" w16cid:durableId="209BCB53"/>
  <w16cid:commentId w16cid:paraId="2668C79C" w16cid:durableId="209BCB57"/>
  <w16cid:commentId w16cid:paraId="6CF9F4D2" w16cid:durableId="209BCB72"/>
  <w16cid:commentId w16cid:paraId="11DAE5F6" w16cid:durableId="209BCB78"/>
  <w16cid:commentId w16cid:paraId="79B607B2" w16cid:durableId="209B95AF"/>
  <w16cid:commentId w16cid:paraId="79F88AEF" w16cid:durableId="209BCBDD"/>
  <w16cid:commentId w16cid:paraId="3DEDB065" w16cid:durableId="209BCBE1"/>
  <w16cid:commentId w16cid:paraId="0FA8FF6A" w16cid:durableId="209BCBE9"/>
  <w16cid:commentId w16cid:paraId="4705051A" w16cid:durableId="209BCBFD"/>
  <w16cid:commentId w16cid:paraId="5DF42861" w16cid:durableId="209B964D"/>
  <w16cid:commentId w16cid:paraId="42539BC8" w16cid:durableId="209BCC1D"/>
  <w16cid:commentId w16cid:paraId="56B0B1D8" w16cid:durableId="209BCC8B"/>
  <w16cid:commentId w16cid:paraId="0FE450E1" w16cid:durableId="209BCC98"/>
  <w16cid:commentId w16cid:paraId="5BFF1E11" w16cid:durableId="209BCCA0"/>
  <w16cid:commentId w16cid:paraId="11E4D579" w16cid:durableId="209B970C"/>
  <w16cid:commentId w16cid:paraId="76F71B02" w16cid:durableId="209BCD04"/>
  <w16cid:commentId w16cid:paraId="73C138A0" w16cid:durableId="209BCD45"/>
  <w16cid:commentId w16cid:paraId="5F9C5C2C" w16cid:durableId="209BCD48"/>
  <w16cid:commentId w16cid:paraId="07D57793" w16cid:durableId="209BCD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049" w:rsidRDefault="00B74049" w:rsidP="00124A51">
      <w:r>
        <w:separator/>
      </w:r>
    </w:p>
    <w:p w:rsidR="00B74049" w:rsidRDefault="00B74049"/>
  </w:endnote>
  <w:endnote w:type="continuationSeparator" w:id="0">
    <w:p w:rsidR="00B74049" w:rsidRDefault="00B74049" w:rsidP="00124A51">
      <w:r>
        <w:continuationSeparator/>
      </w:r>
    </w:p>
    <w:p w:rsidR="00B74049" w:rsidRDefault="00B74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49" w:rsidRDefault="00B74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38006"/>
      <w:docPartObj>
        <w:docPartGallery w:val="Page Numbers (Bottom of Page)"/>
        <w:docPartUnique/>
      </w:docPartObj>
    </w:sdtPr>
    <w:sdtEndPr>
      <w:rPr>
        <w:b/>
        <w:noProof/>
        <w:szCs w:val="24"/>
      </w:rPr>
    </w:sdtEndPr>
    <w:sdtContent>
      <w:p w:rsidR="00907B72" w:rsidRDefault="00907B72" w:rsidP="00EB3016">
        <w:pPr>
          <w:pStyle w:val="Footer"/>
          <w:jc w:val="center"/>
        </w:pPr>
      </w:p>
      <w:p w:rsidR="00907B72" w:rsidRPr="005A2C9B" w:rsidRDefault="00907B72" w:rsidP="00EB3016">
        <w:pPr>
          <w:pStyle w:val="Footer"/>
          <w:jc w:val="center"/>
          <w:rPr>
            <w:b/>
            <w:szCs w:val="24"/>
          </w:rPr>
        </w:pPr>
        <w:r w:rsidRPr="005A2C9B">
          <w:rPr>
            <w:b/>
            <w:szCs w:val="24"/>
          </w:rPr>
          <w:fldChar w:fldCharType="begin"/>
        </w:r>
        <w:r w:rsidRPr="005A2C9B">
          <w:rPr>
            <w:b/>
            <w:szCs w:val="24"/>
          </w:rPr>
          <w:instrText xml:space="preserve"> PAGE   \* MERGEFORMAT </w:instrText>
        </w:r>
        <w:r w:rsidRPr="005A2C9B">
          <w:rPr>
            <w:b/>
            <w:szCs w:val="24"/>
          </w:rPr>
          <w:fldChar w:fldCharType="separate"/>
        </w:r>
        <w:r w:rsidR="001D26BB">
          <w:rPr>
            <w:b/>
            <w:noProof/>
            <w:szCs w:val="24"/>
          </w:rPr>
          <w:t>22</w:t>
        </w:r>
        <w:r w:rsidRPr="005A2C9B">
          <w:rPr>
            <w:b/>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49" w:rsidRDefault="00B7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049" w:rsidRDefault="00B74049" w:rsidP="00124A51">
      <w:r>
        <w:separator/>
      </w:r>
    </w:p>
    <w:p w:rsidR="00B74049" w:rsidRDefault="00B74049"/>
  </w:footnote>
  <w:footnote w:type="continuationSeparator" w:id="0">
    <w:p w:rsidR="00B74049" w:rsidRDefault="00B74049" w:rsidP="00124A51">
      <w:r>
        <w:continuationSeparator/>
      </w:r>
    </w:p>
    <w:p w:rsidR="00B74049" w:rsidRDefault="00B74049"/>
  </w:footnote>
  <w:footnote w:id="1">
    <w:p w:rsidR="00907B72" w:rsidRDefault="00907B72" w:rsidP="00B92342">
      <w:pPr>
        <w:pStyle w:val="FootnoteText"/>
      </w:pPr>
      <w:r w:rsidRPr="00DF7ED6">
        <w:rPr>
          <w:rStyle w:val="FootnoteReference"/>
        </w:rPr>
        <w:footnoteRef/>
      </w:r>
      <w:r w:rsidRPr="00DF7ED6">
        <w:t xml:space="preserve"> AU$</w:t>
      </w:r>
      <w:r w:rsidR="00B74049">
        <w:rPr>
          <w:noProof/>
          <w:color w:val="000000"/>
          <w:highlight w:val="black"/>
        </w:rPr>
        <w:t>''''''''''</w:t>
      </w:r>
      <w:r w:rsidRPr="00DF7ED6">
        <w:t xml:space="preserve"> based on</w:t>
      </w:r>
      <w:r>
        <w:t xml:space="preserve"> the exchange rate of 1 CAD = 1.0494 AUD at 7 January 2019. </w:t>
      </w:r>
    </w:p>
  </w:footnote>
  <w:footnote w:id="2">
    <w:p w:rsidR="00907B72" w:rsidRPr="0067016C" w:rsidRDefault="00907B72">
      <w:pPr>
        <w:pStyle w:val="FootnoteText"/>
        <w:rPr>
          <w:lang w:val="en-US"/>
        </w:rPr>
      </w:pPr>
      <w:r w:rsidRPr="00DF7ED6">
        <w:rPr>
          <w:rStyle w:val="FootnoteReference"/>
        </w:rPr>
        <w:footnoteRef/>
      </w:r>
      <w:r w:rsidRPr="00DF7ED6">
        <w:t xml:space="preserve"> AU$</w:t>
      </w:r>
      <w:r w:rsidR="00B74049">
        <w:rPr>
          <w:noProof/>
          <w:color w:val="000000"/>
          <w:highlight w:val="black"/>
        </w:rPr>
        <w:t>''''''''''''</w:t>
      </w:r>
      <w:r w:rsidRPr="00DF7ED6">
        <w:t xml:space="preserve"> based</w:t>
      </w:r>
      <w:r>
        <w:t xml:space="preserve"> on the exchange rate of 1 CAD = 1.0494 AUD at 7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49" w:rsidRDefault="00B74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72" w:rsidRPr="00AB0D54" w:rsidRDefault="00907B72" w:rsidP="00AB0D54">
    <w:pPr>
      <w:widowControl/>
      <w:tabs>
        <w:tab w:val="center" w:pos="4513"/>
        <w:tab w:val="right" w:pos="9026"/>
      </w:tabs>
      <w:spacing w:after="0"/>
      <w:jc w:val="center"/>
      <w:rPr>
        <w:rFonts w:asciiTheme="minorHAnsi" w:eastAsiaTheme="minorHAnsi" w:hAnsiTheme="minorHAnsi" w:cstheme="minorHAnsi"/>
        <w:i/>
        <w:snapToGrid/>
        <w:color w:val="808080"/>
      </w:rPr>
    </w:pPr>
    <w:r w:rsidRPr="00AB0D54">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AB0D54">
      <w:rPr>
        <w:rFonts w:asciiTheme="minorHAnsi" w:eastAsiaTheme="minorHAnsi" w:hAnsiTheme="minorHAnsi" w:cstheme="minorHAnsi"/>
        <w:i/>
        <w:snapToGrid/>
        <w:color w:val="808080"/>
      </w:rPr>
      <w:t xml:space="preserve"> PBAC Meeting</w:t>
    </w:r>
  </w:p>
  <w:p w:rsidR="00907B72" w:rsidRPr="00EB3016" w:rsidRDefault="00907B72" w:rsidP="00A51C65">
    <w:pPr>
      <w:widowControl/>
      <w:tabs>
        <w:tab w:val="center" w:pos="4153"/>
        <w:tab w:val="right" w:pos="8306"/>
      </w:tabs>
      <w:spacing w:after="0"/>
      <w:ind w:left="360"/>
      <w:jc w:val="center"/>
      <w:rPr>
        <w:rFonts w:asciiTheme="minorHAnsi" w:hAnsiTheme="minorHAnsi"/>
        <w:i/>
        <w:snapToGrid/>
        <w:color w:val="808080"/>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49" w:rsidRDefault="00B74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1725A3"/>
    <w:multiLevelType w:val="hybridMultilevel"/>
    <w:tmpl w:val="452E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013B4"/>
    <w:multiLevelType w:val="hybridMultilevel"/>
    <w:tmpl w:val="9EA0E034"/>
    <w:lvl w:ilvl="0" w:tplc="B54E255E">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627A7"/>
    <w:multiLevelType w:val="hybridMultilevel"/>
    <w:tmpl w:val="FBBAA6F4"/>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B45AA"/>
    <w:multiLevelType w:val="hybridMultilevel"/>
    <w:tmpl w:val="BBAC5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93C14"/>
    <w:multiLevelType w:val="hybridMultilevel"/>
    <w:tmpl w:val="F3F24564"/>
    <w:lvl w:ilvl="0" w:tplc="64AA2AD6">
      <w:start w:val="1"/>
      <w:numFmt w:val="bullet"/>
      <w:lvlText w:val="-"/>
      <w:lvlJc w:val="left"/>
      <w:pPr>
        <w:ind w:left="780" w:hanging="360"/>
      </w:pPr>
      <w:rPr>
        <w:rFonts w:ascii="Arial" w:hAnsi="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2F5D63"/>
    <w:multiLevelType w:val="hybridMultilevel"/>
    <w:tmpl w:val="12E080F8"/>
    <w:lvl w:ilvl="0" w:tplc="90243230">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1" w15:restartNumberingAfterBreak="0">
    <w:nsid w:val="258C2CCF"/>
    <w:multiLevelType w:val="hybridMultilevel"/>
    <w:tmpl w:val="5D48FD5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241D1"/>
    <w:multiLevelType w:val="hybridMultilevel"/>
    <w:tmpl w:val="7AB4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5639E3"/>
    <w:multiLevelType w:val="hybridMultilevel"/>
    <w:tmpl w:val="0826173C"/>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919E3"/>
    <w:multiLevelType w:val="hybridMultilevel"/>
    <w:tmpl w:val="79FE8576"/>
    <w:lvl w:ilvl="0" w:tplc="1B061F80">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E1E0F"/>
    <w:multiLevelType w:val="hybridMultilevel"/>
    <w:tmpl w:val="9540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C34E2"/>
    <w:multiLevelType w:val="hybridMultilevel"/>
    <w:tmpl w:val="E6A25256"/>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C001F"/>
    <w:multiLevelType w:val="hybridMultilevel"/>
    <w:tmpl w:val="CB728D86"/>
    <w:lvl w:ilvl="0" w:tplc="48ECD7F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E34E1"/>
    <w:multiLevelType w:val="hybridMultilevel"/>
    <w:tmpl w:val="A1023E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4B634A"/>
    <w:multiLevelType w:val="hybridMultilevel"/>
    <w:tmpl w:val="AAA614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6CAD669B"/>
    <w:multiLevelType w:val="hybridMultilevel"/>
    <w:tmpl w:val="31E4663A"/>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E258ED68"/>
    <w:lvl w:ilvl="0">
      <w:start w:val="1"/>
      <w:numFmt w:val="decimal"/>
      <w:pStyle w:val="PBACHeading1"/>
      <w:lvlText w:val="%1"/>
      <w:lvlJc w:val="left"/>
      <w:pPr>
        <w:ind w:left="2279" w:hanging="720"/>
      </w:pPr>
      <w:rPr>
        <w:rFonts w:hint="default"/>
        <w:b/>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9E6744"/>
    <w:multiLevelType w:val="hybridMultilevel"/>
    <w:tmpl w:val="F0C8B8EA"/>
    <w:lvl w:ilvl="0" w:tplc="64AA2AD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D07370"/>
    <w:multiLevelType w:val="hybridMultilevel"/>
    <w:tmpl w:val="B1826A38"/>
    <w:lvl w:ilvl="0" w:tplc="64AA2AD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5"/>
  </w:num>
  <w:num w:numId="4">
    <w:abstractNumId w:val="20"/>
  </w:num>
  <w:num w:numId="5">
    <w:abstractNumId w:val="5"/>
  </w:num>
  <w:num w:numId="6">
    <w:abstractNumId w:val="15"/>
  </w:num>
  <w:num w:numId="7">
    <w:abstractNumId w:val="14"/>
  </w:num>
  <w:num w:numId="8">
    <w:abstractNumId w:val="10"/>
  </w:num>
  <w:num w:numId="9">
    <w:abstractNumId w:val="16"/>
  </w:num>
  <w:num w:numId="10">
    <w:abstractNumId w:val="24"/>
  </w:num>
  <w:num w:numId="11">
    <w:abstractNumId w:val="13"/>
  </w:num>
  <w:num w:numId="12">
    <w:abstractNumId w:val="27"/>
  </w:num>
  <w:num w:numId="13">
    <w:abstractNumId w:val="26"/>
  </w:num>
  <w:num w:numId="14">
    <w:abstractNumId w:val="7"/>
  </w:num>
  <w:num w:numId="15">
    <w:abstractNumId w:val="19"/>
  </w:num>
  <w:num w:numId="16">
    <w:abstractNumId w:val="17"/>
  </w:num>
  <w:num w:numId="17">
    <w:abstractNumId w:val="3"/>
  </w:num>
  <w:num w:numId="18">
    <w:abstractNumId w:val="8"/>
  </w:num>
  <w:num w:numId="19">
    <w:abstractNumId w:val="21"/>
  </w:num>
  <w:num w:numId="20">
    <w:abstractNumId w:val="23"/>
  </w:num>
  <w:num w:numId="21">
    <w:abstractNumId w:val="1"/>
  </w:num>
  <w:num w:numId="22">
    <w:abstractNumId w:val="6"/>
  </w:num>
  <w:num w:numId="23">
    <w:abstractNumId w:val="12"/>
  </w:num>
  <w:num w:numId="24">
    <w:abstractNumId w:val="11"/>
  </w:num>
  <w:num w:numId="25">
    <w:abstractNumId w:val="22"/>
  </w:num>
  <w:num w:numId="26">
    <w:abstractNumId w:val="4"/>
  </w:num>
  <w:num w:numId="27">
    <w:abstractNumId w:val="0"/>
  </w:num>
  <w:num w:numId="28">
    <w:abstractNumId w:val="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MX"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6CE"/>
    <w:rsid w:val="00000790"/>
    <w:rsid w:val="00000C60"/>
    <w:rsid w:val="0000110B"/>
    <w:rsid w:val="00002A07"/>
    <w:rsid w:val="00003499"/>
    <w:rsid w:val="000039B7"/>
    <w:rsid w:val="00005110"/>
    <w:rsid w:val="00005528"/>
    <w:rsid w:val="00006EF4"/>
    <w:rsid w:val="00006F54"/>
    <w:rsid w:val="00007D7D"/>
    <w:rsid w:val="000108DE"/>
    <w:rsid w:val="00010AFE"/>
    <w:rsid w:val="00010BB7"/>
    <w:rsid w:val="00012D4F"/>
    <w:rsid w:val="00013247"/>
    <w:rsid w:val="00013588"/>
    <w:rsid w:val="0001366C"/>
    <w:rsid w:val="00013D57"/>
    <w:rsid w:val="00013DAF"/>
    <w:rsid w:val="000144FE"/>
    <w:rsid w:val="00015459"/>
    <w:rsid w:val="00015886"/>
    <w:rsid w:val="000162EF"/>
    <w:rsid w:val="000165EF"/>
    <w:rsid w:val="00017237"/>
    <w:rsid w:val="00017EB6"/>
    <w:rsid w:val="000221CA"/>
    <w:rsid w:val="0002225F"/>
    <w:rsid w:val="00022316"/>
    <w:rsid w:val="00022E96"/>
    <w:rsid w:val="00022EC8"/>
    <w:rsid w:val="00023763"/>
    <w:rsid w:val="0002451D"/>
    <w:rsid w:val="00024C3D"/>
    <w:rsid w:val="0002668A"/>
    <w:rsid w:val="00030F7D"/>
    <w:rsid w:val="000320DA"/>
    <w:rsid w:val="00032E14"/>
    <w:rsid w:val="000337D7"/>
    <w:rsid w:val="00033863"/>
    <w:rsid w:val="00033B8A"/>
    <w:rsid w:val="0003414C"/>
    <w:rsid w:val="00034A33"/>
    <w:rsid w:val="0003537F"/>
    <w:rsid w:val="00035701"/>
    <w:rsid w:val="00035DC0"/>
    <w:rsid w:val="00035F2C"/>
    <w:rsid w:val="0003638A"/>
    <w:rsid w:val="00036600"/>
    <w:rsid w:val="00036829"/>
    <w:rsid w:val="000369F4"/>
    <w:rsid w:val="00040500"/>
    <w:rsid w:val="0004079E"/>
    <w:rsid w:val="00040895"/>
    <w:rsid w:val="00043455"/>
    <w:rsid w:val="000439E1"/>
    <w:rsid w:val="00043C37"/>
    <w:rsid w:val="00043E26"/>
    <w:rsid w:val="00043E95"/>
    <w:rsid w:val="000441C0"/>
    <w:rsid w:val="00044A65"/>
    <w:rsid w:val="00045017"/>
    <w:rsid w:val="0004508D"/>
    <w:rsid w:val="000455A7"/>
    <w:rsid w:val="00045A2B"/>
    <w:rsid w:val="00045E7F"/>
    <w:rsid w:val="0004698F"/>
    <w:rsid w:val="00047306"/>
    <w:rsid w:val="000474A5"/>
    <w:rsid w:val="00047691"/>
    <w:rsid w:val="00047BBE"/>
    <w:rsid w:val="00047C4C"/>
    <w:rsid w:val="000507D7"/>
    <w:rsid w:val="00050FD6"/>
    <w:rsid w:val="00051413"/>
    <w:rsid w:val="0005178A"/>
    <w:rsid w:val="00051AA8"/>
    <w:rsid w:val="000520AA"/>
    <w:rsid w:val="000525AD"/>
    <w:rsid w:val="0005341E"/>
    <w:rsid w:val="000534DE"/>
    <w:rsid w:val="000539D0"/>
    <w:rsid w:val="00053E84"/>
    <w:rsid w:val="00054621"/>
    <w:rsid w:val="000546D7"/>
    <w:rsid w:val="00056E3A"/>
    <w:rsid w:val="00056FA0"/>
    <w:rsid w:val="00057D0E"/>
    <w:rsid w:val="0006005F"/>
    <w:rsid w:val="00060979"/>
    <w:rsid w:val="00060B14"/>
    <w:rsid w:val="00060C51"/>
    <w:rsid w:val="0006174E"/>
    <w:rsid w:val="00061EFF"/>
    <w:rsid w:val="000637B7"/>
    <w:rsid w:val="00063E6C"/>
    <w:rsid w:val="0006403A"/>
    <w:rsid w:val="00065481"/>
    <w:rsid w:val="000656C0"/>
    <w:rsid w:val="0006586B"/>
    <w:rsid w:val="00066360"/>
    <w:rsid w:val="00067346"/>
    <w:rsid w:val="00071248"/>
    <w:rsid w:val="00071D5B"/>
    <w:rsid w:val="000720B9"/>
    <w:rsid w:val="000726B7"/>
    <w:rsid w:val="000737F7"/>
    <w:rsid w:val="00073F54"/>
    <w:rsid w:val="000742A6"/>
    <w:rsid w:val="00075303"/>
    <w:rsid w:val="00075AF5"/>
    <w:rsid w:val="00075B14"/>
    <w:rsid w:val="00075E8C"/>
    <w:rsid w:val="0007672F"/>
    <w:rsid w:val="000774F0"/>
    <w:rsid w:val="00080587"/>
    <w:rsid w:val="00080909"/>
    <w:rsid w:val="000812CA"/>
    <w:rsid w:val="0008202C"/>
    <w:rsid w:val="00082060"/>
    <w:rsid w:val="00082151"/>
    <w:rsid w:val="000823D5"/>
    <w:rsid w:val="0008258D"/>
    <w:rsid w:val="000833EE"/>
    <w:rsid w:val="00083E99"/>
    <w:rsid w:val="000846D2"/>
    <w:rsid w:val="000847FF"/>
    <w:rsid w:val="00084B39"/>
    <w:rsid w:val="00084E8E"/>
    <w:rsid w:val="000856C5"/>
    <w:rsid w:val="00085B3B"/>
    <w:rsid w:val="00085EA4"/>
    <w:rsid w:val="00086526"/>
    <w:rsid w:val="00087124"/>
    <w:rsid w:val="000871C4"/>
    <w:rsid w:val="000872FA"/>
    <w:rsid w:val="00090234"/>
    <w:rsid w:val="00090C7E"/>
    <w:rsid w:val="00090E52"/>
    <w:rsid w:val="0009203D"/>
    <w:rsid w:val="00092240"/>
    <w:rsid w:val="00092469"/>
    <w:rsid w:val="00092600"/>
    <w:rsid w:val="0009262B"/>
    <w:rsid w:val="00093310"/>
    <w:rsid w:val="00093624"/>
    <w:rsid w:val="00093A5A"/>
    <w:rsid w:val="00093F03"/>
    <w:rsid w:val="0009445C"/>
    <w:rsid w:val="00094B4D"/>
    <w:rsid w:val="00095FE5"/>
    <w:rsid w:val="00096284"/>
    <w:rsid w:val="00096494"/>
    <w:rsid w:val="000975F4"/>
    <w:rsid w:val="000A142B"/>
    <w:rsid w:val="000A189C"/>
    <w:rsid w:val="000A1BF7"/>
    <w:rsid w:val="000A1C28"/>
    <w:rsid w:val="000A247C"/>
    <w:rsid w:val="000A2B6A"/>
    <w:rsid w:val="000A3F4B"/>
    <w:rsid w:val="000A44CB"/>
    <w:rsid w:val="000A53C9"/>
    <w:rsid w:val="000A5761"/>
    <w:rsid w:val="000A5F64"/>
    <w:rsid w:val="000A6458"/>
    <w:rsid w:val="000A663D"/>
    <w:rsid w:val="000A6702"/>
    <w:rsid w:val="000A6899"/>
    <w:rsid w:val="000A71B1"/>
    <w:rsid w:val="000A729B"/>
    <w:rsid w:val="000A7BAB"/>
    <w:rsid w:val="000A7D08"/>
    <w:rsid w:val="000B0658"/>
    <w:rsid w:val="000B0670"/>
    <w:rsid w:val="000B0E75"/>
    <w:rsid w:val="000B1880"/>
    <w:rsid w:val="000B19D8"/>
    <w:rsid w:val="000B1D05"/>
    <w:rsid w:val="000B2A82"/>
    <w:rsid w:val="000B3F9F"/>
    <w:rsid w:val="000B5352"/>
    <w:rsid w:val="000B5822"/>
    <w:rsid w:val="000B603C"/>
    <w:rsid w:val="000B6CAC"/>
    <w:rsid w:val="000B6CD8"/>
    <w:rsid w:val="000B7612"/>
    <w:rsid w:val="000C053E"/>
    <w:rsid w:val="000C0690"/>
    <w:rsid w:val="000C186C"/>
    <w:rsid w:val="000C1F2C"/>
    <w:rsid w:val="000C32A9"/>
    <w:rsid w:val="000C3655"/>
    <w:rsid w:val="000C3DF9"/>
    <w:rsid w:val="000C4066"/>
    <w:rsid w:val="000C4E48"/>
    <w:rsid w:val="000C5BC6"/>
    <w:rsid w:val="000C5FFF"/>
    <w:rsid w:val="000C60C4"/>
    <w:rsid w:val="000C6713"/>
    <w:rsid w:val="000C683F"/>
    <w:rsid w:val="000C6F12"/>
    <w:rsid w:val="000C7C1E"/>
    <w:rsid w:val="000C7F33"/>
    <w:rsid w:val="000D1BFC"/>
    <w:rsid w:val="000D281A"/>
    <w:rsid w:val="000D326A"/>
    <w:rsid w:val="000D51AD"/>
    <w:rsid w:val="000D51FB"/>
    <w:rsid w:val="000D5538"/>
    <w:rsid w:val="000D5AE3"/>
    <w:rsid w:val="000D5D4F"/>
    <w:rsid w:val="000D63D4"/>
    <w:rsid w:val="000D69CB"/>
    <w:rsid w:val="000D6BE8"/>
    <w:rsid w:val="000D750A"/>
    <w:rsid w:val="000D77B7"/>
    <w:rsid w:val="000E0C09"/>
    <w:rsid w:val="000E0FF9"/>
    <w:rsid w:val="000E135D"/>
    <w:rsid w:val="000E1393"/>
    <w:rsid w:val="000E23C2"/>
    <w:rsid w:val="000E2631"/>
    <w:rsid w:val="000E28F2"/>
    <w:rsid w:val="000E2C40"/>
    <w:rsid w:val="000E3020"/>
    <w:rsid w:val="000E3D53"/>
    <w:rsid w:val="000E4123"/>
    <w:rsid w:val="000E49B8"/>
    <w:rsid w:val="000E5292"/>
    <w:rsid w:val="000E741F"/>
    <w:rsid w:val="000F00BA"/>
    <w:rsid w:val="000F08EA"/>
    <w:rsid w:val="000F1777"/>
    <w:rsid w:val="000F2688"/>
    <w:rsid w:val="000F2E3D"/>
    <w:rsid w:val="000F316A"/>
    <w:rsid w:val="000F37A7"/>
    <w:rsid w:val="000F39FE"/>
    <w:rsid w:val="000F3C74"/>
    <w:rsid w:val="000F3EFF"/>
    <w:rsid w:val="000F499C"/>
    <w:rsid w:val="000F4BB8"/>
    <w:rsid w:val="000F565E"/>
    <w:rsid w:val="000F6A97"/>
    <w:rsid w:val="000F6F5B"/>
    <w:rsid w:val="000F7127"/>
    <w:rsid w:val="0010023A"/>
    <w:rsid w:val="0010032B"/>
    <w:rsid w:val="00100952"/>
    <w:rsid w:val="00100F8A"/>
    <w:rsid w:val="0010223A"/>
    <w:rsid w:val="0010330D"/>
    <w:rsid w:val="001044B3"/>
    <w:rsid w:val="0010451C"/>
    <w:rsid w:val="00104FAB"/>
    <w:rsid w:val="00105AE2"/>
    <w:rsid w:val="00106B80"/>
    <w:rsid w:val="0011032E"/>
    <w:rsid w:val="00110B87"/>
    <w:rsid w:val="0011348B"/>
    <w:rsid w:val="00113735"/>
    <w:rsid w:val="001138A2"/>
    <w:rsid w:val="001147AE"/>
    <w:rsid w:val="00114E63"/>
    <w:rsid w:val="0011591F"/>
    <w:rsid w:val="00115982"/>
    <w:rsid w:val="00115B0F"/>
    <w:rsid w:val="001168D8"/>
    <w:rsid w:val="00116C53"/>
    <w:rsid w:val="00116FD9"/>
    <w:rsid w:val="00117790"/>
    <w:rsid w:val="00120761"/>
    <w:rsid w:val="00121034"/>
    <w:rsid w:val="0012144E"/>
    <w:rsid w:val="001216A1"/>
    <w:rsid w:val="00121799"/>
    <w:rsid w:val="001222FC"/>
    <w:rsid w:val="0012290A"/>
    <w:rsid w:val="00122ED6"/>
    <w:rsid w:val="00123BB2"/>
    <w:rsid w:val="00124A51"/>
    <w:rsid w:val="001251B5"/>
    <w:rsid w:val="00126621"/>
    <w:rsid w:val="00126A36"/>
    <w:rsid w:val="001279DB"/>
    <w:rsid w:val="001301E9"/>
    <w:rsid w:val="00131D82"/>
    <w:rsid w:val="001320D7"/>
    <w:rsid w:val="00133C76"/>
    <w:rsid w:val="00133D36"/>
    <w:rsid w:val="00133DF3"/>
    <w:rsid w:val="0013520D"/>
    <w:rsid w:val="00135382"/>
    <w:rsid w:val="001356C5"/>
    <w:rsid w:val="00135C33"/>
    <w:rsid w:val="00136101"/>
    <w:rsid w:val="00137645"/>
    <w:rsid w:val="00137A35"/>
    <w:rsid w:val="0014015A"/>
    <w:rsid w:val="00140E99"/>
    <w:rsid w:val="00141075"/>
    <w:rsid w:val="00141CF5"/>
    <w:rsid w:val="001425A8"/>
    <w:rsid w:val="00142DD9"/>
    <w:rsid w:val="0014358A"/>
    <w:rsid w:val="00143A2A"/>
    <w:rsid w:val="00144856"/>
    <w:rsid w:val="00145540"/>
    <w:rsid w:val="001456B0"/>
    <w:rsid w:val="00145BE2"/>
    <w:rsid w:val="0014610E"/>
    <w:rsid w:val="00146548"/>
    <w:rsid w:val="0014696D"/>
    <w:rsid w:val="00147A8E"/>
    <w:rsid w:val="00151843"/>
    <w:rsid w:val="00151AA5"/>
    <w:rsid w:val="001531AE"/>
    <w:rsid w:val="00153BEC"/>
    <w:rsid w:val="001561B9"/>
    <w:rsid w:val="00156C8F"/>
    <w:rsid w:val="00157130"/>
    <w:rsid w:val="001576B1"/>
    <w:rsid w:val="00157AC6"/>
    <w:rsid w:val="00160191"/>
    <w:rsid w:val="00160771"/>
    <w:rsid w:val="00160A4C"/>
    <w:rsid w:val="001616C1"/>
    <w:rsid w:val="00162913"/>
    <w:rsid w:val="00162B99"/>
    <w:rsid w:val="00163EFF"/>
    <w:rsid w:val="001640A3"/>
    <w:rsid w:val="00165243"/>
    <w:rsid w:val="001656FF"/>
    <w:rsid w:val="0016574C"/>
    <w:rsid w:val="001661FB"/>
    <w:rsid w:val="001662C5"/>
    <w:rsid w:val="0016719D"/>
    <w:rsid w:val="00170D6D"/>
    <w:rsid w:val="00170FD1"/>
    <w:rsid w:val="00171A55"/>
    <w:rsid w:val="001725EE"/>
    <w:rsid w:val="00172C86"/>
    <w:rsid w:val="00173565"/>
    <w:rsid w:val="00173B07"/>
    <w:rsid w:val="00175700"/>
    <w:rsid w:val="001757CC"/>
    <w:rsid w:val="001761F3"/>
    <w:rsid w:val="00176B4B"/>
    <w:rsid w:val="00180532"/>
    <w:rsid w:val="0018067D"/>
    <w:rsid w:val="00180B12"/>
    <w:rsid w:val="00181D9C"/>
    <w:rsid w:val="001822AC"/>
    <w:rsid w:val="00182853"/>
    <w:rsid w:val="001829E1"/>
    <w:rsid w:val="00183275"/>
    <w:rsid w:val="00183AB2"/>
    <w:rsid w:val="00184057"/>
    <w:rsid w:val="00184341"/>
    <w:rsid w:val="001848F6"/>
    <w:rsid w:val="0018648E"/>
    <w:rsid w:val="00186909"/>
    <w:rsid w:val="00187023"/>
    <w:rsid w:val="0018752F"/>
    <w:rsid w:val="00191480"/>
    <w:rsid w:val="00192A86"/>
    <w:rsid w:val="00192D8D"/>
    <w:rsid w:val="00192FC8"/>
    <w:rsid w:val="00193A25"/>
    <w:rsid w:val="00195222"/>
    <w:rsid w:val="001952ED"/>
    <w:rsid w:val="00197194"/>
    <w:rsid w:val="001975D8"/>
    <w:rsid w:val="0019774B"/>
    <w:rsid w:val="00197B66"/>
    <w:rsid w:val="001A074E"/>
    <w:rsid w:val="001A0CB3"/>
    <w:rsid w:val="001A0DC5"/>
    <w:rsid w:val="001A1A3B"/>
    <w:rsid w:val="001A1CA7"/>
    <w:rsid w:val="001A2C6C"/>
    <w:rsid w:val="001A3BDC"/>
    <w:rsid w:val="001A3D96"/>
    <w:rsid w:val="001A43FA"/>
    <w:rsid w:val="001A45A3"/>
    <w:rsid w:val="001A472D"/>
    <w:rsid w:val="001A5619"/>
    <w:rsid w:val="001A59FB"/>
    <w:rsid w:val="001A5F25"/>
    <w:rsid w:val="001A6354"/>
    <w:rsid w:val="001A7168"/>
    <w:rsid w:val="001A752F"/>
    <w:rsid w:val="001A7AE8"/>
    <w:rsid w:val="001A7FF3"/>
    <w:rsid w:val="001B037C"/>
    <w:rsid w:val="001B078E"/>
    <w:rsid w:val="001B09EA"/>
    <w:rsid w:val="001B1788"/>
    <w:rsid w:val="001B204E"/>
    <w:rsid w:val="001B2411"/>
    <w:rsid w:val="001B2683"/>
    <w:rsid w:val="001B3443"/>
    <w:rsid w:val="001B3522"/>
    <w:rsid w:val="001B4674"/>
    <w:rsid w:val="001B49BA"/>
    <w:rsid w:val="001B4CED"/>
    <w:rsid w:val="001B4D20"/>
    <w:rsid w:val="001B5739"/>
    <w:rsid w:val="001B5931"/>
    <w:rsid w:val="001B5B15"/>
    <w:rsid w:val="001B6DD1"/>
    <w:rsid w:val="001B70C1"/>
    <w:rsid w:val="001B73B0"/>
    <w:rsid w:val="001B7A73"/>
    <w:rsid w:val="001C123C"/>
    <w:rsid w:val="001C2806"/>
    <w:rsid w:val="001C2A9B"/>
    <w:rsid w:val="001C2FC2"/>
    <w:rsid w:val="001C4299"/>
    <w:rsid w:val="001C467B"/>
    <w:rsid w:val="001C534D"/>
    <w:rsid w:val="001C573D"/>
    <w:rsid w:val="001C5F94"/>
    <w:rsid w:val="001C6E66"/>
    <w:rsid w:val="001C7501"/>
    <w:rsid w:val="001C7F36"/>
    <w:rsid w:val="001D1B9A"/>
    <w:rsid w:val="001D1EC9"/>
    <w:rsid w:val="001D1F9E"/>
    <w:rsid w:val="001D1FD1"/>
    <w:rsid w:val="001D26BB"/>
    <w:rsid w:val="001D27DE"/>
    <w:rsid w:val="001D36B5"/>
    <w:rsid w:val="001D3805"/>
    <w:rsid w:val="001D452C"/>
    <w:rsid w:val="001D5561"/>
    <w:rsid w:val="001D5867"/>
    <w:rsid w:val="001D6394"/>
    <w:rsid w:val="001D6C1F"/>
    <w:rsid w:val="001D75D5"/>
    <w:rsid w:val="001E0A0F"/>
    <w:rsid w:val="001E0E89"/>
    <w:rsid w:val="001E19C1"/>
    <w:rsid w:val="001E238E"/>
    <w:rsid w:val="001E2483"/>
    <w:rsid w:val="001E263D"/>
    <w:rsid w:val="001E2B1E"/>
    <w:rsid w:val="001E2B5D"/>
    <w:rsid w:val="001E30D4"/>
    <w:rsid w:val="001E4418"/>
    <w:rsid w:val="001E44F9"/>
    <w:rsid w:val="001E4D7B"/>
    <w:rsid w:val="001E52EB"/>
    <w:rsid w:val="001E5AE4"/>
    <w:rsid w:val="001E6141"/>
    <w:rsid w:val="001E61D2"/>
    <w:rsid w:val="001E649F"/>
    <w:rsid w:val="001E6A92"/>
    <w:rsid w:val="001E6C8E"/>
    <w:rsid w:val="001E740C"/>
    <w:rsid w:val="001E7558"/>
    <w:rsid w:val="001E7799"/>
    <w:rsid w:val="001F0199"/>
    <w:rsid w:val="001F03AD"/>
    <w:rsid w:val="001F077E"/>
    <w:rsid w:val="001F1235"/>
    <w:rsid w:val="001F1868"/>
    <w:rsid w:val="001F1B73"/>
    <w:rsid w:val="001F1CB3"/>
    <w:rsid w:val="001F38B5"/>
    <w:rsid w:val="001F436F"/>
    <w:rsid w:val="001F468A"/>
    <w:rsid w:val="001F4C51"/>
    <w:rsid w:val="001F5039"/>
    <w:rsid w:val="001F57CA"/>
    <w:rsid w:val="001F66A4"/>
    <w:rsid w:val="001F6B28"/>
    <w:rsid w:val="001F6BED"/>
    <w:rsid w:val="001F6D0E"/>
    <w:rsid w:val="001F7361"/>
    <w:rsid w:val="001F7E9A"/>
    <w:rsid w:val="00200A5D"/>
    <w:rsid w:val="00200D4A"/>
    <w:rsid w:val="002011B0"/>
    <w:rsid w:val="00203181"/>
    <w:rsid w:val="00203783"/>
    <w:rsid w:val="0020385F"/>
    <w:rsid w:val="002038CB"/>
    <w:rsid w:val="00207021"/>
    <w:rsid w:val="0020732F"/>
    <w:rsid w:val="00207D00"/>
    <w:rsid w:val="00207D6B"/>
    <w:rsid w:val="00207E15"/>
    <w:rsid w:val="002105C1"/>
    <w:rsid w:val="00212EBB"/>
    <w:rsid w:val="0021372E"/>
    <w:rsid w:val="00213EB4"/>
    <w:rsid w:val="00215713"/>
    <w:rsid w:val="002172AC"/>
    <w:rsid w:val="0021793E"/>
    <w:rsid w:val="00217C7E"/>
    <w:rsid w:val="0022017B"/>
    <w:rsid w:val="00221947"/>
    <w:rsid w:val="00221F5C"/>
    <w:rsid w:val="0022264C"/>
    <w:rsid w:val="00222FBC"/>
    <w:rsid w:val="00223B49"/>
    <w:rsid w:val="00224CFB"/>
    <w:rsid w:val="00224DD4"/>
    <w:rsid w:val="00224E7C"/>
    <w:rsid w:val="002253FD"/>
    <w:rsid w:val="002271B1"/>
    <w:rsid w:val="0023092A"/>
    <w:rsid w:val="002309CC"/>
    <w:rsid w:val="002314E8"/>
    <w:rsid w:val="0023209F"/>
    <w:rsid w:val="00232B60"/>
    <w:rsid w:val="002330B1"/>
    <w:rsid w:val="00233C3A"/>
    <w:rsid w:val="0023599F"/>
    <w:rsid w:val="0023629D"/>
    <w:rsid w:val="002366DE"/>
    <w:rsid w:val="00236ABD"/>
    <w:rsid w:val="00236E1D"/>
    <w:rsid w:val="00237255"/>
    <w:rsid w:val="00240659"/>
    <w:rsid w:val="002406DF"/>
    <w:rsid w:val="0024073A"/>
    <w:rsid w:val="002424AF"/>
    <w:rsid w:val="00242FCF"/>
    <w:rsid w:val="002430B1"/>
    <w:rsid w:val="002439DC"/>
    <w:rsid w:val="00244A2E"/>
    <w:rsid w:val="00244DC8"/>
    <w:rsid w:val="00245649"/>
    <w:rsid w:val="002458BA"/>
    <w:rsid w:val="00246314"/>
    <w:rsid w:val="0024636C"/>
    <w:rsid w:val="002468B3"/>
    <w:rsid w:val="00247131"/>
    <w:rsid w:val="00247925"/>
    <w:rsid w:val="00247995"/>
    <w:rsid w:val="00250DE7"/>
    <w:rsid w:val="00252A55"/>
    <w:rsid w:val="002545DE"/>
    <w:rsid w:val="00254DCF"/>
    <w:rsid w:val="00255331"/>
    <w:rsid w:val="0025534B"/>
    <w:rsid w:val="0025574B"/>
    <w:rsid w:val="00255BB7"/>
    <w:rsid w:val="002568BD"/>
    <w:rsid w:val="00256A0F"/>
    <w:rsid w:val="00257541"/>
    <w:rsid w:val="00257DE9"/>
    <w:rsid w:val="00260810"/>
    <w:rsid w:val="002616FF"/>
    <w:rsid w:val="00261880"/>
    <w:rsid w:val="00261FF0"/>
    <w:rsid w:val="00262144"/>
    <w:rsid w:val="0026293D"/>
    <w:rsid w:val="00262A1A"/>
    <w:rsid w:val="00262A87"/>
    <w:rsid w:val="002634A2"/>
    <w:rsid w:val="002635BC"/>
    <w:rsid w:val="00263DC4"/>
    <w:rsid w:val="002643A4"/>
    <w:rsid w:val="00264D26"/>
    <w:rsid w:val="0026590B"/>
    <w:rsid w:val="00265B40"/>
    <w:rsid w:val="00267642"/>
    <w:rsid w:val="00267AEA"/>
    <w:rsid w:val="002700E6"/>
    <w:rsid w:val="00270357"/>
    <w:rsid w:val="00270974"/>
    <w:rsid w:val="002714F6"/>
    <w:rsid w:val="00271A0A"/>
    <w:rsid w:val="00271A89"/>
    <w:rsid w:val="00271D14"/>
    <w:rsid w:val="0027294B"/>
    <w:rsid w:val="0027404E"/>
    <w:rsid w:val="00275676"/>
    <w:rsid w:val="002756BA"/>
    <w:rsid w:val="00275C5A"/>
    <w:rsid w:val="00275E41"/>
    <w:rsid w:val="00280015"/>
    <w:rsid w:val="00281014"/>
    <w:rsid w:val="00281158"/>
    <w:rsid w:val="0028171D"/>
    <w:rsid w:val="00282B01"/>
    <w:rsid w:val="00283304"/>
    <w:rsid w:val="0028366F"/>
    <w:rsid w:val="00283A36"/>
    <w:rsid w:val="00285E7B"/>
    <w:rsid w:val="002868F9"/>
    <w:rsid w:val="00286B30"/>
    <w:rsid w:val="00286FF8"/>
    <w:rsid w:val="00287196"/>
    <w:rsid w:val="00290060"/>
    <w:rsid w:val="00290811"/>
    <w:rsid w:val="002911E9"/>
    <w:rsid w:val="00291C7E"/>
    <w:rsid w:val="00291FC1"/>
    <w:rsid w:val="00292320"/>
    <w:rsid w:val="002928D1"/>
    <w:rsid w:val="002932C8"/>
    <w:rsid w:val="0029574A"/>
    <w:rsid w:val="00296039"/>
    <w:rsid w:val="00297387"/>
    <w:rsid w:val="002A03A7"/>
    <w:rsid w:val="002A14AB"/>
    <w:rsid w:val="002A26A2"/>
    <w:rsid w:val="002A2F50"/>
    <w:rsid w:val="002A4CBB"/>
    <w:rsid w:val="002A50A8"/>
    <w:rsid w:val="002A5793"/>
    <w:rsid w:val="002A5C64"/>
    <w:rsid w:val="002A6B17"/>
    <w:rsid w:val="002B018C"/>
    <w:rsid w:val="002B06A9"/>
    <w:rsid w:val="002B09A4"/>
    <w:rsid w:val="002B1C1F"/>
    <w:rsid w:val="002B2AAF"/>
    <w:rsid w:val="002B378D"/>
    <w:rsid w:val="002B432F"/>
    <w:rsid w:val="002B4DB9"/>
    <w:rsid w:val="002B5836"/>
    <w:rsid w:val="002B62B3"/>
    <w:rsid w:val="002B6610"/>
    <w:rsid w:val="002B6754"/>
    <w:rsid w:val="002B6CCE"/>
    <w:rsid w:val="002B6D2F"/>
    <w:rsid w:val="002C0029"/>
    <w:rsid w:val="002C0111"/>
    <w:rsid w:val="002C045E"/>
    <w:rsid w:val="002C0509"/>
    <w:rsid w:val="002C2143"/>
    <w:rsid w:val="002C2510"/>
    <w:rsid w:val="002C2775"/>
    <w:rsid w:val="002C27C1"/>
    <w:rsid w:val="002C32CF"/>
    <w:rsid w:val="002C3C4F"/>
    <w:rsid w:val="002C420A"/>
    <w:rsid w:val="002C42E9"/>
    <w:rsid w:val="002C4B75"/>
    <w:rsid w:val="002C5099"/>
    <w:rsid w:val="002C531C"/>
    <w:rsid w:val="002C5889"/>
    <w:rsid w:val="002C64CA"/>
    <w:rsid w:val="002C6B77"/>
    <w:rsid w:val="002C71CE"/>
    <w:rsid w:val="002C7952"/>
    <w:rsid w:val="002D0573"/>
    <w:rsid w:val="002D05FE"/>
    <w:rsid w:val="002D16B4"/>
    <w:rsid w:val="002D17AB"/>
    <w:rsid w:val="002D1AC8"/>
    <w:rsid w:val="002D2277"/>
    <w:rsid w:val="002D2F70"/>
    <w:rsid w:val="002D46AD"/>
    <w:rsid w:val="002D4820"/>
    <w:rsid w:val="002D53A2"/>
    <w:rsid w:val="002D577C"/>
    <w:rsid w:val="002D588F"/>
    <w:rsid w:val="002D5ACA"/>
    <w:rsid w:val="002D6F18"/>
    <w:rsid w:val="002E15B9"/>
    <w:rsid w:val="002E2158"/>
    <w:rsid w:val="002E2381"/>
    <w:rsid w:val="002E3114"/>
    <w:rsid w:val="002E3526"/>
    <w:rsid w:val="002E3E5C"/>
    <w:rsid w:val="002E4331"/>
    <w:rsid w:val="002E4BB5"/>
    <w:rsid w:val="002E5BBE"/>
    <w:rsid w:val="002E7722"/>
    <w:rsid w:val="002F0242"/>
    <w:rsid w:val="002F0767"/>
    <w:rsid w:val="002F07AC"/>
    <w:rsid w:val="002F07BA"/>
    <w:rsid w:val="002F084E"/>
    <w:rsid w:val="002F0DA9"/>
    <w:rsid w:val="002F14B5"/>
    <w:rsid w:val="002F1EFC"/>
    <w:rsid w:val="002F2D00"/>
    <w:rsid w:val="002F3429"/>
    <w:rsid w:val="002F36E9"/>
    <w:rsid w:val="002F3B48"/>
    <w:rsid w:val="002F643C"/>
    <w:rsid w:val="002F6924"/>
    <w:rsid w:val="002F71C0"/>
    <w:rsid w:val="002F79BE"/>
    <w:rsid w:val="0030002F"/>
    <w:rsid w:val="003007A3"/>
    <w:rsid w:val="00300B01"/>
    <w:rsid w:val="00300E9F"/>
    <w:rsid w:val="00301017"/>
    <w:rsid w:val="0030155F"/>
    <w:rsid w:val="003023B2"/>
    <w:rsid w:val="0030282F"/>
    <w:rsid w:val="00304B97"/>
    <w:rsid w:val="0030587B"/>
    <w:rsid w:val="00306929"/>
    <w:rsid w:val="00306D98"/>
    <w:rsid w:val="00306E3A"/>
    <w:rsid w:val="0030786C"/>
    <w:rsid w:val="0031031A"/>
    <w:rsid w:val="00310790"/>
    <w:rsid w:val="00310981"/>
    <w:rsid w:val="00312075"/>
    <w:rsid w:val="0031353E"/>
    <w:rsid w:val="00315498"/>
    <w:rsid w:val="00315B8D"/>
    <w:rsid w:val="0031753A"/>
    <w:rsid w:val="003214BD"/>
    <w:rsid w:val="00321916"/>
    <w:rsid w:val="00321BE2"/>
    <w:rsid w:val="00322107"/>
    <w:rsid w:val="00322846"/>
    <w:rsid w:val="00323225"/>
    <w:rsid w:val="00323239"/>
    <w:rsid w:val="003245FF"/>
    <w:rsid w:val="00325615"/>
    <w:rsid w:val="003257EA"/>
    <w:rsid w:val="00325B98"/>
    <w:rsid w:val="00325EF2"/>
    <w:rsid w:val="00326DA7"/>
    <w:rsid w:val="003270E4"/>
    <w:rsid w:val="003277EF"/>
    <w:rsid w:val="00330584"/>
    <w:rsid w:val="00330C79"/>
    <w:rsid w:val="00330F5C"/>
    <w:rsid w:val="003316CF"/>
    <w:rsid w:val="00332406"/>
    <w:rsid w:val="003324AC"/>
    <w:rsid w:val="003328F0"/>
    <w:rsid w:val="00333136"/>
    <w:rsid w:val="00335088"/>
    <w:rsid w:val="00335DFE"/>
    <w:rsid w:val="003366C9"/>
    <w:rsid w:val="00336A31"/>
    <w:rsid w:val="003371B0"/>
    <w:rsid w:val="00337EDC"/>
    <w:rsid w:val="00340169"/>
    <w:rsid w:val="00340DF1"/>
    <w:rsid w:val="00343B5E"/>
    <w:rsid w:val="003440B6"/>
    <w:rsid w:val="003441D9"/>
    <w:rsid w:val="00344894"/>
    <w:rsid w:val="00345831"/>
    <w:rsid w:val="00345A56"/>
    <w:rsid w:val="00345E48"/>
    <w:rsid w:val="0034637C"/>
    <w:rsid w:val="00347078"/>
    <w:rsid w:val="00347E71"/>
    <w:rsid w:val="0035033A"/>
    <w:rsid w:val="003517F9"/>
    <w:rsid w:val="0035185C"/>
    <w:rsid w:val="00352E27"/>
    <w:rsid w:val="003538FA"/>
    <w:rsid w:val="00355A8B"/>
    <w:rsid w:val="00355EB5"/>
    <w:rsid w:val="0035620E"/>
    <w:rsid w:val="0035686B"/>
    <w:rsid w:val="00356879"/>
    <w:rsid w:val="00361AD3"/>
    <w:rsid w:val="003624C4"/>
    <w:rsid w:val="003654AC"/>
    <w:rsid w:val="00365A0D"/>
    <w:rsid w:val="003662E9"/>
    <w:rsid w:val="00366767"/>
    <w:rsid w:val="00366D3B"/>
    <w:rsid w:val="003672A9"/>
    <w:rsid w:val="00370529"/>
    <w:rsid w:val="003710CF"/>
    <w:rsid w:val="0037358A"/>
    <w:rsid w:val="00373A9B"/>
    <w:rsid w:val="00373D5D"/>
    <w:rsid w:val="0037426B"/>
    <w:rsid w:val="003744A4"/>
    <w:rsid w:val="003750F6"/>
    <w:rsid w:val="003754E0"/>
    <w:rsid w:val="00375634"/>
    <w:rsid w:val="003757A7"/>
    <w:rsid w:val="003760FC"/>
    <w:rsid w:val="00377DD7"/>
    <w:rsid w:val="00380C8A"/>
    <w:rsid w:val="00380DBE"/>
    <w:rsid w:val="00380F72"/>
    <w:rsid w:val="00381B30"/>
    <w:rsid w:val="00381F0B"/>
    <w:rsid w:val="00382005"/>
    <w:rsid w:val="00382C6B"/>
    <w:rsid w:val="00382CF7"/>
    <w:rsid w:val="003834B9"/>
    <w:rsid w:val="0038363A"/>
    <w:rsid w:val="0038365C"/>
    <w:rsid w:val="00383671"/>
    <w:rsid w:val="0038369B"/>
    <w:rsid w:val="00383B78"/>
    <w:rsid w:val="003844C9"/>
    <w:rsid w:val="00384BD0"/>
    <w:rsid w:val="00385668"/>
    <w:rsid w:val="00385831"/>
    <w:rsid w:val="00385A9D"/>
    <w:rsid w:val="00386096"/>
    <w:rsid w:val="00387045"/>
    <w:rsid w:val="003902B1"/>
    <w:rsid w:val="0039081F"/>
    <w:rsid w:val="003912A8"/>
    <w:rsid w:val="00393D27"/>
    <w:rsid w:val="00393D5D"/>
    <w:rsid w:val="00394C97"/>
    <w:rsid w:val="003953B4"/>
    <w:rsid w:val="00396038"/>
    <w:rsid w:val="00396896"/>
    <w:rsid w:val="003968DB"/>
    <w:rsid w:val="00396AD0"/>
    <w:rsid w:val="00396FD0"/>
    <w:rsid w:val="00397287"/>
    <w:rsid w:val="00397624"/>
    <w:rsid w:val="003A0451"/>
    <w:rsid w:val="003A06A4"/>
    <w:rsid w:val="003A1A7A"/>
    <w:rsid w:val="003A2392"/>
    <w:rsid w:val="003A258B"/>
    <w:rsid w:val="003A2831"/>
    <w:rsid w:val="003A2F3A"/>
    <w:rsid w:val="003A3325"/>
    <w:rsid w:val="003A39B5"/>
    <w:rsid w:val="003A3ED1"/>
    <w:rsid w:val="003A419E"/>
    <w:rsid w:val="003A420D"/>
    <w:rsid w:val="003A5558"/>
    <w:rsid w:val="003A5AFC"/>
    <w:rsid w:val="003A6859"/>
    <w:rsid w:val="003A7852"/>
    <w:rsid w:val="003A7ADF"/>
    <w:rsid w:val="003A7CC4"/>
    <w:rsid w:val="003B0239"/>
    <w:rsid w:val="003B4F35"/>
    <w:rsid w:val="003B57F0"/>
    <w:rsid w:val="003B5B61"/>
    <w:rsid w:val="003B685A"/>
    <w:rsid w:val="003B6F24"/>
    <w:rsid w:val="003B6F95"/>
    <w:rsid w:val="003B7927"/>
    <w:rsid w:val="003B7BFC"/>
    <w:rsid w:val="003C00F5"/>
    <w:rsid w:val="003C04BF"/>
    <w:rsid w:val="003C05EE"/>
    <w:rsid w:val="003C071B"/>
    <w:rsid w:val="003C0737"/>
    <w:rsid w:val="003C0F17"/>
    <w:rsid w:val="003C1654"/>
    <w:rsid w:val="003C38A3"/>
    <w:rsid w:val="003C5A62"/>
    <w:rsid w:val="003C6843"/>
    <w:rsid w:val="003C7D19"/>
    <w:rsid w:val="003D0483"/>
    <w:rsid w:val="003D14D1"/>
    <w:rsid w:val="003D1828"/>
    <w:rsid w:val="003D1DE4"/>
    <w:rsid w:val="003D1F2A"/>
    <w:rsid w:val="003D2422"/>
    <w:rsid w:val="003D244A"/>
    <w:rsid w:val="003D2569"/>
    <w:rsid w:val="003D2C36"/>
    <w:rsid w:val="003D39A1"/>
    <w:rsid w:val="003D3FBF"/>
    <w:rsid w:val="003D4234"/>
    <w:rsid w:val="003D42AC"/>
    <w:rsid w:val="003D4A30"/>
    <w:rsid w:val="003D5350"/>
    <w:rsid w:val="003D560F"/>
    <w:rsid w:val="003D79BB"/>
    <w:rsid w:val="003D7C98"/>
    <w:rsid w:val="003E0360"/>
    <w:rsid w:val="003E0543"/>
    <w:rsid w:val="003E1BD4"/>
    <w:rsid w:val="003E1E97"/>
    <w:rsid w:val="003E296E"/>
    <w:rsid w:val="003E2AD0"/>
    <w:rsid w:val="003E2ECE"/>
    <w:rsid w:val="003E393C"/>
    <w:rsid w:val="003E3B05"/>
    <w:rsid w:val="003E4FDC"/>
    <w:rsid w:val="003E6A1D"/>
    <w:rsid w:val="003E6D43"/>
    <w:rsid w:val="003E6EFD"/>
    <w:rsid w:val="003E73B8"/>
    <w:rsid w:val="003E7BFD"/>
    <w:rsid w:val="003E7C4E"/>
    <w:rsid w:val="003E7FB3"/>
    <w:rsid w:val="003F2783"/>
    <w:rsid w:val="003F28A2"/>
    <w:rsid w:val="003F3FC7"/>
    <w:rsid w:val="003F4156"/>
    <w:rsid w:val="003F4567"/>
    <w:rsid w:val="003F472B"/>
    <w:rsid w:val="003F4871"/>
    <w:rsid w:val="003F4B1B"/>
    <w:rsid w:val="003F60C5"/>
    <w:rsid w:val="003F72A3"/>
    <w:rsid w:val="003F7415"/>
    <w:rsid w:val="003F7AE8"/>
    <w:rsid w:val="00400B29"/>
    <w:rsid w:val="00401769"/>
    <w:rsid w:val="00401C48"/>
    <w:rsid w:val="00402B99"/>
    <w:rsid w:val="00404249"/>
    <w:rsid w:val="00404721"/>
    <w:rsid w:val="00404B1A"/>
    <w:rsid w:val="0040504B"/>
    <w:rsid w:val="004052D7"/>
    <w:rsid w:val="0040594F"/>
    <w:rsid w:val="00406647"/>
    <w:rsid w:val="00406CD1"/>
    <w:rsid w:val="00407813"/>
    <w:rsid w:val="004079CF"/>
    <w:rsid w:val="0041068E"/>
    <w:rsid w:val="00410708"/>
    <w:rsid w:val="00410EC7"/>
    <w:rsid w:val="00411B39"/>
    <w:rsid w:val="004122A2"/>
    <w:rsid w:val="00412795"/>
    <w:rsid w:val="00412FE7"/>
    <w:rsid w:val="00413682"/>
    <w:rsid w:val="00413A1E"/>
    <w:rsid w:val="00413F1C"/>
    <w:rsid w:val="004140DA"/>
    <w:rsid w:val="00414476"/>
    <w:rsid w:val="00414C2E"/>
    <w:rsid w:val="00414E41"/>
    <w:rsid w:val="004151CF"/>
    <w:rsid w:val="00416364"/>
    <w:rsid w:val="0041650D"/>
    <w:rsid w:val="00416C64"/>
    <w:rsid w:val="004206A8"/>
    <w:rsid w:val="00420AA6"/>
    <w:rsid w:val="00420B9F"/>
    <w:rsid w:val="00421F29"/>
    <w:rsid w:val="00422260"/>
    <w:rsid w:val="004227F7"/>
    <w:rsid w:val="00422DE3"/>
    <w:rsid w:val="00423C46"/>
    <w:rsid w:val="0042413F"/>
    <w:rsid w:val="0042417F"/>
    <w:rsid w:val="0042459A"/>
    <w:rsid w:val="00424F9F"/>
    <w:rsid w:val="00425BDC"/>
    <w:rsid w:val="00425C86"/>
    <w:rsid w:val="004265E3"/>
    <w:rsid w:val="00426E10"/>
    <w:rsid w:val="004319F8"/>
    <w:rsid w:val="00431AAE"/>
    <w:rsid w:val="00431E55"/>
    <w:rsid w:val="004321F6"/>
    <w:rsid w:val="004325A4"/>
    <w:rsid w:val="00433044"/>
    <w:rsid w:val="0043359D"/>
    <w:rsid w:val="00433E3F"/>
    <w:rsid w:val="00434B23"/>
    <w:rsid w:val="00435487"/>
    <w:rsid w:val="00435D88"/>
    <w:rsid w:val="00436316"/>
    <w:rsid w:val="00436741"/>
    <w:rsid w:val="00436AEE"/>
    <w:rsid w:val="00436E7D"/>
    <w:rsid w:val="00436EF7"/>
    <w:rsid w:val="004370A9"/>
    <w:rsid w:val="004375B9"/>
    <w:rsid w:val="004408D4"/>
    <w:rsid w:val="004411A3"/>
    <w:rsid w:val="0044191E"/>
    <w:rsid w:val="0044260F"/>
    <w:rsid w:val="004428C5"/>
    <w:rsid w:val="004428D0"/>
    <w:rsid w:val="00443846"/>
    <w:rsid w:val="00443C4A"/>
    <w:rsid w:val="004443A7"/>
    <w:rsid w:val="0044442C"/>
    <w:rsid w:val="0044468B"/>
    <w:rsid w:val="00444DBF"/>
    <w:rsid w:val="004451FF"/>
    <w:rsid w:val="00445941"/>
    <w:rsid w:val="00445EF7"/>
    <w:rsid w:val="004464EB"/>
    <w:rsid w:val="004468FE"/>
    <w:rsid w:val="004474C3"/>
    <w:rsid w:val="00447703"/>
    <w:rsid w:val="00447D26"/>
    <w:rsid w:val="00450765"/>
    <w:rsid w:val="0045122A"/>
    <w:rsid w:val="004516C5"/>
    <w:rsid w:val="00453D76"/>
    <w:rsid w:val="00455D45"/>
    <w:rsid w:val="004602C7"/>
    <w:rsid w:val="00460E1A"/>
    <w:rsid w:val="0046156E"/>
    <w:rsid w:val="004625CA"/>
    <w:rsid w:val="00462E31"/>
    <w:rsid w:val="00462E7D"/>
    <w:rsid w:val="004637C9"/>
    <w:rsid w:val="00463E46"/>
    <w:rsid w:val="0046421E"/>
    <w:rsid w:val="00464595"/>
    <w:rsid w:val="0046548A"/>
    <w:rsid w:val="0046690F"/>
    <w:rsid w:val="00467339"/>
    <w:rsid w:val="00470A03"/>
    <w:rsid w:val="0047151D"/>
    <w:rsid w:val="00471F86"/>
    <w:rsid w:val="00472A79"/>
    <w:rsid w:val="004733BF"/>
    <w:rsid w:val="00473F19"/>
    <w:rsid w:val="00475544"/>
    <w:rsid w:val="00475D6C"/>
    <w:rsid w:val="00475E22"/>
    <w:rsid w:val="0047684A"/>
    <w:rsid w:val="00476D24"/>
    <w:rsid w:val="00477EFD"/>
    <w:rsid w:val="0048088E"/>
    <w:rsid w:val="00480AFB"/>
    <w:rsid w:val="004815AF"/>
    <w:rsid w:val="00481B0B"/>
    <w:rsid w:val="00481DE0"/>
    <w:rsid w:val="004821DB"/>
    <w:rsid w:val="00482720"/>
    <w:rsid w:val="004835E7"/>
    <w:rsid w:val="004837B0"/>
    <w:rsid w:val="00484D45"/>
    <w:rsid w:val="00484ECB"/>
    <w:rsid w:val="004854ED"/>
    <w:rsid w:val="00485501"/>
    <w:rsid w:val="00485D56"/>
    <w:rsid w:val="004865E7"/>
    <w:rsid w:val="004867E2"/>
    <w:rsid w:val="004872DF"/>
    <w:rsid w:val="00487EFE"/>
    <w:rsid w:val="00490A6C"/>
    <w:rsid w:val="0049137D"/>
    <w:rsid w:val="00491B3A"/>
    <w:rsid w:val="00492345"/>
    <w:rsid w:val="00492407"/>
    <w:rsid w:val="00492C8E"/>
    <w:rsid w:val="00492CFD"/>
    <w:rsid w:val="00493307"/>
    <w:rsid w:val="00493666"/>
    <w:rsid w:val="004939B6"/>
    <w:rsid w:val="00494DD5"/>
    <w:rsid w:val="00495291"/>
    <w:rsid w:val="004962D2"/>
    <w:rsid w:val="004966A5"/>
    <w:rsid w:val="0049722E"/>
    <w:rsid w:val="004A0753"/>
    <w:rsid w:val="004A0BFA"/>
    <w:rsid w:val="004A0DA1"/>
    <w:rsid w:val="004A134C"/>
    <w:rsid w:val="004A1453"/>
    <w:rsid w:val="004A1730"/>
    <w:rsid w:val="004A1ECB"/>
    <w:rsid w:val="004A3154"/>
    <w:rsid w:val="004A3337"/>
    <w:rsid w:val="004A471E"/>
    <w:rsid w:val="004A4C78"/>
    <w:rsid w:val="004A4E02"/>
    <w:rsid w:val="004A52E9"/>
    <w:rsid w:val="004A5D68"/>
    <w:rsid w:val="004A5E50"/>
    <w:rsid w:val="004A6597"/>
    <w:rsid w:val="004A694F"/>
    <w:rsid w:val="004A6E87"/>
    <w:rsid w:val="004A7658"/>
    <w:rsid w:val="004A7848"/>
    <w:rsid w:val="004B041F"/>
    <w:rsid w:val="004B1CB4"/>
    <w:rsid w:val="004B22E8"/>
    <w:rsid w:val="004B2F18"/>
    <w:rsid w:val="004B3BB9"/>
    <w:rsid w:val="004B3DDB"/>
    <w:rsid w:val="004B44FD"/>
    <w:rsid w:val="004B4587"/>
    <w:rsid w:val="004B5CFC"/>
    <w:rsid w:val="004B67FA"/>
    <w:rsid w:val="004B774D"/>
    <w:rsid w:val="004B7FE8"/>
    <w:rsid w:val="004C0FA5"/>
    <w:rsid w:val="004C1549"/>
    <w:rsid w:val="004C1A73"/>
    <w:rsid w:val="004C1B9E"/>
    <w:rsid w:val="004C320A"/>
    <w:rsid w:val="004C3478"/>
    <w:rsid w:val="004C42FC"/>
    <w:rsid w:val="004C4AED"/>
    <w:rsid w:val="004C5C34"/>
    <w:rsid w:val="004C762D"/>
    <w:rsid w:val="004D157E"/>
    <w:rsid w:val="004D16F2"/>
    <w:rsid w:val="004D195F"/>
    <w:rsid w:val="004D1B6A"/>
    <w:rsid w:val="004D1BDD"/>
    <w:rsid w:val="004D1CD5"/>
    <w:rsid w:val="004D1D94"/>
    <w:rsid w:val="004D22EC"/>
    <w:rsid w:val="004D2C2D"/>
    <w:rsid w:val="004D2E5D"/>
    <w:rsid w:val="004D3340"/>
    <w:rsid w:val="004D46C0"/>
    <w:rsid w:val="004D559B"/>
    <w:rsid w:val="004D610E"/>
    <w:rsid w:val="004D6ABE"/>
    <w:rsid w:val="004D6E9D"/>
    <w:rsid w:val="004D7227"/>
    <w:rsid w:val="004E0E7F"/>
    <w:rsid w:val="004E0EB8"/>
    <w:rsid w:val="004E2ADC"/>
    <w:rsid w:val="004E363E"/>
    <w:rsid w:val="004E43B2"/>
    <w:rsid w:val="004F1B8C"/>
    <w:rsid w:val="004F1D02"/>
    <w:rsid w:val="004F1FC2"/>
    <w:rsid w:val="004F2679"/>
    <w:rsid w:val="004F26D0"/>
    <w:rsid w:val="004F2F21"/>
    <w:rsid w:val="004F3545"/>
    <w:rsid w:val="004F3B3B"/>
    <w:rsid w:val="004F51B6"/>
    <w:rsid w:val="004F6913"/>
    <w:rsid w:val="004F7781"/>
    <w:rsid w:val="004F7865"/>
    <w:rsid w:val="0050064C"/>
    <w:rsid w:val="00500895"/>
    <w:rsid w:val="00500D24"/>
    <w:rsid w:val="005010E4"/>
    <w:rsid w:val="0050219B"/>
    <w:rsid w:val="0050249C"/>
    <w:rsid w:val="00503F17"/>
    <w:rsid w:val="00505C93"/>
    <w:rsid w:val="00506928"/>
    <w:rsid w:val="005069D1"/>
    <w:rsid w:val="00510151"/>
    <w:rsid w:val="0051189A"/>
    <w:rsid w:val="005120ED"/>
    <w:rsid w:val="00513781"/>
    <w:rsid w:val="005137D4"/>
    <w:rsid w:val="00514DB4"/>
    <w:rsid w:val="005152B5"/>
    <w:rsid w:val="00515ACB"/>
    <w:rsid w:val="0051646E"/>
    <w:rsid w:val="005168EC"/>
    <w:rsid w:val="005171B6"/>
    <w:rsid w:val="0052112A"/>
    <w:rsid w:val="00521319"/>
    <w:rsid w:val="0052160D"/>
    <w:rsid w:val="005219B4"/>
    <w:rsid w:val="00521DA9"/>
    <w:rsid w:val="00522BC8"/>
    <w:rsid w:val="005236FC"/>
    <w:rsid w:val="00523715"/>
    <w:rsid w:val="0052374C"/>
    <w:rsid w:val="00523C28"/>
    <w:rsid w:val="00524341"/>
    <w:rsid w:val="00524504"/>
    <w:rsid w:val="00524C9C"/>
    <w:rsid w:val="005254D8"/>
    <w:rsid w:val="0052601A"/>
    <w:rsid w:val="005309FA"/>
    <w:rsid w:val="00530A10"/>
    <w:rsid w:val="0053148A"/>
    <w:rsid w:val="00531AEA"/>
    <w:rsid w:val="00531DA1"/>
    <w:rsid w:val="00532629"/>
    <w:rsid w:val="00533731"/>
    <w:rsid w:val="005338D1"/>
    <w:rsid w:val="00534995"/>
    <w:rsid w:val="00534D80"/>
    <w:rsid w:val="00534F37"/>
    <w:rsid w:val="00535C9C"/>
    <w:rsid w:val="00535D58"/>
    <w:rsid w:val="00536F42"/>
    <w:rsid w:val="00536F9F"/>
    <w:rsid w:val="00537182"/>
    <w:rsid w:val="00540660"/>
    <w:rsid w:val="0054072D"/>
    <w:rsid w:val="0054186F"/>
    <w:rsid w:val="0054223F"/>
    <w:rsid w:val="00542743"/>
    <w:rsid w:val="00542810"/>
    <w:rsid w:val="00542C2D"/>
    <w:rsid w:val="00543406"/>
    <w:rsid w:val="00544687"/>
    <w:rsid w:val="00545959"/>
    <w:rsid w:val="00547411"/>
    <w:rsid w:val="00547AA7"/>
    <w:rsid w:val="00551985"/>
    <w:rsid w:val="00552BD3"/>
    <w:rsid w:val="00553E7F"/>
    <w:rsid w:val="00553F09"/>
    <w:rsid w:val="00554802"/>
    <w:rsid w:val="00555109"/>
    <w:rsid w:val="00555A0A"/>
    <w:rsid w:val="0055686C"/>
    <w:rsid w:val="00556A9C"/>
    <w:rsid w:val="00557278"/>
    <w:rsid w:val="00557E83"/>
    <w:rsid w:val="005609B6"/>
    <w:rsid w:val="00561B4D"/>
    <w:rsid w:val="00563053"/>
    <w:rsid w:val="00564134"/>
    <w:rsid w:val="00564DD5"/>
    <w:rsid w:val="00564E1B"/>
    <w:rsid w:val="00565DB5"/>
    <w:rsid w:val="0056696F"/>
    <w:rsid w:val="0056704D"/>
    <w:rsid w:val="00567A0A"/>
    <w:rsid w:val="00570794"/>
    <w:rsid w:val="00570858"/>
    <w:rsid w:val="005711FF"/>
    <w:rsid w:val="005715D3"/>
    <w:rsid w:val="00572269"/>
    <w:rsid w:val="0057244A"/>
    <w:rsid w:val="00572FC7"/>
    <w:rsid w:val="00573184"/>
    <w:rsid w:val="00573371"/>
    <w:rsid w:val="0057453B"/>
    <w:rsid w:val="005754F0"/>
    <w:rsid w:val="005759F1"/>
    <w:rsid w:val="00575D8D"/>
    <w:rsid w:val="00576972"/>
    <w:rsid w:val="005770E5"/>
    <w:rsid w:val="00577439"/>
    <w:rsid w:val="00580ED7"/>
    <w:rsid w:val="005816D3"/>
    <w:rsid w:val="00581E49"/>
    <w:rsid w:val="00582DB5"/>
    <w:rsid w:val="00583699"/>
    <w:rsid w:val="00583F62"/>
    <w:rsid w:val="0058421E"/>
    <w:rsid w:val="00584429"/>
    <w:rsid w:val="00584CE3"/>
    <w:rsid w:val="00585492"/>
    <w:rsid w:val="00585CDD"/>
    <w:rsid w:val="00585DF7"/>
    <w:rsid w:val="00587058"/>
    <w:rsid w:val="00587905"/>
    <w:rsid w:val="00587934"/>
    <w:rsid w:val="00590495"/>
    <w:rsid w:val="005905A5"/>
    <w:rsid w:val="00591957"/>
    <w:rsid w:val="00591DDF"/>
    <w:rsid w:val="00592116"/>
    <w:rsid w:val="00592D90"/>
    <w:rsid w:val="00592F91"/>
    <w:rsid w:val="00593044"/>
    <w:rsid w:val="00595796"/>
    <w:rsid w:val="00595BDF"/>
    <w:rsid w:val="00596B7E"/>
    <w:rsid w:val="00596C6C"/>
    <w:rsid w:val="00597BF9"/>
    <w:rsid w:val="005A1111"/>
    <w:rsid w:val="005A188B"/>
    <w:rsid w:val="005A2C9B"/>
    <w:rsid w:val="005A373D"/>
    <w:rsid w:val="005A3F72"/>
    <w:rsid w:val="005A41A6"/>
    <w:rsid w:val="005A4B2F"/>
    <w:rsid w:val="005A4F7B"/>
    <w:rsid w:val="005A5104"/>
    <w:rsid w:val="005A6581"/>
    <w:rsid w:val="005B07B9"/>
    <w:rsid w:val="005B10EB"/>
    <w:rsid w:val="005B298F"/>
    <w:rsid w:val="005B2AAC"/>
    <w:rsid w:val="005B2BD7"/>
    <w:rsid w:val="005B3144"/>
    <w:rsid w:val="005B3C77"/>
    <w:rsid w:val="005B4168"/>
    <w:rsid w:val="005B450B"/>
    <w:rsid w:val="005B5857"/>
    <w:rsid w:val="005B6179"/>
    <w:rsid w:val="005B7E7E"/>
    <w:rsid w:val="005C08FC"/>
    <w:rsid w:val="005C1B83"/>
    <w:rsid w:val="005C2433"/>
    <w:rsid w:val="005C2D32"/>
    <w:rsid w:val="005C2D55"/>
    <w:rsid w:val="005C346B"/>
    <w:rsid w:val="005C36CA"/>
    <w:rsid w:val="005C3774"/>
    <w:rsid w:val="005C3B8A"/>
    <w:rsid w:val="005C41D6"/>
    <w:rsid w:val="005C5421"/>
    <w:rsid w:val="005C71E8"/>
    <w:rsid w:val="005D044D"/>
    <w:rsid w:val="005D08EE"/>
    <w:rsid w:val="005D0ABD"/>
    <w:rsid w:val="005D15E5"/>
    <w:rsid w:val="005D18AD"/>
    <w:rsid w:val="005D26B4"/>
    <w:rsid w:val="005D33ED"/>
    <w:rsid w:val="005D499D"/>
    <w:rsid w:val="005D4A0C"/>
    <w:rsid w:val="005D4D21"/>
    <w:rsid w:val="005D4FA9"/>
    <w:rsid w:val="005D5637"/>
    <w:rsid w:val="005D5B6D"/>
    <w:rsid w:val="005D5FEC"/>
    <w:rsid w:val="005D64F4"/>
    <w:rsid w:val="005D7728"/>
    <w:rsid w:val="005E1034"/>
    <w:rsid w:val="005E1B59"/>
    <w:rsid w:val="005E1DBA"/>
    <w:rsid w:val="005E52AC"/>
    <w:rsid w:val="005E58F1"/>
    <w:rsid w:val="005E6A25"/>
    <w:rsid w:val="005E6CBC"/>
    <w:rsid w:val="005E6F25"/>
    <w:rsid w:val="005E73C0"/>
    <w:rsid w:val="005E7485"/>
    <w:rsid w:val="005E7529"/>
    <w:rsid w:val="005E7896"/>
    <w:rsid w:val="005E7B05"/>
    <w:rsid w:val="005E7FE8"/>
    <w:rsid w:val="005F09F5"/>
    <w:rsid w:val="005F0C45"/>
    <w:rsid w:val="005F1595"/>
    <w:rsid w:val="005F1C99"/>
    <w:rsid w:val="005F2175"/>
    <w:rsid w:val="005F2706"/>
    <w:rsid w:val="005F314A"/>
    <w:rsid w:val="005F4B69"/>
    <w:rsid w:val="005F65AF"/>
    <w:rsid w:val="005F6A8F"/>
    <w:rsid w:val="005F75D6"/>
    <w:rsid w:val="00600C51"/>
    <w:rsid w:val="00601D21"/>
    <w:rsid w:val="00602FB5"/>
    <w:rsid w:val="00603DB9"/>
    <w:rsid w:val="00605790"/>
    <w:rsid w:val="00606156"/>
    <w:rsid w:val="006063FE"/>
    <w:rsid w:val="00607669"/>
    <w:rsid w:val="00607AE6"/>
    <w:rsid w:val="00607AFD"/>
    <w:rsid w:val="00610A13"/>
    <w:rsid w:val="00612E1A"/>
    <w:rsid w:val="00612F97"/>
    <w:rsid w:val="00613116"/>
    <w:rsid w:val="0061345D"/>
    <w:rsid w:val="0061472B"/>
    <w:rsid w:val="00614C18"/>
    <w:rsid w:val="00616802"/>
    <w:rsid w:val="00617E12"/>
    <w:rsid w:val="00620598"/>
    <w:rsid w:val="00620FEE"/>
    <w:rsid w:val="00621477"/>
    <w:rsid w:val="00621746"/>
    <w:rsid w:val="0062329C"/>
    <w:rsid w:val="00623558"/>
    <w:rsid w:val="00623FA3"/>
    <w:rsid w:val="00625488"/>
    <w:rsid w:val="0062598C"/>
    <w:rsid w:val="0062641E"/>
    <w:rsid w:val="00626A6D"/>
    <w:rsid w:val="00627B08"/>
    <w:rsid w:val="006300BE"/>
    <w:rsid w:val="0063068C"/>
    <w:rsid w:val="00630CDA"/>
    <w:rsid w:val="0063158F"/>
    <w:rsid w:val="00631D6B"/>
    <w:rsid w:val="00631D81"/>
    <w:rsid w:val="006330A1"/>
    <w:rsid w:val="00633A40"/>
    <w:rsid w:val="00633EB9"/>
    <w:rsid w:val="00634069"/>
    <w:rsid w:val="006340D3"/>
    <w:rsid w:val="0063479F"/>
    <w:rsid w:val="006353F0"/>
    <w:rsid w:val="00635572"/>
    <w:rsid w:val="00635F1F"/>
    <w:rsid w:val="00635F34"/>
    <w:rsid w:val="006364A1"/>
    <w:rsid w:val="0063691F"/>
    <w:rsid w:val="00637992"/>
    <w:rsid w:val="00637BFD"/>
    <w:rsid w:val="00640594"/>
    <w:rsid w:val="006408B9"/>
    <w:rsid w:val="00640E1B"/>
    <w:rsid w:val="00641641"/>
    <w:rsid w:val="00641835"/>
    <w:rsid w:val="00641C4E"/>
    <w:rsid w:val="00641E7B"/>
    <w:rsid w:val="00642618"/>
    <w:rsid w:val="00642665"/>
    <w:rsid w:val="00643FED"/>
    <w:rsid w:val="0064487C"/>
    <w:rsid w:val="00644BEC"/>
    <w:rsid w:val="00644CAD"/>
    <w:rsid w:val="00645134"/>
    <w:rsid w:val="0064589E"/>
    <w:rsid w:val="00645A34"/>
    <w:rsid w:val="00645C1E"/>
    <w:rsid w:val="006465FA"/>
    <w:rsid w:val="0064692A"/>
    <w:rsid w:val="006471CC"/>
    <w:rsid w:val="006500FB"/>
    <w:rsid w:val="0065067D"/>
    <w:rsid w:val="0065079F"/>
    <w:rsid w:val="006515BA"/>
    <w:rsid w:val="00653564"/>
    <w:rsid w:val="0065379F"/>
    <w:rsid w:val="00653F03"/>
    <w:rsid w:val="0065504B"/>
    <w:rsid w:val="00655420"/>
    <w:rsid w:val="00655739"/>
    <w:rsid w:val="006558BE"/>
    <w:rsid w:val="00656591"/>
    <w:rsid w:val="00657247"/>
    <w:rsid w:val="00657262"/>
    <w:rsid w:val="00657556"/>
    <w:rsid w:val="00660802"/>
    <w:rsid w:val="0066087A"/>
    <w:rsid w:val="00660B67"/>
    <w:rsid w:val="006618BD"/>
    <w:rsid w:val="00661C3B"/>
    <w:rsid w:val="00661C6B"/>
    <w:rsid w:val="006629DD"/>
    <w:rsid w:val="00665B90"/>
    <w:rsid w:val="006665F9"/>
    <w:rsid w:val="0067016C"/>
    <w:rsid w:val="00670EF0"/>
    <w:rsid w:val="00671489"/>
    <w:rsid w:val="00671CAD"/>
    <w:rsid w:val="0067201B"/>
    <w:rsid w:val="00674898"/>
    <w:rsid w:val="00674D1E"/>
    <w:rsid w:val="00674E42"/>
    <w:rsid w:val="006750E1"/>
    <w:rsid w:val="00675BE5"/>
    <w:rsid w:val="0067660B"/>
    <w:rsid w:val="00676734"/>
    <w:rsid w:val="00676A09"/>
    <w:rsid w:val="00676B21"/>
    <w:rsid w:val="006773AC"/>
    <w:rsid w:val="006773B0"/>
    <w:rsid w:val="0068176F"/>
    <w:rsid w:val="00682112"/>
    <w:rsid w:val="00682611"/>
    <w:rsid w:val="0068278B"/>
    <w:rsid w:val="00682BA7"/>
    <w:rsid w:val="0068366F"/>
    <w:rsid w:val="00684491"/>
    <w:rsid w:val="0068562B"/>
    <w:rsid w:val="00686957"/>
    <w:rsid w:val="00686CCB"/>
    <w:rsid w:val="006872BA"/>
    <w:rsid w:val="00687C79"/>
    <w:rsid w:val="00691123"/>
    <w:rsid w:val="00691648"/>
    <w:rsid w:val="006917D7"/>
    <w:rsid w:val="006932F3"/>
    <w:rsid w:val="00693F84"/>
    <w:rsid w:val="00694711"/>
    <w:rsid w:val="00694AC3"/>
    <w:rsid w:val="00694B7A"/>
    <w:rsid w:val="00694E63"/>
    <w:rsid w:val="00694F44"/>
    <w:rsid w:val="00695FAD"/>
    <w:rsid w:val="006961C5"/>
    <w:rsid w:val="00696C73"/>
    <w:rsid w:val="0069786C"/>
    <w:rsid w:val="006A0445"/>
    <w:rsid w:val="006A059F"/>
    <w:rsid w:val="006A07A6"/>
    <w:rsid w:val="006A1DD1"/>
    <w:rsid w:val="006A23A4"/>
    <w:rsid w:val="006A4936"/>
    <w:rsid w:val="006A54EE"/>
    <w:rsid w:val="006A63ED"/>
    <w:rsid w:val="006A6C61"/>
    <w:rsid w:val="006A6E70"/>
    <w:rsid w:val="006A7E5F"/>
    <w:rsid w:val="006B0D3D"/>
    <w:rsid w:val="006B18A8"/>
    <w:rsid w:val="006B257D"/>
    <w:rsid w:val="006B261B"/>
    <w:rsid w:val="006B2C10"/>
    <w:rsid w:val="006B2C90"/>
    <w:rsid w:val="006B37CF"/>
    <w:rsid w:val="006B3C1D"/>
    <w:rsid w:val="006B5317"/>
    <w:rsid w:val="006B6DD0"/>
    <w:rsid w:val="006C0813"/>
    <w:rsid w:val="006C13BD"/>
    <w:rsid w:val="006C1731"/>
    <w:rsid w:val="006C21F2"/>
    <w:rsid w:val="006C2A8E"/>
    <w:rsid w:val="006C2B45"/>
    <w:rsid w:val="006C2E55"/>
    <w:rsid w:val="006C56A9"/>
    <w:rsid w:val="006D2905"/>
    <w:rsid w:val="006D3A87"/>
    <w:rsid w:val="006D3C7D"/>
    <w:rsid w:val="006D4867"/>
    <w:rsid w:val="006D5D5F"/>
    <w:rsid w:val="006D6987"/>
    <w:rsid w:val="006E0D2E"/>
    <w:rsid w:val="006E1E4E"/>
    <w:rsid w:val="006E23D1"/>
    <w:rsid w:val="006E2FD0"/>
    <w:rsid w:val="006E382B"/>
    <w:rsid w:val="006E3954"/>
    <w:rsid w:val="006E3E0F"/>
    <w:rsid w:val="006E41CE"/>
    <w:rsid w:val="006E4492"/>
    <w:rsid w:val="006E4B8F"/>
    <w:rsid w:val="006E4D25"/>
    <w:rsid w:val="006E543A"/>
    <w:rsid w:val="006E6038"/>
    <w:rsid w:val="006E6493"/>
    <w:rsid w:val="006E72F3"/>
    <w:rsid w:val="006F19DF"/>
    <w:rsid w:val="006F272A"/>
    <w:rsid w:val="006F306C"/>
    <w:rsid w:val="006F4C91"/>
    <w:rsid w:val="006F5189"/>
    <w:rsid w:val="006F5714"/>
    <w:rsid w:val="006F63A5"/>
    <w:rsid w:val="006F6F4F"/>
    <w:rsid w:val="006F726C"/>
    <w:rsid w:val="0070142B"/>
    <w:rsid w:val="0070276E"/>
    <w:rsid w:val="00702F8F"/>
    <w:rsid w:val="00703987"/>
    <w:rsid w:val="00705396"/>
    <w:rsid w:val="00705BD5"/>
    <w:rsid w:val="00706B08"/>
    <w:rsid w:val="00706F6C"/>
    <w:rsid w:val="00710929"/>
    <w:rsid w:val="0071190E"/>
    <w:rsid w:val="00711A36"/>
    <w:rsid w:val="00711CA1"/>
    <w:rsid w:val="00711D08"/>
    <w:rsid w:val="007120E5"/>
    <w:rsid w:val="007138B7"/>
    <w:rsid w:val="00713AD4"/>
    <w:rsid w:val="00713FA1"/>
    <w:rsid w:val="00714E0D"/>
    <w:rsid w:val="0071529C"/>
    <w:rsid w:val="00715CBF"/>
    <w:rsid w:val="00716C1F"/>
    <w:rsid w:val="007172AD"/>
    <w:rsid w:val="007179F1"/>
    <w:rsid w:val="0072152B"/>
    <w:rsid w:val="0072297B"/>
    <w:rsid w:val="00722B1B"/>
    <w:rsid w:val="007231C8"/>
    <w:rsid w:val="0072416F"/>
    <w:rsid w:val="007242B9"/>
    <w:rsid w:val="007248AF"/>
    <w:rsid w:val="0072501E"/>
    <w:rsid w:val="0072537B"/>
    <w:rsid w:val="0072568C"/>
    <w:rsid w:val="00725975"/>
    <w:rsid w:val="00725DF9"/>
    <w:rsid w:val="007260BE"/>
    <w:rsid w:val="00727048"/>
    <w:rsid w:val="00727C94"/>
    <w:rsid w:val="00727DD8"/>
    <w:rsid w:val="00730087"/>
    <w:rsid w:val="00731608"/>
    <w:rsid w:val="00731A8E"/>
    <w:rsid w:val="00731CBB"/>
    <w:rsid w:val="00731DA7"/>
    <w:rsid w:val="00731EAE"/>
    <w:rsid w:val="00731F9F"/>
    <w:rsid w:val="00731FD2"/>
    <w:rsid w:val="007325D3"/>
    <w:rsid w:val="00732E5A"/>
    <w:rsid w:val="00735033"/>
    <w:rsid w:val="007350F8"/>
    <w:rsid w:val="00735328"/>
    <w:rsid w:val="0073572A"/>
    <w:rsid w:val="007359CB"/>
    <w:rsid w:val="0073685B"/>
    <w:rsid w:val="00736A03"/>
    <w:rsid w:val="00736E9A"/>
    <w:rsid w:val="0073713A"/>
    <w:rsid w:val="007374E1"/>
    <w:rsid w:val="00737C5E"/>
    <w:rsid w:val="00737ECC"/>
    <w:rsid w:val="0074032A"/>
    <w:rsid w:val="0074060F"/>
    <w:rsid w:val="00740C77"/>
    <w:rsid w:val="00740D51"/>
    <w:rsid w:val="0074255D"/>
    <w:rsid w:val="007428D6"/>
    <w:rsid w:val="00742C30"/>
    <w:rsid w:val="00743257"/>
    <w:rsid w:val="0074380F"/>
    <w:rsid w:val="007456F6"/>
    <w:rsid w:val="00746034"/>
    <w:rsid w:val="007465E5"/>
    <w:rsid w:val="00747698"/>
    <w:rsid w:val="007476DF"/>
    <w:rsid w:val="00747B44"/>
    <w:rsid w:val="00750103"/>
    <w:rsid w:val="007507B4"/>
    <w:rsid w:val="00751312"/>
    <w:rsid w:val="00751982"/>
    <w:rsid w:val="00751E45"/>
    <w:rsid w:val="00752142"/>
    <w:rsid w:val="007523F9"/>
    <w:rsid w:val="00752669"/>
    <w:rsid w:val="00753CF7"/>
    <w:rsid w:val="007554CE"/>
    <w:rsid w:val="00755BD8"/>
    <w:rsid w:val="00757270"/>
    <w:rsid w:val="007573E8"/>
    <w:rsid w:val="0076082D"/>
    <w:rsid w:val="00760BD3"/>
    <w:rsid w:val="00760C4E"/>
    <w:rsid w:val="00761452"/>
    <w:rsid w:val="00761D1B"/>
    <w:rsid w:val="007630E1"/>
    <w:rsid w:val="00763B51"/>
    <w:rsid w:val="00764E68"/>
    <w:rsid w:val="00765409"/>
    <w:rsid w:val="00765B1A"/>
    <w:rsid w:val="0076683E"/>
    <w:rsid w:val="007669B3"/>
    <w:rsid w:val="0076770C"/>
    <w:rsid w:val="0077205A"/>
    <w:rsid w:val="00773F98"/>
    <w:rsid w:val="007742BB"/>
    <w:rsid w:val="007743D9"/>
    <w:rsid w:val="007745BF"/>
    <w:rsid w:val="0077538E"/>
    <w:rsid w:val="00776ECA"/>
    <w:rsid w:val="00781D9A"/>
    <w:rsid w:val="00782117"/>
    <w:rsid w:val="00783A5A"/>
    <w:rsid w:val="007843F2"/>
    <w:rsid w:val="0078464D"/>
    <w:rsid w:val="007855D8"/>
    <w:rsid w:val="007867B6"/>
    <w:rsid w:val="00787054"/>
    <w:rsid w:val="00787F3A"/>
    <w:rsid w:val="007908C6"/>
    <w:rsid w:val="00790C09"/>
    <w:rsid w:val="0079153E"/>
    <w:rsid w:val="00792573"/>
    <w:rsid w:val="007952EE"/>
    <w:rsid w:val="00796337"/>
    <w:rsid w:val="007969E0"/>
    <w:rsid w:val="00796C5D"/>
    <w:rsid w:val="00797450"/>
    <w:rsid w:val="007976BE"/>
    <w:rsid w:val="00797D5C"/>
    <w:rsid w:val="007A085B"/>
    <w:rsid w:val="007A0A12"/>
    <w:rsid w:val="007A1175"/>
    <w:rsid w:val="007A132D"/>
    <w:rsid w:val="007A17CA"/>
    <w:rsid w:val="007A26AA"/>
    <w:rsid w:val="007A2AFA"/>
    <w:rsid w:val="007A3F63"/>
    <w:rsid w:val="007A478C"/>
    <w:rsid w:val="007A4CBE"/>
    <w:rsid w:val="007A4EF8"/>
    <w:rsid w:val="007A520C"/>
    <w:rsid w:val="007A64E5"/>
    <w:rsid w:val="007A7BA2"/>
    <w:rsid w:val="007B0856"/>
    <w:rsid w:val="007B0D68"/>
    <w:rsid w:val="007B251D"/>
    <w:rsid w:val="007B2FE7"/>
    <w:rsid w:val="007B3401"/>
    <w:rsid w:val="007B3D7C"/>
    <w:rsid w:val="007B430E"/>
    <w:rsid w:val="007B4C11"/>
    <w:rsid w:val="007B4F58"/>
    <w:rsid w:val="007B50EE"/>
    <w:rsid w:val="007B528D"/>
    <w:rsid w:val="007B5482"/>
    <w:rsid w:val="007B5867"/>
    <w:rsid w:val="007B5C1C"/>
    <w:rsid w:val="007B7356"/>
    <w:rsid w:val="007B771C"/>
    <w:rsid w:val="007B77D1"/>
    <w:rsid w:val="007B7F7A"/>
    <w:rsid w:val="007C054E"/>
    <w:rsid w:val="007C1CD9"/>
    <w:rsid w:val="007C293B"/>
    <w:rsid w:val="007C316E"/>
    <w:rsid w:val="007C3457"/>
    <w:rsid w:val="007C349D"/>
    <w:rsid w:val="007C35FC"/>
    <w:rsid w:val="007C361D"/>
    <w:rsid w:val="007C3E13"/>
    <w:rsid w:val="007C41C6"/>
    <w:rsid w:val="007C4B84"/>
    <w:rsid w:val="007C503A"/>
    <w:rsid w:val="007C646E"/>
    <w:rsid w:val="007C68AB"/>
    <w:rsid w:val="007C69DA"/>
    <w:rsid w:val="007C7C79"/>
    <w:rsid w:val="007D004F"/>
    <w:rsid w:val="007D009D"/>
    <w:rsid w:val="007D0B38"/>
    <w:rsid w:val="007D0B8A"/>
    <w:rsid w:val="007D10B5"/>
    <w:rsid w:val="007D1232"/>
    <w:rsid w:val="007D14A4"/>
    <w:rsid w:val="007D1EC6"/>
    <w:rsid w:val="007D263F"/>
    <w:rsid w:val="007D2D8B"/>
    <w:rsid w:val="007D3037"/>
    <w:rsid w:val="007D3740"/>
    <w:rsid w:val="007D4613"/>
    <w:rsid w:val="007D5440"/>
    <w:rsid w:val="007D561C"/>
    <w:rsid w:val="007D6A93"/>
    <w:rsid w:val="007D736A"/>
    <w:rsid w:val="007E092D"/>
    <w:rsid w:val="007E0C1A"/>
    <w:rsid w:val="007E2090"/>
    <w:rsid w:val="007E29D4"/>
    <w:rsid w:val="007E476B"/>
    <w:rsid w:val="007E6070"/>
    <w:rsid w:val="007E675A"/>
    <w:rsid w:val="007E73F8"/>
    <w:rsid w:val="007E7531"/>
    <w:rsid w:val="007E79E1"/>
    <w:rsid w:val="007F1017"/>
    <w:rsid w:val="007F1556"/>
    <w:rsid w:val="007F1683"/>
    <w:rsid w:val="007F1BE3"/>
    <w:rsid w:val="007F290A"/>
    <w:rsid w:val="007F3A0C"/>
    <w:rsid w:val="007F483F"/>
    <w:rsid w:val="007F48F6"/>
    <w:rsid w:val="007F4A3F"/>
    <w:rsid w:val="007F4A61"/>
    <w:rsid w:val="007F4F1C"/>
    <w:rsid w:val="007F5366"/>
    <w:rsid w:val="007F61C2"/>
    <w:rsid w:val="007F6A0E"/>
    <w:rsid w:val="007F7139"/>
    <w:rsid w:val="0080082C"/>
    <w:rsid w:val="00802902"/>
    <w:rsid w:val="00802C95"/>
    <w:rsid w:val="00802CCE"/>
    <w:rsid w:val="00803855"/>
    <w:rsid w:val="00805142"/>
    <w:rsid w:val="008058E8"/>
    <w:rsid w:val="0080605C"/>
    <w:rsid w:val="008061FD"/>
    <w:rsid w:val="00807A0A"/>
    <w:rsid w:val="00807A8B"/>
    <w:rsid w:val="00807C04"/>
    <w:rsid w:val="00810E06"/>
    <w:rsid w:val="00811383"/>
    <w:rsid w:val="00812069"/>
    <w:rsid w:val="00812149"/>
    <w:rsid w:val="00812478"/>
    <w:rsid w:val="00812CAC"/>
    <w:rsid w:val="008162DB"/>
    <w:rsid w:val="0081659D"/>
    <w:rsid w:val="00816659"/>
    <w:rsid w:val="008166EF"/>
    <w:rsid w:val="00822A9A"/>
    <w:rsid w:val="00822AB4"/>
    <w:rsid w:val="00823311"/>
    <w:rsid w:val="00823B7F"/>
    <w:rsid w:val="008247A9"/>
    <w:rsid w:val="00824C45"/>
    <w:rsid w:val="00824F4A"/>
    <w:rsid w:val="00825751"/>
    <w:rsid w:val="00825DED"/>
    <w:rsid w:val="0082641A"/>
    <w:rsid w:val="008264EB"/>
    <w:rsid w:val="00827942"/>
    <w:rsid w:val="008313F1"/>
    <w:rsid w:val="008317E4"/>
    <w:rsid w:val="00832129"/>
    <w:rsid w:val="008323D6"/>
    <w:rsid w:val="00832D70"/>
    <w:rsid w:val="008330E2"/>
    <w:rsid w:val="0083326D"/>
    <w:rsid w:val="00833B05"/>
    <w:rsid w:val="008362B4"/>
    <w:rsid w:val="00836967"/>
    <w:rsid w:val="00836A43"/>
    <w:rsid w:val="00837EBB"/>
    <w:rsid w:val="00840350"/>
    <w:rsid w:val="0084072C"/>
    <w:rsid w:val="00840CA2"/>
    <w:rsid w:val="0084147B"/>
    <w:rsid w:val="00842CC2"/>
    <w:rsid w:val="0084374F"/>
    <w:rsid w:val="00844046"/>
    <w:rsid w:val="008446C2"/>
    <w:rsid w:val="00844C57"/>
    <w:rsid w:val="008455EE"/>
    <w:rsid w:val="00846DF2"/>
    <w:rsid w:val="00847309"/>
    <w:rsid w:val="00847DF5"/>
    <w:rsid w:val="008504A1"/>
    <w:rsid w:val="00850B3C"/>
    <w:rsid w:val="00852636"/>
    <w:rsid w:val="0085309D"/>
    <w:rsid w:val="00853C52"/>
    <w:rsid w:val="0085462A"/>
    <w:rsid w:val="008548ED"/>
    <w:rsid w:val="00854FD1"/>
    <w:rsid w:val="008561A7"/>
    <w:rsid w:val="008564E0"/>
    <w:rsid w:val="00856609"/>
    <w:rsid w:val="00856897"/>
    <w:rsid w:val="00856D21"/>
    <w:rsid w:val="00856DCB"/>
    <w:rsid w:val="00856E9A"/>
    <w:rsid w:val="008575A2"/>
    <w:rsid w:val="00857858"/>
    <w:rsid w:val="00857B53"/>
    <w:rsid w:val="00857B89"/>
    <w:rsid w:val="00860166"/>
    <w:rsid w:val="0086075D"/>
    <w:rsid w:val="00862502"/>
    <w:rsid w:val="0086333C"/>
    <w:rsid w:val="0086444C"/>
    <w:rsid w:val="00865437"/>
    <w:rsid w:val="00865AAF"/>
    <w:rsid w:val="008660D4"/>
    <w:rsid w:val="00866AFD"/>
    <w:rsid w:val="00867F05"/>
    <w:rsid w:val="008701C3"/>
    <w:rsid w:val="00871FA9"/>
    <w:rsid w:val="0087210C"/>
    <w:rsid w:val="00872531"/>
    <w:rsid w:val="008728E9"/>
    <w:rsid w:val="00872A85"/>
    <w:rsid w:val="008736B8"/>
    <w:rsid w:val="00873E11"/>
    <w:rsid w:val="0087580A"/>
    <w:rsid w:val="0088132E"/>
    <w:rsid w:val="00882874"/>
    <w:rsid w:val="00883389"/>
    <w:rsid w:val="00883600"/>
    <w:rsid w:val="00883787"/>
    <w:rsid w:val="00883AB9"/>
    <w:rsid w:val="00884914"/>
    <w:rsid w:val="00885836"/>
    <w:rsid w:val="00885EA1"/>
    <w:rsid w:val="00886BE3"/>
    <w:rsid w:val="00886CD2"/>
    <w:rsid w:val="008874F1"/>
    <w:rsid w:val="00887F05"/>
    <w:rsid w:val="00891686"/>
    <w:rsid w:val="00891EED"/>
    <w:rsid w:val="008928F5"/>
    <w:rsid w:val="00892A36"/>
    <w:rsid w:val="00892D5F"/>
    <w:rsid w:val="00893197"/>
    <w:rsid w:val="00893239"/>
    <w:rsid w:val="00893261"/>
    <w:rsid w:val="00893FB2"/>
    <w:rsid w:val="00894489"/>
    <w:rsid w:val="00894612"/>
    <w:rsid w:val="00894701"/>
    <w:rsid w:val="00895676"/>
    <w:rsid w:val="00895B0E"/>
    <w:rsid w:val="00896018"/>
    <w:rsid w:val="0089619F"/>
    <w:rsid w:val="008963A5"/>
    <w:rsid w:val="0089673E"/>
    <w:rsid w:val="00896EE5"/>
    <w:rsid w:val="00897B72"/>
    <w:rsid w:val="008A0122"/>
    <w:rsid w:val="008A09DC"/>
    <w:rsid w:val="008A0B68"/>
    <w:rsid w:val="008A0F08"/>
    <w:rsid w:val="008A3363"/>
    <w:rsid w:val="008A3371"/>
    <w:rsid w:val="008A3C3E"/>
    <w:rsid w:val="008A422D"/>
    <w:rsid w:val="008A57B2"/>
    <w:rsid w:val="008A66A4"/>
    <w:rsid w:val="008A6D87"/>
    <w:rsid w:val="008A79DE"/>
    <w:rsid w:val="008B0FAB"/>
    <w:rsid w:val="008B1757"/>
    <w:rsid w:val="008B1F4D"/>
    <w:rsid w:val="008B1FE2"/>
    <w:rsid w:val="008B2AD1"/>
    <w:rsid w:val="008B2E5B"/>
    <w:rsid w:val="008B3F21"/>
    <w:rsid w:val="008B4680"/>
    <w:rsid w:val="008B4D40"/>
    <w:rsid w:val="008B55A8"/>
    <w:rsid w:val="008B55D7"/>
    <w:rsid w:val="008B5B23"/>
    <w:rsid w:val="008B5BD1"/>
    <w:rsid w:val="008B5F20"/>
    <w:rsid w:val="008B6346"/>
    <w:rsid w:val="008B6FE6"/>
    <w:rsid w:val="008B754E"/>
    <w:rsid w:val="008B7D7E"/>
    <w:rsid w:val="008C1B84"/>
    <w:rsid w:val="008C2843"/>
    <w:rsid w:val="008C638A"/>
    <w:rsid w:val="008C680F"/>
    <w:rsid w:val="008C6C0E"/>
    <w:rsid w:val="008C7496"/>
    <w:rsid w:val="008C7ECB"/>
    <w:rsid w:val="008D0687"/>
    <w:rsid w:val="008D2734"/>
    <w:rsid w:val="008D2EFE"/>
    <w:rsid w:val="008D4755"/>
    <w:rsid w:val="008D4848"/>
    <w:rsid w:val="008D4C3D"/>
    <w:rsid w:val="008D5338"/>
    <w:rsid w:val="008D73A2"/>
    <w:rsid w:val="008D73D1"/>
    <w:rsid w:val="008D7C77"/>
    <w:rsid w:val="008E0D3C"/>
    <w:rsid w:val="008E1B9E"/>
    <w:rsid w:val="008E1F22"/>
    <w:rsid w:val="008E1F5F"/>
    <w:rsid w:val="008E2CFC"/>
    <w:rsid w:val="008E55AB"/>
    <w:rsid w:val="008E575F"/>
    <w:rsid w:val="008E7953"/>
    <w:rsid w:val="008F0201"/>
    <w:rsid w:val="008F120A"/>
    <w:rsid w:val="008F1521"/>
    <w:rsid w:val="008F1A19"/>
    <w:rsid w:val="008F27E0"/>
    <w:rsid w:val="008F2824"/>
    <w:rsid w:val="008F3306"/>
    <w:rsid w:val="008F33CF"/>
    <w:rsid w:val="008F3414"/>
    <w:rsid w:val="008F48EB"/>
    <w:rsid w:val="008F4F0B"/>
    <w:rsid w:val="008F5EB4"/>
    <w:rsid w:val="008F61DC"/>
    <w:rsid w:val="009002D0"/>
    <w:rsid w:val="00901465"/>
    <w:rsid w:val="00901771"/>
    <w:rsid w:val="00902B28"/>
    <w:rsid w:val="009034FB"/>
    <w:rsid w:val="009046C4"/>
    <w:rsid w:val="00904A5D"/>
    <w:rsid w:val="00904DD0"/>
    <w:rsid w:val="00905B6C"/>
    <w:rsid w:val="00905BAB"/>
    <w:rsid w:val="009062A5"/>
    <w:rsid w:val="00907B72"/>
    <w:rsid w:val="00910C22"/>
    <w:rsid w:val="00910DA9"/>
    <w:rsid w:val="00911272"/>
    <w:rsid w:val="0091151D"/>
    <w:rsid w:val="00911B4E"/>
    <w:rsid w:val="009127B2"/>
    <w:rsid w:val="00912CD3"/>
    <w:rsid w:val="0091309A"/>
    <w:rsid w:val="009135D6"/>
    <w:rsid w:val="00913602"/>
    <w:rsid w:val="0091373E"/>
    <w:rsid w:val="00913C62"/>
    <w:rsid w:val="009145D9"/>
    <w:rsid w:val="009146BD"/>
    <w:rsid w:val="00914C77"/>
    <w:rsid w:val="00915104"/>
    <w:rsid w:val="00915B89"/>
    <w:rsid w:val="009164FA"/>
    <w:rsid w:val="0091772D"/>
    <w:rsid w:val="009230C4"/>
    <w:rsid w:val="0092369B"/>
    <w:rsid w:val="00925605"/>
    <w:rsid w:val="009258BB"/>
    <w:rsid w:val="00925A20"/>
    <w:rsid w:val="00926994"/>
    <w:rsid w:val="009276C4"/>
    <w:rsid w:val="009303A7"/>
    <w:rsid w:val="00930F2A"/>
    <w:rsid w:val="00931273"/>
    <w:rsid w:val="00931E3B"/>
    <w:rsid w:val="009327B0"/>
    <w:rsid w:val="00932EEE"/>
    <w:rsid w:val="00934418"/>
    <w:rsid w:val="00934972"/>
    <w:rsid w:val="0093715F"/>
    <w:rsid w:val="00941178"/>
    <w:rsid w:val="00942233"/>
    <w:rsid w:val="009422EB"/>
    <w:rsid w:val="00942A24"/>
    <w:rsid w:val="00943B38"/>
    <w:rsid w:val="0094477B"/>
    <w:rsid w:val="00944C4E"/>
    <w:rsid w:val="0094598A"/>
    <w:rsid w:val="009462F3"/>
    <w:rsid w:val="009471C0"/>
    <w:rsid w:val="00947D89"/>
    <w:rsid w:val="00950994"/>
    <w:rsid w:val="009510A2"/>
    <w:rsid w:val="00951557"/>
    <w:rsid w:val="00951699"/>
    <w:rsid w:val="0095201C"/>
    <w:rsid w:val="00953257"/>
    <w:rsid w:val="00953B1C"/>
    <w:rsid w:val="00953EEA"/>
    <w:rsid w:val="00953FE9"/>
    <w:rsid w:val="0095508E"/>
    <w:rsid w:val="009559E6"/>
    <w:rsid w:val="009562B9"/>
    <w:rsid w:val="0095665B"/>
    <w:rsid w:val="0096008A"/>
    <w:rsid w:val="00960106"/>
    <w:rsid w:val="00962851"/>
    <w:rsid w:val="00962CB9"/>
    <w:rsid w:val="00964312"/>
    <w:rsid w:val="0096518A"/>
    <w:rsid w:val="009656B5"/>
    <w:rsid w:val="00965B8A"/>
    <w:rsid w:val="009663C0"/>
    <w:rsid w:val="009678F4"/>
    <w:rsid w:val="00970B51"/>
    <w:rsid w:val="00970C37"/>
    <w:rsid w:val="00970D3E"/>
    <w:rsid w:val="009717AC"/>
    <w:rsid w:val="009718B3"/>
    <w:rsid w:val="009730FF"/>
    <w:rsid w:val="00973B95"/>
    <w:rsid w:val="009743CD"/>
    <w:rsid w:val="00975CDE"/>
    <w:rsid w:val="009765E9"/>
    <w:rsid w:val="0097671B"/>
    <w:rsid w:val="00976862"/>
    <w:rsid w:val="009772B6"/>
    <w:rsid w:val="009808D9"/>
    <w:rsid w:val="00981050"/>
    <w:rsid w:val="009813A9"/>
    <w:rsid w:val="00981A70"/>
    <w:rsid w:val="0098301F"/>
    <w:rsid w:val="00983317"/>
    <w:rsid w:val="00983E57"/>
    <w:rsid w:val="009843D8"/>
    <w:rsid w:val="009854F2"/>
    <w:rsid w:val="009857C6"/>
    <w:rsid w:val="00985AED"/>
    <w:rsid w:val="00985DDA"/>
    <w:rsid w:val="0098675D"/>
    <w:rsid w:val="00987DA6"/>
    <w:rsid w:val="0099042A"/>
    <w:rsid w:val="00991E1E"/>
    <w:rsid w:val="00991F29"/>
    <w:rsid w:val="00992474"/>
    <w:rsid w:val="009925BB"/>
    <w:rsid w:val="00993A21"/>
    <w:rsid w:val="00993AA4"/>
    <w:rsid w:val="00994838"/>
    <w:rsid w:val="00994C8A"/>
    <w:rsid w:val="00995321"/>
    <w:rsid w:val="009959D0"/>
    <w:rsid w:val="00995B22"/>
    <w:rsid w:val="009962B2"/>
    <w:rsid w:val="00996582"/>
    <w:rsid w:val="00996B1A"/>
    <w:rsid w:val="00997567"/>
    <w:rsid w:val="00997BF7"/>
    <w:rsid w:val="009A0193"/>
    <w:rsid w:val="009A2A33"/>
    <w:rsid w:val="009A2A47"/>
    <w:rsid w:val="009A2D77"/>
    <w:rsid w:val="009A3095"/>
    <w:rsid w:val="009A32D7"/>
    <w:rsid w:val="009A3D31"/>
    <w:rsid w:val="009A3FBC"/>
    <w:rsid w:val="009A49AD"/>
    <w:rsid w:val="009A51D6"/>
    <w:rsid w:val="009A5B6D"/>
    <w:rsid w:val="009A6B14"/>
    <w:rsid w:val="009A7F10"/>
    <w:rsid w:val="009B0717"/>
    <w:rsid w:val="009B0F03"/>
    <w:rsid w:val="009B13EC"/>
    <w:rsid w:val="009B1CD5"/>
    <w:rsid w:val="009B1E08"/>
    <w:rsid w:val="009B35EB"/>
    <w:rsid w:val="009B35FE"/>
    <w:rsid w:val="009B3E26"/>
    <w:rsid w:val="009B43F6"/>
    <w:rsid w:val="009B6283"/>
    <w:rsid w:val="009B6A74"/>
    <w:rsid w:val="009B6E26"/>
    <w:rsid w:val="009B759D"/>
    <w:rsid w:val="009B7CFE"/>
    <w:rsid w:val="009C0AFA"/>
    <w:rsid w:val="009C147D"/>
    <w:rsid w:val="009C18D0"/>
    <w:rsid w:val="009C2280"/>
    <w:rsid w:val="009C3BF6"/>
    <w:rsid w:val="009C4A9A"/>
    <w:rsid w:val="009C4FD7"/>
    <w:rsid w:val="009C50CD"/>
    <w:rsid w:val="009C5D4E"/>
    <w:rsid w:val="009C5E1C"/>
    <w:rsid w:val="009C6CEA"/>
    <w:rsid w:val="009C7B85"/>
    <w:rsid w:val="009D0322"/>
    <w:rsid w:val="009D11EA"/>
    <w:rsid w:val="009D15E2"/>
    <w:rsid w:val="009D1F71"/>
    <w:rsid w:val="009D2DFB"/>
    <w:rsid w:val="009D2FE7"/>
    <w:rsid w:val="009D3620"/>
    <w:rsid w:val="009D3AEE"/>
    <w:rsid w:val="009D3BE8"/>
    <w:rsid w:val="009D4955"/>
    <w:rsid w:val="009D5B91"/>
    <w:rsid w:val="009D5F97"/>
    <w:rsid w:val="009D6B0D"/>
    <w:rsid w:val="009D792E"/>
    <w:rsid w:val="009D7CE4"/>
    <w:rsid w:val="009E01DD"/>
    <w:rsid w:val="009E041D"/>
    <w:rsid w:val="009E0DFE"/>
    <w:rsid w:val="009E17C0"/>
    <w:rsid w:val="009E19E8"/>
    <w:rsid w:val="009E1A62"/>
    <w:rsid w:val="009E25C9"/>
    <w:rsid w:val="009E2D16"/>
    <w:rsid w:val="009E3BA8"/>
    <w:rsid w:val="009E3FC7"/>
    <w:rsid w:val="009E49ED"/>
    <w:rsid w:val="009E4C07"/>
    <w:rsid w:val="009E5831"/>
    <w:rsid w:val="009E5A17"/>
    <w:rsid w:val="009E638B"/>
    <w:rsid w:val="009F00ED"/>
    <w:rsid w:val="009F02B2"/>
    <w:rsid w:val="009F0683"/>
    <w:rsid w:val="009F19ED"/>
    <w:rsid w:val="009F2383"/>
    <w:rsid w:val="009F28D9"/>
    <w:rsid w:val="009F409F"/>
    <w:rsid w:val="009F5760"/>
    <w:rsid w:val="009F5EF6"/>
    <w:rsid w:val="009F7DD8"/>
    <w:rsid w:val="00A01184"/>
    <w:rsid w:val="00A01613"/>
    <w:rsid w:val="00A01D6B"/>
    <w:rsid w:val="00A02204"/>
    <w:rsid w:val="00A02AAA"/>
    <w:rsid w:val="00A03043"/>
    <w:rsid w:val="00A0399B"/>
    <w:rsid w:val="00A03D43"/>
    <w:rsid w:val="00A03DE6"/>
    <w:rsid w:val="00A04380"/>
    <w:rsid w:val="00A043F9"/>
    <w:rsid w:val="00A0476F"/>
    <w:rsid w:val="00A0477E"/>
    <w:rsid w:val="00A05595"/>
    <w:rsid w:val="00A05635"/>
    <w:rsid w:val="00A05EA7"/>
    <w:rsid w:val="00A074E9"/>
    <w:rsid w:val="00A07AB2"/>
    <w:rsid w:val="00A07EFE"/>
    <w:rsid w:val="00A100CF"/>
    <w:rsid w:val="00A11130"/>
    <w:rsid w:val="00A11299"/>
    <w:rsid w:val="00A11386"/>
    <w:rsid w:val="00A11CD0"/>
    <w:rsid w:val="00A13700"/>
    <w:rsid w:val="00A13948"/>
    <w:rsid w:val="00A139A5"/>
    <w:rsid w:val="00A14871"/>
    <w:rsid w:val="00A14F96"/>
    <w:rsid w:val="00A1555B"/>
    <w:rsid w:val="00A155C5"/>
    <w:rsid w:val="00A15C68"/>
    <w:rsid w:val="00A16450"/>
    <w:rsid w:val="00A16596"/>
    <w:rsid w:val="00A16AD8"/>
    <w:rsid w:val="00A16C44"/>
    <w:rsid w:val="00A17428"/>
    <w:rsid w:val="00A17B65"/>
    <w:rsid w:val="00A21578"/>
    <w:rsid w:val="00A21CF3"/>
    <w:rsid w:val="00A2267B"/>
    <w:rsid w:val="00A22A86"/>
    <w:rsid w:val="00A237DB"/>
    <w:rsid w:val="00A23C24"/>
    <w:rsid w:val="00A2410A"/>
    <w:rsid w:val="00A25268"/>
    <w:rsid w:val="00A25751"/>
    <w:rsid w:val="00A25BA8"/>
    <w:rsid w:val="00A25FE4"/>
    <w:rsid w:val="00A26B61"/>
    <w:rsid w:val="00A27839"/>
    <w:rsid w:val="00A27AA6"/>
    <w:rsid w:val="00A27AEC"/>
    <w:rsid w:val="00A27DCC"/>
    <w:rsid w:val="00A27E72"/>
    <w:rsid w:val="00A30C7C"/>
    <w:rsid w:val="00A3106D"/>
    <w:rsid w:val="00A320DB"/>
    <w:rsid w:val="00A321AF"/>
    <w:rsid w:val="00A32669"/>
    <w:rsid w:val="00A329F9"/>
    <w:rsid w:val="00A32E54"/>
    <w:rsid w:val="00A32EC0"/>
    <w:rsid w:val="00A334F4"/>
    <w:rsid w:val="00A3546F"/>
    <w:rsid w:val="00A35D16"/>
    <w:rsid w:val="00A364B7"/>
    <w:rsid w:val="00A37927"/>
    <w:rsid w:val="00A37AC4"/>
    <w:rsid w:val="00A37BCD"/>
    <w:rsid w:val="00A401C1"/>
    <w:rsid w:val="00A40A7C"/>
    <w:rsid w:val="00A41BC2"/>
    <w:rsid w:val="00A41CD1"/>
    <w:rsid w:val="00A41D5F"/>
    <w:rsid w:val="00A41E41"/>
    <w:rsid w:val="00A42051"/>
    <w:rsid w:val="00A43C59"/>
    <w:rsid w:val="00A43D3C"/>
    <w:rsid w:val="00A44235"/>
    <w:rsid w:val="00A44A5E"/>
    <w:rsid w:val="00A44BC5"/>
    <w:rsid w:val="00A4520C"/>
    <w:rsid w:val="00A46EF8"/>
    <w:rsid w:val="00A47437"/>
    <w:rsid w:val="00A4772E"/>
    <w:rsid w:val="00A47B46"/>
    <w:rsid w:val="00A507EA"/>
    <w:rsid w:val="00A50ECD"/>
    <w:rsid w:val="00A511FD"/>
    <w:rsid w:val="00A51399"/>
    <w:rsid w:val="00A51778"/>
    <w:rsid w:val="00A517FE"/>
    <w:rsid w:val="00A518F3"/>
    <w:rsid w:val="00A51C65"/>
    <w:rsid w:val="00A52326"/>
    <w:rsid w:val="00A52729"/>
    <w:rsid w:val="00A530B0"/>
    <w:rsid w:val="00A53675"/>
    <w:rsid w:val="00A5382B"/>
    <w:rsid w:val="00A53E7C"/>
    <w:rsid w:val="00A546C5"/>
    <w:rsid w:val="00A54E39"/>
    <w:rsid w:val="00A54EDC"/>
    <w:rsid w:val="00A564D7"/>
    <w:rsid w:val="00A56858"/>
    <w:rsid w:val="00A56B6A"/>
    <w:rsid w:val="00A56F4E"/>
    <w:rsid w:val="00A57003"/>
    <w:rsid w:val="00A57824"/>
    <w:rsid w:val="00A578DC"/>
    <w:rsid w:val="00A579D1"/>
    <w:rsid w:val="00A63992"/>
    <w:rsid w:val="00A63F64"/>
    <w:rsid w:val="00A65010"/>
    <w:rsid w:val="00A65CCD"/>
    <w:rsid w:val="00A66590"/>
    <w:rsid w:val="00A6725B"/>
    <w:rsid w:val="00A70605"/>
    <w:rsid w:val="00A70EFF"/>
    <w:rsid w:val="00A71313"/>
    <w:rsid w:val="00A7161D"/>
    <w:rsid w:val="00A72476"/>
    <w:rsid w:val="00A73134"/>
    <w:rsid w:val="00A75733"/>
    <w:rsid w:val="00A777B2"/>
    <w:rsid w:val="00A77F66"/>
    <w:rsid w:val="00A800AB"/>
    <w:rsid w:val="00A82A6C"/>
    <w:rsid w:val="00A8319F"/>
    <w:rsid w:val="00A83358"/>
    <w:rsid w:val="00A83884"/>
    <w:rsid w:val="00A84F74"/>
    <w:rsid w:val="00A850C3"/>
    <w:rsid w:val="00A86751"/>
    <w:rsid w:val="00A86E8B"/>
    <w:rsid w:val="00A87164"/>
    <w:rsid w:val="00A87B76"/>
    <w:rsid w:val="00A91781"/>
    <w:rsid w:val="00A93072"/>
    <w:rsid w:val="00A93953"/>
    <w:rsid w:val="00A94582"/>
    <w:rsid w:val="00A94BF3"/>
    <w:rsid w:val="00A94E23"/>
    <w:rsid w:val="00A94E2A"/>
    <w:rsid w:val="00A959D8"/>
    <w:rsid w:val="00A95C75"/>
    <w:rsid w:val="00A97BC8"/>
    <w:rsid w:val="00A97BFE"/>
    <w:rsid w:val="00AA0139"/>
    <w:rsid w:val="00AA113D"/>
    <w:rsid w:val="00AA13DA"/>
    <w:rsid w:val="00AA1B5F"/>
    <w:rsid w:val="00AA3DD5"/>
    <w:rsid w:val="00AA44BE"/>
    <w:rsid w:val="00AA47A4"/>
    <w:rsid w:val="00AA4948"/>
    <w:rsid w:val="00AA54AA"/>
    <w:rsid w:val="00AA5709"/>
    <w:rsid w:val="00AA5879"/>
    <w:rsid w:val="00AA5954"/>
    <w:rsid w:val="00AA6221"/>
    <w:rsid w:val="00AA696F"/>
    <w:rsid w:val="00AA69D0"/>
    <w:rsid w:val="00AA6C7D"/>
    <w:rsid w:val="00AA7213"/>
    <w:rsid w:val="00AA7F17"/>
    <w:rsid w:val="00AA7FD6"/>
    <w:rsid w:val="00AB042A"/>
    <w:rsid w:val="00AB0BCE"/>
    <w:rsid w:val="00AB0D54"/>
    <w:rsid w:val="00AB131D"/>
    <w:rsid w:val="00AB1FF0"/>
    <w:rsid w:val="00AB26B4"/>
    <w:rsid w:val="00AB2D34"/>
    <w:rsid w:val="00AB30DB"/>
    <w:rsid w:val="00AB30EE"/>
    <w:rsid w:val="00AB3430"/>
    <w:rsid w:val="00AB3622"/>
    <w:rsid w:val="00AB3A29"/>
    <w:rsid w:val="00AB3BE4"/>
    <w:rsid w:val="00AB4AD1"/>
    <w:rsid w:val="00AB5F18"/>
    <w:rsid w:val="00AB5FF6"/>
    <w:rsid w:val="00AB651C"/>
    <w:rsid w:val="00AB67E3"/>
    <w:rsid w:val="00AB682E"/>
    <w:rsid w:val="00AB785B"/>
    <w:rsid w:val="00AB7CFA"/>
    <w:rsid w:val="00AC043B"/>
    <w:rsid w:val="00AC05DE"/>
    <w:rsid w:val="00AC2063"/>
    <w:rsid w:val="00AC2E4F"/>
    <w:rsid w:val="00AC2F92"/>
    <w:rsid w:val="00AC363D"/>
    <w:rsid w:val="00AC3DD6"/>
    <w:rsid w:val="00AC51CC"/>
    <w:rsid w:val="00AC5B48"/>
    <w:rsid w:val="00AC5EF1"/>
    <w:rsid w:val="00AC6587"/>
    <w:rsid w:val="00AC7393"/>
    <w:rsid w:val="00AD0881"/>
    <w:rsid w:val="00AD1CA9"/>
    <w:rsid w:val="00AD2C39"/>
    <w:rsid w:val="00AD2CEB"/>
    <w:rsid w:val="00AD39BE"/>
    <w:rsid w:val="00AD4D9B"/>
    <w:rsid w:val="00AD4DD4"/>
    <w:rsid w:val="00AD6502"/>
    <w:rsid w:val="00AD6BF8"/>
    <w:rsid w:val="00AD741A"/>
    <w:rsid w:val="00AE029F"/>
    <w:rsid w:val="00AE0525"/>
    <w:rsid w:val="00AE115F"/>
    <w:rsid w:val="00AE174E"/>
    <w:rsid w:val="00AE1C5D"/>
    <w:rsid w:val="00AE1DEA"/>
    <w:rsid w:val="00AE2BE9"/>
    <w:rsid w:val="00AE3413"/>
    <w:rsid w:val="00AE382B"/>
    <w:rsid w:val="00AE39DD"/>
    <w:rsid w:val="00AE3B44"/>
    <w:rsid w:val="00AE4B7D"/>
    <w:rsid w:val="00AE5843"/>
    <w:rsid w:val="00AE699C"/>
    <w:rsid w:val="00AE69E4"/>
    <w:rsid w:val="00AE6EFB"/>
    <w:rsid w:val="00AE70B9"/>
    <w:rsid w:val="00AE71C6"/>
    <w:rsid w:val="00AE7B24"/>
    <w:rsid w:val="00AF02C7"/>
    <w:rsid w:val="00AF1315"/>
    <w:rsid w:val="00AF19BF"/>
    <w:rsid w:val="00AF2370"/>
    <w:rsid w:val="00AF2DC3"/>
    <w:rsid w:val="00AF3448"/>
    <w:rsid w:val="00AF34DF"/>
    <w:rsid w:val="00AF49BE"/>
    <w:rsid w:val="00AF65A8"/>
    <w:rsid w:val="00AF663C"/>
    <w:rsid w:val="00AF6E43"/>
    <w:rsid w:val="00B000B5"/>
    <w:rsid w:val="00B00A72"/>
    <w:rsid w:val="00B0145D"/>
    <w:rsid w:val="00B021EE"/>
    <w:rsid w:val="00B02D52"/>
    <w:rsid w:val="00B033E5"/>
    <w:rsid w:val="00B0384D"/>
    <w:rsid w:val="00B03A63"/>
    <w:rsid w:val="00B03DF6"/>
    <w:rsid w:val="00B03E67"/>
    <w:rsid w:val="00B0453D"/>
    <w:rsid w:val="00B050D0"/>
    <w:rsid w:val="00B05CC5"/>
    <w:rsid w:val="00B0687E"/>
    <w:rsid w:val="00B075CE"/>
    <w:rsid w:val="00B10FB7"/>
    <w:rsid w:val="00B11BD5"/>
    <w:rsid w:val="00B11F85"/>
    <w:rsid w:val="00B1233B"/>
    <w:rsid w:val="00B130B2"/>
    <w:rsid w:val="00B14606"/>
    <w:rsid w:val="00B14CB9"/>
    <w:rsid w:val="00B15003"/>
    <w:rsid w:val="00B15772"/>
    <w:rsid w:val="00B159A2"/>
    <w:rsid w:val="00B16177"/>
    <w:rsid w:val="00B16AD4"/>
    <w:rsid w:val="00B16F97"/>
    <w:rsid w:val="00B17C1F"/>
    <w:rsid w:val="00B17FB7"/>
    <w:rsid w:val="00B2016D"/>
    <w:rsid w:val="00B201A4"/>
    <w:rsid w:val="00B20C2C"/>
    <w:rsid w:val="00B2139E"/>
    <w:rsid w:val="00B213A6"/>
    <w:rsid w:val="00B21E82"/>
    <w:rsid w:val="00B226CA"/>
    <w:rsid w:val="00B233DD"/>
    <w:rsid w:val="00B23EBC"/>
    <w:rsid w:val="00B24333"/>
    <w:rsid w:val="00B243C1"/>
    <w:rsid w:val="00B24DF6"/>
    <w:rsid w:val="00B25E90"/>
    <w:rsid w:val="00B26F03"/>
    <w:rsid w:val="00B26FE0"/>
    <w:rsid w:val="00B27E36"/>
    <w:rsid w:val="00B27E71"/>
    <w:rsid w:val="00B3074D"/>
    <w:rsid w:val="00B33C37"/>
    <w:rsid w:val="00B34FE2"/>
    <w:rsid w:val="00B354A9"/>
    <w:rsid w:val="00B357D8"/>
    <w:rsid w:val="00B37708"/>
    <w:rsid w:val="00B3776A"/>
    <w:rsid w:val="00B37A42"/>
    <w:rsid w:val="00B37BFC"/>
    <w:rsid w:val="00B40358"/>
    <w:rsid w:val="00B41221"/>
    <w:rsid w:val="00B41614"/>
    <w:rsid w:val="00B41BF6"/>
    <w:rsid w:val="00B42851"/>
    <w:rsid w:val="00B42F80"/>
    <w:rsid w:val="00B432BE"/>
    <w:rsid w:val="00B435CB"/>
    <w:rsid w:val="00B44037"/>
    <w:rsid w:val="00B4631A"/>
    <w:rsid w:val="00B47CAB"/>
    <w:rsid w:val="00B5007B"/>
    <w:rsid w:val="00B50DB8"/>
    <w:rsid w:val="00B50FE5"/>
    <w:rsid w:val="00B52DBF"/>
    <w:rsid w:val="00B53654"/>
    <w:rsid w:val="00B53905"/>
    <w:rsid w:val="00B53DBC"/>
    <w:rsid w:val="00B54B5B"/>
    <w:rsid w:val="00B5562E"/>
    <w:rsid w:val="00B5581D"/>
    <w:rsid w:val="00B57000"/>
    <w:rsid w:val="00B57D60"/>
    <w:rsid w:val="00B57FA9"/>
    <w:rsid w:val="00B60939"/>
    <w:rsid w:val="00B60AFD"/>
    <w:rsid w:val="00B60BFC"/>
    <w:rsid w:val="00B60D38"/>
    <w:rsid w:val="00B612C3"/>
    <w:rsid w:val="00B61E3C"/>
    <w:rsid w:val="00B62004"/>
    <w:rsid w:val="00B62715"/>
    <w:rsid w:val="00B63381"/>
    <w:rsid w:val="00B63615"/>
    <w:rsid w:val="00B63823"/>
    <w:rsid w:val="00B63EE7"/>
    <w:rsid w:val="00B65134"/>
    <w:rsid w:val="00B667BC"/>
    <w:rsid w:val="00B6712B"/>
    <w:rsid w:val="00B67AE5"/>
    <w:rsid w:val="00B70176"/>
    <w:rsid w:val="00B70A60"/>
    <w:rsid w:val="00B717C3"/>
    <w:rsid w:val="00B71A42"/>
    <w:rsid w:val="00B7204E"/>
    <w:rsid w:val="00B74049"/>
    <w:rsid w:val="00B74E54"/>
    <w:rsid w:val="00B7676F"/>
    <w:rsid w:val="00B818A4"/>
    <w:rsid w:val="00B81D74"/>
    <w:rsid w:val="00B81E7F"/>
    <w:rsid w:val="00B8384B"/>
    <w:rsid w:val="00B83AF7"/>
    <w:rsid w:val="00B84117"/>
    <w:rsid w:val="00B8456C"/>
    <w:rsid w:val="00B84D6E"/>
    <w:rsid w:val="00B85AA2"/>
    <w:rsid w:val="00B8649C"/>
    <w:rsid w:val="00B86E05"/>
    <w:rsid w:val="00B87364"/>
    <w:rsid w:val="00B874AE"/>
    <w:rsid w:val="00B87F0A"/>
    <w:rsid w:val="00B90B45"/>
    <w:rsid w:val="00B912FB"/>
    <w:rsid w:val="00B91948"/>
    <w:rsid w:val="00B91F75"/>
    <w:rsid w:val="00B9228E"/>
    <w:rsid w:val="00B92342"/>
    <w:rsid w:val="00B92A89"/>
    <w:rsid w:val="00B92CA6"/>
    <w:rsid w:val="00B92D0B"/>
    <w:rsid w:val="00B92F9C"/>
    <w:rsid w:val="00B93607"/>
    <w:rsid w:val="00B94945"/>
    <w:rsid w:val="00B94D47"/>
    <w:rsid w:val="00B9593D"/>
    <w:rsid w:val="00B96B51"/>
    <w:rsid w:val="00BA08C9"/>
    <w:rsid w:val="00BA163D"/>
    <w:rsid w:val="00BA1D36"/>
    <w:rsid w:val="00BA322D"/>
    <w:rsid w:val="00BA4579"/>
    <w:rsid w:val="00BA48D0"/>
    <w:rsid w:val="00BA63E9"/>
    <w:rsid w:val="00BA64A9"/>
    <w:rsid w:val="00BA6BE3"/>
    <w:rsid w:val="00BA6FE0"/>
    <w:rsid w:val="00BB0BDD"/>
    <w:rsid w:val="00BB0E22"/>
    <w:rsid w:val="00BB13F9"/>
    <w:rsid w:val="00BB1EAD"/>
    <w:rsid w:val="00BB2A63"/>
    <w:rsid w:val="00BB2A73"/>
    <w:rsid w:val="00BB2B82"/>
    <w:rsid w:val="00BB2C36"/>
    <w:rsid w:val="00BB4ACC"/>
    <w:rsid w:val="00BB56AB"/>
    <w:rsid w:val="00BB5896"/>
    <w:rsid w:val="00BB703E"/>
    <w:rsid w:val="00BB7374"/>
    <w:rsid w:val="00BB7405"/>
    <w:rsid w:val="00BC0D72"/>
    <w:rsid w:val="00BC1108"/>
    <w:rsid w:val="00BC1358"/>
    <w:rsid w:val="00BC27D1"/>
    <w:rsid w:val="00BC3631"/>
    <w:rsid w:val="00BC38CD"/>
    <w:rsid w:val="00BC5F2A"/>
    <w:rsid w:val="00BC6C5D"/>
    <w:rsid w:val="00BC765D"/>
    <w:rsid w:val="00BC7EC9"/>
    <w:rsid w:val="00BD23D7"/>
    <w:rsid w:val="00BD43C6"/>
    <w:rsid w:val="00BD52BC"/>
    <w:rsid w:val="00BD56AE"/>
    <w:rsid w:val="00BD5C87"/>
    <w:rsid w:val="00BD5FD4"/>
    <w:rsid w:val="00BD65B2"/>
    <w:rsid w:val="00BD68A3"/>
    <w:rsid w:val="00BD68AF"/>
    <w:rsid w:val="00BD6938"/>
    <w:rsid w:val="00BD6CF3"/>
    <w:rsid w:val="00BD7519"/>
    <w:rsid w:val="00BE0104"/>
    <w:rsid w:val="00BE0AF0"/>
    <w:rsid w:val="00BE0B95"/>
    <w:rsid w:val="00BE2180"/>
    <w:rsid w:val="00BE21F2"/>
    <w:rsid w:val="00BE2AE0"/>
    <w:rsid w:val="00BE2BC4"/>
    <w:rsid w:val="00BE30CC"/>
    <w:rsid w:val="00BE4275"/>
    <w:rsid w:val="00BE573E"/>
    <w:rsid w:val="00BE6348"/>
    <w:rsid w:val="00BE6898"/>
    <w:rsid w:val="00BE6A8A"/>
    <w:rsid w:val="00BE6EFC"/>
    <w:rsid w:val="00BE7025"/>
    <w:rsid w:val="00BE704F"/>
    <w:rsid w:val="00BF0740"/>
    <w:rsid w:val="00BF0A3D"/>
    <w:rsid w:val="00BF0F95"/>
    <w:rsid w:val="00BF12CD"/>
    <w:rsid w:val="00BF2020"/>
    <w:rsid w:val="00BF23AD"/>
    <w:rsid w:val="00BF2433"/>
    <w:rsid w:val="00BF273D"/>
    <w:rsid w:val="00BF275E"/>
    <w:rsid w:val="00BF4116"/>
    <w:rsid w:val="00BF4284"/>
    <w:rsid w:val="00BF4968"/>
    <w:rsid w:val="00BF56C1"/>
    <w:rsid w:val="00BF61C9"/>
    <w:rsid w:val="00BF6C94"/>
    <w:rsid w:val="00C00424"/>
    <w:rsid w:val="00C0102B"/>
    <w:rsid w:val="00C01365"/>
    <w:rsid w:val="00C01B0E"/>
    <w:rsid w:val="00C02095"/>
    <w:rsid w:val="00C02DAA"/>
    <w:rsid w:val="00C03527"/>
    <w:rsid w:val="00C054AF"/>
    <w:rsid w:val="00C0561B"/>
    <w:rsid w:val="00C05FEA"/>
    <w:rsid w:val="00C06C0D"/>
    <w:rsid w:val="00C07274"/>
    <w:rsid w:val="00C07587"/>
    <w:rsid w:val="00C079DC"/>
    <w:rsid w:val="00C07A42"/>
    <w:rsid w:val="00C10D88"/>
    <w:rsid w:val="00C11176"/>
    <w:rsid w:val="00C12882"/>
    <w:rsid w:val="00C12C05"/>
    <w:rsid w:val="00C12C14"/>
    <w:rsid w:val="00C13781"/>
    <w:rsid w:val="00C162FC"/>
    <w:rsid w:val="00C200AA"/>
    <w:rsid w:val="00C2012A"/>
    <w:rsid w:val="00C2055F"/>
    <w:rsid w:val="00C20B9F"/>
    <w:rsid w:val="00C20FD0"/>
    <w:rsid w:val="00C22564"/>
    <w:rsid w:val="00C22DBA"/>
    <w:rsid w:val="00C22FDA"/>
    <w:rsid w:val="00C237ED"/>
    <w:rsid w:val="00C23B87"/>
    <w:rsid w:val="00C24632"/>
    <w:rsid w:val="00C25418"/>
    <w:rsid w:val="00C25A3C"/>
    <w:rsid w:val="00C25D9C"/>
    <w:rsid w:val="00C2618B"/>
    <w:rsid w:val="00C26A78"/>
    <w:rsid w:val="00C26E8B"/>
    <w:rsid w:val="00C2735A"/>
    <w:rsid w:val="00C2778B"/>
    <w:rsid w:val="00C277DA"/>
    <w:rsid w:val="00C309BD"/>
    <w:rsid w:val="00C30F9C"/>
    <w:rsid w:val="00C31649"/>
    <w:rsid w:val="00C34FAC"/>
    <w:rsid w:val="00C34FFF"/>
    <w:rsid w:val="00C350A6"/>
    <w:rsid w:val="00C35448"/>
    <w:rsid w:val="00C365EB"/>
    <w:rsid w:val="00C36DEA"/>
    <w:rsid w:val="00C40385"/>
    <w:rsid w:val="00C40750"/>
    <w:rsid w:val="00C424B5"/>
    <w:rsid w:val="00C43267"/>
    <w:rsid w:val="00C44200"/>
    <w:rsid w:val="00C44969"/>
    <w:rsid w:val="00C44E86"/>
    <w:rsid w:val="00C46A90"/>
    <w:rsid w:val="00C475AA"/>
    <w:rsid w:val="00C47668"/>
    <w:rsid w:val="00C52B90"/>
    <w:rsid w:val="00C53A27"/>
    <w:rsid w:val="00C54F27"/>
    <w:rsid w:val="00C55785"/>
    <w:rsid w:val="00C55A08"/>
    <w:rsid w:val="00C55F60"/>
    <w:rsid w:val="00C563B9"/>
    <w:rsid w:val="00C621EC"/>
    <w:rsid w:val="00C624A3"/>
    <w:rsid w:val="00C62DED"/>
    <w:rsid w:val="00C63084"/>
    <w:rsid w:val="00C63265"/>
    <w:rsid w:val="00C63316"/>
    <w:rsid w:val="00C644A4"/>
    <w:rsid w:val="00C64D75"/>
    <w:rsid w:val="00C64F5C"/>
    <w:rsid w:val="00C6509E"/>
    <w:rsid w:val="00C65576"/>
    <w:rsid w:val="00C66165"/>
    <w:rsid w:val="00C66D50"/>
    <w:rsid w:val="00C67347"/>
    <w:rsid w:val="00C705AB"/>
    <w:rsid w:val="00C708C8"/>
    <w:rsid w:val="00C7092C"/>
    <w:rsid w:val="00C709E7"/>
    <w:rsid w:val="00C70ADF"/>
    <w:rsid w:val="00C71032"/>
    <w:rsid w:val="00C7151A"/>
    <w:rsid w:val="00C7151C"/>
    <w:rsid w:val="00C71E7F"/>
    <w:rsid w:val="00C71F60"/>
    <w:rsid w:val="00C72241"/>
    <w:rsid w:val="00C723F6"/>
    <w:rsid w:val="00C72483"/>
    <w:rsid w:val="00C72EE0"/>
    <w:rsid w:val="00C738D6"/>
    <w:rsid w:val="00C74077"/>
    <w:rsid w:val="00C74CA3"/>
    <w:rsid w:val="00C750C8"/>
    <w:rsid w:val="00C7560F"/>
    <w:rsid w:val="00C75CA9"/>
    <w:rsid w:val="00C760A0"/>
    <w:rsid w:val="00C762FE"/>
    <w:rsid w:val="00C7690B"/>
    <w:rsid w:val="00C80013"/>
    <w:rsid w:val="00C8030E"/>
    <w:rsid w:val="00C80A0E"/>
    <w:rsid w:val="00C813ED"/>
    <w:rsid w:val="00C81942"/>
    <w:rsid w:val="00C81C82"/>
    <w:rsid w:val="00C8213F"/>
    <w:rsid w:val="00C82D52"/>
    <w:rsid w:val="00C830F0"/>
    <w:rsid w:val="00C8321F"/>
    <w:rsid w:val="00C84031"/>
    <w:rsid w:val="00C847A6"/>
    <w:rsid w:val="00C85B6E"/>
    <w:rsid w:val="00C85EF7"/>
    <w:rsid w:val="00C86753"/>
    <w:rsid w:val="00C8690E"/>
    <w:rsid w:val="00C872EB"/>
    <w:rsid w:val="00C8797A"/>
    <w:rsid w:val="00C900B8"/>
    <w:rsid w:val="00C90970"/>
    <w:rsid w:val="00C90C71"/>
    <w:rsid w:val="00C9153D"/>
    <w:rsid w:val="00C91937"/>
    <w:rsid w:val="00C92312"/>
    <w:rsid w:val="00C92578"/>
    <w:rsid w:val="00C92B3D"/>
    <w:rsid w:val="00C931CF"/>
    <w:rsid w:val="00C9372B"/>
    <w:rsid w:val="00C938CF"/>
    <w:rsid w:val="00C93F5C"/>
    <w:rsid w:val="00C94070"/>
    <w:rsid w:val="00C94BD6"/>
    <w:rsid w:val="00C95AA8"/>
    <w:rsid w:val="00C9624D"/>
    <w:rsid w:val="00C963EB"/>
    <w:rsid w:val="00C9663B"/>
    <w:rsid w:val="00C969DA"/>
    <w:rsid w:val="00CA07C9"/>
    <w:rsid w:val="00CA0983"/>
    <w:rsid w:val="00CA2546"/>
    <w:rsid w:val="00CA26C1"/>
    <w:rsid w:val="00CA2C77"/>
    <w:rsid w:val="00CA2F3A"/>
    <w:rsid w:val="00CA38CA"/>
    <w:rsid w:val="00CA3B7A"/>
    <w:rsid w:val="00CA3DCA"/>
    <w:rsid w:val="00CA444F"/>
    <w:rsid w:val="00CA5245"/>
    <w:rsid w:val="00CA5B9B"/>
    <w:rsid w:val="00CA6FEE"/>
    <w:rsid w:val="00CA71F4"/>
    <w:rsid w:val="00CA739C"/>
    <w:rsid w:val="00CA7B09"/>
    <w:rsid w:val="00CB0C61"/>
    <w:rsid w:val="00CB14DD"/>
    <w:rsid w:val="00CB2F2A"/>
    <w:rsid w:val="00CB3EAF"/>
    <w:rsid w:val="00CB4DD2"/>
    <w:rsid w:val="00CB5B1A"/>
    <w:rsid w:val="00CB6333"/>
    <w:rsid w:val="00CB69A5"/>
    <w:rsid w:val="00CB6B22"/>
    <w:rsid w:val="00CB710A"/>
    <w:rsid w:val="00CB73B7"/>
    <w:rsid w:val="00CB7426"/>
    <w:rsid w:val="00CB75B4"/>
    <w:rsid w:val="00CB7670"/>
    <w:rsid w:val="00CB786D"/>
    <w:rsid w:val="00CB7F5F"/>
    <w:rsid w:val="00CC1B39"/>
    <w:rsid w:val="00CC1BDB"/>
    <w:rsid w:val="00CC1D14"/>
    <w:rsid w:val="00CC3922"/>
    <w:rsid w:val="00CC3D53"/>
    <w:rsid w:val="00CC448D"/>
    <w:rsid w:val="00CC488C"/>
    <w:rsid w:val="00CC5384"/>
    <w:rsid w:val="00CC673A"/>
    <w:rsid w:val="00CC722D"/>
    <w:rsid w:val="00CC7C50"/>
    <w:rsid w:val="00CD27F2"/>
    <w:rsid w:val="00CD4268"/>
    <w:rsid w:val="00CD46D5"/>
    <w:rsid w:val="00CD480C"/>
    <w:rsid w:val="00CD516A"/>
    <w:rsid w:val="00CD53FC"/>
    <w:rsid w:val="00CD633C"/>
    <w:rsid w:val="00CD6ADC"/>
    <w:rsid w:val="00CD6C61"/>
    <w:rsid w:val="00CD6F01"/>
    <w:rsid w:val="00CD7C1B"/>
    <w:rsid w:val="00CE1069"/>
    <w:rsid w:val="00CE135F"/>
    <w:rsid w:val="00CE4646"/>
    <w:rsid w:val="00CE6274"/>
    <w:rsid w:val="00CE6338"/>
    <w:rsid w:val="00CE752F"/>
    <w:rsid w:val="00CF0545"/>
    <w:rsid w:val="00CF0E74"/>
    <w:rsid w:val="00CF0FBA"/>
    <w:rsid w:val="00CF2B8D"/>
    <w:rsid w:val="00CF35C5"/>
    <w:rsid w:val="00CF4045"/>
    <w:rsid w:val="00CF456B"/>
    <w:rsid w:val="00CF467B"/>
    <w:rsid w:val="00CF5843"/>
    <w:rsid w:val="00CF5A22"/>
    <w:rsid w:val="00CF643C"/>
    <w:rsid w:val="00CF67FE"/>
    <w:rsid w:val="00CF72AD"/>
    <w:rsid w:val="00D006B8"/>
    <w:rsid w:val="00D0104B"/>
    <w:rsid w:val="00D01762"/>
    <w:rsid w:val="00D0262E"/>
    <w:rsid w:val="00D03B26"/>
    <w:rsid w:val="00D03F45"/>
    <w:rsid w:val="00D045C8"/>
    <w:rsid w:val="00D07EA0"/>
    <w:rsid w:val="00D10130"/>
    <w:rsid w:val="00D10187"/>
    <w:rsid w:val="00D110BD"/>
    <w:rsid w:val="00D120D0"/>
    <w:rsid w:val="00D1290E"/>
    <w:rsid w:val="00D13675"/>
    <w:rsid w:val="00D13AC1"/>
    <w:rsid w:val="00D13CDB"/>
    <w:rsid w:val="00D141E1"/>
    <w:rsid w:val="00D14272"/>
    <w:rsid w:val="00D15C98"/>
    <w:rsid w:val="00D16769"/>
    <w:rsid w:val="00D17D6C"/>
    <w:rsid w:val="00D17DF0"/>
    <w:rsid w:val="00D20576"/>
    <w:rsid w:val="00D20B2D"/>
    <w:rsid w:val="00D217A6"/>
    <w:rsid w:val="00D2264C"/>
    <w:rsid w:val="00D24434"/>
    <w:rsid w:val="00D246C4"/>
    <w:rsid w:val="00D24998"/>
    <w:rsid w:val="00D24B27"/>
    <w:rsid w:val="00D2522F"/>
    <w:rsid w:val="00D25F1E"/>
    <w:rsid w:val="00D26022"/>
    <w:rsid w:val="00D26BF6"/>
    <w:rsid w:val="00D2754D"/>
    <w:rsid w:val="00D27B27"/>
    <w:rsid w:val="00D30692"/>
    <w:rsid w:val="00D306BF"/>
    <w:rsid w:val="00D30931"/>
    <w:rsid w:val="00D30AA7"/>
    <w:rsid w:val="00D30C2C"/>
    <w:rsid w:val="00D30CC0"/>
    <w:rsid w:val="00D31763"/>
    <w:rsid w:val="00D3256A"/>
    <w:rsid w:val="00D32736"/>
    <w:rsid w:val="00D333FE"/>
    <w:rsid w:val="00D33BE9"/>
    <w:rsid w:val="00D3431F"/>
    <w:rsid w:val="00D34927"/>
    <w:rsid w:val="00D34D77"/>
    <w:rsid w:val="00D357FF"/>
    <w:rsid w:val="00D36809"/>
    <w:rsid w:val="00D3709C"/>
    <w:rsid w:val="00D41794"/>
    <w:rsid w:val="00D41D77"/>
    <w:rsid w:val="00D424C7"/>
    <w:rsid w:val="00D434DD"/>
    <w:rsid w:val="00D43732"/>
    <w:rsid w:val="00D43B2A"/>
    <w:rsid w:val="00D44901"/>
    <w:rsid w:val="00D46CA4"/>
    <w:rsid w:val="00D47575"/>
    <w:rsid w:val="00D477F4"/>
    <w:rsid w:val="00D47E50"/>
    <w:rsid w:val="00D50FC3"/>
    <w:rsid w:val="00D514A3"/>
    <w:rsid w:val="00D51801"/>
    <w:rsid w:val="00D520C8"/>
    <w:rsid w:val="00D54771"/>
    <w:rsid w:val="00D547EB"/>
    <w:rsid w:val="00D548DD"/>
    <w:rsid w:val="00D55150"/>
    <w:rsid w:val="00D5597B"/>
    <w:rsid w:val="00D55BD0"/>
    <w:rsid w:val="00D5693E"/>
    <w:rsid w:val="00D57484"/>
    <w:rsid w:val="00D57BBC"/>
    <w:rsid w:val="00D60327"/>
    <w:rsid w:val="00D603B8"/>
    <w:rsid w:val="00D6069D"/>
    <w:rsid w:val="00D60DDD"/>
    <w:rsid w:val="00D6181B"/>
    <w:rsid w:val="00D61949"/>
    <w:rsid w:val="00D61FEA"/>
    <w:rsid w:val="00D6203D"/>
    <w:rsid w:val="00D629C2"/>
    <w:rsid w:val="00D62F1E"/>
    <w:rsid w:val="00D6317E"/>
    <w:rsid w:val="00D63DD2"/>
    <w:rsid w:val="00D64E96"/>
    <w:rsid w:val="00D650D5"/>
    <w:rsid w:val="00D6748B"/>
    <w:rsid w:val="00D6772E"/>
    <w:rsid w:val="00D70F16"/>
    <w:rsid w:val="00D715E8"/>
    <w:rsid w:val="00D732C5"/>
    <w:rsid w:val="00D74E2B"/>
    <w:rsid w:val="00D74EA3"/>
    <w:rsid w:val="00D75844"/>
    <w:rsid w:val="00D75875"/>
    <w:rsid w:val="00D760FC"/>
    <w:rsid w:val="00D76A44"/>
    <w:rsid w:val="00D76D7F"/>
    <w:rsid w:val="00D7755B"/>
    <w:rsid w:val="00D77CD6"/>
    <w:rsid w:val="00D805B7"/>
    <w:rsid w:val="00D815EF"/>
    <w:rsid w:val="00D81D47"/>
    <w:rsid w:val="00D82107"/>
    <w:rsid w:val="00D822B0"/>
    <w:rsid w:val="00D8327F"/>
    <w:rsid w:val="00D835EC"/>
    <w:rsid w:val="00D852DB"/>
    <w:rsid w:val="00D85717"/>
    <w:rsid w:val="00D85BE1"/>
    <w:rsid w:val="00D86368"/>
    <w:rsid w:val="00D91480"/>
    <w:rsid w:val="00D9154D"/>
    <w:rsid w:val="00D91923"/>
    <w:rsid w:val="00D92195"/>
    <w:rsid w:val="00D9230D"/>
    <w:rsid w:val="00D92E64"/>
    <w:rsid w:val="00D93371"/>
    <w:rsid w:val="00D93753"/>
    <w:rsid w:val="00D93CD4"/>
    <w:rsid w:val="00D950B4"/>
    <w:rsid w:val="00D976DB"/>
    <w:rsid w:val="00D97949"/>
    <w:rsid w:val="00DA010A"/>
    <w:rsid w:val="00DA052A"/>
    <w:rsid w:val="00DA0979"/>
    <w:rsid w:val="00DA1784"/>
    <w:rsid w:val="00DA1D21"/>
    <w:rsid w:val="00DA25BB"/>
    <w:rsid w:val="00DA2BB5"/>
    <w:rsid w:val="00DA2DE3"/>
    <w:rsid w:val="00DA3167"/>
    <w:rsid w:val="00DA38D2"/>
    <w:rsid w:val="00DA3BFC"/>
    <w:rsid w:val="00DA3D6E"/>
    <w:rsid w:val="00DA4DC3"/>
    <w:rsid w:val="00DA4FC6"/>
    <w:rsid w:val="00DA6B0E"/>
    <w:rsid w:val="00DA77A5"/>
    <w:rsid w:val="00DA7C8A"/>
    <w:rsid w:val="00DA7DC4"/>
    <w:rsid w:val="00DB286E"/>
    <w:rsid w:val="00DB34DA"/>
    <w:rsid w:val="00DB37CD"/>
    <w:rsid w:val="00DB484F"/>
    <w:rsid w:val="00DB521F"/>
    <w:rsid w:val="00DB64B4"/>
    <w:rsid w:val="00DB6B03"/>
    <w:rsid w:val="00DB7100"/>
    <w:rsid w:val="00DB7C09"/>
    <w:rsid w:val="00DC0214"/>
    <w:rsid w:val="00DC04F6"/>
    <w:rsid w:val="00DC0A00"/>
    <w:rsid w:val="00DC1001"/>
    <w:rsid w:val="00DC19D2"/>
    <w:rsid w:val="00DC2339"/>
    <w:rsid w:val="00DC3C57"/>
    <w:rsid w:val="00DC3D50"/>
    <w:rsid w:val="00DC3F23"/>
    <w:rsid w:val="00DC43CA"/>
    <w:rsid w:val="00DC49CA"/>
    <w:rsid w:val="00DC5224"/>
    <w:rsid w:val="00DC5501"/>
    <w:rsid w:val="00DC6342"/>
    <w:rsid w:val="00DC6676"/>
    <w:rsid w:val="00DC69FC"/>
    <w:rsid w:val="00DC72AB"/>
    <w:rsid w:val="00DD1762"/>
    <w:rsid w:val="00DD19AD"/>
    <w:rsid w:val="00DD22DB"/>
    <w:rsid w:val="00DD273C"/>
    <w:rsid w:val="00DD2E5D"/>
    <w:rsid w:val="00DD3D69"/>
    <w:rsid w:val="00DD3F28"/>
    <w:rsid w:val="00DD437E"/>
    <w:rsid w:val="00DD4537"/>
    <w:rsid w:val="00DD4E15"/>
    <w:rsid w:val="00DD6166"/>
    <w:rsid w:val="00DD7D51"/>
    <w:rsid w:val="00DE04E7"/>
    <w:rsid w:val="00DE0B21"/>
    <w:rsid w:val="00DE0BE2"/>
    <w:rsid w:val="00DE16D7"/>
    <w:rsid w:val="00DE2892"/>
    <w:rsid w:val="00DE3138"/>
    <w:rsid w:val="00DE37F8"/>
    <w:rsid w:val="00DE4FCB"/>
    <w:rsid w:val="00DE5874"/>
    <w:rsid w:val="00DE7832"/>
    <w:rsid w:val="00DE7D5C"/>
    <w:rsid w:val="00DF004F"/>
    <w:rsid w:val="00DF1751"/>
    <w:rsid w:val="00DF18FC"/>
    <w:rsid w:val="00DF1DC8"/>
    <w:rsid w:val="00DF2299"/>
    <w:rsid w:val="00DF3751"/>
    <w:rsid w:val="00DF52E8"/>
    <w:rsid w:val="00DF5D2B"/>
    <w:rsid w:val="00DF6470"/>
    <w:rsid w:val="00DF6B1A"/>
    <w:rsid w:val="00DF7494"/>
    <w:rsid w:val="00DF7ED6"/>
    <w:rsid w:val="00E00E8E"/>
    <w:rsid w:val="00E0249E"/>
    <w:rsid w:val="00E0262B"/>
    <w:rsid w:val="00E03351"/>
    <w:rsid w:val="00E03E69"/>
    <w:rsid w:val="00E048E9"/>
    <w:rsid w:val="00E04D37"/>
    <w:rsid w:val="00E05630"/>
    <w:rsid w:val="00E06DBB"/>
    <w:rsid w:val="00E0710E"/>
    <w:rsid w:val="00E10149"/>
    <w:rsid w:val="00E11967"/>
    <w:rsid w:val="00E11A4B"/>
    <w:rsid w:val="00E11DB5"/>
    <w:rsid w:val="00E13309"/>
    <w:rsid w:val="00E14205"/>
    <w:rsid w:val="00E150ED"/>
    <w:rsid w:val="00E15DAE"/>
    <w:rsid w:val="00E15FD2"/>
    <w:rsid w:val="00E16111"/>
    <w:rsid w:val="00E16372"/>
    <w:rsid w:val="00E1706D"/>
    <w:rsid w:val="00E1711B"/>
    <w:rsid w:val="00E207EB"/>
    <w:rsid w:val="00E20E4D"/>
    <w:rsid w:val="00E20ED6"/>
    <w:rsid w:val="00E21358"/>
    <w:rsid w:val="00E21D40"/>
    <w:rsid w:val="00E22198"/>
    <w:rsid w:val="00E2249B"/>
    <w:rsid w:val="00E22A0D"/>
    <w:rsid w:val="00E23F5D"/>
    <w:rsid w:val="00E24693"/>
    <w:rsid w:val="00E25737"/>
    <w:rsid w:val="00E25C59"/>
    <w:rsid w:val="00E2771E"/>
    <w:rsid w:val="00E31131"/>
    <w:rsid w:val="00E328C0"/>
    <w:rsid w:val="00E32D7E"/>
    <w:rsid w:val="00E333D1"/>
    <w:rsid w:val="00E334C4"/>
    <w:rsid w:val="00E33793"/>
    <w:rsid w:val="00E33C71"/>
    <w:rsid w:val="00E34948"/>
    <w:rsid w:val="00E352C0"/>
    <w:rsid w:val="00E35B75"/>
    <w:rsid w:val="00E37569"/>
    <w:rsid w:val="00E40637"/>
    <w:rsid w:val="00E4085F"/>
    <w:rsid w:val="00E41E30"/>
    <w:rsid w:val="00E423E4"/>
    <w:rsid w:val="00E4257D"/>
    <w:rsid w:val="00E42973"/>
    <w:rsid w:val="00E43D70"/>
    <w:rsid w:val="00E4471C"/>
    <w:rsid w:val="00E45C31"/>
    <w:rsid w:val="00E4621E"/>
    <w:rsid w:val="00E466F3"/>
    <w:rsid w:val="00E46F50"/>
    <w:rsid w:val="00E47B2C"/>
    <w:rsid w:val="00E514EB"/>
    <w:rsid w:val="00E51560"/>
    <w:rsid w:val="00E525D4"/>
    <w:rsid w:val="00E52702"/>
    <w:rsid w:val="00E52A20"/>
    <w:rsid w:val="00E54347"/>
    <w:rsid w:val="00E55424"/>
    <w:rsid w:val="00E55648"/>
    <w:rsid w:val="00E55688"/>
    <w:rsid w:val="00E55BB5"/>
    <w:rsid w:val="00E566DB"/>
    <w:rsid w:val="00E56A21"/>
    <w:rsid w:val="00E571A3"/>
    <w:rsid w:val="00E572CA"/>
    <w:rsid w:val="00E60C69"/>
    <w:rsid w:val="00E61159"/>
    <w:rsid w:val="00E6118F"/>
    <w:rsid w:val="00E61559"/>
    <w:rsid w:val="00E61AB5"/>
    <w:rsid w:val="00E61BAD"/>
    <w:rsid w:val="00E62356"/>
    <w:rsid w:val="00E62C5F"/>
    <w:rsid w:val="00E632E0"/>
    <w:rsid w:val="00E632F5"/>
    <w:rsid w:val="00E64594"/>
    <w:rsid w:val="00E657F5"/>
    <w:rsid w:val="00E65E79"/>
    <w:rsid w:val="00E66BA2"/>
    <w:rsid w:val="00E66BDC"/>
    <w:rsid w:val="00E67416"/>
    <w:rsid w:val="00E67C30"/>
    <w:rsid w:val="00E705A5"/>
    <w:rsid w:val="00E70F10"/>
    <w:rsid w:val="00E718B6"/>
    <w:rsid w:val="00E719B9"/>
    <w:rsid w:val="00E71B9E"/>
    <w:rsid w:val="00E723BA"/>
    <w:rsid w:val="00E72766"/>
    <w:rsid w:val="00E73581"/>
    <w:rsid w:val="00E73989"/>
    <w:rsid w:val="00E74798"/>
    <w:rsid w:val="00E750C1"/>
    <w:rsid w:val="00E755C4"/>
    <w:rsid w:val="00E75674"/>
    <w:rsid w:val="00E761D7"/>
    <w:rsid w:val="00E76F0C"/>
    <w:rsid w:val="00E80BC3"/>
    <w:rsid w:val="00E82F43"/>
    <w:rsid w:val="00E8311B"/>
    <w:rsid w:val="00E833F7"/>
    <w:rsid w:val="00E837F8"/>
    <w:rsid w:val="00E83A22"/>
    <w:rsid w:val="00E83BDF"/>
    <w:rsid w:val="00E84DC9"/>
    <w:rsid w:val="00E84E54"/>
    <w:rsid w:val="00E865DE"/>
    <w:rsid w:val="00E87396"/>
    <w:rsid w:val="00E87859"/>
    <w:rsid w:val="00E87A1D"/>
    <w:rsid w:val="00E90DF9"/>
    <w:rsid w:val="00E916B2"/>
    <w:rsid w:val="00E92659"/>
    <w:rsid w:val="00E926A5"/>
    <w:rsid w:val="00E9466A"/>
    <w:rsid w:val="00E947AC"/>
    <w:rsid w:val="00E94D86"/>
    <w:rsid w:val="00E9500D"/>
    <w:rsid w:val="00E956E8"/>
    <w:rsid w:val="00EA0AC0"/>
    <w:rsid w:val="00EA1734"/>
    <w:rsid w:val="00EA17C3"/>
    <w:rsid w:val="00EA21AE"/>
    <w:rsid w:val="00EA26BF"/>
    <w:rsid w:val="00EA2CAA"/>
    <w:rsid w:val="00EA35DA"/>
    <w:rsid w:val="00EA3864"/>
    <w:rsid w:val="00EA3EFF"/>
    <w:rsid w:val="00EA4406"/>
    <w:rsid w:val="00EA46E4"/>
    <w:rsid w:val="00EA513E"/>
    <w:rsid w:val="00EA6524"/>
    <w:rsid w:val="00EA7526"/>
    <w:rsid w:val="00EA778D"/>
    <w:rsid w:val="00EA7E7B"/>
    <w:rsid w:val="00EB0002"/>
    <w:rsid w:val="00EB041F"/>
    <w:rsid w:val="00EB1299"/>
    <w:rsid w:val="00EB13A3"/>
    <w:rsid w:val="00EB15B6"/>
    <w:rsid w:val="00EB3016"/>
    <w:rsid w:val="00EB37DD"/>
    <w:rsid w:val="00EB39D4"/>
    <w:rsid w:val="00EB4916"/>
    <w:rsid w:val="00EB5EEE"/>
    <w:rsid w:val="00EB6333"/>
    <w:rsid w:val="00EB6807"/>
    <w:rsid w:val="00EB6CBF"/>
    <w:rsid w:val="00EB6E97"/>
    <w:rsid w:val="00EC00C9"/>
    <w:rsid w:val="00EC0613"/>
    <w:rsid w:val="00EC13E8"/>
    <w:rsid w:val="00EC2023"/>
    <w:rsid w:val="00EC260E"/>
    <w:rsid w:val="00EC2649"/>
    <w:rsid w:val="00EC2AE0"/>
    <w:rsid w:val="00EC30E9"/>
    <w:rsid w:val="00EC37B2"/>
    <w:rsid w:val="00EC4311"/>
    <w:rsid w:val="00EC4E53"/>
    <w:rsid w:val="00EC6183"/>
    <w:rsid w:val="00EC652C"/>
    <w:rsid w:val="00EC7236"/>
    <w:rsid w:val="00EC73BB"/>
    <w:rsid w:val="00EC790C"/>
    <w:rsid w:val="00ED1095"/>
    <w:rsid w:val="00ED1FCF"/>
    <w:rsid w:val="00ED2711"/>
    <w:rsid w:val="00ED3D47"/>
    <w:rsid w:val="00ED57EA"/>
    <w:rsid w:val="00ED5CDE"/>
    <w:rsid w:val="00ED7568"/>
    <w:rsid w:val="00ED7D98"/>
    <w:rsid w:val="00EE07D3"/>
    <w:rsid w:val="00EE0B5A"/>
    <w:rsid w:val="00EE192C"/>
    <w:rsid w:val="00EE1B45"/>
    <w:rsid w:val="00EE22AF"/>
    <w:rsid w:val="00EE2A4E"/>
    <w:rsid w:val="00EE3A38"/>
    <w:rsid w:val="00EE4CB6"/>
    <w:rsid w:val="00EE5AC8"/>
    <w:rsid w:val="00EE7885"/>
    <w:rsid w:val="00EE7A3A"/>
    <w:rsid w:val="00EF0171"/>
    <w:rsid w:val="00EF0775"/>
    <w:rsid w:val="00EF11D9"/>
    <w:rsid w:val="00EF15DC"/>
    <w:rsid w:val="00EF1845"/>
    <w:rsid w:val="00EF1B25"/>
    <w:rsid w:val="00EF233F"/>
    <w:rsid w:val="00EF261E"/>
    <w:rsid w:val="00EF4747"/>
    <w:rsid w:val="00EF4995"/>
    <w:rsid w:val="00EF4BF8"/>
    <w:rsid w:val="00EF4D89"/>
    <w:rsid w:val="00EF4F35"/>
    <w:rsid w:val="00EF4F80"/>
    <w:rsid w:val="00EF5C92"/>
    <w:rsid w:val="00EF6531"/>
    <w:rsid w:val="00EF6A83"/>
    <w:rsid w:val="00EF7079"/>
    <w:rsid w:val="00EF7C9E"/>
    <w:rsid w:val="00F0090C"/>
    <w:rsid w:val="00F02253"/>
    <w:rsid w:val="00F02511"/>
    <w:rsid w:val="00F027BF"/>
    <w:rsid w:val="00F0333E"/>
    <w:rsid w:val="00F03C2E"/>
    <w:rsid w:val="00F04A66"/>
    <w:rsid w:val="00F0516C"/>
    <w:rsid w:val="00F05189"/>
    <w:rsid w:val="00F067A2"/>
    <w:rsid w:val="00F0706E"/>
    <w:rsid w:val="00F07493"/>
    <w:rsid w:val="00F076CA"/>
    <w:rsid w:val="00F07C0D"/>
    <w:rsid w:val="00F07F47"/>
    <w:rsid w:val="00F1027D"/>
    <w:rsid w:val="00F10C57"/>
    <w:rsid w:val="00F117C8"/>
    <w:rsid w:val="00F1263A"/>
    <w:rsid w:val="00F12948"/>
    <w:rsid w:val="00F133E7"/>
    <w:rsid w:val="00F13AAC"/>
    <w:rsid w:val="00F13B24"/>
    <w:rsid w:val="00F13D2C"/>
    <w:rsid w:val="00F14132"/>
    <w:rsid w:val="00F14454"/>
    <w:rsid w:val="00F144B7"/>
    <w:rsid w:val="00F15A83"/>
    <w:rsid w:val="00F16C8F"/>
    <w:rsid w:val="00F2076B"/>
    <w:rsid w:val="00F216CA"/>
    <w:rsid w:val="00F23157"/>
    <w:rsid w:val="00F23899"/>
    <w:rsid w:val="00F24837"/>
    <w:rsid w:val="00F25488"/>
    <w:rsid w:val="00F2575F"/>
    <w:rsid w:val="00F26352"/>
    <w:rsid w:val="00F26AC1"/>
    <w:rsid w:val="00F27124"/>
    <w:rsid w:val="00F27565"/>
    <w:rsid w:val="00F27AD4"/>
    <w:rsid w:val="00F30641"/>
    <w:rsid w:val="00F30F78"/>
    <w:rsid w:val="00F310D4"/>
    <w:rsid w:val="00F31D5A"/>
    <w:rsid w:val="00F31FD7"/>
    <w:rsid w:val="00F3239B"/>
    <w:rsid w:val="00F32AA3"/>
    <w:rsid w:val="00F33332"/>
    <w:rsid w:val="00F33DE9"/>
    <w:rsid w:val="00F351DE"/>
    <w:rsid w:val="00F35EE6"/>
    <w:rsid w:val="00F3619A"/>
    <w:rsid w:val="00F379E3"/>
    <w:rsid w:val="00F4078F"/>
    <w:rsid w:val="00F409CC"/>
    <w:rsid w:val="00F409EF"/>
    <w:rsid w:val="00F40AAA"/>
    <w:rsid w:val="00F40BA7"/>
    <w:rsid w:val="00F40C8F"/>
    <w:rsid w:val="00F41290"/>
    <w:rsid w:val="00F41D97"/>
    <w:rsid w:val="00F41FD1"/>
    <w:rsid w:val="00F42A5D"/>
    <w:rsid w:val="00F43F5C"/>
    <w:rsid w:val="00F4440F"/>
    <w:rsid w:val="00F45A9A"/>
    <w:rsid w:val="00F46CB6"/>
    <w:rsid w:val="00F47B64"/>
    <w:rsid w:val="00F47DE8"/>
    <w:rsid w:val="00F5003A"/>
    <w:rsid w:val="00F50780"/>
    <w:rsid w:val="00F517D1"/>
    <w:rsid w:val="00F51B5E"/>
    <w:rsid w:val="00F51D63"/>
    <w:rsid w:val="00F523D9"/>
    <w:rsid w:val="00F52413"/>
    <w:rsid w:val="00F52D54"/>
    <w:rsid w:val="00F52F23"/>
    <w:rsid w:val="00F53B02"/>
    <w:rsid w:val="00F542C1"/>
    <w:rsid w:val="00F54770"/>
    <w:rsid w:val="00F55643"/>
    <w:rsid w:val="00F55E73"/>
    <w:rsid w:val="00F55EDA"/>
    <w:rsid w:val="00F560E9"/>
    <w:rsid w:val="00F562C7"/>
    <w:rsid w:val="00F56DF7"/>
    <w:rsid w:val="00F57241"/>
    <w:rsid w:val="00F60092"/>
    <w:rsid w:val="00F60D17"/>
    <w:rsid w:val="00F60F04"/>
    <w:rsid w:val="00F6180C"/>
    <w:rsid w:val="00F61A8F"/>
    <w:rsid w:val="00F620BF"/>
    <w:rsid w:val="00F643A1"/>
    <w:rsid w:val="00F64D27"/>
    <w:rsid w:val="00F64D7C"/>
    <w:rsid w:val="00F65534"/>
    <w:rsid w:val="00F65901"/>
    <w:rsid w:val="00F659A6"/>
    <w:rsid w:val="00F65F4B"/>
    <w:rsid w:val="00F67D6B"/>
    <w:rsid w:val="00F707D0"/>
    <w:rsid w:val="00F709FA"/>
    <w:rsid w:val="00F70C9D"/>
    <w:rsid w:val="00F72F90"/>
    <w:rsid w:val="00F73A5E"/>
    <w:rsid w:val="00F747D1"/>
    <w:rsid w:val="00F74CD9"/>
    <w:rsid w:val="00F74CDD"/>
    <w:rsid w:val="00F74EB3"/>
    <w:rsid w:val="00F757AA"/>
    <w:rsid w:val="00F775FF"/>
    <w:rsid w:val="00F776D6"/>
    <w:rsid w:val="00F80509"/>
    <w:rsid w:val="00F8080B"/>
    <w:rsid w:val="00F80A7B"/>
    <w:rsid w:val="00F80E5D"/>
    <w:rsid w:val="00F80F8C"/>
    <w:rsid w:val="00F82F8B"/>
    <w:rsid w:val="00F83E1B"/>
    <w:rsid w:val="00F851CE"/>
    <w:rsid w:val="00F85F49"/>
    <w:rsid w:val="00F877C5"/>
    <w:rsid w:val="00F91219"/>
    <w:rsid w:val="00F9159E"/>
    <w:rsid w:val="00F92694"/>
    <w:rsid w:val="00F92BB3"/>
    <w:rsid w:val="00F92FDF"/>
    <w:rsid w:val="00F930CD"/>
    <w:rsid w:val="00F933FA"/>
    <w:rsid w:val="00F941D7"/>
    <w:rsid w:val="00F94E89"/>
    <w:rsid w:val="00F95C08"/>
    <w:rsid w:val="00F97454"/>
    <w:rsid w:val="00F979ED"/>
    <w:rsid w:val="00F979F5"/>
    <w:rsid w:val="00F97A78"/>
    <w:rsid w:val="00F97BC8"/>
    <w:rsid w:val="00FA013D"/>
    <w:rsid w:val="00FA0B20"/>
    <w:rsid w:val="00FA0EC4"/>
    <w:rsid w:val="00FA1F8D"/>
    <w:rsid w:val="00FA24E7"/>
    <w:rsid w:val="00FA2BDA"/>
    <w:rsid w:val="00FA351A"/>
    <w:rsid w:val="00FA3FBD"/>
    <w:rsid w:val="00FA5B0E"/>
    <w:rsid w:val="00FA63E9"/>
    <w:rsid w:val="00FA6A7E"/>
    <w:rsid w:val="00FA6D7B"/>
    <w:rsid w:val="00FA78BC"/>
    <w:rsid w:val="00FA7BA2"/>
    <w:rsid w:val="00FB07C2"/>
    <w:rsid w:val="00FB0FE5"/>
    <w:rsid w:val="00FB2B76"/>
    <w:rsid w:val="00FB2DFF"/>
    <w:rsid w:val="00FB2FCB"/>
    <w:rsid w:val="00FB3160"/>
    <w:rsid w:val="00FB5F56"/>
    <w:rsid w:val="00FB65CF"/>
    <w:rsid w:val="00FC0A54"/>
    <w:rsid w:val="00FC0A9C"/>
    <w:rsid w:val="00FC1074"/>
    <w:rsid w:val="00FC1884"/>
    <w:rsid w:val="00FC28BF"/>
    <w:rsid w:val="00FC371D"/>
    <w:rsid w:val="00FC38EC"/>
    <w:rsid w:val="00FC3D01"/>
    <w:rsid w:val="00FC4499"/>
    <w:rsid w:val="00FC5F0B"/>
    <w:rsid w:val="00FC6223"/>
    <w:rsid w:val="00FC682D"/>
    <w:rsid w:val="00FD05A6"/>
    <w:rsid w:val="00FD071A"/>
    <w:rsid w:val="00FD1FAA"/>
    <w:rsid w:val="00FD2093"/>
    <w:rsid w:val="00FD2100"/>
    <w:rsid w:val="00FD2125"/>
    <w:rsid w:val="00FD3BF6"/>
    <w:rsid w:val="00FD436C"/>
    <w:rsid w:val="00FD446D"/>
    <w:rsid w:val="00FD44EF"/>
    <w:rsid w:val="00FD4D3F"/>
    <w:rsid w:val="00FD4FD2"/>
    <w:rsid w:val="00FD547E"/>
    <w:rsid w:val="00FD579C"/>
    <w:rsid w:val="00FD5A6F"/>
    <w:rsid w:val="00FD6094"/>
    <w:rsid w:val="00FD620B"/>
    <w:rsid w:val="00FD6394"/>
    <w:rsid w:val="00FD717E"/>
    <w:rsid w:val="00FD769F"/>
    <w:rsid w:val="00FE0200"/>
    <w:rsid w:val="00FE0575"/>
    <w:rsid w:val="00FE0E6C"/>
    <w:rsid w:val="00FE1039"/>
    <w:rsid w:val="00FE231E"/>
    <w:rsid w:val="00FE3692"/>
    <w:rsid w:val="00FE5B9C"/>
    <w:rsid w:val="00FE5DBC"/>
    <w:rsid w:val="00FE69F9"/>
    <w:rsid w:val="00FE70C3"/>
    <w:rsid w:val="00FF3DCF"/>
    <w:rsid w:val="00FF492C"/>
    <w:rsid w:val="00FF4A21"/>
    <w:rsid w:val="00FF5437"/>
    <w:rsid w:val="00FF5562"/>
    <w:rsid w:val="00FF55F5"/>
    <w:rsid w:val="00FF5AA3"/>
    <w:rsid w:val="00FF5AD8"/>
    <w:rsid w:val="00FF63F2"/>
    <w:rsid w:val="00FF72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DA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9B"/>
    <w:pPr>
      <w:widowControl w:val="0"/>
      <w:spacing w:after="120"/>
      <w:jc w:val="both"/>
    </w:pPr>
    <w:rPr>
      <w:rFonts w:ascii="Calibri" w:hAnsi="Calibri" w:cs="Arial"/>
      <w:snapToGrid w:val="0"/>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5A2C9B"/>
    <w:pPr>
      <w:keepNext/>
      <w:widowControl/>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2C9B"/>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5A2C9B"/>
    <w:pPr>
      <w:spacing w:after="0"/>
    </w:pPr>
    <w:rPr>
      <w:rFonts w:ascii="Arial Narrow" w:hAnsi="Arial Narrow"/>
      <w:sz w:val="18"/>
    </w:rPr>
  </w:style>
  <w:style w:type="character" w:customStyle="1" w:styleId="TableFooterChar">
    <w:name w:val="Table Footer Char"/>
    <w:link w:val="TableFooter"/>
    <w:rsid w:val="005A2C9B"/>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Styl moj Char,Akapit z listą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A2C9B"/>
    <w:pPr>
      <w:keepNext/>
      <w:numPr>
        <w:numId w:val="3"/>
      </w:numPr>
      <w:spacing w:before="240" w:after="120"/>
      <w:outlineLvl w:val="0"/>
    </w:pPr>
    <w:rPr>
      <w:rFonts w:asciiTheme="minorHAnsi" w:hAnsiTheme="minorHAnsi" w:cs="Arial"/>
      <w:b/>
      <w:snapToGrid w:val="0"/>
      <w:sz w:val="32"/>
      <w:szCs w:val="3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Bullettext">
    <w:name w:val="Bullet text"/>
    <w:link w:val="BullettextChar"/>
    <w:qFormat/>
    <w:rsid w:val="001320D7"/>
    <w:pPr>
      <w:numPr>
        <w:numId w:val="6"/>
      </w:numPr>
      <w:spacing w:before="120" w:line="276" w:lineRule="auto"/>
      <w:contextualSpacing/>
      <w:jc w:val="both"/>
    </w:pPr>
    <w:rPr>
      <w:rFonts w:ascii="Cambria" w:eastAsia="Calibri" w:hAnsi="Cambria"/>
      <w:lang w:eastAsia="en-US"/>
    </w:rPr>
  </w:style>
  <w:style w:type="character" w:customStyle="1" w:styleId="BullettextChar">
    <w:name w:val="Bullet text Char"/>
    <w:link w:val="Bullettext"/>
    <w:rsid w:val="001320D7"/>
    <w:rPr>
      <w:rFonts w:ascii="Cambria" w:eastAsia="Calibri" w:hAnsi="Cambria"/>
      <w:sz w:val="24"/>
      <w:szCs w:val="24"/>
      <w:lang w:eastAsia="en-US"/>
    </w:rPr>
  </w:style>
  <w:style w:type="paragraph" w:customStyle="1" w:styleId="TableText0">
    <w:name w:val="Table Text"/>
    <w:basedOn w:val="Normal"/>
    <w:link w:val="TableTextChar0"/>
    <w:qFormat/>
    <w:rsid w:val="00E94D86"/>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E94D86"/>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E94D86"/>
    <w:rPr>
      <w:rFonts w:ascii="Arial Narrow" w:eastAsiaTheme="minorHAnsi" w:hAnsi="Arial Narrow" w:cstheme="minorBidi"/>
      <w:szCs w:val="22"/>
      <w:lang w:eastAsia="en-US"/>
    </w:rPr>
  </w:style>
  <w:style w:type="paragraph" w:styleId="FootnoteText">
    <w:name w:val="footnote text"/>
    <w:basedOn w:val="Normal"/>
    <w:link w:val="FootnoteTextChar"/>
    <w:unhideWhenUsed/>
    <w:rsid w:val="00EB39D4"/>
    <w:rPr>
      <w:sz w:val="20"/>
      <w:szCs w:val="20"/>
    </w:rPr>
  </w:style>
  <w:style w:type="character" w:customStyle="1" w:styleId="FootnoteTextChar">
    <w:name w:val="Footnote Text Char"/>
    <w:basedOn w:val="DefaultParagraphFont"/>
    <w:link w:val="FootnoteText"/>
    <w:rsid w:val="00EB39D4"/>
    <w:rPr>
      <w:rFonts w:ascii="Calibri" w:hAnsi="Calibri" w:cs="Arial"/>
      <w:snapToGrid w:val="0"/>
      <w:lang w:eastAsia="en-US"/>
    </w:rPr>
  </w:style>
  <w:style w:type="character" w:styleId="FootnoteReference">
    <w:name w:val="footnote reference"/>
    <w:basedOn w:val="DefaultParagraphFont"/>
    <w:unhideWhenUsed/>
    <w:rsid w:val="00EB39D4"/>
    <w:rPr>
      <w:vertAlign w:val="superscript"/>
    </w:rPr>
  </w:style>
  <w:style w:type="paragraph" w:customStyle="1" w:styleId="V50Instructions">
    <w:name w:val="V5.0 Instructions"/>
    <w:basedOn w:val="Normal"/>
    <w:link w:val="V50InstructionsChar"/>
    <w:qFormat/>
    <w:rsid w:val="00B9593D"/>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B9593D"/>
    <w:rPr>
      <w:rFonts w:asciiTheme="minorHAnsi" w:eastAsiaTheme="minorHAnsi" w:hAnsiTheme="minorHAnsi" w:cstheme="minorBidi"/>
      <w:color w:val="4BACC6" w:themeColor="accent5"/>
      <w:sz w:val="24"/>
      <w:szCs w:val="22"/>
      <w:lang w:eastAsia="en-US"/>
    </w:rPr>
  </w:style>
  <w:style w:type="paragraph" w:customStyle="1" w:styleId="06Tabletextspacebefore">
    <w:name w:val="06 Table text space before"/>
    <w:qFormat/>
    <w:rsid w:val="0035686B"/>
    <w:pPr>
      <w:spacing w:before="80"/>
      <w:ind w:left="57" w:right="57"/>
    </w:pPr>
    <w:rPr>
      <w:rFonts w:ascii="Arial Narrow" w:eastAsia="Calibri" w:hAnsi="Arial Narrow"/>
      <w:sz w:val="18"/>
      <w:lang w:eastAsia="en-US"/>
    </w:rPr>
  </w:style>
  <w:style w:type="paragraph" w:customStyle="1" w:styleId="08Tablebulletsecondlevel">
    <w:name w:val="08 Table bullet second level"/>
    <w:qFormat/>
    <w:rsid w:val="00857B89"/>
    <w:pPr>
      <w:numPr>
        <w:numId w:val="8"/>
      </w:numPr>
    </w:pPr>
    <w:rPr>
      <w:rFonts w:ascii="Arial Narrow" w:eastAsia="Calibri" w:hAnsi="Arial Narrow"/>
      <w:sz w:val="18"/>
      <w:lang w:eastAsia="en-US"/>
    </w:rPr>
  </w:style>
  <w:style w:type="paragraph" w:customStyle="1" w:styleId="07Tablebullet">
    <w:name w:val="07 Table bullet"/>
    <w:qFormat/>
    <w:rsid w:val="00385831"/>
    <w:pPr>
      <w:numPr>
        <w:numId w:val="9"/>
      </w:numPr>
      <w:ind w:left="227" w:right="57" w:hanging="170"/>
    </w:pPr>
    <w:rPr>
      <w:rFonts w:ascii="Arial Narrow" w:eastAsia="Calibri" w:hAnsi="Arial Narrow"/>
      <w:sz w:val="18"/>
      <w:lang w:eastAsia="en-US"/>
    </w:rPr>
  </w:style>
  <w:style w:type="paragraph" w:customStyle="1" w:styleId="Default">
    <w:name w:val="Default"/>
    <w:rsid w:val="00FE5B9C"/>
    <w:pPr>
      <w:autoSpaceDE w:val="0"/>
      <w:autoSpaceDN w:val="0"/>
      <w:adjustRightInd w:val="0"/>
    </w:pPr>
    <w:rPr>
      <w:rFonts w:ascii="Calibri" w:hAnsi="Calibri" w:cs="Calibri"/>
      <w:color w:val="000000"/>
    </w:rPr>
  </w:style>
  <w:style w:type="paragraph" w:customStyle="1" w:styleId="10TableorFigurefootnote">
    <w:name w:val="10 Table or Figure footnote"/>
    <w:qFormat/>
    <w:rsid w:val="00BF0A3D"/>
    <w:pPr>
      <w:keepNext/>
    </w:pPr>
    <w:rPr>
      <w:rFonts w:ascii="Arial Narrow" w:eastAsia="Calibri" w:hAnsi="Arial Narrow"/>
      <w:sz w:val="16"/>
      <w:lang w:eastAsia="en-US"/>
    </w:rPr>
  </w:style>
  <w:style w:type="paragraph" w:customStyle="1" w:styleId="11TableorFigurefootnotenostick">
    <w:name w:val="11 Table or Figure footnote – no stick"/>
    <w:next w:val="BodyText"/>
    <w:qFormat/>
    <w:rsid w:val="00BF0A3D"/>
    <w:pPr>
      <w:spacing w:after="360"/>
    </w:pPr>
    <w:rPr>
      <w:rFonts w:ascii="Arial Narrow" w:eastAsia="Calibri" w:hAnsi="Arial Narrow"/>
      <w:sz w:val="16"/>
      <w:lang w:eastAsia="en-US"/>
    </w:rPr>
  </w:style>
  <w:style w:type="character" w:customStyle="1" w:styleId="Italics">
    <w:name w:val="Italics"/>
    <w:basedOn w:val="DefaultParagraphFont"/>
    <w:uiPriority w:val="1"/>
    <w:qFormat/>
    <w:rsid w:val="00F562C7"/>
    <w:rPr>
      <w:rFonts w:ascii="Candara" w:hAnsi="Candara"/>
      <w:i/>
      <w:sz w:val="24"/>
    </w:rPr>
  </w:style>
  <w:style w:type="character" w:customStyle="1" w:styleId="label-note-id">
    <w:name w:val="label-note-id"/>
    <w:basedOn w:val="DefaultParagraphFont"/>
    <w:rsid w:val="00F133E7"/>
  </w:style>
  <w:style w:type="character" w:customStyle="1" w:styleId="apple-converted-space">
    <w:name w:val="apple-converted-space"/>
    <w:basedOn w:val="DefaultParagraphFont"/>
    <w:rsid w:val="00844046"/>
  </w:style>
  <w:style w:type="character" w:styleId="Emphasis">
    <w:name w:val="Emphasis"/>
    <w:basedOn w:val="DefaultParagraphFont"/>
    <w:uiPriority w:val="20"/>
    <w:qFormat/>
    <w:rsid w:val="00844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4520">
      <w:bodyDiv w:val="1"/>
      <w:marLeft w:val="0"/>
      <w:marRight w:val="0"/>
      <w:marTop w:val="0"/>
      <w:marBottom w:val="0"/>
      <w:divBdr>
        <w:top w:val="none" w:sz="0" w:space="0" w:color="auto"/>
        <w:left w:val="none" w:sz="0" w:space="0" w:color="auto"/>
        <w:bottom w:val="none" w:sz="0" w:space="0" w:color="auto"/>
        <w:right w:val="none" w:sz="0" w:space="0" w:color="auto"/>
      </w:divBdr>
    </w:div>
    <w:div w:id="277763113">
      <w:bodyDiv w:val="1"/>
      <w:marLeft w:val="0"/>
      <w:marRight w:val="0"/>
      <w:marTop w:val="0"/>
      <w:marBottom w:val="0"/>
      <w:divBdr>
        <w:top w:val="none" w:sz="0" w:space="0" w:color="auto"/>
        <w:left w:val="none" w:sz="0" w:space="0" w:color="auto"/>
        <w:bottom w:val="none" w:sz="0" w:space="0" w:color="auto"/>
        <w:right w:val="none" w:sz="0" w:space="0" w:color="auto"/>
      </w:divBdr>
    </w:div>
    <w:div w:id="313292159">
      <w:bodyDiv w:val="1"/>
      <w:marLeft w:val="0"/>
      <w:marRight w:val="0"/>
      <w:marTop w:val="0"/>
      <w:marBottom w:val="0"/>
      <w:divBdr>
        <w:top w:val="none" w:sz="0" w:space="0" w:color="auto"/>
        <w:left w:val="none" w:sz="0" w:space="0" w:color="auto"/>
        <w:bottom w:val="none" w:sz="0" w:space="0" w:color="auto"/>
        <w:right w:val="none" w:sz="0" w:space="0" w:color="auto"/>
      </w:divBdr>
    </w:div>
    <w:div w:id="524513733">
      <w:bodyDiv w:val="1"/>
      <w:marLeft w:val="0"/>
      <w:marRight w:val="0"/>
      <w:marTop w:val="0"/>
      <w:marBottom w:val="0"/>
      <w:divBdr>
        <w:top w:val="none" w:sz="0" w:space="0" w:color="auto"/>
        <w:left w:val="none" w:sz="0" w:space="0" w:color="auto"/>
        <w:bottom w:val="none" w:sz="0" w:space="0" w:color="auto"/>
        <w:right w:val="none" w:sz="0" w:space="0" w:color="auto"/>
      </w:divBdr>
    </w:div>
    <w:div w:id="554509231">
      <w:bodyDiv w:val="1"/>
      <w:marLeft w:val="0"/>
      <w:marRight w:val="0"/>
      <w:marTop w:val="0"/>
      <w:marBottom w:val="0"/>
      <w:divBdr>
        <w:top w:val="none" w:sz="0" w:space="0" w:color="auto"/>
        <w:left w:val="none" w:sz="0" w:space="0" w:color="auto"/>
        <w:bottom w:val="none" w:sz="0" w:space="0" w:color="auto"/>
        <w:right w:val="none" w:sz="0" w:space="0" w:color="auto"/>
      </w:divBdr>
      <w:divsChild>
        <w:div w:id="787239536">
          <w:marLeft w:val="0"/>
          <w:marRight w:val="0"/>
          <w:marTop w:val="0"/>
          <w:marBottom w:val="0"/>
          <w:divBdr>
            <w:top w:val="none" w:sz="0" w:space="0" w:color="auto"/>
            <w:left w:val="none" w:sz="0" w:space="0" w:color="auto"/>
            <w:bottom w:val="none" w:sz="0" w:space="0" w:color="auto"/>
            <w:right w:val="none" w:sz="0" w:space="0" w:color="auto"/>
          </w:divBdr>
          <w:divsChild>
            <w:div w:id="2013332698">
              <w:marLeft w:val="0"/>
              <w:marRight w:val="0"/>
              <w:marTop w:val="0"/>
              <w:marBottom w:val="0"/>
              <w:divBdr>
                <w:top w:val="none" w:sz="0" w:space="0" w:color="auto"/>
                <w:left w:val="none" w:sz="0" w:space="0" w:color="auto"/>
                <w:bottom w:val="none" w:sz="0" w:space="0" w:color="auto"/>
                <w:right w:val="none" w:sz="0" w:space="0" w:color="auto"/>
              </w:divBdr>
              <w:divsChild>
                <w:div w:id="401147460">
                  <w:marLeft w:val="0"/>
                  <w:marRight w:val="0"/>
                  <w:marTop w:val="0"/>
                  <w:marBottom w:val="0"/>
                  <w:divBdr>
                    <w:top w:val="none" w:sz="0" w:space="0" w:color="auto"/>
                    <w:left w:val="none" w:sz="0" w:space="0" w:color="auto"/>
                    <w:bottom w:val="none" w:sz="0" w:space="0" w:color="auto"/>
                    <w:right w:val="none" w:sz="0" w:space="0" w:color="auto"/>
                  </w:divBdr>
                  <w:divsChild>
                    <w:div w:id="382561298">
                      <w:marLeft w:val="0"/>
                      <w:marRight w:val="0"/>
                      <w:marTop w:val="0"/>
                      <w:marBottom w:val="0"/>
                      <w:divBdr>
                        <w:top w:val="none" w:sz="0" w:space="0" w:color="auto"/>
                        <w:left w:val="none" w:sz="0" w:space="0" w:color="auto"/>
                        <w:bottom w:val="none" w:sz="0" w:space="0" w:color="auto"/>
                        <w:right w:val="none" w:sz="0" w:space="0" w:color="auto"/>
                      </w:divBdr>
                      <w:divsChild>
                        <w:div w:id="1822961199">
                          <w:marLeft w:val="0"/>
                          <w:marRight w:val="0"/>
                          <w:marTop w:val="0"/>
                          <w:marBottom w:val="0"/>
                          <w:divBdr>
                            <w:top w:val="none" w:sz="0" w:space="0" w:color="auto"/>
                            <w:left w:val="none" w:sz="0" w:space="0" w:color="auto"/>
                            <w:bottom w:val="none" w:sz="0" w:space="0" w:color="auto"/>
                            <w:right w:val="none" w:sz="0" w:space="0" w:color="auto"/>
                          </w:divBdr>
                        </w:div>
                        <w:div w:id="14251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749484">
      <w:bodyDiv w:val="1"/>
      <w:marLeft w:val="0"/>
      <w:marRight w:val="0"/>
      <w:marTop w:val="0"/>
      <w:marBottom w:val="0"/>
      <w:divBdr>
        <w:top w:val="none" w:sz="0" w:space="0" w:color="auto"/>
        <w:left w:val="none" w:sz="0" w:space="0" w:color="auto"/>
        <w:bottom w:val="none" w:sz="0" w:space="0" w:color="auto"/>
        <w:right w:val="none" w:sz="0" w:space="0" w:color="auto"/>
      </w:divBdr>
    </w:div>
    <w:div w:id="688606507">
      <w:bodyDiv w:val="1"/>
      <w:marLeft w:val="0"/>
      <w:marRight w:val="0"/>
      <w:marTop w:val="0"/>
      <w:marBottom w:val="0"/>
      <w:divBdr>
        <w:top w:val="none" w:sz="0" w:space="0" w:color="auto"/>
        <w:left w:val="none" w:sz="0" w:space="0" w:color="auto"/>
        <w:bottom w:val="none" w:sz="0" w:space="0" w:color="auto"/>
        <w:right w:val="none" w:sz="0" w:space="0" w:color="auto"/>
      </w:divBdr>
    </w:div>
    <w:div w:id="980035182">
      <w:bodyDiv w:val="1"/>
      <w:marLeft w:val="0"/>
      <w:marRight w:val="0"/>
      <w:marTop w:val="0"/>
      <w:marBottom w:val="0"/>
      <w:divBdr>
        <w:top w:val="none" w:sz="0" w:space="0" w:color="auto"/>
        <w:left w:val="none" w:sz="0" w:space="0" w:color="auto"/>
        <w:bottom w:val="none" w:sz="0" w:space="0" w:color="auto"/>
        <w:right w:val="none" w:sz="0" w:space="0" w:color="auto"/>
      </w:divBdr>
    </w:div>
    <w:div w:id="1066101038">
      <w:bodyDiv w:val="1"/>
      <w:marLeft w:val="0"/>
      <w:marRight w:val="0"/>
      <w:marTop w:val="0"/>
      <w:marBottom w:val="0"/>
      <w:divBdr>
        <w:top w:val="none" w:sz="0" w:space="0" w:color="auto"/>
        <w:left w:val="none" w:sz="0" w:space="0" w:color="auto"/>
        <w:bottom w:val="none" w:sz="0" w:space="0" w:color="auto"/>
        <w:right w:val="none" w:sz="0" w:space="0" w:color="auto"/>
      </w:divBdr>
    </w:div>
    <w:div w:id="1087574034">
      <w:bodyDiv w:val="1"/>
      <w:marLeft w:val="0"/>
      <w:marRight w:val="0"/>
      <w:marTop w:val="0"/>
      <w:marBottom w:val="0"/>
      <w:divBdr>
        <w:top w:val="none" w:sz="0" w:space="0" w:color="auto"/>
        <w:left w:val="none" w:sz="0" w:space="0" w:color="auto"/>
        <w:bottom w:val="none" w:sz="0" w:space="0" w:color="auto"/>
        <w:right w:val="none" w:sz="0" w:space="0" w:color="auto"/>
      </w:divBdr>
    </w:div>
    <w:div w:id="1285388967">
      <w:bodyDiv w:val="1"/>
      <w:marLeft w:val="0"/>
      <w:marRight w:val="0"/>
      <w:marTop w:val="0"/>
      <w:marBottom w:val="0"/>
      <w:divBdr>
        <w:top w:val="none" w:sz="0" w:space="0" w:color="auto"/>
        <w:left w:val="none" w:sz="0" w:space="0" w:color="auto"/>
        <w:bottom w:val="none" w:sz="0" w:space="0" w:color="auto"/>
        <w:right w:val="none" w:sz="0" w:space="0" w:color="auto"/>
      </w:divBdr>
    </w:div>
    <w:div w:id="1325629197">
      <w:bodyDiv w:val="1"/>
      <w:marLeft w:val="0"/>
      <w:marRight w:val="0"/>
      <w:marTop w:val="0"/>
      <w:marBottom w:val="0"/>
      <w:divBdr>
        <w:top w:val="none" w:sz="0" w:space="0" w:color="auto"/>
        <w:left w:val="none" w:sz="0" w:space="0" w:color="auto"/>
        <w:bottom w:val="none" w:sz="0" w:space="0" w:color="auto"/>
        <w:right w:val="none" w:sz="0" w:space="0" w:color="auto"/>
      </w:divBdr>
    </w:div>
    <w:div w:id="1446383377">
      <w:bodyDiv w:val="1"/>
      <w:marLeft w:val="0"/>
      <w:marRight w:val="0"/>
      <w:marTop w:val="0"/>
      <w:marBottom w:val="0"/>
      <w:divBdr>
        <w:top w:val="none" w:sz="0" w:space="0" w:color="auto"/>
        <w:left w:val="none" w:sz="0" w:space="0" w:color="auto"/>
        <w:bottom w:val="none" w:sz="0" w:space="0" w:color="auto"/>
        <w:right w:val="none" w:sz="0" w:space="0" w:color="auto"/>
      </w:divBdr>
    </w:div>
    <w:div w:id="1493981809">
      <w:bodyDiv w:val="1"/>
      <w:marLeft w:val="0"/>
      <w:marRight w:val="0"/>
      <w:marTop w:val="0"/>
      <w:marBottom w:val="0"/>
      <w:divBdr>
        <w:top w:val="none" w:sz="0" w:space="0" w:color="auto"/>
        <w:left w:val="none" w:sz="0" w:space="0" w:color="auto"/>
        <w:bottom w:val="none" w:sz="0" w:space="0" w:color="auto"/>
        <w:right w:val="none" w:sz="0" w:space="0" w:color="auto"/>
      </w:divBdr>
    </w:div>
    <w:div w:id="1546025224">
      <w:bodyDiv w:val="1"/>
      <w:marLeft w:val="0"/>
      <w:marRight w:val="0"/>
      <w:marTop w:val="0"/>
      <w:marBottom w:val="0"/>
      <w:divBdr>
        <w:top w:val="none" w:sz="0" w:space="0" w:color="auto"/>
        <w:left w:val="none" w:sz="0" w:space="0" w:color="auto"/>
        <w:bottom w:val="none" w:sz="0" w:space="0" w:color="auto"/>
        <w:right w:val="none" w:sz="0" w:space="0" w:color="auto"/>
      </w:divBdr>
    </w:div>
    <w:div w:id="1609847411">
      <w:bodyDiv w:val="1"/>
      <w:marLeft w:val="0"/>
      <w:marRight w:val="0"/>
      <w:marTop w:val="0"/>
      <w:marBottom w:val="0"/>
      <w:divBdr>
        <w:top w:val="none" w:sz="0" w:space="0" w:color="auto"/>
        <w:left w:val="none" w:sz="0" w:space="0" w:color="auto"/>
        <w:bottom w:val="none" w:sz="0" w:space="0" w:color="auto"/>
        <w:right w:val="none" w:sz="0" w:space="0" w:color="auto"/>
      </w:divBdr>
    </w:div>
    <w:div w:id="1617562326">
      <w:bodyDiv w:val="1"/>
      <w:marLeft w:val="0"/>
      <w:marRight w:val="0"/>
      <w:marTop w:val="0"/>
      <w:marBottom w:val="0"/>
      <w:divBdr>
        <w:top w:val="none" w:sz="0" w:space="0" w:color="auto"/>
        <w:left w:val="none" w:sz="0" w:space="0" w:color="auto"/>
        <w:bottom w:val="none" w:sz="0" w:space="0" w:color="auto"/>
        <w:right w:val="none" w:sz="0" w:space="0" w:color="auto"/>
      </w:divBdr>
    </w:div>
    <w:div w:id="1694109764">
      <w:bodyDiv w:val="1"/>
      <w:marLeft w:val="0"/>
      <w:marRight w:val="0"/>
      <w:marTop w:val="0"/>
      <w:marBottom w:val="0"/>
      <w:divBdr>
        <w:top w:val="none" w:sz="0" w:space="0" w:color="auto"/>
        <w:left w:val="none" w:sz="0" w:space="0" w:color="auto"/>
        <w:bottom w:val="none" w:sz="0" w:space="0" w:color="auto"/>
        <w:right w:val="none" w:sz="0" w:space="0" w:color="auto"/>
      </w:divBdr>
    </w:div>
    <w:div w:id="200523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8071-3953-4A19-826B-66407258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11710</Words>
  <Characters>70567</Characters>
  <Application>Microsoft Office Word</Application>
  <DocSecurity>0</DocSecurity>
  <Lines>588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2019-06-25T06:07:00Z</dcterms:created>
  <dcterms:modified xsi:type="dcterms:W3CDTF">2019-07-01T01:21:00Z</dcterms:modified>
</cp:coreProperties>
</file>