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0C27" w:rsidRPr="00A2121D" w:rsidRDefault="008942F0" w:rsidP="00A2121D">
      <w:pPr>
        <w:pStyle w:val="Title"/>
        <w:widowControl/>
        <w:spacing w:before="120" w:after="120"/>
        <w:ind w:left="720" w:hanging="720"/>
        <w:contextualSpacing/>
        <w:jc w:val="left"/>
        <w:rPr>
          <w:rFonts w:asciiTheme="minorHAnsi" w:eastAsiaTheme="majorEastAsia" w:hAnsiTheme="minorHAnsi" w:cstheme="majorBidi"/>
          <w:bCs w:val="0"/>
          <w:snapToGrid/>
          <w:spacing w:val="5"/>
          <w:sz w:val="36"/>
          <w:szCs w:val="36"/>
          <w:lang w:eastAsia="en-AU"/>
        </w:rPr>
      </w:pPr>
      <w:r w:rsidRPr="00A2121D">
        <w:rPr>
          <w:rFonts w:asciiTheme="minorHAnsi" w:eastAsiaTheme="majorEastAsia" w:hAnsiTheme="minorHAnsi" w:cstheme="majorBidi"/>
          <w:bCs w:val="0"/>
          <w:snapToGrid/>
          <w:spacing w:val="5"/>
          <w:sz w:val="36"/>
          <w:szCs w:val="36"/>
          <w:lang w:eastAsia="en-AU"/>
        </w:rPr>
        <w:t>5.03</w:t>
      </w:r>
      <w:r w:rsidR="00D60C27" w:rsidRPr="00A2121D">
        <w:rPr>
          <w:rFonts w:asciiTheme="minorHAnsi" w:eastAsiaTheme="majorEastAsia" w:hAnsiTheme="minorHAnsi" w:cstheme="majorBidi"/>
          <w:bCs w:val="0"/>
          <w:snapToGrid/>
          <w:spacing w:val="5"/>
          <w:sz w:val="36"/>
          <w:szCs w:val="36"/>
          <w:lang w:eastAsia="en-AU"/>
        </w:rPr>
        <w:tab/>
      </w:r>
      <w:r w:rsidR="00D30061" w:rsidRPr="00A2121D">
        <w:rPr>
          <w:rFonts w:asciiTheme="minorHAnsi" w:eastAsiaTheme="majorEastAsia" w:hAnsiTheme="minorHAnsi" w:cstheme="majorBidi"/>
          <w:bCs w:val="0"/>
          <w:snapToGrid/>
          <w:spacing w:val="5"/>
          <w:sz w:val="36"/>
          <w:szCs w:val="36"/>
          <w:lang w:eastAsia="en-AU"/>
        </w:rPr>
        <w:t>EXENATIDE</w:t>
      </w:r>
      <w:r w:rsidR="00D60C27" w:rsidRPr="00A2121D">
        <w:rPr>
          <w:rFonts w:asciiTheme="minorHAnsi" w:eastAsiaTheme="majorEastAsia" w:hAnsiTheme="minorHAnsi" w:cstheme="majorBidi"/>
          <w:bCs w:val="0"/>
          <w:snapToGrid/>
          <w:spacing w:val="5"/>
          <w:sz w:val="36"/>
          <w:szCs w:val="36"/>
          <w:lang w:eastAsia="en-AU"/>
        </w:rPr>
        <w:t xml:space="preserve">, </w:t>
      </w:r>
      <w:r w:rsidR="00834E07" w:rsidRPr="00A2121D">
        <w:rPr>
          <w:rFonts w:asciiTheme="minorHAnsi" w:eastAsiaTheme="majorEastAsia" w:hAnsiTheme="minorHAnsi" w:cstheme="majorBidi"/>
          <w:bCs w:val="0"/>
          <w:snapToGrid/>
          <w:spacing w:val="5"/>
          <w:sz w:val="36"/>
          <w:szCs w:val="36"/>
          <w:lang w:eastAsia="en-AU"/>
        </w:rPr>
        <w:br/>
      </w:r>
      <w:r w:rsidR="0035040B" w:rsidRPr="00A2121D">
        <w:rPr>
          <w:rFonts w:asciiTheme="minorHAnsi" w:eastAsiaTheme="majorEastAsia" w:hAnsiTheme="minorHAnsi" w:cstheme="majorBidi"/>
          <w:bCs w:val="0"/>
          <w:snapToGrid/>
          <w:spacing w:val="5"/>
          <w:sz w:val="36"/>
          <w:szCs w:val="36"/>
          <w:lang w:eastAsia="en-AU"/>
        </w:rPr>
        <w:t>Injection 2 mg in 0.85 mL single dose</w:t>
      </w:r>
      <w:r w:rsidR="00D60C27" w:rsidRPr="00A2121D">
        <w:rPr>
          <w:rFonts w:asciiTheme="minorHAnsi" w:eastAsiaTheme="majorEastAsia" w:hAnsiTheme="minorHAnsi" w:cstheme="majorBidi"/>
          <w:bCs w:val="0"/>
          <w:snapToGrid/>
          <w:spacing w:val="5"/>
          <w:sz w:val="36"/>
          <w:szCs w:val="36"/>
          <w:lang w:eastAsia="en-AU"/>
        </w:rPr>
        <w:t xml:space="preserve"> </w:t>
      </w:r>
      <w:proofErr w:type="spellStart"/>
      <w:r w:rsidR="00D60C27" w:rsidRPr="00A2121D">
        <w:rPr>
          <w:rFonts w:asciiTheme="minorHAnsi" w:eastAsiaTheme="majorEastAsia" w:hAnsiTheme="minorHAnsi" w:cstheme="majorBidi"/>
          <w:bCs w:val="0"/>
          <w:snapToGrid/>
          <w:spacing w:val="5"/>
          <w:sz w:val="36"/>
          <w:szCs w:val="36"/>
          <w:lang w:eastAsia="en-AU"/>
        </w:rPr>
        <w:t>autoinjector</w:t>
      </w:r>
      <w:proofErr w:type="spellEnd"/>
      <w:proofErr w:type="gramStart"/>
      <w:r w:rsidR="00834E07" w:rsidRPr="00A2121D">
        <w:rPr>
          <w:rFonts w:asciiTheme="minorHAnsi" w:eastAsiaTheme="majorEastAsia" w:hAnsiTheme="minorHAnsi" w:cstheme="majorBidi"/>
          <w:bCs w:val="0"/>
          <w:snapToGrid/>
          <w:spacing w:val="5"/>
          <w:sz w:val="36"/>
          <w:szCs w:val="36"/>
          <w:lang w:eastAsia="en-AU"/>
        </w:rPr>
        <w:t>,</w:t>
      </w:r>
      <w:proofErr w:type="gramEnd"/>
      <w:r w:rsidR="00834E07" w:rsidRPr="00A2121D">
        <w:rPr>
          <w:rFonts w:asciiTheme="minorHAnsi" w:eastAsiaTheme="majorEastAsia" w:hAnsiTheme="minorHAnsi" w:cstheme="majorBidi"/>
          <w:bCs w:val="0"/>
          <w:snapToGrid/>
          <w:spacing w:val="5"/>
          <w:sz w:val="36"/>
          <w:szCs w:val="36"/>
          <w:lang w:eastAsia="en-AU"/>
        </w:rPr>
        <w:br/>
      </w:r>
      <w:proofErr w:type="spellStart"/>
      <w:r w:rsidR="00D60C27" w:rsidRPr="00A2121D">
        <w:rPr>
          <w:rFonts w:asciiTheme="minorHAnsi" w:eastAsiaTheme="majorEastAsia" w:hAnsiTheme="minorHAnsi" w:cstheme="majorBidi"/>
          <w:bCs w:val="0"/>
          <w:snapToGrid/>
          <w:spacing w:val="5"/>
          <w:sz w:val="36"/>
          <w:szCs w:val="36"/>
          <w:lang w:eastAsia="en-AU"/>
        </w:rPr>
        <w:t>Bydureon</w:t>
      </w:r>
      <w:proofErr w:type="spellEnd"/>
      <w:r w:rsidR="00D60C27" w:rsidRPr="00A2121D">
        <w:rPr>
          <w:rFonts w:asciiTheme="minorHAnsi" w:eastAsiaTheme="majorEastAsia" w:hAnsiTheme="minorHAnsi" w:cstheme="majorBidi"/>
          <w:bCs w:val="0"/>
          <w:snapToGrid/>
          <w:spacing w:val="5"/>
          <w:sz w:val="36"/>
          <w:szCs w:val="36"/>
          <w:lang w:eastAsia="en-AU"/>
        </w:rPr>
        <w:t xml:space="preserve"> </w:t>
      </w:r>
      <w:proofErr w:type="spellStart"/>
      <w:r w:rsidR="00D60C27" w:rsidRPr="00A2121D">
        <w:rPr>
          <w:rFonts w:asciiTheme="minorHAnsi" w:eastAsiaTheme="majorEastAsia" w:hAnsiTheme="minorHAnsi" w:cstheme="majorBidi"/>
          <w:bCs w:val="0"/>
          <w:snapToGrid/>
          <w:spacing w:val="5"/>
          <w:sz w:val="36"/>
          <w:szCs w:val="36"/>
          <w:lang w:eastAsia="en-AU"/>
        </w:rPr>
        <w:t>BCise</w:t>
      </w:r>
      <w:proofErr w:type="spellEnd"/>
      <w:r w:rsidR="00D60C27" w:rsidRPr="00A2121D">
        <w:rPr>
          <w:rFonts w:asciiTheme="minorHAnsi" w:eastAsiaTheme="majorEastAsia" w:hAnsiTheme="minorHAnsi" w:cstheme="majorBidi"/>
          <w:bCs w:val="0"/>
          <w:snapToGrid/>
          <w:spacing w:val="5"/>
          <w:sz w:val="36"/>
          <w:szCs w:val="36"/>
          <w:lang w:eastAsia="en-AU"/>
        </w:rPr>
        <w:t>®, AstraZeneca</w:t>
      </w:r>
    </w:p>
    <w:p w:rsidR="00D60C27" w:rsidRPr="00BD6C8A" w:rsidRDefault="00D60C27" w:rsidP="00CF27A3">
      <w:pPr>
        <w:pStyle w:val="Heading1"/>
        <w:spacing w:before="240"/>
      </w:pPr>
      <w:bookmarkStart w:id="0" w:name="_Toc535854201"/>
      <w:r w:rsidRPr="00BD6C8A">
        <w:t>Purpose of Application</w:t>
      </w:r>
      <w:bookmarkEnd w:id="0"/>
    </w:p>
    <w:p w:rsidR="00D60C27" w:rsidRPr="00BD6C8A" w:rsidRDefault="00B46F01" w:rsidP="00E2793B">
      <w:pPr>
        <w:pStyle w:val="ListParagraph"/>
        <w:widowControl/>
        <w:numPr>
          <w:ilvl w:val="1"/>
          <w:numId w:val="1"/>
        </w:numPr>
      </w:pPr>
      <w:r w:rsidRPr="00BD6C8A">
        <w:t xml:space="preserve">The submission requested an </w:t>
      </w:r>
      <w:r w:rsidR="00D60C27" w:rsidRPr="00BD6C8A">
        <w:t>Authority Required</w:t>
      </w:r>
      <w:r w:rsidR="00F52C2A" w:rsidRPr="00BD6C8A">
        <w:t xml:space="preserve"> (Streamlined)</w:t>
      </w:r>
      <w:r w:rsidR="00D60C27" w:rsidRPr="00BD6C8A">
        <w:t xml:space="preserve"> listing for </w:t>
      </w:r>
      <w:proofErr w:type="spellStart"/>
      <w:r w:rsidR="00D60C27" w:rsidRPr="00BD6C8A">
        <w:t>exenatide</w:t>
      </w:r>
      <w:proofErr w:type="spellEnd"/>
      <w:r w:rsidR="00D60C27" w:rsidRPr="00BD6C8A">
        <w:t xml:space="preserve"> 2</w:t>
      </w:r>
      <w:r w:rsidR="005B7260">
        <w:t> </w:t>
      </w:r>
      <w:r w:rsidR="00D60C27" w:rsidRPr="00BD6C8A">
        <w:t xml:space="preserve">mg once weekly </w:t>
      </w:r>
      <w:proofErr w:type="spellStart"/>
      <w:r w:rsidR="00D60C27" w:rsidRPr="00BD6C8A">
        <w:t>autoinjector</w:t>
      </w:r>
      <w:proofErr w:type="spellEnd"/>
      <w:r w:rsidR="00D60C27" w:rsidRPr="00BD6C8A">
        <w:t xml:space="preserve"> (</w:t>
      </w:r>
      <w:proofErr w:type="spellStart"/>
      <w:r w:rsidR="00D60C27" w:rsidRPr="00BD6C8A">
        <w:t>exenatide</w:t>
      </w:r>
      <w:proofErr w:type="spellEnd"/>
      <w:r w:rsidR="00D60C27" w:rsidRPr="00BD6C8A">
        <w:t xml:space="preserve"> </w:t>
      </w:r>
      <w:proofErr w:type="spellStart"/>
      <w:r w:rsidR="00D60C27" w:rsidRPr="00BD6C8A">
        <w:t>autoinjector</w:t>
      </w:r>
      <w:proofErr w:type="spellEnd"/>
      <w:r w:rsidR="00D60C27" w:rsidRPr="00BD6C8A">
        <w:t xml:space="preserve">) for </w:t>
      </w:r>
      <w:r w:rsidR="00E87DCC" w:rsidRPr="00BD6C8A">
        <w:t xml:space="preserve">the </w:t>
      </w:r>
      <w:r w:rsidR="00D60C27" w:rsidRPr="00BD6C8A">
        <w:t>treatment of type 2 diabetes mellitus (T2DM).</w:t>
      </w:r>
      <w:r w:rsidR="00605337" w:rsidRPr="00BD6C8A">
        <w:t xml:space="preserve"> </w:t>
      </w:r>
      <w:proofErr w:type="spellStart"/>
      <w:r w:rsidR="00B26697" w:rsidRPr="00BD6C8A">
        <w:t>E</w:t>
      </w:r>
      <w:r w:rsidR="00D60C27" w:rsidRPr="00BD6C8A">
        <w:t>xenatide</w:t>
      </w:r>
      <w:proofErr w:type="spellEnd"/>
      <w:r w:rsidR="00D60C27" w:rsidRPr="00BD6C8A">
        <w:t xml:space="preserve"> </w:t>
      </w:r>
      <w:proofErr w:type="spellStart"/>
      <w:r w:rsidR="00D60C27" w:rsidRPr="00BD6C8A">
        <w:t>autoinjector</w:t>
      </w:r>
      <w:proofErr w:type="spellEnd"/>
      <w:r w:rsidR="00D60C27" w:rsidRPr="00BD6C8A">
        <w:t xml:space="preserve"> ha</w:t>
      </w:r>
      <w:r w:rsidR="00B26697" w:rsidRPr="00BD6C8A">
        <w:t>d</w:t>
      </w:r>
      <w:r w:rsidR="00D60C27" w:rsidRPr="00BD6C8A">
        <w:t xml:space="preserve"> not been considered by the PBAC previously</w:t>
      </w:r>
      <w:r w:rsidR="00D60C27" w:rsidRPr="00BD6C8A">
        <w:rPr>
          <w:i/>
        </w:rPr>
        <w:t xml:space="preserve">. </w:t>
      </w:r>
    </w:p>
    <w:p w:rsidR="00D60C27" w:rsidRPr="00BD6C8A" w:rsidRDefault="00D60C27" w:rsidP="00E2793B">
      <w:pPr>
        <w:pStyle w:val="ListParagraph"/>
        <w:widowControl/>
        <w:numPr>
          <w:ilvl w:val="1"/>
          <w:numId w:val="1"/>
        </w:numPr>
      </w:pPr>
      <w:r w:rsidRPr="00BD6C8A">
        <w:t>The reques</w:t>
      </w:r>
      <w:r w:rsidR="00E87DCC" w:rsidRPr="00BD6C8A">
        <w:t>ted listing was based on a cost-</w:t>
      </w:r>
      <w:r w:rsidRPr="00BD6C8A">
        <w:t xml:space="preserve">minimisation analysis against </w:t>
      </w:r>
      <w:proofErr w:type="spellStart"/>
      <w:r w:rsidRPr="00BD6C8A">
        <w:t>exenatide</w:t>
      </w:r>
      <w:proofErr w:type="spellEnd"/>
      <w:r w:rsidRPr="00BD6C8A">
        <w:t xml:space="preserve"> 2</w:t>
      </w:r>
      <w:r w:rsidR="005B7260">
        <w:t> </w:t>
      </w:r>
      <w:r w:rsidRPr="00BD6C8A">
        <w:t>mg once weekly dual chamber pen (</w:t>
      </w:r>
      <w:proofErr w:type="spellStart"/>
      <w:r w:rsidRPr="00BD6C8A">
        <w:t>exenatide</w:t>
      </w:r>
      <w:proofErr w:type="spellEnd"/>
      <w:r w:rsidRPr="00BD6C8A">
        <w:t xml:space="preserve"> DCP)</w:t>
      </w:r>
      <w:r w:rsidR="005B7260">
        <w:t>.</w:t>
      </w:r>
      <w:r w:rsidRPr="00BD6C8A">
        <w:t xml:space="preserve"> </w:t>
      </w:r>
    </w:p>
    <w:p w:rsidR="00E87DCC" w:rsidRPr="00BD6C8A" w:rsidRDefault="00E87DCC" w:rsidP="00E2793B">
      <w:pPr>
        <w:pStyle w:val="ListParagraph"/>
        <w:widowControl/>
        <w:numPr>
          <w:ilvl w:val="1"/>
          <w:numId w:val="1"/>
        </w:numPr>
      </w:pPr>
      <w:r w:rsidRPr="00BD6C8A">
        <w:t xml:space="preserve">The key components of the clinical issue addressed by the submission are presented in </w:t>
      </w:r>
      <w:r w:rsidR="005842CC" w:rsidRPr="00BD6C8A">
        <w:rPr>
          <w:rFonts w:asciiTheme="minorHAnsi" w:hAnsiTheme="minorHAnsi" w:cstheme="minorHAnsi"/>
          <w:szCs w:val="24"/>
        </w:rPr>
        <w:t>Table 1</w:t>
      </w:r>
      <w:r w:rsidRPr="00BD6C8A">
        <w:t>.</w:t>
      </w:r>
    </w:p>
    <w:p w:rsidR="00D60C27" w:rsidRPr="00BD6C8A" w:rsidRDefault="00E87DCC" w:rsidP="000B18B2">
      <w:pPr>
        <w:pStyle w:val="Caption"/>
        <w:keepNext/>
        <w:widowControl/>
        <w:spacing w:after="0"/>
        <w:rPr>
          <w:rStyle w:val="CommentReference"/>
          <w:color w:val="auto"/>
          <w:szCs w:val="20"/>
        </w:rPr>
      </w:pPr>
      <w:bookmarkStart w:id="1" w:name="_Ref532159787"/>
      <w:r w:rsidRPr="00BD6C8A">
        <w:rPr>
          <w:rFonts w:ascii="Arial Narrow" w:hAnsi="Arial Narrow"/>
          <w:color w:val="auto"/>
          <w:sz w:val="20"/>
          <w:szCs w:val="20"/>
        </w:rPr>
        <w:t xml:space="preserve">Table </w:t>
      </w:r>
      <w:r w:rsidR="008B4B04" w:rsidRPr="00BD6C8A">
        <w:rPr>
          <w:rFonts w:ascii="Arial Narrow" w:hAnsi="Arial Narrow"/>
          <w:color w:val="auto"/>
          <w:sz w:val="20"/>
          <w:szCs w:val="20"/>
        </w:rPr>
        <w:t>1</w:t>
      </w:r>
      <w:bookmarkEnd w:id="1"/>
      <w:r w:rsidRPr="00BD6C8A">
        <w:rPr>
          <w:rFonts w:ascii="Arial Narrow" w:hAnsi="Arial Narrow"/>
          <w:b w:val="0"/>
          <w:color w:val="auto"/>
          <w:sz w:val="20"/>
          <w:szCs w:val="20"/>
        </w:rPr>
        <w:t>:</w:t>
      </w:r>
      <w:r w:rsidR="00605337" w:rsidRPr="00BD6C8A">
        <w:rPr>
          <w:rStyle w:val="CommentReference"/>
          <w:b/>
          <w:color w:val="auto"/>
          <w:szCs w:val="20"/>
        </w:rPr>
        <w:t xml:space="preserve"> </w:t>
      </w:r>
      <w:r w:rsidR="00D60C27" w:rsidRPr="00BD6C8A">
        <w:rPr>
          <w:rStyle w:val="CommentReference"/>
          <w:b/>
          <w:color w:val="auto"/>
          <w:szCs w:val="20"/>
        </w:rPr>
        <w:t>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484"/>
      </w:tblGrid>
      <w:tr w:rsidR="00D60C27" w:rsidRPr="00BD6C8A" w:rsidTr="00E87DCC">
        <w:trPr>
          <w:cantSplit/>
          <w:tblHeader/>
        </w:trPr>
        <w:tc>
          <w:tcPr>
            <w:tcW w:w="1696" w:type="dxa"/>
            <w:shd w:val="clear" w:color="auto" w:fill="auto"/>
          </w:tcPr>
          <w:p w:rsidR="00D60C27" w:rsidRPr="00BD6C8A" w:rsidRDefault="00D60C27" w:rsidP="000B18B2">
            <w:pPr>
              <w:pStyle w:val="Tabletext"/>
              <w:rPr>
                <w:b/>
                <w:szCs w:val="20"/>
              </w:rPr>
            </w:pPr>
            <w:r w:rsidRPr="00BD6C8A">
              <w:rPr>
                <w:b/>
              </w:rPr>
              <w:t>Component</w:t>
            </w:r>
          </w:p>
        </w:tc>
        <w:tc>
          <w:tcPr>
            <w:tcW w:w="7484" w:type="dxa"/>
            <w:shd w:val="clear" w:color="auto" w:fill="auto"/>
          </w:tcPr>
          <w:p w:rsidR="00D60C27" w:rsidRPr="00BD6C8A" w:rsidRDefault="00D60C27" w:rsidP="000B18B2">
            <w:pPr>
              <w:pStyle w:val="Tabletext"/>
              <w:jc w:val="center"/>
              <w:rPr>
                <w:b/>
              </w:rPr>
            </w:pPr>
            <w:r w:rsidRPr="00BD6C8A">
              <w:rPr>
                <w:b/>
              </w:rPr>
              <w:t>Description</w:t>
            </w:r>
          </w:p>
        </w:tc>
      </w:tr>
      <w:tr w:rsidR="00D60C27" w:rsidRPr="00BD6C8A" w:rsidTr="00E87DCC">
        <w:trPr>
          <w:cantSplit/>
        </w:trPr>
        <w:tc>
          <w:tcPr>
            <w:tcW w:w="1696" w:type="dxa"/>
            <w:shd w:val="clear" w:color="auto" w:fill="auto"/>
          </w:tcPr>
          <w:p w:rsidR="00D60C27" w:rsidRPr="00BD6C8A" w:rsidRDefault="00D60C27" w:rsidP="000B18B2">
            <w:pPr>
              <w:pStyle w:val="Tabletext"/>
            </w:pPr>
            <w:r w:rsidRPr="00BD6C8A">
              <w:t>Population</w:t>
            </w:r>
          </w:p>
        </w:tc>
        <w:tc>
          <w:tcPr>
            <w:tcW w:w="7484" w:type="dxa"/>
            <w:shd w:val="clear" w:color="auto" w:fill="auto"/>
          </w:tcPr>
          <w:p w:rsidR="00D60C27" w:rsidRPr="00BD6C8A" w:rsidRDefault="00D60C27" w:rsidP="000B18B2">
            <w:pPr>
              <w:pStyle w:val="Tabletext"/>
            </w:pPr>
            <w:r w:rsidRPr="00BD6C8A">
              <w:t>Patients with type 2 diabetes mellitus (T2DM) who have inadequate glycaemic control on metformin and/or a sulfonylurea.</w:t>
            </w:r>
          </w:p>
        </w:tc>
      </w:tr>
      <w:tr w:rsidR="00D60C27" w:rsidRPr="00BD6C8A" w:rsidTr="00E87DCC">
        <w:trPr>
          <w:cantSplit/>
        </w:trPr>
        <w:tc>
          <w:tcPr>
            <w:tcW w:w="1696" w:type="dxa"/>
            <w:shd w:val="clear" w:color="auto" w:fill="auto"/>
          </w:tcPr>
          <w:p w:rsidR="00D60C27" w:rsidRPr="00BD6C8A" w:rsidRDefault="00D60C27" w:rsidP="000B18B2">
            <w:pPr>
              <w:pStyle w:val="Tabletext"/>
            </w:pPr>
            <w:r w:rsidRPr="00BD6C8A">
              <w:t>Intervention</w:t>
            </w:r>
          </w:p>
        </w:tc>
        <w:tc>
          <w:tcPr>
            <w:tcW w:w="7484" w:type="dxa"/>
            <w:shd w:val="clear" w:color="auto" w:fill="auto"/>
          </w:tcPr>
          <w:p w:rsidR="00D60C27" w:rsidRPr="00BD6C8A" w:rsidRDefault="00D60C27" w:rsidP="000B18B2">
            <w:pPr>
              <w:pStyle w:val="Tabletext"/>
            </w:pPr>
            <w:proofErr w:type="spellStart"/>
            <w:r w:rsidRPr="00BD6C8A">
              <w:t>Exenatide</w:t>
            </w:r>
            <w:proofErr w:type="spellEnd"/>
            <w:r w:rsidRPr="00BD6C8A">
              <w:t xml:space="preserve"> 2 mg once weekly suspension in an </w:t>
            </w:r>
            <w:proofErr w:type="spellStart"/>
            <w:r w:rsidRPr="00BD6C8A">
              <w:t>autoinjector</w:t>
            </w:r>
            <w:proofErr w:type="spellEnd"/>
            <w:r w:rsidRPr="00BD6C8A">
              <w:t xml:space="preserve"> </w:t>
            </w:r>
          </w:p>
        </w:tc>
      </w:tr>
      <w:tr w:rsidR="00D60C27" w:rsidRPr="00BD6C8A" w:rsidTr="00E87DCC">
        <w:trPr>
          <w:cantSplit/>
        </w:trPr>
        <w:tc>
          <w:tcPr>
            <w:tcW w:w="1696" w:type="dxa"/>
            <w:shd w:val="clear" w:color="auto" w:fill="auto"/>
          </w:tcPr>
          <w:p w:rsidR="00D60C27" w:rsidRPr="00BD6C8A" w:rsidRDefault="00D60C27" w:rsidP="000B18B2">
            <w:pPr>
              <w:pStyle w:val="Tabletext"/>
            </w:pPr>
            <w:r w:rsidRPr="00BD6C8A">
              <w:t>Comparator</w:t>
            </w:r>
          </w:p>
        </w:tc>
        <w:tc>
          <w:tcPr>
            <w:tcW w:w="7484" w:type="dxa"/>
            <w:shd w:val="clear" w:color="auto" w:fill="auto"/>
          </w:tcPr>
          <w:p w:rsidR="00D60C27" w:rsidRPr="00BD6C8A" w:rsidRDefault="00D60C27" w:rsidP="000B18B2">
            <w:pPr>
              <w:pStyle w:val="Tabletext"/>
            </w:pPr>
            <w:proofErr w:type="spellStart"/>
            <w:r w:rsidRPr="00BD6C8A">
              <w:t>Exenatide</w:t>
            </w:r>
            <w:proofErr w:type="spellEnd"/>
            <w:r w:rsidRPr="00BD6C8A">
              <w:t xml:space="preserve"> 2 mg once weekly dual chamber pen</w:t>
            </w:r>
            <w:r w:rsidR="00605337" w:rsidRPr="00BD6C8A">
              <w:t xml:space="preserve"> </w:t>
            </w:r>
          </w:p>
        </w:tc>
      </w:tr>
      <w:tr w:rsidR="00D60C27" w:rsidRPr="00BD6C8A" w:rsidTr="00E87DCC">
        <w:trPr>
          <w:cantSplit/>
        </w:trPr>
        <w:tc>
          <w:tcPr>
            <w:tcW w:w="1696" w:type="dxa"/>
            <w:shd w:val="clear" w:color="auto" w:fill="auto"/>
          </w:tcPr>
          <w:p w:rsidR="00D60C27" w:rsidRPr="00BD6C8A" w:rsidRDefault="00D60C27" w:rsidP="000B18B2">
            <w:pPr>
              <w:pStyle w:val="Tabletext"/>
            </w:pPr>
            <w:r w:rsidRPr="00BD6C8A">
              <w:t>Outcomes</w:t>
            </w:r>
          </w:p>
        </w:tc>
        <w:tc>
          <w:tcPr>
            <w:tcW w:w="7484" w:type="dxa"/>
            <w:shd w:val="clear" w:color="auto" w:fill="auto"/>
          </w:tcPr>
          <w:p w:rsidR="00D60C27" w:rsidRPr="00BD6C8A" w:rsidRDefault="008B75F8" w:rsidP="000B18B2">
            <w:pPr>
              <w:pStyle w:val="Tabletext"/>
            </w:pPr>
            <w:r w:rsidRPr="00BD6C8A">
              <w:t>Change in HbA1c per cent</w:t>
            </w:r>
            <w:r w:rsidR="00D60C27" w:rsidRPr="00BD6C8A">
              <w:t xml:space="preserve"> from baseline to Week 28; safety outcomes</w:t>
            </w:r>
          </w:p>
        </w:tc>
      </w:tr>
      <w:tr w:rsidR="00D60C27" w:rsidRPr="00BD6C8A" w:rsidTr="00E87DCC">
        <w:trPr>
          <w:cantSplit/>
        </w:trPr>
        <w:tc>
          <w:tcPr>
            <w:tcW w:w="1696" w:type="dxa"/>
            <w:shd w:val="clear" w:color="auto" w:fill="auto"/>
          </w:tcPr>
          <w:p w:rsidR="00D60C27" w:rsidRPr="00BD6C8A" w:rsidRDefault="00D60C27" w:rsidP="000B18B2">
            <w:pPr>
              <w:pStyle w:val="Tabletext"/>
            </w:pPr>
            <w:r w:rsidRPr="00BD6C8A">
              <w:t>Clinical claim</w:t>
            </w:r>
          </w:p>
        </w:tc>
        <w:tc>
          <w:tcPr>
            <w:tcW w:w="7484" w:type="dxa"/>
            <w:shd w:val="clear" w:color="auto" w:fill="auto"/>
          </w:tcPr>
          <w:p w:rsidR="00D60C27" w:rsidRPr="00BD6C8A" w:rsidRDefault="00D60C27" w:rsidP="000B18B2">
            <w:pPr>
              <w:pStyle w:val="Tabletext"/>
            </w:pPr>
            <w:r w:rsidRPr="00BD6C8A">
              <w:t xml:space="preserve">In patients with T2DM who have inadequate glycaemic control on metformin and/or a sulfonylurea, </w:t>
            </w:r>
            <w:proofErr w:type="spellStart"/>
            <w:r w:rsidRPr="00BD6C8A">
              <w:t>exenatide</w:t>
            </w:r>
            <w:proofErr w:type="spellEnd"/>
            <w:r w:rsidRPr="00BD6C8A">
              <w:t xml:space="preserve"> </w:t>
            </w:r>
            <w:proofErr w:type="spellStart"/>
            <w:r w:rsidR="00F439EA" w:rsidRPr="00BD6C8A">
              <w:t>autoinjector</w:t>
            </w:r>
            <w:proofErr w:type="spellEnd"/>
            <w:r w:rsidRPr="00BD6C8A">
              <w:t xml:space="preserve"> is non inferior to </w:t>
            </w:r>
            <w:proofErr w:type="spellStart"/>
            <w:r w:rsidRPr="00BD6C8A">
              <w:t>exenatide</w:t>
            </w:r>
            <w:proofErr w:type="spellEnd"/>
            <w:r w:rsidRPr="00BD6C8A">
              <w:t xml:space="preserve"> DCP in terms of reduction of HbA1c, and similar safety. </w:t>
            </w:r>
          </w:p>
        </w:tc>
      </w:tr>
    </w:tbl>
    <w:p w:rsidR="0076635C" w:rsidRPr="00BD6C8A" w:rsidRDefault="00D60C27" w:rsidP="000B18B2">
      <w:pPr>
        <w:pStyle w:val="TableFooter"/>
        <w:widowControl/>
      </w:pPr>
      <w:r w:rsidRPr="00BD6C8A">
        <w:t>Source: Ta</w:t>
      </w:r>
      <w:r w:rsidR="00CF27A3">
        <w:t xml:space="preserve">ble 1-1, p10 of the submission </w:t>
      </w:r>
    </w:p>
    <w:p w:rsidR="00D60C27" w:rsidRPr="00BD6C8A" w:rsidRDefault="00D60C27" w:rsidP="00592178">
      <w:pPr>
        <w:pStyle w:val="Heading1"/>
        <w:spacing w:before="120"/>
      </w:pPr>
      <w:bookmarkStart w:id="2" w:name="_Toc535854202"/>
      <w:r w:rsidRPr="00BD6C8A">
        <w:t>Requested listing</w:t>
      </w:r>
      <w:bookmarkEnd w:id="2"/>
    </w:p>
    <w:p w:rsidR="00726AA1" w:rsidRDefault="00605337" w:rsidP="00592178">
      <w:pPr>
        <w:pStyle w:val="ListParagraph"/>
        <w:widowControl/>
        <w:numPr>
          <w:ilvl w:val="1"/>
          <w:numId w:val="1"/>
        </w:numPr>
        <w:spacing w:before="120"/>
        <w:rPr>
          <w:rFonts w:asciiTheme="minorHAnsi" w:eastAsia="MS Mincho" w:hAnsiTheme="minorHAnsi" w:cstheme="minorHAnsi"/>
          <w:szCs w:val="24"/>
        </w:rPr>
      </w:pPr>
      <w:r w:rsidRPr="00BD6C8A">
        <w:rPr>
          <w:rFonts w:asciiTheme="minorHAnsi" w:eastAsia="MS Mincho" w:hAnsiTheme="minorHAnsi" w:cstheme="minorHAnsi"/>
          <w:szCs w:val="24"/>
        </w:rPr>
        <w:t xml:space="preserve"> </w:t>
      </w:r>
      <w:r w:rsidR="00D62849" w:rsidRPr="00BD6C8A">
        <w:rPr>
          <w:rFonts w:asciiTheme="minorHAnsi" w:eastAsia="MS Mincho" w:hAnsiTheme="minorHAnsi" w:cstheme="minorHAnsi"/>
          <w:szCs w:val="24"/>
        </w:rPr>
        <w:t>The requested listing is presented below.</w:t>
      </w:r>
      <w:r w:rsidRPr="00BD6C8A">
        <w:rPr>
          <w:rFonts w:asciiTheme="minorHAnsi" w:eastAsia="MS Mincho" w:hAnsiTheme="minorHAnsi" w:cstheme="minorHAnsi"/>
          <w:szCs w:val="24"/>
        </w:rPr>
        <w:t xml:space="preserve"> </w:t>
      </w:r>
    </w:p>
    <w:p w:rsidR="00726AA1" w:rsidRDefault="00726AA1" w:rsidP="00592178">
      <w:pPr>
        <w:widowControl/>
        <w:spacing w:before="120" w:after="120"/>
        <w:jc w:val="left"/>
        <w:rPr>
          <w:rFonts w:asciiTheme="minorHAnsi" w:eastAsia="MS Mincho" w:hAnsiTheme="minorHAnsi" w:cstheme="minorHAnsi"/>
          <w:szCs w:val="24"/>
        </w:rPr>
      </w:pPr>
      <w:r>
        <w:rPr>
          <w:rFonts w:asciiTheme="minorHAnsi" w:eastAsia="MS Mincho" w:hAnsiTheme="minorHAnsi" w:cstheme="minorHAnsi"/>
          <w:szCs w:val="24"/>
        </w:rPr>
        <w:br w:type="page"/>
      </w:r>
    </w:p>
    <w:p w:rsidR="009A1D39" w:rsidRPr="00726AA1" w:rsidRDefault="009A1D39" w:rsidP="00726AA1">
      <w:pPr>
        <w:widowControl/>
        <w:rPr>
          <w:rFonts w:asciiTheme="minorHAnsi" w:eastAsia="MS Mincho" w:hAnsiTheme="minorHAnsi" w:cstheme="minorHAnsi"/>
          <w:szCs w:val="24"/>
        </w:rPr>
      </w:pPr>
    </w:p>
    <w:tbl>
      <w:tblPr>
        <w:tblpPr w:leftFromText="180" w:rightFromText="180" w:vertAnchor="text" w:tblpX="28" w:tblpY="1"/>
        <w:tblOverlap w:val="never"/>
        <w:tblW w:w="498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554"/>
        <w:gridCol w:w="1438"/>
        <w:gridCol w:w="974"/>
        <w:gridCol w:w="974"/>
        <w:gridCol w:w="448"/>
        <w:gridCol w:w="308"/>
        <w:gridCol w:w="1355"/>
        <w:gridCol w:w="1947"/>
      </w:tblGrid>
      <w:tr w:rsidR="00D60C27" w:rsidRPr="00BD6C8A" w:rsidTr="00F87A4C">
        <w:trPr>
          <w:cantSplit/>
          <w:trHeight w:val="530"/>
        </w:trPr>
        <w:tc>
          <w:tcPr>
            <w:tcW w:w="1663" w:type="pct"/>
            <w:gridSpan w:val="2"/>
            <w:tcBorders>
              <w:left w:val="nil"/>
              <w:bottom w:val="single" w:sz="4" w:space="0" w:color="auto"/>
              <w:right w:val="nil"/>
            </w:tcBorders>
            <w:vAlign w:val="center"/>
          </w:tcPr>
          <w:p w:rsidR="00D60C27" w:rsidRPr="00BD6C8A" w:rsidRDefault="00D60C27" w:rsidP="000B18B2">
            <w:pPr>
              <w:keepNext/>
              <w:widowControl/>
              <w:jc w:val="left"/>
              <w:rPr>
                <w:rFonts w:ascii="Arial Narrow" w:hAnsi="Arial Narrow"/>
                <w:b/>
                <w:sz w:val="20"/>
              </w:rPr>
            </w:pPr>
            <w:r w:rsidRPr="00BD6C8A">
              <w:rPr>
                <w:rFonts w:ascii="Arial Narrow" w:hAnsi="Arial Narrow"/>
                <w:b/>
                <w:sz w:val="20"/>
              </w:rPr>
              <w:t>Name, Restriction,</w:t>
            </w:r>
          </w:p>
          <w:p w:rsidR="00D60C27" w:rsidRPr="00BD6C8A" w:rsidRDefault="00D60C27" w:rsidP="000B18B2">
            <w:pPr>
              <w:keepNext/>
              <w:widowControl/>
              <w:jc w:val="left"/>
              <w:rPr>
                <w:rFonts w:ascii="Arial Narrow" w:hAnsi="Arial Narrow"/>
                <w:b/>
                <w:sz w:val="20"/>
              </w:rPr>
            </w:pPr>
            <w:r w:rsidRPr="00BD6C8A">
              <w:rPr>
                <w:rFonts w:ascii="Arial Narrow" w:hAnsi="Arial Narrow"/>
                <w:b/>
                <w:sz w:val="20"/>
              </w:rPr>
              <w:t>Manner of administration and form</w:t>
            </w:r>
          </w:p>
        </w:tc>
        <w:tc>
          <w:tcPr>
            <w:tcW w:w="541" w:type="pct"/>
            <w:tcBorders>
              <w:left w:val="nil"/>
              <w:bottom w:val="single" w:sz="4" w:space="0" w:color="auto"/>
              <w:right w:val="nil"/>
            </w:tcBorders>
          </w:tcPr>
          <w:p w:rsidR="00D60C27" w:rsidRPr="00BD6C8A" w:rsidRDefault="00D60C27" w:rsidP="000B18B2">
            <w:pPr>
              <w:keepNext/>
              <w:widowControl/>
              <w:jc w:val="center"/>
              <w:rPr>
                <w:rFonts w:ascii="Arial Narrow" w:hAnsi="Arial Narrow"/>
                <w:b/>
                <w:sz w:val="20"/>
              </w:rPr>
            </w:pPr>
            <w:r w:rsidRPr="00BD6C8A">
              <w:rPr>
                <w:rFonts w:ascii="Arial Narrow" w:hAnsi="Arial Narrow"/>
                <w:b/>
                <w:sz w:val="20"/>
              </w:rPr>
              <w:t>Max quantity (packs)</w:t>
            </w:r>
          </w:p>
        </w:tc>
        <w:tc>
          <w:tcPr>
            <w:tcW w:w="541" w:type="pct"/>
            <w:tcBorders>
              <w:left w:val="nil"/>
              <w:bottom w:val="single" w:sz="4" w:space="0" w:color="auto"/>
              <w:right w:val="nil"/>
            </w:tcBorders>
            <w:vAlign w:val="center"/>
          </w:tcPr>
          <w:p w:rsidR="00D60C27" w:rsidRPr="00BD6C8A" w:rsidRDefault="00D60C27" w:rsidP="000B18B2">
            <w:pPr>
              <w:keepNext/>
              <w:widowControl/>
              <w:jc w:val="center"/>
              <w:rPr>
                <w:rFonts w:ascii="Arial Narrow" w:hAnsi="Arial Narrow"/>
                <w:b/>
                <w:sz w:val="20"/>
              </w:rPr>
            </w:pPr>
            <w:r w:rsidRPr="00BD6C8A">
              <w:rPr>
                <w:rFonts w:ascii="Arial Narrow" w:hAnsi="Arial Narrow"/>
                <w:b/>
                <w:sz w:val="20"/>
              </w:rPr>
              <w:t>Max. quantity (units)</w:t>
            </w:r>
          </w:p>
        </w:tc>
        <w:tc>
          <w:tcPr>
            <w:tcW w:w="420" w:type="pct"/>
            <w:gridSpan w:val="2"/>
            <w:tcBorders>
              <w:left w:val="nil"/>
              <w:bottom w:val="single" w:sz="4" w:space="0" w:color="auto"/>
              <w:right w:val="nil"/>
            </w:tcBorders>
            <w:vAlign w:val="center"/>
          </w:tcPr>
          <w:p w:rsidR="00D60C27" w:rsidRPr="00BD6C8A" w:rsidRDefault="00D60C27" w:rsidP="000B18B2">
            <w:pPr>
              <w:keepNext/>
              <w:widowControl/>
              <w:jc w:val="center"/>
              <w:rPr>
                <w:rFonts w:ascii="Arial Narrow" w:hAnsi="Arial Narrow"/>
                <w:b/>
                <w:sz w:val="20"/>
              </w:rPr>
            </w:pPr>
            <w:r w:rsidRPr="00BD6C8A">
              <w:rPr>
                <w:rFonts w:ascii="Arial Narrow" w:hAnsi="Arial Narrow" w:cs="Times New Roman"/>
                <w:b/>
                <w:sz w:val="20"/>
              </w:rPr>
              <w:t>№</w:t>
            </w:r>
            <w:r w:rsidRPr="00BD6C8A">
              <w:rPr>
                <w:rFonts w:ascii="Arial Narrow" w:hAnsi="Arial Narrow"/>
                <w:b/>
                <w:sz w:val="20"/>
              </w:rPr>
              <w:t>.of Repeats</w:t>
            </w:r>
          </w:p>
        </w:tc>
        <w:tc>
          <w:tcPr>
            <w:tcW w:w="753" w:type="pct"/>
            <w:tcBorders>
              <w:left w:val="nil"/>
              <w:bottom w:val="single" w:sz="4" w:space="0" w:color="auto"/>
              <w:right w:val="nil"/>
            </w:tcBorders>
            <w:vAlign w:val="center"/>
          </w:tcPr>
          <w:p w:rsidR="00D60C27" w:rsidRPr="00BD6C8A" w:rsidRDefault="00D60C27" w:rsidP="000B18B2">
            <w:pPr>
              <w:keepNext/>
              <w:widowControl/>
              <w:jc w:val="center"/>
              <w:rPr>
                <w:rFonts w:ascii="Arial Narrow" w:hAnsi="Arial Narrow"/>
                <w:b/>
                <w:sz w:val="20"/>
              </w:rPr>
            </w:pPr>
            <w:r w:rsidRPr="00BD6C8A">
              <w:rPr>
                <w:rFonts w:ascii="Arial Narrow" w:hAnsi="Arial Narrow"/>
                <w:b/>
                <w:sz w:val="20"/>
              </w:rPr>
              <w:t xml:space="preserve">Dispensed Price for Max. </w:t>
            </w:r>
            <w:proofErr w:type="spellStart"/>
            <w:r w:rsidRPr="00BD6C8A">
              <w:rPr>
                <w:rFonts w:ascii="Arial Narrow" w:hAnsi="Arial Narrow"/>
                <w:b/>
                <w:sz w:val="20"/>
              </w:rPr>
              <w:t>Qty</w:t>
            </w:r>
            <w:proofErr w:type="spellEnd"/>
            <w:r w:rsidRPr="00BD6C8A">
              <w:rPr>
                <w:rFonts w:ascii="Arial Narrow" w:hAnsi="Arial Narrow"/>
                <w:b/>
                <w:sz w:val="20"/>
              </w:rPr>
              <w:t xml:space="preserve"> </w:t>
            </w:r>
          </w:p>
        </w:tc>
        <w:tc>
          <w:tcPr>
            <w:tcW w:w="1081" w:type="pct"/>
            <w:tcBorders>
              <w:left w:val="nil"/>
              <w:bottom w:val="single" w:sz="4" w:space="0" w:color="auto"/>
              <w:right w:val="nil"/>
            </w:tcBorders>
            <w:vAlign w:val="center"/>
          </w:tcPr>
          <w:p w:rsidR="00D60C27" w:rsidRPr="00BD6C8A" w:rsidRDefault="00D60C27" w:rsidP="000B18B2">
            <w:pPr>
              <w:keepNext/>
              <w:widowControl/>
              <w:jc w:val="center"/>
              <w:rPr>
                <w:rFonts w:ascii="Arial Narrow" w:hAnsi="Arial Narrow"/>
                <w:b/>
                <w:sz w:val="20"/>
              </w:rPr>
            </w:pPr>
            <w:r w:rsidRPr="00BD6C8A">
              <w:rPr>
                <w:rFonts w:ascii="Arial Narrow" w:hAnsi="Arial Narrow"/>
                <w:b/>
                <w:sz w:val="20"/>
              </w:rPr>
              <w:t>Proprietary Name and Manufacturer</w:t>
            </w:r>
          </w:p>
        </w:tc>
      </w:tr>
      <w:tr w:rsidR="00D60C27" w:rsidRPr="00BD6C8A" w:rsidTr="00F87A4C">
        <w:trPr>
          <w:cantSplit/>
          <w:trHeight w:val="567"/>
        </w:trPr>
        <w:tc>
          <w:tcPr>
            <w:tcW w:w="1663" w:type="pct"/>
            <w:gridSpan w:val="2"/>
            <w:tcBorders>
              <w:left w:val="nil"/>
              <w:right w:val="nil"/>
            </w:tcBorders>
          </w:tcPr>
          <w:p w:rsidR="000C1D22" w:rsidRPr="00BD6C8A" w:rsidRDefault="000C1D22" w:rsidP="005B7260">
            <w:pPr>
              <w:keepNext/>
              <w:widowControl/>
              <w:jc w:val="left"/>
              <w:rPr>
                <w:rFonts w:ascii="Arial Narrow" w:hAnsi="Arial Narrow"/>
                <w:sz w:val="20"/>
                <w:szCs w:val="20"/>
              </w:rPr>
            </w:pPr>
            <w:r w:rsidRPr="00BD6C8A">
              <w:rPr>
                <w:rFonts w:ascii="Arial Narrow" w:hAnsi="Arial Narrow"/>
                <w:sz w:val="20"/>
                <w:szCs w:val="20"/>
              </w:rPr>
              <w:t>EXENATIDE</w:t>
            </w:r>
            <w:r w:rsidR="002322EE" w:rsidRPr="00BD6C8A">
              <w:rPr>
                <w:rFonts w:ascii="Arial Narrow" w:hAnsi="Arial Narrow"/>
                <w:sz w:val="20"/>
                <w:szCs w:val="20"/>
              </w:rPr>
              <w:t>2 mg modif</w:t>
            </w:r>
            <w:r w:rsidR="002322EE">
              <w:rPr>
                <w:rFonts w:ascii="Arial Narrow" w:hAnsi="Arial Narrow"/>
                <w:sz w:val="20"/>
                <w:szCs w:val="20"/>
              </w:rPr>
              <w:t>ied release injection, 4 x 0.85 </w:t>
            </w:r>
            <w:r w:rsidR="002322EE" w:rsidRPr="00BD6C8A">
              <w:rPr>
                <w:rFonts w:ascii="Arial Narrow" w:hAnsi="Arial Narrow"/>
                <w:sz w:val="20"/>
                <w:szCs w:val="20"/>
              </w:rPr>
              <w:t xml:space="preserve">mL injection devices </w:t>
            </w:r>
          </w:p>
        </w:tc>
        <w:tc>
          <w:tcPr>
            <w:tcW w:w="541" w:type="pct"/>
            <w:tcBorders>
              <w:left w:val="nil"/>
              <w:right w:val="nil"/>
            </w:tcBorders>
          </w:tcPr>
          <w:p w:rsidR="00D60C27" w:rsidRPr="00BD6C8A" w:rsidRDefault="00D60C27" w:rsidP="000B18B2">
            <w:pPr>
              <w:keepNext/>
              <w:widowControl/>
              <w:jc w:val="center"/>
              <w:rPr>
                <w:rFonts w:ascii="Arial Narrow" w:hAnsi="Arial Narrow"/>
                <w:sz w:val="20"/>
                <w:szCs w:val="20"/>
              </w:rPr>
            </w:pPr>
            <w:r w:rsidRPr="00BD6C8A">
              <w:rPr>
                <w:rFonts w:ascii="Arial Narrow" w:hAnsi="Arial Narrow"/>
                <w:sz w:val="20"/>
                <w:szCs w:val="20"/>
              </w:rPr>
              <w:t>1</w:t>
            </w:r>
          </w:p>
        </w:tc>
        <w:tc>
          <w:tcPr>
            <w:tcW w:w="541" w:type="pct"/>
            <w:tcBorders>
              <w:left w:val="nil"/>
              <w:right w:val="nil"/>
            </w:tcBorders>
          </w:tcPr>
          <w:p w:rsidR="00D60C27" w:rsidRPr="00BD6C8A" w:rsidRDefault="00D60C27" w:rsidP="000B18B2">
            <w:pPr>
              <w:keepNext/>
              <w:widowControl/>
              <w:jc w:val="center"/>
              <w:rPr>
                <w:rFonts w:ascii="Arial Narrow" w:hAnsi="Arial Narrow"/>
                <w:sz w:val="20"/>
                <w:szCs w:val="20"/>
              </w:rPr>
            </w:pPr>
            <w:r w:rsidRPr="00BD6C8A">
              <w:rPr>
                <w:rFonts w:ascii="Arial Narrow" w:hAnsi="Arial Narrow"/>
                <w:sz w:val="20"/>
                <w:szCs w:val="20"/>
              </w:rPr>
              <w:t>4</w:t>
            </w:r>
          </w:p>
        </w:tc>
        <w:tc>
          <w:tcPr>
            <w:tcW w:w="420" w:type="pct"/>
            <w:gridSpan w:val="2"/>
            <w:tcBorders>
              <w:left w:val="nil"/>
              <w:right w:val="nil"/>
            </w:tcBorders>
          </w:tcPr>
          <w:p w:rsidR="00D60C27" w:rsidRPr="00BD6C8A" w:rsidRDefault="00D60C27" w:rsidP="000B18B2">
            <w:pPr>
              <w:keepNext/>
              <w:widowControl/>
              <w:jc w:val="center"/>
              <w:rPr>
                <w:rFonts w:ascii="Arial Narrow" w:hAnsi="Arial Narrow"/>
                <w:sz w:val="20"/>
                <w:szCs w:val="20"/>
              </w:rPr>
            </w:pPr>
            <w:r w:rsidRPr="00BD6C8A">
              <w:rPr>
                <w:rFonts w:ascii="Arial Narrow" w:hAnsi="Arial Narrow"/>
                <w:sz w:val="20"/>
                <w:szCs w:val="20"/>
              </w:rPr>
              <w:t>5</w:t>
            </w:r>
          </w:p>
        </w:tc>
        <w:tc>
          <w:tcPr>
            <w:tcW w:w="753" w:type="pct"/>
            <w:tcBorders>
              <w:left w:val="nil"/>
              <w:right w:val="nil"/>
            </w:tcBorders>
          </w:tcPr>
          <w:p w:rsidR="00D60C27" w:rsidRPr="00BD6C8A" w:rsidRDefault="00D60C27" w:rsidP="000B18B2">
            <w:pPr>
              <w:pStyle w:val="Tabletext"/>
              <w:keepNext/>
              <w:rPr>
                <w:szCs w:val="20"/>
              </w:rPr>
            </w:pPr>
            <w:r w:rsidRPr="00BD6C8A">
              <w:rPr>
                <w:szCs w:val="20"/>
              </w:rPr>
              <w:t xml:space="preserve">$131.15 </w:t>
            </w:r>
            <w:r w:rsidR="005B7260">
              <w:rPr>
                <w:szCs w:val="20"/>
              </w:rPr>
              <w:t>(</w:t>
            </w:r>
            <w:r w:rsidRPr="00BD6C8A">
              <w:rPr>
                <w:szCs w:val="20"/>
              </w:rPr>
              <w:t>published</w:t>
            </w:r>
            <w:r w:rsidR="005B7260">
              <w:rPr>
                <w:szCs w:val="20"/>
              </w:rPr>
              <w:t>)</w:t>
            </w:r>
          </w:p>
          <w:p w:rsidR="00D60C27" w:rsidRPr="00BD6C8A" w:rsidRDefault="00D60C27" w:rsidP="000B18B2">
            <w:pPr>
              <w:keepNext/>
              <w:widowControl/>
              <w:jc w:val="left"/>
              <w:rPr>
                <w:rFonts w:ascii="Arial Narrow" w:hAnsi="Arial Narrow"/>
                <w:sz w:val="20"/>
                <w:szCs w:val="20"/>
              </w:rPr>
            </w:pPr>
          </w:p>
        </w:tc>
        <w:tc>
          <w:tcPr>
            <w:tcW w:w="1081" w:type="pct"/>
            <w:tcBorders>
              <w:left w:val="nil"/>
              <w:right w:val="nil"/>
            </w:tcBorders>
          </w:tcPr>
          <w:p w:rsidR="00D60C27" w:rsidRPr="00BD6C8A" w:rsidRDefault="00D60C27" w:rsidP="000B18B2">
            <w:pPr>
              <w:pStyle w:val="Tabletext"/>
              <w:keepNext/>
              <w:rPr>
                <w:szCs w:val="20"/>
              </w:rPr>
            </w:pPr>
            <w:r w:rsidRPr="00BD6C8A">
              <w:rPr>
                <w:szCs w:val="20"/>
              </w:rPr>
              <w:t xml:space="preserve">BYDUREON </w:t>
            </w:r>
            <w:proofErr w:type="spellStart"/>
            <w:r w:rsidRPr="00BD6C8A">
              <w:rPr>
                <w:szCs w:val="20"/>
              </w:rPr>
              <w:t>BCise</w:t>
            </w:r>
            <w:proofErr w:type="spellEnd"/>
          </w:p>
          <w:p w:rsidR="00D60C27" w:rsidRPr="00BD6C8A" w:rsidRDefault="00D60C27" w:rsidP="000B18B2">
            <w:pPr>
              <w:keepNext/>
              <w:widowControl/>
              <w:rPr>
                <w:rFonts w:ascii="Arial Narrow" w:hAnsi="Arial Narrow"/>
                <w:sz w:val="20"/>
                <w:szCs w:val="20"/>
              </w:rPr>
            </w:pPr>
            <w:r w:rsidRPr="00BD6C8A">
              <w:rPr>
                <w:rFonts w:ascii="Arial Narrow" w:hAnsi="Arial Narrow"/>
                <w:sz w:val="20"/>
                <w:szCs w:val="20"/>
              </w:rPr>
              <w:t>AstraZeneca Pty Ltd</w:t>
            </w:r>
          </w:p>
        </w:tc>
      </w:tr>
      <w:tr w:rsidR="00D60C27" w:rsidRPr="00BD6C8A" w:rsidTr="009A1D39">
        <w:tblPrEx>
          <w:tblLook w:val="04A0" w:firstRow="1" w:lastRow="0" w:firstColumn="1" w:lastColumn="0" w:noHBand="0" w:noVBand="1"/>
        </w:tblPrEx>
        <w:trPr>
          <w:trHeight w:val="20"/>
        </w:trPr>
        <w:tc>
          <w:tcPr>
            <w:tcW w:w="864" w:type="pct"/>
            <w:hideMark/>
          </w:tcPr>
          <w:p w:rsidR="00D60C27" w:rsidRPr="00BD6C8A" w:rsidRDefault="00D60C27" w:rsidP="000B18B2">
            <w:pPr>
              <w:pStyle w:val="Tabletext"/>
              <w:keepNext/>
              <w:rPr>
                <w:lang w:eastAsia="en-AU"/>
              </w:rPr>
            </w:pPr>
            <w:r w:rsidRPr="00BD6C8A">
              <w:rPr>
                <w:lang w:eastAsia="en-AU"/>
              </w:rPr>
              <w:t>Category/Program:</w:t>
            </w:r>
          </w:p>
        </w:tc>
        <w:tc>
          <w:tcPr>
            <w:tcW w:w="4136" w:type="pct"/>
            <w:gridSpan w:val="7"/>
          </w:tcPr>
          <w:p w:rsidR="00D60C27" w:rsidRPr="00BD6C8A" w:rsidRDefault="00D60C27" w:rsidP="000B18B2">
            <w:pPr>
              <w:pStyle w:val="Tabletext"/>
              <w:keepNext/>
              <w:rPr>
                <w:lang w:eastAsia="en-AU"/>
              </w:rPr>
            </w:pPr>
            <w:r w:rsidRPr="00BD6C8A">
              <w:t>GENERAL – General Schedule (Code GE)</w:t>
            </w:r>
          </w:p>
        </w:tc>
      </w:tr>
      <w:tr w:rsidR="00D60C27" w:rsidRPr="00BD6C8A" w:rsidTr="009A1D39">
        <w:tblPrEx>
          <w:tblLook w:val="04A0" w:firstRow="1" w:lastRow="0" w:firstColumn="1" w:lastColumn="0" w:noHBand="0" w:noVBand="1"/>
        </w:tblPrEx>
        <w:trPr>
          <w:trHeight w:val="20"/>
        </w:trPr>
        <w:tc>
          <w:tcPr>
            <w:tcW w:w="864" w:type="pct"/>
            <w:hideMark/>
          </w:tcPr>
          <w:p w:rsidR="00D60C27" w:rsidRPr="00BD6C8A" w:rsidRDefault="00D60C27" w:rsidP="000B18B2">
            <w:pPr>
              <w:pStyle w:val="Tabletext"/>
              <w:keepNext/>
              <w:rPr>
                <w:lang w:eastAsia="en-AU"/>
              </w:rPr>
            </w:pPr>
            <w:r w:rsidRPr="00BD6C8A">
              <w:rPr>
                <w:lang w:eastAsia="en-AU"/>
              </w:rPr>
              <w:t>PBS indication:</w:t>
            </w:r>
          </w:p>
        </w:tc>
        <w:tc>
          <w:tcPr>
            <w:tcW w:w="4136" w:type="pct"/>
            <w:gridSpan w:val="7"/>
          </w:tcPr>
          <w:p w:rsidR="00D60C27" w:rsidRPr="00BD6C8A" w:rsidRDefault="00D60C27" w:rsidP="000B18B2">
            <w:pPr>
              <w:pStyle w:val="Tabletext"/>
              <w:keepNext/>
              <w:rPr>
                <w:lang w:eastAsia="en-AU"/>
              </w:rPr>
            </w:pPr>
            <w:r w:rsidRPr="00BD6C8A">
              <w:t>Diabetes mellitus type 2</w:t>
            </w:r>
          </w:p>
        </w:tc>
      </w:tr>
      <w:tr w:rsidR="00D60C27" w:rsidRPr="00BD6C8A" w:rsidTr="009A1D39">
        <w:tblPrEx>
          <w:tblLook w:val="04A0" w:firstRow="1" w:lastRow="0" w:firstColumn="1" w:lastColumn="0" w:noHBand="0" w:noVBand="1"/>
        </w:tblPrEx>
        <w:trPr>
          <w:trHeight w:val="20"/>
        </w:trPr>
        <w:tc>
          <w:tcPr>
            <w:tcW w:w="864" w:type="pct"/>
            <w:hideMark/>
          </w:tcPr>
          <w:p w:rsidR="00D60C27" w:rsidRPr="00BD6C8A" w:rsidRDefault="00D60C27" w:rsidP="000B18B2">
            <w:pPr>
              <w:pStyle w:val="Tabletext"/>
              <w:keepNext/>
              <w:rPr>
                <w:lang w:eastAsia="en-AU"/>
              </w:rPr>
            </w:pPr>
            <w:r w:rsidRPr="00BD6C8A">
              <w:rPr>
                <w:lang w:eastAsia="en-AU"/>
              </w:rPr>
              <w:t>Restriction:</w:t>
            </w:r>
          </w:p>
        </w:tc>
        <w:tc>
          <w:tcPr>
            <w:tcW w:w="4136" w:type="pct"/>
            <w:gridSpan w:val="7"/>
          </w:tcPr>
          <w:p w:rsidR="00D60C27" w:rsidRPr="00BD6C8A" w:rsidRDefault="00D60C27" w:rsidP="000B18B2">
            <w:pPr>
              <w:pStyle w:val="Tabletext"/>
              <w:keepNext/>
              <w:rPr>
                <w:lang w:eastAsia="en-AU"/>
              </w:rPr>
            </w:pPr>
            <w:r w:rsidRPr="00BD6C8A">
              <w:t>Streamlined</w:t>
            </w:r>
            <w:r w:rsidR="00F14623" w:rsidRPr="00BD6C8A">
              <w:t xml:space="preserve"> </w:t>
            </w:r>
          </w:p>
        </w:tc>
      </w:tr>
      <w:tr w:rsidR="00F14623" w:rsidRPr="00BD6C8A" w:rsidTr="009A1D39">
        <w:tblPrEx>
          <w:tblLook w:val="04A0" w:firstRow="1" w:lastRow="0" w:firstColumn="1" w:lastColumn="0" w:noHBand="0" w:noVBand="1"/>
        </w:tblPrEx>
        <w:trPr>
          <w:trHeight w:val="529"/>
        </w:trPr>
        <w:tc>
          <w:tcPr>
            <w:tcW w:w="864" w:type="pct"/>
            <w:hideMark/>
          </w:tcPr>
          <w:p w:rsidR="00F14623" w:rsidRPr="00BD6C8A" w:rsidRDefault="00F14623" w:rsidP="000B18B2">
            <w:pPr>
              <w:pStyle w:val="Tabletext"/>
              <w:keepNext/>
              <w:rPr>
                <w:lang w:eastAsia="en-AU"/>
              </w:rPr>
            </w:pPr>
            <w:r w:rsidRPr="00BD6C8A">
              <w:rPr>
                <w:lang w:eastAsia="en-AU"/>
              </w:rPr>
              <w:t>Clinical criteria:</w:t>
            </w:r>
          </w:p>
        </w:tc>
        <w:tc>
          <w:tcPr>
            <w:tcW w:w="2130" w:type="pct"/>
            <w:gridSpan w:val="4"/>
          </w:tcPr>
          <w:p w:rsidR="00F14623" w:rsidRPr="00BD6C8A" w:rsidRDefault="00F14623" w:rsidP="000B18B2">
            <w:pPr>
              <w:pStyle w:val="TableText0"/>
              <w:keepNext/>
              <w:spacing w:before="0" w:after="40" w:line="240" w:lineRule="auto"/>
            </w:pPr>
            <w:r w:rsidRPr="00BD6C8A">
              <w:t xml:space="preserve">The treatment must be in combination with metformin; </w:t>
            </w:r>
          </w:p>
          <w:p w:rsidR="00F14623" w:rsidRPr="00BD6C8A" w:rsidRDefault="00F14623" w:rsidP="000B18B2">
            <w:pPr>
              <w:pStyle w:val="TableText0"/>
              <w:keepNext/>
              <w:spacing w:before="0" w:after="40" w:line="240" w:lineRule="auto"/>
            </w:pPr>
            <w:r w:rsidRPr="00BD6C8A">
              <w:t>OR</w:t>
            </w:r>
          </w:p>
          <w:p w:rsidR="00F14623" w:rsidRPr="00BD6C8A" w:rsidRDefault="00F14623" w:rsidP="000B18B2">
            <w:pPr>
              <w:pStyle w:val="TableText0"/>
              <w:keepNext/>
              <w:spacing w:before="0" w:after="40" w:line="240" w:lineRule="auto"/>
            </w:pPr>
            <w:r w:rsidRPr="00BD6C8A">
              <w:t xml:space="preserve">The treatment must be in combination with a sulfonylurea, </w:t>
            </w:r>
          </w:p>
          <w:p w:rsidR="00F14623" w:rsidRPr="00BD6C8A" w:rsidRDefault="00F14623" w:rsidP="000B18B2">
            <w:pPr>
              <w:pStyle w:val="TableText0"/>
              <w:keepNext/>
              <w:spacing w:before="0" w:after="40" w:line="240" w:lineRule="auto"/>
            </w:pPr>
            <w:r w:rsidRPr="00BD6C8A">
              <w:t>AND</w:t>
            </w:r>
          </w:p>
          <w:p w:rsidR="00F14623" w:rsidRPr="00BD6C8A" w:rsidRDefault="00F14623" w:rsidP="000B18B2">
            <w:pPr>
              <w:pStyle w:val="TableText0"/>
              <w:keepNext/>
              <w:spacing w:before="0" w:after="40" w:line="240" w:lineRule="auto"/>
            </w:pPr>
            <w:r w:rsidRPr="00BD6C8A">
              <w:t>Patient must have a contraindication to a combination of metformin and a sulfonylurea; OR</w:t>
            </w:r>
          </w:p>
          <w:p w:rsidR="00F14623" w:rsidRPr="00BD6C8A" w:rsidRDefault="00F14623" w:rsidP="000B18B2">
            <w:pPr>
              <w:pStyle w:val="TableText0"/>
              <w:keepNext/>
              <w:spacing w:before="0" w:after="40" w:line="240" w:lineRule="auto"/>
            </w:pPr>
            <w:r w:rsidRPr="00BD6C8A">
              <w:t xml:space="preserve">Patient must not have tolerated a combination of metformin and a sulfonylurea, </w:t>
            </w:r>
          </w:p>
          <w:p w:rsidR="00F14623" w:rsidRPr="00BD6C8A" w:rsidRDefault="00F14623" w:rsidP="000B18B2">
            <w:pPr>
              <w:pStyle w:val="TableText0"/>
              <w:keepNext/>
              <w:spacing w:before="0" w:after="40" w:line="240" w:lineRule="auto"/>
            </w:pPr>
            <w:r w:rsidRPr="00BD6C8A">
              <w:t>AND</w:t>
            </w:r>
          </w:p>
          <w:p w:rsidR="00F14623" w:rsidRPr="00BD6C8A" w:rsidRDefault="00F14623" w:rsidP="000B18B2">
            <w:pPr>
              <w:pStyle w:val="TableText0"/>
              <w:keepNext/>
              <w:spacing w:before="0" w:after="40" w:line="240" w:lineRule="auto"/>
              <w:rPr>
                <w:color w:val="222222"/>
              </w:rPr>
            </w:pPr>
            <w:r w:rsidRPr="00BD6C8A">
              <w:t xml:space="preserve">Patient must have, </w:t>
            </w:r>
            <w:r w:rsidRPr="00BD6C8A">
              <w:rPr>
                <w:color w:val="222222"/>
              </w:rPr>
              <w:t>or have had, a HbA1c measurement greater than 7% prior to the initiation of a dipeptidyl peptidase 4 inhibitor (gliptin), a thiazolidinedione (</w:t>
            </w:r>
            <w:proofErr w:type="spellStart"/>
            <w:r w:rsidRPr="00BD6C8A">
              <w:rPr>
                <w:color w:val="222222"/>
              </w:rPr>
              <w:t>gloxazone</w:t>
            </w:r>
            <w:proofErr w:type="spellEnd"/>
            <w:r w:rsidRPr="00BD6C8A">
              <w:rPr>
                <w:color w:val="222222"/>
              </w:rPr>
              <w:t>), a glucagon</w:t>
            </w:r>
            <w:r w:rsidRPr="00BD6C8A">
              <w:rPr>
                <w:color w:val="222222"/>
              </w:rPr>
              <w:noBreakHyphen/>
              <w:t>like peptide</w:t>
            </w:r>
            <w:r w:rsidRPr="00BD6C8A">
              <w:rPr>
                <w:color w:val="222222"/>
              </w:rPr>
              <w:noBreakHyphen/>
              <w:t>1 or a sodium</w:t>
            </w:r>
            <w:r w:rsidRPr="00BD6C8A">
              <w:rPr>
                <w:color w:val="222222"/>
              </w:rPr>
              <w:noBreakHyphen/>
              <w:t>glucose co</w:t>
            </w:r>
            <w:r w:rsidRPr="00BD6C8A">
              <w:rPr>
                <w:color w:val="222222"/>
              </w:rPr>
              <w:noBreakHyphen/>
              <w:t>transporter 2 (SGLT2) inhibitor despite treatment with either metformin or a sulfonylurea; OR</w:t>
            </w:r>
          </w:p>
          <w:p w:rsidR="00F14623" w:rsidRPr="00BD6C8A" w:rsidRDefault="00F14623" w:rsidP="000B18B2">
            <w:pPr>
              <w:pStyle w:val="Tabletext"/>
              <w:keepNext/>
              <w:rPr>
                <w:lang w:eastAsia="en-AU"/>
              </w:rPr>
            </w:pPr>
            <w:r w:rsidRPr="00BD6C8A">
              <w:rPr>
                <w:color w:val="222222"/>
              </w:rPr>
              <w:t xml:space="preserve">Patient must have, or have had, where HbA1c measurement is clinically inappropriate, blood glucose levels greater than 10 </w:t>
            </w:r>
            <w:proofErr w:type="spellStart"/>
            <w:r w:rsidRPr="00BD6C8A">
              <w:rPr>
                <w:color w:val="222222"/>
              </w:rPr>
              <w:t>mmol</w:t>
            </w:r>
            <w:proofErr w:type="spellEnd"/>
            <w:r w:rsidRPr="00BD6C8A">
              <w:rPr>
                <w:color w:val="222222"/>
              </w:rPr>
              <w:t xml:space="preserve"> per L in more than 20% of tests over a 2</w:t>
            </w:r>
            <w:r w:rsidRPr="00BD6C8A">
              <w:rPr>
                <w:color w:val="222222"/>
              </w:rPr>
              <w:noBreakHyphen/>
              <w:t xml:space="preserve">week period prior to initiation with a gliptin, a </w:t>
            </w:r>
            <w:proofErr w:type="spellStart"/>
            <w:r w:rsidRPr="00BD6C8A">
              <w:rPr>
                <w:color w:val="222222"/>
              </w:rPr>
              <w:t>glitazone</w:t>
            </w:r>
            <w:proofErr w:type="spellEnd"/>
            <w:r w:rsidRPr="00BD6C8A">
              <w:rPr>
                <w:color w:val="222222"/>
              </w:rPr>
              <w:t>, a glucagon</w:t>
            </w:r>
            <w:r w:rsidRPr="00BD6C8A">
              <w:rPr>
                <w:color w:val="222222"/>
              </w:rPr>
              <w:noBreakHyphen/>
              <w:t>like peptide</w:t>
            </w:r>
            <w:r w:rsidRPr="00BD6C8A">
              <w:rPr>
                <w:color w:val="222222"/>
              </w:rPr>
              <w:noBreakHyphen/>
              <w:t>1 or an SGLT2 inhibitor despite treatment with metformin or a sulfonylurea.</w:t>
            </w:r>
          </w:p>
        </w:tc>
        <w:tc>
          <w:tcPr>
            <w:tcW w:w="2006" w:type="pct"/>
            <w:gridSpan w:val="3"/>
          </w:tcPr>
          <w:p w:rsidR="00F14623" w:rsidRPr="00BD6C8A" w:rsidRDefault="00F14623" w:rsidP="000B18B2">
            <w:pPr>
              <w:pStyle w:val="TableText0"/>
              <w:keepNext/>
              <w:spacing w:before="0" w:after="40" w:line="240" w:lineRule="auto"/>
            </w:pPr>
            <w:r w:rsidRPr="00BD6C8A">
              <w:t xml:space="preserve">The treatment must be in combination with metformin, </w:t>
            </w:r>
          </w:p>
          <w:p w:rsidR="00F14623" w:rsidRPr="00BD6C8A" w:rsidRDefault="00F14623" w:rsidP="000B18B2">
            <w:pPr>
              <w:pStyle w:val="TableText0"/>
              <w:keepNext/>
              <w:spacing w:before="0" w:after="40" w:line="240" w:lineRule="auto"/>
            </w:pPr>
            <w:r w:rsidRPr="00BD6C8A">
              <w:t>AND</w:t>
            </w:r>
          </w:p>
          <w:p w:rsidR="00F14623" w:rsidRPr="00BD6C8A" w:rsidRDefault="00F14623" w:rsidP="000B18B2">
            <w:pPr>
              <w:pStyle w:val="TableText0"/>
              <w:keepNext/>
              <w:spacing w:before="0" w:after="40" w:line="240" w:lineRule="auto"/>
            </w:pPr>
            <w:r w:rsidRPr="00BD6C8A">
              <w:t xml:space="preserve">The treatment must be in combination with a sulfonylurea, </w:t>
            </w:r>
          </w:p>
          <w:p w:rsidR="00F14623" w:rsidRPr="00BD6C8A" w:rsidRDefault="00F14623" w:rsidP="000B18B2">
            <w:pPr>
              <w:pStyle w:val="TableText0"/>
              <w:keepNext/>
              <w:spacing w:before="0" w:after="40" w:line="240" w:lineRule="auto"/>
            </w:pPr>
            <w:r w:rsidRPr="00BD6C8A">
              <w:t>AND</w:t>
            </w:r>
          </w:p>
          <w:p w:rsidR="00F14623" w:rsidRPr="00BD6C8A" w:rsidRDefault="00F14623" w:rsidP="000B18B2">
            <w:pPr>
              <w:pStyle w:val="TableText0"/>
              <w:keepNext/>
              <w:spacing w:before="0" w:after="40" w:line="240" w:lineRule="auto"/>
              <w:rPr>
                <w:color w:val="222222"/>
              </w:rPr>
            </w:pPr>
            <w:r w:rsidRPr="00BD6C8A">
              <w:t xml:space="preserve">Patient must have, </w:t>
            </w:r>
            <w:r w:rsidRPr="00BD6C8A">
              <w:rPr>
                <w:color w:val="222222"/>
              </w:rPr>
              <w:t xml:space="preserve">or have had, a HbA1c measurement greater than 7% prior to the initiation of a dipeptidyl peptidase 4 inhibitor (gliptin), </w:t>
            </w:r>
            <w:r w:rsidRPr="00BD6C8A">
              <w:rPr>
                <w:color w:val="222222"/>
              </w:rPr>
              <w:br/>
              <w:t>a thiazolidinedione (</w:t>
            </w:r>
            <w:proofErr w:type="spellStart"/>
            <w:r w:rsidRPr="00BD6C8A">
              <w:rPr>
                <w:color w:val="222222"/>
              </w:rPr>
              <w:t>glitazone</w:t>
            </w:r>
            <w:proofErr w:type="spellEnd"/>
            <w:r w:rsidRPr="00BD6C8A">
              <w:rPr>
                <w:color w:val="222222"/>
              </w:rPr>
              <w:t>), a glucagon</w:t>
            </w:r>
            <w:r w:rsidRPr="00BD6C8A">
              <w:rPr>
                <w:color w:val="222222"/>
              </w:rPr>
              <w:noBreakHyphen/>
              <w:t>like peptide</w:t>
            </w:r>
            <w:r w:rsidRPr="00BD6C8A">
              <w:rPr>
                <w:color w:val="222222"/>
              </w:rPr>
              <w:noBreakHyphen/>
              <w:t>1 or a sodium</w:t>
            </w:r>
            <w:r w:rsidRPr="00BD6C8A">
              <w:rPr>
                <w:color w:val="222222"/>
              </w:rPr>
              <w:noBreakHyphen/>
              <w:t>glucose co</w:t>
            </w:r>
            <w:r w:rsidRPr="00BD6C8A">
              <w:rPr>
                <w:color w:val="222222"/>
              </w:rPr>
              <w:noBreakHyphen/>
              <w:t>transporter 2 (SGLT2) inhibitor despite treatment with maximally tolerated doses of metformin and a sulfonylurea; OR</w:t>
            </w:r>
          </w:p>
          <w:p w:rsidR="00F14623" w:rsidRPr="00BD6C8A" w:rsidRDefault="00F14623" w:rsidP="000B18B2">
            <w:pPr>
              <w:pStyle w:val="Tabletext"/>
              <w:keepNext/>
              <w:rPr>
                <w:lang w:eastAsia="en-AU"/>
              </w:rPr>
            </w:pPr>
            <w:r w:rsidRPr="00BD6C8A">
              <w:rPr>
                <w:color w:val="222222"/>
              </w:rPr>
              <w:t xml:space="preserve">Patient must have, or have had, where HbA1c measurement is clinically inappropriate, blood glucose levels greater than 10 </w:t>
            </w:r>
            <w:proofErr w:type="spellStart"/>
            <w:r w:rsidRPr="00BD6C8A">
              <w:rPr>
                <w:color w:val="222222"/>
              </w:rPr>
              <w:t>mmol</w:t>
            </w:r>
            <w:proofErr w:type="spellEnd"/>
            <w:r w:rsidRPr="00BD6C8A">
              <w:rPr>
                <w:color w:val="222222"/>
              </w:rPr>
              <w:t xml:space="preserve"> per L in more than 20% of tests over a 2</w:t>
            </w:r>
            <w:r w:rsidRPr="00BD6C8A">
              <w:rPr>
                <w:color w:val="222222"/>
              </w:rPr>
              <w:noBreakHyphen/>
              <w:t xml:space="preserve">week period prior to initiation with a gliptin, a </w:t>
            </w:r>
            <w:proofErr w:type="spellStart"/>
            <w:r w:rsidRPr="00BD6C8A">
              <w:rPr>
                <w:color w:val="222222"/>
              </w:rPr>
              <w:t>glitazone</w:t>
            </w:r>
            <w:proofErr w:type="spellEnd"/>
            <w:r w:rsidRPr="00BD6C8A">
              <w:rPr>
                <w:color w:val="222222"/>
              </w:rPr>
              <w:t>, a glucagon</w:t>
            </w:r>
            <w:r w:rsidRPr="00BD6C8A">
              <w:rPr>
                <w:color w:val="222222"/>
              </w:rPr>
              <w:noBreakHyphen/>
              <w:t>like peptide</w:t>
            </w:r>
            <w:r w:rsidRPr="00BD6C8A">
              <w:rPr>
                <w:color w:val="222222"/>
              </w:rPr>
              <w:noBreakHyphen/>
              <w:t>1 or an SGLT2 inhibitor despite treatment with maximally tolerated doses of metformin and a sulfonylurea.</w:t>
            </w:r>
          </w:p>
        </w:tc>
      </w:tr>
      <w:tr w:rsidR="00D60C27" w:rsidRPr="00BD6C8A" w:rsidTr="009A1D39">
        <w:tblPrEx>
          <w:tblLook w:val="04A0" w:firstRow="1" w:lastRow="0" w:firstColumn="1" w:lastColumn="0" w:noHBand="0" w:noVBand="1"/>
        </w:tblPrEx>
        <w:trPr>
          <w:trHeight w:val="20"/>
        </w:trPr>
        <w:tc>
          <w:tcPr>
            <w:tcW w:w="864" w:type="pct"/>
          </w:tcPr>
          <w:p w:rsidR="00D60C27" w:rsidRPr="00BD6C8A" w:rsidRDefault="00D60C27" w:rsidP="000B18B2">
            <w:pPr>
              <w:pStyle w:val="Tabletext"/>
              <w:keepNext/>
              <w:rPr>
                <w:lang w:eastAsia="en-AU"/>
              </w:rPr>
            </w:pPr>
            <w:r w:rsidRPr="00BD6C8A">
              <w:rPr>
                <w:lang w:eastAsia="en-AU"/>
              </w:rPr>
              <w:t>Prescribing information</w:t>
            </w:r>
          </w:p>
        </w:tc>
        <w:tc>
          <w:tcPr>
            <w:tcW w:w="4136" w:type="pct"/>
            <w:gridSpan w:val="7"/>
          </w:tcPr>
          <w:p w:rsidR="00D60C27" w:rsidRPr="00BD6C8A" w:rsidRDefault="00D60C27" w:rsidP="00E2793B">
            <w:pPr>
              <w:pStyle w:val="NormalWeb"/>
              <w:keepNext/>
              <w:numPr>
                <w:ilvl w:val="0"/>
                <w:numId w:val="4"/>
              </w:numPr>
              <w:spacing w:before="0" w:after="60"/>
              <w:ind w:left="0" w:firstLine="0"/>
              <w:rPr>
                <w:rFonts w:ascii="Arial Narrow" w:hAnsi="Arial Narrow"/>
                <w:sz w:val="20"/>
                <w:szCs w:val="20"/>
                <w:lang w:val="en-AU"/>
              </w:rPr>
            </w:pPr>
            <w:r w:rsidRPr="00BD6C8A">
              <w:rPr>
                <w:rFonts w:ascii="Arial Narrow" w:hAnsi="Arial Narrow"/>
                <w:color w:val="222222"/>
                <w:sz w:val="20"/>
                <w:szCs w:val="20"/>
                <w:lang w:val="en-AU"/>
              </w:rPr>
              <w:t xml:space="preserve">The date and level of the qualifying HbA1c measurement must be, or must have been, documented in the patient’s medical records at the time treatment with a gliptin, a </w:t>
            </w:r>
            <w:proofErr w:type="spellStart"/>
            <w:r w:rsidRPr="00BD6C8A">
              <w:rPr>
                <w:rFonts w:ascii="Arial Narrow" w:hAnsi="Arial Narrow"/>
                <w:color w:val="222222"/>
                <w:sz w:val="20"/>
                <w:szCs w:val="20"/>
                <w:lang w:val="en-AU"/>
              </w:rPr>
              <w:t>glitazone</w:t>
            </w:r>
            <w:proofErr w:type="spellEnd"/>
            <w:r w:rsidRPr="00BD6C8A">
              <w:rPr>
                <w:rFonts w:ascii="Arial Narrow" w:hAnsi="Arial Narrow"/>
                <w:color w:val="222222"/>
                <w:sz w:val="20"/>
                <w:szCs w:val="20"/>
                <w:lang w:val="en-AU"/>
              </w:rPr>
              <w:t>, a glucagon</w:t>
            </w:r>
            <w:r w:rsidRPr="00BD6C8A">
              <w:rPr>
                <w:rFonts w:ascii="Arial Narrow" w:hAnsi="Arial Narrow"/>
                <w:color w:val="222222"/>
                <w:sz w:val="20"/>
                <w:szCs w:val="20"/>
                <w:lang w:val="en-AU"/>
              </w:rPr>
              <w:noBreakHyphen/>
              <w:t>like peptide</w:t>
            </w:r>
            <w:r w:rsidRPr="00BD6C8A">
              <w:rPr>
                <w:rFonts w:ascii="Arial Narrow" w:hAnsi="Arial Narrow"/>
                <w:color w:val="222222"/>
                <w:sz w:val="20"/>
                <w:szCs w:val="20"/>
                <w:lang w:val="en-AU"/>
              </w:rPr>
              <w:noBreakHyphen/>
              <w:t xml:space="preserve">1 or an SGLT2 inhibitor is initiated. </w:t>
            </w:r>
          </w:p>
          <w:p w:rsidR="00D60C27" w:rsidRPr="00BD6C8A" w:rsidRDefault="00D60C27" w:rsidP="00E2793B">
            <w:pPr>
              <w:pStyle w:val="NormalWeb"/>
              <w:keepNext/>
              <w:numPr>
                <w:ilvl w:val="0"/>
                <w:numId w:val="4"/>
              </w:numPr>
              <w:spacing w:before="0" w:after="60"/>
              <w:ind w:left="0" w:firstLine="0"/>
              <w:rPr>
                <w:rFonts w:ascii="Arial Narrow" w:hAnsi="Arial Narrow"/>
                <w:sz w:val="20"/>
                <w:szCs w:val="20"/>
                <w:lang w:val="en-AU"/>
              </w:rPr>
            </w:pPr>
            <w:r w:rsidRPr="00BD6C8A">
              <w:rPr>
                <w:rFonts w:ascii="Arial Narrow" w:hAnsi="Arial Narrow"/>
                <w:color w:val="222222"/>
                <w:sz w:val="20"/>
                <w:szCs w:val="20"/>
                <w:lang w:val="en-AU"/>
              </w:rPr>
              <w:t xml:space="preserve">The HbA1c must be no more than 4 months old at the time treatment with a gliptin, a </w:t>
            </w:r>
            <w:proofErr w:type="spellStart"/>
            <w:r w:rsidRPr="00BD6C8A">
              <w:rPr>
                <w:rFonts w:ascii="Arial Narrow" w:hAnsi="Arial Narrow"/>
                <w:color w:val="222222"/>
                <w:sz w:val="20"/>
                <w:szCs w:val="20"/>
                <w:lang w:val="en-AU"/>
              </w:rPr>
              <w:t>glitazone</w:t>
            </w:r>
            <w:proofErr w:type="spellEnd"/>
            <w:r w:rsidRPr="00BD6C8A">
              <w:rPr>
                <w:rFonts w:ascii="Arial Narrow" w:hAnsi="Arial Narrow"/>
                <w:color w:val="222222"/>
                <w:sz w:val="20"/>
                <w:szCs w:val="20"/>
                <w:lang w:val="en-AU"/>
              </w:rPr>
              <w:t>, a glucagon</w:t>
            </w:r>
            <w:r w:rsidRPr="00BD6C8A">
              <w:rPr>
                <w:rFonts w:ascii="Arial Narrow" w:hAnsi="Arial Narrow"/>
                <w:color w:val="222222"/>
                <w:sz w:val="20"/>
                <w:szCs w:val="20"/>
                <w:lang w:val="en-AU"/>
              </w:rPr>
              <w:noBreakHyphen/>
              <w:t>like peptide</w:t>
            </w:r>
            <w:r w:rsidRPr="00BD6C8A">
              <w:rPr>
                <w:rFonts w:ascii="Arial Narrow" w:hAnsi="Arial Narrow"/>
                <w:color w:val="222222"/>
                <w:sz w:val="20"/>
                <w:szCs w:val="20"/>
                <w:lang w:val="en-AU"/>
              </w:rPr>
              <w:noBreakHyphen/>
              <w:t>1 or an SGLT2 inhibitor was initiated.</w:t>
            </w:r>
          </w:p>
          <w:p w:rsidR="00D60C27" w:rsidRPr="00BD6C8A" w:rsidRDefault="00D60C27" w:rsidP="00E2793B">
            <w:pPr>
              <w:pStyle w:val="NormalWeb"/>
              <w:keepNext/>
              <w:numPr>
                <w:ilvl w:val="0"/>
                <w:numId w:val="4"/>
              </w:numPr>
              <w:spacing w:before="0" w:after="60"/>
              <w:ind w:left="0" w:firstLine="0"/>
              <w:rPr>
                <w:rFonts w:ascii="Arial Narrow" w:hAnsi="Arial Narrow"/>
                <w:sz w:val="20"/>
                <w:szCs w:val="20"/>
                <w:lang w:val="en-AU"/>
              </w:rPr>
            </w:pPr>
            <w:r w:rsidRPr="00BD6C8A">
              <w:rPr>
                <w:rFonts w:ascii="Arial Narrow" w:hAnsi="Arial Narrow"/>
                <w:color w:val="222222"/>
                <w:sz w:val="20"/>
                <w:szCs w:val="20"/>
                <w:lang w:val="en-AU"/>
              </w:rPr>
              <w:t xml:space="preserve">Blood glucose monitoring may be used as an alternative assessment to HbA1c levels in the following circumstances: </w:t>
            </w:r>
          </w:p>
          <w:p w:rsidR="00D60C27" w:rsidRPr="00BD6C8A" w:rsidRDefault="00D60C27" w:rsidP="00E2793B">
            <w:pPr>
              <w:pStyle w:val="NormalWeb"/>
              <w:keepNext/>
              <w:numPr>
                <w:ilvl w:val="0"/>
                <w:numId w:val="4"/>
              </w:numPr>
              <w:spacing w:before="0" w:after="60"/>
              <w:ind w:left="0" w:firstLine="0"/>
              <w:rPr>
                <w:rFonts w:ascii="Arial Narrow" w:hAnsi="Arial Narrow"/>
                <w:sz w:val="20"/>
                <w:szCs w:val="20"/>
                <w:lang w:val="en-AU"/>
              </w:rPr>
            </w:pPr>
            <w:r w:rsidRPr="00BD6C8A">
              <w:rPr>
                <w:rFonts w:ascii="Arial Narrow" w:hAnsi="Arial Narrow"/>
                <w:color w:val="222222"/>
                <w:sz w:val="20"/>
                <w:szCs w:val="20"/>
                <w:lang w:val="en-AU"/>
              </w:rPr>
              <w:t xml:space="preserve">a) A clinical condition with reduced red blood cell survival, including haemolytic anaemias and </w:t>
            </w:r>
            <w:proofErr w:type="spellStart"/>
            <w:r w:rsidRPr="00BD6C8A">
              <w:rPr>
                <w:rFonts w:ascii="Arial Narrow" w:hAnsi="Arial Narrow"/>
                <w:color w:val="222222"/>
                <w:sz w:val="20"/>
                <w:szCs w:val="20"/>
                <w:lang w:val="en-AU"/>
              </w:rPr>
              <w:t>haemoglobinopathies</w:t>
            </w:r>
            <w:proofErr w:type="spellEnd"/>
            <w:r w:rsidRPr="00BD6C8A">
              <w:rPr>
                <w:rFonts w:ascii="Arial Narrow" w:hAnsi="Arial Narrow"/>
                <w:color w:val="222222"/>
                <w:sz w:val="20"/>
                <w:szCs w:val="20"/>
                <w:lang w:val="en-AU"/>
              </w:rPr>
              <w:t>; and/or</w:t>
            </w:r>
          </w:p>
          <w:p w:rsidR="00D60C27" w:rsidRPr="00BD6C8A" w:rsidRDefault="00D60C27" w:rsidP="00E2793B">
            <w:pPr>
              <w:pStyle w:val="NormalWeb"/>
              <w:keepNext/>
              <w:numPr>
                <w:ilvl w:val="0"/>
                <w:numId w:val="4"/>
              </w:numPr>
              <w:spacing w:before="0" w:after="60"/>
              <w:ind w:left="0" w:firstLine="0"/>
              <w:rPr>
                <w:rFonts w:ascii="Arial Narrow" w:hAnsi="Arial Narrow"/>
                <w:sz w:val="20"/>
                <w:szCs w:val="20"/>
                <w:lang w:val="en-AU"/>
              </w:rPr>
            </w:pPr>
            <w:r w:rsidRPr="00BD6C8A">
              <w:rPr>
                <w:rFonts w:ascii="Arial Narrow" w:hAnsi="Arial Narrow"/>
                <w:color w:val="222222"/>
                <w:sz w:val="20"/>
                <w:szCs w:val="20"/>
                <w:lang w:val="en-AU"/>
              </w:rPr>
              <w:t xml:space="preserve">b) Had red cell transfusion within the previous 3 months. </w:t>
            </w:r>
          </w:p>
          <w:p w:rsidR="00D60C27" w:rsidRPr="00BD6C8A" w:rsidRDefault="00D60C27" w:rsidP="000B18B2">
            <w:pPr>
              <w:pStyle w:val="TableText0"/>
              <w:keepNext/>
              <w:spacing w:before="0" w:after="60" w:line="240" w:lineRule="auto"/>
            </w:pPr>
            <w:r w:rsidRPr="00BD6C8A">
              <w:rPr>
                <w:color w:val="222222"/>
              </w:rPr>
              <w:t xml:space="preserve">The results of the blood glucose monitoring, which must be no more than 4 months old at the time of initiation of treatment with a gliptin, a </w:t>
            </w:r>
            <w:proofErr w:type="spellStart"/>
            <w:r w:rsidRPr="00BD6C8A">
              <w:rPr>
                <w:color w:val="222222"/>
              </w:rPr>
              <w:t>glitazone</w:t>
            </w:r>
            <w:proofErr w:type="spellEnd"/>
            <w:r w:rsidRPr="00BD6C8A">
              <w:rPr>
                <w:color w:val="222222"/>
              </w:rPr>
              <w:t>, a glucagon</w:t>
            </w:r>
            <w:r w:rsidRPr="00BD6C8A">
              <w:rPr>
                <w:color w:val="222222"/>
              </w:rPr>
              <w:noBreakHyphen/>
              <w:t>like peptide</w:t>
            </w:r>
            <w:r w:rsidRPr="00BD6C8A">
              <w:rPr>
                <w:color w:val="222222"/>
              </w:rPr>
              <w:noBreakHyphen/>
              <w:t>1 or an SGLT2 inhibitor, must be documented in the patient’s medical records.</w:t>
            </w:r>
          </w:p>
        </w:tc>
      </w:tr>
      <w:tr w:rsidR="00D60C27" w:rsidRPr="00BD6C8A" w:rsidTr="009A1D39">
        <w:tblPrEx>
          <w:tblLook w:val="04A0" w:firstRow="1" w:lastRow="0" w:firstColumn="1" w:lastColumn="0" w:noHBand="0" w:noVBand="1"/>
        </w:tblPrEx>
        <w:trPr>
          <w:trHeight w:val="680"/>
        </w:trPr>
        <w:tc>
          <w:tcPr>
            <w:tcW w:w="864" w:type="pct"/>
          </w:tcPr>
          <w:p w:rsidR="00D60C27" w:rsidRPr="00BD6C8A" w:rsidRDefault="00D60C27" w:rsidP="000B18B2">
            <w:pPr>
              <w:pStyle w:val="TableText0"/>
              <w:keepNext/>
              <w:spacing w:before="0" w:after="60" w:line="240" w:lineRule="auto"/>
            </w:pPr>
            <w:r w:rsidRPr="00BD6C8A">
              <w:t>Administrative Advice</w:t>
            </w:r>
          </w:p>
          <w:p w:rsidR="00D60C27" w:rsidRPr="00BD6C8A" w:rsidRDefault="00D60C27" w:rsidP="000B18B2">
            <w:pPr>
              <w:pStyle w:val="Tabletext"/>
              <w:keepNext/>
              <w:rPr>
                <w:lang w:eastAsia="en-AU"/>
              </w:rPr>
            </w:pPr>
          </w:p>
        </w:tc>
        <w:tc>
          <w:tcPr>
            <w:tcW w:w="4136" w:type="pct"/>
            <w:gridSpan w:val="7"/>
          </w:tcPr>
          <w:p w:rsidR="00D60C27" w:rsidRPr="00BD6C8A" w:rsidRDefault="00D60C27" w:rsidP="000B18B2">
            <w:pPr>
              <w:pStyle w:val="Tabletext"/>
              <w:keepNext/>
            </w:pPr>
            <w:r w:rsidRPr="00BD6C8A">
              <w:t>This drug is not PBS</w:t>
            </w:r>
            <w:r w:rsidRPr="00BD6C8A">
              <w:noBreakHyphen/>
              <w:t>subsidised for use as monotherapy or in combination with a dipeptidyl peptidase 4 inhibitor (gliptin), a thiazolidinedione (</w:t>
            </w:r>
            <w:proofErr w:type="spellStart"/>
            <w:r w:rsidRPr="00BD6C8A">
              <w:t>glitazone</w:t>
            </w:r>
            <w:proofErr w:type="spellEnd"/>
            <w:r w:rsidRPr="00BD6C8A">
              <w:t>), an insulin or an SGLT2 inhibitor.</w:t>
            </w:r>
          </w:p>
          <w:p w:rsidR="00EE0E7A" w:rsidRPr="00BD6C8A" w:rsidRDefault="00EE0E7A" w:rsidP="000B18B2">
            <w:pPr>
              <w:pStyle w:val="Tabletext"/>
              <w:keepNext/>
            </w:pPr>
          </w:p>
          <w:p w:rsidR="007400D8" w:rsidRPr="00BD6C8A" w:rsidRDefault="007400D8" w:rsidP="000B18B2">
            <w:pPr>
              <w:pStyle w:val="Tabletext"/>
              <w:keepNext/>
              <w:rPr>
                <w:i/>
                <w:color w:val="000000"/>
                <w:szCs w:val="24"/>
                <w:lang w:eastAsia="en-AU"/>
              </w:rPr>
            </w:pPr>
            <w:r w:rsidRPr="00BD6C8A">
              <w:rPr>
                <w:i/>
              </w:rPr>
              <w:t xml:space="preserve">Special Pricing Arrangements Apply. </w:t>
            </w:r>
          </w:p>
        </w:tc>
      </w:tr>
    </w:tbl>
    <w:p w:rsidR="00F87A4C" w:rsidRPr="00BD6C8A" w:rsidRDefault="00F87A4C" w:rsidP="00F87A4C">
      <w:pPr>
        <w:widowControl/>
      </w:pPr>
    </w:p>
    <w:p w:rsidR="00D60C27" w:rsidRPr="00BD6C8A" w:rsidRDefault="00D60C27" w:rsidP="00592178">
      <w:pPr>
        <w:pStyle w:val="ListParagraph"/>
        <w:widowControl/>
        <w:numPr>
          <w:ilvl w:val="1"/>
          <w:numId w:val="1"/>
        </w:numPr>
        <w:spacing w:before="120"/>
      </w:pPr>
      <w:r w:rsidRPr="00BD6C8A">
        <w:t xml:space="preserve">The submission </w:t>
      </w:r>
      <w:r w:rsidR="00E87DCC" w:rsidRPr="00BD6C8A">
        <w:t>requested</w:t>
      </w:r>
      <w:r w:rsidRPr="00BD6C8A">
        <w:t xml:space="preserve"> that the special pricing arrangement (SPA) for </w:t>
      </w:r>
      <w:proofErr w:type="spellStart"/>
      <w:r w:rsidRPr="00BD6C8A">
        <w:t>exenatide</w:t>
      </w:r>
      <w:proofErr w:type="spellEnd"/>
      <w:r w:rsidRPr="00BD6C8A">
        <w:t xml:space="preserve"> DCP be exten</w:t>
      </w:r>
      <w:r w:rsidR="00E87DCC" w:rsidRPr="00BD6C8A">
        <w:t>d</w:t>
      </w:r>
      <w:r w:rsidRPr="00BD6C8A">
        <w:t xml:space="preserve">ed to the </w:t>
      </w:r>
      <w:proofErr w:type="spellStart"/>
      <w:r w:rsidRPr="00BD6C8A">
        <w:t>exenatide</w:t>
      </w:r>
      <w:proofErr w:type="spellEnd"/>
      <w:r w:rsidRPr="00BD6C8A">
        <w:t xml:space="preserve"> </w:t>
      </w:r>
      <w:proofErr w:type="spellStart"/>
      <w:r w:rsidRPr="00BD6C8A">
        <w:t>autoinjector</w:t>
      </w:r>
      <w:proofErr w:type="spellEnd"/>
      <w:r w:rsidRPr="00BD6C8A">
        <w:t>.</w:t>
      </w:r>
      <w:r w:rsidR="00605337" w:rsidRPr="00BD6C8A">
        <w:t xml:space="preserve"> </w:t>
      </w:r>
      <w:r w:rsidR="00425273" w:rsidRPr="00BD6C8A">
        <w:t>Extension of t</w:t>
      </w:r>
      <w:r w:rsidRPr="00BD6C8A">
        <w:t>he SPA</w:t>
      </w:r>
      <w:r w:rsidR="00425273" w:rsidRPr="00BD6C8A">
        <w:t xml:space="preserve"> would</w:t>
      </w:r>
      <w:r w:rsidRPr="00BD6C8A">
        <w:t xml:space="preserve"> result in an effective price of $</w:t>
      </w:r>
      <w:r w:rsidR="00E40122">
        <w:rPr>
          <w:noProof/>
          <w:color w:val="000000"/>
          <w:highlight w:val="black"/>
        </w:rPr>
        <w:t>'''''''''''</w:t>
      </w:r>
      <w:r w:rsidRPr="00BD6C8A">
        <w:t xml:space="preserve"> per pack of </w:t>
      </w:r>
      <w:proofErr w:type="spellStart"/>
      <w:r w:rsidRPr="00BD6C8A">
        <w:t>exenatide</w:t>
      </w:r>
      <w:proofErr w:type="spellEnd"/>
      <w:r w:rsidRPr="00BD6C8A">
        <w:t xml:space="preserve"> </w:t>
      </w:r>
      <w:proofErr w:type="spellStart"/>
      <w:r w:rsidRPr="00BD6C8A">
        <w:t>autoinjector</w:t>
      </w:r>
      <w:proofErr w:type="spellEnd"/>
      <w:r w:rsidRPr="00BD6C8A">
        <w:t xml:space="preserve"> compared to a published DPMQ of $131.15.</w:t>
      </w:r>
      <w:r w:rsidR="00605337" w:rsidRPr="00BD6C8A">
        <w:t xml:space="preserve"> </w:t>
      </w:r>
    </w:p>
    <w:p w:rsidR="00D60C27" w:rsidRDefault="00D60C27" w:rsidP="00592178">
      <w:pPr>
        <w:pStyle w:val="ListParagraph"/>
        <w:widowControl/>
        <w:numPr>
          <w:ilvl w:val="1"/>
          <w:numId w:val="1"/>
        </w:numPr>
        <w:spacing w:before="120"/>
      </w:pPr>
      <w:r w:rsidRPr="00BD6C8A">
        <w:t xml:space="preserve">The requested restriction for </w:t>
      </w:r>
      <w:proofErr w:type="spellStart"/>
      <w:r w:rsidRPr="00BD6C8A">
        <w:t>exenatide</w:t>
      </w:r>
      <w:proofErr w:type="spellEnd"/>
      <w:r w:rsidRPr="00BD6C8A">
        <w:t xml:space="preserve"> </w:t>
      </w:r>
      <w:proofErr w:type="spellStart"/>
      <w:r w:rsidRPr="00BD6C8A">
        <w:t>autoinjector</w:t>
      </w:r>
      <w:proofErr w:type="spellEnd"/>
      <w:r w:rsidRPr="00BD6C8A">
        <w:t xml:space="preserve"> was identical to the </w:t>
      </w:r>
      <w:proofErr w:type="spellStart"/>
      <w:r w:rsidRPr="00BD6C8A">
        <w:t>exenatide</w:t>
      </w:r>
      <w:proofErr w:type="spellEnd"/>
      <w:r w:rsidRPr="00BD6C8A">
        <w:t xml:space="preserve"> DCP</w:t>
      </w:r>
      <w:r w:rsidR="00BD6C8A">
        <w:t xml:space="preserve">. </w:t>
      </w:r>
    </w:p>
    <w:p w:rsidR="00D60C27" w:rsidRPr="00BD6C8A" w:rsidRDefault="00D60C27" w:rsidP="00592178">
      <w:pPr>
        <w:pStyle w:val="Heading1"/>
        <w:spacing w:before="120"/>
      </w:pPr>
      <w:bookmarkStart w:id="3" w:name="_Toc535854203"/>
      <w:r w:rsidRPr="00BD6C8A">
        <w:t>Background</w:t>
      </w:r>
      <w:bookmarkEnd w:id="3"/>
    </w:p>
    <w:p w:rsidR="00D60C27" w:rsidRPr="00BD6C8A" w:rsidRDefault="00D60C27" w:rsidP="00592178">
      <w:pPr>
        <w:pStyle w:val="Heading2"/>
        <w:spacing w:before="120"/>
      </w:pPr>
      <w:r w:rsidRPr="00BD6C8A">
        <w:t>Registration status</w:t>
      </w:r>
    </w:p>
    <w:p w:rsidR="00F87A4C" w:rsidRPr="00BD6C8A" w:rsidRDefault="007D1FB2" w:rsidP="00592178">
      <w:pPr>
        <w:pStyle w:val="ListParagraph"/>
        <w:widowControl/>
        <w:numPr>
          <w:ilvl w:val="1"/>
          <w:numId w:val="1"/>
        </w:numPr>
        <w:spacing w:before="120"/>
        <w:rPr>
          <w:rFonts w:asciiTheme="minorHAnsi" w:hAnsiTheme="minorHAnsi"/>
          <w:bCs/>
          <w:snapToGrid/>
          <w:lang w:eastAsia="en-AU"/>
        </w:rPr>
      </w:pPr>
      <w:r w:rsidRPr="00BD6C8A">
        <w:rPr>
          <w:rFonts w:asciiTheme="minorHAnsi" w:hAnsiTheme="minorHAnsi"/>
          <w:bCs/>
          <w:snapToGrid/>
          <w:lang w:eastAsia="en-AU"/>
        </w:rPr>
        <w:t xml:space="preserve">TGA status at time of </w:t>
      </w:r>
      <w:r w:rsidR="00D62849" w:rsidRPr="00BD6C8A">
        <w:rPr>
          <w:rFonts w:asciiTheme="minorHAnsi" w:hAnsiTheme="minorHAnsi"/>
          <w:bCs/>
          <w:snapToGrid/>
          <w:lang w:eastAsia="en-AU"/>
        </w:rPr>
        <w:t xml:space="preserve">PBAC </w:t>
      </w:r>
      <w:r w:rsidR="00BD6C8A" w:rsidRPr="00BD6C8A">
        <w:rPr>
          <w:rFonts w:asciiTheme="minorHAnsi" w:hAnsiTheme="minorHAnsi"/>
          <w:bCs/>
          <w:snapToGrid/>
          <w:lang w:eastAsia="en-AU"/>
        </w:rPr>
        <w:t>consideration:</w:t>
      </w:r>
      <w:r w:rsidR="008C41F1" w:rsidRPr="00BD6C8A">
        <w:t xml:space="preserve"> </w:t>
      </w:r>
      <w:proofErr w:type="spellStart"/>
      <w:r w:rsidR="00F87A4C" w:rsidRPr="00BD6C8A">
        <w:t>Exenatide</w:t>
      </w:r>
      <w:proofErr w:type="spellEnd"/>
      <w:r w:rsidR="00F87A4C" w:rsidRPr="00BD6C8A">
        <w:t xml:space="preserve"> </w:t>
      </w:r>
      <w:proofErr w:type="spellStart"/>
      <w:r w:rsidR="00F87A4C" w:rsidRPr="00BD6C8A">
        <w:t>autoinjector</w:t>
      </w:r>
      <w:proofErr w:type="spellEnd"/>
      <w:r w:rsidR="00F87A4C" w:rsidRPr="00BD6C8A">
        <w:t xml:space="preserve"> was included in the Australian Register of Therapeutic Goods on 7 February 2019. </w:t>
      </w:r>
    </w:p>
    <w:p w:rsidR="00AC2B83" w:rsidRPr="00BD6C8A" w:rsidRDefault="007D1FB2" w:rsidP="00592178">
      <w:pPr>
        <w:pStyle w:val="ListParagraph"/>
        <w:widowControl/>
        <w:numPr>
          <w:ilvl w:val="1"/>
          <w:numId w:val="1"/>
        </w:numPr>
        <w:spacing w:before="120"/>
        <w:rPr>
          <w:rFonts w:asciiTheme="minorHAnsi" w:hAnsiTheme="minorHAnsi"/>
          <w:bCs/>
          <w:snapToGrid/>
          <w:lang w:eastAsia="en-AU"/>
        </w:rPr>
      </w:pPr>
      <w:r w:rsidRPr="00BD6C8A">
        <w:rPr>
          <w:rFonts w:asciiTheme="minorHAnsi" w:hAnsiTheme="minorHAnsi"/>
          <w:bCs/>
          <w:snapToGrid/>
          <w:lang w:eastAsia="en-AU"/>
        </w:rPr>
        <w:t>The submission was made under TGA/PBAC Parallel Process.</w:t>
      </w:r>
      <w:r w:rsidR="00D62849" w:rsidRPr="00BD6C8A">
        <w:rPr>
          <w:rFonts w:asciiTheme="minorHAnsi" w:hAnsiTheme="minorHAnsi"/>
          <w:bCs/>
          <w:snapToGrid/>
          <w:lang w:eastAsia="en-AU"/>
        </w:rPr>
        <w:t xml:space="preserve"> </w:t>
      </w:r>
      <w:r w:rsidR="00D62849" w:rsidRPr="00BD6C8A">
        <w:t>The</w:t>
      </w:r>
      <w:r w:rsidR="00C73F1D" w:rsidRPr="00BD6C8A">
        <w:t xml:space="preserve"> second round clinical evaluation report and</w:t>
      </w:r>
      <w:r w:rsidR="00D62849" w:rsidRPr="00BD6C8A">
        <w:t xml:space="preserve"> TGA Delegate’s Overview</w:t>
      </w:r>
      <w:r w:rsidR="00C73F1D" w:rsidRPr="00BD6C8A">
        <w:t xml:space="preserve"> were </w:t>
      </w:r>
      <w:r w:rsidR="00D62849" w:rsidRPr="00BD6C8A">
        <w:t>available to the PBAC.</w:t>
      </w:r>
      <w:r w:rsidR="00C73F1D" w:rsidRPr="00BD6C8A">
        <w:t xml:space="preserve"> </w:t>
      </w:r>
    </w:p>
    <w:p w:rsidR="00520CD6" w:rsidRDefault="00113CA4" w:rsidP="00592178">
      <w:pPr>
        <w:pStyle w:val="ListParagraph"/>
        <w:widowControl/>
        <w:numPr>
          <w:ilvl w:val="1"/>
          <w:numId w:val="1"/>
        </w:numPr>
        <w:spacing w:before="120"/>
      </w:pPr>
      <w:r w:rsidRPr="00BD6C8A">
        <w:lastRenderedPageBreak/>
        <w:t xml:space="preserve">The </w:t>
      </w:r>
      <w:r w:rsidR="000A3D16" w:rsidRPr="00BD6C8A">
        <w:t>Delegate’s O</w:t>
      </w:r>
      <w:r w:rsidRPr="00BD6C8A">
        <w:t xml:space="preserve">verview </w:t>
      </w:r>
      <w:r w:rsidR="00BE3693" w:rsidRPr="00BD6C8A">
        <w:t xml:space="preserve">was supportive of the registration of </w:t>
      </w:r>
      <w:proofErr w:type="spellStart"/>
      <w:r w:rsidR="00BE3693" w:rsidRPr="00BD6C8A">
        <w:t>exenatide</w:t>
      </w:r>
      <w:proofErr w:type="spellEnd"/>
      <w:r w:rsidR="00BE3693" w:rsidRPr="00BD6C8A">
        <w:t xml:space="preserve"> </w:t>
      </w:r>
      <w:proofErr w:type="spellStart"/>
      <w:r w:rsidR="00BE3693" w:rsidRPr="00BD6C8A">
        <w:t>autoinjector</w:t>
      </w:r>
      <w:proofErr w:type="spellEnd"/>
      <w:r w:rsidR="00BE3693" w:rsidRPr="00BD6C8A">
        <w:t xml:space="preserve">, </w:t>
      </w:r>
      <w:r w:rsidR="007B2712" w:rsidRPr="00BD6C8A">
        <w:t>noted the ease of administration</w:t>
      </w:r>
      <w:r w:rsidR="00AC2B83" w:rsidRPr="00BD6C8A">
        <w:t>,</w:t>
      </w:r>
      <w:r w:rsidR="00BE3693" w:rsidRPr="00BD6C8A">
        <w:t xml:space="preserve"> and recommended changes to the Product Information</w:t>
      </w:r>
      <w:r w:rsidR="00412B5F" w:rsidRPr="00BD6C8A">
        <w:t>.</w:t>
      </w:r>
      <w:r w:rsidR="00605337" w:rsidRPr="00BD6C8A">
        <w:t xml:space="preserve"> </w:t>
      </w:r>
      <w:r w:rsidR="00412B5F" w:rsidRPr="00BD6C8A">
        <w:t>The Delegate’s Overview also</w:t>
      </w:r>
      <w:r w:rsidR="005566E5" w:rsidRPr="00BD6C8A">
        <w:t xml:space="preserve"> noted there was no comparative data to the existing formulations.</w:t>
      </w:r>
    </w:p>
    <w:p w:rsidR="00D60C27" w:rsidRPr="00BD6C8A" w:rsidRDefault="00D60C27" w:rsidP="00592178">
      <w:pPr>
        <w:pStyle w:val="Heading1"/>
        <w:spacing w:before="120"/>
      </w:pPr>
      <w:bookmarkStart w:id="4" w:name="_Toc535854204"/>
      <w:r w:rsidRPr="00BD6C8A">
        <w:t>Population and disease</w:t>
      </w:r>
      <w:bookmarkEnd w:id="4"/>
    </w:p>
    <w:p w:rsidR="00D60C27" w:rsidRPr="00BD6C8A" w:rsidRDefault="00D60C27" w:rsidP="00592178">
      <w:pPr>
        <w:pStyle w:val="ListParagraph"/>
        <w:widowControl/>
        <w:numPr>
          <w:ilvl w:val="1"/>
          <w:numId w:val="1"/>
        </w:numPr>
        <w:spacing w:before="120"/>
      </w:pPr>
      <w:r w:rsidRPr="00BD6C8A">
        <w:t xml:space="preserve">Diabetes is a chronic disease associated with hyperglycaemia and an increased risk of microvascular and </w:t>
      </w:r>
      <w:proofErr w:type="spellStart"/>
      <w:r w:rsidRPr="00BD6C8A">
        <w:t>macrovascular</w:t>
      </w:r>
      <w:proofErr w:type="spellEnd"/>
      <w:r w:rsidRPr="00BD6C8A">
        <w:t xml:space="preserve"> complications. Type 2 diabetes mellitus (T2DM) is associated with comorbid overweight/obesity, dyslipidaemia, and hypertension.</w:t>
      </w:r>
      <w:r w:rsidR="00605337" w:rsidRPr="00BD6C8A">
        <w:t xml:space="preserve"> </w:t>
      </w:r>
      <w:r w:rsidRPr="00BD6C8A">
        <w:t>The consequences of uncontrolled diabetes include vascular damage, which may lead to blindness, neuropathy, amputation, kidney failure, heart disease, or stroke.</w:t>
      </w:r>
    </w:p>
    <w:p w:rsidR="007D27E6" w:rsidRPr="00BD6C8A" w:rsidRDefault="00D60C27" w:rsidP="00592178">
      <w:pPr>
        <w:pStyle w:val="ListParagraph"/>
        <w:widowControl/>
        <w:numPr>
          <w:ilvl w:val="1"/>
          <w:numId w:val="1"/>
        </w:numPr>
        <w:spacing w:before="120"/>
      </w:pPr>
      <w:proofErr w:type="spellStart"/>
      <w:r w:rsidRPr="00BD6C8A">
        <w:t>Exenatide</w:t>
      </w:r>
      <w:proofErr w:type="spellEnd"/>
      <w:r w:rsidRPr="00BD6C8A">
        <w:t xml:space="preserve"> and other glucagon-like peptide-1 (GLP-1) agonists may be added to existing therapy (metformin and/or </w:t>
      </w:r>
      <w:proofErr w:type="spellStart"/>
      <w:r w:rsidRPr="00BD6C8A">
        <w:t>sulphonylurea</w:t>
      </w:r>
      <w:proofErr w:type="spellEnd"/>
      <w:r w:rsidRPr="00BD6C8A">
        <w:t>, plus other oral antidiabetic therapies and/or insulin if appropriate) if HbA1c goals were not achieved and are considered as third line therapy in T2DM.</w:t>
      </w:r>
      <w:r w:rsidR="00605337" w:rsidRPr="00BD6C8A">
        <w:t xml:space="preserve"> </w:t>
      </w:r>
      <w:r w:rsidRPr="00BD6C8A">
        <w:t xml:space="preserve">Importantly, </w:t>
      </w:r>
      <w:proofErr w:type="spellStart"/>
      <w:r w:rsidRPr="00BD6C8A">
        <w:t>exenatide</w:t>
      </w:r>
      <w:proofErr w:type="spellEnd"/>
      <w:r w:rsidRPr="00BD6C8A">
        <w:t xml:space="preserve"> is not recommended as monotherapy in patients with T2DM</w:t>
      </w:r>
      <w:r w:rsidR="00C46AF6" w:rsidRPr="00BD6C8A">
        <w:t>.</w:t>
      </w:r>
      <w:r w:rsidR="00605337" w:rsidRPr="00BD6C8A">
        <w:t xml:space="preserve"> </w:t>
      </w:r>
      <w:r w:rsidR="00C46AF6" w:rsidRPr="00BD6C8A">
        <w:t>The proposed restrictions d</w:t>
      </w:r>
      <w:r w:rsidR="00425273" w:rsidRPr="00BD6C8A">
        <w:t>id</w:t>
      </w:r>
      <w:r w:rsidR="00C46AF6" w:rsidRPr="00BD6C8A">
        <w:t xml:space="preserve"> not allow </w:t>
      </w:r>
      <w:r w:rsidR="00BD6C8A" w:rsidRPr="00BD6C8A">
        <w:t xml:space="preserve">monotherapy </w:t>
      </w:r>
      <w:r w:rsidR="00BD6C8A">
        <w:t xml:space="preserve">and this was considered </w:t>
      </w:r>
      <w:r w:rsidR="00C46AF6" w:rsidRPr="00BD6C8A">
        <w:t>appropriate</w:t>
      </w:r>
      <w:r w:rsidRPr="00BD6C8A">
        <w:t>.</w:t>
      </w:r>
      <w:r w:rsidR="00605337" w:rsidRPr="00BD6C8A">
        <w:t xml:space="preserve"> </w:t>
      </w:r>
    </w:p>
    <w:p w:rsidR="0005217A" w:rsidRPr="00BD6C8A" w:rsidRDefault="0005217A" w:rsidP="00592178">
      <w:pPr>
        <w:pStyle w:val="ListParagraph"/>
        <w:spacing w:before="120"/>
        <w:ind w:left="709"/>
      </w:pPr>
      <w:r w:rsidRPr="00BD6C8A">
        <w:rPr>
          <w:rFonts w:asciiTheme="minorHAnsi" w:hAnsiTheme="minorHAnsi"/>
          <w:i/>
        </w:rPr>
        <w:t>For more detail on PBAC’s view, see section 7 PBAC outcome.</w:t>
      </w:r>
    </w:p>
    <w:p w:rsidR="00D60C27" w:rsidRPr="00BD6C8A" w:rsidRDefault="00D60C27" w:rsidP="00592178">
      <w:pPr>
        <w:pStyle w:val="Heading1"/>
        <w:spacing w:before="120"/>
      </w:pPr>
      <w:bookmarkStart w:id="5" w:name="_Toc535854205"/>
      <w:r w:rsidRPr="00BD6C8A">
        <w:t>Comparator</w:t>
      </w:r>
      <w:bookmarkEnd w:id="5"/>
    </w:p>
    <w:p w:rsidR="00BC1C00" w:rsidRPr="00BD6C8A" w:rsidRDefault="00D60C27" w:rsidP="00592178">
      <w:pPr>
        <w:pStyle w:val="ListParagraph"/>
        <w:widowControl/>
        <w:numPr>
          <w:ilvl w:val="1"/>
          <w:numId w:val="1"/>
        </w:numPr>
        <w:spacing w:before="120"/>
      </w:pPr>
      <w:r w:rsidRPr="00BD6C8A">
        <w:rPr>
          <w:rFonts w:cs="Calibri"/>
          <w:snapToGrid/>
          <w:szCs w:val="24"/>
          <w:lang w:eastAsia="en-AU"/>
        </w:rPr>
        <w:t xml:space="preserve">The submission nominated </w:t>
      </w:r>
      <w:proofErr w:type="spellStart"/>
      <w:r w:rsidRPr="00BD6C8A">
        <w:rPr>
          <w:rFonts w:cs="Calibri"/>
          <w:snapToGrid/>
          <w:szCs w:val="24"/>
          <w:lang w:eastAsia="en-AU"/>
        </w:rPr>
        <w:t>exenatide</w:t>
      </w:r>
      <w:proofErr w:type="spellEnd"/>
      <w:r w:rsidRPr="00BD6C8A">
        <w:rPr>
          <w:rFonts w:cs="Calibri"/>
          <w:snapToGrid/>
          <w:szCs w:val="24"/>
          <w:lang w:eastAsia="en-AU"/>
        </w:rPr>
        <w:t xml:space="preserve"> DCP as the </w:t>
      </w:r>
      <w:r w:rsidR="00D96227" w:rsidRPr="00BD6C8A">
        <w:rPr>
          <w:rFonts w:cs="Calibri"/>
          <w:snapToGrid/>
          <w:szCs w:val="24"/>
          <w:lang w:eastAsia="en-AU"/>
        </w:rPr>
        <w:t xml:space="preserve">main </w:t>
      </w:r>
      <w:r w:rsidRPr="00BD6C8A">
        <w:rPr>
          <w:rFonts w:cs="Calibri"/>
          <w:snapToGrid/>
          <w:szCs w:val="24"/>
          <w:lang w:eastAsia="en-AU"/>
        </w:rPr>
        <w:t>comparator.</w:t>
      </w:r>
      <w:r w:rsidR="00605337" w:rsidRPr="00BD6C8A">
        <w:rPr>
          <w:rFonts w:cs="Calibri"/>
          <w:snapToGrid/>
          <w:szCs w:val="24"/>
          <w:lang w:eastAsia="en-AU"/>
        </w:rPr>
        <w:t xml:space="preserve"> </w:t>
      </w:r>
      <w:r w:rsidR="00F14623" w:rsidRPr="00BD6C8A">
        <w:rPr>
          <w:rFonts w:cs="Calibri"/>
          <w:snapToGrid/>
          <w:szCs w:val="24"/>
          <w:lang w:eastAsia="en-AU"/>
        </w:rPr>
        <w:t>T</w:t>
      </w:r>
      <w:r w:rsidRPr="00BD6C8A">
        <w:rPr>
          <w:rFonts w:cs="Calibri"/>
          <w:snapToGrid/>
          <w:szCs w:val="24"/>
          <w:lang w:eastAsia="en-AU"/>
        </w:rPr>
        <w:t>he submission note</w:t>
      </w:r>
      <w:r w:rsidR="00AC2B83" w:rsidRPr="00BD6C8A">
        <w:rPr>
          <w:rFonts w:cs="Calibri"/>
          <w:snapToGrid/>
          <w:szCs w:val="24"/>
          <w:lang w:eastAsia="en-AU"/>
        </w:rPr>
        <w:t>d</w:t>
      </w:r>
      <w:r w:rsidRPr="00BD6C8A">
        <w:rPr>
          <w:rFonts w:cs="Calibri"/>
          <w:snapToGrid/>
          <w:szCs w:val="24"/>
          <w:lang w:eastAsia="en-AU"/>
        </w:rPr>
        <w:t xml:space="preserve"> that </w:t>
      </w:r>
      <w:proofErr w:type="spellStart"/>
      <w:r w:rsidRPr="00BD6C8A">
        <w:rPr>
          <w:rFonts w:cs="Calibri"/>
          <w:snapToGrid/>
          <w:szCs w:val="24"/>
          <w:lang w:eastAsia="en-AU"/>
        </w:rPr>
        <w:t>dulaglutide</w:t>
      </w:r>
      <w:proofErr w:type="spellEnd"/>
      <w:r w:rsidRPr="00BD6C8A">
        <w:rPr>
          <w:rFonts w:cs="Calibri"/>
          <w:snapToGrid/>
          <w:szCs w:val="24"/>
          <w:lang w:eastAsia="en-AU"/>
        </w:rPr>
        <w:t xml:space="preserve">, despite not being a pharmacological analogue, could take market share from </w:t>
      </w:r>
      <w:proofErr w:type="spellStart"/>
      <w:r w:rsidRPr="00BD6C8A">
        <w:rPr>
          <w:rFonts w:cs="Calibri"/>
          <w:snapToGrid/>
          <w:szCs w:val="24"/>
          <w:lang w:eastAsia="en-AU"/>
        </w:rPr>
        <w:t>exenatide</w:t>
      </w:r>
      <w:proofErr w:type="spellEnd"/>
      <w:r w:rsidRPr="00BD6C8A">
        <w:rPr>
          <w:rFonts w:cs="Calibri"/>
          <w:snapToGrid/>
          <w:szCs w:val="24"/>
          <w:lang w:eastAsia="en-AU"/>
        </w:rPr>
        <w:t xml:space="preserve"> </w:t>
      </w:r>
      <w:proofErr w:type="spellStart"/>
      <w:r w:rsidRPr="00BD6C8A">
        <w:rPr>
          <w:rFonts w:cs="Calibri"/>
          <w:snapToGrid/>
          <w:szCs w:val="24"/>
          <w:lang w:eastAsia="en-AU"/>
        </w:rPr>
        <w:t>autoinjector</w:t>
      </w:r>
      <w:proofErr w:type="spellEnd"/>
      <w:r w:rsidRPr="00BD6C8A">
        <w:rPr>
          <w:rFonts w:cs="Calibri"/>
          <w:snapToGrid/>
          <w:szCs w:val="24"/>
          <w:lang w:eastAsia="en-AU"/>
        </w:rPr>
        <w:t>.</w:t>
      </w:r>
      <w:r w:rsidR="00605337" w:rsidRPr="00BD6C8A">
        <w:rPr>
          <w:rFonts w:cs="Calibri"/>
          <w:snapToGrid/>
          <w:szCs w:val="24"/>
          <w:lang w:eastAsia="en-AU"/>
        </w:rPr>
        <w:t xml:space="preserve"> </w:t>
      </w:r>
      <w:r w:rsidR="00BD6C8A" w:rsidRPr="00BD6C8A">
        <w:rPr>
          <w:rFonts w:cs="Calibri"/>
          <w:snapToGrid/>
          <w:szCs w:val="24"/>
          <w:lang w:eastAsia="en-AU"/>
        </w:rPr>
        <w:t>However,</w:t>
      </w:r>
      <w:r w:rsidR="00F14623" w:rsidRPr="00BD6C8A">
        <w:rPr>
          <w:rFonts w:cs="Calibri"/>
          <w:snapToGrid/>
          <w:szCs w:val="24"/>
          <w:lang w:eastAsia="en-AU"/>
        </w:rPr>
        <w:t xml:space="preserve"> </w:t>
      </w:r>
      <w:proofErr w:type="spellStart"/>
      <w:r w:rsidR="00F14623" w:rsidRPr="00BD6C8A">
        <w:rPr>
          <w:rFonts w:cs="Calibri"/>
          <w:snapToGrid/>
          <w:szCs w:val="24"/>
          <w:lang w:eastAsia="en-AU"/>
        </w:rPr>
        <w:t>dulaglutide</w:t>
      </w:r>
      <w:proofErr w:type="spellEnd"/>
      <w:r w:rsidR="00F14623" w:rsidRPr="00BD6C8A">
        <w:rPr>
          <w:rFonts w:cs="Calibri"/>
          <w:snapToGrid/>
          <w:szCs w:val="24"/>
          <w:lang w:eastAsia="en-AU"/>
        </w:rPr>
        <w:t xml:space="preserve"> was only recently PBS listed in June 2018 and therefore the impact on the market for </w:t>
      </w:r>
      <w:proofErr w:type="spellStart"/>
      <w:r w:rsidR="00F14623" w:rsidRPr="00BD6C8A">
        <w:rPr>
          <w:rFonts w:cs="Calibri"/>
          <w:snapToGrid/>
          <w:szCs w:val="24"/>
          <w:lang w:eastAsia="en-AU"/>
        </w:rPr>
        <w:t>exenatide</w:t>
      </w:r>
      <w:proofErr w:type="spellEnd"/>
      <w:r w:rsidR="00F14623" w:rsidRPr="00BD6C8A">
        <w:rPr>
          <w:rFonts w:cs="Calibri"/>
          <w:snapToGrid/>
          <w:szCs w:val="24"/>
          <w:lang w:eastAsia="en-AU"/>
        </w:rPr>
        <w:t xml:space="preserve"> is unclear.</w:t>
      </w:r>
      <w:r w:rsidR="00605337" w:rsidRPr="00BD6C8A">
        <w:rPr>
          <w:rFonts w:cs="Calibri"/>
          <w:snapToGrid/>
          <w:szCs w:val="24"/>
          <w:lang w:eastAsia="en-AU"/>
        </w:rPr>
        <w:t xml:space="preserve"> </w:t>
      </w:r>
      <w:r w:rsidR="00B6479E" w:rsidRPr="00BD6C8A">
        <w:rPr>
          <w:rFonts w:cs="Calibri"/>
          <w:snapToGrid/>
          <w:szCs w:val="24"/>
          <w:lang w:eastAsia="en-AU"/>
        </w:rPr>
        <w:t>The</w:t>
      </w:r>
      <w:r w:rsidR="00425273" w:rsidRPr="00BD6C8A">
        <w:rPr>
          <w:rFonts w:cs="Calibri"/>
          <w:snapToGrid/>
          <w:szCs w:val="24"/>
          <w:lang w:eastAsia="en-AU"/>
        </w:rPr>
        <w:t xml:space="preserve"> ESC agreed with the submission nominated comparator</w:t>
      </w:r>
      <w:r w:rsidR="00D96227" w:rsidRPr="00BD6C8A">
        <w:rPr>
          <w:rFonts w:cs="Calibri"/>
          <w:snapToGrid/>
          <w:szCs w:val="24"/>
          <w:lang w:eastAsia="en-AU"/>
        </w:rPr>
        <w:t>.</w:t>
      </w:r>
      <w:r w:rsidR="00605337" w:rsidRPr="00BD6C8A">
        <w:rPr>
          <w:rFonts w:cs="Calibri"/>
          <w:snapToGrid/>
          <w:szCs w:val="24"/>
          <w:lang w:eastAsia="en-AU"/>
        </w:rPr>
        <w:t xml:space="preserve"> </w:t>
      </w:r>
      <w:r w:rsidR="00BC1C00" w:rsidRPr="00BD6C8A">
        <w:t xml:space="preserve">The </w:t>
      </w:r>
      <w:r w:rsidR="00425273" w:rsidRPr="00BD6C8A">
        <w:t>ESC</w:t>
      </w:r>
      <w:r w:rsidR="00BC1C00" w:rsidRPr="00BD6C8A">
        <w:t xml:space="preserve"> noted the</w:t>
      </w:r>
      <w:r w:rsidR="00324CCD">
        <w:t xml:space="preserve"> Pre-Sub-Committee Response</w:t>
      </w:r>
      <w:r w:rsidR="00BC1C00" w:rsidRPr="00BD6C8A">
        <w:t xml:space="preserve"> </w:t>
      </w:r>
      <w:r w:rsidR="00324CCD">
        <w:t>(</w:t>
      </w:r>
      <w:r w:rsidR="00BC1C00" w:rsidRPr="00BD6C8A">
        <w:t>PSCR</w:t>
      </w:r>
      <w:r w:rsidR="00324CCD">
        <w:t>)</w:t>
      </w:r>
      <w:r w:rsidR="00BC1C00" w:rsidRPr="00BD6C8A">
        <w:t xml:space="preserve"> and the </w:t>
      </w:r>
      <w:r w:rsidR="00E40122">
        <w:rPr>
          <w:noProof/>
          <w:color w:val="000000"/>
          <w:highlight w:val="black"/>
        </w:rPr>
        <w:t>'''''''''''''''''''' ''''''''''''''''''' ''''' '''''''''''''''''''' '''''' '''''''''''''''''' ''''''''</w:t>
      </w:r>
      <w:r w:rsidR="00BC1C00" w:rsidRPr="00BD6C8A">
        <w:t xml:space="preserve">. </w:t>
      </w:r>
      <w:r w:rsidR="00B61040" w:rsidRPr="00BD6C8A">
        <w:t>The</w:t>
      </w:r>
      <w:r w:rsidR="00BC1C00" w:rsidRPr="00BD6C8A">
        <w:t xml:space="preserve"> </w:t>
      </w:r>
      <w:r w:rsidR="00425273" w:rsidRPr="00BD6C8A">
        <w:t>ESC</w:t>
      </w:r>
      <w:r w:rsidR="00BC1C00" w:rsidRPr="00BD6C8A">
        <w:t xml:space="preserve"> noted that weekly dosing is increasing in utilisation and considered that </w:t>
      </w:r>
      <w:proofErr w:type="spellStart"/>
      <w:r w:rsidR="00BC1C00" w:rsidRPr="00BD6C8A">
        <w:t>dulaglutide</w:t>
      </w:r>
      <w:proofErr w:type="spellEnd"/>
      <w:r w:rsidR="00BC1C00" w:rsidRPr="00BD6C8A">
        <w:t>, another once weekly injection, may be a relevant comparator</w:t>
      </w:r>
      <w:r w:rsidR="00BC1C00" w:rsidRPr="00BD6C8A">
        <w:rPr>
          <w:i/>
        </w:rPr>
        <w:t>.</w:t>
      </w:r>
    </w:p>
    <w:p w:rsidR="0005217A" w:rsidRPr="00BD6C8A" w:rsidRDefault="0005217A" w:rsidP="00592178">
      <w:pPr>
        <w:pStyle w:val="ListParagraph"/>
        <w:spacing w:before="120"/>
        <w:ind w:left="709"/>
        <w:rPr>
          <w:rFonts w:asciiTheme="minorHAnsi" w:hAnsiTheme="minorHAnsi"/>
          <w:i/>
        </w:rPr>
      </w:pPr>
      <w:r w:rsidRPr="00BD6C8A">
        <w:rPr>
          <w:rFonts w:asciiTheme="minorHAnsi" w:hAnsiTheme="minorHAnsi"/>
          <w:i/>
        </w:rPr>
        <w:t>For more detail on PBAC’s view, see section 7 PBAC outcome.</w:t>
      </w:r>
    </w:p>
    <w:p w:rsidR="00D60C27" w:rsidRPr="00BD6C8A" w:rsidRDefault="00D60C27" w:rsidP="00592178">
      <w:pPr>
        <w:pStyle w:val="Heading1"/>
        <w:spacing w:before="120"/>
      </w:pPr>
      <w:bookmarkStart w:id="6" w:name="_Toc535854206"/>
      <w:r w:rsidRPr="00BD6C8A">
        <w:t>Consideration of the evidence</w:t>
      </w:r>
      <w:bookmarkEnd w:id="6"/>
    </w:p>
    <w:p w:rsidR="0005217A" w:rsidRPr="00BD6C8A" w:rsidRDefault="0005217A" w:rsidP="00592178">
      <w:pPr>
        <w:pStyle w:val="Heading2"/>
        <w:spacing w:before="120"/>
      </w:pPr>
      <w:r w:rsidRPr="00BD6C8A">
        <w:t>Sponsor hearing</w:t>
      </w:r>
    </w:p>
    <w:p w:rsidR="0005217A" w:rsidRPr="00BD6C8A" w:rsidRDefault="0005217A" w:rsidP="00592178">
      <w:pPr>
        <w:numPr>
          <w:ilvl w:val="1"/>
          <w:numId w:val="1"/>
        </w:numPr>
        <w:spacing w:before="120" w:after="120"/>
        <w:rPr>
          <w:rFonts w:asciiTheme="minorHAnsi" w:hAnsiTheme="minorHAnsi"/>
          <w:bCs/>
        </w:rPr>
      </w:pPr>
      <w:r w:rsidRPr="00BD6C8A">
        <w:rPr>
          <w:rFonts w:asciiTheme="minorHAnsi" w:hAnsiTheme="minorHAnsi"/>
          <w:bCs/>
        </w:rPr>
        <w:t>The sponsor requested a hearing for this i</w:t>
      </w:r>
      <w:r w:rsidR="00BB0FAB" w:rsidRPr="00BD6C8A">
        <w:rPr>
          <w:rFonts w:asciiTheme="minorHAnsi" w:hAnsiTheme="minorHAnsi"/>
          <w:bCs/>
        </w:rPr>
        <w:t>tem.</w:t>
      </w:r>
      <w:r w:rsidR="00605337" w:rsidRPr="00BD6C8A">
        <w:rPr>
          <w:rFonts w:asciiTheme="minorHAnsi" w:hAnsiTheme="minorHAnsi"/>
          <w:bCs/>
        </w:rPr>
        <w:t xml:space="preserve"> </w:t>
      </w:r>
      <w:r w:rsidR="00BB0FAB" w:rsidRPr="00BD6C8A">
        <w:rPr>
          <w:rFonts w:asciiTheme="minorHAnsi" w:hAnsiTheme="minorHAnsi"/>
          <w:bCs/>
        </w:rPr>
        <w:t xml:space="preserve">The clinician </w:t>
      </w:r>
      <w:r w:rsidR="00856166" w:rsidRPr="00BD6C8A">
        <w:rPr>
          <w:rFonts w:asciiTheme="minorHAnsi" w:hAnsiTheme="minorHAnsi"/>
          <w:bCs/>
        </w:rPr>
        <w:t>stated</w:t>
      </w:r>
      <w:r w:rsidR="00BB0FAB" w:rsidRPr="00BD6C8A">
        <w:rPr>
          <w:rFonts w:asciiTheme="minorHAnsi" w:hAnsiTheme="minorHAnsi"/>
          <w:bCs/>
        </w:rPr>
        <w:t xml:space="preserve"> that the new presentation</w:t>
      </w:r>
      <w:r w:rsidR="00856166" w:rsidRPr="00BD6C8A">
        <w:rPr>
          <w:rFonts w:asciiTheme="minorHAnsi" w:hAnsiTheme="minorHAnsi"/>
          <w:bCs/>
        </w:rPr>
        <w:t xml:space="preserve"> was</w:t>
      </w:r>
      <w:r w:rsidR="00DD0A8D" w:rsidRPr="00BD6C8A">
        <w:rPr>
          <w:rFonts w:asciiTheme="minorHAnsi" w:hAnsiTheme="minorHAnsi"/>
          <w:bCs/>
        </w:rPr>
        <w:t xml:space="preserve"> eas</w:t>
      </w:r>
      <w:r w:rsidR="007270AC" w:rsidRPr="00BD6C8A">
        <w:rPr>
          <w:rFonts w:asciiTheme="minorHAnsi" w:hAnsiTheme="minorHAnsi"/>
          <w:bCs/>
        </w:rPr>
        <w:t>ier</w:t>
      </w:r>
      <w:r w:rsidR="00DD0A8D" w:rsidRPr="00BD6C8A">
        <w:rPr>
          <w:rFonts w:asciiTheme="minorHAnsi" w:hAnsiTheme="minorHAnsi"/>
          <w:bCs/>
        </w:rPr>
        <w:t xml:space="preserve"> to use resulting in</w:t>
      </w:r>
      <w:r w:rsidR="00BB0FAB" w:rsidRPr="00BD6C8A">
        <w:rPr>
          <w:rFonts w:asciiTheme="minorHAnsi" w:hAnsiTheme="minorHAnsi"/>
          <w:bCs/>
        </w:rPr>
        <w:t xml:space="preserve"> improved compliance due to ease of administration.</w:t>
      </w:r>
      <w:r w:rsidR="00856166" w:rsidRPr="00BD6C8A">
        <w:rPr>
          <w:rFonts w:asciiTheme="minorHAnsi" w:hAnsiTheme="minorHAnsi"/>
          <w:bCs/>
        </w:rPr>
        <w:t xml:space="preserve"> </w:t>
      </w:r>
      <w:r w:rsidR="00317C9A" w:rsidRPr="00BD6C8A">
        <w:rPr>
          <w:rFonts w:asciiTheme="minorHAnsi" w:hAnsiTheme="minorHAnsi"/>
          <w:bCs/>
        </w:rPr>
        <w:t xml:space="preserve">The clinician discussed the clinical data submitted in the submission claiming that there was no significant difference in efficacy </w:t>
      </w:r>
      <w:r w:rsidR="00317C9A" w:rsidRPr="00BD6C8A">
        <w:rPr>
          <w:rFonts w:asciiTheme="minorHAnsi" w:hAnsiTheme="minorHAnsi"/>
          <w:bCs/>
        </w:rPr>
        <w:lastRenderedPageBreak/>
        <w:t>between the two formulations</w:t>
      </w:r>
      <w:r w:rsidR="007270AC" w:rsidRPr="00BD6C8A">
        <w:rPr>
          <w:rFonts w:asciiTheme="minorHAnsi" w:hAnsiTheme="minorHAnsi"/>
          <w:bCs/>
        </w:rPr>
        <w:t xml:space="preserve"> and presenting further </w:t>
      </w:r>
      <w:proofErr w:type="spellStart"/>
      <w:r w:rsidR="007270AC" w:rsidRPr="00BD6C8A">
        <w:rPr>
          <w:rFonts w:asciiTheme="minorHAnsi" w:hAnsiTheme="minorHAnsi"/>
          <w:bCs/>
        </w:rPr>
        <w:t>pharmacodynamic</w:t>
      </w:r>
      <w:proofErr w:type="spellEnd"/>
      <w:r w:rsidR="007270AC" w:rsidRPr="00BD6C8A">
        <w:rPr>
          <w:rFonts w:asciiTheme="minorHAnsi" w:hAnsiTheme="minorHAnsi"/>
          <w:bCs/>
        </w:rPr>
        <w:t xml:space="preserve"> and pharmacokinetic modelling to demonstrate similarity of </w:t>
      </w:r>
      <w:proofErr w:type="spellStart"/>
      <w:r w:rsidR="007270AC" w:rsidRPr="00BD6C8A">
        <w:rPr>
          <w:rFonts w:asciiTheme="minorHAnsi" w:hAnsiTheme="minorHAnsi"/>
          <w:bCs/>
        </w:rPr>
        <w:t>exenatide</w:t>
      </w:r>
      <w:proofErr w:type="spellEnd"/>
      <w:r w:rsidR="007270AC" w:rsidRPr="00BD6C8A">
        <w:rPr>
          <w:rFonts w:asciiTheme="minorHAnsi" w:hAnsiTheme="minorHAnsi"/>
          <w:bCs/>
        </w:rPr>
        <w:t xml:space="preserve"> blood plasma concentration across the forms, stating </w:t>
      </w:r>
      <w:r w:rsidR="001A58AD" w:rsidRPr="00BD6C8A">
        <w:rPr>
          <w:rFonts w:asciiTheme="minorHAnsi" w:hAnsiTheme="minorHAnsi"/>
          <w:bCs/>
        </w:rPr>
        <w:t xml:space="preserve">blood plasma </w:t>
      </w:r>
      <w:r w:rsidR="007270AC" w:rsidRPr="00BD6C8A">
        <w:rPr>
          <w:rFonts w:asciiTheme="minorHAnsi" w:hAnsiTheme="minorHAnsi"/>
          <w:bCs/>
        </w:rPr>
        <w:t xml:space="preserve">concentration varied </w:t>
      </w:r>
      <w:r w:rsidR="001A58AD" w:rsidRPr="00BD6C8A">
        <w:rPr>
          <w:rFonts w:asciiTheme="minorHAnsi" w:hAnsiTheme="minorHAnsi"/>
          <w:bCs/>
        </w:rPr>
        <w:t>in limited amounts that were not clinically significant, across</w:t>
      </w:r>
      <w:r w:rsidR="007270AC" w:rsidRPr="00BD6C8A">
        <w:rPr>
          <w:rFonts w:asciiTheme="minorHAnsi" w:hAnsiTheme="minorHAnsi"/>
          <w:bCs/>
        </w:rPr>
        <w:t xml:space="preserve"> the</w:t>
      </w:r>
      <w:r w:rsidR="002D1FE5" w:rsidRPr="00BD6C8A">
        <w:rPr>
          <w:rFonts w:asciiTheme="minorHAnsi" w:hAnsiTheme="minorHAnsi"/>
          <w:bCs/>
        </w:rPr>
        <w:t xml:space="preserve"> clinical </w:t>
      </w:r>
      <w:r w:rsidR="007270AC" w:rsidRPr="00BD6C8A">
        <w:rPr>
          <w:rFonts w:asciiTheme="minorHAnsi" w:hAnsiTheme="minorHAnsi"/>
          <w:bCs/>
        </w:rPr>
        <w:t>trials</w:t>
      </w:r>
      <w:r w:rsidR="00317C9A" w:rsidRPr="00BD6C8A">
        <w:rPr>
          <w:rFonts w:asciiTheme="minorHAnsi" w:hAnsiTheme="minorHAnsi"/>
          <w:bCs/>
        </w:rPr>
        <w:t xml:space="preserve">. </w:t>
      </w:r>
      <w:r w:rsidRPr="00BD6C8A">
        <w:rPr>
          <w:rFonts w:asciiTheme="minorHAnsi" w:hAnsiTheme="minorHAnsi"/>
          <w:bCs/>
        </w:rPr>
        <w:t>The PBAC considered that the hearing did not add substantively to the evidence presented in the submission</w:t>
      </w:r>
      <w:r w:rsidR="00996BB7" w:rsidRPr="00BD6C8A">
        <w:rPr>
          <w:rFonts w:asciiTheme="minorHAnsi" w:hAnsiTheme="minorHAnsi"/>
          <w:bCs/>
        </w:rPr>
        <w:t xml:space="preserve">. </w:t>
      </w:r>
    </w:p>
    <w:p w:rsidR="002D1FE5" w:rsidRPr="00BD6C8A" w:rsidRDefault="0005217A" w:rsidP="00592178">
      <w:pPr>
        <w:pStyle w:val="Heading2"/>
        <w:spacing w:before="120"/>
      </w:pPr>
      <w:r w:rsidRPr="00BD6C8A">
        <w:t>Consumer comments</w:t>
      </w:r>
    </w:p>
    <w:p w:rsidR="00154FDA" w:rsidRPr="00BD6C8A" w:rsidRDefault="00154FDA" w:rsidP="00592178">
      <w:pPr>
        <w:numPr>
          <w:ilvl w:val="1"/>
          <w:numId w:val="1"/>
        </w:numPr>
        <w:spacing w:before="120" w:after="120"/>
        <w:rPr>
          <w:rFonts w:asciiTheme="minorHAnsi" w:hAnsiTheme="minorHAnsi"/>
          <w:bCs/>
        </w:rPr>
      </w:pPr>
      <w:r w:rsidRPr="00BD6C8A">
        <w:rPr>
          <w:rFonts w:asciiTheme="minorHAnsi" w:hAnsiTheme="minorHAnsi"/>
          <w:bCs/>
        </w:rPr>
        <w:t>No consumer comments were received for this submission.</w:t>
      </w:r>
    </w:p>
    <w:p w:rsidR="00D60C27" w:rsidRPr="00BD6C8A" w:rsidRDefault="00D60C27" w:rsidP="00592178">
      <w:pPr>
        <w:pStyle w:val="Heading2"/>
        <w:widowControl/>
        <w:spacing w:before="120"/>
      </w:pPr>
      <w:bookmarkStart w:id="7" w:name="_Toc535854207"/>
      <w:r w:rsidRPr="00BD6C8A">
        <w:t>Clinical trials</w:t>
      </w:r>
      <w:bookmarkEnd w:id="7"/>
    </w:p>
    <w:p w:rsidR="00D67157" w:rsidRPr="00BD6C8A" w:rsidRDefault="00D60C27" w:rsidP="00592178">
      <w:pPr>
        <w:pStyle w:val="ListParagraph"/>
        <w:widowControl/>
        <w:numPr>
          <w:ilvl w:val="1"/>
          <w:numId w:val="1"/>
        </w:numPr>
        <w:spacing w:before="120"/>
      </w:pPr>
      <w:r w:rsidRPr="00BD6C8A">
        <w:t>The submission was based on</w:t>
      </w:r>
      <w:r w:rsidR="00D67157" w:rsidRPr="00BD6C8A">
        <w:t>:</w:t>
      </w:r>
    </w:p>
    <w:p w:rsidR="00D67157" w:rsidRPr="00BD6C8A" w:rsidRDefault="00D60C27" w:rsidP="00592178">
      <w:pPr>
        <w:pStyle w:val="ListParagraph"/>
        <w:widowControl/>
        <w:numPr>
          <w:ilvl w:val="0"/>
          <w:numId w:val="6"/>
        </w:numPr>
        <w:spacing w:before="120"/>
        <w:ind w:left="993" w:hanging="284"/>
      </w:pPr>
      <w:r w:rsidRPr="00BD6C8A">
        <w:t xml:space="preserve">one head-to-head randomised trial comparing </w:t>
      </w:r>
      <w:proofErr w:type="spellStart"/>
      <w:r w:rsidRPr="00BD6C8A">
        <w:t>exenatide</w:t>
      </w:r>
      <w:proofErr w:type="spellEnd"/>
      <w:r w:rsidRPr="00BD6C8A">
        <w:t xml:space="preserve"> once weekly </w:t>
      </w:r>
      <w:proofErr w:type="spellStart"/>
      <w:r w:rsidRPr="00BD6C8A">
        <w:t>autoinjector</w:t>
      </w:r>
      <w:proofErr w:type="spellEnd"/>
      <w:r w:rsidRPr="00BD6C8A">
        <w:t xml:space="preserve"> to </w:t>
      </w:r>
      <w:proofErr w:type="spellStart"/>
      <w:r w:rsidRPr="00BD6C8A">
        <w:t>exenatide</w:t>
      </w:r>
      <w:proofErr w:type="spellEnd"/>
      <w:r w:rsidRPr="00BD6C8A">
        <w:t xml:space="preserve"> twice daily (NEO-1)</w:t>
      </w:r>
      <w:r w:rsidR="00D67157" w:rsidRPr="00BD6C8A">
        <w:t>;</w:t>
      </w:r>
      <w:r w:rsidRPr="00BD6C8A">
        <w:t xml:space="preserve"> and </w:t>
      </w:r>
    </w:p>
    <w:p w:rsidR="00D67157" w:rsidRPr="00BD6C8A" w:rsidRDefault="00D60C27" w:rsidP="00592178">
      <w:pPr>
        <w:pStyle w:val="ListParagraph"/>
        <w:widowControl/>
        <w:numPr>
          <w:ilvl w:val="0"/>
          <w:numId w:val="6"/>
        </w:numPr>
        <w:spacing w:before="120"/>
        <w:ind w:left="993" w:hanging="284"/>
      </w:pPr>
      <w:proofErr w:type="gramStart"/>
      <w:r w:rsidRPr="00BD6C8A">
        <w:t>two</w:t>
      </w:r>
      <w:proofErr w:type="gramEnd"/>
      <w:r w:rsidRPr="00BD6C8A">
        <w:t xml:space="preserve"> head-to-head randomised trials comparing </w:t>
      </w:r>
      <w:proofErr w:type="spellStart"/>
      <w:r w:rsidRPr="00BD6C8A">
        <w:t>exenatide</w:t>
      </w:r>
      <w:proofErr w:type="spellEnd"/>
      <w:r w:rsidRPr="00BD6C8A">
        <w:t xml:space="preserve"> once weekly DCP to </w:t>
      </w:r>
      <w:proofErr w:type="spellStart"/>
      <w:r w:rsidRPr="00BD6C8A">
        <w:t>exenatide</w:t>
      </w:r>
      <w:proofErr w:type="spellEnd"/>
      <w:r w:rsidRPr="00BD6C8A">
        <w:t xml:space="preserve"> twice daily (DURATION-1 and DURATION-5).</w:t>
      </w:r>
      <w:r w:rsidR="00605337" w:rsidRPr="00BD6C8A">
        <w:t xml:space="preserve"> </w:t>
      </w:r>
    </w:p>
    <w:p w:rsidR="00D60C27" w:rsidRPr="00BD6C8A" w:rsidRDefault="00D60C27" w:rsidP="00592178">
      <w:pPr>
        <w:pStyle w:val="ListParagraph"/>
        <w:widowControl/>
        <w:numPr>
          <w:ilvl w:val="1"/>
          <w:numId w:val="1"/>
        </w:numPr>
        <w:spacing w:before="120"/>
      </w:pPr>
      <w:r w:rsidRPr="00BD6C8A">
        <w:t>A claim of non</w:t>
      </w:r>
      <w:r w:rsidR="002E0ACE" w:rsidRPr="00BD6C8A">
        <w:t>-</w:t>
      </w:r>
      <w:r w:rsidRPr="00BD6C8A">
        <w:t xml:space="preserve">inferiority was made on the outcome of change in HbA1c from baseline at week 24/26/30 derived from an indirect </w:t>
      </w:r>
      <w:r w:rsidR="00A814D3" w:rsidRPr="00BD6C8A">
        <w:t>treatment</w:t>
      </w:r>
      <w:r w:rsidR="00073A57" w:rsidRPr="00BD6C8A">
        <w:t xml:space="preserve"> </w:t>
      </w:r>
      <w:r w:rsidRPr="00BD6C8A">
        <w:t xml:space="preserve">comparison </w:t>
      </w:r>
      <w:r w:rsidR="00073A57" w:rsidRPr="00BD6C8A">
        <w:t xml:space="preserve">(ITC) </w:t>
      </w:r>
      <w:r w:rsidRPr="00BD6C8A">
        <w:t xml:space="preserve">using Bucher’s method between </w:t>
      </w:r>
      <w:proofErr w:type="spellStart"/>
      <w:r w:rsidRPr="00BD6C8A">
        <w:t>exenatide</w:t>
      </w:r>
      <w:proofErr w:type="spellEnd"/>
      <w:r w:rsidRPr="00BD6C8A">
        <w:t xml:space="preserve"> </w:t>
      </w:r>
      <w:proofErr w:type="spellStart"/>
      <w:r w:rsidRPr="00BD6C8A">
        <w:t>autoinjector</w:t>
      </w:r>
      <w:proofErr w:type="spellEnd"/>
      <w:r w:rsidRPr="00BD6C8A">
        <w:t xml:space="preserve"> with </w:t>
      </w:r>
      <w:proofErr w:type="spellStart"/>
      <w:r w:rsidRPr="00BD6C8A">
        <w:t>exenatide</w:t>
      </w:r>
      <w:proofErr w:type="spellEnd"/>
      <w:r w:rsidRPr="00BD6C8A">
        <w:t xml:space="preserve"> DCP using </w:t>
      </w:r>
      <w:proofErr w:type="spellStart"/>
      <w:r w:rsidRPr="00BD6C8A">
        <w:t>exenatide</w:t>
      </w:r>
      <w:proofErr w:type="spellEnd"/>
      <w:r w:rsidRPr="00BD6C8A">
        <w:t xml:space="preserve"> twice daily as the common comparator.</w:t>
      </w:r>
    </w:p>
    <w:p w:rsidR="00D60C27" w:rsidRPr="00BD6C8A" w:rsidRDefault="00D60C27" w:rsidP="00592178">
      <w:pPr>
        <w:pStyle w:val="ListParagraph"/>
        <w:widowControl/>
        <w:numPr>
          <w:ilvl w:val="1"/>
          <w:numId w:val="1"/>
        </w:numPr>
        <w:spacing w:before="120"/>
      </w:pPr>
      <w:r w:rsidRPr="00BD6C8A">
        <w:rPr>
          <w:rFonts w:cs="Calibri"/>
          <w:snapToGrid/>
          <w:szCs w:val="24"/>
          <w:lang w:eastAsia="en-AU"/>
        </w:rPr>
        <w:t xml:space="preserve">Details of the trials presented in the submission are provided in </w:t>
      </w:r>
      <w:r w:rsidR="00D67157" w:rsidRPr="00BD6C8A">
        <w:rPr>
          <w:rFonts w:asciiTheme="minorHAnsi" w:hAnsiTheme="minorHAnsi" w:cstheme="minorHAnsi"/>
          <w:szCs w:val="24"/>
        </w:rPr>
        <w:t>Table 2</w:t>
      </w:r>
      <w:r w:rsidRPr="00BD6C8A">
        <w:rPr>
          <w:rFonts w:asciiTheme="minorHAnsi" w:hAnsiTheme="minorHAnsi" w:cstheme="minorHAnsi"/>
          <w:snapToGrid/>
          <w:szCs w:val="24"/>
          <w:lang w:eastAsia="en-AU"/>
        </w:rPr>
        <w:t>.</w:t>
      </w:r>
      <w:r w:rsidR="00605337" w:rsidRPr="00BD6C8A">
        <w:rPr>
          <w:rFonts w:cs="Calibri"/>
          <w:snapToGrid/>
          <w:szCs w:val="24"/>
          <w:lang w:eastAsia="en-AU"/>
        </w:rPr>
        <w:t xml:space="preserve"> </w:t>
      </w:r>
    </w:p>
    <w:p w:rsidR="00D60C27" w:rsidRPr="00BD6C8A" w:rsidRDefault="00D67157" w:rsidP="00CF27A3">
      <w:pPr>
        <w:pStyle w:val="Caption"/>
        <w:keepNext/>
        <w:keepLines/>
        <w:widowControl/>
        <w:spacing w:after="0"/>
        <w:rPr>
          <w:rStyle w:val="CommentReference"/>
          <w:b/>
          <w:color w:val="auto"/>
          <w:szCs w:val="20"/>
        </w:rPr>
      </w:pPr>
      <w:bookmarkStart w:id="8" w:name="_Ref532160000"/>
      <w:r w:rsidRPr="00BD6C8A">
        <w:rPr>
          <w:rFonts w:ascii="Arial Narrow" w:hAnsi="Arial Narrow"/>
          <w:color w:val="auto"/>
          <w:sz w:val="20"/>
          <w:szCs w:val="20"/>
        </w:rPr>
        <w:t xml:space="preserve">Table </w:t>
      </w:r>
      <w:r w:rsidR="008B4B04" w:rsidRPr="00BD6C8A">
        <w:rPr>
          <w:rFonts w:ascii="Arial Narrow" w:hAnsi="Arial Narrow"/>
          <w:color w:val="auto"/>
          <w:sz w:val="20"/>
          <w:szCs w:val="20"/>
        </w:rPr>
        <w:t>2</w:t>
      </w:r>
      <w:bookmarkEnd w:id="8"/>
      <w:r w:rsidRPr="00BD6C8A">
        <w:rPr>
          <w:rFonts w:ascii="Arial Narrow" w:hAnsi="Arial Narrow"/>
          <w:color w:val="auto"/>
          <w:sz w:val="20"/>
          <w:szCs w:val="20"/>
        </w:rPr>
        <w:t>:</w:t>
      </w:r>
      <w:r w:rsidR="00605337" w:rsidRPr="00BD6C8A">
        <w:rPr>
          <w:rStyle w:val="CommentReference"/>
          <w:color w:val="auto"/>
          <w:szCs w:val="20"/>
        </w:rPr>
        <w:t xml:space="preserve"> </w:t>
      </w:r>
      <w:r w:rsidR="00D60C27" w:rsidRPr="00BD6C8A">
        <w:rPr>
          <w:rStyle w:val="CommentReference"/>
          <w:b/>
          <w:color w:val="auto"/>
          <w:szCs w:val="20"/>
        </w:rPr>
        <w:t>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Caption w:val="Table 2: Trials and associated reports presented in the submission"/>
      </w:tblPr>
      <w:tblGrid>
        <w:gridCol w:w="1435"/>
        <w:gridCol w:w="5459"/>
        <w:gridCol w:w="2123"/>
      </w:tblGrid>
      <w:tr w:rsidR="00D60C27" w:rsidRPr="00BD6C8A" w:rsidTr="00E87DCC">
        <w:trPr>
          <w:tblHeader/>
        </w:trPr>
        <w:tc>
          <w:tcPr>
            <w:tcW w:w="796" w:type="pct"/>
            <w:vAlign w:val="center"/>
          </w:tcPr>
          <w:p w:rsidR="00D60C27" w:rsidRPr="00BD6C8A" w:rsidRDefault="00D60C27" w:rsidP="00CF27A3">
            <w:pPr>
              <w:pStyle w:val="Tabletext"/>
              <w:keepNext/>
              <w:keepLines/>
              <w:rPr>
                <w:b/>
              </w:rPr>
            </w:pPr>
            <w:r w:rsidRPr="00BD6C8A">
              <w:rPr>
                <w:b/>
              </w:rPr>
              <w:t>Trial ID</w:t>
            </w:r>
          </w:p>
        </w:tc>
        <w:tc>
          <w:tcPr>
            <w:tcW w:w="3027" w:type="pct"/>
            <w:vAlign w:val="center"/>
          </w:tcPr>
          <w:p w:rsidR="00D60C27" w:rsidRPr="00BD6C8A" w:rsidRDefault="00D60C27" w:rsidP="00CF27A3">
            <w:pPr>
              <w:pStyle w:val="Tabletext"/>
              <w:keepNext/>
              <w:keepLines/>
              <w:jc w:val="center"/>
              <w:rPr>
                <w:b/>
              </w:rPr>
            </w:pPr>
            <w:r w:rsidRPr="00BD6C8A">
              <w:rPr>
                <w:b/>
              </w:rPr>
              <w:t>Protocol title/ Publication title</w:t>
            </w:r>
          </w:p>
        </w:tc>
        <w:tc>
          <w:tcPr>
            <w:tcW w:w="1177" w:type="pct"/>
            <w:vAlign w:val="center"/>
          </w:tcPr>
          <w:p w:rsidR="00D60C27" w:rsidRPr="00BD6C8A" w:rsidRDefault="00D60C27" w:rsidP="00CF27A3">
            <w:pPr>
              <w:pStyle w:val="Tabletext"/>
              <w:keepNext/>
              <w:keepLines/>
              <w:jc w:val="center"/>
              <w:rPr>
                <w:b/>
              </w:rPr>
            </w:pPr>
            <w:r w:rsidRPr="00BD6C8A">
              <w:rPr>
                <w:b/>
              </w:rPr>
              <w:t>Publication citation</w:t>
            </w:r>
          </w:p>
        </w:tc>
      </w:tr>
      <w:tr w:rsidR="00D60C27" w:rsidRPr="00BD6C8A" w:rsidTr="00E87DCC">
        <w:tc>
          <w:tcPr>
            <w:tcW w:w="5000" w:type="pct"/>
            <w:gridSpan w:val="3"/>
            <w:vAlign w:val="center"/>
          </w:tcPr>
          <w:p w:rsidR="00D60C27" w:rsidRPr="00BD6C8A" w:rsidRDefault="00D60C27" w:rsidP="00CF27A3">
            <w:pPr>
              <w:pStyle w:val="Tabletext"/>
              <w:keepNext/>
              <w:keepLines/>
              <w:rPr>
                <w:b/>
              </w:rPr>
            </w:pPr>
            <w:proofErr w:type="spellStart"/>
            <w:r w:rsidRPr="00BD6C8A">
              <w:rPr>
                <w:b/>
              </w:rPr>
              <w:t>Exenatide</w:t>
            </w:r>
            <w:proofErr w:type="spellEnd"/>
            <w:r w:rsidRPr="00BD6C8A">
              <w:rPr>
                <w:b/>
              </w:rPr>
              <w:t xml:space="preserve"> once weekly </w:t>
            </w:r>
            <w:proofErr w:type="spellStart"/>
            <w:r w:rsidRPr="00BD6C8A">
              <w:rPr>
                <w:b/>
              </w:rPr>
              <w:t>autoinjector</w:t>
            </w:r>
            <w:proofErr w:type="spellEnd"/>
            <w:r w:rsidRPr="00BD6C8A">
              <w:rPr>
                <w:b/>
              </w:rPr>
              <w:t xml:space="preserve"> versus </w:t>
            </w:r>
            <w:proofErr w:type="spellStart"/>
            <w:r w:rsidRPr="00BD6C8A">
              <w:rPr>
                <w:b/>
              </w:rPr>
              <w:t>exenatide</w:t>
            </w:r>
            <w:proofErr w:type="spellEnd"/>
            <w:r w:rsidRPr="00BD6C8A">
              <w:rPr>
                <w:b/>
              </w:rPr>
              <w:t xml:space="preserve"> twice daily - included</w:t>
            </w:r>
          </w:p>
        </w:tc>
      </w:tr>
      <w:tr w:rsidR="00D60C27" w:rsidRPr="00BD6C8A" w:rsidTr="00D67157">
        <w:tc>
          <w:tcPr>
            <w:tcW w:w="796" w:type="pct"/>
            <w:vMerge w:val="restart"/>
            <w:vAlign w:val="center"/>
          </w:tcPr>
          <w:p w:rsidR="00D60C27" w:rsidRPr="00BD6C8A" w:rsidRDefault="00D60C27" w:rsidP="00CF27A3">
            <w:pPr>
              <w:pStyle w:val="Tabletext"/>
              <w:keepNext/>
              <w:keepLines/>
              <w:rPr>
                <w:rFonts w:ascii="Times" w:hAnsi="Times"/>
              </w:rPr>
            </w:pPr>
            <w:r w:rsidRPr="00BD6C8A">
              <w:rPr>
                <w:szCs w:val="18"/>
              </w:rPr>
              <w:t>NEO-1</w:t>
            </w:r>
          </w:p>
        </w:tc>
        <w:tc>
          <w:tcPr>
            <w:tcW w:w="3027" w:type="pct"/>
            <w:tcBorders>
              <w:bottom w:val="nil"/>
              <w:right w:val="single" w:sz="4" w:space="0" w:color="auto"/>
            </w:tcBorders>
          </w:tcPr>
          <w:p w:rsidR="00D60C27" w:rsidRPr="00BD6C8A" w:rsidRDefault="00D60C27" w:rsidP="00CF27A3">
            <w:pPr>
              <w:pStyle w:val="Tabletext"/>
              <w:keepNext/>
              <w:keepLines/>
              <w:rPr>
                <w:szCs w:val="18"/>
              </w:rPr>
            </w:pPr>
            <w:r w:rsidRPr="00BD6C8A">
              <w:t xml:space="preserve">A randomised, open label, long term, parallel group, comparator controlled, multicentre study to compare the </w:t>
            </w:r>
            <w:proofErr w:type="spellStart"/>
            <w:r w:rsidRPr="00BD6C8A">
              <w:t>glycemic</w:t>
            </w:r>
            <w:proofErr w:type="spellEnd"/>
            <w:r w:rsidRPr="00BD6C8A">
              <w:t xml:space="preserve"> effects, safety, and tolerability of </w:t>
            </w:r>
            <w:proofErr w:type="spellStart"/>
            <w:r w:rsidRPr="00BD6C8A">
              <w:t>exenatide</w:t>
            </w:r>
            <w:proofErr w:type="spellEnd"/>
            <w:r w:rsidRPr="00BD6C8A">
              <w:t xml:space="preserve"> once weekly suspension to </w:t>
            </w:r>
            <w:proofErr w:type="spellStart"/>
            <w:r w:rsidRPr="00BD6C8A">
              <w:t>exenatide</w:t>
            </w:r>
            <w:proofErr w:type="spellEnd"/>
            <w:r w:rsidRPr="00BD6C8A">
              <w:t xml:space="preserve"> twice daily in subjects with type 2 diabetes mellitus.</w:t>
            </w:r>
          </w:p>
        </w:tc>
        <w:tc>
          <w:tcPr>
            <w:tcW w:w="1177" w:type="pct"/>
            <w:tcBorders>
              <w:left w:val="single" w:sz="4" w:space="0" w:color="auto"/>
              <w:bottom w:val="nil"/>
            </w:tcBorders>
            <w:vAlign w:val="center"/>
          </w:tcPr>
          <w:p w:rsidR="00D60C27" w:rsidRPr="00BD6C8A" w:rsidRDefault="00D60C27" w:rsidP="00CF27A3">
            <w:pPr>
              <w:pStyle w:val="Tabletext"/>
              <w:keepNext/>
              <w:keepLines/>
            </w:pPr>
            <w:r w:rsidRPr="00BD6C8A">
              <w:t>Final Clinical Study Report for Study MB001 003/BCB118. Report date: 26 March 2015.</w:t>
            </w:r>
          </w:p>
        </w:tc>
      </w:tr>
      <w:tr w:rsidR="00D60C27" w:rsidRPr="00BD6C8A" w:rsidTr="00D67157">
        <w:tc>
          <w:tcPr>
            <w:tcW w:w="796" w:type="pct"/>
            <w:vMerge/>
            <w:vAlign w:val="center"/>
          </w:tcPr>
          <w:p w:rsidR="00D60C27" w:rsidRPr="00BD6C8A" w:rsidRDefault="00D60C27" w:rsidP="00CF27A3">
            <w:pPr>
              <w:pStyle w:val="Tabletext"/>
              <w:keepNext/>
              <w:keepLines/>
              <w:rPr>
                <w:szCs w:val="18"/>
              </w:rPr>
            </w:pPr>
          </w:p>
        </w:tc>
        <w:tc>
          <w:tcPr>
            <w:tcW w:w="3027" w:type="pct"/>
            <w:tcBorders>
              <w:top w:val="nil"/>
              <w:bottom w:val="nil"/>
              <w:right w:val="single" w:sz="4" w:space="0" w:color="auto"/>
            </w:tcBorders>
          </w:tcPr>
          <w:p w:rsidR="00D60C27" w:rsidRPr="00BD6C8A" w:rsidRDefault="00D60C27" w:rsidP="00CF27A3">
            <w:pPr>
              <w:pStyle w:val="Tabletext"/>
              <w:keepNext/>
              <w:keepLines/>
            </w:pPr>
            <w:proofErr w:type="spellStart"/>
            <w:r w:rsidRPr="00BD6C8A">
              <w:rPr>
                <w:szCs w:val="18"/>
              </w:rPr>
              <w:t>Wysham</w:t>
            </w:r>
            <w:proofErr w:type="spellEnd"/>
            <w:r w:rsidRPr="00BD6C8A">
              <w:rPr>
                <w:szCs w:val="18"/>
              </w:rPr>
              <w:t xml:space="preserve"> C et al: Efficacy and tolerability of the new </w:t>
            </w:r>
            <w:proofErr w:type="spellStart"/>
            <w:r w:rsidRPr="00BD6C8A">
              <w:rPr>
                <w:szCs w:val="18"/>
              </w:rPr>
              <w:t>autoinjected</w:t>
            </w:r>
            <w:proofErr w:type="spellEnd"/>
            <w:r w:rsidRPr="00BD6C8A">
              <w:rPr>
                <w:szCs w:val="18"/>
              </w:rPr>
              <w:t xml:space="preserve"> suspension of </w:t>
            </w:r>
            <w:proofErr w:type="spellStart"/>
            <w:r w:rsidRPr="00BD6C8A">
              <w:rPr>
                <w:szCs w:val="18"/>
              </w:rPr>
              <w:t>exenatide</w:t>
            </w:r>
            <w:proofErr w:type="spellEnd"/>
            <w:r w:rsidRPr="00BD6C8A">
              <w:rPr>
                <w:szCs w:val="18"/>
              </w:rPr>
              <w:t xml:space="preserve"> once weekly versus </w:t>
            </w:r>
            <w:proofErr w:type="spellStart"/>
            <w:r w:rsidRPr="00BD6C8A">
              <w:rPr>
                <w:szCs w:val="18"/>
              </w:rPr>
              <w:t>exenatide</w:t>
            </w:r>
            <w:proofErr w:type="spellEnd"/>
            <w:r w:rsidRPr="00BD6C8A">
              <w:rPr>
                <w:szCs w:val="18"/>
              </w:rPr>
              <w:t xml:space="preserve"> twice daily in patients with type 2 diabetes. </w:t>
            </w:r>
          </w:p>
        </w:tc>
        <w:tc>
          <w:tcPr>
            <w:tcW w:w="1177" w:type="pct"/>
            <w:tcBorders>
              <w:top w:val="nil"/>
              <w:left w:val="single" w:sz="4" w:space="0" w:color="auto"/>
              <w:bottom w:val="nil"/>
            </w:tcBorders>
            <w:vAlign w:val="center"/>
          </w:tcPr>
          <w:p w:rsidR="00D60C27" w:rsidRPr="00BD6C8A" w:rsidRDefault="00D60C27" w:rsidP="00CF27A3">
            <w:pPr>
              <w:pStyle w:val="Tabletext"/>
              <w:keepNext/>
              <w:keepLines/>
              <w:rPr>
                <w:szCs w:val="18"/>
              </w:rPr>
            </w:pPr>
            <w:r w:rsidRPr="00BD6C8A">
              <w:rPr>
                <w:szCs w:val="18"/>
              </w:rPr>
              <w:t>Diabetes, Obesity and Metabolism 2018; 20:165 72.</w:t>
            </w:r>
          </w:p>
        </w:tc>
      </w:tr>
      <w:tr w:rsidR="00D60C27" w:rsidRPr="00BD6C8A" w:rsidTr="00D67157">
        <w:tc>
          <w:tcPr>
            <w:tcW w:w="796" w:type="pct"/>
            <w:vMerge/>
            <w:vAlign w:val="center"/>
          </w:tcPr>
          <w:p w:rsidR="00D60C27" w:rsidRPr="00BD6C8A" w:rsidRDefault="00D60C27" w:rsidP="00CF27A3">
            <w:pPr>
              <w:pStyle w:val="Tabletext"/>
              <w:keepNext/>
              <w:keepLines/>
              <w:rPr>
                <w:szCs w:val="18"/>
              </w:rPr>
            </w:pPr>
          </w:p>
        </w:tc>
        <w:tc>
          <w:tcPr>
            <w:tcW w:w="3027" w:type="pct"/>
            <w:tcBorders>
              <w:top w:val="nil"/>
              <w:bottom w:val="nil"/>
              <w:right w:val="single" w:sz="4" w:space="0" w:color="auto"/>
            </w:tcBorders>
          </w:tcPr>
          <w:p w:rsidR="00D60C27" w:rsidRPr="00BD6C8A" w:rsidRDefault="00D60C27" w:rsidP="00CF27A3">
            <w:pPr>
              <w:pStyle w:val="Tabletext"/>
              <w:keepNext/>
              <w:keepLines/>
            </w:pPr>
            <w:proofErr w:type="spellStart"/>
            <w:r w:rsidRPr="00BD6C8A">
              <w:rPr>
                <w:szCs w:val="18"/>
              </w:rPr>
              <w:t>Wysham</w:t>
            </w:r>
            <w:proofErr w:type="spellEnd"/>
            <w:r w:rsidRPr="00BD6C8A">
              <w:rPr>
                <w:szCs w:val="18"/>
              </w:rPr>
              <w:t xml:space="preserve"> C et al: DURATION NEO 1: Greater </w:t>
            </w:r>
            <w:proofErr w:type="spellStart"/>
            <w:proofErr w:type="gramStart"/>
            <w:r w:rsidRPr="00BD6C8A">
              <w:rPr>
                <w:szCs w:val="18"/>
              </w:rPr>
              <w:t>HbA</w:t>
            </w:r>
            <w:proofErr w:type="spellEnd"/>
            <w:r w:rsidRPr="00BD6C8A">
              <w:rPr>
                <w:szCs w:val="18"/>
              </w:rPr>
              <w:t>(</w:t>
            </w:r>
            <w:proofErr w:type="gramEnd"/>
            <w:r w:rsidRPr="00BD6C8A">
              <w:rPr>
                <w:szCs w:val="18"/>
              </w:rPr>
              <w:t xml:space="preserve">1c) reductions with </w:t>
            </w:r>
            <w:proofErr w:type="spellStart"/>
            <w:r w:rsidRPr="00BD6C8A">
              <w:rPr>
                <w:szCs w:val="18"/>
              </w:rPr>
              <w:t>exenatide</w:t>
            </w:r>
            <w:proofErr w:type="spellEnd"/>
            <w:r w:rsidRPr="00BD6C8A">
              <w:rPr>
                <w:szCs w:val="18"/>
              </w:rPr>
              <w:t xml:space="preserve"> suspension once weekly by </w:t>
            </w:r>
            <w:proofErr w:type="spellStart"/>
            <w:r w:rsidRPr="00BD6C8A">
              <w:rPr>
                <w:szCs w:val="18"/>
              </w:rPr>
              <w:t>autoinjector</w:t>
            </w:r>
            <w:proofErr w:type="spellEnd"/>
            <w:r w:rsidRPr="00BD6C8A">
              <w:rPr>
                <w:szCs w:val="18"/>
              </w:rPr>
              <w:t xml:space="preserve"> pen versus </w:t>
            </w:r>
            <w:proofErr w:type="spellStart"/>
            <w:r w:rsidRPr="00BD6C8A">
              <w:rPr>
                <w:szCs w:val="18"/>
              </w:rPr>
              <w:t>exenatide</w:t>
            </w:r>
            <w:proofErr w:type="spellEnd"/>
            <w:r w:rsidRPr="00BD6C8A">
              <w:rPr>
                <w:szCs w:val="18"/>
              </w:rPr>
              <w:t xml:space="preserve"> twice daily in inadequately controlled type 2 diabetes.</w:t>
            </w:r>
          </w:p>
        </w:tc>
        <w:tc>
          <w:tcPr>
            <w:tcW w:w="1177" w:type="pct"/>
            <w:tcBorders>
              <w:top w:val="nil"/>
              <w:left w:val="single" w:sz="4" w:space="0" w:color="auto"/>
              <w:bottom w:val="nil"/>
            </w:tcBorders>
            <w:vAlign w:val="center"/>
          </w:tcPr>
          <w:p w:rsidR="00D60C27" w:rsidRPr="00BD6C8A" w:rsidRDefault="00D60C27" w:rsidP="00CF27A3">
            <w:pPr>
              <w:pStyle w:val="Tabletext"/>
              <w:keepNext/>
              <w:keepLines/>
            </w:pPr>
            <w:proofErr w:type="spellStart"/>
            <w:r w:rsidRPr="00BD6C8A">
              <w:rPr>
                <w:szCs w:val="18"/>
              </w:rPr>
              <w:t>Diabetologia</w:t>
            </w:r>
            <w:proofErr w:type="spellEnd"/>
            <w:r w:rsidRPr="00BD6C8A">
              <w:rPr>
                <w:szCs w:val="18"/>
              </w:rPr>
              <w:t xml:space="preserve"> 2014; 57 SUPPL. 1 (S109). Date of Publication: September 2014</w:t>
            </w:r>
          </w:p>
        </w:tc>
      </w:tr>
      <w:tr w:rsidR="00D60C27" w:rsidRPr="00BD6C8A" w:rsidTr="00D67157">
        <w:tc>
          <w:tcPr>
            <w:tcW w:w="796" w:type="pct"/>
            <w:vMerge/>
            <w:vAlign w:val="center"/>
          </w:tcPr>
          <w:p w:rsidR="00D60C27" w:rsidRPr="00BD6C8A" w:rsidRDefault="00D60C27" w:rsidP="00CF27A3">
            <w:pPr>
              <w:pStyle w:val="Tabletext"/>
              <w:keepNext/>
              <w:keepLines/>
              <w:rPr>
                <w:szCs w:val="18"/>
              </w:rPr>
            </w:pPr>
          </w:p>
        </w:tc>
        <w:tc>
          <w:tcPr>
            <w:tcW w:w="3027" w:type="pct"/>
            <w:tcBorders>
              <w:top w:val="nil"/>
              <w:bottom w:val="nil"/>
              <w:right w:val="single" w:sz="4" w:space="0" w:color="auto"/>
            </w:tcBorders>
          </w:tcPr>
          <w:p w:rsidR="00D60C27" w:rsidRPr="00BD6C8A" w:rsidRDefault="00D60C27" w:rsidP="00CF27A3">
            <w:pPr>
              <w:pStyle w:val="Tabletext"/>
              <w:keepNext/>
              <w:keepLines/>
            </w:pPr>
            <w:proofErr w:type="spellStart"/>
            <w:r w:rsidRPr="00BD6C8A">
              <w:rPr>
                <w:szCs w:val="18"/>
              </w:rPr>
              <w:t>Wysham</w:t>
            </w:r>
            <w:proofErr w:type="spellEnd"/>
            <w:r w:rsidRPr="00BD6C8A">
              <w:rPr>
                <w:szCs w:val="18"/>
              </w:rPr>
              <w:t xml:space="preserve"> C et al: Duration neo 1: Greater A1C reductions with </w:t>
            </w:r>
            <w:proofErr w:type="spellStart"/>
            <w:r w:rsidRPr="00BD6C8A">
              <w:rPr>
                <w:szCs w:val="18"/>
              </w:rPr>
              <w:t>exenatide</w:t>
            </w:r>
            <w:proofErr w:type="spellEnd"/>
            <w:r w:rsidRPr="00BD6C8A">
              <w:rPr>
                <w:szCs w:val="18"/>
              </w:rPr>
              <w:t xml:space="preserve"> suspension once weekly by </w:t>
            </w:r>
            <w:proofErr w:type="spellStart"/>
            <w:r w:rsidRPr="00BD6C8A">
              <w:rPr>
                <w:szCs w:val="18"/>
              </w:rPr>
              <w:t>autoinjector</w:t>
            </w:r>
            <w:proofErr w:type="spellEnd"/>
            <w:r w:rsidRPr="00BD6C8A">
              <w:rPr>
                <w:szCs w:val="18"/>
              </w:rPr>
              <w:t xml:space="preserve"> pen versus </w:t>
            </w:r>
            <w:proofErr w:type="spellStart"/>
            <w:r w:rsidRPr="00BD6C8A">
              <w:rPr>
                <w:szCs w:val="18"/>
              </w:rPr>
              <w:t>exenatide</w:t>
            </w:r>
            <w:proofErr w:type="spellEnd"/>
            <w:r w:rsidRPr="00BD6C8A">
              <w:rPr>
                <w:szCs w:val="18"/>
              </w:rPr>
              <w:t xml:space="preserve"> twice daily in inadequately controlled type 2 diabetes. </w:t>
            </w:r>
          </w:p>
        </w:tc>
        <w:tc>
          <w:tcPr>
            <w:tcW w:w="1177" w:type="pct"/>
            <w:tcBorders>
              <w:top w:val="nil"/>
              <w:left w:val="single" w:sz="4" w:space="0" w:color="auto"/>
              <w:bottom w:val="nil"/>
            </w:tcBorders>
            <w:vAlign w:val="center"/>
          </w:tcPr>
          <w:p w:rsidR="00D60C27" w:rsidRPr="00BD6C8A" w:rsidRDefault="00D60C27" w:rsidP="00CF27A3">
            <w:pPr>
              <w:pStyle w:val="Tabletext"/>
              <w:keepNext/>
              <w:keepLines/>
            </w:pPr>
            <w:r w:rsidRPr="00BD6C8A">
              <w:rPr>
                <w:szCs w:val="18"/>
              </w:rPr>
              <w:t>Endocrine Reviews. 2014; 35 SUPPL. 3. Date of Publication: 2014</w:t>
            </w:r>
          </w:p>
        </w:tc>
      </w:tr>
      <w:tr w:rsidR="00D60C27" w:rsidRPr="00BD6C8A" w:rsidTr="00D67157">
        <w:tc>
          <w:tcPr>
            <w:tcW w:w="796" w:type="pct"/>
            <w:vMerge/>
            <w:vAlign w:val="center"/>
          </w:tcPr>
          <w:p w:rsidR="00D60C27" w:rsidRPr="00BD6C8A" w:rsidRDefault="00D60C27" w:rsidP="00CF27A3">
            <w:pPr>
              <w:pStyle w:val="Tabletext"/>
              <w:keepNext/>
              <w:keepLines/>
              <w:rPr>
                <w:szCs w:val="18"/>
              </w:rPr>
            </w:pPr>
          </w:p>
        </w:tc>
        <w:tc>
          <w:tcPr>
            <w:tcW w:w="3027" w:type="pct"/>
            <w:tcBorders>
              <w:top w:val="nil"/>
              <w:right w:val="single" w:sz="4" w:space="0" w:color="auto"/>
            </w:tcBorders>
          </w:tcPr>
          <w:p w:rsidR="00D60C27" w:rsidRPr="00BD6C8A" w:rsidRDefault="00D60C27" w:rsidP="00CF27A3">
            <w:pPr>
              <w:pStyle w:val="Tabletext"/>
              <w:keepNext/>
              <w:keepLines/>
            </w:pPr>
            <w:proofErr w:type="spellStart"/>
            <w:r w:rsidRPr="00BD6C8A">
              <w:rPr>
                <w:szCs w:val="18"/>
              </w:rPr>
              <w:t>Wysham</w:t>
            </w:r>
            <w:proofErr w:type="spellEnd"/>
            <w:r w:rsidRPr="00BD6C8A">
              <w:rPr>
                <w:szCs w:val="18"/>
              </w:rPr>
              <w:t xml:space="preserve"> C et al: Patient reported treatment satisfaction with </w:t>
            </w:r>
            <w:proofErr w:type="spellStart"/>
            <w:r w:rsidRPr="00BD6C8A">
              <w:rPr>
                <w:szCs w:val="18"/>
              </w:rPr>
              <w:t>exenatide</w:t>
            </w:r>
            <w:proofErr w:type="spellEnd"/>
            <w:r w:rsidRPr="00BD6C8A">
              <w:rPr>
                <w:szCs w:val="18"/>
              </w:rPr>
              <w:t xml:space="preserve"> once weekly suspension for </w:t>
            </w:r>
            <w:proofErr w:type="spellStart"/>
            <w:r w:rsidRPr="00BD6C8A">
              <w:rPr>
                <w:szCs w:val="18"/>
              </w:rPr>
              <w:t>autoinjection</w:t>
            </w:r>
            <w:proofErr w:type="spellEnd"/>
            <w:r w:rsidRPr="00BD6C8A">
              <w:rPr>
                <w:szCs w:val="18"/>
              </w:rPr>
              <w:t xml:space="preserve"> (EQW SAI) versus </w:t>
            </w:r>
            <w:proofErr w:type="spellStart"/>
            <w:r w:rsidRPr="00BD6C8A">
              <w:rPr>
                <w:szCs w:val="18"/>
              </w:rPr>
              <w:t>exenatide</w:t>
            </w:r>
            <w:proofErr w:type="spellEnd"/>
            <w:r w:rsidRPr="00BD6C8A">
              <w:rPr>
                <w:szCs w:val="18"/>
              </w:rPr>
              <w:t xml:space="preserve"> twice daily (EBID) in patients with inadequately controlled type 2 diabetes mellitus (T2DM). </w:t>
            </w:r>
          </w:p>
        </w:tc>
        <w:tc>
          <w:tcPr>
            <w:tcW w:w="1177" w:type="pct"/>
            <w:tcBorders>
              <w:top w:val="nil"/>
              <w:left w:val="single" w:sz="4" w:space="0" w:color="auto"/>
            </w:tcBorders>
            <w:vAlign w:val="center"/>
          </w:tcPr>
          <w:p w:rsidR="00D60C27" w:rsidRPr="00BD6C8A" w:rsidRDefault="00D60C27" w:rsidP="00CF27A3">
            <w:pPr>
              <w:pStyle w:val="Tabletext"/>
              <w:keepNext/>
              <w:keepLines/>
            </w:pPr>
            <w:r w:rsidRPr="00BD6C8A">
              <w:rPr>
                <w:szCs w:val="18"/>
              </w:rPr>
              <w:t>Endocrine Reviews (2015) 36 Supplement 2. Date of Publication: 2015</w:t>
            </w:r>
          </w:p>
        </w:tc>
      </w:tr>
      <w:tr w:rsidR="00D60C27" w:rsidRPr="00BD6C8A" w:rsidTr="00E87DCC">
        <w:tc>
          <w:tcPr>
            <w:tcW w:w="5000" w:type="pct"/>
            <w:gridSpan w:val="3"/>
            <w:vAlign w:val="center"/>
          </w:tcPr>
          <w:p w:rsidR="00D60C27" w:rsidRPr="00BD6C8A" w:rsidRDefault="00D60C27" w:rsidP="00CF27A3">
            <w:pPr>
              <w:pStyle w:val="Tabletext"/>
              <w:keepNext/>
              <w:keepLines/>
              <w:rPr>
                <w:b/>
                <w:szCs w:val="18"/>
                <w:lang w:eastAsia="en-AU"/>
              </w:rPr>
            </w:pPr>
            <w:proofErr w:type="spellStart"/>
            <w:r w:rsidRPr="00BD6C8A">
              <w:rPr>
                <w:b/>
                <w:szCs w:val="18"/>
                <w:lang w:eastAsia="en-AU"/>
              </w:rPr>
              <w:t>Exenatide</w:t>
            </w:r>
            <w:proofErr w:type="spellEnd"/>
            <w:r w:rsidRPr="00BD6C8A">
              <w:rPr>
                <w:b/>
                <w:szCs w:val="18"/>
                <w:lang w:eastAsia="en-AU"/>
              </w:rPr>
              <w:t xml:space="preserve"> once weekly dual chamber pen versus </w:t>
            </w:r>
            <w:proofErr w:type="spellStart"/>
            <w:r w:rsidRPr="00BD6C8A">
              <w:rPr>
                <w:b/>
                <w:szCs w:val="18"/>
                <w:lang w:eastAsia="en-AU"/>
              </w:rPr>
              <w:t>exenatide</w:t>
            </w:r>
            <w:proofErr w:type="spellEnd"/>
            <w:r w:rsidRPr="00BD6C8A">
              <w:rPr>
                <w:b/>
                <w:szCs w:val="18"/>
                <w:lang w:eastAsia="en-AU"/>
              </w:rPr>
              <w:t xml:space="preserve"> twice daily - included</w:t>
            </w:r>
          </w:p>
        </w:tc>
      </w:tr>
      <w:tr w:rsidR="00D60C27" w:rsidRPr="00BD6C8A" w:rsidTr="00D67157">
        <w:tc>
          <w:tcPr>
            <w:tcW w:w="796" w:type="pct"/>
            <w:vMerge w:val="restart"/>
            <w:vAlign w:val="center"/>
          </w:tcPr>
          <w:p w:rsidR="00D60C27" w:rsidRPr="00BD6C8A" w:rsidRDefault="00D60C27" w:rsidP="00CF27A3">
            <w:pPr>
              <w:pStyle w:val="Tabletext"/>
              <w:keepNext/>
              <w:keepLines/>
            </w:pPr>
            <w:r w:rsidRPr="00BD6C8A">
              <w:t>DURATION-1 (study 105)</w:t>
            </w:r>
          </w:p>
        </w:tc>
        <w:tc>
          <w:tcPr>
            <w:tcW w:w="3027" w:type="pct"/>
            <w:tcBorders>
              <w:bottom w:val="nil"/>
              <w:right w:val="single" w:sz="4" w:space="0" w:color="auto"/>
            </w:tcBorders>
          </w:tcPr>
          <w:p w:rsidR="00D60C27" w:rsidRPr="00BD6C8A" w:rsidRDefault="00D60C27" w:rsidP="00CF27A3">
            <w:pPr>
              <w:pStyle w:val="Tabletext"/>
              <w:keepNext/>
              <w:keepLines/>
              <w:rPr>
                <w:szCs w:val="18"/>
                <w:lang w:eastAsia="en-AU"/>
              </w:rPr>
            </w:pPr>
            <w:r w:rsidRPr="00BD6C8A">
              <w:rPr>
                <w:szCs w:val="18"/>
                <w:lang w:eastAsia="en-AU"/>
              </w:rPr>
              <w:t xml:space="preserve">Clinical Study Report BCB105: A randomised, open label, multicentre, comparator controlled study to examine the effects of </w:t>
            </w:r>
            <w:proofErr w:type="spellStart"/>
            <w:r w:rsidRPr="00BD6C8A">
              <w:rPr>
                <w:szCs w:val="18"/>
                <w:lang w:eastAsia="en-AU"/>
              </w:rPr>
              <w:t>exenatide</w:t>
            </w:r>
            <w:proofErr w:type="spellEnd"/>
            <w:r w:rsidRPr="00BD6C8A">
              <w:rPr>
                <w:szCs w:val="18"/>
                <w:lang w:eastAsia="en-AU"/>
              </w:rPr>
              <w:t xml:space="preserve"> long acting release on glucose control (HBA1c) and safety in subjects with type 2 diabetes mellitus managed with diet modification and exercise and/or oral antidiabetic medications. </w:t>
            </w:r>
          </w:p>
        </w:tc>
        <w:tc>
          <w:tcPr>
            <w:tcW w:w="1177" w:type="pct"/>
            <w:tcBorders>
              <w:left w:val="single" w:sz="4" w:space="0" w:color="auto"/>
              <w:bottom w:val="nil"/>
            </w:tcBorders>
            <w:vAlign w:val="center"/>
          </w:tcPr>
          <w:p w:rsidR="00D60C27" w:rsidRPr="00BD6C8A" w:rsidRDefault="00D60C27" w:rsidP="00CF27A3">
            <w:pPr>
              <w:pStyle w:val="Tabletext"/>
              <w:keepNext/>
              <w:keepLines/>
              <w:rPr>
                <w:i/>
                <w:szCs w:val="18"/>
                <w:lang w:eastAsia="en-AU"/>
              </w:rPr>
            </w:pPr>
            <w:r w:rsidRPr="00BD6C8A">
              <w:rPr>
                <w:szCs w:val="18"/>
                <w:lang w:eastAsia="en-AU"/>
              </w:rPr>
              <w:t xml:space="preserve">07 July 2008. </w:t>
            </w:r>
          </w:p>
        </w:tc>
      </w:tr>
      <w:tr w:rsidR="00D60C27" w:rsidRPr="00BD6C8A" w:rsidTr="00D67157">
        <w:tc>
          <w:tcPr>
            <w:tcW w:w="796" w:type="pct"/>
            <w:vMerge/>
            <w:vAlign w:val="center"/>
          </w:tcPr>
          <w:p w:rsidR="00D60C27" w:rsidRPr="00BD6C8A" w:rsidRDefault="00D60C27" w:rsidP="00CF27A3">
            <w:pPr>
              <w:pStyle w:val="Tabletext"/>
              <w:keepNext/>
              <w:keepLines/>
            </w:pPr>
          </w:p>
        </w:tc>
        <w:tc>
          <w:tcPr>
            <w:tcW w:w="3027" w:type="pct"/>
            <w:tcBorders>
              <w:top w:val="nil"/>
              <w:bottom w:val="nil"/>
              <w:right w:val="single" w:sz="4" w:space="0" w:color="auto"/>
            </w:tcBorders>
          </w:tcPr>
          <w:p w:rsidR="00D60C27" w:rsidRPr="00BD6C8A" w:rsidRDefault="00D60C27" w:rsidP="00CF27A3">
            <w:pPr>
              <w:pStyle w:val="Tabletext"/>
              <w:keepNext/>
              <w:keepLines/>
              <w:rPr>
                <w:szCs w:val="18"/>
                <w:lang w:eastAsia="en-AU"/>
              </w:rPr>
            </w:pPr>
            <w:r w:rsidRPr="00BD6C8A">
              <w:rPr>
                <w:szCs w:val="18"/>
                <w:lang w:eastAsia="en-AU"/>
              </w:rPr>
              <w:t xml:space="preserve">Drucker D et al: </w:t>
            </w:r>
            <w:proofErr w:type="spellStart"/>
            <w:r w:rsidRPr="00BD6C8A">
              <w:rPr>
                <w:szCs w:val="18"/>
                <w:lang w:eastAsia="en-AU"/>
              </w:rPr>
              <w:t>Exenatide</w:t>
            </w:r>
            <w:proofErr w:type="spellEnd"/>
            <w:r w:rsidRPr="00BD6C8A">
              <w:rPr>
                <w:szCs w:val="18"/>
                <w:lang w:eastAsia="en-AU"/>
              </w:rPr>
              <w:t xml:space="preserve"> once weekly versus twice daily for the treatment of type 2 diabetes: a randomised, open label, </w:t>
            </w:r>
            <w:r w:rsidR="004C0B0B" w:rsidRPr="00BD6C8A">
              <w:rPr>
                <w:szCs w:val="18"/>
                <w:lang w:eastAsia="en-AU"/>
              </w:rPr>
              <w:t>non-inferiority</w:t>
            </w:r>
            <w:r w:rsidRPr="00BD6C8A">
              <w:rPr>
                <w:szCs w:val="18"/>
                <w:lang w:eastAsia="en-AU"/>
              </w:rPr>
              <w:t xml:space="preserve"> study. </w:t>
            </w:r>
          </w:p>
        </w:tc>
        <w:tc>
          <w:tcPr>
            <w:tcW w:w="1177" w:type="pct"/>
            <w:tcBorders>
              <w:top w:val="nil"/>
              <w:left w:val="single" w:sz="4" w:space="0" w:color="auto"/>
              <w:bottom w:val="nil"/>
            </w:tcBorders>
            <w:vAlign w:val="center"/>
          </w:tcPr>
          <w:p w:rsidR="00D60C27" w:rsidRPr="00BD6C8A" w:rsidRDefault="00D60C27" w:rsidP="00CF27A3">
            <w:pPr>
              <w:pStyle w:val="Tabletext"/>
              <w:keepNext/>
              <w:keepLines/>
              <w:rPr>
                <w:szCs w:val="18"/>
                <w:lang w:eastAsia="en-AU"/>
              </w:rPr>
            </w:pPr>
            <w:r w:rsidRPr="00BD6C8A">
              <w:rPr>
                <w:szCs w:val="18"/>
                <w:lang w:eastAsia="en-AU"/>
              </w:rPr>
              <w:t>Lancet. 2008; 372:1240 50.</w:t>
            </w:r>
          </w:p>
        </w:tc>
      </w:tr>
      <w:tr w:rsidR="00D60C27" w:rsidRPr="00BD6C8A" w:rsidTr="00D67157">
        <w:tc>
          <w:tcPr>
            <w:tcW w:w="796" w:type="pct"/>
            <w:vMerge/>
            <w:vAlign w:val="center"/>
          </w:tcPr>
          <w:p w:rsidR="00D60C27" w:rsidRPr="00BD6C8A" w:rsidRDefault="00D60C27" w:rsidP="00CF27A3">
            <w:pPr>
              <w:pStyle w:val="Tabletext"/>
              <w:keepNext/>
              <w:keepLines/>
            </w:pPr>
          </w:p>
        </w:tc>
        <w:tc>
          <w:tcPr>
            <w:tcW w:w="3027" w:type="pct"/>
            <w:tcBorders>
              <w:top w:val="nil"/>
              <w:bottom w:val="nil"/>
              <w:right w:val="single" w:sz="4" w:space="0" w:color="auto"/>
            </w:tcBorders>
          </w:tcPr>
          <w:p w:rsidR="00D60C27" w:rsidRPr="00BD6C8A" w:rsidRDefault="00D60C27" w:rsidP="00CF27A3">
            <w:pPr>
              <w:pStyle w:val="Tabletext"/>
              <w:keepNext/>
              <w:keepLines/>
              <w:rPr>
                <w:szCs w:val="18"/>
                <w:lang w:eastAsia="en-AU"/>
              </w:rPr>
            </w:pPr>
            <w:proofErr w:type="spellStart"/>
            <w:r w:rsidRPr="00BD6C8A">
              <w:rPr>
                <w:szCs w:val="18"/>
                <w:lang w:eastAsia="en-AU"/>
              </w:rPr>
              <w:t>Buse</w:t>
            </w:r>
            <w:proofErr w:type="spellEnd"/>
            <w:r w:rsidRPr="00BD6C8A">
              <w:rPr>
                <w:szCs w:val="18"/>
                <w:lang w:eastAsia="en-AU"/>
              </w:rPr>
              <w:t xml:space="preserve"> J et al: DURATION 1: </w:t>
            </w:r>
            <w:proofErr w:type="spellStart"/>
            <w:r w:rsidRPr="00BD6C8A">
              <w:rPr>
                <w:szCs w:val="18"/>
                <w:lang w:eastAsia="en-AU"/>
              </w:rPr>
              <w:t>Exenatide</w:t>
            </w:r>
            <w:proofErr w:type="spellEnd"/>
            <w:r w:rsidRPr="00BD6C8A">
              <w:rPr>
                <w:szCs w:val="18"/>
                <w:lang w:eastAsia="en-AU"/>
              </w:rPr>
              <w:t xml:space="preserve"> once weekly produces sustained glycaemic control and weight loss over 52 weeks. </w:t>
            </w:r>
          </w:p>
        </w:tc>
        <w:tc>
          <w:tcPr>
            <w:tcW w:w="1177" w:type="pct"/>
            <w:tcBorders>
              <w:top w:val="nil"/>
              <w:left w:val="single" w:sz="4" w:space="0" w:color="auto"/>
              <w:bottom w:val="nil"/>
            </w:tcBorders>
            <w:vAlign w:val="center"/>
          </w:tcPr>
          <w:p w:rsidR="00D60C27" w:rsidRPr="00BD6C8A" w:rsidRDefault="00D60C27" w:rsidP="00CF27A3">
            <w:pPr>
              <w:pStyle w:val="Tabletext"/>
              <w:keepNext/>
              <w:keepLines/>
              <w:rPr>
                <w:szCs w:val="18"/>
                <w:lang w:eastAsia="en-AU"/>
              </w:rPr>
            </w:pPr>
            <w:r w:rsidRPr="00BD6C8A">
              <w:rPr>
                <w:szCs w:val="18"/>
                <w:lang w:eastAsia="en-AU"/>
              </w:rPr>
              <w:t>Diabetes Care. 2010; 33:1255 61.</w:t>
            </w:r>
          </w:p>
        </w:tc>
      </w:tr>
      <w:tr w:rsidR="00D60C27" w:rsidRPr="00BD6C8A" w:rsidTr="00D67157">
        <w:tc>
          <w:tcPr>
            <w:tcW w:w="796" w:type="pct"/>
            <w:vMerge/>
            <w:vAlign w:val="center"/>
          </w:tcPr>
          <w:p w:rsidR="00D60C27" w:rsidRPr="00BD6C8A" w:rsidRDefault="00D60C27" w:rsidP="00CF27A3">
            <w:pPr>
              <w:pStyle w:val="Tabletext"/>
              <w:keepNext/>
              <w:keepLines/>
            </w:pPr>
          </w:p>
        </w:tc>
        <w:tc>
          <w:tcPr>
            <w:tcW w:w="3027" w:type="pct"/>
            <w:tcBorders>
              <w:top w:val="nil"/>
              <w:bottom w:val="nil"/>
              <w:right w:val="single" w:sz="4" w:space="0" w:color="auto"/>
            </w:tcBorders>
          </w:tcPr>
          <w:p w:rsidR="00D60C27" w:rsidRPr="00BD6C8A" w:rsidRDefault="00D60C27" w:rsidP="00CF27A3">
            <w:pPr>
              <w:pStyle w:val="Tabletext"/>
              <w:keepNext/>
              <w:keepLines/>
              <w:rPr>
                <w:szCs w:val="18"/>
                <w:lang w:eastAsia="en-AU"/>
              </w:rPr>
            </w:pPr>
            <w:proofErr w:type="spellStart"/>
            <w:r w:rsidRPr="00BD6C8A">
              <w:rPr>
                <w:szCs w:val="18"/>
                <w:lang w:eastAsia="en-AU"/>
              </w:rPr>
              <w:t>Wysham</w:t>
            </w:r>
            <w:proofErr w:type="spellEnd"/>
            <w:r w:rsidRPr="00BD6C8A">
              <w:rPr>
                <w:szCs w:val="18"/>
                <w:lang w:eastAsia="en-AU"/>
              </w:rPr>
              <w:t xml:space="preserve"> C et al: Five Year Efficacy and Safety Data of </w:t>
            </w:r>
            <w:proofErr w:type="spellStart"/>
            <w:r w:rsidRPr="00BD6C8A">
              <w:rPr>
                <w:szCs w:val="18"/>
                <w:lang w:eastAsia="en-AU"/>
              </w:rPr>
              <w:t>Exenatide</w:t>
            </w:r>
            <w:proofErr w:type="spellEnd"/>
            <w:r w:rsidRPr="00BD6C8A">
              <w:rPr>
                <w:szCs w:val="18"/>
                <w:lang w:eastAsia="en-AU"/>
              </w:rPr>
              <w:t xml:space="preserve"> Once Weekly: Long term Results from the DURATION 1 Randomized Clinical Trial. </w:t>
            </w:r>
          </w:p>
        </w:tc>
        <w:tc>
          <w:tcPr>
            <w:tcW w:w="1177" w:type="pct"/>
            <w:tcBorders>
              <w:top w:val="nil"/>
              <w:left w:val="single" w:sz="4" w:space="0" w:color="auto"/>
              <w:bottom w:val="nil"/>
            </w:tcBorders>
            <w:vAlign w:val="center"/>
          </w:tcPr>
          <w:p w:rsidR="00D60C27" w:rsidRPr="00BD6C8A" w:rsidRDefault="00D60C27" w:rsidP="00CF27A3">
            <w:pPr>
              <w:pStyle w:val="Tabletext"/>
              <w:keepNext/>
              <w:keepLines/>
              <w:rPr>
                <w:szCs w:val="18"/>
                <w:lang w:eastAsia="en-AU"/>
              </w:rPr>
            </w:pPr>
            <w:r w:rsidRPr="00BD6C8A">
              <w:rPr>
                <w:szCs w:val="18"/>
                <w:lang w:eastAsia="en-AU"/>
              </w:rPr>
              <w:t>Mayo Clinic Proceedings. 2015; 90:356 65.</w:t>
            </w:r>
          </w:p>
        </w:tc>
      </w:tr>
      <w:tr w:rsidR="00D60C27" w:rsidRPr="00BD6C8A" w:rsidTr="00D67157">
        <w:tc>
          <w:tcPr>
            <w:tcW w:w="796" w:type="pct"/>
            <w:vMerge/>
            <w:vAlign w:val="center"/>
          </w:tcPr>
          <w:p w:rsidR="00D60C27" w:rsidRPr="00BD6C8A" w:rsidRDefault="00D60C27" w:rsidP="00CF27A3">
            <w:pPr>
              <w:pStyle w:val="Tabletext"/>
              <w:keepNext/>
              <w:keepLines/>
            </w:pPr>
          </w:p>
        </w:tc>
        <w:tc>
          <w:tcPr>
            <w:tcW w:w="3027" w:type="pct"/>
            <w:tcBorders>
              <w:top w:val="nil"/>
              <w:bottom w:val="nil"/>
              <w:right w:val="single" w:sz="4" w:space="0" w:color="auto"/>
            </w:tcBorders>
          </w:tcPr>
          <w:p w:rsidR="00D60C27" w:rsidRPr="00BD6C8A" w:rsidRDefault="00D60C27" w:rsidP="00CF27A3">
            <w:pPr>
              <w:pStyle w:val="Tabletext"/>
              <w:keepNext/>
              <w:keepLines/>
              <w:rPr>
                <w:szCs w:val="18"/>
                <w:lang w:eastAsia="en-AU"/>
              </w:rPr>
            </w:pPr>
            <w:proofErr w:type="spellStart"/>
            <w:r w:rsidRPr="00BD6C8A">
              <w:rPr>
                <w:szCs w:val="18"/>
                <w:lang w:eastAsia="en-AU"/>
              </w:rPr>
              <w:t>Macconell</w:t>
            </w:r>
            <w:proofErr w:type="spellEnd"/>
            <w:r w:rsidRPr="00BD6C8A">
              <w:rPr>
                <w:szCs w:val="18"/>
                <w:lang w:eastAsia="en-AU"/>
              </w:rPr>
              <w:t xml:space="preserve"> L et al: </w:t>
            </w:r>
            <w:proofErr w:type="spellStart"/>
            <w:r w:rsidRPr="00BD6C8A">
              <w:rPr>
                <w:szCs w:val="18"/>
                <w:lang w:eastAsia="en-AU"/>
              </w:rPr>
              <w:t>Exenatide</w:t>
            </w:r>
            <w:proofErr w:type="spellEnd"/>
            <w:r w:rsidRPr="00BD6C8A">
              <w:rPr>
                <w:szCs w:val="18"/>
                <w:lang w:eastAsia="en-AU"/>
              </w:rPr>
              <w:t xml:space="preserve"> once weekly: Sustained improvement in </w:t>
            </w:r>
            <w:proofErr w:type="spellStart"/>
            <w:r w:rsidRPr="00BD6C8A">
              <w:rPr>
                <w:szCs w:val="18"/>
                <w:lang w:eastAsia="en-AU"/>
              </w:rPr>
              <w:t>glycemic</w:t>
            </w:r>
            <w:proofErr w:type="spellEnd"/>
            <w:r w:rsidRPr="00BD6C8A">
              <w:rPr>
                <w:szCs w:val="18"/>
                <w:lang w:eastAsia="en-AU"/>
              </w:rPr>
              <w:t xml:space="preserve"> control and </w:t>
            </w:r>
            <w:proofErr w:type="spellStart"/>
            <w:r w:rsidRPr="00BD6C8A">
              <w:rPr>
                <w:szCs w:val="18"/>
                <w:lang w:eastAsia="en-AU"/>
              </w:rPr>
              <w:t>cardiometabolic</w:t>
            </w:r>
            <w:proofErr w:type="spellEnd"/>
            <w:r w:rsidRPr="00BD6C8A">
              <w:rPr>
                <w:szCs w:val="18"/>
                <w:lang w:eastAsia="en-AU"/>
              </w:rPr>
              <w:t xml:space="preserve"> measures through 3 years. </w:t>
            </w:r>
          </w:p>
        </w:tc>
        <w:tc>
          <w:tcPr>
            <w:tcW w:w="1177" w:type="pct"/>
            <w:tcBorders>
              <w:top w:val="nil"/>
              <w:left w:val="single" w:sz="4" w:space="0" w:color="auto"/>
              <w:bottom w:val="nil"/>
            </w:tcBorders>
            <w:vAlign w:val="center"/>
          </w:tcPr>
          <w:p w:rsidR="00D60C27" w:rsidRPr="00BD6C8A" w:rsidRDefault="00D60C27" w:rsidP="00CF27A3">
            <w:pPr>
              <w:pStyle w:val="Tabletext"/>
              <w:keepNext/>
              <w:keepLines/>
              <w:rPr>
                <w:szCs w:val="18"/>
                <w:lang w:eastAsia="en-AU"/>
              </w:rPr>
            </w:pPr>
            <w:r w:rsidRPr="00BD6C8A">
              <w:rPr>
                <w:szCs w:val="18"/>
                <w:lang w:eastAsia="en-AU"/>
              </w:rPr>
              <w:t>Diabetes, Metabolic Syndrome and Obesity: Targets and Therapy. 2013; 6:31 41.</w:t>
            </w:r>
          </w:p>
        </w:tc>
      </w:tr>
      <w:tr w:rsidR="00D60C27" w:rsidRPr="00BD6C8A" w:rsidTr="00D67157">
        <w:tc>
          <w:tcPr>
            <w:tcW w:w="796" w:type="pct"/>
            <w:vMerge/>
            <w:vAlign w:val="center"/>
          </w:tcPr>
          <w:p w:rsidR="00D60C27" w:rsidRPr="00BD6C8A" w:rsidRDefault="00D60C27" w:rsidP="00CF27A3">
            <w:pPr>
              <w:pStyle w:val="Tabletext"/>
              <w:keepNext/>
              <w:keepLines/>
            </w:pPr>
          </w:p>
        </w:tc>
        <w:tc>
          <w:tcPr>
            <w:tcW w:w="3027" w:type="pct"/>
            <w:tcBorders>
              <w:top w:val="nil"/>
              <w:bottom w:val="nil"/>
              <w:right w:val="single" w:sz="4" w:space="0" w:color="auto"/>
            </w:tcBorders>
          </w:tcPr>
          <w:p w:rsidR="00D60C27" w:rsidRPr="00BD6C8A" w:rsidRDefault="00D60C27" w:rsidP="00CF27A3">
            <w:pPr>
              <w:pStyle w:val="Tabletext"/>
              <w:keepNext/>
              <w:keepLines/>
              <w:rPr>
                <w:szCs w:val="18"/>
                <w:lang w:eastAsia="en-AU"/>
              </w:rPr>
            </w:pPr>
            <w:proofErr w:type="spellStart"/>
            <w:r w:rsidRPr="00BD6C8A">
              <w:rPr>
                <w:szCs w:val="18"/>
                <w:lang w:eastAsia="en-AU"/>
              </w:rPr>
              <w:t>Macconell</w:t>
            </w:r>
            <w:proofErr w:type="spellEnd"/>
            <w:r w:rsidRPr="00BD6C8A">
              <w:rPr>
                <w:szCs w:val="18"/>
                <w:lang w:eastAsia="en-AU"/>
              </w:rPr>
              <w:t xml:space="preserve"> L et al: </w:t>
            </w:r>
            <w:proofErr w:type="spellStart"/>
            <w:r w:rsidRPr="00BD6C8A">
              <w:rPr>
                <w:szCs w:val="18"/>
                <w:lang w:eastAsia="en-AU"/>
              </w:rPr>
              <w:t>Exenatide</w:t>
            </w:r>
            <w:proofErr w:type="spellEnd"/>
            <w:r w:rsidRPr="00BD6C8A">
              <w:rPr>
                <w:szCs w:val="18"/>
                <w:lang w:eastAsia="en-AU"/>
              </w:rPr>
              <w:t xml:space="preserve"> once weekly resulted in sustained improvement in </w:t>
            </w:r>
            <w:proofErr w:type="spellStart"/>
            <w:r w:rsidRPr="00BD6C8A">
              <w:rPr>
                <w:szCs w:val="18"/>
                <w:lang w:eastAsia="en-AU"/>
              </w:rPr>
              <w:t>glycemic</w:t>
            </w:r>
            <w:proofErr w:type="spellEnd"/>
            <w:r w:rsidRPr="00BD6C8A">
              <w:rPr>
                <w:szCs w:val="18"/>
                <w:lang w:eastAsia="en-AU"/>
              </w:rPr>
              <w:t xml:space="preserve"> control with weight loss through 4 years. </w:t>
            </w:r>
          </w:p>
        </w:tc>
        <w:tc>
          <w:tcPr>
            <w:tcW w:w="1177" w:type="pct"/>
            <w:tcBorders>
              <w:top w:val="nil"/>
              <w:left w:val="single" w:sz="4" w:space="0" w:color="auto"/>
              <w:bottom w:val="nil"/>
            </w:tcBorders>
            <w:vAlign w:val="center"/>
          </w:tcPr>
          <w:p w:rsidR="00D60C27" w:rsidRPr="00BD6C8A" w:rsidRDefault="00D60C27" w:rsidP="00CF27A3">
            <w:pPr>
              <w:pStyle w:val="Tabletext"/>
              <w:keepNext/>
              <w:keepLines/>
              <w:rPr>
                <w:szCs w:val="18"/>
                <w:lang w:eastAsia="en-AU"/>
              </w:rPr>
            </w:pPr>
            <w:r w:rsidRPr="00BD6C8A">
              <w:rPr>
                <w:szCs w:val="18"/>
                <w:lang w:eastAsia="en-AU"/>
              </w:rPr>
              <w:t>Diabetes. 2012; 61 SUPPL. 1 (A298). Date of Publication: June 2012</w:t>
            </w:r>
          </w:p>
        </w:tc>
      </w:tr>
      <w:tr w:rsidR="00D60C27" w:rsidRPr="00BD6C8A" w:rsidTr="00D67157">
        <w:tc>
          <w:tcPr>
            <w:tcW w:w="796" w:type="pct"/>
            <w:vMerge/>
            <w:vAlign w:val="center"/>
          </w:tcPr>
          <w:p w:rsidR="00D60C27" w:rsidRPr="00BD6C8A" w:rsidRDefault="00D60C27" w:rsidP="00CF27A3">
            <w:pPr>
              <w:pStyle w:val="Tabletext"/>
              <w:keepNext/>
              <w:keepLines/>
            </w:pPr>
          </w:p>
        </w:tc>
        <w:tc>
          <w:tcPr>
            <w:tcW w:w="3027" w:type="pct"/>
            <w:tcBorders>
              <w:top w:val="nil"/>
              <w:bottom w:val="nil"/>
              <w:right w:val="single" w:sz="4" w:space="0" w:color="auto"/>
            </w:tcBorders>
          </w:tcPr>
          <w:p w:rsidR="00D60C27" w:rsidRPr="00BD6C8A" w:rsidRDefault="00D60C27" w:rsidP="00CF27A3">
            <w:pPr>
              <w:pStyle w:val="Tabletext"/>
              <w:keepNext/>
              <w:keepLines/>
              <w:rPr>
                <w:szCs w:val="18"/>
                <w:lang w:eastAsia="en-AU"/>
              </w:rPr>
            </w:pPr>
            <w:proofErr w:type="spellStart"/>
            <w:r w:rsidRPr="00BD6C8A">
              <w:rPr>
                <w:szCs w:val="18"/>
                <w:lang w:eastAsia="en-AU"/>
              </w:rPr>
              <w:t>Maggs</w:t>
            </w:r>
            <w:proofErr w:type="spellEnd"/>
            <w:r w:rsidRPr="00BD6C8A">
              <w:rPr>
                <w:szCs w:val="18"/>
                <w:lang w:eastAsia="en-AU"/>
              </w:rPr>
              <w:t xml:space="preserve"> D et al: </w:t>
            </w:r>
            <w:proofErr w:type="spellStart"/>
            <w:r w:rsidRPr="00BD6C8A">
              <w:rPr>
                <w:szCs w:val="18"/>
                <w:lang w:eastAsia="en-AU"/>
              </w:rPr>
              <w:t>Exenatide</w:t>
            </w:r>
            <w:proofErr w:type="spellEnd"/>
            <w:r w:rsidRPr="00BD6C8A">
              <w:rPr>
                <w:szCs w:val="18"/>
                <w:lang w:eastAsia="en-AU"/>
              </w:rPr>
              <w:t xml:space="preserve"> once weekly resulted in sustained improvement in glycaemic control with weight loss through four years. </w:t>
            </w:r>
          </w:p>
        </w:tc>
        <w:tc>
          <w:tcPr>
            <w:tcW w:w="1177" w:type="pct"/>
            <w:tcBorders>
              <w:top w:val="nil"/>
              <w:left w:val="single" w:sz="4" w:space="0" w:color="auto"/>
              <w:bottom w:val="nil"/>
            </w:tcBorders>
            <w:vAlign w:val="center"/>
          </w:tcPr>
          <w:p w:rsidR="00D60C27" w:rsidRPr="00BD6C8A" w:rsidRDefault="00D60C27" w:rsidP="00CF27A3">
            <w:pPr>
              <w:pStyle w:val="Tabletext"/>
              <w:keepNext/>
              <w:keepLines/>
              <w:rPr>
                <w:szCs w:val="18"/>
                <w:lang w:eastAsia="en-AU"/>
              </w:rPr>
            </w:pPr>
            <w:proofErr w:type="spellStart"/>
            <w:r w:rsidRPr="00BD6C8A">
              <w:rPr>
                <w:szCs w:val="18"/>
                <w:lang w:eastAsia="en-AU"/>
              </w:rPr>
              <w:t>Diabetologia</w:t>
            </w:r>
            <w:proofErr w:type="spellEnd"/>
            <w:r w:rsidRPr="00BD6C8A">
              <w:rPr>
                <w:szCs w:val="18"/>
                <w:lang w:eastAsia="en-AU"/>
              </w:rPr>
              <w:t>. 2012. 55 SUPPL. 1 (S8). Date of Publication: October 2012</w:t>
            </w:r>
          </w:p>
        </w:tc>
      </w:tr>
      <w:tr w:rsidR="00D60C27" w:rsidRPr="00BD6C8A" w:rsidTr="00D67157">
        <w:tc>
          <w:tcPr>
            <w:tcW w:w="796" w:type="pct"/>
            <w:vMerge/>
            <w:vAlign w:val="center"/>
          </w:tcPr>
          <w:p w:rsidR="00D60C27" w:rsidRPr="00BD6C8A" w:rsidRDefault="00D60C27" w:rsidP="00CF27A3">
            <w:pPr>
              <w:pStyle w:val="Tabletext"/>
              <w:keepNext/>
              <w:keepLines/>
            </w:pPr>
          </w:p>
        </w:tc>
        <w:tc>
          <w:tcPr>
            <w:tcW w:w="3027" w:type="pct"/>
            <w:tcBorders>
              <w:top w:val="nil"/>
              <w:bottom w:val="single" w:sz="4" w:space="0" w:color="auto"/>
              <w:right w:val="single" w:sz="4" w:space="0" w:color="auto"/>
            </w:tcBorders>
          </w:tcPr>
          <w:p w:rsidR="00D60C27" w:rsidRPr="00BD6C8A" w:rsidRDefault="00D60C27" w:rsidP="00CF27A3">
            <w:pPr>
              <w:pStyle w:val="Tabletext"/>
              <w:keepNext/>
              <w:keepLines/>
              <w:rPr>
                <w:szCs w:val="18"/>
                <w:lang w:eastAsia="en-AU"/>
              </w:rPr>
            </w:pPr>
            <w:r w:rsidRPr="00BD6C8A">
              <w:rPr>
                <w:szCs w:val="18"/>
                <w:lang w:eastAsia="en-AU"/>
              </w:rPr>
              <w:t xml:space="preserve">Henry R et al: Efficacy and Tolerability of </w:t>
            </w:r>
            <w:proofErr w:type="spellStart"/>
            <w:r w:rsidRPr="00BD6C8A">
              <w:rPr>
                <w:szCs w:val="18"/>
                <w:lang w:eastAsia="en-AU"/>
              </w:rPr>
              <w:t>Exenatide</w:t>
            </w:r>
            <w:proofErr w:type="spellEnd"/>
            <w:r w:rsidRPr="00BD6C8A">
              <w:rPr>
                <w:szCs w:val="18"/>
                <w:lang w:eastAsia="en-AU"/>
              </w:rPr>
              <w:t xml:space="preserve"> Once Weekly over 6 Years in Patients with Type 2 Diabetes: An Uncontrolled Open Label Extension of the DURATION 1 Study.</w:t>
            </w:r>
          </w:p>
        </w:tc>
        <w:tc>
          <w:tcPr>
            <w:tcW w:w="1177" w:type="pct"/>
            <w:tcBorders>
              <w:top w:val="nil"/>
              <w:left w:val="single" w:sz="4" w:space="0" w:color="auto"/>
              <w:bottom w:val="single" w:sz="4" w:space="0" w:color="auto"/>
            </w:tcBorders>
            <w:vAlign w:val="center"/>
          </w:tcPr>
          <w:p w:rsidR="00D60C27" w:rsidRPr="00BD6C8A" w:rsidRDefault="00D60C27" w:rsidP="00CF27A3">
            <w:pPr>
              <w:pStyle w:val="Tabletext"/>
              <w:keepNext/>
              <w:keepLines/>
              <w:rPr>
                <w:szCs w:val="18"/>
                <w:lang w:eastAsia="en-AU"/>
              </w:rPr>
            </w:pPr>
            <w:r w:rsidRPr="00BD6C8A">
              <w:rPr>
                <w:szCs w:val="18"/>
                <w:lang w:eastAsia="en-AU"/>
              </w:rPr>
              <w:t>Diabetes Technology and Therapeutics 2016; 18:677 86.</w:t>
            </w:r>
          </w:p>
        </w:tc>
      </w:tr>
      <w:tr w:rsidR="00D60C27" w:rsidRPr="00BD6C8A" w:rsidTr="00D67157">
        <w:tc>
          <w:tcPr>
            <w:tcW w:w="796" w:type="pct"/>
            <w:vMerge w:val="restart"/>
            <w:vAlign w:val="center"/>
          </w:tcPr>
          <w:p w:rsidR="00D60C27" w:rsidRPr="00BD6C8A" w:rsidRDefault="00D60C27" w:rsidP="00CF27A3">
            <w:pPr>
              <w:pStyle w:val="Tabletext"/>
              <w:keepNext/>
              <w:keepLines/>
            </w:pPr>
            <w:r w:rsidRPr="00BD6C8A">
              <w:t>DURATION-5</w:t>
            </w:r>
          </w:p>
          <w:p w:rsidR="00D60C27" w:rsidRPr="00BD6C8A" w:rsidRDefault="00D60C27" w:rsidP="00CF27A3">
            <w:pPr>
              <w:pStyle w:val="Tabletext"/>
              <w:keepNext/>
              <w:keepLines/>
            </w:pPr>
            <w:r w:rsidRPr="00BD6C8A">
              <w:t>(study 108)</w:t>
            </w:r>
          </w:p>
        </w:tc>
        <w:tc>
          <w:tcPr>
            <w:tcW w:w="3027" w:type="pct"/>
            <w:tcBorders>
              <w:bottom w:val="nil"/>
              <w:right w:val="single" w:sz="4" w:space="0" w:color="auto"/>
            </w:tcBorders>
            <w:vAlign w:val="center"/>
          </w:tcPr>
          <w:p w:rsidR="00D60C27" w:rsidRPr="00BD6C8A" w:rsidRDefault="00D60C27" w:rsidP="00CF27A3">
            <w:pPr>
              <w:pStyle w:val="Tabletext"/>
              <w:keepNext/>
              <w:keepLines/>
              <w:rPr>
                <w:szCs w:val="18"/>
              </w:rPr>
            </w:pPr>
            <w:r w:rsidRPr="00BD6C8A">
              <w:rPr>
                <w:szCs w:val="18"/>
              </w:rPr>
              <w:t xml:space="preserve">Clinical Study Report BCB108: A randomised, open label, parallel group, comparator controlled, multicentre study to evaluate </w:t>
            </w:r>
            <w:proofErr w:type="spellStart"/>
            <w:r w:rsidRPr="00BD6C8A">
              <w:rPr>
                <w:szCs w:val="18"/>
              </w:rPr>
              <w:t>glycemic</w:t>
            </w:r>
            <w:proofErr w:type="spellEnd"/>
            <w:r w:rsidRPr="00BD6C8A">
              <w:rPr>
                <w:szCs w:val="18"/>
              </w:rPr>
              <w:t xml:space="preserve"> effects, safety, and tolerability of </w:t>
            </w:r>
            <w:proofErr w:type="spellStart"/>
            <w:r w:rsidRPr="00BD6C8A">
              <w:rPr>
                <w:szCs w:val="18"/>
              </w:rPr>
              <w:t>exenatide</w:t>
            </w:r>
            <w:proofErr w:type="spellEnd"/>
            <w:r w:rsidRPr="00BD6C8A">
              <w:rPr>
                <w:szCs w:val="18"/>
              </w:rPr>
              <w:t xml:space="preserve"> weekly in subjects with type 2 diabetes mellitus. </w:t>
            </w:r>
          </w:p>
        </w:tc>
        <w:tc>
          <w:tcPr>
            <w:tcW w:w="1177" w:type="pct"/>
            <w:tcBorders>
              <w:left w:val="single" w:sz="4" w:space="0" w:color="auto"/>
              <w:bottom w:val="nil"/>
            </w:tcBorders>
            <w:vAlign w:val="center"/>
          </w:tcPr>
          <w:p w:rsidR="00D60C27" w:rsidRPr="00BD6C8A" w:rsidRDefault="00D60C27" w:rsidP="00CF27A3">
            <w:pPr>
              <w:pStyle w:val="Tabletext"/>
              <w:keepNext/>
              <w:keepLines/>
              <w:rPr>
                <w:i/>
              </w:rPr>
            </w:pPr>
            <w:r w:rsidRPr="00BD6C8A">
              <w:rPr>
                <w:szCs w:val="18"/>
              </w:rPr>
              <w:t>22 January 2010.</w:t>
            </w:r>
          </w:p>
        </w:tc>
      </w:tr>
      <w:tr w:rsidR="00D60C27" w:rsidRPr="00BD6C8A" w:rsidTr="00D67157">
        <w:tc>
          <w:tcPr>
            <w:tcW w:w="796" w:type="pct"/>
            <w:vMerge/>
            <w:vAlign w:val="center"/>
          </w:tcPr>
          <w:p w:rsidR="00D60C27" w:rsidRPr="00BD6C8A" w:rsidRDefault="00D60C27" w:rsidP="00CF27A3">
            <w:pPr>
              <w:pStyle w:val="Tabletext"/>
              <w:keepNext/>
              <w:keepLines/>
            </w:pPr>
          </w:p>
        </w:tc>
        <w:tc>
          <w:tcPr>
            <w:tcW w:w="3027" w:type="pct"/>
            <w:tcBorders>
              <w:top w:val="nil"/>
              <w:right w:val="single" w:sz="4" w:space="0" w:color="auto"/>
            </w:tcBorders>
            <w:vAlign w:val="center"/>
          </w:tcPr>
          <w:p w:rsidR="00D60C27" w:rsidRPr="00BD6C8A" w:rsidRDefault="00D60C27" w:rsidP="00CF27A3">
            <w:pPr>
              <w:pStyle w:val="Tabletext"/>
              <w:keepNext/>
              <w:keepLines/>
              <w:rPr>
                <w:szCs w:val="18"/>
              </w:rPr>
            </w:pPr>
            <w:r w:rsidRPr="00BD6C8A">
              <w:rPr>
                <w:szCs w:val="18"/>
              </w:rPr>
              <w:t xml:space="preserve">Blevins T et al: DURATION 5: </w:t>
            </w:r>
            <w:proofErr w:type="spellStart"/>
            <w:r w:rsidRPr="00BD6C8A">
              <w:rPr>
                <w:szCs w:val="18"/>
              </w:rPr>
              <w:t>Exenatide</w:t>
            </w:r>
            <w:proofErr w:type="spellEnd"/>
            <w:r w:rsidRPr="00BD6C8A">
              <w:rPr>
                <w:szCs w:val="18"/>
              </w:rPr>
              <w:t xml:space="preserve"> once weekly resulted in greater improvements in glycaemic control compared with </w:t>
            </w:r>
            <w:proofErr w:type="spellStart"/>
            <w:r w:rsidRPr="00BD6C8A">
              <w:rPr>
                <w:szCs w:val="18"/>
              </w:rPr>
              <w:t>exenatide</w:t>
            </w:r>
            <w:proofErr w:type="spellEnd"/>
            <w:r w:rsidRPr="00BD6C8A">
              <w:rPr>
                <w:szCs w:val="18"/>
              </w:rPr>
              <w:t xml:space="preserve"> twice daily in patients with type 2 diabetes.</w:t>
            </w:r>
          </w:p>
        </w:tc>
        <w:tc>
          <w:tcPr>
            <w:tcW w:w="1177" w:type="pct"/>
            <w:tcBorders>
              <w:top w:val="nil"/>
              <w:left w:val="single" w:sz="4" w:space="0" w:color="auto"/>
            </w:tcBorders>
            <w:vAlign w:val="center"/>
          </w:tcPr>
          <w:p w:rsidR="00D60C27" w:rsidRPr="00BD6C8A" w:rsidRDefault="00D60C27" w:rsidP="00CF27A3">
            <w:pPr>
              <w:pStyle w:val="Tabletext"/>
              <w:keepNext/>
              <w:keepLines/>
              <w:rPr>
                <w:szCs w:val="18"/>
              </w:rPr>
            </w:pPr>
            <w:r w:rsidRPr="00BD6C8A">
              <w:rPr>
                <w:szCs w:val="18"/>
              </w:rPr>
              <w:t xml:space="preserve">J </w:t>
            </w:r>
            <w:proofErr w:type="spellStart"/>
            <w:r w:rsidRPr="00BD6C8A">
              <w:rPr>
                <w:szCs w:val="18"/>
              </w:rPr>
              <w:t>Clin</w:t>
            </w:r>
            <w:proofErr w:type="spellEnd"/>
            <w:r w:rsidRPr="00BD6C8A">
              <w:rPr>
                <w:szCs w:val="18"/>
              </w:rPr>
              <w:t xml:space="preserve"> </w:t>
            </w:r>
            <w:proofErr w:type="spellStart"/>
            <w:r w:rsidRPr="00BD6C8A">
              <w:rPr>
                <w:szCs w:val="18"/>
              </w:rPr>
              <w:t>Endocrinol</w:t>
            </w:r>
            <w:proofErr w:type="spellEnd"/>
            <w:r w:rsidRPr="00BD6C8A">
              <w:rPr>
                <w:szCs w:val="18"/>
              </w:rPr>
              <w:t xml:space="preserve"> </w:t>
            </w:r>
            <w:proofErr w:type="spellStart"/>
            <w:r w:rsidRPr="00BD6C8A">
              <w:rPr>
                <w:szCs w:val="18"/>
              </w:rPr>
              <w:t>Metab</w:t>
            </w:r>
            <w:proofErr w:type="spellEnd"/>
            <w:r w:rsidRPr="00BD6C8A">
              <w:rPr>
                <w:szCs w:val="18"/>
              </w:rPr>
              <w:t>. 2011: 96</w:t>
            </w:r>
            <w:proofErr w:type="gramStart"/>
            <w:r w:rsidRPr="00BD6C8A">
              <w:rPr>
                <w:szCs w:val="18"/>
              </w:rPr>
              <w:t>;1301</w:t>
            </w:r>
            <w:proofErr w:type="gramEnd"/>
            <w:r w:rsidRPr="00BD6C8A">
              <w:rPr>
                <w:szCs w:val="18"/>
              </w:rPr>
              <w:t xml:space="preserve"> 10.</w:t>
            </w:r>
          </w:p>
        </w:tc>
      </w:tr>
    </w:tbl>
    <w:p w:rsidR="00D60C27" w:rsidRPr="00BD6C8A" w:rsidRDefault="00D60C27" w:rsidP="00CF27A3">
      <w:pPr>
        <w:pStyle w:val="TableFooter"/>
        <w:keepNext/>
        <w:keepLines/>
        <w:widowControl/>
        <w:rPr>
          <w:sz w:val="20"/>
        </w:rPr>
      </w:pPr>
      <w:r w:rsidRPr="00BD6C8A">
        <w:t xml:space="preserve">Source: table 2-6, pp32-33 of the submission, </w:t>
      </w:r>
      <w:proofErr w:type="spellStart"/>
      <w:r w:rsidRPr="00BD6C8A">
        <w:t>Wysham</w:t>
      </w:r>
      <w:proofErr w:type="spellEnd"/>
      <w:r w:rsidRPr="00BD6C8A">
        <w:t xml:space="preserve"> et al 2017, Blevins et al 2011 and Drucker et al 2018. </w:t>
      </w:r>
    </w:p>
    <w:p w:rsidR="00D60C27" w:rsidRPr="00BD6C8A" w:rsidRDefault="00D60C27" w:rsidP="000B18B2">
      <w:pPr>
        <w:widowControl/>
      </w:pPr>
    </w:p>
    <w:p w:rsidR="00C3544C" w:rsidRPr="00BD6C8A" w:rsidRDefault="00D60C27" w:rsidP="00592178">
      <w:pPr>
        <w:pStyle w:val="ListParagraph"/>
        <w:widowControl/>
        <w:numPr>
          <w:ilvl w:val="1"/>
          <w:numId w:val="1"/>
        </w:numPr>
        <w:spacing w:before="120"/>
        <w:jc w:val="left"/>
        <w:rPr>
          <w:rFonts w:ascii="Arial Narrow" w:hAnsi="Arial Narrow"/>
          <w:b/>
          <w:bCs/>
          <w:sz w:val="20"/>
          <w:szCs w:val="20"/>
        </w:rPr>
      </w:pPr>
      <w:r w:rsidRPr="00BD6C8A">
        <w:t xml:space="preserve">The key features of the direct randomised trials included in the indirect comparison (with </w:t>
      </w:r>
      <w:proofErr w:type="spellStart"/>
      <w:r w:rsidRPr="00BD6C8A">
        <w:t>exenatide</w:t>
      </w:r>
      <w:proofErr w:type="spellEnd"/>
      <w:r w:rsidRPr="00BD6C8A">
        <w:t xml:space="preserve"> twice daily as the common comparator) are summarised in </w:t>
      </w:r>
      <w:r w:rsidR="00D67157" w:rsidRPr="00BD6C8A">
        <w:rPr>
          <w:rFonts w:asciiTheme="minorHAnsi" w:hAnsiTheme="minorHAnsi" w:cstheme="minorHAnsi"/>
          <w:szCs w:val="24"/>
        </w:rPr>
        <w:t>Table 3</w:t>
      </w:r>
      <w:r w:rsidRPr="00BD6C8A">
        <w:rPr>
          <w:rFonts w:asciiTheme="minorHAnsi" w:hAnsiTheme="minorHAnsi" w:cstheme="minorHAnsi"/>
          <w:szCs w:val="24"/>
        </w:rPr>
        <w:t>.</w:t>
      </w:r>
      <w:bookmarkStart w:id="9" w:name="_Ref532160075"/>
      <w:r w:rsidR="00605337" w:rsidRPr="00BD6C8A">
        <w:t xml:space="preserve"> </w:t>
      </w:r>
    </w:p>
    <w:p w:rsidR="00D60C27" w:rsidRPr="00BD6C8A" w:rsidRDefault="00D67157" w:rsidP="000B18B2">
      <w:pPr>
        <w:widowControl/>
        <w:jc w:val="left"/>
        <w:rPr>
          <w:rStyle w:val="CommentReference"/>
          <w:bCs/>
          <w:szCs w:val="20"/>
        </w:rPr>
      </w:pPr>
      <w:r w:rsidRPr="00BD6C8A">
        <w:rPr>
          <w:rFonts w:ascii="Arial Narrow" w:hAnsi="Arial Narrow"/>
          <w:b/>
          <w:sz w:val="20"/>
          <w:szCs w:val="20"/>
        </w:rPr>
        <w:t xml:space="preserve">Table </w:t>
      </w:r>
      <w:r w:rsidR="008B4B04" w:rsidRPr="00BD6C8A">
        <w:rPr>
          <w:rFonts w:ascii="Arial Narrow" w:hAnsi="Arial Narrow"/>
          <w:b/>
          <w:sz w:val="20"/>
          <w:szCs w:val="20"/>
        </w:rPr>
        <w:t>3</w:t>
      </w:r>
      <w:bookmarkEnd w:id="9"/>
      <w:r w:rsidRPr="00BD6C8A">
        <w:rPr>
          <w:rFonts w:ascii="Arial Narrow" w:hAnsi="Arial Narrow"/>
          <w:b/>
          <w:sz w:val="20"/>
          <w:szCs w:val="20"/>
        </w:rPr>
        <w:t>:</w:t>
      </w:r>
      <w:r w:rsidR="00D60C27" w:rsidRPr="00BD6C8A">
        <w:rPr>
          <w:rStyle w:val="CommentReference"/>
          <w:b w:val="0"/>
          <w:szCs w:val="20"/>
        </w:rPr>
        <w:t xml:space="preserve"> </w:t>
      </w:r>
      <w:r w:rsidR="00D60C27" w:rsidRPr="00BD6C8A">
        <w:rPr>
          <w:rStyle w:val="CommentReference"/>
          <w:szCs w:val="20"/>
        </w:rPr>
        <w:t>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3: Key features of the included evidence – indirect comparison"/>
      </w:tblPr>
      <w:tblGrid>
        <w:gridCol w:w="1290"/>
        <w:gridCol w:w="837"/>
        <w:gridCol w:w="1399"/>
        <w:gridCol w:w="1109"/>
        <w:gridCol w:w="1529"/>
        <w:gridCol w:w="2853"/>
      </w:tblGrid>
      <w:tr w:rsidR="00D60C27" w:rsidRPr="00BD6C8A" w:rsidTr="00E87DCC">
        <w:trPr>
          <w:tblHeader/>
        </w:trPr>
        <w:tc>
          <w:tcPr>
            <w:tcW w:w="715" w:type="pct"/>
            <w:shd w:val="clear" w:color="auto" w:fill="auto"/>
            <w:vAlign w:val="center"/>
          </w:tcPr>
          <w:p w:rsidR="00D60C27" w:rsidRPr="00BD6C8A" w:rsidRDefault="00D60C27" w:rsidP="000B18B2">
            <w:pPr>
              <w:pStyle w:val="Tabletext"/>
              <w:rPr>
                <w:b/>
              </w:rPr>
            </w:pPr>
            <w:r w:rsidRPr="00BD6C8A">
              <w:rPr>
                <w:b/>
              </w:rPr>
              <w:t>Trial</w:t>
            </w:r>
          </w:p>
        </w:tc>
        <w:tc>
          <w:tcPr>
            <w:tcW w:w="464" w:type="pct"/>
            <w:shd w:val="clear" w:color="auto" w:fill="auto"/>
            <w:vAlign w:val="center"/>
          </w:tcPr>
          <w:p w:rsidR="00D60C27" w:rsidRPr="00BD6C8A" w:rsidRDefault="00D60C27" w:rsidP="000B18B2">
            <w:pPr>
              <w:pStyle w:val="Tabletext"/>
              <w:jc w:val="center"/>
              <w:rPr>
                <w:b/>
              </w:rPr>
            </w:pPr>
            <w:r w:rsidRPr="00BD6C8A">
              <w:rPr>
                <w:b/>
              </w:rPr>
              <w:t>N</w:t>
            </w:r>
          </w:p>
        </w:tc>
        <w:tc>
          <w:tcPr>
            <w:tcW w:w="776" w:type="pct"/>
            <w:shd w:val="clear" w:color="auto" w:fill="auto"/>
            <w:vAlign w:val="center"/>
          </w:tcPr>
          <w:p w:rsidR="00D60C27" w:rsidRPr="00BD6C8A" w:rsidRDefault="00D60C27" w:rsidP="000B18B2">
            <w:pPr>
              <w:pStyle w:val="Tabletext"/>
              <w:jc w:val="center"/>
              <w:rPr>
                <w:b/>
              </w:rPr>
            </w:pPr>
            <w:r w:rsidRPr="00BD6C8A">
              <w:rPr>
                <w:b/>
              </w:rPr>
              <w:t>Design/ duration</w:t>
            </w:r>
          </w:p>
        </w:tc>
        <w:tc>
          <w:tcPr>
            <w:tcW w:w="615" w:type="pct"/>
            <w:shd w:val="clear" w:color="auto" w:fill="auto"/>
            <w:vAlign w:val="center"/>
          </w:tcPr>
          <w:p w:rsidR="00D60C27" w:rsidRPr="00BD6C8A" w:rsidRDefault="00D60C27" w:rsidP="000B18B2">
            <w:pPr>
              <w:pStyle w:val="Tabletext"/>
              <w:jc w:val="center"/>
              <w:rPr>
                <w:b/>
              </w:rPr>
            </w:pPr>
            <w:r w:rsidRPr="00BD6C8A">
              <w:rPr>
                <w:b/>
              </w:rPr>
              <w:t>Risk of bias</w:t>
            </w:r>
          </w:p>
        </w:tc>
        <w:tc>
          <w:tcPr>
            <w:tcW w:w="848" w:type="pct"/>
            <w:shd w:val="clear" w:color="auto" w:fill="auto"/>
            <w:vAlign w:val="center"/>
          </w:tcPr>
          <w:p w:rsidR="00D60C27" w:rsidRPr="00BD6C8A" w:rsidRDefault="00D60C27" w:rsidP="000B18B2">
            <w:pPr>
              <w:pStyle w:val="Tabletext"/>
              <w:jc w:val="center"/>
              <w:rPr>
                <w:b/>
              </w:rPr>
            </w:pPr>
            <w:r w:rsidRPr="00BD6C8A">
              <w:rPr>
                <w:b/>
              </w:rPr>
              <w:t>Patient population</w:t>
            </w:r>
          </w:p>
        </w:tc>
        <w:tc>
          <w:tcPr>
            <w:tcW w:w="1582" w:type="pct"/>
            <w:shd w:val="clear" w:color="auto" w:fill="auto"/>
            <w:vAlign w:val="center"/>
          </w:tcPr>
          <w:p w:rsidR="00D60C27" w:rsidRPr="00BD6C8A" w:rsidRDefault="00D60C27" w:rsidP="000B18B2">
            <w:pPr>
              <w:pStyle w:val="Tabletext"/>
              <w:jc w:val="center"/>
              <w:rPr>
                <w:b/>
              </w:rPr>
            </w:pPr>
            <w:r w:rsidRPr="00BD6C8A">
              <w:rPr>
                <w:b/>
              </w:rPr>
              <w:t>Outcome(s)</w:t>
            </w:r>
          </w:p>
        </w:tc>
      </w:tr>
      <w:tr w:rsidR="00D60C27" w:rsidRPr="00BD6C8A" w:rsidTr="00E87DCC">
        <w:tc>
          <w:tcPr>
            <w:tcW w:w="5000" w:type="pct"/>
            <w:gridSpan w:val="6"/>
            <w:shd w:val="clear" w:color="auto" w:fill="auto"/>
            <w:vAlign w:val="center"/>
          </w:tcPr>
          <w:p w:rsidR="00D60C27" w:rsidRPr="00BD6C8A" w:rsidRDefault="00D60C27" w:rsidP="000B18B2">
            <w:pPr>
              <w:pStyle w:val="Tabletext"/>
              <w:rPr>
                <w:b/>
              </w:rPr>
            </w:pPr>
            <w:proofErr w:type="spellStart"/>
            <w:r w:rsidRPr="00BD6C8A">
              <w:rPr>
                <w:b/>
              </w:rPr>
              <w:t>Exenatide</w:t>
            </w:r>
            <w:proofErr w:type="spellEnd"/>
            <w:r w:rsidRPr="00BD6C8A">
              <w:rPr>
                <w:b/>
              </w:rPr>
              <w:t xml:space="preserve"> </w:t>
            </w:r>
            <w:proofErr w:type="spellStart"/>
            <w:r w:rsidRPr="00BD6C8A">
              <w:rPr>
                <w:b/>
              </w:rPr>
              <w:t>autoinjector</w:t>
            </w:r>
            <w:proofErr w:type="spellEnd"/>
            <w:r w:rsidRPr="00BD6C8A">
              <w:rPr>
                <w:b/>
              </w:rPr>
              <w:t xml:space="preserve"> vs </w:t>
            </w:r>
            <w:proofErr w:type="spellStart"/>
            <w:r w:rsidRPr="00BD6C8A">
              <w:rPr>
                <w:b/>
              </w:rPr>
              <w:t>exenatide</w:t>
            </w:r>
            <w:proofErr w:type="spellEnd"/>
            <w:r w:rsidRPr="00BD6C8A">
              <w:rPr>
                <w:b/>
              </w:rPr>
              <w:t xml:space="preserve"> twice daily </w:t>
            </w:r>
          </w:p>
        </w:tc>
      </w:tr>
      <w:tr w:rsidR="00D60C27" w:rsidRPr="00BD6C8A" w:rsidTr="00E87DCC">
        <w:tc>
          <w:tcPr>
            <w:tcW w:w="715" w:type="pct"/>
            <w:shd w:val="clear" w:color="auto" w:fill="auto"/>
            <w:vAlign w:val="center"/>
          </w:tcPr>
          <w:p w:rsidR="00D60C27" w:rsidRPr="00BD6C8A" w:rsidRDefault="00D60C27" w:rsidP="000B18B2">
            <w:pPr>
              <w:pStyle w:val="Tabletext"/>
            </w:pPr>
            <w:r w:rsidRPr="00BD6C8A">
              <w:t>NEO-1</w:t>
            </w:r>
          </w:p>
        </w:tc>
        <w:tc>
          <w:tcPr>
            <w:tcW w:w="464" w:type="pct"/>
            <w:shd w:val="clear" w:color="auto" w:fill="auto"/>
            <w:vAlign w:val="center"/>
          </w:tcPr>
          <w:p w:rsidR="00D60C27" w:rsidRPr="00BD6C8A" w:rsidRDefault="00D60C27" w:rsidP="000B18B2">
            <w:pPr>
              <w:pStyle w:val="Tabletext"/>
              <w:jc w:val="center"/>
            </w:pPr>
            <w:r w:rsidRPr="00BD6C8A">
              <w:t>377</w:t>
            </w:r>
          </w:p>
        </w:tc>
        <w:tc>
          <w:tcPr>
            <w:tcW w:w="776" w:type="pct"/>
            <w:shd w:val="clear" w:color="auto" w:fill="auto"/>
            <w:vAlign w:val="center"/>
          </w:tcPr>
          <w:p w:rsidR="00D60C27" w:rsidRPr="00BD6C8A" w:rsidRDefault="00D60C27" w:rsidP="000B18B2">
            <w:pPr>
              <w:pStyle w:val="Tabletext"/>
              <w:jc w:val="center"/>
            </w:pPr>
            <w:r w:rsidRPr="00BD6C8A">
              <w:t>R, OL, 28 weeks</w:t>
            </w:r>
          </w:p>
        </w:tc>
        <w:tc>
          <w:tcPr>
            <w:tcW w:w="615" w:type="pct"/>
            <w:shd w:val="clear" w:color="auto" w:fill="auto"/>
            <w:vAlign w:val="center"/>
          </w:tcPr>
          <w:p w:rsidR="00D60C27" w:rsidRPr="00BD6C8A" w:rsidRDefault="00D60C27" w:rsidP="000B18B2">
            <w:pPr>
              <w:pStyle w:val="Tabletext"/>
              <w:jc w:val="center"/>
            </w:pPr>
            <w:r w:rsidRPr="00BD6C8A">
              <w:t>High</w:t>
            </w:r>
          </w:p>
        </w:tc>
        <w:tc>
          <w:tcPr>
            <w:tcW w:w="848" w:type="pct"/>
            <w:shd w:val="clear" w:color="auto" w:fill="auto"/>
            <w:vAlign w:val="center"/>
          </w:tcPr>
          <w:p w:rsidR="00D60C27" w:rsidRPr="00BD6C8A" w:rsidRDefault="00D60C27" w:rsidP="000B18B2">
            <w:pPr>
              <w:pStyle w:val="Tabletext"/>
              <w:jc w:val="center"/>
            </w:pPr>
            <w:r w:rsidRPr="00BD6C8A">
              <w:t>T2DM with HbA1c 7.1%-11.00%</w:t>
            </w:r>
          </w:p>
        </w:tc>
        <w:tc>
          <w:tcPr>
            <w:tcW w:w="1582" w:type="pct"/>
            <w:shd w:val="clear" w:color="auto" w:fill="auto"/>
            <w:vAlign w:val="center"/>
          </w:tcPr>
          <w:p w:rsidR="00D60C27" w:rsidRPr="00BD6C8A" w:rsidRDefault="00D60C27" w:rsidP="000B18B2">
            <w:pPr>
              <w:pStyle w:val="Tabletext"/>
              <w:jc w:val="center"/>
            </w:pPr>
            <w:r w:rsidRPr="00BD6C8A">
              <w:t>Change in HbA1c% from baseline, incidence of adverse events</w:t>
            </w:r>
          </w:p>
        </w:tc>
      </w:tr>
      <w:tr w:rsidR="00D60C27" w:rsidRPr="00BD6C8A" w:rsidTr="00E87DCC">
        <w:tc>
          <w:tcPr>
            <w:tcW w:w="5000" w:type="pct"/>
            <w:gridSpan w:val="6"/>
            <w:shd w:val="clear" w:color="auto" w:fill="auto"/>
            <w:vAlign w:val="center"/>
          </w:tcPr>
          <w:p w:rsidR="00D60C27" w:rsidRPr="00BD6C8A" w:rsidRDefault="00D60C27" w:rsidP="000B18B2">
            <w:pPr>
              <w:pStyle w:val="Tabletext"/>
              <w:rPr>
                <w:b/>
              </w:rPr>
            </w:pPr>
            <w:proofErr w:type="spellStart"/>
            <w:r w:rsidRPr="00BD6C8A">
              <w:rPr>
                <w:b/>
              </w:rPr>
              <w:t>Exenatide</w:t>
            </w:r>
            <w:proofErr w:type="spellEnd"/>
            <w:r w:rsidRPr="00BD6C8A">
              <w:rPr>
                <w:b/>
              </w:rPr>
              <w:t xml:space="preserve"> DCP vs </w:t>
            </w:r>
            <w:proofErr w:type="spellStart"/>
            <w:r w:rsidRPr="00BD6C8A">
              <w:rPr>
                <w:b/>
              </w:rPr>
              <w:t>exenatide</w:t>
            </w:r>
            <w:proofErr w:type="spellEnd"/>
            <w:r w:rsidRPr="00BD6C8A">
              <w:rPr>
                <w:b/>
              </w:rPr>
              <w:t xml:space="preserve"> twice daily </w:t>
            </w:r>
          </w:p>
        </w:tc>
      </w:tr>
      <w:tr w:rsidR="00D60C27" w:rsidRPr="00BD6C8A" w:rsidTr="00E87DCC">
        <w:tc>
          <w:tcPr>
            <w:tcW w:w="715" w:type="pct"/>
            <w:shd w:val="clear" w:color="auto" w:fill="auto"/>
            <w:vAlign w:val="center"/>
          </w:tcPr>
          <w:p w:rsidR="00D60C27" w:rsidRPr="00BD6C8A" w:rsidRDefault="00D60C27" w:rsidP="000B18B2">
            <w:pPr>
              <w:pStyle w:val="Tabletext"/>
            </w:pPr>
            <w:r w:rsidRPr="00BD6C8A">
              <w:t>DURATION-1</w:t>
            </w:r>
          </w:p>
        </w:tc>
        <w:tc>
          <w:tcPr>
            <w:tcW w:w="464" w:type="pct"/>
            <w:shd w:val="clear" w:color="auto" w:fill="auto"/>
            <w:vAlign w:val="center"/>
          </w:tcPr>
          <w:p w:rsidR="00D60C27" w:rsidRPr="00BD6C8A" w:rsidRDefault="00D60C27" w:rsidP="000B18B2">
            <w:pPr>
              <w:pStyle w:val="Tabletext"/>
              <w:jc w:val="center"/>
            </w:pPr>
            <w:r w:rsidRPr="00BD6C8A">
              <w:t>293</w:t>
            </w:r>
          </w:p>
        </w:tc>
        <w:tc>
          <w:tcPr>
            <w:tcW w:w="776" w:type="pct"/>
            <w:shd w:val="clear" w:color="auto" w:fill="auto"/>
            <w:vAlign w:val="center"/>
          </w:tcPr>
          <w:p w:rsidR="00D60C27" w:rsidRPr="00BD6C8A" w:rsidRDefault="00D60C27" w:rsidP="000B18B2">
            <w:pPr>
              <w:pStyle w:val="Tabletext"/>
              <w:jc w:val="center"/>
            </w:pPr>
            <w:r w:rsidRPr="00BD6C8A">
              <w:t>R, OL, 30 weeks</w:t>
            </w:r>
          </w:p>
        </w:tc>
        <w:tc>
          <w:tcPr>
            <w:tcW w:w="615" w:type="pct"/>
            <w:shd w:val="clear" w:color="auto" w:fill="auto"/>
            <w:vAlign w:val="center"/>
          </w:tcPr>
          <w:p w:rsidR="00D60C27" w:rsidRPr="00BD6C8A" w:rsidRDefault="00D60C27" w:rsidP="000B18B2">
            <w:pPr>
              <w:pStyle w:val="Tabletext"/>
              <w:jc w:val="center"/>
            </w:pPr>
            <w:r w:rsidRPr="00BD6C8A">
              <w:t>High</w:t>
            </w:r>
          </w:p>
        </w:tc>
        <w:tc>
          <w:tcPr>
            <w:tcW w:w="848" w:type="pct"/>
            <w:shd w:val="clear" w:color="auto" w:fill="auto"/>
            <w:vAlign w:val="center"/>
          </w:tcPr>
          <w:p w:rsidR="00D60C27" w:rsidRPr="00BD6C8A" w:rsidRDefault="00D60C27" w:rsidP="000B18B2">
            <w:pPr>
              <w:pStyle w:val="Tabletext"/>
              <w:jc w:val="center"/>
            </w:pPr>
            <w:r w:rsidRPr="00BD6C8A">
              <w:t>T2DM with HbA1c 7.1%-11.00%</w:t>
            </w:r>
          </w:p>
        </w:tc>
        <w:tc>
          <w:tcPr>
            <w:tcW w:w="1582" w:type="pct"/>
            <w:shd w:val="clear" w:color="auto" w:fill="auto"/>
            <w:vAlign w:val="center"/>
          </w:tcPr>
          <w:p w:rsidR="00D60C27" w:rsidRPr="00BD6C8A" w:rsidRDefault="00D60C27" w:rsidP="000B18B2">
            <w:pPr>
              <w:pStyle w:val="Tabletext"/>
              <w:jc w:val="center"/>
            </w:pPr>
            <w:r w:rsidRPr="00BD6C8A">
              <w:t>Change in HbA1c% from baseline, incidence of adverse events</w:t>
            </w:r>
          </w:p>
        </w:tc>
      </w:tr>
      <w:tr w:rsidR="00D60C27" w:rsidRPr="00BD6C8A" w:rsidTr="00E87DCC">
        <w:tc>
          <w:tcPr>
            <w:tcW w:w="715" w:type="pct"/>
            <w:shd w:val="clear" w:color="auto" w:fill="auto"/>
            <w:vAlign w:val="center"/>
          </w:tcPr>
          <w:p w:rsidR="00D60C27" w:rsidRPr="00BD6C8A" w:rsidRDefault="00D60C27" w:rsidP="000B18B2">
            <w:pPr>
              <w:pStyle w:val="Tabletext"/>
            </w:pPr>
            <w:r w:rsidRPr="00BD6C8A">
              <w:t>DURATION-5</w:t>
            </w:r>
          </w:p>
        </w:tc>
        <w:tc>
          <w:tcPr>
            <w:tcW w:w="464" w:type="pct"/>
            <w:shd w:val="clear" w:color="auto" w:fill="auto"/>
            <w:vAlign w:val="center"/>
          </w:tcPr>
          <w:p w:rsidR="00D60C27" w:rsidRPr="00BD6C8A" w:rsidRDefault="00D60C27" w:rsidP="000B18B2">
            <w:pPr>
              <w:pStyle w:val="Tabletext"/>
              <w:jc w:val="center"/>
            </w:pPr>
            <w:r w:rsidRPr="00BD6C8A">
              <w:t>253</w:t>
            </w:r>
          </w:p>
        </w:tc>
        <w:tc>
          <w:tcPr>
            <w:tcW w:w="776" w:type="pct"/>
            <w:shd w:val="clear" w:color="auto" w:fill="auto"/>
            <w:vAlign w:val="center"/>
          </w:tcPr>
          <w:p w:rsidR="00D60C27" w:rsidRPr="00BD6C8A" w:rsidRDefault="00D60C27" w:rsidP="000B18B2">
            <w:pPr>
              <w:pStyle w:val="Tabletext"/>
              <w:jc w:val="center"/>
            </w:pPr>
            <w:r w:rsidRPr="00BD6C8A">
              <w:t>R, OL, 24 weeks</w:t>
            </w:r>
          </w:p>
        </w:tc>
        <w:tc>
          <w:tcPr>
            <w:tcW w:w="615" w:type="pct"/>
            <w:shd w:val="clear" w:color="auto" w:fill="auto"/>
            <w:vAlign w:val="center"/>
          </w:tcPr>
          <w:p w:rsidR="00D60C27" w:rsidRPr="00BD6C8A" w:rsidRDefault="00D60C27" w:rsidP="000B18B2">
            <w:pPr>
              <w:pStyle w:val="Tabletext"/>
              <w:jc w:val="center"/>
            </w:pPr>
            <w:r w:rsidRPr="00BD6C8A">
              <w:t>High</w:t>
            </w:r>
          </w:p>
        </w:tc>
        <w:tc>
          <w:tcPr>
            <w:tcW w:w="848" w:type="pct"/>
            <w:shd w:val="clear" w:color="auto" w:fill="auto"/>
            <w:vAlign w:val="center"/>
          </w:tcPr>
          <w:p w:rsidR="00D60C27" w:rsidRPr="00BD6C8A" w:rsidRDefault="00D60C27" w:rsidP="000B18B2">
            <w:pPr>
              <w:pStyle w:val="Tabletext"/>
              <w:jc w:val="center"/>
            </w:pPr>
            <w:r w:rsidRPr="00BD6C8A">
              <w:t>T2DM with HbA1c 7.1%-11.00%</w:t>
            </w:r>
          </w:p>
        </w:tc>
        <w:tc>
          <w:tcPr>
            <w:tcW w:w="1582" w:type="pct"/>
            <w:shd w:val="clear" w:color="auto" w:fill="auto"/>
            <w:vAlign w:val="center"/>
          </w:tcPr>
          <w:p w:rsidR="00D60C27" w:rsidRPr="00BD6C8A" w:rsidRDefault="00D60C27" w:rsidP="000B18B2">
            <w:pPr>
              <w:pStyle w:val="Tabletext"/>
              <w:jc w:val="center"/>
            </w:pPr>
            <w:r w:rsidRPr="00BD6C8A">
              <w:t>Change in HbA1c% from baseline, incidence of adverse events</w:t>
            </w:r>
          </w:p>
        </w:tc>
      </w:tr>
      <w:tr w:rsidR="00D60C27" w:rsidRPr="00BD6C8A" w:rsidTr="00E87DCC">
        <w:tc>
          <w:tcPr>
            <w:tcW w:w="715" w:type="pct"/>
            <w:shd w:val="clear" w:color="auto" w:fill="auto"/>
            <w:vAlign w:val="center"/>
          </w:tcPr>
          <w:p w:rsidR="00D60C27" w:rsidRPr="00BD6C8A" w:rsidRDefault="005A7C4F" w:rsidP="000B18B2">
            <w:pPr>
              <w:pStyle w:val="Tabletext"/>
            </w:pPr>
            <w:r w:rsidRPr="00BD6C8A">
              <w:t>Meta-analysis</w:t>
            </w:r>
          </w:p>
        </w:tc>
        <w:tc>
          <w:tcPr>
            <w:tcW w:w="464" w:type="pct"/>
            <w:shd w:val="clear" w:color="auto" w:fill="auto"/>
            <w:vAlign w:val="center"/>
          </w:tcPr>
          <w:p w:rsidR="00D60C27" w:rsidRPr="00BD6C8A" w:rsidRDefault="00D60C27" w:rsidP="000B18B2">
            <w:pPr>
              <w:pStyle w:val="Tabletext"/>
              <w:jc w:val="center"/>
            </w:pPr>
            <w:r w:rsidRPr="00BD6C8A">
              <w:t>546</w:t>
            </w:r>
          </w:p>
        </w:tc>
        <w:tc>
          <w:tcPr>
            <w:tcW w:w="3821" w:type="pct"/>
            <w:gridSpan w:val="4"/>
            <w:shd w:val="clear" w:color="auto" w:fill="auto"/>
            <w:vAlign w:val="center"/>
          </w:tcPr>
          <w:p w:rsidR="00D60C27" w:rsidRPr="00BD6C8A" w:rsidRDefault="00D60C27" w:rsidP="000B18B2">
            <w:pPr>
              <w:pStyle w:val="Tabletext"/>
              <w:jc w:val="center"/>
            </w:pPr>
            <w:r w:rsidRPr="00BD6C8A">
              <w:t>Included DURATION-1 and DURATION-5, assessed change in HbA1c% from baseline</w:t>
            </w:r>
          </w:p>
        </w:tc>
      </w:tr>
    </w:tbl>
    <w:p w:rsidR="00D60C27" w:rsidRPr="00BD6C8A" w:rsidRDefault="00D60C27" w:rsidP="000B18B2">
      <w:pPr>
        <w:pStyle w:val="Sources"/>
        <w:spacing w:before="0" w:after="0"/>
        <w:rPr>
          <w:rFonts w:ascii="Arial Narrow" w:hAnsi="Arial Narrow"/>
          <w:b/>
          <w:sz w:val="18"/>
          <w:szCs w:val="18"/>
        </w:rPr>
      </w:pPr>
      <w:r w:rsidRPr="00BD6C8A">
        <w:rPr>
          <w:rFonts w:ascii="Arial Narrow" w:hAnsi="Arial Narrow"/>
          <w:sz w:val="18"/>
          <w:szCs w:val="18"/>
        </w:rPr>
        <w:t>R=randomised; OL=open label</w:t>
      </w:r>
    </w:p>
    <w:p w:rsidR="00D60C27" w:rsidRPr="00BD6C8A" w:rsidRDefault="00AD33AE" w:rsidP="000B18B2">
      <w:pPr>
        <w:pStyle w:val="Sources"/>
        <w:spacing w:before="0" w:after="0"/>
        <w:rPr>
          <w:rFonts w:ascii="Arial Narrow" w:hAnsi="Arial Narrow"/>
          <w:sz w:val="18"/>
          <w:szCs w:val="18"/>
        </w:rPr>
      </w:pPr>
      <w:r w:rsidRPr="00BD6C8A">
        <w:rPr>
          <w:rFonts w:ascii="Arial Narrow" w:hAnsi="Arial Narrow"/>
          <w:sz w:val="18"/>
          <w:szCs w:val="18"/>
        </w:rPr>
        <w:t>Source: T</w:t>
      </w:r>
      <w:r w:rsidR="00D60C27" w:rsidRPr="00BD6C8A">
        <w:rPr>
          <w:rFonts w:ascii="Arial Narrow" w:hAnsi="Arial Narrow"/>
          <w:sz w:val="18"/>
          <w:szCs w:val="18"/>
        </w:rPr>
        <w:t xml:space="preserve">able 2-6, pp32-33 of the submission , Figure 1, </w:t>
      </w:r>
      <w:proofErr w:type="spellStart"/>
      <w:r w:rsidR="00D60C27" w:rsidRPr="00BD6C8A">
        <w:rPr>
          <w:rFonts w:ascii="Arial Narrow" w:hAnsi="Arial Narrow"/>
          <w:sz w:val="18"/>
          <w:szCs w:val="18"/>
        </w:rPr>
        <w:t>Wysham</w:t>
      </w:r>
      <w:proofErr w:type="spellEnd"/>
      <w:r w:rsidR="00D60C27" w:rsidRPr="00BD6C8A">
        <w:rPr>
          <w:rFonts w:ascii="Arial Narrow" w:hAnsi="Arial Narrow"/>
          <w:sz w:val="18"/>
          <w:szCs w:val="18"/>
        </w:rPr>
        <w:t xml:space="preserve"> et al 2017, Figure 1, Blevins et al 2011 and Figure 1, Drucker et al 2018.</w:t>
      </w:r>
    </w:p>
    <w:p w:rsidR="001E5C9B" w:rsidRPr="00BD6C8A" w:rsidRDefault="00605337" w:rsidP="00592178">
      <w:pPr>
        <w:pStyle w:val="ListParagraph"/>
        <w:widowControl/>
        <w:numPr>
          <w:ilvl w:val="1"/>
          <w:numId w:val="1"/>
        </w:numPr>
        <w:spacing w:before="120"/>
      </w:pPr>
      <w:r w:rsidRPr="00BD6C8A">
        <w:t>T</w:t>
      </w:r>
      <w:r w:rsidR="00D60C27" w:rsidRPr="00BD6C8A">
        <w:t>he proposed PBS population (</w:t>
      </w:r>
      <w:proofErr w:type="spellStart"/>
      <w:r w:rsidR="00D60C27" w:rsidRPr="00BD6C8A">
        <w:t>exenatide</w:t>
      </w:r>
      <w:proofErr w:type="spellEnd"/>
      <w:r w:rsidR="00D60C27" w:rsidRPr="00BD6C8A">
        <w:t xml:space="preserve"> as a second</w:t>
      </w:r>
      <w:r w:rsidR="00D67157" w:rsidRPr="00BD6C8A">
        <w:t>-</w:t>
      </w:r>
      <w:r w:rsidR="00D60C27" w:rsidRPr="00BD6C8A">
        <w:t xml:space="preserve"> or third</w:t>
      </w:r>
      <w:r w:rsidR="00D67157" w:rsidRPr="00BD6C8A">
        <w:t>-</w:t>
      </w:r>
      <w:r w:rsidR="00D60C27" w:rsidRPr="00BD6C8A">
        <w:t>line agent, in addition to at least one other oral antidiabetic agent) does not align with the whole trial population in NEO-1, DURATION-1 and DURATION-5 (</w:t>
      </w:r>
      <w:r w:rsidRPr="00BD6C8A">
        <w:t xml:space="preserve">where </w:t>
      </w:r>
      <w:proofErr w:type="spellStart"/>
      <w:r w:rsidR="00D60C27" w:rsidRPr="00BD6C8A">
        <w:t>exenatide</w:t>
      </w:r>
      <w:proofErr w:type="spellEnd"/>
      <w:r w:rsidR="00D60C27" w:rsidRPr="00BD6C8A">
        <w:t xml:space="preserve"> </w:t>
      </w:r>
      <w:r w:rsidR="000539C3" w:rsidRPr="00BD6C8A">
        <w:t xml:space="preserve">could </w:t>
      </w:r>
      <w:r w:rsidR="00D60C27" w:rsidRPr="00BD6C8A">
        <w:t xml:space="preserve">be used </w:t>
      </w:r>
      <w:r w:rsidR="000539C3" w:rsidRPr="00BD6C8A">
        <w:t xml:space="preserve">as </w:t>
      </w:r>
      <w:r w:rsidR="00D60C27" w:rsidRPr="00BD6C8A">
        <w:t>monotherapy alongside diet and exercise).</w:t>
      </w:r>
      <w:r w:rsidRPr="00BD6C8A">
        <w:t xml:space="preserve"> </w:t>
      </w:r>
      <w:r w:rsidR="00D60C27" w:rsidRPr="00BD6C8A">
        <w:t>Patients enrolled in the trials who were treated with diet and exercise alone are not representative of the proposed PBS population.</w:t>
      </w:r>
      <w:r w:rsidRPr="00BD6C8A">
        <w:t xml:space="preserve"> </w:t>
      </w:r>
      <w:r w:rsidR="00D60C27" w:rsidRPr="00BD6C8A">
        <w:t>However</w:t>
      </w:r>
      <w:r w:rsidR="00D67157" w:rsidRPr="00BD6C8A">
        <w:t>,</w:t>
      </w:r>
      <w:r w:rsidR="00D60C27" w:rsidRPr="00BD6C8A">
        <w:t xml:space="preserve"> </w:t>
      </w:r>
      <w:r w:rsidRPr="00BD6C8A">
        <w:t xml:space="preserve">it is unclear if </w:t>
      </w:r>
      <w:r w:rsidR="00D60C27" w:rsidRPr="00BD6C8A">
        <w:t xml:space="preserve">the efficacy of </w:t>
      </w:r>
      <w:proofErr w:type="spellStart"/>
      <w:r w:rsidR="00D60C27" w:rsidRPr="00BD6C8A">
        <w:t>exenatide</w:t>
      </w:r>
      <w:proofErr w:type="spellEnd"/>
      <w:r w:rsidR="00D60C27" w:rsidRPr="00BD6C8A">
        <w:t xml:space="preserve"> once weekly differs as monotherapy or in combination therapy.</w:t>
      </w:r>
    </w:p>
    <w:p w:rsidR="001E5C9B" w:rsidRPr="00BD6C8A" w:rsidRDefault="001E5C9B" w:rsidP="00592178">
      <w:pPr>
        <w:pStyle w:val="ListParagraph"/>
        <w:widowControl/>
        <w:numPr>
          <w:ilvl w:val="1"/>
          <w:numId w:val="1"/>
        </w:numPr>
        <w:spacing w:before="120"/>
      </w:pPr>
      <w:r w:rsidRPr="00BD6C8A">
        <w:t xml:space="preserve">The rules for concomitant medication differed between trials. In NEO-1, patients were to continue their antidiabetic medications from baseline with no changes in doses unless patients experienced a loss in glucose control (2 consecutive visits with fasting blood glucose &gt;15.0 </w:t>
      </w:r>
      <w:proofErr w:type="spellStart"/>
      <w:r w:rsidRPr="00BD6C8A">
        <w:t>mmol</w:t>
      </w:r>
      <w:proofErr w:type="spellEnd"/>
      <w:r w:rsidRPr="00BD6C8A">
        <w:t xml:space="preserve">/L in week 4-16 or &gt;13.3 </w:t>
      </w:r>
      <w:proofErr w:type="spellStart"/>
      <w:r w:rsidRPr="00BD6C8A">
        <w:t>mmol</w:t>
      </w:r>
      <w:proofErr w:type="spellEnd"/>
      <w:r w:rsidRPr="00BD6C8A">
        <w:t xml:space="preserve">/L from week 16-28). Similarly, in DURATION-5, patients were to refrain from changing their baseline antidiabetic medications during the study unless otherwise instructed. However, in DURATION-1, all patients who were treated with </w:t>
      </w:r>
      <w:proofErr w:type="spellStart"/>
      <w:r w:rsidRPr="00BD6C8A">
        <w:t>sulphonylurea</w:t>
      </w:r>
      <w:proofErr w:type="spellEnd"/>
      <w:r w:rsidRPr="00BD6C8A">
        <w:t xml:space="preserve"> had their dose re-titrated during the study</w:t>
      </w:r>
      <w:r w:rsidR="00BD6C8A">
        <w:t>. This</w:t>
      </w:r>
      <w:r w:rsidR="00CF27A3">
        <w:t xml:space="preserve"> </w:t>
      </w:r>
      <w:r w:rsidRPr="00BD6C8A">
        <w:t>decrease</w:t>
      </w:r>
      <w:r w:rsidR="00BD6C8A">
        <w:t>d</w:t>
      </w:r>
      <w:r w:rsidRPr="00BD6C8A">
        <w:t xml:space="preserve"> </w:t>
      </w:r>
      <w:r w:rsidR="00BD6C8A">
        <w:t xml:space="preserve">the </w:t>
      </w:r>
      <w:proofErr w:type="spellStart"/>
      <w:r w:rsidRPr="00BD6C8A">
        <w:t>sulphonylurea</w:t>
      </w:r>
      <w:proofErr w:type="spellEnd"/>
      <w:r w:rsidRPr="00BD6C8A">
        <w:t xml:space="preserve"> dose to the minimum labelled dose until week 10 and then </w:t>
      </w:r>
      <w:r w:rsidR="005A7C4F" w:rsidRPr="00BD6C8A">
        <w:t>up titrated</w:t>
      </w:r>
      <w:r w:rsidRPr="00BD6C8A">
        <w:t xml:space="preserve"> based on daily glucose measurements to reach a fasting plasma glucose of &lt;6 </w:t>
      </w:r>
      <w:proofErr w:type="spellStart"/>
      <w:r w:rsidRPr="00BD6C8A">
        <w:t>mmol</w:t>
      </w:r>
      <w:proofErr w:type="spellEnd"/>
      <w:r w:rsidRPr="00BD6C8A">
        <w:t>/L. DURATION-1 should be excluded from the indirect comparison given the differences in the administration of concomitant antidiabetic medications compared to NEO-1. The ESC considered that the comparison of NEO-1 and DURATION-5 was the most appropriate indirect comparison as the trial designs were similar in relation to background use of oral anti-diabetic medication.</w:t>
      </w:r>
    </w:p>
    <w:p w:rsidR="00D60C27" w:rsidRPr="00BD6C8A" w:rsidRDefault="00D60C27" w:rsidP="00592178">
      <w:pPr>
        <w:pStyle w:val="Heading2"/>
        <w:widowControl/>
        <w:spacing w:before="120"/>
      </w:pPr>
      <w:bookmarkStart w:id="10" w:name="_Toc535854208"/>
      <w:r w:rsidRPr="00BD6C8A">
        <w:lastRenderedPageBreak/>
        <w:t>Comparative effectiveness</w:t>
      </w:r>
      <w:bookmarkEnd w:id="10"/>
    </w:p>
    <w:p w:rsidR="00D60C27" w:rsidRPr="00BD6C8A" w:rsidRDefault="00D60C27" w:rsidP="00592178">
      <w:pPr>
        <w:pStyle w:val="ListParagraph"/>
        <w:widowControl/>
        <w:numPr>
          <w:ilvl w:val="1"/>
          <w:numId w:val="1"/>
        </w:numPr>
        <w:spacing w:before="120"/>
      </w:pPr>
      <w:r w:rsidRPr="00BD6C8A">
        <w:t>The results for least squares (LS) mean change from baseline HbA1c</w:t>
      </w:r>
      <w:r w:rsidR="00D67157" w:rsidRPr="00BD6C8A">
        <w:t xml:space="preserve"> per cent</w:t>
      </w:r>
      <w:r w:rsidRPr="00BD6C8A">
        <w:t xml:space="preserve"> from NEO-1, DURATION-1 and DURATION-5 are summarised </w:t>
      </w:r>
      <w:r w:rsidRPr="00BD6C8A">
        <w:rPr>
          <w:rFonts w:asciiTheme="minorHAnsi" w:hAnsiTheme="minorHAnsi" w:cstheme="minorHAnsi"/>
          <w:szCs w:val="24"/>
        </w:rPr>
        <w:t xml:space="preserve">in </w:t>
      </w:r>
      <w:r w:rsidR="00D67157" w:rsidRPr="00BD6C8A">
        <w:rPr>
          <w:rFonts w:asciiTheme="minorHAnsi" w:hAnsiTheme="minorHAnsi" w:cstheme="minorHAnsi"/>
          <w:szCs w:val="24"/>
        </w:rPr>
        <w:t>Table 4</w:t>
      </w:r>
      <w:r w:rsidRPr="00BD6C8A">
        <w:t>.</w:t>
      </w:r>
    </w:p>
    <w:p w:rsidR="00546BEB" w:rsidRDefault="00546BEB" w:rsidP="00592178">
      <w:pPr>
        <w:widowControl/>
        <w:spacing w:before="120" w:after="120"/>
        <w:jc w:val="left"/>
        <w:rPr>
          <w:rFonts w:ascii="Arial Narrow" w:hAnsi="Arial Narrow"/>
          <w:b/>
          <w:bCs/>
          <w:sz w:val="20"/>
          <w:szCs w:val="20"/>
        </w:rPr>
      </w:pPr>
      <w:bookmarkStart w:id="11" w:name="_Ref532160197"/>
      <w:r>
        <w:rPr>
          <w:rFonts w:ascii="Arial Narrow" w:hAnsi="Arial Narrow"/>
          <w:sz w:val="20"/>
          <w:szCs w:val="20"/>
        </w:rPr>
        <w:br w:type="page"/>
      </w:r>
    </w:p>
    <w:p w:rsidR="00D60C27" w:rsidRPr="00BD6C8A" w:rsidRDefault="00D67157" w:rsidP="000B18B2">
      <w:pPr>
        <w:pStyle w:val="Caption"/>
        <w:keepNext/>
        <w:widowControl/>
        <w:spacing w:after="0"/>
        <w:rPr>
          <w:rStyle w:val="CommentReference"/>
          <w:b/>
          <w:color w:val="auto"/>
          <w:szCs w:val="20"/>
        </w:rPr>
      </w:pPr>
      <w:r w:rsidRPr="00BD6C8A">
        <w:rPr>
          <w:rFonts w:ascii="Arial Narrow" w:hAnsi="Arial Narrow"/>
          <w:color w:val="auto"/>
          <w:sz w:val="20"/>
          <w:szCs w:val="20"/>
        </w:rPr>
        <w:lastRenderedPageBreak/>
        <w:t xml:space="preserve">Table </w:t>
      </w:r>
      <w:r w:rsidR="008B4B04" w:rsidRPr="00BD6C8A">
        <w:rPr>
          <w:rFonts w:ascii="Arial Narrow" w:hAnsi="Arial Narrow"/>
          <w:color w:val="auto"/>
          <w:sz w:val="20"/>
          <w:szCs w:val="20"/>
        </w:rPr>
        <w:t>4</w:t>
      </w:r>
      <w:bookmarkEnd w:id="11"/>
      <w:r w:rsidRPr="00BD6C8A">
        <w:rPr>
          <w:rFonts w:ascii="Arial Narrow" w:hAnsi="Arial Narrow"/>
          <w:color w:val="auto"/>
          <w:sz w:val="20"/>
          <w:szCs w:val="20"/>
        </w:rPr>
        <w:t>:</w:t>
      </w:r>
      <w:r w:rsidR="00605337" w:rsidRPr="00BD6C8A">
        <w:rPr>
          <w:rStyle w:val="CommentReference"/>
          <w:b/>
          <w:color w:val="auto"/>
          <w:szCs w:val="20"/>
        </w:rPr>
        <w:t xml:space="preserve"> </w:t>
      </w:r>
      <w:r w:rsidR="00D60C27" w:rsidRPr="00BD6C8A">
        <w:rPr>
          <w:rStyle w:val="CommentReference"/>
          <w:b/>
          <w:color w:val="auto"/>
          <w:szCs w:val="20"/>
        </w:rPr>
        <w:t xml:space="preserve">Least squares </w:t>
      </w:r>
      <w:r w:rsidRPr="00BD6C8A">
        <w:rPr>
          <w:rStyle w:val="CommentReference"/>
          <w:b/>
          <w:color w:val="auto"/>
          <w:szCs w:val="20"/>
        </w:rPr>
        <w:t>mean change from baseline HbA1c per cent</w:t>
      </w:r>
      <w:r w:rsidR="00D60C27" w:rsidRPr="00BD6C8A">
        <w:rPr>
          <w:rStyle w:val="CommentReference"/>
          <w:b/>
          <w:color w:val="auto"/>
          <w:szCs w:val="20"/>
        </w:rPr>
        <w:t xml:space="preserve"> across the trials</w:t>
      </w:r>
    </w:p>
    <w:tbl>
      <w:tblPr>
        <w:tblStyle w:val="AZTable"/>
        <w:tblW w:w="5000" w:type="pct"/>
        <w:tblCellMar>
          <w:left w:w="28" w:type="dxa"/>
          <w:right w:w="28" w:type="dxa"/>
        </w:tblCellMar>
        <w:tblLook w:val="04A0" w:firstRow="1" w:lastRow="0" w:firstColumn="1" w:lastColumn="0" w:noHBand="0" w:noVBand="1"/>
        <w:tblCaption w:val="Table 4: Least squares mean change from baseline HbA1c per cent across the trials"/>
      </w:tblPr>
      <w:tblGrid>
        <w:gridCol w:w="1981"/>
        <w:gridCol w:w="1172"/>
        <w:gridCol w:w="1174"/>
        <w:gridCol w:w="1174"/>
        <w:gridCol w:w="1172"/>
        <w:gridCol w:w="1174"/>
        <w:gridCol w:w="1170"/>
      </w:tblGrid>
      <w:tr w:rsidR="00D60C27" w:rsidRPr="00BD6C8A" w:rsidTr="00D67157">
        <w:trPr>
          <w:cnfStyle w:val="100000000000" w:firstRow="1" w:lastRow="0" w:firstColumn="0" w:lastColumn="0" w:oddVBand="0" w:evenVBand="0" w:oddHBand="0" w:evenHBand="0" w:firstRowFirstColumn="0" w:firstRowLastColumn="0" w:lastRowFirstColumn="0" w:lastRowLastColumn="0"/>
          <w:tblHeader/>
        </w:trPr>
        <w:tc>
          <w:tcPr>
            <w:tcW w:w="1098" w:type="pct"/>
            <w:vMerge w:val="restart"/>
            <w:shd w:val="clear" w:color="auto" w:fill="auto"/>
          </w:tcPr>
          <w:p w:rsidR="00D60C27" w:rsidRPr="00BD6C8A" w:rsidRDefault="00D60C27" w:rsidP="000B18B2">
            <w:pPr>
              <w:pStyle w:val="TableHeading0"/>
              <w:spacing w:before="0" w:after="0" w:line="240" w:lineRule="auto"/>
            </w:pPr>
          </w:p>
        </w:tc>
        <w:tc>
          <w:tcPr>
            <w:tcW w:w="1301" w:type="pct"/>
            <w:gridSpan w:val="2"/>
            <w:shd w:val="clear" w:color="auto" w:fill="auto"/>
          </w:tcPr>
          <w:p w:rsidR="00D60C27" w:rsidRPr="00BD6C8A" w:rsidRDefault="00D60C27" w:rsidP="000B18B2">
            <w:pPr>
              <w:pStyle w:val="TableHeading0"/>
              <w:spacing w:before="0" w:after="0" w:line="240" w:lineRule="auto"/>
              <w:jc w:val="center"/>
            </w:pPr>
            <w:r w:rsidRPr="00BD6C8A">
              <w:t>NEO</w:t>
            </w:r>
            <w:r w:rsidRPr="00BD6C8A">
              <w:noBreakHyphen/>
              <w:t>1</w:t>
            </w:r>
          </w:p>
          <w:p w:rsidR="00D60C27" w:rsidRPr="00BD6C8A" w:rsidRDefault="00D60C27" w:rsidP="000B18B2">
            <w:pPr>
              <w:pStyle w:val="TableHeading0"/>
              <w:spacing w:before="0" w:after="0" w:line="240" w:lineRule="auto"/>
              <w:jc w:val="center"/>
            </w:pPr>
            <w:r w:rsidRPr="00BD6C8A">
              <w:t>(28 weeks)</w:t>
            </w:r>
          </w:p>
        </w:tc>
        <w:tc>
          <w:tcPr>
            <w:tcW w:w="1301" w:type="pct"/>
            <w:gridSpan w:val="2"/>
            <w:shd w:val="clear" w:color="auto" w:fill="auto"/>
          </w:tcPr>
          <w:p w:rsidR="00D60C27" w:rsidRPr="00BD6C8A" w:rsidRDefault="00D60C27" w:rsidP="000B18B2">
            <w:pPr>
              <w:pStyle w:val="TableHeading0"/>
              <w:spacing w:before="0" w:after="0" w:line="240" w:lineRule="auto"/>
              <w:jc w:val="center"/>
            </w:pPr>
            <w:r w:rsidRPr="00BD6C8A">
              <w:t>DURATION</w:t>
            </w:r>
            <w:r w:rsidRPr="00BD6C8A">
              <w:noBreakHyphen/>
              <w:t>1</w:t>
            </w:r>
          </w:p>
          <w:p w:rsidR="00D60C27" w:rsidRPr="00BD6C8A" w:rsidRDefault="00D60C27" w:rsidP="000B18B2">
            <w:pPr>
              <w:pStyle w:val="TableHeading0"/>
              <w:spacing w:before="0" w:after="0" w:line="240" w:lineRule="auto"/>
              <w:jc w:val="center"/>
            </w:pPr>
            <w:r w:rsidRPr="00BD6C8A">
              <w:t>(30 weeks)</w:t>
            </w:r>
          </w:p>
        </w:tc>
        <w:tc>
          <w:tcPr>
            <w:tcW w:w="1300" w:type="pct"/>
            <w:gridSpan w:val="2"/>
            <w:shd w:val="clear" w:color="auto" w:fill="auto"/>
          </w:tcPr>
          <w:p w:rsidR="00D60C27" w:rsidRPr="00BD6C8A" w:rsidRDefault="00D60C27" w:rsidP="000B18B2">
            <w:pPr>
              <w:pStyle w:val="TableHeading0"/>
              <w:spacing w:before="0" w:after="0" w:line="240" w:lineRule="auto"/>
              <w:jc w:val="center"/>
            </w:pPr>
            <w:r w:rsidRPr="00BD6C8A">
              <w:t>DURATION</w:t>
            </w:r>
            <w:r w:rsidRPr="00BD6C8A">
              <w:noBreakHyphen/>
              <w:t>5</w:t>
            </w:r>
          </w:p>
          <w:p w:rsidR="00D60C27" w:rsidRPr="00BD6C8A" w:rsidRDefault="00D60C27" w:rsidP="000B18B2">
            <w:pPr>
              <w:pStyle w:val="TableHeading0"/>
              <w:spacing w:before="0" w:after="0" w:line="240" w:lineRule="auto"/>
              <w:jc w:val="center"/>
            </w:pPr>
            <w:r w:rsidRPr="00BD6C8A">
              <w:t>(24 weeks)</w:t>
            </w:r>
          </w:p>
        </w:tc>
      </w:tr>
      <w:tr w:rsidR="00D60C27" w:rsidRPr="00BD6C8A" w:rsidTr="00D67157">
        <w:trPr>
          <w:cnfStyle w:val="100000000000" w:firstRow="1" w:lastRow="0" w:firstColumn="0" w:lastColumn="0" w:oddVBand="0" w:evenVBand="0" w:oddHBand="0" w:evenHBand="0" w:firstRowFirstColumn="0" w:firstRowLastColumn="0" w:lastRowFirstColumn="0" w:lastRowLastColumn="0"/>
          <w:trHeight w:val="710"/>
          <w:tblHeader/>
        </w:trPr>
        <w:tc>
          <w:tcPr>
            <w:tcW w:w="1098" w:type="pct"/>
            <w:vMerge/>
            <w:shd w:val="clear" w:color="auto" w:fill="auto"/>
            <w:hideMark/>
          </w:tcPr>
          <w:p w:rsidR="00D60C27" w:rsidRPr="00BD6C8A" w:rsidRDefault="00D60C27" w:rsidP="000B18B2">
            <w:pPr>
              <w:pStyle w:val="TableHeading0"/>
              <w:spacing w:before="0" w:after="0" w:line="240" w:lineRule="auto"/>
            </w:pPr>
          </w:p>
        </w:tc>
        <w:tc>
          <w:tcPr>
            <w:tcW w:w="650" w:type="pct"/>
            <w:shd w:val="clear" w:color="auto" w:fill="auto"/>
            <w:hideMark/>
          </w:tcPr>
          <w:p w:rsidR="00D60C27" w:rsidRPr="00BD6C8A" w:rsidRDefault="00D60C27" w:rsidP="000B18B2">
            <w:pPr>
              <w:pStyle w:val="TableHeading0"/>
              <w:spacing w:before="0" w:after="0" w:line="240" w:lineRule="auto"/>
              <w:jc w:val="center"/>
            </w:pPr>
            <w:proofErr w:type="spellStart"/>
            <w:r w:rsidRPr="00BD6C8A">
              <w:t>Exenatide</w:t>
            </w:r>
            <w:proofErr w:type="spellEnd"/>
            <w:r w:rsidRPr="00BD6C8A">
              <w:t xml:space="preserve"> QWS</w:t>
            </w:r>
            <w:r w:rsidRPr="00BD6C8A">
              <w:noBreakHyphen/>
              <w:t>AI</w:t>
            </w:r>
          </w:p>
          <w:p w:rsidR="00D60C27" w:rsidRPr="00BD6C8A" w:rsidRDefault="00D60C27" w:rsidP="000B18B2">
            <w:pPr>
              <w:pStyle w:val="TableHeading0"/>
              <w:spacing w:before="0" w:after="0" w:line="240" w:lineRule="auto"/>
              <w:jc w:val="center"/>
            </w:pPr>
            <w:r w:rsidRPr="00BD6C8A">
              <w:t>(N=229)</w:t>
            </w:r>
          </w:p>
        </w:tc>
        <w:tc>
          <w:tcPr>
            <w:tcW w:w="651" w:type="pct"/>
            <w:shd w:val="clear" w:color="auto" w:fill="auto"/>
            <w:hideMark/>
          </w:tcPr>
          <w:p w:rsidR="00D60C27" w:rsidRPr="00BD6C8A" w:rsidRDefault="00D60C27" w:rsidP="000B18B2">
            <w:pPr>
              <w:pStyle w:val="TableHeading0"/>
              <w:spacing w:before="0" w:after="0" w:line="240" w:lineRule="auto"/>
              <w:jc w:val="center"/>
            </w:pPr>
            <w:proofErr w:type="spellStart"/>
            <w:r w:rsidRPr="00BD6C8A">
              <w:t>Exenatide</w:t>
            </w:r>
            <w:proofErr w:type="spellEnd"/>
            <w:r w:rsidRPr="00BD6C8A">
              <w:t xml:space="preserve"> 10mcg BD</w:t>
            </w:r>
          </w:p>
          <w:p w:rsidR="00D60C27" w:rsidRPr="00BD6C8A" w:rsidRDefault="00D60C27" w:rsidP="000B18B2">
            <w:pPr>
              <w:pStyle w:val="TableHeading0"/>
              <w:spacing w:before="0" w:after="0" w:line="240" w:lineRule="auto"/>
              <w:jc w:val="center"/>
            </w:pPr>
            <w:r w:rsidRPr="00BD6C8A">
              <w:t>(N=146)</w:t>
            </w:r>
          </w:p>
        </w:tc>
        <w:tc>
          <w:tcPr>
            <w:tcW w:w="651" w:type="pct"/>
            <w:shd w:val="clear" w:color="auto" w:fill="auto"/>
          </w:tcPr>
          <w:p w:rsidR="00D60C27" w:rsidRPr="00BD6C8A" w:rsidRDefault="00D60C27" w:rsidP="000B18B2">
            <w:pPr>
              <w:pStyle w:val="TableHeading0"/>
              <w:spacing w:before="0" w:after="0" w:line="240" w:lineRule="auto"/>
              <w:jc w:val="center"/>
            </w:pPr>
            <w:proofErr w:type="spellStart"/>
            <w:r w:rsidRPr="00BD6C8A">
              <w:t>Exenatide</w:t>
            </w:r>
            <w:proofErr w:type="spellEnd"/>
            <w:r w:rsidRPr="00BD6C8A">
              <w:t xml:space="preserve"> QW</w:t>
            </w:r>
            <w:r w:rsidRPr="00BD6C8A">
              <w:noBreakHyphen/>
              <w:t xml:space="preserve">DCP </w:t>
            </w:r>
          </w:p>
          <w:p w:rsidR="00D60C27" w:rsidRPr="00BD6C8A" w:rsidRDefault="00D60C27" w:rsidP="000B18B2">
            <w:pPr>
              <w:pStyle w:val="TableHeading0"/>
              <w:spacing w:before="0" w:after="0" w:line="240" w:lineRule="auto"/>
              <w:jc w:val="center"/>
            </w:pPr>
            <w:r w:rsidRPr="00BD6C8A">
              <w:t>(N=148)</w:t>
            </w:r>
          </w:p>
        </w:tc>
        <w:tc>
          <w:tcPr>
            <w:tcW w:w="650" w:type="pct"/>
            <w:shd w:val="clear" w:color="auto" w:fill="auto"/>
          </w:tcPr>
          <w:p w:rsidR="00D60C27" w:rsidRPr="00BD6C8A" w:rsidRDefault="00D60C27" w:rsidP="000B18B2">
            <w:pPr>
              <w:pStyle w:val="TableHeading0"/>
              <w:spacing w:before="0" w:after="0" w:line="240" w:lineRule="auto"/>
              <w:jc w:val="center"/>
            </w:pPr>
            <w:proofErr w:type="spellStart"/>
            <w:r w:rsidRPr="00BD6C8A">
              <w:t>Exenatide</w:t>
            </w:r>
            <w:proofErr w:type="spellEnd"/>
            <w:r w:rsidRPr="00BD6C8A">
              <w:t xml:space="preserve"> 10mcg BD</w:t>
            </w:r>
          </w:p>
          <w:p w:rsidR="00D60C27" w:rsidRPr="00BD6C8A" w:rsidRDefault="00D60C27" w:rsidP="000B18B2">
            <w:pPr>
              <w:pStyle w:val="TableHeading0"/>
              <w:spacing w:before="0" w:after="0" w:line="240" w:lineRule="auto"/>
              <w:jc w:val="center"/>
            </w:pPr>
            <w:r w:rsidRPr="00BD6C8A">
              <w:t>(N=147)</w:t>
            </w:r>
          </w:p>
        </w:tc>
        <w:tc>
          <w:tcPr>
            <w:tcW w:w="651" w:type="pct"/>
            <w:shd w:val="clear" w:color="auto" w:fill="auto"/>
          </w:tcPr>
          <w:p w:rsidR="00D60C27" w:rsidRPr="00BD6C8A" w:rsidRDefault="00D60C27" w:rsidP="000B18B2">
            <w:pPr>
              <w:pStyle w:val="TableHeading0"/>
              <w:spacing w:before="0" w:after="0" w:line="240" w:lineRule="auto"/>
              <w:jc w:val="center"/>
            </w:pPr>
            <w:proofErr w:type="spellStart"/>
            <w:r w:rsidRPr="00BD6C8A">
              <w:t>Exenatide</w:t>
            </w:r>
            <w:proofErr w:type="spellEnd"/>
            <w:r w:rsidRPr="00BD6C8A">
              <w:t xml:space="preserve"> QW</w:t>
            </w:r>
            <w:r w:rsidRPr="00BD6C8A">
              <w:noBreakHyphen/>
              <w:t>DCP</w:t>
            </w:r>
          </w:p>
          <w:p w:rsidR="00D60C27" w:rsidRPr="00BD6C8A" w:rsidRDefault="00D60C27" w:rsidP="000B18B2">
            <w:pPr>
              <w:pStyle w:val="TableHeading0"/>
              <w:spacing w:before="0" w:after="0" w:line="240" w:lineRule="auto"/>
              <w:jc w:val="center"/>
            </w:pPr>
            <w:r w:rsidRPr="00BD6C8A">
              <w:t>(N=129)</w:t>
            </w:r>
          </w:p>
        </w:tc>
        <w:tc>
          <w:tcPr>
            <w:tcW w:w="649" w:type="pct"/>
            <w:shd w:val="clear" w:color="auto" w:fill="auto"/>
          </w:tcPr>
          <w:p w:rsidR="00D60C27" w:rsidRPr="00BD6C8A" w:rsidRDefault="00D60C27" w:rsidP="000B18B2">
            <w:pPr>
              <w:pStyle w:val="TableHeading0"/>
              <w:spacing w:before="0" w:after="0" w:line="240" w:lineRule="auto"/>
              <w:jc w:val="center"/>
            </w:pPr>
            <w:proofErr w:type="spellStart"/>
            <w:r w:rsidRPr="00BD6C8A">
              <w:t>Exenatide</w:t>
            </w:r>
            <w:proofErr w:type="spellEnd"/>
            <w:r w:rsidRPr="00BD6C8A">
              <w:t xml:space="preserve"> 10mcg BD</w:t>
            </w:r>
          </w:p>
          <w:p w:rsidR="00D60C27" w:rsidRPr="00BD6C8A" w:rsidRDefault="00D60C27" w:rsidP="000B18B2">
            <w:pPr>
              <w:pStyle w:val="TableHeading0"/>
              <w:spacing w:before="0" w:after="0" w:line="240" w:lineRule="auto"/>
              <w:jc w:val="center"/>
            </w:pPr>
            <w:r w:rsidRPr="00BD6C8A">
              <w:t>(N=123)</w:t>
            </w:r>
          </w:p>
        </w:tc>
      </w:tr>
      <w:tr w:rsidR="00D60C27" w:rsidRPr="00BD6C8A" w:rsidTr="00D67157">
        <w:tc>
          <w:tcPr>
            <w:tcW w:w="1098" w:type="pct"/>
          </w:tcPr>
          <w:p w:rsidR="00D60C27" w:rsidRPr="00BD6C8A" w:rsidRDefault="00D60C27" w:rsidP="000B18B2">
            <w:pPr>
              <w:pStyle w:val="TableText0"/>
              <w:spacing w:before="0" w:after="0" w:line="240" w:lineRule="auto"/>
            </w:pPr>
            <w:r w:rsidRPr="00BD6C8A">
              <w:t>Baseline mean (SE)</w:t>
            </w:r>
          </w:p>
        </w:tc>
        <w:tc>
          <w:tcPr>
            <w:tcW w:w="650" w:type="pct"/>
          </w:tcPr>
          <w:p w:rsidR="00D60C27" w:rsidRPr="00BD6C8A" w:rsidRDefault="00D60C27" w:rsidP="000B18B2">
            <w:pPr>
              <w:pStyle w:val="TableText0"/>
              <w:spacing w:before="0" w:after="0" w:line="240" w:lineRule="auto"/>
              <w:jc w:val="center"/>
            </w:pPr>
            <w:r w:rsidRPr="00BD6C8A">
              <w:t>8.47 (0.07)</w:t>
            </w:r>
          </w:p>
        </w:tc>
        <w:tc>
          <w:tcPr>
            <w:tcW w:w="651" w:type="pct"/>
          </w:tcPr>
          <w:p w:rsidR="00D60C27" w:rsidRPr="00BD6C8A" w:rsidRDefault="00D60C27" w:rsidP="000B18B2">
            <w:pPr>
              <w:pStyle w:val="TableText0"/>
              <w:spacing w:before="0" w:after="0" w:line="240" w:lineRule="auto"/>
              <w:jc w:val="center"/>
            </w:pPr>
            <w:r w:rsidRPr="00BD6C8A">
              <w:t>8.51 (0.08)</w:t>
            </w:r>
          </w:p>
        </w:tc>
        <w:tc>
          <w:tcPr>
            <w:tcW w:w="651" w:type="pct"/>
          </w:tcPr>
          <w:p w:rsidR="00D60C27" w:rsidRPr="00BD6C8A" w:rsidRDefault="00D60C27" w:rsidP="000B18B2">
            <w:pPr>
              <w:pStyle w:val="TableText0"/>
              <w:spacing w:before="0" w:after="0" w:line="240" w:lineRule="auto"/>
              <w:jc w:val="center"/>
            </w:pPr>
            <w:r w:rsidRPr="00BD6C8A">
              <w:t>8.3 (0.08)</w:t>
            </w:r>
          </w:p>
        </w:tc>
        <w:tc>
          <w:tcPr>
            <w:tcW w:w="650" w:type="pct"/>
          </w:tcPr>
          <w:p w:rsidR="00D60C27" w:rsidRPr="00BD6C8A" w:rsidRDefault="00D60C27" w:rsidP="000B18B2">
            <w:pPr>
              <w:pStyle w:val="TableText0"/>
              <w:spacing w:before="0" w:after="0" w:line="240" w:lineRule="auto"/>
              <w:jc w:val="center"/>
            </w:pPr>
            <w:r w:rsidRPr="00BD6C8A">
              <w:t>8.3 (0.08)</w:t>
            </w:r>
          </w:p>
        </w:tc>
        <w:tc>
          <w:tcPr>
            <w:tcW w:w="651" w:type="pct"/>
          </w:tcPr>
          <w:p w:rsidR="00D60C27" w:rsidRPr="00BD6C8A" w:rsidRDefault="00D60C27" w:rsidP="000B18B2">
            <w:pPr>
              <w:pStyle w:val="TableText0"/>
              <w:spacing w:before="0" w:after="0" w:line="240" w:lineRule="auto"/>
              <w:jc w:val="center"/>
            </w:pPr>
            <w:r w:rsidRPr="00BD6C8A">
              <w:t>8.5 (0.10)</w:t>
            </w:r>
          </w:p>
        </w:tc>
        <w:tc>
          <w:tcPr>
            <w:tcW w:w="649" w:type="pct"/>
          </w:tcPr>
          <w:p w:rsidR="00D60C27" w:rsidRPr="00BD6C8A" w:rsidRDefault="00D60C27" w:rsidP="000B18B2">
            <w:pPr>
              <w:pStyle w:val="TableText0"/>
              <w:spacing w:before="0" w:after="0" w:line="240" w:lineRule="auto"/>
              <w:jc w:val="center"/>
            </w:pPr>
            <w:r w:rsidRPr="00BD6C8A">
              <w:t>8.4 (0.10)</w:t>
            </w:r>
          </w:p>
        </w:tc>
      </w:tr>
      <w:tr w:rsidR="00D60C27" w:rsidRPr="00BD6C8A" w:rsidTr="00D67157">
        <w:tc>
          <w:tcPr>
            <w:tcW w:w="1098" w:type="pct"/>
          </w:tcPr>
          <w:p w:rsidR="00D60C27" w:rsidRPr="00BD6C8A" w:rsidRDefault="00D60C27" w:rsidP="000B18B2">
            <w:pPr>
              <w:pStyle w:val="TableText0"/>
              <w:spacing w:before="0" w:after="0" w:line="240" w:lineRule="auto"/>
            </w:pPr>
            <w:r w:rsidRPr="00BD6C8A">
              <w:t>Mean Δ HbA1c (SE)</w:t>
            </w:r>
          </w:p>
        </w:tc>
        <w:tc>
          <w:tcPr>
            <w:tcW w:w="650" w:type="pct"/>
          </w:tcPr>
          <w:p w:rsidR="00D60C27" w:rsidRPr="00BD6C8A" w:rsidRDefault="00D60C27" w:rsidP="000B18B2">
            <w:pPr>
              <w:pStyle w:val="TableText0"/>
              <w:spacing w:before="0" w:after="0" w:line="240" w:lineRule="auto"/>
              <w:jc w:val="center"/>
            </w:pPr>
            <w:r w:rsidRPr="00BD6C8A">
              <w:noBreakHyphen/>
              <w:t>1.44 (0.09)</w:t>
            </w:r>
          </w:p>
        </w:tc>
        <w:tc>
          <w:tcPr>
            <w:tcW w:w="651" w:type="pct"/>
          </w:tcPr>
          <w:p w:rsidR="00D60C27" w:rsidRPr="00BD6C8A" w:rsidRDefault="00D60C27" w:rsidP="000B18B2">
            <w:pPr>
              <w:pStyle w:val="TableText0"/>
              <w:spacing w:before="0" w:after="0" w:line="240" w:lineRule="auto"/>
            </w:pPr>
            <w:r w:rsidRPr="00BD6C8A">
              <w:noBreakHyphen/>
              <w:t>1.08 (0.12)</w:t>
            </w:r>
          </w:p>
        </w:tc>
        <w:tc>
          <w:tcPr>
            <w:tcW w:w="651" w:type="pct"/>
          </w:tcPr>
          <w:p w:rsidR="00D60C27" w:rsidRPr="00BD6C8A" w:rsidRDefault="00D60C27" w:rsidP="000B18B2">
            <w:pPr>
              <w:pStyle w:val="TableText0"/>
              <w:spacing w:before="0" w:after="0" w:line="240" w:lineRule="auto"/>
              <w:jc w:val="center"/>
            </w:pPr>
            <w:r w:rsidRPr="00BD6C8A">
              <w:noBreakHyphen/>
              <w:t>1.6 (0.09)</w:t>
            </w:r>
          </w:p>
        </w:tc>
        <w:tc>
          <w:tcPr>
            <w:tcW w:w="650" w:type="pct"/>
          </w:tcPr>
          <w:p w:rsidR="00D60C27" w:rsidRPr="00BD6C8A" w:rsidRDefault="00D60C27" w:rsidP="000B18B2">
            <w:pPr>
              <w:pStyle w:val="TableText0"/>
              <w:spacing w:before="0" w:after="0" w:line="240" w:lineRule="auto"/>
              <w:jc w:val="center"/>
            </w:pPr>
            <w:r w:rsidRPr="00BD6C8A">
              <w:noBreakHyphen/>
              <w:t>1.3 (0.08)</w:t>
            </w:r>
          </w:p>
        </w:tc>
        <w:tc>
          <w:tcPr>
            <w:tcW w:w="651" w:type="pct"/>
          </w:tcPr>
          <w:p w:rsidR="00D60C27" w:rsidRPr="00BD6C8A" w:rsidRDefault="00D60C27" w:rsidP="000B18B2">
            <w:pPr>
              <w:pStyle w:val="TableText0"/>
              <w:spacing w:before="0" w:after="0" w:line="240" w:lineRule="auto"/>
              <w:jc w:val="center"/>
            </w:pPr>
            <w:r w:rsidRPr="00BD6C8A">
              <w:noBreakHyphen/>
              <w:t>1.4 (0.10)</w:t>
            </w:r>
          </w:p>
        </w:tc>
        <w:tc>
          <w:tcPr>
            <w:tcW w:w="649" w:type="pct"/>
          </w:tcPr>
          <w:p w:rsidR="00D60C27" w:rsidRPr="00BD6C8A" w:rsidRDefault="00D60C27" w:rsidP="000B18B2">
            <w:pPr>
              <w:pStyle w:val="TableText0"/>
              <w:spacing w:before="0" w:after="0" w:line="240" w:lineRule="auto"/>
              <w:jc w:val="center"/>
            </w:pPr>
            <w:r w:rsidRPr="00BD6C8A">
              <w:noBreakHyphen/>
              <w:t>0.7 (0.10)</w:t>
            </w:r>
          </w:p>
        </w:tc>
      </w:tr>
      <w:tr w:rsidR="00D60C27" w:rsidRPr="00BD6C8A" w:rsidTr="00D67157">
        <w:tc>
          <w:tcPr>
            <w:tcW w:w="1098" w:type="pct"/>
          </w:tcPr>
          <w:p w:rsidR="00D60C27" w:rsidRPr="00BD6C8A" w:rsidRDefault="00D60C27" w:rsidP="000B18B2">
            <w:pPr>
              <w:pStyle w:val="TableText0"/>
              <w:spacing w:before="0" w:after="0" w:line="240" w:lineRule="auto"/>
            </w:pPr>
            <w:r w:rsidRPr="00BD6C8A">
              <w:t>LS mean Δ HbA1c (SE)</w:t>
            </w:r>
          </w:p>
        </w:tc>
        <w:tc>
          <w:tcPr>
            <w:tcW w:w="650" w:type="pct"/>
          </w:tcPr>
          <w:p w:rsidR="00D60C27" w:rsidRPr="00BD6C8A" w:rsidRDefault="00D60C27" w:rsidP="000B18B2">
            <w:pPr>
              <w:pStyle w:val="TableText0"/>
              <w:spacing w:before="0" w:after="0" w:line="240" w:lineRule="auto"/>
              <w:jc w:val="center"/>
            </w:pPr>
            <w:r w:rsidRPr="00BD6C8A">
              <w:noBreakHyphen/>
              <w:t>1.39 (0.09)</w:t>
            </w:r>
          </w:p>
        </w:tc>
        <w:tc>
          <w:tcPr>
            <w:tcW w:w="651" w:type="pct"/>
          </w:tcPr>
          <w:p w:rsidR="00D60C27" w:rsidRPr="00BD6C8A" w:rsidRDefault="00D60C27" w:rsidP="000B18B2">
            <w:pPr>
              <w:pStyle w:val="TableText0"/>
              <w:spacing w:before="0" w:after="0" w:line="240" w:lineRule="auto"/>
              <w:jc w:val="center"/>
            </w:pPr>
            <w:r w:rsidRPr="00BD6C8A">
              <w:noBreakHyphen/>
              <w:t>1.02 (0.11)</w:t>
            </w:r>
          </w:p>
        </w:tc>
        <w:tc>
          <w:tcPr>
            <w:tcW w:w="651" w:type="pct"/>
          </w:tcPr>
          <w:p w:rsidR="00D60C27" w:rsidRPr="00BD6C8A" w:rsidRDefault="00D60C27" w:rsidP="000B18B2">
            <w:pPr>
              <w:pStyle w:val="TableText0"/>
              <w:spacing w:before="0" w:after="0" w:line="240" w:lineRule="auto"/>
              <w:jc w:val="center"/>
            </w:pPr>
            <w:r w:rsidRPr="00BD6C8A">
              <w:noBreakHyphen/>
              <w:t>1.9 (0.08)</w:t>
            </w:r>
          </w:p>
        </w:tc>
        <w:tc>
          <w:tcPr>
            <w:tcW w:w="650" w:type="pct"/>
          </w:tcPr>
          <w:p w:rsidR="00D60C27" w:rsidRPr="00BD6C8A" w:rsidRDefault="00D60C27" w:rsidP="000B18B2">
            <w:pPr>
              <w:pStyle w:val="TableText0"/>
              <w:spacing w:before="0" w:after="0" w:line="240" w:lineRule="auto"/>
              <w:jc w:val="center"/>
            </w:pPr>
            <w:r w:rsidRPr="00BD6C8A">
              <w:noBreakHyphen/>
              <w:t>1.5 (0.08)</w:t>
            </w:r>
          </w:p>
        </w:tc>
        <w:tc>
          <w:tcPr>
            <w:tcW w:w="651" w:type="pct"/>
          </w:tcPr>
          <w:p w:rsidR="00D60C27" w:rsidRPr="00BD6C8A" w:rsidRDefault="00D60C27" w:rsidP="000B18B2">
            <w:pPr>
              <w:pStyle w:val="TableText0"/>
              <w:spacing w:before="0" w:after="0" w:line="240" w:lineRule="auto"/>
              <w:jc w:val="center"/>
            </w:pPr>
            <w:r w:rsidRPr="00BD6C8A">
              <w:noBreakHyphen/>
              <w:t>1.6 (0.10)</w:t>
            </w:r>
          </w:p>
        </w:tc>
        <w:tc>
          <w:tcPr>
            <w:tcW w:w="649" w:type="pct"/>
          </w:tcPr>
          <w:p w:rsidR="00D60C27" w:rsidRPr="00BD6C8A" w:rsidRDefault="00D60C27" w:rsidP="000B18B2">
            <w:pPr>
              <w:pStyle w:val="TableText0"/>
              <w:spacing w:before="0" w:after="0" w:line="240" w:lineRule="auto"/>
              <w:jc w:val="center"/>
            </w:pPr>
            <w:r w:rsidRPr="00BD6C8A">
              <w:noBreakHyphen/>
              <w:t>0.9 (0.10)</w:t>
            </w:r>
          </w:p>
        </w:tc>
      </w:tr>
      <w:tr w:rsidR="00D60C27" w:rsidRPr="00BD6C8A" w:rsidTr="00D67157">
        <w:tc>
          <w:tcPr>
            <w:tcW w:w="1098" w:type="pct"/>
          </w:tcPr>
          <w:p w:rsidR="00D60C27" w:rsidRPr="00BD6C8A" w:rsidRDefault="00D60C27" w:rsidP="000B18B2">
            <w:pPr>
              <w:pStyle w:val="TableText0"/>
              <w:spacing w:before="0" w:after="0" w:line="240" w:lineRule="auto"/>
            </w:pPr>
            <w:r w:rsidRPr="00BD6C8A">
              <w:t>LS mean difference (95% CI)</w:t>
            </w:r>
          </w:p>
        </w:tc>
        <w:tc>
          <w:tcPr>
            <w:tcW w:w="1301" w:type="pct"/>
            <w:gridSpan w:val="2"/>
          </w:tcPr>
          <w:p w:rsidR="00D60C27" w:rsidRPr="00BD6C8A" w:rsidRDefault="00D60C27" w:rsidP="000B18B2">
            <w:pPr>
              <w:pStyle w:val="TableText0"/>
              <w:spacing w:before="0" w:after="0" w:line="240" w:lineRule="auto"/>
              <w:jc w:val="center"/>
            </w:pPr>
            <w:r w:rsidRPr="00BD6C8A">
              <w:noBreakHyphen/>
              <w:t>0.37 (</w:t>
            </w:r>
            <w:r w:rsidRPr="00BD6C8A">
              <w:noBreakHyphen/>
              <w:t xml:space="preserve">0.63, </w:t>
            </w:r>
            <w:r w:rsidRPr="00BD6C8A">
              <w:noBreakHyphen/>
              <w:t>0.10)</w:t>
            </w:r>
          </w:p>
          <w:p w:rsidR="00D60C27" w:rsidRPr="00BD6C8A" w:rsidRDefault="00D60C27" w:rsidP="000B18B2">
            <w:pPr>
              <w:pStyle w:val="TableText0"/>
              <w:spacing w:before="0" w:after="0" w:line="240" w:lineRule="auto"/>
              <w:jc w:val="center"/>
            </w:pPr>
            <w:r w:rsidRPr="00BD6C8A">
              <w:t>p=0.0072</w:t>
            </w:r>
          </w:p>
        </w:tc>
        <w:tc>
          <w:tcPr>
            <w:tcW w:w="1301" w:type="pct"/>
            <w:gridSpan w:val="2"/>
          </w:tcPr>
          <w:p w:rsidR="00D60C27" w:rsidRPr="00BD6C8A" w:rsidRDefault="00D60C27" w:rsidP="000B18B2">
            <w:pPr>
              <w:pStyle w:val="TableText0"/>
              <w:spacing w:before="0" w:after="0" w:line="240" w:lineRule="auto"/>
              <w:jc w:val="center"/>
            </w:pPr>
            <w:r w:rsidRPr="00BD6C8A">
              <w:noBreakHyphen/>
              <w:t>0.33 (</w:t>
            </w:r>
            <w:r w:rsidRPr="00BD6C8A">
              <w:noBreakHyphen/>
              <w:t xml:space="preserve">0.54, </w:t>
            </w:r>
            <w:r w:rsidRPr="00BD6C8A">
              <w:noBreakHyphen/>
              <w:t>0.12)</w:t>
            </w:r>
          </w:p>
          <w:p w:rsidR="00D60C27" w:rsidRPr="00BD6C8A" w:rsidRDefault="00D60C27" w:rsidP="000B18B2">
            <w:pPr>
              <w:pStyle w:val="TableText0"/>
              <w:spacing w:before="0" w:after="0" w:line="240" w:lineRule="auto"/>
              <w:jc w:val="center"/>
            </w:pPr>
            <w:r w:rsidRPr="00BD6C8A">
              <w:t>p=0.0023</w:t>
            </w:r>
          </w:p>
        </w:tc>
        <w:tc>
          <w:tcPr>
            <w:tcW w:w="1300" w:type="pct"/>
            <w:gridSpan w:val="2"/>
          </w:tcPr>
          <w:p w:rsidR="00D60C27" w:rsidRPr="00BD6C8A" w:rsidRDefault="00D60C27" w:rsidP="000B18B2">
            <w:pPr>
              <w:pStyle w:val="TableText0"/>
              <w:spacing w:before="0" w:after="0" w:line="240" w:lineRule="auto"/>
              <w:jc w:val="center"/>
            </w:pPr>
            <w:r w:rsidRPr="00BD6C8A">
              <w:noBreakHyphen/>
              <w:t>0.7 (</w:t>
            </w:r>
            <w:r w:rsidRPr="00BD6C8A">
              <w:noBreakHyphen/>
              <w:t xml:space="preserve">0.9, </w:t>
            </w:r>
            <w:r w:rsidRPr="00BD6C8A">
              <w:noBreakHyphen/>
              <w:t>0.4)</w:t>
            </w:r>
          </w:p>
          <w:p w:rsidR="00D60C27" w:rsidRPr="00BD6C8A" w:rsidRDefault="00D60C27" w:rsidP="000B18B2">
            <w:pPr>
              <w:pStyle w:val="TableText0"/>
              <w:spacing w:before="0" w:after="0" w:line="240" w:lineRule="auto"/>
              <w:jc w:val="center"/>
            </w:pPr>
            <w:r w:rsidRPr="00BD6C8A">
              <w:t>p&lt;0.0001</w:t>
            </w:r>
          </w:p>
        </w:tc>
      </w:tr>
    </w:tbl>
    <w:p w:rsidR="00D60C27" w:rsidRPr="00BD6C8A" w:rsidRDefault="00D60C27" w:rsidP="000B18B2">
      <w:pPr>
        <w:pStyle w:val="Sources"/>
        <w:spacing w:before="0"/>
        <w:contextualSpacing/>
        <w:rPr>
          <w:rFonts w:ascii="Arial Narrow" w:hAnsi="Arial Narrow"/>
          <w:sz w:val="18"/>
          <w:szCs w:val="18"/>
        </w:rPr>
      </w:pPr>
      <w:r w:rsidRPr="00BD6C8A">
        <w:rPr>
          <w:rFonts w:ascii="Arial Narrow" w:hAnsi="Arial Narrow"/>
          <w:sz w:val="18"/>
          <w:szCs w:val="18"/>
        </w:rPr>
        <w:t xml:space="preserve">Abbreviations: </w:t>
      </w:r>
      <w:r w:rsidRPr="00BD6C8A">
        <w:rPr>
          <w:rFonts w:ascii="Arial Narrow" w:hAnsi="Arial Narrow" w:cs="Arial"/>
          <w:sz w:val="18"/>
          <w:szCs w:val="18"/>
        </w:rPr>
        <w:t>Δ</w:t>
      </w:r>
      <w:r w:rsidRPr="00BD6C8A">
        <w:rPr>
          <w:rFonts w:ascii="Arial Narrow" w:hAnsi="Arial Narrow"/>
          <w:sz w:val="18"/>
          <w:szCs w:val="18"/>
        </w:rPr>
        <w:t xml:space="preserve">, change; AI, </w:t>
      </w:r>
      <w:proofErr w:type="spellStart"/>
      <w:r w:rsidRPr="00BD6C8A">
        <w:rPr>
          <w:rFonts w:ascii="Arial Narrow" w:hAnsi="Arial Narrow"/>
          <w:sz w:val="18"/>
          <w:szCs w:val="18"/>
        </w:rPr>
        <w:t>autoinjector</w:t>
      </w:r>
      <w:proofErr w:type="spellEnd"/>
      <w:r w:rsidRPr="00BD6C8A">
        <w:rPr>
          <w:rFonts w:ascii="Arial Narrow" w:hAnsi="Arial Narrow"/>
          <w:sz w:val="18"/>
          <w:szCs w:val="18"/>
        </w:rPr>
        <w:t>; DCP, dual</w:t>
      </w:r>
      <w:r w:rsidRPr="00BD6C8A">
        <w:rPr>
          <w:rFonts w:ascii="Arial Narrow" w:hAnsi="Arial Narrow"/>
          <w:sz w:val="18"/>
          <w:szCs w:val="18"/>
        </w:rPr>
        <w:noBreakHyphen/>
        <w:t>chamber pen; BD, twice daily; CI, confidence interval; HbA1c, glycosylated haemoglobin; LS, least squares; SE, standard error</w:t>
      </w:r>
    </w:p>
    <w:p w:rsidR="00D60C27" w:rsidRPr="00BD6C8A" w:rsidRDefault="00D60C27" w:rsidP="000B18B2">
      <w:pPr>
        <w:pStyle w:val="Sources"/>
        <w:spacing w:before="0"/>
        <w:contextualSpacing/>
        <w:rPr>
          <w:rFonts w:ascii="Arial Narrow" w:hAnsi="Arial Narrow"/>
          <w:sz w:val="18"/>
          <w:szCs w:val="18"/>
        </w:rPr>
      </w:pPr>
      <w:r w:rsidRPr="00BD6C8A">
        <w:rPr>
          <w:rFonts w:ascii="Arial Narrow" w:hAnsi="Arial Narrow"/>
          <w:sz w:val="18"/>
          <w:szCs w:val="18"/>
        </w:rPr>
        <w:t>Note: Treatment group difference (</w:t>
      </w:r>
      <w:proofErr w:type="spellStart"/>
      <w:r w:rsidRPr="00BD6C8A">
        <w:rPr>
          <w:rFonts w:ascii="Arial Narrow" w:hAnsi="Arial Narrow"/>
          <w:sz w:val="18"/>
          <w:szCs w:val="18"/>
        </w:rPr>
        <w:t>exenatide</w:t>
      </w:r>
      <w:proofErr w:type="spellEnd"/>
      <w:r w:rsidRPr="00BD6C8A">
        <w:rPr>
          <w:rFonts w:ascii="Arial Narrow" w:hAnsi="Arial Narrow"/>
          <w:sz w:val="18"/>
          <w:szCs w:val="18"/>
        </w:rPr>
        <w:t xml:space="preserve"> weekly minus comparator). </w:t>
      </w:r>
    </w:p>
    <w:p w:rsidR="00D60C27" w:rsidRPr="00BD6C8A" w:rsidRDefault="00D60C27" w:rsidP="000B18B2">
      <w:pPr>
        <w:pStyle w:val="Sources"/>
        <w:spacing w:before="0"/>
        <w:contextualSpacing/>
        <w:rPr>
          <w:rFonts w:ascii="Arial Narrow" w:hAnsi="Arial Narrow"/>
          <w:sz w:val="18"/>
          <w:szCs w:val="18"/>
        </w:rPr>
      </w:pPr>
      <w:r w:rsidRPr="00BD6C8A">
        <w:rPr>
          <w:rFonts w:ascii="Arial Narrow" w:hAnsi="Arial Narrow"/>
          <w:sz w:val="18"/>
          <w:szCs w:val="18"/>
        </w:rPr>
        <w:t>Source: CSR for NEO</w:t>
      </w:r>
      <w:r w:rsidRPr="00BD6C8A">
        <w:rPr>
          <w:rFonts w:ascii="Arial Narrow" w:hAnsi="Arial Narrow"/>
          <w:sz w:val="18"/>
          <w:szCs w:val="18"/>
        </w:rPr>
        <w:noBreakHyphen/>
        <w:t>1: Table 7.2.1</w:t>
      </w:r>
      <w:r w:rsidRPr="00BD6C8A">
        <w:rPr>
          <w:rFonts w:ascii="Arial Narrow" w:hAnsi="Arial Narrow"/>
          <w:sz w:val="18"/>
          <w:szCs w:val="18"/>
        </w:rPr>
        <w:noBreakHyphen/>
        <w:t>1 (page 77); CSR for DURATION</w:t>
      </w:r>
      <w:r w:rsidRPr="00BD6C8A">
        <w:rPr>
          <w:rFonts w:ascii="Arial Narrow" w:hAnsi="Arial Narrow"/>
          <w:sz w:val="18"/>
          <w:szCs w:val="18"/>
        </w:rPr>
        <w:noBreakHyphen/>
        <w:t>1: Table 8 (page 49); CSR for DURATION</w:t>
      </w:r>
      <w:r w:rsidRPr="00BD6C8A">
        <w:rPr>
          <w:rFonts w:ascii="Arial Narrow" w:hAnsi="Arial Narrow"/>
          <w:sz w:val="18"/>
          <w:szCs w:val="18"/>
        </w:rPr>
        <w:noBreakHyphen/>
        <w:t>5: Table 7 (page 42)</w:t>
      </w:r>
    </w:p>
    <w:p w:rsidR="00D60C27" w:rsidRPr="00BD6C8A" w:rsidRDefault="00D60C27" w:rsidP="00E2793B">
      <w:pPr>
        <w:pStyle w:val="ListParagraph"/>
        <w:widowControl/>
        <w:numPr>
          <w:ilvl w:val="1"/>
          <w:numId w:val="1"/>
        </w:numPr>
      </w:pPr>
      <w:r w:rsidRPr="00BD6C8A">
        <w:t xml:space="preserve">Both </w:t>
      </w:r>
      <w:proofErr w:type="spellStart"/>
      <w:r w:rsidRPr="00BD6C8A">
        <w:t>exenatide</w:t>
      </w:r>
      <w:proofErr w:type="spellEnd"/>
      <w:r w:rsidRPr="00BD6C8A">
        <w:t xml:space="preserve"> </w:t>
      </w:r>
      <w:proofErr w:type="spellStart"/>
      <w:r w:rsidRPr="00BD6C8A">
        <w:t>autoinjector</w:t>
      </w:r>
      <w:proofErr w:type="spellEnd"/>
      <w:r w:rsidRPr="00BD6C8A">
        <w:t xml:space="preserve"> and </w:t>
      </w:r>
      <w:proofErr w:type="spellStart"/>
      <w:r w:rsidRPr="00BD6C8A">
        <w:t>exenatide</w:t>
      </w:r>
      <w:proofErr w:type="spellEnd"/>
      <w:r w:rsidRPr="00BD6C8A">
        <w:t xml:space="preserve"> DCP resulted in statistically significantly lower HbA1c</w:t>
      </w:r>
      <w:r w:rsidR="00D67157" w:rsidRPr="00BD6C8A">
        <w:t xml:space="preserve"> per cent</w:t>
      </w:r>
      <w:r w:rsidRPr="00BD6C8A">
        <w:t xml:space="preserve"> after 24-30 weeks of treatment compared to </w:t>
      </w:r>
      <w:proofErr w:type="spellStart"/>
      <w:r w:rsidRPr="00BD6C8A">
        <w:t>exenatide</w:t>
      </w:r>
      <w:proofErr w:type="spellEnd"/>
      <w:r w:rsidRPr="00BD6C8A">
        <w:t xml:space="preserve"> twice daily. </w:t>
      </w:r>
    </w:p>
    <w:p w:rsidR="00D60C27" w:rsidRPr="00BD6C8A" w:rsidRDefault="00D60C27" w:rsidP="00E2793B">
      <w:pPr>
        <w:pStyle w:val="ListParagraph"/>
        <w:widowControl/>
        <w:numPr>
          <w:ilvl w:val="1"/>
          <w:numId w:val="1"/>
        </w:numPr>
      </w:pPr>
      <w:r w:rsidRPr="00BD6C8A">
        <w:t xml:space="preserve">The results of the indirect comparison between </w:t>
      </w:r>
      <w:proofErr w:type="spellStart"/>
      <w:r w:rsidRPr="00BD6C8A">
        <w:t>exenatide</w:t>
      </w:r>
      <w:proofErr w:type="spellEnd"/>
      <w:r w:rsidRPr="00BD6C8A">
        <w:t xml:space="preserve"> </w:t>
      </w:r>
      <w:proofErr w:type="spellStart"/>
      <w:r w:rsidRPr="00BD6C8A">
        <w:t>autoinjector</w:t>
      </w:r>
      <w:proofErr w:type="spellEnd"/>
      <w:r w:rsidRPr="00BD6C8A">
        <w:t xml:space="preserve"> and </w:t>
      </w:r>
      <w:proofErr w:type="spellStart"/>
      <w:r w:rsidRPr="00BD6C8A">
        <w:t>exenatide</w:t>
      </w:r>
      <w:proofErr w:type="spellEnd"/>
      <w:r w:rsidRPr="00BD6C8A">
        <w:t xml:space="preserve"> DCP (using </w:t>
      </w:r>
      <w:proofErr w:type="spellStart"/>
      <w:r w:rsidRPr="00BD6C8A">
        <w:t>exenatide</w:t>
      </w:r>
      <w:proofErr w:type="spellEnd"/>
      <w:r w:rsidRPr="00BD6C8A">
        <w:t xml:space="preserve"> twice daily as the common comparator) are presented </w:t>
      </w:r>
      <w:r w:rsidRPr="00BD6C8A">
        <w:rPr>
          <w:rFonts w:asciiTheme="minorHAnsi" w:hAnsiTheme="minorHAnsi" w:cstheme="minorHAnsi"/>
          <w:szCs w:val="24"/>
        </w:rPr>
        <w:t xml:space="preserve">in </w:t>
      </w:r>
      <w:r w:rsidR="00D67157" w:rsidRPr="00BD6C8A">
        <w:rPr>
          <w:rFonts w:asciiTheme="minorHAnsi" w:hAnsiTheme="minorHAnsi" w:cstheme="minorHAnsi"/>
          <w:szCs w:val="24"/>
        </w:rPr>
        <w:t>Tabl</w:t>
      </w:r>
      <w:r w:rsidR="00AC4D6D" w:rsidRPr="00BD6C8A">
        <w:rPr>
          <w:rFonts w:asciiTheme="minorHAnsi" w:hAnsiTheme="minorHAnsi" w:cstheme="minorHAnsi"/>
          <w:szCs w:val="24"/>
        </w:rPr>
        <w:t>e </w:t>
      </w:r>
      <w:r w:rsidR="00D67157" w:rsidRPr="00BD6C8A">
        <w:rPr>
          <w:rFonts w:asciiTheme="minorHAnsi" w:hAnsiTheme="minorHAnsi" w:cstheme="minorHAnsi"/>
          <w:szCs w:val="24"/>
        </w:rPr>
        <w:t>5</w:t>
      </w:r>
      <w:r w:rsidRPr="00BD6C8A">
        <w:t>.</w:t>
      </w:r>
    </w:p>
    <w:p w:rsidR="00D60C27" w:rsidRPr="00BD6C8A" w:rsidRDefault="00D67157" w:rsidP="000B18B2">
      <w:pPr>
        <w:pStyle w:val="Caption"/>
        <w:keepNext/>
        <w:widowControl/>
        <w:spacing w:after="0"/>
        <w:jc w:val="left"/>
        <w:rPr>
          <w:rFonts w:ascii="Arial Narrow" w:hAnsi="Arial Narrow"/>
          <w:color w:val="auto"/>
          <w:sz w:val="20"/>
          <w:szCs w:val="20"/>
        </w:rPr>
      </w:pPr>
      <w:bookmarkStart w:id="12" w:name="_Ref532160392"/>
      <w:r w:rsidRPr="00BD6C8A">
        <w:rPr>
          <w:rFonts w:ascii="Arial Narrow" w:hAnsi="Arial Narrow"/>
          <w:color w:val="auto"/>
          <w:sz w:val="20"/>
          <w:szCs w:val="20"/>
        </w:rPr>
        <w:t xml:space="preserve">Table </w:t>
      </w:r>
      <w:r w:rsidR="008B4B04" w:rsidRPr="00BD6C8A">
        <w:rPr>
          <w:rFonts w:ascii="Arial Narrow" w:hAnsi="Arial Narrow"/>
          <w:color w:val="auto"/>
          <w:sz w:val="20"/>
          <w:szCs w:val="20"/>
        </w:rPr>
        <w:t>5</w:t>
      </w:r>
      <w:bookmarkEnd w:id="12"/>
      <w:r w:rsidRPr="00BD6C8A">
        <w:rPr>
          <w:rFonts w:ascii="Arial Narrow" w:hAnsi="Arial Narrow"/>
          <w:color w:val="auto"/>
          <w:sz w:val="20"/>
          <w:szCs w:val="20"/>
        </w:rPr>
        <w:t>:</w:t>
      </w:r>
      <w:r w:rsidR="00605337" w:rsidRPr="00BD6C8A">
        <w:rPr>
          <w:rFonts w:ascii="Arial Narrow" w:hAnsi="Arial Narrow"/>
          <w:color w:val="auto"/>
          <w:sz w:val="20"/>
          <w:szCs w:val="20"/>
        </w:rPr>
        <w:t xml:space="preserve"> </w:t>
      </w:r>
      <w:r w:rsidR="00D60C27" w:rsidRPr="00BD6C8A">
        <w:rPr>
          <w:rFonts w:ascii="Arial Narrow" w:hAnsi="Arial Narrow"/>
          <w:color w:val="auto"/>
          <w:sz w:val="20"/>
          <w:szCs w:val="20"/>
        </w:rPr>
        <w:t xml:space="preserve">Results of the indirect comparison of </w:t>
      </w:r>
      <w:proofErr w:type="spellStart"/>
      <w:r w:rsidR="00D60C27" w:rsidRPr="00BD6C8A">
        <w:rPr>
          <w:rFonts w:ascii="Arial Narrow" w:hAnsi="Arial Narrow"/>
          <w:color w:val="auto"/>
          <w:sz w:val="20"/>
          <w:szCs w:val="20"/>
        </w:rPr>
        <w:t>exenatide</w:t>
      </w:r>
      <w:proofErr w:type="spellEnd"/>
      <w:r w:rsidR="00D60C27" w:rsidRPr="00BD6C8A">
        <w:rPr>
          <w:rFonts w:ascii="Arial Narrow" w:hAnsi="Arial Narrow"/>
          <w:color w:val="auto"/>
          <w:sz w:val="20"/>
          <w:szCs w:val="20"/>
        </w:rPr>
        <w:t xml:space="preserve"> QWS</w:t>
      </w:r>
      <w:r w:rsidR="00D60C27" w:rsidRPr="00BD6C8A">
        <w:rPr>
          <w:rFonts w:ascii="Arial Narrow" w:hAnsi="Arial Narrow"/>
          <w:color w:val="auto"/>
          <w:sz w:val="20"/>
          <w:szCs w:val="20"/>
        </w:rPr>
        <w:noBreakHyphen/>
        <w:t xml:space="preserve">AI and the main comparator </w:t>
      </w:r>
      <w:proofErr w:type="spellStart"/>
      <w:r w:rsidR="00D60C27" w:rsidRPr="00BD6C8A">
        <w:rPr>
          <w:rFonts w:ascii="Arial Narrow" w:hAnsi="Arial Narrow"/>
          <w:color w:val="auto"/>
          <w:sz w:val="20"/>
          <w:szCs w:val="20"/>
        </w:rPr>
        <w:t>exenatide</w:t>
      </w:r>
      <w:proofErr w:type="spellEnd"/>
      <w:r w:rsidR="00D60C27" w:rsidRPr="00BD6C8A">
        <w:rPr>
          <w:rFonts w:ascii="Arial Narrow" w:hAnsi="Arial Narrow"/>
          <w:color w:val="auto"/>
          <w:sz w:val="20"/>
          <w:szCs w:val="20"/>
        </w:rPr>
        <w:t xml:space="preserve"> QW</w:t>
      </w:r>
      <w:r w:rsidR="00D60C27" w:rsidRPr="00BD6C8A">
        <w:rPr>
          <w:rFonts w:ascii="Arial Narrow" w:hAnsi="Arial Narrow"/>
          <w:color w:val="auto"/>
          <w:sz w:val="20"/>
          <w:szCs w:val="20"/>
        </w:rPr>
        <w:noBreakHyphen/>
        <w:t xml:space="preserve">DCP </w:t>
      </w:r>
    </w:p>
    <w:tbl>
      <w:tblPr>
        <w:tblStyle w:val="TableGrid"/>
        <w:tblW w:w="5000" w:type="pct"/>
        <w:tblCellMar>
          <w:left w:w="28" w:type="dxa"/>
          <w:right w:w="28" w:type="dxa"/>
        </w:tblCellMar>
        <w:tblLook w:val="04A0" w:firstRow="1" w:lastRow="0" w:firstColumn="1" w:lastColumn="0" w:noHBand="0" w:noVBand="1"/>
        <w:tblCaption w:val="Table 5: Results of the indirect comparison of exenatide QWS AI and the main comparator exenatide QW DCP "/>
      </w:tblPr>
      <w:tblGrid>
        <w:gridCol w:w="4184"/>
        <w:gridCol w:w="914"/>
        <w:gridCol w:w="1268"/>
        <w:gridCol w:w="1069"/>
        <w:gridCol w:w="1582"/>
      </w:tblGrid>
      <w:tr w:rsidR="00D67157" w:rsidRPr="00BD6C8A" w:rsidTr="00CF27A3">
        <w:trPr>
          <w:trHeight w:val="478"/>
          <w:tblHeader/>
        </w:trPr>
        <w:tc>
          <w:tcPr>
            <w:tcW w:w="2320" w:type="pct"/>
            <w:vMerge w:val="restart"/>
            <w:shd w:val="clear" w:color="auto" w:fill="auto"/>
            <w:vAlign w:val="center"/>
          </w:tcPr>
          <w:p w:rsidR="00D67157" w:rsidRPr="00BD6C8A" w:rsidRDefault="00D67157" w:rsidP="000B18B2">
            <w:pPr>
              <w:pStyle w:val="BodyText1"/>
              <w:keepNext/>
              <w:spacing w:before="0" w:after="0" w:line="240" w:lineRule="auto"/>
              <w:ind w:left="0"/>
              <w:rPr>
                <w:rFonts w:ascii="Arial Narrow" w:hAnsi="Arial Narrow"/>
                <w:b/>
              </w:rPr>
            </w:pPr>
            <w:r w:rsidRPr="00BD6C8A">
              <w:rPr>
                <w:rFonts w:ascii="Arial Narrow" w:hAnsi="Arial Narrow"/>
                <w:b/>
              </w:rPr>
              <w:t>Trial</w:t>
            </w:r>
          </w:p>
        </w:tc>
        <w:tc>
          <w:tcPr>
            <w:tcW w:w="1803" w:type="pct"/>
            <w:gridSpan w:val="3"/>
            <w:shd w:val="clear" w:color="auto" w:fill="auto"/>
            <w:vAlign w:val="center"/>
          </w:tcPr>
          <w:p w:rsidR="00D67157" w:rsidRPr="00BD6C8A" w:rsidRDefault="00D67157" w:rsidP="000B18B2">
            <w:pPr>
              <w:pStyle w:val="BodyText1"/>
              <w:keepNext/>
              <w:spacing w:before="0" w:after="0" w:line="240" w:lineRule="auto"/>
              <w:ind w:left="0"/>
              <w:jc w:val="center"/>
              <w:rPr>
                <w:rFonts w:ascii="Arial Narrow" w:hAnsi="Arial Narrow"/>
                <w:b/>
              </w:rPr>
            </w:pPr>
            <w:r w:rsidRPr="00BD6C8A">
              <w:rPr>
                <w:rFonts w:ascii="Arial Narrow" w:hAnsi="Arial Narrow"/>
                <w:b/>
              </w:rPr>
              <w:t>Change from baseline in HbA1c at endpoint LSM (SE)</w:t>
            </w:r>
          </w:p>
        </w:tc>
        <w:tc>
          <w:tcPr>
            <w:tcW w:w="878" w:type="pct"/>
            <w:vMerge w:val="restart"/>
            <w:shd w:val="clear" w:color="auto" w:fill="auto"/>
            <w:vAlign w:val="center"/>
          </w:tcPr>
          <w:p w:rsidR="00D67157" w:rsidRPr="00BD6C8A" w:rsidRDefault="00D67157" w:rsidP="000B18B2">
            <w:pPr>
              <w:pStyle w:val="BodyText1"/>
              <w:keepNext/>
              <w:spacing w:before="0" w:after="0" w:line="240" w:lineRule="auto"/>
              <w:ind w:left="0"/>
              <w:jc w:val="center"/>
              <w:rPr>
                <w:rFonts w:ascii="Arial Narrow" w:hAnsi="Arial Narrow"/>
                <w:b/>
              </w:rPr>
            </w:pPr>
            <w:r w:rsidRPr="00BD6C8A">
              <w:rPr>
                <w:rFonts w:ascii="Arial Narrow" w:hAnsi="Arial Narrow"/>
                <w:b/>
              </w:rPr>
              <w:t>LSM difference</w:t>
            </w:r>
          </w:p>
          <w:p w:rsidR="00D67157" w:rsidRPr="00BD6C8A" w:rsidRDefault="00D67157" w:rsidP="000B18B2">
            <w:pPr>
              <w:pStyle w:val="BodyText1"/>
              <w:keepNext/>
              <w:spacing w:before="0" w:after="0" w:line="240" w:lineRule="auto"/>
              <w:ind w:left="0"/>
              <w:jc w:val="center"/>
              <w:rPr>
                <w:rFonts w:ascii="Arial Narrow" w:hAnsi="Arial Narrow"/>
                <w:b/>
              </w:rPr>
            </w:pPr>
            <w:r w:rsidRPr="00BD6C8A">
              <w:rPr>
                <w:rFonts w:ascii="Arial Narrow" w:hAnsi="Arial Narrow"/>
                <w:b/>
              </w:rPr>
              <w:t>(95% CI)</w:t>
            </w:r>
          </w:p>
        </w:tc>
      </w:tr>
      <w:tr w:rsidR="00D67157" w:rsidRPr="00BD6C8A" w:rsidTr="00CF27A3">
        <w:trPr>
          <w:trHeight w:val="636"/>
          <w:tblHeader/>
        </w:trPr>
        <w:tc>
          <w:tcPr>
            <w:tcW w:w="2320" w:type="pct"/>
            <w:vMerge/>
            <w:shd w:val="clear" w:color="auto" w:fill="auto"/>
            <w:vAlign w:val="center"/>
          </w:tcPr>
          <w:p w:rsidR="00D67157" w:rsidRPr="00BD6C8A" w:rsidRDefault="00D67157" w:rsidP="000B18B2">
            <w:pPr>
              <w:pStyle w:val="BodyText1"/>
              <w:keepNext/>
              <w:spacing w:before="0" w:after="0" w:line="240" w:lineRule="auto"/>
              <w:ind w:left="0"/>
              <w:rPr>
                <w:rFonts w:ascii="Arial Narrow" w:hAnsi="Arial Narrow"/>
                <w:b/>
              </w:rPr>
            </w:pPr>
          </w:p>
        </w:tc>
        <w:tc>
          <w:tcPr>
            <w:tcW w:w="507" w:type="pct"/>
            <w:shd w:val="clear" w:color="auto" w:fill="auto"/>
            <w:vAlign w:val="center"/>
          </w:tcPr>
          <w:p w:rsidR="00D67157" w:rsidRPr="00BD6C8A" w:rsidRDefault="00D67157" w:rsidP="000B18B2">
            <w:pPr>
              <w:pStyle w:val="BodyText1"/>
              <w:keepNext/>
              <w:spacing w:before="0" w:after="0" w:line="240" w:lineRule="auto"/>
              <w:ind w:left="0"/>
              <w:jc w:val="center"/>
              <w:rPr>
                <w:rFonts w:ascii="Arial Narrow" w:hAnsi="Arial Narrow"/>
                <w:b/>
              </w:rPr>
            </w:pPr>
            <w:proofErr w:type="spellStart"/>
            <w:r w:rsidRPr="00BD6C8A">
              <w:rPr>
                <w:rFonts w:ascii="Arial Narrow" w:hAnsi="Arial Narrow"/>
                <w:b/>
              </w:rPr>
              <w:t>Exenatide</w:t>
            </w:r>
            <w:proofErr w:type="spellEnd"/>
          </w:p>
          <w:p w:rsidR="00D67157" w:rsidRPr="00BD6C8A" w:rsidRDefault="00D67157" w:rsidP="000B18B2">
            <w:pPr>
              <w:pStyle w:val="BodyText1"/>
              <w:keepNext/>
              <w:spacing w:before="0" w:after="0" w:line="240" w:lineRule="auto"/>
              <w:ind w:left="0"/>
              <w:jc w:val="center"/>
              <w:rPr>
                <w:rFonts w:ascii="Arial Narrow" w:hAnsi="Arial Narrow"/>
                <w:b/>
              </w:rPr>
            </w:pPr>
            <w:r w:rsidRPr="00BD6C8A">
              <w:rPr>
                <w:rFonts w:ascii="Arial Narrow" w:hAnsi="Arial Narrow"/>
                <w:b/>
              </w:rPr>
              <w:t>QWS</w:t>
            </w:r>
            <w:r w:rsidRPr="00BD6C8A">
              <w:rPr>
                <w:rFonts w:ascii="Arial Narrow" w:hAnsi="Arial Narrow"/>
                <w:b/>
              </w:rPr>
              <w:noBreakHyphen/>
              <w:t>AI</w:t>
            </w:r>
          </w:p>
        </w:tc>
        <w:tc>
          <w:tcPr>
            <w:tcW w:w="703" w:type="pct"/>
            <w:shd w:val="clear" w:color="auto" w:fill="auto"/>
            <w:vAlign w:val="center"/>
          </w:tcPr>
          <w:p w:rsidR="00D67157" w:rsidRPr="00BD6C8A" w:rsidRDefault="00D67157" w:rsidP="000B18B2">
            <w:pPr>
              <w:pStyle w:val="BodyText1"/>
              <w:keepNext/>
              <w:spacing w:before="0" w:after="0" w:line="240" w:lineRule="auto"/>
              <w:ind w:left="0"/>
              <w:jc w:val="center"/>
              <w:rPr>
                <w:rFonts w:ascii="Arial Narrow" w:hAnsi="Arial Narrow"/>
                <w:b/>
              </w:rPr>
            </w:pPr>
            <w:r w:rsidRPr="00BD6C8A">
              <w:rPr>
                <w:rFonts w:ascii="Arial Narrow" w:hAnsi="Arial Narrow"/>
                <w:b/>
              </w:rPr>
              <w:t>Common reference (</w:t>
            </w:r>
            <w:proofErr w:type="spellStart"/>
            <w:r w:rsidRPr="00BD6C8A">
              <w:rPr>
                <w:rFonts w:ascii="Arial Narrow" w:hAnsi="Arial Narrow"/>
                <w:b/>
              </w:rPr>
              <w:t>Exenatide</w:t>
            </w:r>
            <w:proofErr w:type="spellEnd"/>
            <w:r w:rsidRPr="00BD6C8A">
              <w:rPr>
                <w:rFonts w:ascii="Arial Narrow" w:hAnsi="Arial Narrow"/>
                <w:b/>
              </w:rPr>
              <w:t xml:space="preserve"> BD)</w:t>
            </w:r>
          </w:p>
        </w:tc>
        <w:tc>
          <w:tcPr>
            <w:tcW w:w="593" w:type="pct"/>
            <w:shd w:val="clear" w:color="auto" w:fill="auto"/>
            <w:vAlign w:val="center"/>
          </w:tcPr>
          <w:p w:rsidR="00D67157" w:rsidRPr="00BD6C8A" w:rsidRDefault="00D67157" w:rsidP="000B18B2">
            <w:pPr>
              <w:pStyle w:val="BodyText1"/>
              <w:keepNext/>
              <w:spacing w:before="0" w:after="0" w:line="240" w:lineRule="auto"/>
              <w:ind w:left="0"/>
              <w:jc w:val="center"/>
              <w:rPr>
                <w:rFonts w:ascii="Arial Narrow" w:hAnsi="Arial Narrow"/>
                <w:b/>
              </w:rPr>
            </w:pPr>
            <w:proofErr w:type="spellStart"/>
            <w:r w:rsidRPr="00BD6C8A">
              <w:rPr>
                <w:rFonts w:ascii="Arial Narrow" w:hAnsi="Arial Narrow"/>
                <w:b/>
              </w:rPr>
              <w:t>Exenatide</w:t>
            </w:r>
            <w:proofErr w:type="spellEnd"/>
          </w:p>
          <w:p w:rsidR="00D67157" w:rsidRPr="00BD6C8A" w:rsidRDefault="00D67157" w:rsidP="000B18B2">
            <w:pPr>
              <w:pStyle w:val="BodyText1"/>
              <w:keepNext/>
              <w:spacing w:before="0" w:after="0" w:line="240" w:lineRule="auto"/>
              <w:ind w:left="0"/>
              <w:jc w:val="center"/>
              <w:rPr>
                <w:rFonts w:ascii="Arial Narrow" w:hAnsi="Arial Narrow"/>
                <w:b/>
              </w:rPr>
            </w:pPr>
            <w:r w:rsidRPr="00BD6C8A">
              <w:rPr>
                <w:rFonts w:ascii="Arial Narrow" w:hAnsi="Arial Narrow"/>
                <w:b/>
              </w:rPr>
              <w:t>QW</w:t>
            </w:r>
            <w:r w:rsidRPr="00BD6C8A">
              <w:rPr>
                <w:rFonts w:ascii="Arial Narrow" w:hAnsi="Arial Narrow"/>
                <w:b/>
              </w:rPr>
              <w:noBreakHyphen/>
              <w:t>DCP</w:t>
            </w:r>
          </w:p>
        </w:tc>
        <w:tc>
          <w:tcPr>
            <w:tcW w:w="878" w:type="pct"/>
            <w:vMerge/>
            <w:shd w:val="clear" w:color="auto" w:fill="auto"/>
          </w:tcPr>
          <w:p w:rsidR="00D67157" w:rsidRPr="00BD6C8A" w:rsidRDefault="00D67157" w:rsidP="000B18B2">
            <w:pPr>
              <w:pStyle w:val="BodyText1"/>
              <w:keepNext/>
              <w:spacing w:before="0" w:after="0" w:line="240" w:lineRule="auto"/>
              <w:ind w:left="0"/>
              <w:jc w:val="center"/>
              <w:rPr>
                <w:rFonts w:ascii="Arial Narrow" w:hAnsi="Arial Narrow"/>
                <w:b/>
              </w:rPr>
            </w:pPr>
          </w:p>
        </w:tc>
      </w:tr>
      <w:tr w:rsidR="00D67157" w:rsidRPr="00BD6C8A" w:rsidTr="00E70620">
        <w:tc>
          <w:tcPr>
            <w:tcW w:w="5000" w:type="pct"/>
            <w:gridSpan w:val="5"/>
            <w:shd w:val="clear" w:color="auto" w:fill="auto"/>
            <w:vAlign w:val="center"/>
          </w:tcPr>
          <w:p w:rsidR="00D67157" w:rsidRPr="00BD6C8A" w:rsidRDefault="00D67157" w:rsidP="000B18B2">
            <w:pPr>
              <w:keepNext/>
              <w:widowControl/>
              <w:rPr>
                <w:rFonts w:ascii="Arial Narrow" w:hAnsi="Arial Narrow"/>
                <w:b/>
                <w:sz w:val="20"/>
                <w:szCs w:val="20"/>
              </w:rPr>
            </w:pPr>
            <w:proofErr w:type="spellStart"/>
            <w:r w:rsidRPr="00BD6C8A">
              <w:rPr>
                <w:rFonts w:ascii="Arial Narrow" w:hAnsi="Arial Narrow"/>
                <w:b/>
                <w:sz w:val="20"/>
                <w:szCs w:val="20"/>
              </w:rPr>
              <w:t>Exenatide</w:t>
            </w:r>
            <w:proofErr w:type="spellEnd"/>
            <w:r w:rsidRPr="00BD6C8A">
              <w:rPr>
                <w:rFonts w:ascii="Arial Narrow" w:hAnsi="Arial Narrow"/>
                <w:b/>
                <w:sz w:val="20"/>
                <w:szCs w:val="20"/>
              </w:rPr>
              <w:t xml:space="preserve"> once weekly </w:t>
            </w:r>
            <w:proofErr w:type="spellStart"/>
            <w:r w:rsidRPr="00BD6C8A">
              <w:rPr>
                <w:rFonts w:ascii="Arial Narrow" w:hAnsi="Arial Narrow"/>
                <w:b/>
                <w:sz w:val="20"/>
                <w:szCs w:val="20"/>
              </w:rPr>
              <w:t>autoinjector</w:t>
            </w:r>
            <w:proofErr w:type="spellEnd"/>
            <w:r w:rsidRPr="00BD6C8A">
              <w:rPr>
                <w:rFonts w:ascii="Arial Narrow" w:hAnsi="Arial Narrow"/>
                <w:b/>
                <w:sz w:val="20"/>
                <w:szCs w:val="20"/>
              </w:rPr>
              <w:t xml:space="preserve"> versus </w:t>
            </w:r>
            <w:proofErr w:type="spellStart"/>
            <w:r w:rsidRPr="00BD6C8A">
              <w:rPr>
                <w:rFonts w:ascii="Arial Narrow" w:hAnsi="Arial Narrow"/>
                <w:b/>
                <w:sz w:val="20"/>
                <w:szCs w:val="20"/>
              </w:rPr>
              <w:t>exenatide</w:t>
            </w:r>
            <w:proofErr w:type="spellEnd"/>
            <w:r w:rsidRPr="00BD6C8A">
              <w:rPr>
                <w:rFonts w:ascii="Arial Narrow" w:hAnsi="Arial Narrow"/>
                <w:b/>
                <w:sz w:val="20"/>
                <w:szCs w:val="20"/>
              </w:rPr>
              <w:t xml:space="preserve"> twice daily </w:t>
            </w:r>
          </w:p>
        </w:tc>
      </w:tr>
      <w:tr w:rsidR="00D67157" w:rsidRPr="00BD6C8A" w:rsidTr="00E70620">
        <w:tc>
          <w:tcPr>
            <w:tcW w:w="2320" w:type="pct"/>
            <w:shd w:val="clear" w:color="auto" w:fill="auto"/>
          </w:tcPr>
          <w:p w:rsidR="00D67157" w:rsidRPr="00BD6C8A" w:rsidRDefault="00D67157" w:rsidP="000B18B2">
            <w:pPr>
              <w:pStyle w:val="BodyText1"/>
              <w:keepNext/>
              <w:spacing w:before="0" w:after="0" w:line="240" w:lineRule="auto"/>
              <w:ind w:left="0"/>
              <w:rPr>
                <w:rFonts w:ascii="Arial Narrow" w:hAnsi="Arial Narrow"/>
              </w:rPr>
            </w:pPr>
            <w:r w:rsidRPr="00BD6C8A">
              <w:rPr>
                <w:rFonts w:ascii="Arial Narrow" w:hAnsi="Arial Narrow"/>
              </w:rPr>
              <w:t>NEO</w:t>
            </w:r>
            <w:r w:rsidRPr="00BD6C8A">
              <w:rPr>
                <w:rFonts w:ascii="Arial Narrow" w:hAnsi="Arial Narrow"/>
              </w:rPr>
              <w:noBreakHyphen/>
              <w:t>1 (28 weeks)</w:t>
            </w:r>
          </w:p>
        </w:tc>
        <w:tc>
          <w:tcPr>
            <w:tcW w:w="507" w:type="pct"/>
            <w:shd w:val="clear" w:color="auto" w:fill="auto"/>
          </w:tcPr>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noBreakHyphen/>
              <w:t>1.39 (0.09)</w:t>
            </w:r>
          </w:p>
        </w:tc>
        <w:tc>
          <w:tcPr>
            <w:tcW w:w="703" w:type="pct"/>
            <w:shd w:val="clear" w:color="auto" w:fill="auto"/>
          </w:tcPr>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noBreakHyphen/>
              <w:t>1.02 (0.11)</w:t>
            </w:r>
          </w:p>
        </w:tc>
        <w:tc>
          <w:tcPr>
            <w:tcW w:w="593" w:type="pct"/>
            <w:shd w:val="clear" w:color="auto" w:fill="auto"/>
          </w:tcPr>
          <w:p w:rsidR="00D67157" w:rsidRPr="00BD6C8A" w:rsidRDefault="00D67157" w:rsidP="000B18B2">
            <w:pPr>
              <w:keepNext/>
              <w:widowControl/>
              <w:jc w:val="center"/>
              <w:rPr>
                <w:rFonts w:ascii="Arial Narrow" w:hAnsi="Arial Narrow"/>
                <w:sz w:val="20"/>
                <w:szCs w:val="20"/>
              </w:rPr>
            </w:pPr>
            <w:r w:rsidRPr="00BD6C8A">
              <w:rPr>
                <w:rFonts w:ascii="Arial Narrow" w:hAnsi="Arial Narrow"/>
                <w:sz w:val="20"/>
                <w:szCs w:val="20"/>
              </w:rPr>
              <w:noBreakHyphen/>
            </w:r>
          </w:p>
        </w:tc>
        <w:tc>
          <w:tcPr>
            <w:tcW w:w="878" w:type="pct"/>
            <w:shd w:val="clear" w:color="auto" w:fill="auto"/>
          </w:tcPr>
          <w:p w:rsidR="00D67157" w:rsidRPr="00BD6C8A" w:rsidRDefault="00D67157" w:rsidP="000B18B2">
            <w:pPr>
              <w:keepNext/>
              <w:widowControl/>
              <w:jc w:val="center"/>
              <w:rPr>
                <w:rFonts w:ascii="Arial Narrow" w:hAnsi="Arial Narrow"/>
                <w:sz w:val="20"/>
                <w:szCs w:val="20"/>
              </w:rPr>
            </w:pPr>
            <w:r w:rsidRPr="00BD6C8A">
              <w:rPr>
                <w:rFonts w:ascii="Arial Narrow" w:hAnsi="Arial Narrow"/>
                <w:sz w:val="20"/>
                <w:szCs w:val="20"/>
              </w:rPr>
              <w:noBreakHyphen/>
              <w:t>0.37 (</w:t>
            </w:r>
            <w:r w:rsidRPr="00BD6C8A">
              <w:rPr>
                <w:rFonts w:ascii="Arial Narrow" w:hAnsi="Arial Narrow"/>
                <w:sz w:val="20"/>
                <w:szCs w:val="20"/>
              </w:rPr>
              <w:noBreakHyphen/>
              <w:t xml:space="preserve">0.63, </w:t>
            </w:r>
            <w:r w:rsidRPr="00BD6C8A">
              <w:rPr>
                <w:rFonts w:ascii="Arial Narrow" w:hAnsi="Arial Narrow"/>
                <w:sz w:val="20"/>
                <w:szCs w:val="20"/>
              </w:rPr>
              <w:noBreakHyphen/>
              <w:t>0.10)</w:t>
            </w:r>
          </w:p>
        </w:tc>
      </w:tr>
      <w:tr w:rsidR="00D67157" w:rsidRPr="00BD6C8A" w:rsidTr="00E70620">
        <w:tc>
          <w:tcPr>
            <w:tcW w:w="5000" w:type="pct"/>
            <w:gridSpan w:val="5"/>
            <w:shd w:val="clear" w:color="auto" w:fill="auto"/>
          </w:tcPr>
          <w:p w:rsidR="00D67157" w:rsidRPr="00BD6C8A" w:rsidRDefault="00D67157" w:rsidP="000B18B2">
            <w:pPr>
              <w:keepNext/>
              <w:widowControl/>
              <w:rPr>
                <w:rFonts w:ascii="Arial Narrow" w:hAnsi="Arial Narrow"/>
                <w:b/>
                <w:sz w:val="20"/>
                <w:szCs w:val="20"/>
              </w:rPr>
            </w:pPr>
            <w:r w:rsidRPr="00BD6C8A">
              <w:rPr>
                <w:rFonts w:ascii="Arial Narrow" w:hAnsi="Arial Narrow"/>
                <w:b/>
                <w:sz w:val="20"/>
                <w:szCs w:val="20"/>
              </w:rPr>
              <w:t>Comparator versus common reference trials</w:t>
            </w:r>
          </w:p>
        </w:tc>
      </w:tr>
      <w:tr w:rsidR="00D67157" w:rsidRPr="00BD6C8A" w:rsidTr="00E70620">
        <w:tc>
          <w:tcPr>
            <w:tcW w:w="2320" w:type="pct"/>
            <w:shd w:val="clear" w:color="auto" w:fill="auto"/>
          </w:tcPr>
          <w:p w:rsidR="00D67157" w:rsidRPr="00BD6C8A" w:rsidRDefault="00D67157" w:rsidP="000B18B2">
            <w:pPr>
              <w:pStyle w:val="BodyText1"/>
              <w:keepNext/>
              <w:spacing w:before="0" w:after="0" w:line="240" w:lineRule="auto"/>
              <w:ind w:left="0"/>
              <w:rPr>
                <w:rFonts w:ascii="Arial Narrow" w:hAnsi="Arial Narrow"/>
              </w:rPr>
            </w:pPr>
            <w:r w:rsidRPr="00BD6C8A">
              <w:rPr>
                <w:rFonts w:ascii="Arial Narrow" w:hAnsi="Arial Narrow"/>
              </w:rPr>
              <w:t>DURATION</w:t>
            </w:r>
            <w:r w:rsidRPr="00BD6C8A">
              <w:rPr>
                <w:rFonts w:ascii="Arial Narrow" w:hAnsi="Arial Narrow"/>
              </w:rPr>
              <w:noBreakHyphen/>
              <w:t>1 (26 weeks)</w:t>
            </w:r>
          </w:p>
          <w:p w:rsidR="00D67157" w:rsidRPr="00BD6C8A" w:rsidRDefault="00D67157" w:rsidP="000B18B2">
            <w:pPr>
              <w:pStyle w:val="BodyText1"/>
              <w:keepNext/>
              <w:spacing w:before="0" w:after="0" w:line="240" w:lineRule="auto"/>
              <w:ind w:left="0"/>
              <w:rPr>
                <w:rFonts w:ascii="Arial Narrow" w:hAnsi="Arial Narrow"/>
              </w:rPr>
            </w:pPr>
            <w:r w:rsidRPr="00BD6C8A">
              <w:rPr>
                <w:rFonts w:ascii="Arial Narrow" w:hAnsi="Arial Narrow"/>
              </w:rPr>
              <w:t>DURATION</w:t>
            </w:r>
            <w:r w:rsidRPr="00BD6C8A">
              <w:rPr>
                <w:rFonts w:ascii="Arial Narrow" w:hAnsi="Arial Narrow"/>
              </w:rPr>
              <w:noBreakHyphen/>
              <w:t>5 (24 weeks)</w:t>
            </w:r>
          </w:p>
          <w:p w:rsidR="00D67157" w:rsidRPr="00BD6C8A" w:rsidRDefault="00D67157" w:rsidP="000B18B2">
            <w:pPr>
              <w:pStyle w:val="BodyText1"/>
              <w:keepNext/>
              <w:spacing w:before="0" w:after="0" w:line="240" w:lineRule="auto"/>
              <w:ind w:left="0"/>
              <w:rPr>
                <w:rFonts w:ascii="Arial Narrow" w:hAnsi="Arial Narrow"/>
                <w:u w:val="single"/>
              </w:rPr>
            </w:pPr>
            <w:r w:rsidRPr="00BD6C8A">
              <w:rPr>
                <w:rFonts w:ascii="Arial Narrow" w:hAnsi="Arial Narrow"/>
                <w:u w:val="single"/>
              </w:rPr>
              <w:t>Pooled (DURATION-1 and DURATION-5)</w:t>
            </w:r>
          </w:p>
          <w:p w:rsidR="00D67157" w:rsidRPr="00BD6C8A" w:rsidRDefault="00D67157" w:rsidP="000B18B2">
            <w:pPr>
              <w:pStyle w:val="BodyText1"/>
              <w:keepNext/>
              <w:spacing w:before="0" w:after="0" w:line="240" w:lineRule="auto"/>
              <w:ind w:left="0"/>
              <w:rPr>
                <w:rFonts w:ascii="Arial Narrow" w:hAnsi="Arial Narrow"/>
              </w:rPr>
            </w:pPr>
            <w:r w:rsidRPr="00BD6C8A">
              <w:rPr>
                <w:rFonts w:ascii="Arial Narrow" w:hAnsi="Arial Narrow"/>
              </w:rPr>
              <w:t>Ji et al 2013 (week 26)</w:t>
            </w:r>
          </w:p>
          <w:p w:rsidR="00D67157" w:rsidRPr="00BD6C8A" w:rsidRDefault="00D67157" w:rsidP="000B18B2">
            <w:pPr>
              <w:pStyle w:val="BodyText1"/>
              <w:keepNext/>
              <w:spacing w:before="0" w:after="0" w:line="240" w:lineRule="auto"/>
              <w:ind w:left="0"/>
              <w:rPr>
                <w:rFonts w:ascii="Arial Narrow" w:hAnsi="Arial Narrow"/>
                <w:u w:val="single"/>
              </w:rPr>
            </w:pPr>
            <w:r w:rsidRPr="00BD6C8A">
              <w:rPr>
                <w:rFonts w:ascii="Arial Narrow" w:hAnsi="Arial Narrow"/>
                <w:u w:val="single"/>
              </w:rPr>
              <w:t>Pooled (DURATION-1, DURATION-5 and Ji et al 2013)</w:t>
            </w:r>
          </w:p>
        </w:tc>
        <w:tc>
          <w:tcPr>
            <w:tcW w:w="507" w:type="pct"/>
            <w:shd w:val="clear" w:color="auto" w:fill="auto"/>
          </w:tcPr>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t>-</w:t>
            </w:r>
          </w:p>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t>-</w:t>
            </w:r>
          </w:p>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noBreakHyphen/>
            </w:r>
          </w:p>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t>-</w:t>
            </w:r>
          </w:p>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t>-</w:t>
            </w:r>
          </w:p>
        </w:tc>
        <w:tc>
          <w:tcPr>
            <w:tcW w:w="703" w:type="pct"/>
            <w:shd w:val="clear" w:color="auto" w:fill="auto"/>
          </w:tcPr>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t>NR</w:t>
            </w:r>
          </w:p>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t>-0.9 (0.10)</w:t>
            </w:r>
          </w:p>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noBreakHyphen/>
              <w:t>1.18 (0.07)</w:t>
            </w:r>
          </w:p>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t>NR</w:t>
            </w:r>
          </w:p>
          <w:p w:rsidR="00D67157" w:rsidRPr="00BD6C8A" w:rsidRDefault="00D67157" w:rsidP="000B18B2">
            <w:pPr>
              <w:pStyle w:val="BodyText1"/>
              <w:keepNext/>
              <w:spacing w:before="0" w:after="0" w:line="240" w:lineRule="auto"/>
              <w:ind w:left="0"/>
              <w:jc w:val="center"/>
              <w:rPr>
                <w:rFonts w:ascii="Arial Narrow" w:hAnsi="Arial Narrow"/>
              </w:rPr>
            </w:pPr>
            <w:r w:rsidRPr="00BD6C8A">
              <w:rPr>
                <w:rFonts w:ascii="Arial Narrow" w:hAnsi="Arial Narrow"/>
              </w:rPr>
              <w:t>NR</w:t>
            </w:r>
          </w:p>
        </w:tc>
        <w:tc>
          <w:tcPr>
            <w:tcW w:w="593" w:type="pct"/>
            <w:shd w:val="clear" w:color="auto" w:fill="auto"/>
          </w:tcPr>
          <w:p w:rsidR="00D67157" w:rsidRPr="00BD6C8A" w:rsidRDefault="00D67157" w:rsidP="000B18B2">
            <w:pPr>
              <w:keepNext/>
              <w:widowControl/>
              <w:jc w:val="center"/>
              <w:rPr>
                <w:rFonts w:ascii="Arial Narrow" w:hAnsi="Arial Narrow"/>
                <w:sz w:val="20"/>
                <w:szCs w:val="20"/>
              </w:rPr>
            </w:pPr>
            <w:r w:rsidRPr="00BD6C8A">
              <w:rPr>
                <w:rFonts w:ascii="Arial Narrow" w:hAnsi="Arial Narrow"/>
                <w:sz w:val="20"/>
                <w:szCs w:val="20"/>
              </w:rPr>
              <w:t>NR</w:t>
            </w:r>
          </w:p>
          <w:p w:rsidR="00D67157" w:rsidRPr="00BD6C8A" w:rsidRDefault="00D67157" w:rsidP="000B18B2">
            <w:pPr>
              <w:keepNext/>
              <w:widowControl/>
              <w:jc w:val="center"/>
              <w:rPr>
                <w:rFonts w:ascii="Arial Narrow" w:hAnsi="Arial Narrow"/>
                <w:sz w:val="20"/>
                <w:szCs w:val="20"/>
              </w:rPr>
            </w:pPr>
            <w:r w:rsidRPr="00BD6C8A">
              <w:rPr>
                <w:rFonts w:ascii="Arial Narrow" w:hAnsi="Arial Narrow"/>
                <w:sz w:val="20"/>
                <w:szCs w:val="20"/>
              </w:rPr>
              <w:t>-1.6 (0.10)</w:t>
            </w:r>
          </w:p>
          <w:p w:rsidR="00D67157" w:rsidRPr="00BD6C8A" w:rsidRDefault="00D67157" w:rsidP="000B18B2">
            <w:pPr>
              <w:keepNext/>
              <w:widowControl/>
              <w:jc w:val="center"/>
              <w:rPr>
                <w:rFonts w:ascii="Arial Narrow" w:hAnsi="Arial Narrow"/>
                <w:sz w:val="20"/>
                <w:szCs w:val="20"/>
              </w:rPr>
            </w:pPr>
            <w:r w:rsidRPr="00BD6C8A">
              <w:rPr>
                <w:rFonts w:ascii="Arial Narrow" w:hAnsi="Arial Narrow"/>
                <w:sz w:val="20"/>
                <w:szCs w:val="20"/>
              </w:rPr>
              <w:noBreakHyphen/>
              <w:t>1.71 (0.07)</w:t>
            </w:r>
          </w:p>
          <w:p w:rsidR="00D67157" w:rsidRPr="00BD6C8A" w:rsidRDefault="00D67157" w:rsidP="000B18B2">
            <w:pPr>
              <w:keepNext/>
              <w:widowControl/>
              <w:jc w:val="center"/>
              <w:rPr>
                <w:rFonts w:ascii="Arial Narrow" w:hAnsi="Arial Narrow"/>
                <w:sz w:val="20"/>
                <w:szCs w:val="20"/>
              </w:rPr>
            </w:pPr>
            <w:r w:rsidRPr="00BD6C8A">
              <w:rPr>
                <w:rFonts w:ascii="Arial Narrow" w:hAnsi="Arial Narrow"/>
                <w:sz w:val="20"/>
                <w:szCs w:val="20"/>
              </w:rPr>
              <w:t>NR</w:t>
            </w:r>
          </w:p>
          <w:p w:rsidR="00D67157" w:rsidRPr="00BD6C8A" w:rsidRDefault="00D67157" w:rsidP="000B18B2">
            <w:pPr>
              <w:keepNext/>
              <w:widowControl/>
              <w:jc w:val="center"/>
              <w:rPr>
                <w:rFonts w:ascii="Arial Narrow" w:hAnsi="Arial Narrow"/>
                <w:sz w:val="20"/>
                <w:szCs w:val="20"/>
              </w:rPr>
            </w:pPr>
            <w:r w:rsidRPr="00BD6C8A">
              <w:rPr>
                <w:rFonts w:ascii="Arial Narrow" w:hAnsi="Arial Narrow"/>
                <w:sz w:val="20"/>
                <w:szCs w:val="20"/>
              </w:rPr>
              <w:t>NR</w:t>
            </w:r>
          </w:p>
        </w:tc>
        <w:tc>
          <w:tcPr>
            <w:tcW w:w="878" w:type="pct"/>
            <w:shd w:val="clear" w:color="auto" w:fill="auto"/>
          </w:tcPr>
          <w:p w:rsidR="00D67157" w:rsidRPr="00FF70E5" w:rsidRDefault="00D67157" w:rsidP="000B18B2">
            <w:pPr>
              <w:keepNext/>
              <w:widowControl/>
              <w:jc w:val="center"/>
              <w:rPr>
                <w:rFonts w:ascii="Arial Narrow" w:hAnsi="Arial Narrow"/>
                <w:sz w:val="20"/>
                <w:szCs w:val="20"/>
              </w:rPr>
            </w:pPr>
            <w:r w:rsidRPr="00FF70E5">
              <w:rPr>
                <w:rFonts w:ascii="Arial Narrow" w:hAnsi="Arial Narrow"/>
                <w:sz w:val="20"/>
                <w:szCs w:val="20"/>
              </w:rPr>
              <w:t>NR</w:t>
            </w:r>
          </w:p>
          <w:p w:rsidR="00D67157" w:rsidRPr="00FF70E5" w:rsidRDefault="00D67157" w:rsidP="000B18B2">
            <w:pPr>
              <w:keepNext/>
              <w:widowControl/>
              <w:jc w:val="center"/>
              <w:rPr>
                <w:rFonts w:ascii="Arial Narrow" w:hAnsi="Arial Narrow"/>
                <w:sz w:val="20"/>
                <w:szCs w:val="20"/>
              </w:rPr>
            </w:pPr>
            <w:r w:rsidRPr="00FF70E5">
              <w:rPr>
                <w:rFonts w:ascii="Arial Narrow" w:hAnsi="Arial Narrow"/>
                <w:sz w:val="20"/>
                <w:szCs w:val="20"/>
              </w:rPr>
              <w:t>-0.7 (-0.9, -0.4)</w:t>
            </w:r>
          </w:p>
          <w:p w:rsidR="00D67157" w:rsidRPr="00FF70E5" w:rsidRDefault="00D67157" w:rsidP="000B18B2">
            <w:pPr>
              <w:keepNext/>
              <w:widowControl/>
              <w:jc w:val="center"/>
              <w:rPr>
                <w:rFonts w:ascii="Arial Narrow" w:hAnsi="Arial Narrow"/>
                <w:sz w:val="20"/>
                <w:szCs w:val="20"/>
              </w:rPr>
            </w:pPr>
            <w:r w:rsidRPr="00FF70E5">
              <w:rPr>
                <w:rFonts w:ascii="Arial Narrow" w:hAnsi="Arial Narrow"/>
                <w:sz w:val="20"/>
                <w:szCs w:val="20"/>
              </w:rPr>
              <w:noBreakHyphen/>
              <w:t>0.53 (</w:t>
            </w:r>
            <w:r w:rsidRPr="00FF70E5">
              <w:rPr>
                <w:rFonts w:ascii="Arial Narrow" w:hAnsi="Arial Narrow"/>
                <w:sz w:val="20"/>
                <w:szCs w:val="20"/>
              </w:rPr>
              <w:noBreakHyphen/>
              <w:t xml:space="preserve">0.70, </w:t>
            </w:r>
            <w:r w:rsidRPr="00FF70E5">
              <w:rPr>
                <w:rFonts w:ascii="Arial Narrow" w:hAnsi="Arial Narrow"/>
                <w:sz w:val="20"/>
                <w:szCs w:val="20"/>
              </w:rPr>
              <w:noBreakHyphen/>
              <w:t>0.36)</w:t>
            </w:r>
          </w:p>
          <w:p w:rsidR="00D67157" w:rsidRPr="00FF70E5" w:rsidRDefault="00D67157" w:rsidP="000B18B2">
            <w:pPr>
              <w:keepNext/>
              <w:widowControl/>
              <w:jc w:val="center"/>
              <w:rPr>
                <w:rFonts w:ascii="Arial Narrow" w:hAnsi="Arial Narrow"/>
                <w:sz w:val="20"/>
                <w:szCs w:val="20"/>
              </w:rPr>
            </w:pPr>
            <w:r w:rsidRPr="00FF70E5">
              <w:rPr>
                <w:rFonts w:ascii="Arial Narrow" w:hAnsi="Arial Narrow"/>
                <w:sz w:val="20"/>
                <w:szCs w:val="20"/>
              </w:rPr>
              <w:t>-0.31 (-0.49, -0.14)</w:t>
            </w:r>
          </w:p>
          <w:p w:rsidR="00D67157" w:rsidRPr="00FF70E5" w:rsidRDefault="00D67157" w:rsidP="000B18B2">
            <w:pPr>
              <w:keepNext/>
              <w:widowControl/>
              <w:jc w:val="center"/>
              <w:rPr>
                <w:rFonts w:ascii="Arial Narrow" w:hAnsi="Arial Narrow"/>
                <w:sz w:val="20"/>
                <w:szCs w:val="20"/>
              </w:rPr>
            </w:pPr>
            <w:r w:rsidRPr="00FF70E5">
              <w:rPr>
                <w:rFonts w:ascii="Arial Narrow" w:hAnsi="Arial Narrow"/>
                <w:sz w:val="20"/>
                <w:szCs w:val="20"/>
              </w:rPr>
              <w:t>-0.42 (-0.64, -0.20)</w:t>
            </w:r>
          </w:p>
        </w:tc>
      </w:tr>
      <w:tr w:rsidR="00D67157" w:rsidRPr="00BD6C8A" w:rsidTr="00E70620">
        <w:tc>
          <w:tcPr>
            <w:tcW w:w="4122" w:type="pct"/>
            <w:gridSpan w:val="4"/>
            <w:shd w:val="clear" w:color="auto" w:fill="auto"/>
          </w:tcPr>
          <w:p w:rsidR="00D67157" w:rsidRPr="00BD6C8A" w:rsidRDefault="00D67157" w:rsidP="000B18B2">
            <w:pPr>
              <w:keepNext/>
              <w:widowControl/>
              <w:rPr>
                <w:rFonts w:ascii="Arial Narrow" w:hAnsi="Arial Narrow"/>
                <w:sz w:val="20"/>
                <w:szCs w:val="20"/>
              </w:rPr>
            </w:pPr>
            <w:r w:rsidRPr="00BD6C8A">
              <w:rPr>
                <w:rFonts w:ascii="Arial Narrow" w:hAnsi="Arial Narrow"/>
                <w:sz w:val="20"/>
                <w:szCs w:val="20"/>
              </w:rPr>
              <w:t>Indirect estimate of effect adjusted for the common reference</w:t>
            </w:r>
          </w:p>
        </w:tc>
        <w:tc>
          <w:tcPr>
            <w:tcW w:w="878" w:type="pct"/>
            <w:shd w:val="clear" w:color="auto" w:fill="auto"/>
          </w:tcPr>
          <w:p w:rsidR="00D67157" w:rsidRPr="00FF70E5" w:rsidRDefault="00D67157" w:rsidP="000B18B2">
            <w:pPr>
              <w:pStyle w:val="TableText0"/>
              <w:keepNext/>
              <w:spacing w:before="0" w:after="0" w:line="240" w:lineRule="auto"/>
              <w:jc w:val="center"/>
              <w:rPr>
                <w:i/>
                <w:vertAlign w:val="superscript"/>
              </w:rPr>
            </w:pPr>
            <w:r w:rsidRPr="00FF70E5">
              <w:rPr>
                <w:i/>
              </w:rPr>
              <w:t>0.16 (</w:t>
            </w:r>
            <w:r w:rsidRPr="00FF70E5">
              <w:rPr>
                <w:i/>
              </w:rPr>
              <w:noBreakHyphen/>
              <w:t>0.16, 0.48)</w:t>
            </w:r>
            <w:r w:rsidRPr="00FF70E5">
              <w:rPr>
                <w:i/>
                <w:vertAlign w:val="superscript"/>
              </w:rPr>
              <w:t>1</w:t>
            </w:r>
          </w:p>
        </w:tc>
      </w:tr>
      <w:tr w:rsidR="00D67157" w:rsidRPr="00BD6C8A" w:rsidTr="00E70620">
        <w:tc>
          <w:tcPr>
            <w:tcW w:w="4122" w:type="pct"/>
            <w:gridSpan w:val="4"/>
            <w:shd w:val="clear" w:color="auto" w:fill="auto"/>
          </w:tcPr>
          <w:p w:rsidR="00D67157" w:rsidRPr="00BD6C8A" w:rsidRDefault="00D67157" w:rsidP="000B18B2">
            <w:pPr>
              <w:keepNext/>
              <w:widowControl/>
              <w:rPr>
                <w:rFonts w:ascii="Arial Narrow" w:hAnsi="Arial Narrow"/>
                <w:sz w:val="20"/>
                <w:szCs w:val="20"/>
              </w:rPr>
            </w:pPr>
            <w:r w:rsidRPr="00BD6C8A">
              <w:rPr>
                <w:rFonts w:ascii="Arial Narrow" w:hAnsi="Arial Narrow"/>
                <w:sz w:val="20"/>
                <w:szCs w:val="20"/>
              </w:rPr>
              <w:t>Indirect estimate of effect including Ji et al 2013</w:t>
            </w:r>
          </w:p>
        </w:tc>
        <w:tc>
          <w:tcPr>
            <w:tcW w:w="878" w:type="pct"/>
            <w:shd w:val="clear" w:color="auto" w:fill="auto"/>
          </w:tcPr>
          <w:p w:rsidR="00D67157" w:rsidRPr="00FF70E5" w:rsidRDefault="00D67157" w:rsidP="000B18B2">
            <w:pPr>
              <w:pStyle w:val="TableText0"/>
              <w:keepNext/>
              <w:spacing w:before="0" w:after="0" w:line="240" w:lineRule="auto"/>
              <w:jc w:val="center"/>
              <w:rPr>
                <w:i/>
              </w:rPr>
            </w:pPr>
            <w:r w:rsidRPr="00FF70E5">
              <w:rPr>
                <w:i/>
              </w:rPr>
              <w:t>0.05 (-0.29, 0.39)</w:t>
            </w:r>
          </w:p>
        </w:tc>
      </w:tr>
      <w:tr w:rsidR="00D67157" w:rsidRPr="00BD6C8A" w:rsidTr="00E70620">
        <w:tc>
          <w:tcPr>
            <w:tcW w:w="4122" w:type="pct"/>
            <w:gridSpan w:val="4"/>
            <w:shd w:val="clear" w:color="auto" w:fill="auto"/>
          </w:tcPr>
          <w:p w:rsidR="00D67157" w:rsidRPr="00BD6C8A" w:rsidRDefault="00D67157" w:rsidP="000B18B2">
            <w:pPr>
              <w:keepNext/>
              <w:widowControl/>
              <w:rPr>
                <w:rFonts w:ascii="Arial Narrow" w:hAnsi="Arial Narrow"/>
                <w:sz w:val="20"/>
                <w:szCs w:val="20"/>
              </w:rPr>
            </w:pPr>
            <w:r w:rsidRPr="00BD6C8A">
              <w:rPr>
                <w:rFonts w:ascii="Arial Narrow" w:hAnsi="Arial Narrow"/>
                <w:sz w:val="20"/>
                <w:szCs w:val="20"/>
              </w:rPr>
              <w:t>Indirect estimate of effect excluding DURATION-1and Ji et al 2013</w:t>
            </w:r>
          </w:p>
        </w:tc>
        <w:tc>
          <w:tcPr>
            <w:tcW w:w="878" w:type="pct"/>
            <w:shd w:val="clear" w:color="auto" w:fill="auto"/>
          </w:tcPr>
          <w:p w:rsidR="00D67157" w:rsidRPr="00FF70E5" w:rsidRDefault="00D67157" w:rsidP="000B18B2">
            <w:pPr>
              <w:pStyle w:val="TableText0"/>
              <w:keepNext/>
              <w:spacing w:before="0" w:after="0" w:line="240" w:lineRule="auto"/>
              <w:jc w:val="center"/>
              <w:rPr>
                <w:i/>
              </w:rPr>
            </w:pPr>
            <w:r w:rsidRPr="00FF70E5">
              <w:rPr>
                <w:i/>
              </w:rPr>
              <w:t>0.33 (-0.03,0.</w:t>
            </w:r>
            <w:r w:rsidR="00152199" w:rsidRPr="00FF70E5">
              <w:rPr>
                <w:i/>
              </w:rPr>
              <w:t>69</w:t>
            </w:r>
            <w:r w:rsidRPr="00FF70E5">
              <w:rPr>
                <w:i/>
              </w:rPr>
              <w:t xml:space="preserve">) </w:t>
            </w:r>
          </w:p>
        </w:tc>
      </w:tr>
    </w:tbl>
    <w:p w:rsidR="00D67157" w:rsidRPr="00BD6C8A" w:rsidRDefault="00D67157" w:rsidP="000B18B2">
      <w:pPr>
        <w:keepNext/>
        <w:widowControl/>
        <w:contextualSpacing/>
        <w:rPr>
          <w:rFonts w:ascii="Arial Narrow" w:hAnsi="Arial Narrow"/>
          <w:sz w:val="18"/>
          <w:szCs w:val="18"/>
        </w:rPr>
      </w:pPr>
      <w:r w:rsidRPr="00BD6C8A">
        <w:rPr>
          <w:rFonts w:ascii="Arial Narrow" w:hAnsi="Arial Narrow"/>
          <w:sz w:val="18"/>
          <w:szCs w:val="18"/>
        </w:rPr>
        <w:t xml:space="preserve">Abbreviations: LSM = least square means; QWS = once weekly suspension; QW = once weekly; AI = </w:t>
      </w:r>
      <w:proofErr w:type="spellStart"/>
      <w:r w:rsidRPr="00BD6C8A">
        <w:rPr>
          <w:rFonts w:ascii="Arial Narrow" w:hAnsi="Arial Narrow"/>
          <w:sz w:val="18"/>
          <w:szCs w:val="18"/>
        </w:rPr>
        <w:t>autoinjector</w:t>
      </w:r>
      <w:proofErr w:type="spellEnd"/>
      <w:r w:rsidRPr="00BD6C8A">
        <w:rPr>
          <w:rFonts w:ascii="Arial Narrow" w:hAnsi="Arial Narrow"/>
          <w:sz w:val="18"/>
          <w:szCs w:val="18"/>
        </w:rPr>
        <w:t>; DCP = dual</w:t>
      </w:r>
      <w:r w:rsidRPr="00BD6C8A">
        <w:rPr>
          <w:rFonts w:ascii="Arial Narrow" w:hAnsi="Arial Narrow"/>
          <w:sz w:val="18"/>
          <w:szCs w:val="18"/>
        </w:rPr>
        <w:noBreakHyphen/>
        <w:t xml:space="preserve">chamber pen; SE = standard error, NR = not reported </w:t>
      </w:r>
    </w:p>
    <w:p w:rsidR="00D67157" w:rsidRPr="00BD6C8A" w:rsidRDefault="00D67157" w:rsidP="000B18B2">
      <w:pPr>
        <w:widowControl/>
        <w:contextualSpacing/>
        <w:rPr>
          <w:rFonts w:ascii="Arial Narrow" w:hAnsi="Arial Narrow"/>
          <w:sz w:val="18"/>
          <w:szCs w:val="18"/>
        </w:rPr>
      </w:pPr>
      <w:r w:rsidRPr="00BD6C8A">
        <w:rPr>
          <w:rFonts w:ascii="Arial Narrow" w:hAnsi="Arial Narrow"/>
          <w:sz w:val="18"/>
          <w:szCs w:val="18"/>
        </w:rPr>
        <w:t>Text in italics indicate values calculated during evaluation.</w:t>
      </w:r>
    </w:p>
    <w:p w:rsidR="00D67157" w:rsidRPr="00BD6C8A" w:rsidRDefault="00D67157" w:rsidP="000B18B2">
      <w:pPr>
        <w:widowControl/>
        <w:tabs>
          <w:tab w:val="left" w:pos="284"/>
        </w:tabs>
        <w:contextualSpacing/>
        <w:rPr>
          <w:rFonts w:ascii="Arial Narrow" w:hAnsi="Arial Narrow"/>
          <w:sz w:val="18"/>
          <w:szCs w:val="18"/>
        </w:rPr>
      </w:pPr>
      <w:r w:rsidRPr="00BD6C8A">
        <w:rPr>
          <w:rFonts w:ascii="Arial Narrow" w:hAnsi="Arial Narrow"/>
          <w:sz w:val="18"/>
          <w:szCs w:val="18"/>
          <w:vertAlign w:val="superscript"/>
        </w:rPr>
        <w:t>1</w:t>
      </w:r>
      <w:r w:rsidRPr="00BD6C8A">
        <w:rPr>
          <w:rFonts w:ascii="Arial Narrow" w:hAnsi="Arial Narrow"/>
          <w:sz w:val="18"/>
          <w:szCs w:val="18"/>
          <w:vertAlign w:val="superscript"/>
        </w:rPr>
        <w:tab/>
      </w:r>
      <w:r w:rsidRPr="00BD6C8A">
        <w:rPr>
          <w:rFonts w:ascii="Arial Narrow" w:hAnsi="Arial Narrow"/>
          <w:sz w:val="18"/>
          <w:szCs w:val="18"/>
        </w:rPr>
        <w:t xml:space="preserve">Calculated during evaluation. Submission reported estimate of -0.16 (-0.48, 0.16) in error. </w:t>
      </w:r>
    </w:p>
    <w:p w:rsidR="00D60C27" w:rsidRPr="00BD6C8A" w:rsidRDefault="00D67157" w:rsidP="000B18B2">
      <w:pPr>
        <w:pStyle w:val="ListParagraph"/>
        <w:widowControl/>
        <w:ind w:left="0"/>
      </w:pPr>
      <w:r w:rsidRPr="00BD6C8A">
        <w:rPr>
          <w:rFonts w:ascii="Arial Narrow" w:hAnsi="Arial Narrow"/>
          <w:sz w:val="18"/>
          <w:szCs w:val="18"/>
        </w:rPr>
        <w:t>Source: Table 2-22, p58 of the submission</w:t>
      </w:r>
    </w:p>
    <w:p w:rsidR="005118EE" w:rsidRPr="00BD6C8A" w:rsidRDefault="00D60C27" w:rsidP="00E2793B">
      <w:pPr>
        <w:pStyle w:val="ListParagraph"/>
        <w:widowControl/>
        <w:numPr>
          <w:ilvl w:val="1"/>
          <w:numId w:val="1"/>
        </w:numPr>
      </w:pPr>
      <w:r w:rsidRPr="00BD6C8A">
        <w:t xml:space="preserve">The indirect </w:t>
      </w:r>
      <w:r w:rsidRPr="00FF70E5">
        <w:t xml:space="preserve">estimate of effect </w:t>
      </w:r>
      <w:r w:rsidR="00425273" w:rsidRPr="00FF70E5">
        <w:t xml:space="preserve">of </w:t>
      </w:r>
      <w:r w:rsidR="00D67157" w:rsidRPr="00FF70E5">
        <w:t>change from baseline HbA1c per cent</w:t>
      </w:r>
      <w:r w:rsidRPr="00FF70E5">
        <w:t xml:space="preserve"> adjusted for the common reference </w:t>
      </w:r>
      <w:r w:rsidR="006C7303" w:rsidRPr="00FF70E5">
        <w:t>was</w:t>
      </w:r>
      <w:r w:rsidRPr="00FF70E5">
        <w:t xml:space="preserve"> </w:t>
      </w:r>
      <w:r w:rsidR="00152199" w:rsidRPr="00FF70E5">
        <w:t xml:space="preserve">0.16% (95% CI: -0.16, 0.48). The sponsor noted that the point estimate of 0.16% </w:t>
      </w:r>
      <w:r w:rsidR="00425273" w:rsidRPr="00FF70E5">
        <w:t>wa</w:t>
      </w:r>
      <w:r w:rsidR="005D4FF4" w:rsidRPr="00FF70E5">
        <w:t>s below the non-inferiority margin of 0.4</w:t>
      </w:r>
      <w:r w:rsidR="00EC3B41" w:rsidRPr="00FF70E5">
        <w:t>%</w:t>
      </w:r>
      <w:r w:rsidR="005D4FF4" w:rsidRPr="00FF70E5">
        <w:t xml:space="preserve"> indicating no statistically significant difference between </w:t>
      </w:r>
      <w:proofErr w:type="spellStart"/>
      <w:r w:rsidR="005D4FF4" w:rsidRPr="00FF70E5">
        <w:t>exenatide</w:t>
      </w:r>
      <w:proofErr w:type="spellEnd"/>
      <w:r w:rsidR="005D4FF4" w:rsidRPr="00BD6C8A">
        <w:t xml:space="preserve"> </w:t>
      </w:r>
      <w:proofErr w:type="spellStart"/>
      <w:r w:rsidR="00B05D6F" w:rsidRPr="00BD6C8A">
        <w:t>autoinjector</w:t>
      </w:r>
      <w:proofErr w:type="spellEnd"/>
      <w:r w:rsidR="005D4FF4" w:rsidRPr="00BD6C8A">
        <w:t xml:space="preserve"> and </w:t>
      </w:r>
      <w:proofErr w:type="spellStart"/>
      <w:r w:rsidR="005D4FF4" w:rsidRPr="00BD6C8A">
        <w:t>exenatide</w:t>
      </w:r>
      <w:proofErr w:type="spellEnd"/>
      <w:r w:rsidR="005D4FF4" w:rsidRPr="00BD6C8A">
        <w:t xml:space="preserve"> DCP.</w:t>
      </w:r>
    </w:p>
    <w:p w:rsidR="00D60C27" w:rsidRPr="00BD6C8A" w:rsidRDefault="00D67157" w:rsidP="00E2793B">
      <w:pPr>
        <w:pStyle w:val="ListParagraph"/>
        <w:widowControl/>
        <w:numPr>
          <w:ilvl w:val="1"/>
          <w:numId w:val="1"/>
        </w:numPr>
      </w:pPr>
      <w:r w:rsidRPr="00BD6C8A">
        <w:t>The submission suggested</w:t>
      </w:r>
      <w:r w:rsidR="00D60C27" w:rsidRPr="00BD6C8A">
        <w:t xml:space="preserve"> that a non-inferiority margin of 0.4% should apply based on</w:t>
      </w:r>
      <w:r w:rsidR="00073A57" w:rsidRPr="00BD6C8A">
        <w:t xml:space="preserve"> the</w:t>
      </w:r>
      <w:r w:rsidR="00D60C27" w:rsidRPr="00BD6C8A">
        <w:t xml:space="preserve"> previous PBAC decision for </w:t>
      </w:r>
      <w:proofErr w:type="spellStart"/>
      <w:r w:rsidR="00D60C27" w:rsidRPr="00BD6C8A">
        <w:t>dulaglutide</w:t>
      </w:r>
      <w:proofErr w:type="spellEnd"/>
      <w:r w:rsidR="00D60C27" w:rsidRPr="00BD6C8A">
        <w:t xml:space="preserve"> (November 2017) and that the 0.4% margin was also applied in the clinical trials.</w:t>
      </w:r>
      <w:r w:rsidR="00605337" w:rsidRPr="00BD6C8A">
        <w:t xml:space="preserve"> </w:t>
      </w:r>
      <w:r w:rsidR="00296990" w:rsidRPr="00BD6C8A">
        <w:t>The ESC</w:t>
      </w:r>
      <w:r w:rsidR="00E46262" w:rsidRPr="00BD6C8A">
        <w:t xml:space="preserve"> </w:t>
      </w:r>
      <w:r w:rsidR="00296990" w:rsidRPr="00BD6C8A">
        <w:t xml:space="preserve">noted that the upper limit </w:t>
      </w:r>
      <w:r w:rsidR="001404A5" w:rsidRPr="00BD6C8A">
        <w:t xml:space="preserve">of the confidence interval </w:t>
      </w:r>
      <w:r w:rsidR="00AC2B83" w:rsidRPr="00BD6C8A">
        <w:t xml:space="preserve">exceeded </w:t>
      </w:r>
      <w:r w:rsidR="00296990" w:rsidRPr="00BD6C8A">
        <w:t>the non-inferiority margin of 0.</w:t>
      </w:r>
      <w:r w:rsidR="00BC6CF9" w:rsidRPr="00BD6C8A">
        <w:t>4</w:t>
      </w:r>
      <w:r w:rsidR="009509FC" w:rsidRPr="00BD6C8A">
        <w:t>%</w:t>
      </w:r>
      <w:r w:rsidR="00296990" w:rsidRPr="00BD6C8A">
        <w:t xml:space="preserve"> previously accepted by the PBAC</w:t>
      </w:r>
      <w:r w:rsidR="001404A5" w:rsidRPr="00BD6C8A">
        <w:t xml:space="preserve"> and </w:t>
      </w:r>
      <w:r w:rsidR="00113EB2" w:rsidRPr="00BD6C8A">
        <w:t xml:space="preserve">therefore </w:t>
      </w:r>
      <w:r w:rsidR="001E5C9B" w:rsidRPr="00BD6C8A">
        <w:t>advised that</w:t>
      </w:r>
      <w:r w:rsidR="00113EB2" w:rsidRPr="00BD6C8A">
        <w:t xml:space="preserve"> </w:t>
      </w:r>
      <w:r w:rsidR="001404A5" w:rsidRPr="00BD6C8A">
        <w:t xml:space="preserve">the </w:t>
      </w:r>
      <w:r w:rsidR="00113EB2" w:rsidRPr="00BD6C8A">
        <w:lastRenderedPageBreak/>
        <w:t xml:space="preserve">data did not support the non-inferiority claim for </w:t>
      </w:r>
      <w:proofErr w:type="spellStart"/>
      <w:r w:rsidR="00113EB2" w:rsidRPr="00BD6C8A">
        <w:t>exenatide</w:t>
      </w:r>
      <w:proofErr w:type="spellEnd"/>
      <w:r w:rsidR="00113EB2" w:rsidRPr="00BD6C8A">
        <w:t xml:space="preserve"> </w:t>
      </w:r>
      <w:proofErr w:type="spellStart"/>
      <w:r w:rsidR="00EF60D3" w:rsidRPr="00BD6C8A">
        <w:t>autoinjector</w:t>
      </w:r>
      <w:proofErr w:type="spellEnd"/>
      <w:r w:rsidR="00113EB2" w:rsidRPr="00BD6C8A">
        <w:t xml:space="preserve"> versus </w:t>
      </w:r>
      <w:proofErr w:type="spellStart"/>
      <w:r w:rsidR="00113EB2" w:rsidRPr="00BD6C8A">
        <w:t>exenatide</w:t>
      </w:r>
      <w:proofErr w:type="spellEnd"/>
      <w:r w:rsidR="00113EB2" w:rsidRPr="00BD6C8A">
        <w:t xml:space="preserve"> DCP. </w:t>
      </w:r>
      <w:r w:rsidR="006C7303" w:rsidRPr="00BD6C8A">
        <w:t xml:space="preserve">This might be explained by the lower bioavailability of </w:t>
      </w:r>
      <w:proofErr w:type="spellStart"/>
      <w:r w:rsidR="006C7303" w:rsidRPr="00BD6C8A">
        <w:t>exenatide</w:t>
      </w:r>
      <w:proofErr w:type="spellEnd"/>
      <w:r w:rsidR="006C7303" w:rsidRPr="00BD6C8A">
        <w:t xml:space="preserve"> in the </w:t>
      </w:r>
      <w:proofErr w:type="spellStart"/>
      <w:r w:rsidR="006C7303" w:rsidRPr="00BD6C8A">
        <w:t>autoinjector</w:t>
      </w:r>
      <w:proofErr w:type="spellEnd"/>
      <w:r w:rsidR="006C7303" w:rsidRPr="00BD6C8A">
        <w:t xml:space="preserve"> formulation compared to the DCP formulation.</w:t>
      </w:r>
      <w:r w:rsidR="006C7303" w:rsidRPr="00BD6C8A">
        <w:rPr>
          <w:i/>
        </w:rPr>
        <w:t xml:space="preserve"> </w:t>
      </w:r>
      <w:r w:rsidR="00AD28A8" w:rsidRPr="00BD6C8A">
        <w:t>The</w:t>
      </w:r>
      <w:r w:rsidR="00E46262" w:rsidRPr="00BD6C8A">
        <w:t xml:space="preserve"> </w:t>
      </w:r>
      <w:r w:rsidR="00AD28A8" w:rsidRPr="00BD6C8A">
        <w:t xml:space="preserve">ESC </w:t>
      </w:r>
      <w:r w:rsidR="00425273" w:rsidRPr="00BD6C8A">
        <w:t>also considered</w:t>
      </w:r>
      <w:r w:rsidR="00AD28A8" w:rsidRPr="00BD6C8A">
        <w:t xml:space="preserve"> that based on the ITC results, the </w:t>
      </w:r>
      <w:proofErr w:type="spellStart"/>
      <w:r w:rsidR="00AD28A8" w:rsidRPr="00BD6C8A">
        <w:t>exenatide</w:t>
      </w:r>
      <w:proofErr w:type="spellEnd"/>
      <w:r w:rsidR="00AD28A8" w:rsidRPr="00BD6C8A">
        <w:t xml:space="preserve"> </w:t>
      </w:r>
      <w:proofErr w:type="spellStart"/>
      <w:r w:rsidR="00AD28A8" w:rsidRPr="00BD6C8A">
        <w:t>autoinjector</w:t>
      </w:r>
      <w:proofErr w:type="spellEnd"/>
      <w:r w:rsidR="00AD28A8" w:rsidRPr="00BD6C8A">
        <w:t xml:space="preserve"> could be considered inferior to DCP.</w:t>
      </w:r>
      <w:r w:rsidR="008A5872" w:rsidRPr="00BD6C8A">
        <w:t xml:space="preserve"> The Pre-PBAC Response argued that application of the 95% confidence interval to the </w:t>
      </w:r>
      <w:r w:rsidR="008A5872" w:rsidRPr="00FF70E5">
        <w:t xml:space="preserve">base case result of 0.48 </w:t>
      </w:r>
      <w:r w:rsidR="007B2117" w:rsidRPr="00FF70E5">
        <w:t>should</w:t>
      </w:r>
      <w:r w:rsidR="008A5872" w:rsidRPr="00BD6C8A">
        <w:t xml:space="preserve"> be interpreted with caution due to uncertainty associated with an ITC and provided calculations to justify variance.</w:t>
      </w:r>
    </w:p>
    <w:p w:rsidR="001404A5" w:rsidRPr="00BD6C8A" w:rsidRDefault="001404A5" w:rsidP="00E2793B">
      <w:pPr>
        <w:pStyle w:val="ListParagraph"/>
        <w:widowControl/>
        <w:numPr>
          <w:ilvl w:val="1"/>
          <w:numId w:val="1"/>
        </w:numPr>
      </w:pPr>
      <w:r w:rsidRPr="00BD6C8A">
        <w:t>The PSCR sought to include Ji et al (2013) as the base case analysis</w:t>
      </w:r>
      <w:r w:rsidR="00BD6C8A">
        <w:t>.</w:t>
      </w:r>
      <w:r w:rsidRPr="00BD6C8A">
        <w:t xml:space="preserve"> </w:t>
      </w:r>
      <w:r w:rsidR="00BD6C8A">
        <w:t>T</w:t>
      </w:r>
      <w:r w:rsidRPr="00BD6C8A">
        <w:t xml:space="preserve">he study was </w:t>
      </w:r>
      <w:r w:rsidR="00BD6C8A">
        <w:t xml:space="preserve">originally excluded as it was </w:t>
      </w:r>
      <w:r w:rsidR="001E5C9B" w:rsidRPr="00BD6C8A">
        <w:t>conducted</w:t>
      </w:r>
      <w:r w:rsidRPr="00BD6C8A">
        <w:t xml:space="preserve"> in Asian patients only, </w:t>
      </w:r>
      <w:r w:rsidR="00BD6C8A">
        <w:t>however as</w:t>
      </w:r>
      <w:r w:rsidRPr="00BD6C8A">
        <w:t xml:space="preserve"> Australia has a significant Asian population and no ethnic differences had been observed</w:t>
      </w:r>
      <w:r w:rsidR="001E5C9B" w:rsidRPr="00BD6C8A">
        <w:t>,</w:t>
      </w:r>
      <w:r w:rsidRPr="00BD6C8A">
        <w:t xml:space="preserve"> there </w:t>
      </w:r>
      <w:r w:rsidRPr="00FF70E5">
        <w:t xml:space="preserve">was no reason to </w:t>
      </w:r>
      <w:r w:rsidR="00BD6C8A" w:rsidRPr="00FF70E5">
        <w:t xml:space="preserve">exclude </w:t>
      </w:r>
      <w:r w:rsidR="001E5C9B" w:rsidRPr="00FF70E5">
        <w:t>this study</w:t>
      </w:r>
      <w:r w:rsidRPr="00FF70E5">
        <w:t>. Inclusion of this study changed the I</w:t>
      </w:r>
      <w:r w:rsidR="001E5C9B" w:rsidRPr="00FF70E5">
        <w:t>T</w:t>
      </w:r>
      <w:r w:rsidRPr="00FF70E5">
        <w:t xml:space="preserve">C result to 0.05 (95% CI: </w:t>
      </w:r>
      <w:r w:rsidRPr="00FF70E5">
        <w:noBreakHyphen/>
        <w:t>0.29, 0.</w:t>
      </w:r>
      <w:r w:rsidR="007B2117" w:rsidRPr="00FF70E5">
        <w:t>39</w:t>
      </w:r>
      <w:r w:rsidRPr="00FF70E5">
        <w:t>). Accordingly, the</w:t>
      </w:r>
      <w:r w:rsidRPr="00BD6C8A">
        <w:t xml:space="preserve"> </w:t>
      </w:r>
      <w:r w:rsidR="001E5C9B" w:rsidRPr="00BD6C8A">
        <w:t xml:space="preserve">PSCR </w:t>
      </w:r>
      <w:r w:rsidRPr="00BD6C8A">
        <w:t xml:space="preserve">claimed that applying the 0.4% non-inferiority margin, the </w:t>
      </w:r>
      <w:proofErr w:type="spellStart"/>
      <w:r w:rsidRPr="00BD6C8A">
        <w:t>exenatide</w:t>
      </w:r>
      <w:proofErr w:type="spellEnd"/>
      <w:r w:rsidRPr="00BD6C8A">
        <w:t xml:space="preserve"> </w:t>
      </w:r>
      <w:proofErr w:type="spellStart"/>
      <w:r w:rsidRPr="00BD6C8A">
        <w:t>autoinjector</w:t>
      </w:r>
      <w:proofErr w:type="spellEnd"/>
      <w:r w:rsidRPr="00BD6C8A">
        <w:t xml:space="preserve"> i</w:t>
      </w:r>
      <w:r w:rsidR="001E5C9B" w:rsidRPr="00BD6C8A">
        <w:t>s</w:t>
      </w:r>
      <w:r w:rsidRPr="00BD6C8A">
        <w:t xml:space="preserve"> non-inferior to </w:t>
      </w:r>
      <w:proofErr w:type="spellStart"/>
      <w:r w:rsidRPr="00BD6C8A">
        <w:t>exenatide</w:t>
      </w:r>
      <w:proofErr w:type="spellEnd"/>
      <w:r w:rsidRPr="00BD6C8A">
        <w:t xml:space="preserve"> DCP. The ESC</w:t>
      </w:r>
      <w:r w:rsidR="00EF44F0" w:rsidRPr="00BD6C8A">
        <w:t xml:space="preserve"> </w:t>
      </w:r>
      <w:r w:rsidRPr="00BD6C8A">
        <w:t xml:space="preserve">considered that the results of this comparison were not </w:t>
      </w:r>
      <w:r w:rsidR="00BD6C8A" w:rsidRPr="00BD6C8A">
        <w:t>appropriate,</w:t>
      </w:r>
      <w:r w:rsidRPr="00BD6C8A">
        <w:t xml:space="preserve"> as there was no evidence to support inclusion of the trial, no comment on the applicability to the PBS population or comparability of this trial to the others in the I</w:t>
      </w:r>
      <w:r w:rsidR="001E5C9B" w:rsidRPr="00BD6C8A">
        <w:t>T</w:t>
      </w:r>
      <w:r w:rsidRPr="00BD6C8A">
        <w:t>C.</w:t>
      </w:r>
      <w:r w:rsidR="00C745B9" w:rsidRPr="00BD6C8A">
        <w:t xml:space="preserve"> </w:t>
      </w:r>
      <w:r w:rsidR="001E5C9B" w:rsidRPr="00BD6C8A">
        <w:t xml:space="preserve">The ESC noted that the sponsor had also excluded Ji et al (2013) from the analysis of its submission to the November 2013 meeting due to the trial population not matching the likely Australian PBS population. </w:t>
      </w:r>
      <w:r w:rsidR="002D1FE5" w:rsidRPr="00BD6C8A">
        <w:t>The Pre-PBAC Response (</w:t>
      </w:r>
      <w:r w:rsidR="005C0B17" w:rsidRPr="00BD6C8A">
        <w:t>p</w:t>
      </w:r>
      <w:r w:rsidR="002D1FE5" w:rsidRPr="00BD6C8A">
        <w:t>3) reiterated that the exclusion of Ji</w:t>
      </w:r>
      <w:r w:rsidR="00C65799" w:rsidRPr="00BD6C8A">
        <w:t xml:space="preserve"> et al</w:t>
      </w:r>
      <w:r w:rsidR="002D1FE5" w:rsidRPr="00BD6C8A">
        <w:t xml:space="preserve"> </w:t>
      </w:r>
      <w:r w:rsidR="00CD082E">
        <w:t xml:space="preserve">(2013) </w:t>
      </w:r>
      <w:r w:rsidR="002D1FE5" w:rsidRPr="00BD6C8A">
        <w:t xml:space="preserve">in the </w:t>
      </w:r>
      <w:r w:rsidR="001E5C9B" w:rsidRPr="00BD6C8A">
        <w:t>comparison</w:t>
      </w:r>
      <w:r w:rsidR="002D1FE5" w:rsidRPr="00BD6C8A">
        <w:t xml:space="preserve"> was conservative and stated that </w:t>
      </w:r>
      <w:r w:rsidR="00CD082E">
        <w:t xml:space="preserve">the study </w:t>
      </w:r>
      <w:r w:rsidR="002D1FE5" w:rsidRPr="00BD6C8A">
        <w:t xml:space="preserve">had been reviewed to determine applicability and inclusion and exclusion criteria were consistent with NEO-1, DURATION-1 and DURATION-5, with a variation in baseline characteristics and background </w:t>
      </w:r>
      <w:proofErr w:type="spellStart"/>
      <w:r w:rsidR="002D1FE5" w:rsidRPr="00BD6C8A">
        <w:t>sulphonylurea</w:t>
      </w:r>
      <w:proofErr w:type="spellEnd"/>
      <w:r w:rsidR="002D1FE5" w:rsidRPr="00BD6C8A">
        <w:t xml:space="preserve"> use.</w:t>
      </w:r>
    </w:p>
    <w:p w:rsidR="001E5C9B" w:rsidRPr="00BD6C8A" w:rsidRDefault="00D60C27" w:rsidP="00E2793B">
      <w:pPr>
        <w:pStyle w:val="ListParagraph"/>
        <w:widowControl/>
        <w:numPr>
          <w:ilvl w:val="1"/>
          <w:numId w:val="1"/>
        </w:numPr>
      </w:pPr>
      <w:r w:rsidRPr="00BD6C8A">
        <w:t>A sensitivity analysis excluding DURATION-1 from the indirect comparison was conducted</w:t>
      </w:r>
      <w:r w:rsidR="00C65799" w:rsidRPr="00BD6C8A">
        <w:t xml:space="preserve"> during the evaluation.</w:t>
      </w:r>
      <w:r w:rsidR="00605337" w:rsidRPr="00BD6C8A">
        <w:t xml:space="preserve"> </w:t>
      </w:r>
      <w:r w:rsidRPr="00BD6C8A">
        <w:t xml:space="preserve">The indirect estimate </w:t>
      </w:r>
      <w:r w:rsidR="001E5C9B" w:rsidRPr="00BD6C8A">
        <w:t xml:space="preserve">of effect </w:t>
      </w:r>
      <w:r w:rsidRPr="00BD6C8A">
        <w:t xml:space="preserve">in this sensitivity </w:t>
      </w:r>
      <w:r w:rsidRPr="00FF70E5">
        <w:t xml:space="preserve">analysis </w:t>
      </w:r>
      <w:r w:rsidR="000539C3" w:rsidRPr="00FF70E5">
        <w:t xml:space="preserve">was </w:t>
      </w:r>
      <w:r w:rsidRPr="00FF70E5">
        <w:t>0.33%</w:t>
      </w:r>
      <w:r w:rsidR="000539C3" w:rsidRPr="00FF70E5">
        <w:t xml:space="preserve"> (</w:t>
      </w:r>
      <w:r w:rsidRPr="00FF70E5">
        <w:t>95% CI</w:t>
      </w:r>
      <w:r w:rsidR="007F6E92" w:rsidRPr="00FF70E5">
        <w:t>:</w:t>
      </w:r>
      <w:r w:rsidRPr="00FF70E5">
        <w:t xml:space="preserve"> -0.03, 0.</w:t>
      </w:r>
      <w:r w:rsidR="007B2117" w:rsidRPr="00FF70E5">
        <w:t>69</w:t>
      </w:r>
      <w:r w:rsidRPr="00FF70E5">
        <w:t>)</w:t>
      </w:r>
      <w:r w:rsidR="000539C3" w:rsidRPr="00FF70E5">
        <w:t>, which</w:t>
      </w:r>
      <w:r w:rsidRPr="007B2117">
        <w:t xml:space="preserve"> also</w:t>
      </w:r>
      <w:r w:rsidRPr="00BD6C8A">
        <w:t xml:space="preserve"> </w:t>
      </w:r>
      <w:r w:rsidR="00D968BA" w:rsidRPr="00BD6C8A">
        <w:t xml:space="preserve">did </w:t>
      </w:r>
      <w:r w:rsidR="007B4278" w:rsidRPr="00BD6C8A">
        <w:t>not meet</w:t>
      </w:r>
      <w:r w:rsidRPr="00BD6C8A">
        <w:t xml:space="preserve"> the </w:t>
      </w:r>
      <w:r w:rsidR="007B4278" w:rsidRPr="00BD6C8A">
        <w:t xml:space="preserve">nominated </w:t>
      </w:r>
      <w:r w:rsidRPr="00BD6C8A">
        <w:t>non-inferiority margin.</w:t>
      </w:r>
      <w:r w:rsidR="00605337" w:rsidRPr="00BD6C8A">
        <w:t xml:space="preserve"> </w:t>
      </w:r>
      <w:r w:rsidR="00C3544C" w:rsidRPr="00BD6C8A">
        <w:t xml:space="preserve">The ESC noted that the indirect comparison of only the NEO-1 and DURATION-5 trials yielded a </w:t>
      </w:r>
      <w:r w:rsidR="001E5C9B" w:rsidRPr="00BD6C8A">
        <w:t>less favourable point estimate, as well as a higher</w:t>
      </w:r>
      <w:r w:rsidR="00C3544C" w:rsidRPr="00BD6C8A">
        <w:t xml:space="preserve"> upper</w:t>
      </w:r>
      <w:r w:rsidR="001E5C9B" w:rsidRPr="00BD6C8A">
        <w:t xml:space="preserve"> CI</w:t>
      </w:r>
      <w:r w:rsidR="00C3544C" w:rsidRPr="00BD6C8A">
        <w:t xml:space="preserve"> limit</w:t>
      </w:r>
      <w:r w:rsidR="001E5C9B" w:rsidRPr="00BD6C8A">
        <w:t xml:space="preserve">. </w:t>
      </w:r>
    </w:p>
    <w:p w:rsidR="00AC4D6D" w:rsidRPr="00BD6C8A" w:rsidRDefault="00C3544C" w:rsidP="00E2793B">
      <w:pPr>
        <w:pStyle w:val="ListParagraph"/>
        <w:widowControl/>
        <w:numPr>
          <w:ilvl w:val="1"/>
          <w:numId w:val="1"/>
        </w:numPr>
      </w:pPr>
      <w:r w:rsidRPr="00BD6C8A">
        <w:t>The ESC noted that only the indirect comparison including Ji et al (2013) provided an upper limit under the 0.4% margin, and that inclusion of Ji et al (2013) and DUR</w:t>
      </w:r>
      <w:r w:rsidR="00A740C5" w:rsidRPr="00BD6C8A">
        <w:t>A</w:t>
      </w:r>
      <w:r w:rsidRPr="00BD6C8A">
        <w:t>TION-1 introduced significant uncertainty.</w:t>
      </w:r>
      <w:r w:rsidR="00605337" w:rsidRPr="00BD6C8A">
        <w:t xml:space="preserve"> </w:t>
      </w:r>
    </w:p>
    <w:p w:rsidR="006E2158" w:rsidRPr="00BD6C8A" w:rsidRDefault="006E2158" w:rsidP="00E2793B">
      <w:pPr>
        <w:pStyle w:val="ListParagraph"/>
        <w:widowControl/>
        <w:numPr>
          <w:ilvl w:val="1"/>
          <w:numId w:val="1"/>
        </w:numPr>
      </w:pPr>
      <w:r w:rsidRPr="00BD6C8A">
        <w:t xml:space="preserve">The PSCR presented data from a range of </w:t>
      </w:r>
      <w:proofErr w:type="spellStart"/>
      <w:r w:rsidRPr="00BD6C8A">
        <w:t>exenatide</w:t>
      </w:r>
      <w:proofErr w:type="spellEnd"/>
      <w:r w:rsidRPr="00BD6C8A">
        <w:t xml:space="preserve"> DCP </w:t>
      </w:r>
      <w:r w:rsidR="00CD082E" w:rsidRPr="00BD6C8A">
        <w:t>studies that</w:t>
      </w:r>
      <w:r w:rsidRPr="00BD6C8A">
        <w:t xml:space="preserve"> demonstrated a statistically significant reduction in HbA1c from baseline, claiming that this should be considered therapeutically equivalent to </w:t>
      </w:r>
      <w:proofErr w:type="spellStart"/>
      <w:r w:rsidRPr="00BD6C8A">
        <w:t>exenatide</w:t>
      </w:r>
      <w:proofErr w:type="spellEnd"/>
      <w:r w:rsidRPr="00BD6C8A">
        <w:t xml:space="preserve"> </w:t>
      </w:r>
      <w:proofErr w:type="spellStart"/>
      <w:r w:rsidRPr="00BD6C8A">
        <w:t>autoinjector</w:t>
      </w:r>
      <w:proofErr w:type="spellEnd"/>
      <w:r w:rsidRPr="00BD6C8A">
        <w:t xml:space="preserve"> as the reductions were in line with those reported in NEO-1 and NEO-2 for </w:t>
      </w:r>
      <w:proofErr w:type="spellStart"/>
      <w:r w:rsidRPr="00BD6C8A">
        <w:t>exenatide</w:t>
      </w:r>
      <w:proofErr w:type="spellEnd"/>
      <w:r w:rsidRPr="00BD6C8A">
        <w:t xml:space="preserve"> </w:t>
      </w:r>
      <w:proofErr w:type="spellStart"/>
      <w:r w:rsidRPr="00BD6C8A">
        <w:t>autoinjector</w:t>
      </w:r>
      <w:proofErr w:type="spellEnd"/>
      <w:r w:rsidRPr="00BD6C8A">
        <w:t xml:space="preserve">. The PSCR also included pharmacokinetic and </w:t>
      </w:r>
      <w:proofErr w:type="spellStart"/>
      <w:r w:rsidRPr="00BD6C8A">
        <w:t>pha</w:t>
      </w:r>
      <w:r w:rsidR="001404A5" w:rsidRPr="00BD6C8A">
        <w:t>r</w:t>
      </w:r>
      <w:r w:rsidRPr="00BD6C8A">
        <w:t>macodynamic</w:t>
      </w:r>
      <w:proofErr w:type="spellEnd"/>
      <w:r w:rsidRPr="00BD6C8A">
        <w:t xml:space="preserve"> modelling which it claimed supported therapeutic </w:t>
      </w:r>
      <w:r w:rsidRPr="00BD6C8A">
        <w:lastRenderedPageBreak/>
        <w:t xml:space="preserve">equivalence. </w:t>
      </w:r>
      <w:r w:rsidR="0085701F" w:rsidRPr="00BD6C8A">
        <w:t xml:space="preserve">The ESC did not consider that these data were sufficiently relevant to consideration of non-inferiority of </w:t>
      </w:r>
      <w:proofErr w:type="spellStart"/>
      <w:r w:rsidR="0085701F" w:rsidRPr="00BD6C8A">
        <w:t>exenatide</w:t>
      </w:r>
      <w:proofErr w:type="spellEnd"/>
      <w:r w:rsidR="0085701F" w:rsidRPr="00BD6C8A">
        <w:t xml:space="preserve"> </w:t>
      </w:r>
      <w:proofErr w:type="spellStart"/>
      <w:r w:rsidR="0085701F" w:rsidRPr="00BD6C8A">
        <w:t>autoinjector</w:t>
      </w:r>
      <w:proofErr w:type="spellEnd"/>
      <w:r w:rsidR="009113D8" w:rsidRPr="00BD6C8A">
        <w:t>, particularly given the results of the indirect comparison</w:t>
      </w:r>
      <w:r w:rsidR="0085701F" w:rsidRPr="00BD6C8A">
        <w:t>.</w:t>
      </w:r>
      <w:r w:rsidR="00605337" w:rsidRPr="00BD6C8A">
        <w:t xml:space="preserve"> </w:t>
      </w:r>
      <w:r w:rsidR="002D1FE5" w:rsidRPr="00BD6C8A">
        <w:t xml:space="preserve">The Pre-PBAC Response (p2) reiterated the value of these additional data, stating there is inevitable variability across the DURATION studies and these data enable a more reliable comparison than an ITC, demonstrating therapeutic equivalence of </w:t>
      </w:r>
      <w:proofErr w:type="spellStart"/>
      <w:r w:rsidR="002D1FE5" w:rsidRPr="00BD6C8A">
        <w:t>exenatide</w:t>
      </w:r>
      <w:proofErr w:type="spellEnd"/>
      <w:r w:rsidR="002D1FE5" w:rsidRPr="00BD6C8A">
        <w:t xml:space="preserve"> </w:t>
      </w:r>
      <w:proofErr w:type="spellStart"/>
      <w:r w:rsidR="0081263A" w:rsidRPr="00BD6C8A">
        <w:t>auto</w:t>
      </w:r>
      <w:r w:rsidR="002D1FE5" w:rsidRPr="00BD6C8A">
        <w:t>injector</w:t>
      </w:r>
      <w:proofErr w:type="spellEnd"/>
      <w:r w:rsidR="002D1FE5" w:rsidRPr="00BD6C8A">
        <w:t xml:space="preserve"> and DCP.</w:t>
      </w:r>
    </w:p>
    <w:p w:rsidR="00D60C27" w:rsidRPr="00BD6C8A" w:rsidRDefault="00D60C27" w:rsidP="000B18B2">
      <w:pPr>
        <w:pStyle w:val="Heading2"/>
        <w:widowControl/>
      </w:pPr>
      <w:bookmarkStart w:id="13" w:name="_Toc535854209"/>
      <w:r w:rsidRPr="00BD6C8A">
        <w:t>Comparative harms</w:t>
      </w:r>
      <w:bookmarkEnd w:id="13"/>
    </w:p>
    <w:p w:rsidR="00D60C27" w:rsidRPr="00BD6C8A" w:rsidRDefault="00D60C27" w:rsidP="00E2793B">
      <w:pPr>
        <w:pStyle w:val="ListParagraph"/>
        <w:widowControl/>
        <w:numPr>
          <w:ilvl w:val="1"/>
          <w:numId w:val="1"/>
        </w:numPr>
      </w:pPr>
      <w:r w:rsidRPr="00BD6C8A">
        <w:t>The submission presented an indirect comparison of the incidence of adverse events.</w:t>
      </w:r>
      <w:r w:rsidR="00605337" w:rsidRPr="00BD6C8A">
        <w:t xml:space="preserve"> </w:t>
      </w:r>
      <w:r w:rsidRPr="00BD6C8A">
        <w:t xml:space="preserve">None of the adverse events in the indirect comparison showed statistically significant differences between </w:t>
      </w:r>
      <w:proofErr w:type="spellStart"/>
      <w:r w:rsidRPr="00BD6C8A">
        <w:t>exenatide</w:t>
      </w:r>
      <w:proofErr w:type="spellEnd"/>
      <w:r w:rsidRPr="00BD6C8A">
        <w:t xml:space="preserve"> </w:t>
      </w:r>
      <w:proofErr w:type="spellStart"/>
      <w:r w:rsidRPr="00BD6C8A">
        <w:t>autoinjector</w:t>
      </w:r>
      <w:proofErr w:type="spellEnd"/>
      <w:r w:rsidRPr="00BD6C8A">
        <w:t xml:space="preserve"> and </w:t>
      </w:r>
      <w:proofErr w:type="spellStart"/>
      <w:r w:rsidRPr="00BD6C8A">
        <w:t>exenatide</w:t>
      </w:r>
      <w:proofErr w:type="spellEnd"/>
      <w:r w:rsidRPr="00BD6C8A">
        <w:t xml:space="preserve"> DCP.</w:t>
      </w:r>
      <w:r w:rsidR="00605337" w:rsidRPr="00BD6C8A">
        <w:t xml:space="preserve"> </w:t>
      </w:r>
      <w:r w:rsidRPr="00BD6C8A">
        <w:t>No non-inferiority margin for safety outcomes was nominated.</w:t>
      </w:r>
      <w:r w:rsidR="00E3416B" w:rsidRPr="00BD6C8A">
        <w:t xml:space="preserve"> The ESC </w:t>
      </w:r>
      <w:r w:rsidR="009509FC" w:rsidRPr="00BD6C8A">
        <w:t>noted that there were no significant differences in the</w:t>
      </w:r>
      <w:r w:rsidR="00EC3B41" w:rsidRPr="00BD6C8A">
        <w:t xml:space="preserve"> indirect comparison</w:t>
      </w:r>
      <w:r w:rsidR="009509FC" w:rsidRPr="00BD6C8A">
        <w:t xml:space="preserve"> and </w:t>
      </w:r>
      <w:r w:rsidR="00E3416B" w:rsidRPr="00BD6C8A">
        <w:t xml:space="preserve">considered </w:t>
      </w:r>
      <w:r w:rsidR="00EC3B41" w:rsidRPr="00BD6C8A">
        <w:t>it uncertain, but likely that</w:t>
      </w:r>
      <w:r w:rsidR="00E3416B" w:rsidRPr="00BD6C8A">
        <w:t xml:space="preserve"> the claim of </w:t>
      </w:r>
      <w:r w:rsidR="001404A5" w:rsidRPr="00BD6C8A">
        <w:t>non-inferior</w:t>
      </w:r>
      <w:r w:rsidR="00E3416B" w:rsidRPr="00BD6C8A">
        <w:t xml:space="preserve"> safety was reasonable</w:t>
      </w:r>
      <w:r w:rsidR="00E3416B" w:rsidRPr="00BD6C8A">
        <w:rPr>
          <w:i/>
        </w:rPr>
        <w:t>.</w:t>
      </w:r>
    </w:p>
    <w:p w:rsidR="00D60C27" w:rsidRPr="00BD6C8A" w:rsidRDefault="00D60C27" w:rsidP="000B18B2">
      <w:pPr>
        <w:pStyle w:val="Heading2"/>
        <w:widowControl/>
      </w:pPr>
      <w:bookmarkStart w:id="14" w:name="_Toc535854210"/>
      <w:r w:rsidRPr="00BD6C8A">
        <w:t>Benefits/harms</w:t>
      </w:r>
      <w:bookmarkEnd w:id="14"/>
    </w:p>
    <w:p w:rsidR="00D60C27" w:rsidRPr="00BD6C8A" w:rsidRDefault="00D60C27" w:rsidP="00E2793B">
      <w:pPr>
        <w:pStyle w:val="ListParagraph"/>
        <w:widowControl/>
        <w:numPr>
          <w:ilvl w:val="1"/>
          <w:numId w:val="1"/>
        </w:numPr>
      </w:pPr>
      <w:r w:rsidRPr="00BD6C8A">
        <w:rPr>
          <w:rFonts w:cs="Calibri"/>
          <w:snapToGrid/>
          <w:szCs w:val="24"/>
          <w:lang w:eastAsia="en-AU"/>
        </w:rPr>
        <w:t xml:space="preserve">The indirect comparison presented in the submission </w:t>
      </w:r>
      <w:r w:rsidR="00E70620" w:rsidRPr="00BD6C8A">
        <w:rPr>
          <w:rFonts w:cs="Calibri"/>
          <w:snapToGrid/>
          <w:szCs w:val="24"/>
          <w:lang w:eastAsia="en-AU"/>
        </w:rPr>
        <w:t xml:space="preserve">did </w:t>
      </w:r>
      <w:r w:rsidR="008B4B04" w:rsidRPr="00BD6C8A">
        <w:rPr>
          <w:rFonts w:cs="Calibri"/>
          <w:snapToGrid/>
          <w:szCs w:val="24"/>
          <w:lang w:eastAsia="en-AU"/>
        </w:rPr>
        <w:t>not result in statistically sig</w:t>
      </w:r>
      <w:r w:rsidR="00E70620" w:rsidRPr="00BD6C8A">
        <w:rPr>
          <w:rFonts w:cs="Calibri"/>
          <w:snapToGrid/>
          <w:szCs w:val="24"/>
          <w:lang w:eastAsia="en-AU"/>
        </w:rPr>
        <w:t xml:space="preserve">nificant differences in </w:t>
      </w:r>
      <w:r w:rsidRPr="00BD6C8A">
        <w:rPr>
          <w:rFonts w:cs="Calibri"/>
          <w:snapToGrid/>
          <w:szCs w:val="24"/>
          <w:lang w:eastAsia="en-AU"/>
        </w:rPr>
        <w:t xml:space="preserve">benefits and harms of </w:t>
      </w:r>
      <w:proofErr w:type="spellStart"/>
      <w:r w:rsidRPr="00BD6C8A">
        <w:rPr>
          <w:rFonts w:cs="Calibri"/>
          <w:snapToGrid/>
          <w:szCs w:val="24"/>
          <w:lang w:eastAsia="en-AU"/>
        </w:rPr>
        <w:t>exenatide</w:t>
      </w:r>
      <w:proofErr w:type="spellEnd"/>
      <w:r w:rsidRPr="00BD6C8A">
        <w:rPr>
          <w:rFonts w:cs="Calibri"/>
          <w:snapToGrid/>
          <w:szCs w:val="24"/>
          <w:lang w:eastAsia="en-AU"/>
        </w:rPr>
        <w:t xml:space="preserve"> </w:t>
      </w:r>
      <w:proofErr w:type="spellStart"/>
      <w:r w:rsidRPr="00BD6C8A">
        <w:rPr>
          <w:rFonts w:cs="Calibri"/>
          <w:snapToGrid/>
          <w:szCs w:val="24"/>
          <w:lang w:eastAsia="en-AU"/>
        </w:rPr>
        <w:t>autoinjector</w:t>
      </w:r>
      <w:proofErr w:type="spellEnd"/>
      <w:r w:rsidRPr="00BD6C8A">
        <w:rPr>
          <w:rFonts w:cs="Calibri"/>
          <w:snapToGrid/>
          <w:szCs w:val="24"/>
          <w:lang w:eastAsia="en-AU"/>
        </w:rPr>
        <w:t xml:space="preserve"> and </w:t>
      </w:r>
      <w:proofErr w:type="spellStart"/>
      <w:r w:rsidRPr="00BD6C8A">
        <w:rPr>
          <w:rFonts w:cs="Calibri"/>
          <w:snapToGrid/>
          <w:szCs w:val="24"/>
          <w:lang w:eastAsia="en-AU"/>
        </w:rPr>
        <w:t>exenatide</w:t>
      </w:r>
      <w:proofErr w:type="spellEnd"/>
      <w:r w:rsidRPr="00BD6C8A">
        <w:rPr>
          <w:rFonts w:cs="Calibri"/>
          <w:snapToGrid/>
          <w:szCs w:val="24"/>
          <w:lang w:eastAsia="en-AU"/>
        </w:rPr>
        <w:t xml:space="preserve"> DCP.</w:t>
      </w:r>
      <w:r w:rsidR="00605337" w:rsidRPr="00BD6C8A">
        <w:rPr>
          <w:rFonts w:cs="Calibri"/>
          <w:snapToGrid/>
          <w:szCs w:val="24"/>
          <w:lang w:eastAsia="en-AU"/>
        </w:rPr>
        <w:t xml:space="preserve"> </w:t>
      </w:r>
      <w:r w:rsidRPr="00BD6C8A">
        <w:rPr>
          <w:rFonts w:cs="Calibri"/>
          <w:snapToGrid/>
          <w:szCs w:val="24"/>
          <w:lang w:eastAsia="en-AU"/>
        </w:rPr>
        <w:t xml:space="preserve">Accordingly, a benefits/harms table </w:t>
      </w:r>
      <w:r w:rsidR="00A740C5" w:rsidRPr="00BD6C8A">
        <w:rPr>
          <w:rFonts w:cs="Calibri"/>
          <w:snapToGrid/>
          <w:szCs w:val="24"/>
          <w:lang w:eastAsia="en-AU"/>
        </w:rPr>
        <w:t>w</w:t>
      </w:r>
      <w:r w:rsidRPr="00BD6C8A">
        <w:rPr>
          <w:rFonts w:cs="Calibri"/>
          <w:snapToGrid/>
          <w:szCs w:val="24"/>
          <w:lang w:eastAsia="en-AU"/>
        </w:rPr>
        <w:t>as not presented.</w:t>
      </w:r>
      <w:r w:rsidR="00332380" w:rsidRPr="00BD6C8A">
        <w:rPr>
          <w:rFonts w:cs="Calibri"/>
          <w:snapToGrid/>
          <w:szCs w:val="24"/>
          <w:lang w:eastAsia="en-AU"/>
        </w:rPr>
        <w:t xml:space="preserve"> </w:t>
      </w:r>
    </w:p>
    <w:p w:rsidR="006E2158" w:rsidRPr="00BD6C8A" w:rsidRDefault="006E2158" w:rsidP="000B18B2">
      <w:pPr>
        <w:pStyle w:val="Heading2"/>
        <w:widowControl/>
      </w:pPr>
      <w:r w:rsidRPr="00BD6C8A">
        <w:t>Clinical claim</w:t>
      </w:r>
    </w:p>
    <w:p w:rsidR="00D60C27" w:rsidRPr="00BD6C8A" w:rsidRDefault="00D60C27" w:rsidP="00E2793B">
      <w:pPr>
        <w:pStyle w:val="ListParagraph"/>
        <w:widowControl/>
        <w:numPr>
          <w:ilvl w:val="1"/>
          <w:numId w:val="1"/>
        </w:numPr>
      </w:pPr>
      <w:r w:rsidRPr="00BD6C8A">
        <w:t xml:space="preserve">The submission described </w:t>
      </w:r>
      <w:proofErr w:type="spellStart"/>
      <w:r w:rsidRPr="00BD6C8A">
        <w:t>exenatide</w:t>
      </w:r>
      <w:proofErr w:type="spellEnd"/>
      <w:r w:rsidRPr="00BD6C8A">
        <w:t xml:space="preserve"> 2mg once weekly </w:t>
      </w:r>
      <w:proofErr w:type="spellStart"/>
      <w:r w:rsidRPr="00BD6C8A">
        <w:t>autoinjector</w:t>
      </w:r>
      <w:proofErr w:type="spellEnd"/>
      <w:r w:rsidRPr="00BD6C8A">
        <w:t xml:space="preserve"> as non-inferior in terms of effectiveness and safety compared with </w:t>
      </w:r>
      <w:proofErr w:type="spellStart"/>
      <w:r w:rsidRPr="00BD6C8A">
        <w:t>exenatide</w:t>
      </w:r>
      <w:proofErr w:type="spellEnd"/>
      <w:r w:rsidRPr="00BD6C8A">
        <w:t xml:space="preserve"> 2mg once weekly DCP</w:t>
      </w:r>
      <w:r w:rsidR="00EB5892" w:rsidRPr="00BD6C8A">
        <w:t>.</w:t>
      </w:r>
      <w:r w:rsidR="00BC1C00" w:rsidRPr="00BD6C8A">
        <w:rPr>
          <w:i/>
        </w:rPr>
        <w:t xml:space="preserve"> </w:t>
      </w:r>
    </w:p>
    <w:p w:rsidR="00520CD6" w:rsidRPr="00BD6C8A" w:rsidRDefault="00D60C27" w:rsidP="00E2793B">
      <w:pPr>
        <w:pStyle w:val="ListParagraph"/>
        <w:widowControl/>
        <w:numPr>
          <w:ilvl w:val="1"/>
          <w:numId w:val="1"/>
        </w:numPr>
        <w:rPr>
          <w:b/>
          <w:sz w:val="28"/>
        </w:rPr>
      </w:pPr>
      <w:r w:rsidRPr="00BD6C8A">
        <w:t>The therapeutic conclusion presented in the submission was not adequately supported by the evidence presented in the submission because the upper 95% confidence interval for the change from baseline in HbA1c</w:t>
      </w:r>
      <w:r w:rsidR="007B4278" w:rsidRPr="00BD6C8A">
        <w:t xml:space="preserve"> per cent</w:t>
      </w:r>
      <w:r w:rsidRPr="00BD6C8A">
        <w:t xml:space="preserve"> from the indirect comparison did not meet the non-inferiority margin of 0.4%.</w:t>
      </w:r>
      <w:r w:rsidR="00605337" w:rsidRPr="00BD6C8A">
        <w:t xml:space="preserve"> </w:t>
      </w:r>
      <w:r w:rsidRPr="00BD6C8A">
        <w:t xml:space="preserve">No non-inferiority margin for safety outcomes were proposed so it was not possible to conclude that non-inferiority was </w:t>
      </w:r>
      <w:r w:rsidR="00C67EA3" w:rsidRPr="00BD6C8A">
        <w:t>demonstrated;</w:t>
      </w:r>
      <w:r w:rsidRPr="00BD6C8A">
        <w:t xml:space="preserve"> </w:t>
      </w:r>
      <w:r w:rsidR="00CD082E" w:rsidRPr="00BD6C8A">
        <w:t>however,</w:t>
      </w:r>
      <w:r w:rsidRPr="00BD6C8A">
        <w:t xml:space="preserve"> it is likely that there were no differences in safety between the </w:t>
      </w:r>
      <w:proofErr w:type="spellStart"/>
      <w:r w:rsidRPr="00BD6C8A">
        <w:t>exenatide</w:t>
      </w:r>
      <w:proofErr w:type="spellEnd"/>
      <w:r w:rsidRPr="00BD6C8A">
        <w:t xml:space="preserve"> </w:t>
      </w:r>
      <w:proofErr w:type="spellStart"/>
      <w:r w:rsidRPr="00BD6C8A">
        <w:t>autoinjector</w:t>
      </w:r>
      <w:proofErr w:type="spellEnd"/>
      <w:r w:rsidRPr="00BD6C8A">
        <w:t xml:space="preserve"> and </w:t>
      </w:r>
      <w:proofErr w:type="spellStart"/>
      <w:r w:rsidRPr="00BD6C8A">
        <w:t>exenatide</w:t>
      </w:r>
      <w:proofErr w:type="spellEnd"/>
      <w:r w:rsidRPr="00BD6C8A">
        <w:t xml:space="preserve"> DCP</w:t>
      </w:r>
      <w:r w:rsidR="007B4278" w:rsidRPr="00BD6C8A">
        <w:t>.</w:t>
      </w:r>
      <w:r w:rsidR="00332380" w:rsidRPr="00BD6C8A">
        <w:rPr>
          <w:i/>
        </w:rPr>
        <w:t xml:space="preserve"> </w:t>
      </w:r>
      <w:r w:rsidR="00332380" w:rsidRPr="00BD6C8A">
        <w:t xml:space="preserve">The PSCR claimed </w:t>
      </w:r>
      <w:proofErr w:type="spellStart"/>
      <w:r w:rsidR="00332380" w:rsidRPr="00BD6C8A">
        <w:t>exenatide</w:t>
      </w:r>
      <w:proofErr w:type="spellEnd"/>
      <w:r w:rsidR="00332380" w:rsidRPr="00BD6C8A">
        <w:t xml:space="preserve"> </w:t>
      </w:r>
      <w:proofErr w:type="spellStart"/>
      <w:r w:rsidR="00EC3B41" w:rsidRPr="00BD6C8A">
        <w:t>autoinjector</w:t>
      </w:r>
      <w:proofErr w:type="spellEnd"/>
      <w:r w:rsidR="00332380" w:rsidRPr="00BD6C8A">
        <w:t xml:space="preserve"> shows statistically lower HbA1c </w:t>
      </w:r>
      <w:r w:rsidR="009113D8" w:rsidRPr="00BD6C8A">
        <w:t>compared</w:t>
      </w:r>
      <w:r w:rsidR="00332380" w:rsidRPr="00BD6C8A">
        <w:t xml:space="preserve"> to </w:t>
      </w:r>
      <w:proofErr w:type="spellStart"/>
      <w:r w:rsidR="00332380" w:rsidRPr="00BD6C8A">
        <w:t>exenatide</w:t>
      </w:r>
      <w:proofErr w:type="spellEnd"/>
      <w:r w:rsidR="00332380" w:rsidRPr="00BD6C8A">
        <w:t xml:space="preserve"> </w:t>
      </w:r>
      <w:r w:rsidR="00B07EA6" w:rsidRPr="00BD6C8A">
        <w:t>twice daily</w:t>
      </w:r>
      <w:r w:rsidR="00332380" w:rsidRPr="00BD6C8A">
        <w:t xml:space="preserve"> (p=0.0072). The PSCR </w:t>
      </w:r>
      <w:r w:rsidR="00B07EA6" w:rsidRPr="00BD6C8A">
        <w:t>added</w:t>
      </w:r>
      <w:r w:rsidR="00332380" w:rsidRPr="00BD6C8A">
        <w:t xml:space="preserve"> that </w:t>
      </w:r>
      <w:proofErr w:type="spellStart"/>
      <w:r w:rsidR="00332380" w:rsidRPr="00BD6C8A">
        <w:t>exenatide</w:t>
      </w:r>
      <w:proofErr w:type="spellEnd"/>
      <w:r w:rsidR="00332380" w:rsidRPr="00BD6C8A">
        <w:t xml:space="preserve"> </w:t>
      </w:r>
      <w:proofErr w:type="spellStart"/>
      <w:r w:rsidR="00F95597" w:rsidRPr="00BD6C8A">
        <w:t>autoinjector</w:t>
      </w:r>
      <w:proofErr w:type="spellEnd"/>
      <w:r w:rsidR="00332380" w:rsidRPr="00BD6C8A">
        <w:t xml:space="preserve"> and </w:t>
      </w:r>
      <w:proofErr w:type="spellStart"/>
      <w:r w:rsidR="00332380" w:rsidRPr="00BD6C8A">
        <w:t>exenatide</w:t>
      </w:r>
      <w:proofErr w:type="spellEnd"/>
      <w:r w:rsidR="00332380" w:rsidRPr="00BD6C8A">
        <w:t xml:space="preserve"> DCP are therapeutically equivalent, based on population </w:t>
      </w:r>
      <w:r w:rsidR="00F95597" w:rsidRPr="00BD6C8A">
        <w:t>pharm</w:t>
      </w:r>
      <w:r w:rsidR="005A7C4F">
        <w:t>a</w:t>
      </w:r>
      <w:r w:rsidR="00F95597" w:rsidRPr="00BD6C8A">
        <w:t xml:space="preserve">cokinetic and </w:t>
      </w:r>
      <w:proofErr w:type="spellStart"/>
      <w:r w:rsidR="00F95597" w:rsidRPr="00BD6C8A">
        <w:t>pharmacodynamic</w:t>
      </w:r>
      <w:proofErr w:type="spellEnd"/>
      <w:r w:rsidR="00EB5892" w:rsidRPr="00BD6C8A">
        <w:t xml:space="preserve"> modelling </w:t>
      </w:r>
      <w:r w:rsidR="00F95597" w:rsidRPr="00BD6C8A">
        <w:t>provided in the PSCR</w:t>
      </w:r>
      <w:r w:rsidR="00332380" w:rsidRPr="00BD6C8A">
        <w:t>. The population analysis showed that the average steady-state pla</w:t>
      </w:r>
      <w:r w:rsidR="00F95597" w:rsidRPr="00BD6C8A">
        <w:t>s</w:t>
      </w:r>
      <w:r w:rsidR="00332380" w:rsidRPr="00BD6C8A">
        <w:t xml:space="preserve">ma concentration of both </w:t>
      </w:r>
      <w:proofErr w:type="spellStart"/>
      <w:r w:rsidR="00332380" w:rsidRPr="00BD6C8A">
        <w:t>exenatide</w:t>
      </w:r>
      <w:proofErr w:type="spellEnd"/>
      <w:r w:rsidR="00332380" w:rsidRPr="00BD6C8A">
        <w:t xml:space="preserve"> forms was similar </w:t>
      </w:r>
      <w:r w:rsidR="00332380" w:rsidRPr="008E3628">
        <w:t>(</w:t>
      </w:r>
      <w:r w:rsidR="008E3628" w:rsidRPr="008E3628">
        <w:t xml:space="preserve">within </w:t>
      </w:r>
      <w:r w:rsidR="00E40122">
        <w:rPr>
          <w:noProof/>
          <w:color w:val="000000"/>
          <w:highlight w:val="black"/>
        </w:rPr>
        <w:t>'''''</w:t>
      </w:r>
      <w:r w:rsidR="008E3628" w:rsidRPr="008E3628">
        <w:t xml:space="preserve">%). </w:t>
      </w:r>
      <w:r w:rsidR="00332380" w:rsidRPr="008E3628">
        <w:t>The</w:t>
      </w:r>
      <w:r w:rsidR="00332380" w:rsidRPr="00BD6C8A">
        <w:t xml:space="preserve"> HbA1c analysis also yield</w:t>
      </w:r>
      <w:r w:rsidR="00F95597" w:rsidRPr="00BD6C8A">
        <w:t>ed</w:t>
      </w:r>
      <w:r w:rsidR="00332380" w:rsidRPr="00BD6C8A">
        <w:t xml:space="preserve"> no therapeutic difference between the two forms.</w:t>
      </w:r>
      <w:r w:rsidR="00605337" w:rsidRPr="00BD6C8A">
        <w:t xml:space="preserve"> </w:t>
      </w:r>
      <w:r w:rsidR="00B07EA6" w:rsidRPr="00BD6C8A">
        <w:t>The ESC</w:t>
      </w:r>
      <w:r w:rsidR="00771DAD" w:rsidRPr="00BD6C8A">
        <w:t xml:space="preserve"> </w:t>
      </w:r>
      <w:r w:rsidR="00B07EA6" w:rsidRPr="00BD6C8A">
        <w:t xml:space="preserve">considered that the submission’s non-inferiority claim was not adequately supported based on the base-case comparison exceeding the non-inferiority margin of 0.4% previously considered by </w:t>
      </w:r>
      <w:r w:rsidR="00B07EA6" w:rsidRPr="00BD6C8A">
        <w:lastRenderedPageBreak/>
        <w:t xml:space="preserve">the PBAC. Moreover, the ESC advised that best indirect comparison would be using the NEO-1 and DURATION-5 </w:t>
      </w:r>
      <w:r w:rsidR="00CD082E" w:rsidRPr="00BD6C8A">
        <w:t>trials;</w:t>
      </w:r>
      <w:r w:rsidR="00B07EA6" w:rsidRPr="00BD6C8A">
        <w:t xml:space="preserve"> </w:t>
      </w:r>
      <w:r w:rsidR="00CD082E" w:rsidRPr="00BD6C8A">
        <w:t>however,</w:t>
      </w:r>
      <w:r w:rsidR="00B07EA6" w:rsidRPr="00BD6C8A">
        <w:t xml:space="preserve"> this comparison resulted in a worse point estimate</w:t>
      </w:r>
      <w:r w:rsidR="00AE027A" w:rsidRPr="00BD6C8A">
        <w:t xml:space="preserve"> and a higher upper limit of the CI</w:t>
      </w:r>
      <w:r w:rsidR="00B07EA6" w:rsidRPr="00BD6C8A">
        <w:t xml:space="preserve"> for </w:t>
      </w:r>
      <w:proofErr w:type="spellStart"/>
      <w:r w:rsidR="00B07EA6" w:rsidRPr="00BD6C8A">
        <w:t>exenatide</w:t>
      </w:r>
      <w:proofErr w:type="spellEnd"/>
      <w:r w:rsidR="00B07EA6" w:rsidRPr="00BD6C8A">
        <w:t xml:space="preserve"> </w:t>
      </w:r>
      <w:proofErr w:type="spellStart"/>
      <w:r w:rsidR="00B07EA6" w:rsidRPr="00BD6C8A">
        <w:t>autoinjector</w:t>
      </w:r>
      <w:proofErr w:type="spellEnd"/>
      <w:r w:rsidR="00B07EA6" w:rsidRPr="00BD6C8A">
        <w:t xml:space="preserve">. </w:t>
      </w:r>
    </w:p>
    <w:p w:rsidR="0005217A" w:rsidRPr="00BD6C8A" w:rsidRDefault="0005217A" w:rsidP="00E2793B">
      <w:pPr>
        <w:pStyle w:val="ListParagraph"/>
        <w:widowControl/>
        <w:numPr>
          <w:ilvl w:val="1"/>
          <w:numId w:val="1"/>
        </w:numPr>
        <w:ind w:left="810" w:hanging="810"/>
        <w:rPr>
          <w:rFonts w:asciiTheme="minorHAnsi" w:hAnsiTheme="minorHAnsi"/>
          <w:szCs w:val="20"/>
        </w:rPr>
      </w:pPr>
      <w:r w:rsidRPr="00BD6C8A">
        <w:rPr>
          <w:rFonts w:asciiTheme="minorHAnsi" w:hAnsiTheme="minorHAnsi"/>
          <w:szCs w:val="20"/>
        </w:rPr>
        <w:t>The PBAC considered that the claim of non-inferior comparative effectiveness was not adequately supported by the data.</w:t>
      </w:r>
    </w:p>
    <w:p w:rsidR="0005217A" w:rsidRPr="00BD6C8A" w:rsidRDefault="0005217A" w:rsidP="00E2793B">
      <w:pPr>
        <w:pStyle w:val="ListParagraph"/>
        <w:widowControl/>
        <w:numPr>
          <w:ilvl w:val="1"/>
          <w:numId w:val="1"/>
        </w:numPr>
        <w:ind w:left="810" w:hanging="810"/>
        <w:rPr>
          <w:rFonts w:asciiTheme="minorHAnsi" w:hAnsiTheme="minorHAnsi"/>
          <w:szCs w:val="20"/>
        </w:rPr>
      </w:pPr>
      <w:r w:rsidRPr="00BD6C8A">
        <w:rPr>
          <w:rFonts w:asciiTheme="minorHAnsi" w:hAnsiTheme="minorHAnsi"/>
          <w:szCs w:val="20"/>
        </w:rPr>
        <w:t>The PBAC considered that the claim of non-inferior comparative safety was reasonable.</w:t>
      </w:r>
    </w:p>
    <w:p w:rsidR="00D60C27" w:rsidRPr="00BD6C8A" w:rsidRDefault="00D60C27" w:rsidP="000B18B2">
      <w:pPr>
        <w:pStyle w:val="Heading2"/>
        <w:widowControl/>
      </w:pPr>
      <w:bookmarkStart w:id="15" w:name="_Toc535854212"/>
      <w:r w:rsidRPr="00BD6C8A">
        <w:t>Economic analysis</w:t>
      </w:r>
      <w:bookmarkEnd w:id="15"/>
      <w:r w:rsidRPr="00BD6C8A">
        <w:t xml:space="preserve"> </w:t>
      </w:r>
    </w:p>
    <w:p w:rsidR="008B4B04" w:rsidRPr="00C27C6C" w:rsidRDefault="007B4278" w:rsidP="00E2793B">
      <w:pPr>
        <w:pStyle w:val="ListParagraph"/>
        <w:widowControl/>
        <w:numPr>
          <w:ilvl w:val="1"/>
          <w:numId w:val="1"/>
        </w:numPr>
      </w:pPr>
      <w:r w:rsidRPr="00BD6C8A">
        <w:rPr>
          <w:rFonts w:cs="Calibri"/>
          <w:snapToGrid/>
          <w:szCs w:val="24"/>
          <w:lang w:eastAsia="en-AU"/>
        </w:rPr>
        <w:t>The submission presented a cost-minimis</w:t>
      </w:r>
      <w:r w:rsidR="00D60C27" w:rsidRPr="00BD6C8A">
        <w:rPr>
          <w:rFonts w:cs="Calibri"/>
          <w:snapToGrid/>
          <w:szCs w:val="24"/>
          <w:lang w:eastAsia="en-AU"/>
        </w:rPr>
        <w:t xml:space="preserve">ation analysis of </w:t>
      </w:r>
      <w:proofErr w:type="spellStart"/>
      <w:r w:rsidR="00F95597" w:rsidRPr="00BD6C8A">
        <w:rPr>
          <w:rFonts w:cs="Calibri"/>
          <w:snapToGrid/>
          <w:szCs w:val="24"/>
          <w:lang w:eastAsia="en-AU"/>
        </w:rPr>
        <w:t>exenatide</w:t>
      </w:r>
      <w:proofErr w:type="spellEnd"/>
      <w:r w:rsidR="00F95597" w:rsidRPr="00BD6C8A">
        <w:rPr>
          <w:rFonts w:cs="Calibri"/>
          <w:snapToGrid/>
          <w:szCs w:val="24"/>
          <w:lang w:eastAsia="en-AU"/>
        </w:rPr>
        <w:t xml:space="preserve"> </w:t>
      </w:r>
      <w:proofErr w:type="spellStart"/>
      <w:r w:rsidR="00F95597" w:rsidRPr="00BD6C8A">
        <w:rPr>
          <w:rFonts w:cs="Calibri"/>
          <w:snapToGrid/>
          <w:szCs w:val="24"/>
          <w:lang w:eastAsia="en-AU"/>
        </w:rPr>
        <w:t>autoinjector</w:t>
      </w:r>
      <w:proofErr w:type="spellEnd"/>
      <w:r w:rsidR="00F95597" w:rsidRPr="00BD6C8A">
        <w:rPr>
          <w:rFonts w:cs="Calibri"/>
          <w:snapToGrid/>
          <w:szCs w:val="24"/>
          <w:lang w:eastAsia="en-AU"/>
        </w:rPr>
        <w:t xml:space="preserve"> </w:t>
      </w:r>
      <w:r w:rsidRPr="00BD6C8A">
        <w:rPr>
          <w:rFonts w:cs="Calibri"/>
          <w:snapToGrid/>
          <w:szCs w:val="24"/>
          <w:lang w:eastAsia="en-AU"/>
        </w:rPr>
        <w:t xml:space="preserve">versus the </w:t>
      </w:r>
      <w:proofErr w:type="spellStart"/>
      <w:r w:rsidR="00D60C27" w:rsidRPr="00BD6C8A">
        <w:rPr>
          <w:rFonts w:cs="Calibri"/>
          <w:snapToGrid/>
          <w:szCs w:val="24"/>
          <w:lang w:eastAsia="en-AU"/>
        </w:rPr>
        <w:t>exenatide</w:t>
      </w:r>
      <w:proofErr w:type="spellEnd"/>
      <w:r w:rsidR="00D60C27" w:rsidRPr="00BD6C8A">
        <w:rPr>
          <w:rFonts w:cs="Calibri"/>
          <w:snapToGrid/>
          <w:szCs w:val="24"/>
          <w:lang w:eastAsia="en-AU"/>
        </w:rPr>
        <w:t xml:space="preserve"> </w:t>
      </w:r>
      <w:r w:rsidRPr="00BD6C8A">
        <w:rPr>
          <w:rFonts w:cs="Calibri"/>
          <w:snapToGrid/>
          <w:szCs w:val="24"/>
          <w:lang w:eastAsia="en-AU"/>
        </w:rPr>
        <w:t>DCP</w:t>
      </w:r>
      <w:r w:rsidR="00D60C27" w:rsidRPr="00BD6C8A">
        <w:rPr>
          <w:rFonts w:cs="Calibri"/>
          <w:snapToGrid/>
          <w:szCs w:val="24"/>
          <w:lang w:eastAsia="en-AU"/>
        </w:rPr>
        <w:t>.</w:t>
      </w:r>
      <w:r w:rsidR="008B4B04" w:rsidRPr="00BD6C8A">
        <w:rPr>
          <w:rFonts w:cs="Calibri"/>
          <w:snapToGrid/>
          <w:szCs w:val="24"/>
          <w:lang w:eastAsia="en-AU"/>
        </w:rPr>
        <w:t xml:space="preserve"> The result of the cost minimi</w:t>
      </w:r>
      <w:r w:rsidR="00F95597" w:rsidRPr="00BD6C8A">
        <w:rPr>
          <w:rFonts w:cs="Calibri"/>
          <w:snapToGrid/>
          <w:szCs w:val="24"/>
          <w:lang w:eastAsia="en-AU"/>
        </w:rPr>
        <w:t>s</w:t>
      </w:r>
      <w:r w:rsidR="008B4B04" w:rsidRPr="00BD6C8A">
        <w:rPr>
          <w:rFonts w:cs="Calibri"/>
          <w:snapToGrid/>
          <w:szCs w:val="24"/>
          <w:lang w:eastAsia="en-AU"/>
        </w:rPr>
        <w:t xml:space="preserve">ation analysis is presented in </w:t>
      </w:r>
      <w:r w:rsidR="000539C3" w:rsidRPr="00BD6C8A">
        <w:rPr>
          <w:rFonts w:cs="Calibri"/>
          <w:snapToGrid/>
          <w:szCs w:val="24"/>
          <w:lang w:eastAsia="en-AU"/>
        </w:rPr>
        <w:t>Table 6</w:t>
      </w:r>
      <w:r w:rsidR="008B4B04" w:rsidRPr="00BD6C8A">
        <w:rPr>
          <w:rFonts w:cs="Calibri"/>
          <w:snapToGrid/>
          <w:szCs w:val="24"/>
          <w:lang w:eastAsia="en-AU"/>
        </w:rPr>
        <w:t>.</w:t>
      </w:r>
      <w:r w:rsidR="00605337" w:rsidRPr="00BD6C8A">
        <w:rPr>
          <w:rFonts w:cs="Calibri"/>
          <w:snapToGrid/>
          <w:szCs w:val="24"/>
          <w:lang w:eastAsia="en-AU"/>
        </w:rPr>
        <w:t xml:space="preserve"> </w:t>
      </w:r>
    </w:p>
    <w:p w:rsidR="008B4B04" w:rsidRPr="00BD6C8A" w:rsidRDefault="008B4B04" w:rsidP="000B18B2">
      <w:pPr>
        <w:pStyle w:val="Caption"/>
        <w:keepNext/>
        <w:widowControl/>
        <w:spacing w:after="0"/>
        <w:rPr>
          <w:rStyle w:val="CommentReference"/>
          <w:b/>
          <w:color w:val="auto"/>
          <w:szCs w:val="20"/>
        </w:rPr>
      </w:pPr>
      <w:bookmarkStart w:id="16" w:name="_Ref532196345"/>
      <w:bookmarkStart w:id="17" w:name="_Ref532196304"/>
      <w:r w:rsidRPr="00BD6C8A">
        <w:rPr>
          <w:rStyle w:val="CommentReference"/>
          <w:b/>
          <w:color w:val="auto"/>
          <w:szCs w:val="20"/>
        </w:rPr>
        <w:t>Table 6</w:t>
      </w:r>
      <w:bookmarkEnd w:id="16"/>
      <w:r w:rsidRPr="00BD6C8A">
        <w:rPr>
          <w:rStyle w:val="CommentReference"/>
          <w:b/>
          <w:color w:val="auto"/>
          <w:szCs w:val="20"/>
        </w:rPr>
        <w:t>:</w:t>
      </w:r>
      <w:r w:rsidR="00605337" w:rsidRPr="00BD6C8A">
        <w:rPr>
          <w:rStyle w:val="CommentReference"/>
          <w:b/>
          <w:color w:val="auto"/>
          <w:szCs w:val="20"/>
        </w:rPr>
        <w:t xml:space="preserve"> </w:t>
      </w:r>
      <w:r w:rsidRPr="00BD6C8A">
        <w:rPr>
          <w:rStyle w:val="CommentReference"/>
          <w:b/>
          <w:color w:val="auto"/>
          <w:szCs w:val="20"/>
        </w:rPr>
        <w:t>Results of the cost minimisation analysis</w:t>
      </w:r>
      <w:bookmarkEnd w:id="17"/>
    </w:p>
    <w:tbl>
      <w:tblPr>
        <w:tblStyle w:val="TableGrid"/>
        <w:tblW w:w="8926" w:type="dxa"/>
        <w:tblCellMar>
          <w:left w:w="28" w:type="dxa"/>
          <w:right w:w="28" w:type="dxa"/>
        </w:tblCellMar>
        <w:tblLook w:val="04A0" w:firstRow="1" w:lastRow="0" w:firstColumn="1" w:lastColumn="0" w:noHBand="0" w:noVBand="1"/>
        <w:tblCaption w:val="Table 6: Results of the cost minimisation analysis"/>
      </w:tblPr>
      <w:tblGrid>
        <w:gridCol w:w="3964"/>
        <w:gridCol w:w="2481"/>
        <w:gridCol w:w="2481"/>
      </w:tblGrid>
      <w:tr w:rsidR="008B4B04" w:rsidRPr="00BD6C8A" w:rsidTr="00CF27A3">
        <w:trPr>
          <w:tblHeader/>
        </w:trPr>
        <w:tc>
          <w:tcPr>
            <w:tcW w:w="3964" w:type="dxa"/>
            <w:shd w:val="clear" w:color="auto" w:fill="auto"/>
          </w:tcPr>
          <w:p w:rsidR="008B4B04" w:rsidRPr="00BD6C8A" w:rsidRDefault="008B4B04" w:rsidP="000B18B2">
            <w:pPr>
              <w:pStyle w:val="Tabletext"/>
            </w:pPr>
          </w:p>
        </w:tc>
        <w:tc>
          <w:tcPr>
            <w:tcW w:w="2481" w:type="dxa"/>
            <w:shd w:val="clear" w:color="auto" w:fill="auto"/>
            <w:vAlign w:val="center"/>
          </w:tcPr>
          <w:p w:rsidR="008B4B04" w:rsidRPr="00BD6C8A" w:rsidRDefault="008B4B04" w:rsidP="000B18B2">
            <w:pPr>
              <w:pStyle w:val="Tabletext"/>
              <w:jc w:val="center"/>
              <w:rPr>
                <w:b/>
              </w:rPr>
            </w:pPr>
            <w:proofErr w:type="spellStart"/>
            <w:r w:rsidRPr="00BD6C8A">
              <w:rPr>
                <w:b/>
              </w:rPr>
              <w:t>Exenatide</w:t>
            </w:r>
            <w:proofErr w:type="spellEnd"/>
            <w:r w:rsidRPr="00BD6C8A">
              <w:rPr>
                <w:b/>
              </w:rPr>
              <w:t xml:space="preserve"> once weekly </w:t>
            </w:r>
            <w:proofErr w:type="spellStart"/>
            <w:r w:rsidRPr="00BD6C8A">
              <w:rPr>
                <w:b/>
              </w:rPr>
              <w:t>autoinjector</w:t>
            </w:r>
            <w:proofErr w:type="spellEnd"/>
          </w:p>
        </w:tc>
        <w:tc>
          <w:tcPr>
            <w:tcW w:w="2481" w:type="dxa"/>
            <w:shd w:val="clear" w:color="auto" w:fill="auto"/>
            <w:vAlign w:val="center"/>
          </w:tcPr>
          <w:p w:rsidR="008B4B04" w:rsidRPr="00BD6C8A" w:rsidRDefault="008B4B04" w:rsidP="000B18B2">
            <w:pPr>
              <w:pStyle w:val="Tabletext"/>
              <w:jc w:val="center"/>
              <w:rPr>
                <w:b/>
              </w:rPr>
            </w:pPr>
            <w:proofErr w:type="spellStart"/>
            <w:r w:rsidRPr="00BD6C8A">
              <w:rPr>
                <w:b/>
              </w:rPr>
              <w:t>Exenatide</w:t>
            </w:r>
            <w:proofErr w:type="spellEnd"/>
            <w:r w:rsidRPr="00BD6C8A">
              <w:rPr>
                <w:b/>
              </w:rPr>
              <w:t xml:space="preserve"> once weekly DCP</w:t>
            </w:r>
          </w:p>
        </w:tc>
      </w:tr>
      <w:tr w:rsidR="008B4B04" w:rsidRPr="00BD6C8A" w:rsidTr="000C1D22">
        <w:tc>
          <w:tcPr>
            <w:tcW w:w="3964" w:type="dxa"/>
          </w:tcPr>
          <w:p w:rsidR="008B4B04" w:rsidRPr="00BD6C8A" w:rsidRDefault="008B4B04" w:rsidP="000B18B2">
            <w:pPr>
              <w:pStyle w:val="Tabletext"/>
            </w:pPr>
            <w:proofErr w:type="spellStart"/>
            <w:r w:rsidRPr="00BD6C8A">
              <w:t>Equi</w:t>
            </w:r>
            <w:proofErr w:type="spellEnd"/>
            <w:r w:rsidRPr="00BD6C8A">
              <w:noBreakHyphen/>
              <w:t>effective dose</w:t>
            </w:r>
          </w:p>
        </w:tc>
        <w:tc>
          <w:tcPr>
            <w:tcW w:w="2481" w:type="dxa"/>
            <w:vAlign w:val="center"/>
          </w:tcPr>
          <w:p w:rsidR="008B4B04" w:rsidRPr="00BD6C8A" w:rsidRDefault="008B4B04" w:rsidP="000B18B2">
            <w:pPr>
              <w:pStyle w:val="Tabletext"/>
              <w:jc w:val="center"/>
            </w:pPr>
            <w:r w:rsidRPr="00BD6C8A">
              <w:t>2 mg</w:t>
            </w:r>
          </w:p>
        </w:tc>
        <w:tc>
          <w:tcPr>
            <w:tcW w:w="2481" w:type="dxa"/>
            <w:vAlign w:val="center"/>
          </w:tcPr>
          <w:p w:rsidR="008B4B04" w:rsidRPr="00BD6C8A" w:rsidRDefault="008B4B04" w:rsidP="000B18B2">
            <w:pPr>
              <w:pStyle w:val="Tabletext"/>
              <w:jc w:val="center"/>
            </w:pPr>
            <w:r w:rsidRPr="00BD6C8A">
              <w:t>2 mg</w:t>
            </w:r>
          </w:p>
        </w:tc>
      </w:tr>
      <w:tr w:rsidR="008B4B04" w:rsidRPr="00BD6C8A" w:rsidTr="000C1D22">
        <w:tc>
          <w:tcPr>
            <w:tcW w:w="3964" w:type="dxa"/>
          </w:tcPr>
          <w:p w:rsidR="008B4B04" w:rsidRPr="00BD6C8A" w:rsidRDefault="008B4B04" w:rsidP="000B18B2">
            <w:pPr>
              <w:pStyle w:val="Tabletext"/>
            </w:pPr>
            <w:r w:rsidRPr="00BD6C8A">
              <w:t xml:space="preserve">Administration frequency </w:t>
            </w:r>
          </w:p>
        </w:tc>
        <w:tc>
          <w:tcPr>
            <w:tcW w:w="2481" w:type="dxa"/>
            <w:vAlign w:val="center"/>
          </w:tcPr>
          <w:p w:rsidR="008B4B04" w:rsidRPr="00BD6C8A" w:rsidRDefault="008B4B04" w:rsidP="000B18B2">
            <w:pPr>
              <w:pStyle w:val="Tabletext"/>
              <w:jc w:val="center"/>
            </w:pPr>
            <w:r w:rsidRPr="00BD6C8A">
              <w:t>Once weekly</w:t>
            </w:r>
          </w:p>
        </w:tc>
        <w:tc>
          <w:tcPr>
            <w:tcW w:w="2481" w:type="dxa"/>
            <w:vAlign w:val="center"/>
          </w:tcPr>
          <w:p w:rsidR="008B4B04" w:rsidRPr="00BD6C8A" w:rsidRDefault="008B4B04" w:rsidP="000B18B2">
            <w:pPr>
              <w:pStyle w:val="Tabletext"/>
              <w:jc w:val="center"/>
            </w:pPr>
            <w:r w:rsidRPr="00BD6C8A">
              <w:t>Once weekly</w:t>
            </w:r>
          </w:p>
        </w:tc>
      </w:tr>
      <w:tr w:rsidR="008B4B04" w:rsidRPr="00BD6C8A" w:rsidTr="000C1D22">
        <w:tc>
          <w:tcPr>
            <w:tcW w:w="3964" w:type="dxa"/>
          </w:tcPr>
          <w:p w:rsidR="008B4B04" w:rsidRPr="00BD6C8A" w:rsidRDefault="008B4B04" w:rsidP="000B18B2">
            <w:pPr>
              <w:pStyle w:val="Tabletext"/>
            </w:pPr>
            <w:r w:rsidRPr="00BD6C8A">
              <w:t>Drug cost (pack of 4 injections) (DPMQ)</w:t>
            </w:r>
          </w:p>
        </w:tc>
        <w:tc>
          <w:tcPr>
            <w:tcW w:w="2481" w:type="dxa"/>
            <w:vAlign w:val="center"/>
          </w:tcPr>
          <w:p w:rsidR="008B4B04" w:rsidRPr="00BD6C8A" w:rsidRDefault="008B4B04" w:rsidP="000B18B2">
            <w:pPr>
              <w:pStyle w:val="Tabletext"/>
              <w:jc w:val="center"/>
            </w:pPr>
            <w:r w:rsidRPr="00BD6C8A">
              <w:t>$131.15</w:t>
            </w:r>
          </w:p>
        </w:tc>
        <w:tc>
          <w:tcPr>
            <w:tcW w:w="2481" w:type="dxa"/>
            <w:vAlign w:val="center"/>
          </w:tcPr>
          <w:p w:rsidR="008B4B04" w:rsidRPr="00BD6C8A" w:rsidRDefault="008B4B04" w:rsidP="000B18B2">
            <w:pPr>
              <w:pStyle w:val="Tabletext"/>
              <w:jc w:val="center"/>
            </w:pPr>
            <w:r w:rsidRPr="00BD6C8A">
              <w:t>$131.15</w:t>
            </w:r>
          </w:p>
        </w:tc>
      </w:tr>
      <w:tr w:rsidR="008B4B04" w:rsidRPr="00BD6C8A" w:rsidTr="000C1D22">
        <w:tc>
          <w:tcPr>
            <w:tcW w:w="3964" w:type="dxa"/>
          </w:tcPr>
          <w:p w:rsidR="008B4B04" w:rsidRPr="00BD6C8A" w:rsidRDefault="008B4B04" w:rsidP="000B18B2">
            <w:pPr>
              <w:pStyle w:val="Tabletext"/>
            </w:pPr>
            <w:r w:rsidRPr="00BD6C8A">
              <w:t>Drug cost (pack of 4 injections) (AEMP)</w:t>
            </w:r>
          </w:p>
        </w:tc>
        <w:tc>
          <w:tcPr>
            <w:tcW w:w="2481" w:type="dxa"/>
            <w:vAlign w:val="center"/>
          </w:tcPr>
          <w:p w:rsidR="008B4B04" w:rsidRPr="00BD6C8A" w:rsidRDefault="008B4B04" w:rsidP="000B18B2">
            <w:pPr>
              <w:pStyle w:val="Tabletext"/>
              <w:jc w:val="center"/>
            </w:pPr>
            <w:r w:rsidRPr="00BD6C8A">
              <w:t>$111.44</w:t>
            </w:r>
          </w:p>
        </w:tc>
        <w:tc>
          <w:tcPr>
            <w:tcW w:w="2481" w:type="dxa"/>
            <w:vAlign w:val="center"/>
          </w:tcPr>
          <w:p w:rsidR="008B4B04" w:rsidRPr="00BD6C8A" w:rsidRDefault="008B4B04" w:rsidP="000B18B2">
            <w:pPr>
              <w:pStyle w:val="Tabletext"/>
              <w:jc w:val="center"/>
              <w:rPr>
                <w:vertAlign w:val="superscript"/>
              </w:rPr>
            </w:pPr>
            <w:r w:rsidRPr="00BD6C8A">
              <w:t>$111.44</w:t>
            </w:r>
            <w:r w:rsidRPr="00BD6C8A">
              <w:rPr>
                <w:vertAlign w:val="superscript"/>
              </w:rPr>
              <w:t>a</w:t>
            </w:r>
          </w:p>
        </w:tc>
      </w:tr>
      <w:tr w:rsidR="008B4B04" w:rsidRPr="00BD6C8A" w:rsidTr="000C1D22">
        <w:tc>
          <w:tcPr>
            <w:tcW w:w="3964" w:type="dxa"/>
          </w:tcPr>
          <w:p w:rsidR="008B4B04" w:rsidRPr="00BD6C8A" w:rsidRDefault="008B4B04" w:rsidP="000B18B2">
            <w:pPr>
              <w:pStyle w:val="Tabletext"/>
            </w:pPr>
            <w:r w:rsidRPr="00BD6C8A">
              <w:t>Drug cost (pack of 4 injections) (Effective AEMP)</w:t>
            </w:r>
          </w:p>
        </w:tc>
        <w:tc>
          <w:tcPr>
            <w:tcW w:w="2481" w:type="dxa"/>
            <w:vAlign w:val="center"/>
          </w:tcPr>
          <w:p w:rsidR="008B4B04" w:rsidRPr="00BD6C8A" w:rsidRDefault="008B4B04" w:rsidP="000B18B2">
            <w:pPr>
              <w:pStyle w:val="Tabletext"/>
              <w:jc w:val="center"/>
            </w:pPr>
            <w:r w:rsidRPr="00BD6C8A">
              <w:t>$</w:t>
            </w:r>
            <w:r w:rsidR="00E40122">
              <w:rPr>
                <w:noProof/>
                <w:color w:val="000000"/>
                <w:highlight w:val="black"/>
              </w:rPr>
              <w:t>'''''''''''''</w:t>
            </w:r>
          </w:p>
        </w:tc>
        <w:tc>
          <w:tcPr>
            <w:tcW w:w="2481" w:type="dxa"/>
            <w:vAlign w:val="center"/>
          </w:tcPr>
          <w:p w:rsidR="008B4B04" w:rsidRPr="00BD6C8A" w:rsidRDefault="008B4B04" w:rsidP="000B18B2">
            <w:pPr>
              <w:pStyle w:val="Tabletext"/>
              <w:jc w:val="center"/>
              <w:rPr>
                <w:vertAlign w:val="superscript"/>
              </w:rPr>
            </w:pPr>
            <w:r w:rsidRPr="00BD6C8A">
              <w:t>$</w:t>
            </w:r>
            <w:r w:rsidR="00E40122">
              <w:rPr>
                <w:noProof/>
                <w:color w:val="000000"/>
                <w:highlight w:val="black"/>
              </w:rPr>
              <w:t>''''''''''''''</w:t>
            </w:r>
            <w:r w:rsidRPr="00BD6C8A">
              <w:rPr>
                <w:vertAlign w:val="superscript"/>
              </w:rPr>
              <w:t>b</w:t>
            </w:r>
          </w:p>
        </w:tc>
      </w:tr>
      <w:tr w:rsidR="008B4B04" w:rsidRPr="00BD6C8A" w:rsidTr="000C1D22">
        <w:tc>
          <w:tcPr>
            <w:tcW w:w="3964" w:type="dxa"/>
          </w:tcPr>
          <w:p w:rsidR="008B4B04" w:rsidRPr="00BD6C8A" w:rsidRDefault="008B4B04" w:rsidP="000B18B2">
            <w:pPr>
              <w:pStyle w:val="Tabletext"/>
            </w:pPr>
            <w:r w:rsidRPr="00BD6C8A">
              <w:t>Doses per year</w:t>
            </w:r>
          </w:p>
        </w:tc>
        <w:tc>
          <w:tcPr>
            <w:tcW w:w="2481" w:type="dxa"/>
            <w:vAlign w:val="center"/>
          </w:tcPr>
          <w:p w:rsidR="008B4B04" w:rsidRPr="00BD6C8A" w:rsidRDefault="008B4B04" w:rsidP="000B18B2">
            <w:pPr>
              <w:pStyle w:val="Tabletext"/>
              <w:jc w:val="center"/>
            </w:pPr>
            <w:r w:rsidRPr="00BD6C8A">
              <w:t>52</w:t>
            </w:r>
          </w:p>
        </w:tc>
        <w:tc>
          <w:tcPr>
            <w:tcW w:w="2481" w:type="dxa"/>
            <w:vAlign w:val="center"/>
          </w:tcPr>
          <w:p w:rsidR="008B4B04" w:rsidRPr="00BD6C8A" w:rsidRDefault="008B4B04" w:rsidP="000B18B2">
            <w:pPr>
              <w:pStyle w:val="Tabletext"/>
              <w:jc w:val="center"/>
            </w:pPr>
            <w:r w:rsidRPr="00BD6C8A">
              <w:t>52</w:t>
            </w:r>
          </w:p>
        </w:tc>
      </w:tr>
      <w:tr w:rsidR="008B4B04" w:rsidRPr="00BD6C8A" w:rsidTr="000C1D22">
        <w:tc>
          <w:tcPr>
            <w:tcW w:w="3964" w:type="dxa"/>
            <w:tcBorders>
              <w:bottom w:val="single" w:sz="4" w:space="0" w:color="auto"/>
            </w:tcBorders>
          </w:tcPr>
          <w:p w:rsidR="008B4B04" w:rsidRPr="00BD6C8A" w:rsidRDefault="008B4B04" w:rsidP="000B18B2">
            <w:pPr>
              <w:pStyle w:val="Tabletext"/>
            </w:pPr>
            <w:r w:rsidRPr="00BD6C8A">
              <w:t xml:space="preserve">Annual drug cost per patient </w:t>
            </w:r>
          </w:p>
        </w:tc>
        <w:tc>
          <w:tcPr>
            <w:tcW w:w="2481" w:type="dxa"/>
            <w:tcBorders>
              <w:bottom w:val="single" w:sz="4" w:space="0" w:color="auto"/>
            </w:tcBorders>
            <w:vAlign w:val="center"/>
          </w:tcPr>
          <w:p w:rsidR="008B4B04" w:rsidRPr="00BD6C8A" w:rsidRDefault="008B4B04" w:rsidP="000B18B2">
            <w:pPr>
              <w:pStyle w:val="Tabletext"/>
              <w:jc w:val="center"/>
            </w:pPr>
            <w:r w:rsidRPr="00BD6C8A">
              <w:t>$1448.72</w:t>
            </w:r>
          </w:p>
        </w:tc>
        <w:tc>
          <w:tcPr>
            <w:tcW w:w="2481" w:type="dxa"/>
            <w:tcBorders>
              <w:bottom w:val="single" w:sz="4" w:space="0" w:color="auto"/>
            </w:tcBorders>
            <w:vAlign w:val="center"/>
          </w:tcPr>
          <w:p w:rsidR="008B4B04" w:rsidRPr="00BD6C8A" w:rsidRDefault="008B4B04" w:rsidP="000B18B2">
            <w:pPr>
              <w:pStyle w:val="Tabletext"/>
              <w:jc w:val="center"/>
            </w:pPr>
            <w:r w:rsidRPr="00BD6C8A">
              <w:t>$1,448.72</w:t>
            </w:r>
          </w:p>
        </w:tc>
      </w:tr>
      <w:tr w:rsidR="008B4B04" w:rsidRPr="00BD6C8A" w:rsidTr="000C1D22">
        <w:trPr>
          <w:trHeight w:val="70"/>
        </w:trPr>
        <w:tc>
          <w:tcPr>
            <w:tcW w:w="3964" w:type="dxa"/>
          </w:tcPr>
          <w:p w:rsidR="008B4B04" w:rsidRPr="00BD6C8A" w:rsidRDefault="008B4B04" w:rsidP="000B18B2">
            <w:pPr>
              <w:pStyle w:val="Tabletext"/>
            </w:pPr>
            <w:r w:rsidRPr="00BD6C8A">
              <w:t>Annual incremental drug cost per patient</w:t>
            </w:r>
          </w:p>
        </w:tc>
        <w:tc>
          <w:tcPr>
            <w:tcW w:w="4962" w:type="dxa"/>
            <w:gridSpan w:val="2"/>
            <w:vAlign w:val="center"/>
          </w:tcPr>
          <w:p w:rsidR="008B4B04" w:rsidRPr="00BD6C8A" w:rsidRDefault="008B4B04" w:rsidP="000B18B2">
            <w:pPr>
              <w:pStyle w:val="Tabletext"/>
              <w:jc w:val="center"/>
            </w:pPr>
            <w:r w:rsidRPr="00BD6C8A">
              <w:t>$0</w:t>
            </w:r>
          </w:p>
        </w:tc>
      </w:tr>
    </w:tbl>
    <w:p w:rsidR="008B4B04" w:rsidRPr="00BD6C8A" w:rsidRDefault="008B4B04" w:rsidP="000B18B2">
      <w:pPr>
        <w:widowControl/>
        <w:tabs>
          <w:tab w:val="left" w:pos="284"/>
        </w:tabs>
        <w:rPr>
          <w:rFonts w:ascii="Arial Narrow" w:hAnsi="Arial Narrow" w:cs="Times New Roman"/>
          <w:sz w:val="18"/>
          <w:szCs w:val="18"/>
          <w:vertAlign w:val="superscript"/>
        </w:rPr>
      </w:pPr>
      <w:proofErr w:type="gramStart"/>
      <w:r w:rsidRPr="00BD6C8A">
        <w:rPr>
          <w:rFonts w:ascii="Arial Narrow" w:hAnsi="Arial Narrow" w:cs="Times New Roman"/>
          <w:sz w:val="18"/>
          <w:szCs w:val="18"/>
          <w:vertAlign w:val="superscript"/>
        </w:rPr>
        <w:t>a</w:t>
      </w:r>
      <w:proofErr w:type="gramEnd"/>
      <w:r w:rsidRPr="00BD6C8A">
        <w:rPr>
          <w:rFonts w:ascii="Arial Narrow" w:hAnsi="Arial Narrow" w:cs="Times New Roman"/>
          <w:sz w:val="18"/>
          <w:szCs w:val="18"/>
          <w:vertAlign w:val="superscript"/>
        </w:rPr>
        <w:t xml:space="preserve"> </w:t>
      </w:r>
      <w:r w:rsidRPr="00BD6C8A">
        <w:rPr>
          <w:rFonts w:ascii="Arial Narrow" w:hAnsi="Arial Narrow" w:cs="Times New Roman"/>
          <w:sz w:val="18"/>
          <w:szCs w:val="18"/>
          <w:vertAlign w:val="superscript"/>
        </w:rPr>
        <w:tab/>
      </w:r>
      <w:r w:rsidRPr="00BD6C8A">
        <w:rPr>
          <w:rFonts w:ascii="Arial Narrow" w:hAnsi="Arial Narrow" w:cs="Times New Roman"/>
          <w:sz w:val="18"/>
          <w:szCs w:val="18"/>
        </w:rPr>
        <w:t>PBS ex</w:t>
      </w:r>
      <w:r w:rsidRPr="00BD6C8A">
        <w:rPr>
          <w:rFonts w:ascii="Arial Narrow" w:hAnsi="Arial Narrow" w:cs="Times New Roman"/>
          <w:sz w:val="18"/>
          <w:szCs w:val="18"/>
        </w:rPr>
        <w:noBreakHyphen/>
        <w:t>manufacturer excel sheet (http://www.pbs.gov.au/info/industry/pricing/ex</w:t>
      </w:r>
      <w:r w:rsidRPr="00BD6C8A">
        <w:rPr>
          <w:rFonts w:ascii="Arial Narrow" w:hAnsi="Arial Narrow" w:cs="Times New Roman"/>
          <w:sz w:val="18"/>
          <w:szCs w:val="18"/>
        </w:rPr>
        <w:noBreakHyphen/>
        <w:t>manufacturer</w:t>
      </w:r>
      <w:r w:rsidRPr="00BD6C8A">
        <w:rPr>
          <w:rFonts w:ascii="Arial Narrow" w:hAnsi="Arial Narrow" w:cs="Times New Roman"/>
          <w:sz w:val="18"/>
          <w:szCs w:val="18"/>
        </w:rPr>
        <w:noBreakHyphen/>
        <w:t>price)</w:t>
      </w:r>
      <w:r w:rsidRPr="00BD6C8A">
        <w:rPr>
          <w:rFonts w:ascii="Arial Narrow" w:hAnsi="Arial Narrow" w:cs="Times New Roman"/>
          <w:sz w:val="18"/>
          <w:szCs w:val="18"/>
          <w:vertAlign w:val="superscript"/>
        </w:rPr>
        <w:t xml:space="preserve"> </w:t>
      </w:r>
    </w:p>
    <w:p w:rsidR="008B4B04" w:rsidRPr="00BD6C8A" w:rsidRDefault="008B4B04" w:rsidP="000B18B2">
      <w:pPr>
        <w:widowControl/>
        <w:tabs>
          <w:tab w:val="left" w:pos="284"/>
        </w:tabs>
        <w:rPr>
          <w:rFonts w:ascii="Arial Narrow" w:hAnsi="Arial Narrow"/>
          <w:sz w:val="18"/>
          <w:szCs w:val="18"/>
        </w:rPr>
      </w:pPr>
      <w:proofErr w:type="gramStart"/>
      <w:r w:rsidRPr="00BD6C8A">
        <w:rPr>
          <w:rFonts w:ascii="Arial Narrow" w:hAnsi="Arial Narrow"/>
          <w:sz w:val="18"/>
          <w:szCs w:val="18"/>
          <w:vertAlign w:val="superscript"/>
        </w:rPr>
        <w:t>b</w:t>
      </w:r>
      <w:proofErr w:type="gramEnd"/>
      <w:r w:rsidRPr="00BD6C8A">
        <w:rPr>
          <w:rFonts w:ascii="Arial Narrow" w:hAnsi="Arial Narrow"/>
          <w:sz w:val="18"/>
          <w:szCs w:val="18"/>
          <w:vertAlign w:val="subscript"/>
        </w:rPr>
        <w:t xml:space="preserve"> </w:t>
      </w:r>
      <w:r w:rsidRPr="00BD6C8A">
        <w:rPr>
          <w:rFonts w:ascii="Arial Narrow" w:hAnsi="Arial Narrow"/>
          <w:sz w:val="18"/>
          <w:szCs w:val="18"/>
          <w:vertAlign w:val="subscript"/>
        </w:rPr>
        <w:tab/>
      </w:r>
      <w:r w:rsidRPr="00BD6C8A">
        <w:rPr>
          <w:rFonts w:ascii="Arial Narrow" w:hAnsi="Arial Narrow"/>
          <w:sz w:val="18"/>
          <w:szCs w:val="18"/>
        </w:rPr>
        <w:t xml:space="preserve">Effective AEMP as per the current </w:t>
      </w:r>
      <w:proofErr w:type="spellStart"/>
      <w:r w:rsidRPr="00BD6C8A">
        <w:rPr>
          <w:rFonts w:ascii="Arial Narrow" w:hAnsi="Arial Narrow"/>
          <w:sz w:val="18"/>
          <w:szCs w:val="18"/>
        </w:rPr>
        <w:t>exenatide</w:t>
      </w:r>
      <w:proofErr w:type="spellEnd"/>
      <w:r w:rsidRPr="00BD6C8A">
        <w:rPr>
          <w:rFonts w:ascii="Arial Narrow" w:hAnsi="Arial Narrow"/>
          <w:sz w:val="18"/>
          <w:szCs w:val="18"/>
        </w:rPr>
        <w:t xml:space="preserve"> once weekly</w:t>
      </w:r>
      <w:r w:rsidRPr="00BD6C8A">
        <w:rPr>
          <w:rFonts w:ascii="Arial Narrow" w:hAnsi="Arial Narrow"/>
          <w:sz w:val="18"/>
          <w:szCs w:val="18"/>
        </w:rPr>
        <w:noBreakHyphen/>
        <w:t>DCP (BYDUREON) special pricing arrangement\</w:t>
      </w:r>
    </w:p>
    <w:p w:rsidR="008B4B04" w:rsidRPr="00BD6C8A" w:rsidRDefault="008B4B04" w:rsidP="000B18B2">
      <w:pPr>
        <w:widowControl/>
        <w:rPr>
          <w:rFonts w:ascii="Arial Narrow" w:hAnsi="Arial Narrow"/>
          <w:sz w:val="18"/>
          <w:szCs w:val="18"/>
        </w:rPr>
      </w:pPr>
      <w:r w:rsidRPr="00BD6C8A">
        <w:rPr>
          <w:rFonts w:ascii="Arial Narrow" w:hAnsi="Arial Narrow"/>
          <w:sz w:val="18"/>
          <w:szCs w:val="18"/>
        </w:rPr>
        <w:t xml:space="preserve">Source: Table 3-4, p66 of the submission </w:t>
      </w:r>
    </w:p>
    <w:p w:rsidR="00AD7D57" w:rsidRPr="00BD6C8A" w:rsidRDefault="00D60C27" w:rsidP="00592178">
      <w:pPr>
        <w:pStyle w:val="ListParagraph"/>
        <w:widowControl/>
        <w:numPr>
          <w:ilvl w:val="1"/>
          <w:numId w:val="1"/>
        </w:numPr>
        <w:spacing w:before="120"/>
      </w:pPr>
      <w:r w:rsidRPr="00BD6C8A">
        <w:t xml:space="preserve">The </w:t>
      </w:r>
      <w:proofErr w:type="spellStart"/>
      <w:r w:rsidRPr="00BD6C8A">
        <w:t>equi</w:t>
      </w:r>
      <w:proofErr w:type="spellEnd"/>
      <w:r w:rsidRPr="00BD6C8A">
        <w:t xml:space="preserve">-effective doses </w:t>
      </w:r>
      <w:r w:rsidR="001A58AD" w:rsidRPr="00BD6C8A">
        <w:t>we</w:t>
      </w:r>
      <w:r w:rsidRPr="00BD6C8A">
        <w:t xml:space="preserve">re estimated as </w:t>
      </w:r>
      <w:proofErr w:type="spellStart"/>
      <w:r w:rsidRPr="00BD6C8A">
        <w:t>exenatide</w:t>
      </w:r>
      <w:proofErr w:type="spellEnd"/>
      <w:r w:rsidRPr="00BD6C8A">
        <w:t xml:space="preserve"> </w:t>
      </w:r>
      <w:proofErr w:type="spellStart"/>
      <w:r w:rsidRPr="00BD6C8A">
        <w:t>autoinjector</w:t>
      </w:r>
      <w:proofErr w:type="spellEnd"/>
      <w:r w:rsidRPr="00BD6C8A">
        <w:t xml:space="preserve"> 2</w:t>
      </w:r>
      <w:r w:rsidR="00C61979">
        <w:t> </w:t>
      </w:r>
      <w:r w:rsidRPr="00BD6C8A">
        <w:t xml:space="preserve">mg administered once weekly and </w:t>
      </w:r>
      <w:proofErr w:type="spellStart"/>
      <w:r w:rsidRPr="00BD6C8A">
        <w:t>exenatide</w:t>
      </w:r>
      <w:proofErr w:type="spellEnd"/>
      <w:r w:rsidRPr="00BD6C8A">
        <w:t xml:space="preserve"> DCP 2</w:t>
      </w:r>
      <w:r w:rsidR="00C61979">
        <w:t> </w:t>
      </w:r>
      <w:r w:rsidRPr="00BD6C8A">
        <w:t>mg administered once weekly, based on the results of an indirect comparison.</w:t>
      </w:r>
      <w:r w:rsidR="00605337" w:rsidRPr="00BD6C8A">
        <w:t xml:space="preserve"> </w:t>
      </w:r>
      <w:r w:rsidRPr="00BD6C8A">
        <w:t xml:space="preserve">This may not be an appropriate </w:t>
      </w:r>
      <w:proofErr w:type="spellStart"/>
      <w:r w:rsidRPr="00BD6C8A">
        <w:t>equi</w:t>
      </w:r>
      <w:proofErr w:type="spellEnd"/>
      <w:r w:rsidRPr="00BD6C8A">
        <w:t xml:space="preserve">-effective dose, as the submission </w:t>
      </w:r>
      <w:r w:rsidR="001A58AD" w:rsidRPr="00BD6C8A">
        <w:t>did</w:t>
      </w:r>
      <w:r w:rsidRPr="00BD6C8A">
        <w:t xml:space="preserve"> not </w:t>
      </w:r>
      <w:r w:rsidR="000539C3" w:rsidRPr="00BD6C8A">
        <w:t xml:space="preserve">adequately demonstrate </w:t>
      </w:r>
      <w:r w:rsidRPr="00BD6C8A">
        <w:t xml:space="preserve">that </w:t>
      </w:r>
      <w:proofErr w:type="spellStart"/>
      <w:r w:rsidRPr="00BD6C8A">
        <w:t>exenatide</w:t>
      </w:r>
      <w:proofErr w:type="spellEnd"/>
      <w:r w:rsidRPr="00BD6C8A">
        <w:t xml:space="preserve"> </w:t>
      </w:r>
      <w:proofErr w:type="spellStart"/>
      <w:r w:rsidRPr="00BD6C8A">
        <w:t>autoinjector</w:t>
      </w:r>
      <w:proofErr w:type="spellEnd"/>
      <w:r w:rsidRPr="00BD6C8A">
        <w:t xml:space="preserve"> 2</w:t>
      </w:r>
      <w:r w:rsidR="00C61979">
        <w:t> </w:t>
      </w:r>
      <w:r w:rsidRPr="00BD6C8A">
        <w:t xml:space="preserve">mg once weekly was non-inferior to </w:t>
      </w:r>
      <w:proofErr w:type="spellStart"/>
      <w:r w:rsidRPr="00BD6C8A">
        <w:t>exenatide</w:t>
      </w:r>
      <w:proofErr w:type="spellEnd"/>
      <w:r w:rsidRPr="00BD6C8A">
        <w:t xml:space="preserve"> DCP 2</w:t>
      </w:r>
      <w:r w:rsidR="00C61979">
        <w:t> </w:t>
      </w:r>
      <w:r w:rsidRPr="00BD6C8A">
        <w:t>mg once weekly.</w:t>
      </w:r>
      <w:r w:rsidR="00AD7D57" w:rsidRPr="00BD6C8A">
        <w:t xml:space="preserve"> The ESC </w:t>
      </w:r>
      <w:r w:rsidR="00F95597" w:rsidRPr="00BD6C8A">
        <w:t>considered</w:t>
      </w:r>
      <w:r w:rsidR="00AD7D57" w:rsidRPr="00BD6C8A">
        <w:t xml:space="preserve"> that the </w:t>
      </w:r>
      <w:proofErr w:type="spellStart"/>
      <w:r w:rsidR="00AD7D57" w:rsidRPr="00BD6C8A">
        <w:t>equi</w:t>
      </w:r>
      <w:proofErr w:type="spellEnd"/>
      <w:r w:rsidR="00AD7D57" w:rsidRPr="00BD6C8A">
        <w:t xml:space="preserve">-effective dose was not supported by the ITC </w:t>
      </w:r>
      <w:r w:rsidR="001219B5" w:rsidRPr="00BD6C8A">
        <w:t xml:space="preserve">results. </w:t>
      </w:r>
    </w:p>
    <w:p w:rsidR="00D60C27" w:rsidRPr="00BD6C8A" w:rsidRDefault="00FE36D8" w:rsidP="00592178">
      <w:pPr>
        <w:pStyle w:val="ListParagraph"/>
        <w:widowControl/>
        <w:numPr>
          <w:ilvl w:val="1"/>
          <w:numId w:val="1"/>
        </w:numPr>
        <w:spacing w:before="120"/>
      </w:pPr>
      <w:r w:rsidRPr="00BD6C8A">
        <w:t xml:space="preserve">The ESC </w:t>
      </w:r>
      <w:r w:rsidR="00B97727" w:rsidRPr="00BD6C8A">
        <w:t>considered t</w:t>
      </w:r>
      <w:r w:rsidR="00EB5892" w:rsidRPr="00BD6C8A">
        <w:t>he</w:t>
      </w:r>
      <w:r w:rsidR="00B97727" w:rsidRPr="00BD6C8A">
        <w:t xml:space="preserve"> </w:t>
      </w:r>
      <w:r w:rsidRPr="00BD6C8A">
        <w:t>cost-minimis</w:t>
      </w:r>
      <w:r w:rsidR="00B97727" w:rsidRPr="00BD6C8A">
        <w:t>ation</w:t>
      </w:r>
      <w:r w:rsidRPr="00BD6C8A">
        <w:t xml:space="preserve"> </w:t>
      </w:r>
      <w:r w:rsidR="00EB5892" w:rsidRPr="00BD6C8A">
        <w:t>should account for</w:t>
      </w:r>
      <w:r w:rsidRPr="00BD6C8A">
        <w:t xml:space="preserve"> </w:t>
      </w:r>
      <w:r w:rsidR="00B97727" w:rsidRPr="00BD6C8A">
        <w:t xml:space="preserve">the </w:t>
      </w:r>
      <w:r w:rsidRPr="00BD6C8A">
        <w:t xml:space="preserve">reduced efficacy of </w:t>
      </w:r>
      <w:proofErr w:type="spellStart"/>
      <w:r w:rsidR="00B97727" w:rsidRPr="00BD6C8A">
        <w:t>exenatide</w:t>
      </w:r>
      <w:proofErr w:type="spellEnd"/>
      <w:r w:rsidR="00B97727" w:rsidRPr="00BD6C8A">
        <w:t xml:space="preserve"> </w:t>
      </w:r>
      <w:proofErr w:type="spellStart"/>
      <w:r w:rsidR="00B97727" w:rsidRPr="00BD6C8A">
        <w:t>autoinjector</w:t>
      </w:r>
      <w:proofErr w:type="spellEnd"/>
      <w:r w:rsidR="00B97727" w:rsidRPr="00BD6C8A">
        <w:t xml:space="preserve"> </w:t>
      </w:r>
      <w:r w:rsidR="00EB5892" w:rsidRPr="00BD6C8A">
        <w:t xml:space="preserve">compared </w:t>
      </w:r>
      <w:r w:rsidR="00B97727" w:rsidRPr="00BD6C8A">
        <w:t xml:space="preserve">to </w:t>
      </w:r>
      <w:proofErr w:type="spellStart"/>
      <w:r w:rsidR="00B97727" w:rsidRPr="00BD6C8A">
        <w:t>exenatide</w:t>
      </w:r>
      <w:proofErr w:type="spellEnd"/>
      <w:r w:rsidR="00B97727" w:rsidRPr="00BD6C8A">
        <w:t xml:space="preserve"> DCP</w:t>
      </w:r>
      <w:r w:rsidR="00EB5892" w:rsidRPr="00BD6C8A">
        <w:t xml:space="preserve"> </w:t>
      </w:r>
      <w:r w:rsidR="00B97727" w:rsidRPr="00BD6C8A">
        <w:t>and</w:t>
      </w:r>
      <w:r w:rsidR="00EB5892" w:rsidRPr="00BD6C8A">
        <w:t xml:space="preserve"> that</w:t>
      </w:r>
      <w:r w:rsidRPr="00BD6C8A">
        <w:t xml:space="preserve"> </w:t>
      </w:r>
      <w:r w:rsidR="00EB5892" w:rsidRPr="00BD6C8A">
        <w:t xml:space="preserve">offsets to account for the </w:t>
      </w:r>
      <w:r w:rsidRPr="00BD6C8A">
        <w:t>additional cost</w:t>
      </w:r>
      <w:r w:rsidR="00EB5892" w:rsidRPr="00BD6C8A">
        <w:t>s</w:t>
      </w:r>
      <w:r w:rsidRPr="00BD6C8A">
        <w:t xml:space="preserve"> </w:t>
      </w:r>
      <w:r w:rsidR="00B97727" w:rsidRPr="00BD6C8A">
        <w:t>associated with</w:t>
      </w:r>
      <w:r w:rsidRPr="00BD6C8A">
        <w:t xml:space="preserve"> </w:t>
      </w:r>
      <w:r w:rsidR="00B97727" w:rsidRPr="00BD6C8A">
        <w:t xml:space="preserve">increased </w:t>
      </w:r>
      <w:r w:rsidRPr="00BD6C8A">
        <w:t>us</w:t>
      </w:r>
      <w:r w:rsidR="00B97727" w:rsidRPr="00BD6C8A">
        <w:t>e of</w:t>
      </w:r>
      <w:r w:rsidRPr="00BD6C8A">
        <w:t xml:space="preserve"> other oral hypoglycaemic medicines</w:t>
      </w:r>
      <w:r w:rsidR="00B97727" w:rsidRPr="00BD6C8A">
        <w:t xml:space="preserve"> </w:t>
      </w:r>
      <w:r w:rsidR="00EB5892" w:rsidRPr="00BD6C8A">
        <w:t xml:space="preserve">should be included. </w:t>
      </w:r>
    </w:p>
    <w:p w:rsidR="00D60C27" w:rsidRPr="00BD6C8A" w:rsidRDefault="00D60C27" w:rsidP="00592178">
      <w:pPr>
        <w:pStyle w:val="Heading2"/>
        <w:widowControl/>
        <w:spacing w:before="120"/>
      </w:pPr>
      <w:bookmarkStart w:id="18" w:name="_Toc535854213"/>
      <w:r w:rsidRPr="00BD6C8A">
        <w:t>Drug cost/patient/year</w:t>
      </w:r>
      <w:bookmarkEnd w:id="18"/>
    </w:p>
    <w:p w:rsidR="00D60C27" w:rsidRPr="00BD6C8A" w:rsidRDefault="00D60C27" w:rsidP="00592178">
      <w:pPr>
        <w:pStyle w:val="ListParagraph"/>
        <w:keepNext/>
        <w:widowControl/>
        <w:numPr>
          <w:ilvl w:val="1"/>
          <w:numId w:val="1"/>
        </w:numPr>
        <w:spacing w:before="120"/>
      </w:pPr>
      <w:r w:rsidRPr="00BD6C8A">
        <w:t xml:space="preserve">The cost per patient per year for treatment with </w:t>
      </w:r>
      <w:proofErr w:type="spellStart"/>
      <w:r w:rsidRPr="00BD6C8A">
        <w:t>exenatide</w:t>
      </w:r>
      <w:proofErr w:type="spellEnd"/>
      <w:r w:rsidRPr="00BD6C8A">
        <w:t xml:space="preserve"> </w:t>
      </w:r>
      <w:proofErr w:type="spellStart"/>
      <w:r w:rsidRPr="00BD6C8A">
        <w:t>autoinjector</w:t>
      </w:r>
      <w:proofErr w:type="spellEnd"/>
      <w:r w:rsidR="001A58AD" w:rsidRPr="00BD6C8A">
        <w:t xml:space="preserve"> would be</w:t>
      </w:r>
      <w:r w:rsidR="005C0B17" w:rsidRPr="00BD6C8A">
        <w:t xml:space="preserve"> </w:t>
      </w:r>
      <w:r w:rsidRPr="00BD6C8A">
        <w:t xml:space="preserve">$1,704.95 based on 13 packs of 4 injections each year, allowing for 52 weekly doses at </w:t>
      </w:r>
      <w:r w:rsidR="006D38A0" w:rsidRPr="00BD6C8A">
        <w:t xml:space="preserve">the published </w:t>
      </w:r>
      <w:r w:rsidRPr="00BD6C8A">
        <w:t>DPMQ of $131.15</w:t>
      </w:r>
      <w:r w:rsidR="000539C3" w:rsidRPr="00BD6C8A">
        <w:t>; or $</w:t>
      </w:r>
      <w:r w:rsidR="00E40122">
        <w:rPr>
          <w:noProof/>
          <w:color w:val="000000"/>
          <w:highlight w:val="black"/>
        </w:rPr>
        <w:t>''''''''''''''''''</w:t>
      </w:r>
      <w:r w:rsidR="006D38A0" w:rsidRPr="00BD6C8A">
        <w:t xml:space="preserve"> based on </w:t>
      </w:r>
      <w:r w:rsidR="006D38A0" w:rsidRPr="00BD6C8A">
        <w:lastRenderedPageBreak/>
        <w:t>13 packs of 4 injections each year, allowing for 52 weekly doses at the effective DPMQ of $</w:t>
      </w:r>
      <w:r w:rsidR="00E40122">
        <w:rPr>
          <w:noProof/>
          <w:color w:val="000000"/>
          <w:highlight w:val="black"/>
        </w:rPr>
        <w:t>''''''''''</w:t>
      </w:r>
      <w:r w:rsidRPr="00BD6C8A">
        <w:t>.</w:t>
      </w:r>
      <w:r w:rsidR="00605337" w:rsidRPr="00BD6C8A">
        <w:t xml:space="preserve"> </w:t>
      </w:r>
      <w:r w:rsidRPr="00BD6C8A">
        <w:t>The patient is expected to continue treatment indefinitely.</w:t>
      </w:r>
      <w:r w:rsidR="00605337" w:rsidRPr="00BD6C8A">
        <w:t xml:space="preserve"> </w:t>
      </w:r>
      <w:r w:rsidR="007B4278" w:rsidRPr="00BD6C8A">
        <w:t>This</w:t>
      </w:r>
      <w:r w:rsidR="001219B5" w:rsidRPr="00BD6C8A">
        <w:t xml:space="preserve"> is </w:t>
      </w:r>
      <w:r w:rsidR="00F06885" w:rsidRPr="00BD6C8A">
        <w:t>the same</w:t>
      </w:r>
      <w:r w:rsidR="001219B5" w:rsidRPr="00BD6C8A">
        <w:t xml:space="preserve"> cost/patient/year</w:t>
      </w:r>
      <w:r w:rsidR="00F06885" w:rsidRPr="00BD6C8A">
        <w:t xml:space="preserve"> as</w:t>
      </w:r>
      <w:r w:rsidR="001219B5" w:rsidRPr="00BD6C8A">
        <w:t xml:space="preserve"> for </w:t>
      </w:r>
      <w:proofErr w:type="spellStart"/>
      <w:r w:rsidR="001219B5" w:rsidRPr="00BD6C8A">
        <w:t>exenatide</w:t>
      </w:r>
      <w:proofErr w:type="spellEnd"/>
      <w:r w:rsidR="001219B5" w:rsidRPr="00BD6C8A">
        <w:t xml:space="preserve"> DCP.</w:t>
      </w:r>
      <w:r w:rsidR="007B4278" w:rsidRPr="00BD6C8A">
        <w:t xml:space="preserve"> </w:t>
      </w:r>
    </w:p>
    <w:p w:rsidR="0085701F" w:rsidRPr="00BD6C8A" w:rsidRDefault="0085701F" w:rsidP="00592178">
      <w:pPr>
        <w:pStyle w:val="Heading2"/>
        <w:widowControl/>
        <w:spacing w:before="120"/>
      </w:pPr>
      <w:bookmarkStart w:id="19" w:name="_Toc532891847"/>
      <w:bookmarkStart w:id="20" w:name="_Toc535856980"/>
      <w:r w:rsidRPr="00BD6C8A">
        <w:t>Estimated PBS usage &amp; financial implications</w:t>
      </w:r>
      <w:bookmarkEnd w:id="19"/>
      <w:bookmarkEnd w:id="20"/>
    </w:p>
    <w:p w:rsidR="00D60C27" w:rsidRPr="00BD6C8A" w:rsidRDefault="00D60C27" w:rsidP="00592178">
      <w:pPr>
        <w:pStyle w:val="ListParagraph"/>
        <w:widowControl/>
        <w:numPr>
          <w:ilvl w:val="1"/>
          <w:numId w:val="1"/>
        </w:numPr>
        <w:spacing w:before="120"/>
      </w:pPr>
      <w:r w:rsidRPr="00BD6C8A">
        <w:t xml:space="preserve">This submission </w:t>
      </w:r>
      <w:r w:rsidR="006D7D84" w:rsidRPr="00BD6C8A">
        <w:t>was not</w:t>
      </w:r>
      <w:r w:rsidRPr="00BD6C8A">
        <w:t xml:space="preserve"> considered by DUSC.</w:t>
      </w:r>
      <w:r w:rsidR="00605337" w:rsidRPr="00BD6C8A">
        <w:t xml:space="preserve"> </w:t>
      </w:r>
      <w:r w:rsidRPr="00BD6C8A">
        <w:t xml:space="preserve">The financial </w:t>
      </w:r>
      <w:r w:rsidR="00C67EA3" w:rsidRPr="00BD6C8A">
        <w:t xml:space="preserve">estimates for the listing of </w:t>
      </w:r>
      <w:proofErr w:type="spellStart"/>
      <w:r w:rsidR="00C67EA3" w:rsidRPr="00BD6C8A">
        <w:t>exenatide</w:t>
      </w:r>
      <w:proofErr w:type="spellEnd"/>
      <w:r w:rsidR="00C67EA3" w:rsidRPr="00BD6C8A">
        <w:t xml:space="preserve"> </w:t>
      </w:r>
      <w:proofErr w:type="spellStart"/>
      <w:r w:rsidR="00C67EA3" w:rsidRPr="00BD6C8A">
        <w:t>autoinjector</w:t>
      </w:r>
      <w:proofErr w:type="spellEnd"/>
      <w:r w:rsidR="00C67EA3" w:rsidRPr="00BD6C8A">
        <w:t xml:space="preserve"> are</w:t>
      </w:r>
      <w:r w:rsidRPr="00BD6C8A">
        <w:t xml:space="preserve"> presented in </w:t>
      </w:r>
      <w:r w:rsidR="008B4B04" w:rsidRPr="00BD6C8A">
        <w:t>Table 7</w:t>
      </w:r>
      <w:r w:rsidRPr="00BD6C8A">
        <w:rPr>
          <w:rFonts w:asciiTheme="minorHAnsi" w:hAnsiTheme="minorHAnsi" w:cstheme="minorHAnsi"/>
          <w:szCs w:val="24"/>
        </w:rPr>
        <w:t>.</w:t>
      </w:r>
      <w:r w:rsidR="00605337" w:rsidRPr="00BD6C8A">
        <w:t xml:space="preserve"> </w:t>
      </w:r>
    </w:p>
    <w:p w:rsidR="00BB15A3" w:rsidRPr="00BD6C8A" w:rsidRDefault="006D38A0" w:rsidP="00592178">
      <w:pPr>
        <w:pStyle w:val="ListParagraph"/>
        <w:widowControl/>
        <w:numPr>
          <w:ilvl w:val="1"/>
          <w:numId w:val="1"/>
        </w:numPr>
        <w:spacing w:before="120"/>
      </w:pPr>
      <w:r w:rsidRPr="00BD6C8A">
        <w:t xml:space="preserve">Given that the requested price for </w:t>
      </w:r>
      <w:proofErr w:type="spellStart"/>
      <w:r w:rsidRPr="00BD6C8A">
        <w:t>exenatide</w:t>
      </w:r>
      <w:proofErr w:type="spellEnd"/>
      <w:r w:rsidRPr="00BD6C8A">
        <w:t xml:space="preserve"> </w:t>
      </w:r>
      <w:proofErr w:type="spellStart"/>
      <w:r w:rsidRPr="00BD6C8A">
        <w:t>autoinjector</w:t>
      </w:r>
      <w:proofErr w:type="spellEnd"/>
      <w:r w:rsidRPr="00BD6C8A">
        <w:t xml:space="preserve"> </w:t>
      </w:r>
      <w:r w:rsidR="001A58AD" w:rsidRPr="00BD6C8A">
        <w:t>wa</w:t>
      </w:r>
      <w:r w:rsidRPr="00BD6C8A">
        <w:t xml:space="preserve">s the same as the </w:t>
      </w:r>
      <w:proofErr w:type="spellStart"/>
      <w:r w:rsidRPr="00BD6C8A">
        <w:t>exenatide</w:t>
      </w:r>
      <w:proofErr w:type="spellEnd"/>
      <w:r w:rsidRPr="00BD6C8A">
        <w:t xml:space="preserve"> DCP, (which the submission expects to be replaced in a 1:1 ratio) and the submission assume</w:t>
      </w:r>
      <w:r w:rsidR="001A58AD" w:rsidRPr="00BD6C8A">
        <w:t>d</w:t>
      </w:r>
      <w:r w:rsidRPr="00BD6C8A">
        <w:t xml:space="preserve"> no growth in the market due to the listing of the </w:t>
      </w:r>
      <w:proofErr w:type="spellStart"/>
      <w:r w:rsidRPr="00BD6C8A">
        <w:t>autoinjector</w:t>
      </w:r>
      <w:proofErr w:type="spellEnd"/>
      <w:r w:rsidRPr="00BD6C8A">
        <w:t>, the result of no overall change is reasonable.</w:t>
      </w:r>
      <w:r w:rsidR="00605337" w:rsidRPr="00BD6C8A">
        <w:t xml:space="preserve"> </w:t>
      </w:r>
      <w:r w:rsidR="00085214" w:rsidRPr="00BD6C8A">
        <w:t>However,</w:t>
      </w:r>
      <w:r w:rsidRPr="00BD6C8A">
        <w:t xml:space="preserve"> there may be insufficient evidence to claim that </w:t>
      </w:r>
      <w:proofErr w:type="spellStart"/>
      <w:r w:rsidRPr="00BD6C8A">
        <w:t>exenatide</w:t>
      </w:r>
      <w:proofErr w:type="spellEnd"/>
      <w:r w:rsidRPr="00BD6C8A">
        <w:t xml:space="preserve"> </w:t>
      </w:r>
      <w:proofErr w:type="spellStart"/>
      <w:r w:rsidRPr="00BD6C8A">
        <w:t>autoinjector</w:t>
      </w:r>
      <w:proofErr w:type="spellEnd"/>
      <w:r w:rsidRPr="00BD6C8A">
        <w:t xml:space="preserve"> is non-inferior to </w:t>
      </w:r>
      <w:proofErr w:type="spellStart"/>
      <w:r w:rsidRPr="00BD6C8A">
        <w:t>exenatide</w:t>
      </w:r>
      <w:proofErr w:type="spellEnd"/>
      <w:r w:rsidRPr="00BD6C8A">
        <w:t xml:space="preserve"> DCP </w:t>
      </w:r>
      <w:r w:rsidR="00085214" w:rsidRPr="00BD6C8A">
        <w:t>therefore,</w:t>
      </w:r>
      <w:r w:rsidRPr="00BD6C8A">
        <w:t xml:space="preserve"> the 1:1 ratio may not be reasonable, or there may be changes in concomitant medications not captured in the submission.</w:t>
      </w:r>
      <w:r w:rsidR="00605337" w:rsidRPr="00BD6C8A">
        <w:t xml:space="preserve"> </w:t>
      </w:r>
      <w:r w:rsidR="00F95597" w:rsidRPr="00BD6C8A">
        <w:t>The ESC considered that increased use of oral anti-diabetic medicines was likely given the results of the ITC</w:t>
      </w:r>
      <w:r w:rsidR="00EB5892" w:rsidRPr="00BD6C8A">
        <w:t>, and that these have not been adequately factored in to the financial estimates</w:t>
      </w:r>
      <w:r w:rsidR="00EB5892" w:rsidRPr="00BD6C8A">
        <w:rPr>
          <w:i/>
        </w:rPr>
        <w:t>.</w:t>
      </w:r>
    </w:p>
    <w:p w:rsidR="00D60C27" w:rsidRPr="00BD6C8A" w:rsidRDefault="007B4278" w:rsidP="000B18B2">
      <w:pPr>
        <w:pStyle w:val="Caption"/>
        <w:keepNext/>
        <w:widowControl/>
        <w:spacing w:after="0"/>
        <w:rPr>
          <w:rFonts w:ascii="Arial Narrow" w:hAnsi="Arial Narrow"/>
          <w:color w:val="auto"/>
          <w:sz w:val="20"/>
          <w:szCs w:val="20"/>
        </w:rPr>
      </w:pPr>
      <w:bookmarkStart w:id="21" w:name="_Ref532160819"/>
      <w:r w:rsidRPr="00BD6C8A">
        <w:rPr>
          <w:rFonts w:ascii="Arial Narrow" w:hAnsi="Arial Narrow"/>
          <w:color w:val="auto"/>
          <w:sz w:val="20"/>
          <w:szCs w:val="20"/>
        </w:rPr>
        <w:t xml:space="preserve">Table </w:t>
      </w:r>
      <w:r w:rsidR="008B4B04" w:rsidRPr="00BD6C8A">
        <w:rPr>
          <w:rFonts w:ascii="Arial Narrow" w:hAnsi="Arial Narrow"/>
          <w:color w:val="auto"/>
          <w:sz w:val="20"/>
          <w:szCs w:val="20"/>
        </w:rPr>
        <w:t>7</w:t>
      </w:r>
      <w:bookmarkEnd w:id="21"/>
      <w:r w:rsidRPr="00BD6C8A">
        <w:rPr>
          <w:rFonts w:ascii="Arial Narrow" w:hAnsi="Arial Narrow"/>
          <w:color w:val="auto"/>
          <w:sz w:val="20"/>
          <w:szCs w:val="20"/>
        </w:rPr>
        <w:t>:</w:t>
      </w:r>
      <w:r w:rsidR="00605337" w:rsidRPr="00BD6C8A">
        <w:rPr>
          <w:rFonts w:ascii="Arial Narrow" w:hAnsi="Arial Narrow"/>
          <w:color w:val="auto"/>
          <w:sz w:val="20"/>
          <w:szCs w:val="20"/>
        </w:rPr>
        <w:t xml:space="preserve"> </w:t>
      </w:r>
      <w:r w:rsidR="00D60C27" w:rsidRPr="00BD6C8A">
        <w:rPr>
          <w:rStyle w:val="CommentReference"/>
          <w:b/>
          <w:color w:val="auto"/>
          <w:szCs w:val="20"/>
        </w:rPr>
        <w:t xml:space="preserve">Estimated use and financial implications of listing </w:t>
      </w:r>
      <w:proofErr w:type="spellStart"/>
      <w:r w:rsidR="00D60C27" w:rsidRPr="00BD6C8A">
        <w:rPr>
          <w:rStyle w:val="CommentReference"/>
          <w:b/>
          <w:color w:val="auto"/>
          <w:szCs w:val="20"/>
        </w:rPr>
        <w:t>exenatide</w:t>
      </w:r>
      <w:proofErr w:type="spellEnd"/>
      <w:r w:rsidR="00D60C27" w:rsidRPr="00BD6C8A">
        <w:rPr>
          <w:rStyle w:val="CommentReference"/>
          <w:b/>
          <w:color w:val="auto"/>
          <w:szCs w:val="20"/>
        </w:rPr>
        <w:t xml:space="preserve"> </w:t>
      </w:r>
      <w:proofErr w:type="spellStart"/>
      <w:r w:rsidR="00D60C27" w:rsidRPr="00BD6C8A">
        <w:rPr>
          <w:rStyle w:val="CommentReference"/>
          <w:b/>
          <w:color w:val="auto"/>
          <w:szCs w:val="20"/>
        </w:rPr>
        <w:t>autoinjector</w:t>
      </w:r>
      <w:proofErr w:type="spellEnd"/>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7: Estimated use and financial implications of listing exenatide autoinjector"/>
      </w:tblPr>
      <w:tblGrid>
        <w:gridCol w:w="2000"/>
        <w:gridCol w:w="1156"/>
        <w:gridCol w:w="1157"/>
        <w:gridCol w:w="1157"/>
        <w:gridCol w:w="1157"/>
        <w:gridCol w:w="1157"/>
        <w:gridCol w:w="1155"/>
      </w:tblGrid>
      <w:tr w:rsidR="00D60C27" w:rsidRPr="00BD6C8A" w:rsidTr="006D38A0">
        <w:trPr>
          <w:tblHeader/>
        </w:trPr>
        <w:tc>
          <w:tcPr>
            <w:tcW w:w="1119" w:type="pct"/>
            <w:shd w:val="clear" w:color="auto" w:fill="auto"/>
            <w:vAlign w:val="center"/>
          </w:tcPr>
          <w:p w:rsidR="00D60C27" w:rsidRPr="00BD6C8A" w:rsidRDefault="00D60C27" w:rsidP="000B18B2">
            <w:pPr>
              <w:pStyle w:val="Tabletext"/>
              <w:keepNext/>
            </w:pPr>
          </w:p>
        </w:tc>
        <w:tc>
          <w:tcPr>
            <w:tcW w:w="647" w:type="pct"/>
            <w:shd w:val="clear" w:color="auto" w:fill="auto"/>
            <w:vAlign w:val="center"/>
          </w:tcPr>
          <w:p w:rsidR="00D60C27" w:rsidRPr="00BD6C8A" w:rsidRDefault="00D60C27" w:rsidP="000B18B2">
            <w:pPr>
              <w:pStyle w:val="Tabletext"/>
              <w:keepNext/>
              <w:jc w:val="center"/>
              <w:rPr>
                <w:b/>
              </w:rPr>
            </w:pPr>
            <w:r w:rsidRPr="00BD6C8A">
              <w:rPr>
                <w:b/>
              </w:rPr>
              <w:t>Year 1</w:t>
            </w:r>
          </w:p>
        </w:tc>
        <w:tc>
          <w:tcPr>
            <w:tcW w:w="647" w:type="pct"/>
            <w:shd w:val="clear" w:color="auto" w:fill="auto"/>
            <w:vAlign w:val="center"/>
          </w:tcPr>
          <w:p w:rsidR="00D60C27" w:rsidRPr="00BD6C8A" w:rsidRDefault="00D60C27" w:rsidP="000B18B2">
            <w:pPr>
              <w:pStyle w:val="Tabletext"/>
              <w:keepNext/>
              <w:jc w:val="center"/>
              <w:rPr>
                <w:b/>
              </w:rPr>
            </w:pPr>
            <w:r w:rsidRPr="00BD6C8A">
              <w:rPr>
                <w:b/>
              </w:rPr>
              <w:t>Year 2</w:t>
            </w:r>
          </w:p>
        </w:tc>
        <w:tc>
          <w:tcPr>
            <w:tcW w:w="647" w:type="pct"/>
            <w:shd w:val="clear" w:color="auto" w:fill="auto"/>
            <w:vAlign w:val="center"/>
          </w:tcPr>
          <w:p w:rsidR="00D60C27" w:rsidRPr="00BD6C8A" w:rsidRDefault="00D60C27" w:rsidP="000B18B2">
            <w:pPr>
              <w:pStyle w:val="Tabletext"/>
              <w:keepNext/>
              <w:jc w:val="center"/>
              <w:rPr>
                <w:b/>
              </w:rPr>
            </w:pPr>
            <w:r w:rsidRPr="00BD6C8A">
              <w:rPr>
                <w:b/>
              </w:rPr>
              <w:t>Year 3</w:t>
            </w:r>
          </w:p>
        </w:tc>
        <w:tc>
          <w:tcPr>
            <w:tcW w:w="647" w:type="pct"/>
            <w:shd w:val="clear" w:color="auto" w:fill="auto"/>
            <w:vAlign w:val="center"/>
          </w:tcPr>
          <w:p w:rsidR="00D60C27" w:rsidRPr="00BD6C8A" w:rsidRDefault="00D60C27" w:rsidP="000B18B2">
            <w:pPr>
              <w:pStyle w:val="Tabletext"/>
              <w:keepNext/>
              <w:jc w:val="center"/>
              <w:rPr>
                <w:b/>
              </w:rPr>
            </w:pPr>
            <w:r w:rsidRPr="00BD6C8A">
              <w:rPr>
                <w:b/>
              </w:rPr>
              <w:t>Year 4</w:t>
            </w:r>
          </w:p>
        </w:tc>
        <w:tc>
          <w:tcPr>
            <w:tcW w:w="647" w:type="pct"/>
            <w:shd w:val="clear" w:color="auto" w:fill="auto"/>
            <w:vAlign w:val="center"/>
          </w:tcPr>
          <w:p w:rsidR="00D60C27" w:rsidRPr="00BD6C8A" w:rsidRDefault="00D60C27" w:rsidP="000B18B2">
            <w:pPr>
              <w:pStyle w:val="Tabletext"/>
              <w:keepNext/>
              <w:jc w:val="center"/>
              <w:rPr>
                <w:b/>
              </w:rPr>
            </w:pPr>
            <w:r w:rsidRPr="00BD6C8A">
              <w:rPr>
                <w:b/>
              </w:rPr>
              <w:t>Year 5</w:t>
            </w:r>
          </w:p>
        </w:tc>
        <w:tc>
          <w:tcPr>
            <w:tcW w:w="646" w:type="pct"/>
          </w:tcPr>
          <w:p w:rsidR="00D60C27" w:rsidRPr="00BD6C8A" w:rsidRDefault="00D60C27" w:rsidP="000B18B2">
            <w:pPr>
              <w:pStyle w:val="Tabletext"/>
              <w:keepNext/>
              <w:jc w:val="center"/>
              <w:rPr>
                <w:b/>
              </w:rPr>
            </w:pPr>
            <w:r w:rsidRPr="00BD6C8A">
              <w:rPr>
                <w:b/>
              </w:rPr>
              <w:t>Year 6</w:t>
            </w:r>
          </w:p>
        </w:tc>
      </w:tr>
      <w:tr w:rsidR="00D60C27" w:rsidRPr="00BD6C8A" w:rsidTr="006D38A0">
        <w:tc>
          <w:tcPr>
            <w:tcW w:w="5000" w:type="pct"/>
            <w:gridSpan w:val="7"/>
            <w:shd w:val="clear" w:color="auto" w:fill="auto"/>
            <w:vAlign w:val="center"/>
          </w:tcPr>
          <w:p w:rsidR="00D60C27" w:rsidRPr="00BD6C8A" w:rsidRDefault="00D60C27" w:rsidP="000B18B2">
            <w:pPr>
              <w:pStyle w:val="Tabletext"/>
              <w:keepNext/>
              <w:rPr>
                <w:b/>
                <w:bCs/>
                <w:color w:val="000000"/>
              </w:rPr>
            </w:pPr>
            <w:r w:rsidRPr="00BD6C8A">
              <w:rPr>
                <w:b/>
                <w:bCs/>
                <w:color w:val="000000"/>
              </w:rPr>
              <w:t>Estimated extent of use</w:t>
            </w:r>
          </w:p>
        </w:tc>
      </w:tr>
      <w:tr w:rsidR="00D60C27" w:rsidRPr="00BD6C8A" w:rsidTr="006D38A0">
        <w:tc>
          <w:tcPr>
            <w:tcW w:w="1119" w:type="pct"/>
            <w:shd w:val="clear" w:color="auto" w:fill="auto"/>
            <w:vAlign w:val="center"/>
          </w:tcPr>
          <w:p w:rsidR="00D60C27" w:rsidRPr="00BD6C8A" w:rsidRDefault="00D60C27" w:rsidP="000B18B2">
            <w:pPr>
              <w:pStyle w:val="Tabletext"/>
              <w:keepNext/>
              <w:rPr>
                <w:rFonts w:ascii="Times" w:hAnsi="Times"/>
              </w:rPr>
            </w:pPr>
            <w:r w:rsidRPr="00BD6C8A">
              <w:t>Number of scripts dispensed</w:t>
            </w:r>
          </w:p>
        </w:tc>
        <w:tc>
          <w:tcPr>
            <w:tcW w:w="647" w:type="pct"/>
            <w:shd w:val="clear" w:color="auto" w:fill="auto"/>
            <w:vAlign w:val="center"/>
          </w:tcPr>
          <w:p w:rsidR="00D60C27" w:rsidRPr="00E40122" w:rsidRDefault="00E40122" w:rsidP="000B18B2">
            <w:pPr>
              <w:pStyle w:val="Tabletext"/>
              <w:keepNext/>
              <w:jc w:val="center"/>
              <w:rPr>
                <w:bCs/>
                <w:color w:val="000000"/>
                <w:highlight w:val="black"/>
              </w:rPr>
            </w:pPr>
            <w:r>
              <w:rPr>
                <w:noProof/>
                <w:color w:val="000000"/>
                <w:szCs w:val="20"/>
                <w:highlight w:val="black"/>
              </w:rPr>
              <w:t>'''''''''''''''''''''</w:t>
            </w:r>
          </w:p>
        </w:tc>
        <w:tc>
          <w:tcPr>
            <w:tcW w:w="647" w:type="pct"/>
            <w:shd w:val="clear" w:color="auto" w:fill="auto"/>
            <w:vAlign w:val="center"/>
          </w:tcPr>
          <w:p w:rsidR="00D60C27" w:rsidRPr="00E40122" w:rsidRDefault="00E40122" w:rsidP="000B18B2">
            <w:pPr>
              <w:pStyle w:val="Tabletext"/>
              <w:keepNext/>
              <w:jc w:val="center"/>
              <w:rPr>
                <w:bCs/>
                <w:color w:val="000000"/>
                <w:highlight w:val="black"/>
              </w:rPr>
            </w:pPr>
            <w:r>
              <w:rPr>
                <w:noProof/>
                <w:color w:val="000000"/>
                <w:szCs w:val="20"/>
                <w:highlight w:val="black"/>
              </w:rPr>
              <w:t>''''''''''''''''''''</w:t>
            </w:r>
          </w:p>
        </w:tc>
        <w:tc>
          <w:tcPr>
            <w:tcW w:w="647" w:type="pct"/>
            <w:shd w:val="clear" w:color="auto" w:fill="auto"/>
            <w:vAlign w:val="center"/>
          </w:tcPr>
          <w:p w:rsidR="00D60C27" w:rsidRPr="00E40122" w:rsidRDefault="00E40122" w:rsidP="000B18B2">
            <w:pPr>
              <w:pStyle w:val="Tabletext"/>
              <w:keepNext/>
              <w:jc w:val="center"/>
              <w:rPr>
                <w:bCs/>
                <w:color w:val="000000"/>
                <w:highlight w:val="black"/>
              </w:rPr>
            </w:pPr>
            <w:r>
              <w:rPr>
                <w:noProof/>
                <w:color w:val="000000"/>
                <w:szCs w:val="20"/>
                <w:highlight w:val="black"/>
              </w:rPr>
              <w:t>''''''''''''''''''''</w:t>
            </w:r>
          </w:p>
        </w:tc>
        <w:tc>
          <w:tcPr>
            <w:tcW w:w="647" w:type="pct"/>
            <w:shd w:val="clear" w:color="auto" w:fill="auto"/>
            <w:vAlign w:val="center"/>
          </w:tcPr>
          <w:p w:rsidR="00D60C27" w:rsidRPr="00E40122" w:rsidRDefault="00E40122" w:rsidP="000B18B2">
            <w:pPr>
              <w:pStyle w:val="Tabletext"/>
              <w:keepNext/>
              <w:jc w:val="center"/>
              <w:rPr>
                <w:bCs/>
                <w:color w:val="000000"/>
                <w:highlight w:val="black"/>
              </w:rPr>
            </w:pPr>
            <w:r>
              <w:rPr>
                <w:noProof/>
                <w:color w:val="000000"/>
                <w:szCs w:val="20"/>
                <w:highlight w:val="black"/>
              </w:rPr>
              <w:t>'''''''''''''''''</w:t>
            </w:r>
          </w:p>
        </w:tc>
        <w:tc>
          <w:tcPr>
            <w:tcW w:w="647" w:type="pct"/>
            <w:shd w:val="clear" w:color="auto" w:fill="auto"/>
            <w:vAlign w:val="center"/>
          </w:tcPr>
          <w:p w:rsidR="00D60C27" w:rsidRPr="00E40122" w:rsidRDefault="00E40122" w:rsidP="000B18B2">
            <w:pPr>
              <w:pStyle w:val="Tabletext"/>
              <w:keepNext/>
              <w:jc w:val="center"/>
              <w:rPr>
                <w:bCs/>
                <w:color w:val="000000"/>
                <w:highlight w:val="black"/>
              </w:rPr>
            </w:pPr>
            <w:r>
              <w:rPr>
                <w:noProof/>
                <w:color w:val="000000"/>
                <w:szCs w:val="20"/>
                <w:highlight w:val="black"/>
              </w:rPr>
              <w:t>''''''''''''''''''''</w:t>
            </w:r>
          </w:p>
        </w:tc>
        <w:tc>
          <w:tcPr>
            <w:tcW w:w="646" w:type="pct"/>
            <w:vAlign w:val="center"/>
          </w:tcPr>
          <w:p w:rsidR="00D60C27" w:rsidRPr="00E40122" w:rsidRDefault="00E40122" w:rsidP="000B18B2">
            <w:pPr>
              <w:pStyle w:val="Tabletext"/>
              <w:keepNext/>
              <w:jc w:val="center"/>
              <w:rPr>
                <w:bCs/>
                <w:color w:val="000000"/>
                <w:highlight w:val="black"/>
              </w:rPr>
            </w:pPr>
            <w:r>
              <w:rPr>
                <w:noProof/>
                <w:color w:val="000000"/>
                <w:szCs w:val="20"/>
                <w:highlight w:val="black"/>
              </w:rPr>
              <w:t>''''''''''''''''''''</w:t>
            </w:r>
          </w:p>
        </w:tc>
      </w:tr>
      <w:tr w:rsidR="00D60C27" w:rsidRPr="00BD6C8A" w:rsidTr="006D38A0">
        <w:tc>
          <w:tcPr>
            <w:tcW w:w="5000" w:type="pct"/>
            <w:gridSpan w:val="7"/>
            <w:shd w:val="clear" w:color="auto" w:fill="auto"/>
            <w:vAlign w:val="center"/>
          </w:tcPr>
          <w:p w:rsidR="00D60C27" w:rsidRPr="00BD6C8A" w:rsidRDefault="00D60C27" w:rsidP="000B18B2">
            <w:pPr>
              <w:pStyle w:val="Tabletext"/>
              <w:keepNext/>
              <w:rPr>
                <w:b/>
                <w:bCs/>
                <w:color w:val="000000"/>
              </w:rPr>
            </w:pPr>
            <w:r w:rsidRPr="00BD6C8A">
              <w:rPr>
                <w:b/>
                <w:bCs/>
                <w:color w:val="000000"/>
              </w:rPr>
              <w:t xml:space="preserve">Estimated financial implications of </w:t>
            </w:r>
            <w:proofErr w:type="spellStart"/>
            <w:r w:rsidRPr="00BD6C8A">
              <w:rPr>
                <w:b/>
                <w:bCs/>
                <w:color w:val="000000"/>
              </w:rPr>
              <w:t>exenatide</w:t>
            </w:r>
            <w:proofErr w:type="spellEnd"/>
            <w:r w:rsidRPr="00BD6C8A">
              <w:rPr>
                <w:b/>
                <w:bCs/>
                <w:color w:val="000000"/>
              </w:rPr>
              <w:t xml:space="preserve"> </w:t>
            </w:r>
            <w:proofErr w:type="spellStart"/>
            <w:r w:rsidRPr="00BD6C8A">
              <w:rPr>
                <w:b/>
                <w:bCs/>
                <w:color w:val="000000"/>
              </w:rPr>
              <w:t>autoinjector</w:t>
            </w:r>
            <w:proofErr w:type="spellEnd"/>
          </w:p>
        </w:tc>
      </w:tr>
      <w:tr w:rsidR="00D60C27" w:rsidRPr="00BD6C8A" w:rsidTr="006D38A0">
        <w:tc>
          <w:tcPr>
            <w:tcW w:w="1119" w:type="pct"/>
            <w:shd w:val="clear" w:color="auto" w:fill="auto"/>
            <w:vAlign w:val="center"/>
          </w:tcPr>
          <w:p w:rsidR="00D60C27" w:rsidRPr="00BD6C8A" w:rsidRDefault="00D60C27" w:rsidP="000B18B2">
            <w:pPr>
              <w:pStyle w:val="Tabletext"/>
              <w:keepNext/>
              <w:rPr>
                <w:rFonts w:ascii="Times" w:hAnsi="Times"/>
              </w:rPr>
            </w:pPr>
            <w:r w:rsidRPr="00BD6C8A">
              <w:rPr>
                <w:sz w:val="19"/>
                <w:szCs w:val="19"/>
              </w:rPr>
              <w:t xml:space="preserve">Cost to PBS/RPBS less </w:t>
            </w:r>
            <w:proofErr w:type="spellStart"/>
            <w:r w:rsidRPr="00BD6C8A">
              <w:rPr>
                <w:sz w:val="19"/>
                <w:szCs w:val="19"/>
              </w:rPr>
              <w:t>copayments</w:t>
            </w:r>
            <w:proofErr w:type="spellEnd"/>
            <w:r w:rsidRPr="00BD6C8A">
              <w:rPr>
                <w:sz w:val="19"/>
                <w:szCs w:val="19"/>
              </w:rPr>
              <w:t xml:space="preserve"> (published)</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6" w:type="pct"/>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r>
      <w:tr w:rsidR="00D60C27" w:rsidRPr="00BD6C8A" w:rsidTr="006D38A0">
        <w:tc>
          <w:tcPr>
            <w:tcW w:w="1119" w:type="pct"/>
            <w:shd w:val="clear" w:color="auto" w:fill="auto"/>
            <w:vAlign w:val="center"/>
          </w:tcPr>
          <w:p w:rsidR="00D60C27" w:rsidRPr="00BD6C8A" w:rsidRDefault="00D60C27" w:rsidP="000B18B2">
            <w:pPr>
              <w:pStyle w:val="Tabletext"/>
              <w:keepNext/>
              <w:rPr>
                <w:sz w:val="19"/>
                <w:szCs w:val="19"/>
              </w:rPr>
            </w:pPr>
            <w:r w:rsidRPr="00BD6C8A">
              <w:rPr>
                <w:sz w:val="19"/>
                <w:szCs w:val="19"/>
              </w:rPr>
              <w:t xml:space="preserve">Cost to PBS/RPBS less </w:t>
            </w:r>
            <w:proofErr w:type="spellStart"/>
            <w:r w:rsidRPr="00BD6C8A">
              <w:rPr>
                <w:sz w:val="19"/>
                <w:szCs w:val="19"/>
              </w:rPr>
              <w:t>copayments</w:t>
            </w:r>
            <w:proofErr w:type="spellEnd"/>
            <w:r w:rsidRPr="00BD6C8A">
              <w:rPr>
                <w:sz w:val="19"/>
                <w:szCs w:val="19"/>
              </w:rPr>
              <w:t xml:space="preserve"> (effective)</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6" w:type="pct"/>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r>
      <w:tr w:rsidR="00D60C27" w:rsidRPr="00BD6C8A" w:rsidTr="006D38A0">
        <w:tc>
          <w:tcPr>
            <w:tcW w:w="5000" w:type="pct"/>
            <w:gridSpan w:val="7"/>
            <w:shd w:val="clear" w:color="auto" w:fill="auto"/>
            <w:vAlign w:val="center"/>
          </w:tcPr>
          <w:p w:rsidR="00D60C27" w:rsidRPr="00BD6C8A" w:rsidRDefault="00D60C27" w:rsidP="000B18B2">
            <w:pPr>
              <w:pStyle w:val="Tabletext"/>
              <w:keepNext/>
              <w:rPr>
                <w:bCs/>
                <w:color w:val="000000"/>
              </w:rPr>
            </w:pPr>
            <w:r w:rsidRPr="00BD6C8A">
              <w:rPr>
                <w:b/>
                <w:bCs/>
                <w:color w:val="000000"/>
              </w:rPr>
              <w:t xml:space="preserve">Estimated financial implications for </w:t>
            </w:r>
            <w:proofErr w:type="spellStart"/>
            <w:r w:rsidRPr="00BD6C8A">
              <w:rPr>
                <w:b/>
                <w:bCs/>
                <w:color w:val="000000"/>
              </w:rPr>
              <w:t>exenatide</w:t>
            </w:r>
            <w:proofErr w:type="spellEnd"/>
            <w:r w:rsidRPr="00BD6C8A">
              <w:rPr>
                <w:b/>
                <w:bCs/>
                <w:color w:val="000000"/>
              </w:rPr>
              <w:t xml:space="preserve"> DCP replaced</w:t>
            </w:r>
          </w:p>
        </w:tc>
      </w:tr>
      <w:tr w:rsidR="00D60C27" w:rsidRPr="00BD6C8A" w:rsidTr="006D38A0">
        <w:tc>
          <w:tcPr>
            <w:tcW w:w="1119" w:type="pct"/>
            <w:shd w:val="clear" w:color="auto" w:fill="auto"/>
            <w:vAlign w:val="center"/>
          </w:tcPr>
          <w:p w:rsidR="00D60C27" w:rsidRPr="00BD6C8A" w:rsidRDefault="00D60C27" w:rsidP="000B18B2">
            <w:pPr>
              <w:pStyle w:val="Tabletext"/>
              <w:keepNext/>
              <w:rPr>
                <w:sz w:val="19"/>
                <w:szCs w:val="19"/>
              </w:rPr>
            </w:pPr>
            <w:r w:rsidRPr="00BD6C8A">
              <w:rPr>
                <w:sz w:val="19"/>
                <w:szCs w:val="19"/>
              </w:rPr>
              <w:t xml:space="preserve">Cost to PBS/RPBS less </w:t>
            </w:r>
            <w:proofErr w:type="spellStart"/>
            <w:r w:rsidRPr="00BD6C8A">
              <w:rPr>
                <w:sz w:val="19"/>
                <w:szCs w:val="19"/>
              </w:rPr>
              <w:t>copayments</w:t>
            </w:r>
            <w:proofErr w:type="spellEnd"/>
            <w:r w:rsidRPr="00BD6C8A">
              <w:rPr>
                <w:sz w:val="19"/>
                <w:szCs w:val="19"/>
              </w:rPr>
              <w:t xml:space="preserve"> (published)</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c>
          <w:tcPr>
            <w:tcW w:w="646" w:type="pct"/>
            <w:vAlign w:val="center"/>
          </w:tcPr>
          <w:p w:rsidR="00D60C27" w:rsidRPr="00BD6C8A" w:rsidRDefault="00D60C27" w:rsidP="000B18B2">
            <w:pPr>
              <w:pStyle w:val="Tabletext"/>
              <w:keepNext/>
              <w:jc w:val="center"/>
              <w:rPr>
                <w:bCs/>
                <w:color w:val="000000"/>
              </w:rPr>
            </w:pPr>
            <w:r w:rsidRPr="00BD6C8A">
              <w:t>$</w:t>
            </w:r>
            <w:r w:rsidR="00E40122">
              <w:rPr>
                <w:noProof/>
                <w:color w:val="000000"/>
                <w:highlight w:val="black"/>
              </w:rPr>
              <w:t>''''''''''''''''''''''''</w:t>
            </w:r>
          </w:p>
        </w:tc>
      </w:tr>
      <w:tr w:rsidR="00D60C27" w:rsidRPr="00BD6C8A" w:rsidTr="006D38A0">
        <w:tc>
          <w:tcPr>
            <w:tcW w:w="1119" w:type="pct"/>
            <w:shd w:val="clear" w:color="auto" w:fill="auto"/>
            <w:vAlign w:val="center"/>
          </w:tcPr>
          <w:p w:rsidR="00D60C27" w:rsidRPr="00BD6C8A" w:rsidRDefault="00D60C27" w:rsidP="000B18B2">
            <w:pPr>
              <w:pStyle w:val="Tabletext"/>
              <w:keepNext/>
              <w:rPr>
                <w:sz w:val="19"/>
                <w:szCs w:val="19"/>
              </w:rPr>
            </w:pPr>
            <w:r w:rsidRPr="00BD6C8A">
              <w:rPr>
                <w:sz w:val="19"/>
                <w:szCs w:val="19"/>
              </w:rPr>
              <w:t xml:space="preserve">Cost to PBS/RPBS less </w:t>
            </w:r>
            <w:proofErr w:type="spellStart"/>
            <w:r w:rsidRPr="00BD6C8A">
              <w:rPr>
                <w:sz w:val="19"/>
                <w:szCs w:val="19"/>
              </w:rPr>
              <w:t>copayments</w:t>
            </w:r>
            <w:proofErr w:type="spellEnd"/>
            <w:r w:rsidRPr="00BD6C8A">
              <w:rPr>
                <w:sz w:val="19"/>
                <w:szCs w:val="19"/>
              </w:rPr>
              <w:t xml:space="preserve"> (effective)</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c>
          <w:tcPr>
            <w:tcW w:w="646" w:type="pct"/>
            <w:vAlign w:val="center"/>
          </w:tcPr>
          <w:p w:rsidR="00D60C27" w:rsidRPr="00BD6C8A" w:rsidRDefault="00D60C27" w:rsidP="000B18B2">
            <w:pPr>
              <w:pStyle w:val="Tabletext"/>
              <w:keepNext/>
              <w:jc w:val="center"/>
              <w:rPr>
                <w:bCs/>
                <w:color w:val="000000"/>
              </w:rPr>
            </w:pPr>
            <w:r w:rsidRPr="00BD6C8A">
              <w:rPr>
                <w:szCs w:val="20"/>
              </w:rPr>
              <w:t>$</w:t>
            </w:r>
            <w:r w:rsidR="00E40122">
              <w:rPr>
                <w:noProof/>
                <w:color w:val="000000"/>
                <w:szCs w:val="20"/>
                <w:highlight w:val="black"/>
              </w:rPr>
              <w:t>'''''''''''''''''''''''''''</w:t>
            </w:r>
          </w:p>
        </w:tc>
      </w:tr>
      <w:tr w:rsidR="00D60C27" w:rsidRPr="00BD6C8A" w:rsidTr="006D38A0">
        <w:tc>
          <w:tcPr>
            <w:tcW w:w="5000" w:type="pct"/>
            <w:gridSpan w:val="7"/>
            <w:shd w:val="clear" w:color="auto" w:fill="auto"/>
            <w:vAlign w:val="center"/>
          </w:tcPr>
          <w:p w:rsidR="00D60C27" w:rsidRPr="00BD6C8A" w:rsidRDefault="00D60C27" w:rsidP="000B18B2">
            <w:pPr>
              <w:pStyle w:val="Tabletext"/>
              <w:keepNext/>
              <w:rPr>
                <w:b/>
                <w:bCs/>
                <w:color w:val="000000"/>
              </w:rPr>
            </w:pPr>
            <w:r w:rsidRPr="00BD6C8A">
              <w:rPr>
                <w:b/>
                <w:bCs/>
                <w:color w:val="000000"/>
              </w:rPr>
              <w:t>Net financial implications</w:t>
            </w:r>
          </w:p>
        </w:tc>
      </w:tr>
      <w:tr w:rsidR="00D60C27" w:rsidRPr="00BD6C8A" w:rsidTr="006D38A0">
        <w:tc>
          <w:tcPr>
            <w:tcW w:w="1119" w:type="pct"/>
            <w:shd w:val="clear" w:color="auto" w:fill="auto"/>
            <w:vAlign w:val="center"/>
          </w:tcPr>
          <w:p w:rsidR="00D60C27" w:rsidRPr="00BD6C8A" w:rsidRDefault="00D60C27" w:rsidP="000B18B2">
            <w:pPr>
              <w:pStyle w:val="Tabletext"/>
              <w:keepNext/>
              <w:rPr>
                <w:sz w:val="19"/>
                <w:szCs w:val="19"/>
              </w:rPr>
            </w:pPr>
            <w:r w:rsidRPr="00BD6C8A">
              <w:rPr>
                <w:szCs w:val="20"/>
              </w:rPr>
              <w:t>Net change in prescription</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6" w:type="pct"/>
            <w:vAlign w:val="center"/>
          </w:tcPr>
          <w:p w:rsidR="00D60C27" w:rsidRPr="00BD6C8A" w:rsidRDefault="00D60C27" w:rsidP="000B18B2">
            <w:pPr>
              <w:pStyle w:val="Tabletext"/>
              <w:keepNext/>
              <w:jc w:val="center"/>
              <w:rPr>
                <w:bCs/>
                <w:color w:val="000000"/>
              </w:rPr>
            </w:pPr>
            <w:r w:rsidRPr="00BD6C8A">
              <w:rPr>
                <w:szCs w:val="20"/>
              </w:rPr>
              <w:t>0</w:t>
            </w:r>
          </w:p>
        </w:tc>
      </w:tr>
      <w:tr w:rsidR="00D60C27" w:rsidRPr="00BD6C8A" w:rsidTr="006D38A0">
        <w:tc>
          <w:tcPr>
            <w:tcW w:w="1119" w:type="pct"/>
            <w:shd w:val="clear" w:color="auto" w:fill="auto"/>
            <w:vAlign w:val="center"/>
          </w:tcPr>
          <w:p w:rsidR="00D60C27" w:rsidRPr="00BD6C8A" w:rsidRDefault="00D60C27" w:rsidP="000B18B2">
            <w:pPr>
              <w:pStyle w:val="Tabletext"/>
              <w:keepNext/>
              <w:rPr>
                <w:rFonts w:ascii="Times" w:hAnsi="Times"/>
              </w:rPr>
            </w:pPr>
            <w:r w:rsidRPr="00BD6C8A">
              <w:rPr>
                <w:szCs w:val="20"/>
              </w:rPr>
              <w:t>Net change in MBS</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6" w:type="pct"/>
            <w:vAlign w:val="center"/>
          </w:tcPr>
          <w:p w:rsidR="00D60C27" w:rsidRPr="00BD6C8A" w:rsidRDefault="00D60C27" w:rsidP="000B18B2">
            <w:pPr>
              <w:pStyle w:val="Tabletext"/>
              <w:keepNext/>
              <w:jc w:val="center"/>
              <w:rPr>
                <w:bCs/>
                <w:color w:val="000000"/>
              </w:rPr>
            </w:pPr>
            <w:r w:rsidRPr="00BD6C8A">
              <w:rPr>
                <w:szCs w:val="20"/>
              </w:rPr>
              <w:t>$0</w:t>
            </w:r>
          </w:p>
        </w:tc>
      </w:tr>
      <w:tr w:rsidR="00D60C27" w:rsidRPr="00BD6C8A" w:rsidTr="006D38A0">
        <w:tc>
          <w:tcPr>
            <w:tcW w:w="1119" w:type="pct"/>
            <w:shd w:val="clear" w:color="auto" w:fill="auto"/>
            <w:vAlign w:val="center"/>
          </w:tcPr>
          <w:p w:rsidR="00D60C27" w:rsidRPr="00BD6C8A" w:rsidRDefault="00D60C27" w:rsidP="000B18B2">
            <w:pPr>
              <w:pStyle w:val="Tabletext"/>
              <w:keepNext/>
              <w:rPr>
                <w:sz w:val="19"/>
                <w:szCs w:val="19"/>
              </w:rPr>
            </w:pPr>
            <w:r w:rsidRPr="00BD6C8A">
              <w:rPr>
                <w:szCs w:val="20"/>
              </w:rPr>
              <w:t>Net impact for health budget</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7" w:type="pct"/>
            <w:shd w:val="clear" w:color="auto" w:fill="auto"/>
            <w:vAlign w:val="center"/>
          </w:tcPr>
          <w:p w:rsidR="00D60C27" w:rsidRPr="00BD6C8A" w:rsidRDefault="00D60C27" w:rsidP="000B18B2">
            <w:pPr>
              <w:pStyle w:val="Tabletext"/>
              <w:keepNext/>
              <w:jc w:val="center"/>
              <w:rPr>
                <w:bCs/>
                <w:color w:val="000000"/>
              </w:rPr>
            </w:pPr>
            <w:r w:rsidRPr="00BD6C8A">
              <w:rPr>
                <w:szCs w:val="20"/>
              </w:rPr>
              <w:t>$0</w:t>
            </w:r>
          </w:p>
        </w:tc>
        <w:tc>
          <w:tcPr>
            <w:tcW w:w="646" w:type="pct"/>
            <w:vAlign w:val="center"/>
          </w:tcPr>
          <w:p w:rsidR="00D60C27" w:rsidRPr="00BD6C8A" w:rsidRDefault="00D60C27" w:rsidP="000B18B2">
            <w:pPr>
              <w:pStyle w:val="Tabletext"/>
              <w:keepNext/>
              <w:jc w:val="center"/>
              <w:rPr>
                <w:bCs/>
                <w:color w:val="000000"/>
              </w:rPr>
            </w:pPr>
            <w:r w:rsidRPr="00BD6C8A">
              <w:rPr>
                <w:szCs w:val="20"/>
              </w:rPr>
              <w:t>$0</w:t>
            </w:r>
          </w:p>
        </w:tc>
      </w:tr>
    </w:tbl>
    <w:p w:rsidR="00D60C27" w:rsidRPr="00BD6C8A" w:rsidRDefault="00D60C27" w:rsidP="000B18B2">
      <w:pPr>
        <w:widowControl/>
        <w:rPr>
          <w:rFonts w:ascii="Arial Narrow" w:hAnsi="Arial Narrow"/>
          <w:sz w:val="18"/>
          <w:szCs w:val="18"/>
        </w:rPr>
      </w:pPr>
      <w:r w:rsidRPr="00BD6C8A">
        <w:rPr>
          <w:rFonts w:ascii="Arial Narrow" w:hAnsi="Arial Narrow"/>
          <w:sz w:val="18"/>
          <w:szCs w:val="18"/>
        </w:rPr>
        <w:t xml:space="preserve">Source: Table 4-4, p69, table 4-5, p70, table 4-6, p71, table 4-7 and 4-8, p72, table 4-10, p73 of the submission </w:t>
      </w:r>
    </w:p>
    <w:p w:rsidR="00D60C27" w:rsidRPr="00BD6C8A" w:rsidRDefault="00D60C27" w:rsidP="00592178">
      <w:pPr>
        <w:pStyle w:val="ListParagraph"/>
        <w:widowControl/>
        <w:numPr>
          <w:ilvl w:val="1"/>
          <w:numId w:val="1"/>
        </w:numPr>
        <w:spacing w:before="120"/>
      </w:pPr>
      <w:bookmarkStart w:id="22" w:name="_GoBack"/>
      <w:bookmarkEnd w:id="22"/>
      <w:r w:rsidRPr="00BD6C8A">
        <w:t xml:space="preserve">Moreover, the submission may have underestimated the annual growth rate of </w:t>
      </w:r>
      <w:proofErr w:type="spellStart"/>
      <w:r w:rsidRPr="00BD6C8A">
        <w:t>exenatide</w:t>
      </w:r>
      <w:proofErr w:type="spellEnd"/>
      <w:r w:rsidRPr="00BD6C8A">
        <w:t xml:space="preserve"> once weekly, though this may have minimal impact on the net financial </w:t>
      </w:r>
      <w:r w:rsidR="00DE4806" w:rsidRPr="00FF70E5">
        <w:t>implication</w:t>
      </w:r>
      <w:r w:rsidR="006D38A0" w:rsidRPr="00FF70E5">
        <w:t>s</w:t>
      </w:r>
      <w:r w:rsidR="00DE4806" w:rsidRPr="00FF70E5">
        <w:t xml:space="preserve"> </w:t>
      </w:r>
      <w:r w:rsidR="00E40122">
        <w:rPr>
          <w:noProof/>
          <w:color w:val="000000"/>
          <w:highlight w:val="black"/>
        </w:rPr>
        <w:t>'''' '''''' '''''''''''''' '''' ''''''''''''''''''' '''''' ''''''''''''''''''''''' ''''''''''''''''' ''''''''' ''''''''''''''' '''''''' ''' ''''''''''''''''' ''''''''' '''''''''''' ''''''''''''''''''''''' ''' ''''''''''''''''''''</w:t>
      </w:r>
      <w:r w:rsidR="008E3628" w:rsidRPr="00FF70E5">
        <w:t xml:space="preserve">. </w:t>
      </w:r>
      <w:r w:rsidRPr="00FF70E5">
        <w:t>Further</w:t>
      </w:r>
      <w:r w:rsidRPr="00BD6C8A">
        <w:t xml:space="preserve">, there may potentially be growth in the </w:t>
      </w:r>
      <w:proofErr w:type="spellStart"/>
      <w:r w:rsidRPr="00BD6C8A">
        <w:t>exenatide</w:t>
      </w:r>
      <w:proofErr w:type="spellEnd"/>
      <w:r w:rsidRPr="00BD6C8A">
        <w:t xml:space="preserve"> once weekly market if the benefits of the </w:t>
      </w:r>
      <w:proofErr w:type="spellStart"/>
      <w:r w:rsidRPr="00BD6C8A">
        <w:t>autoinjector</w:t>
      </w:r>
      <w:proofErr w:type="spellEnd"/>
      <w:r w:rsidRPr="00BD6C8A">
        <w:t xml:space="preserve"> formulation (e.g. fewer shakes and less risk of needle stick injury) are relevant to the patient.</w:t>
      </w:r>
      <w:r w:rsidR="00605337" w:rsidRPr="00BD6C8A">
        <w:t xml:space="preserve"> </w:t>
      </w:r>
      <w:r w:rsidRPr="00BD6C8A">
        <w:t xml:space="preserve">Overall, the submission’s estimations of the financial impact for the listing of </w:t>
      </w:r>
      <w:proofErr w:type="spellStart"/>
      <w:r w:rsidRPr="00BD6C8A">
        <w:t>exenatide</w:t>
      </w:r>
      <w:proofErr w:type="spellEnd"/>
      <w:r w:rsidRPr="00BD6C8A">
        <w:t xml:space="preserve"> </w:t>
      </w:r>
      <w:proofErr w:type="spellStart"/>
      <w:r w:rsidRPr="00BD6C8A">
        <w:t>autoinjector</w:t>
      </w:r>
      <w:proofErr w:type="spellEnd"/>
      <w:r w:rsidRPr="00BD6C8A">
        <w:t xml:space="preserve"> </w:t>
      </w:r>
      <w:r w:rsidR="001A58AD" w:rsidRPr="00BD6C8A">
        <w:t>we</w:t>
      </w:r>
      <w:r w:rsidRPr="00BD6C8A">
        <w:t xml:space="preserve">re likely to underestimated, though the magnitude of the underestimate </w:t>
      </w:r>
      <w:r w:rsidR="001A58AD" w:rsidRPr="00BD6C8A">
        <w:t>wa</w:t>
      </w:r>
      <w:r w:rsidRPr="00BD6C8A">
        <w:t>s unclear.</w:t>
      </w:r>
    </w:p>
    <w:p w:rsidR="00EE20EB" w:rsidRPr="00BD6C8A" w:rsidRDefault="0000199C" w:rsidP="00592178">
      <w:pPr>
        <w:pStyle w:val="ListParagraph"/>
        <w:widowControl/>
        <w:numPr>
          <w:ilvl w:val="1"/>
          <w:numId w:val="1"/>
        </w:numPr>
        <w:spacing w:before="120"/>
      </w:pPr>
      <w:r w:rsidRPr="00BD6C8A">
        <w:rPr>
          <w:rFonts w:asciiTheme="minorHAnsi" w:hAnsiTheme="minorHAnsi"/>
          <w:bCs/>
        </w:rPr>
        <w:t xml:space="preserve">At year 6, the estimated number of </w:t>
      </w:r>
      <w:r w:rsidR="006E37A6" w:rsidRPr="00BD6C8A">
        <w:rPr>
          <w:rFonts w:asciiTheme="minorHAnsi" w:hAnsiTheme="minorHAnsi"/>
          <w:bCs/>
        </w:rPr>
        <w:t xml:space="preserve">scripts dispensed was </w:t>
      </w:r>
      <w:r w:rsidR="002C067C">
        <w:rPr>
          <w:szCs w:val="20"/>
        </w:rPr>
        <w:t xml:space="preserve">over 200,000 </w:t>
      </w:r>
      <w:r w:rsidR="006E37A6" w:rsidRPr="00BD6C8A">
        <w:rPr>
          <w:rFonts w:asciiTheme="minorHAnsi" w:hAnsiTheme="minorHAnsi"/>
          <w:bCs/>
        </w:rPr>
        <w:t>and the cost to the PBS was estimated to b</w:t>
      </w:r>
      <w:r w:rsidRPr="00BD6C8A">
        <w:rPr>
          <w:rFonts w:asciiTheme="minorHAnsi" w:hAnsiTheme="minorHAnsi"/>
          <w:bCs/>
        </w:rPr>
        <w:t xml:space="preserve">e </w:t>
      </w:r>
      <w:r w:rsidR="002C067C">
        <w:rPr>
          <w:rFonts w:asciiTheme="minorHAnsi" w:hAnsiTheme="minorHAnsi"/>
          <w:bCs/>
        </w:rPr>
        <w:t>$20 - $</w:t>
      </w:r>
      <w:r w:rsidR="003A72A6">
        <w:rPr>
          <w:rFonts w:asciiTheme="minorHAnsi" w:hAnsiTheme="minorHAnsi"/>
          <w:bCs/>
        </w:rPr>
        <w:t>6</w:t>
      </w:r>
      <w:r w:rsidR="002C067C">
        <w:rPr>
          <w:rFonts w:asciiTheme="minorHAnsi" w:hAnsiTheme="minorHAnsi"/>
          <w:bCs/>
        </w:rPr>
        <w:t>0 million</w:t>
      </w:r>
      <w:r w:rsidR="0081263A" w:rsidRPr="00BD6C8A">
        <w:rPr>
          <w:szCs w:val="20"/>
        </w:rPr>
        <w:t xml:space="preserve"> (effective)</w:t>
      </w:r>
      <w:r w:rsidRPr="00BD6C8A">
        <w:rPr>
          <w:rFonts w:ascii="Arial" w:hAnsi="Arial"/>
          <w:bCs/>
          <w:sz w:val="22"/>
        </w:rPr>
        <w:t xml:space="preserve">. </w:t>
      </w:r>
    </w:p>
    <w:p w:rsidR="00D60C27" w:rsidRPr="00BD6C8A" w:rsidRDefault="00D60C27" w:rsidP="00592178">
      <w:pPr>
        <w:pStyle w:val="Heading2"/>
        <w:widowControl/>
        <w:spacing w:before="120"/>
      </w:pPr>
      <w:bookmarkStart w:id="23" w:name="_Toc535854214"/>
      <w:r w:rsidRPr="00BD6C8A">
        <w:lastRenderedPageBreak/>
        <w:t>Quality Use of Medicines</w:t>
      </w:r>
      <w:bookmarkEnd w:id="23"/>
    </w:p>
    <w:p w:rsidR="00D60C27" w:rsidRPr="00BD6C8A" w:rsidRDefault="00D60C27" w:rsidP="00592178">
      <w:pPr>
        <w:pStyle w:val="ListParagraph"/>
        <w:widowControl/>
        <w:numPr>
          <w:ilvl w:val="1"/>
          <w:numId w:val="1"/>
        </w:numPr>
        <w:spacing w:before="120"/>
      </w:pPr>
      <w:r w:rsidRPr="00BD6C8A">
        <w:t xml:space="preserve">The </w:t>
      </w:r>
      <w:r w:rsidR="00A814D3" w:rsidRPr="00BD6C8A">
        <w:t xml:space="preserve">submission </w:t>
      </w:r>
      <w:r w:rsidRPr="00BD6C8A">
        <w:t>propose</w:t>
      </w:r>
      <w:r w:rsidR="00EE20EB" w:rsidRPr="00BD6C8A">
        <w:t>d</w:t>
      </w:r>
      <w:r w:rsidRPr="00BD6C8A">
        <w:t xml:space="preserve"> that the following actions w</w:t>
      </w:r>
      <w:r w:rsidR="0000199C" w:rsidRPr="00BD6C8A">
        <w:t>ould</w:t>
      </w:r>
      <w:r w:rsidRPr="00BD6C8A">
        <w:t xml:space="preserve"> be undertaken to ensure quality use of medicines</w:t>
      </w:r>
      <w:r w:rsidR="00D63061" w:rsidRPr="00BD6C8A">
        <w:t xml:space="preserve">, </w:t>
      </w:r>
      <w:r w:rsidR="00D968BA" w:rsidRPr="00BD6C8A">
        <w:t>particularly</w:t>
      </w:r>
      <w:r w:rsidR="00D63061" w:rsidRPr="00BD6C8A">
        <w:t xml:space="preserve"> for the period of time where both forms of the medicine will be PBS listed</w:t>
      </w:r>
      <w:r w:rsidRPr="00BD6C8A">
        <w:t>:</w:t>
      </w:r>
    </w:p>
    <w:p w:rsidR="00D60C27" w:rsidRPr="00BD6C8A" w:rsidRDefault="00D60C27" w:rsidP="00592178">
      <w:pPr>
        <w:pStyle w:val="ListParagraph"/>
        <w:widowControl/>
        <w:numPr>
          <w:ilvl w:val="0"/>
          <w:numId w:val="5"/>
        </w:numPr>
        <w:spacing w:before="120"/>
        <w:ind w:left="993" w:hanging="284"/>
      </w:pPr>
      <w:r w:rsidRPr="00BD6C8A">
        <w:t xml:space="preserve">A letter to prescribers communicating key features of the </w:t>
      </w:r>
      <w:proofErr w:type="spellStart"/>
      <w:r w:rsidRPr="00BD6C8A">
        <w:t>exenatide</w:t>
      </w:r>
      <w:proofErr w:type="spellEnd"/>
      <w:r w:rsidRPr="00BD6C8A">
        <w:t xml:space="preserve"> </w:t>
      </w:r>
      <w:proofErr w:type="spellStart"/>
      <w:r w:rsidRPr="00BD6C8A">
        <w:t>autoinjector</w:t>
      </w:r>
      <w:proofErr w:type="spellEnd"/>
      <w:r w:rsidRPr="00BD6C8A">
        <w:t xml:space="preserve"> along with the TGA approved PI and PBS prescribing information following PBS-listing;</w:t>
      </w:r>
    </w:p>
    <w:p w:rsidR="00D60C27" w:rsidRPr="00BD6C8A" w:rsidRDefault="00D60C27" w:rsidP="00592178">
      <w:pPr>
        <w:pStyle w:val="ListParagraph"/>
        <w:widowControl/>
        <w:numPr>
          <w:ilvl w:val="0"/>
          <w:numId w:val="5"/>
        </w:numPr>
        <w:spacing w:before="120"/>
        <w:ind w:left="993" w:hanging="284"/>
      </w:pPr>
      <w:r w:rsidRPr="00BD6C8A">
        <w:t xml:space="preserve">Sales representatives and medical personnel will be trained on optimal use of the </w:t>
      </w:r>
      <w:proofErr w:type="spellStart"/>
      <w:r w:rsidRPr="00BD6C8A">
        <w:t>exenatide</w:t>
      </w:r>
      <w:proofErr w:type="spellEnd"/>
      <w:r w:rsidRPr="00BD6C8A">
        <w:t xml:space="preserve"> </w:t>
      </w:r>
      <w:proofErr w:type="spellStart"/>
      <w:r w:rsidRPr="00BD6C8A">
        <w:t>autoinjector</w:t>
      </w:r>
      <w:proofErr w:type="spellEnd"/>
      <w:r w:rsidRPr="00BD6C8A">
        <w:t xml:space="preserve"> and will be responsible for educating prescribers and diabetes educators;</w:t>
      </w:r>
    </w:p>
    <w:p w:rsidR="00D60C27" w:rsidRPr="00BD6C8A" w:rsidRDefault="00D60C27" w:rsidP="00592178">
      <w:pPr>
        <w:pStyle w:val="ListParagraph"/>
        <w:widowControl/>
        <w:numPr>
          <w:ilvl w:val="0"/>
          <w:numId w:val="5"/>
        </w:numPr>
        <w:spacing w:before="120"/>
        <w:ind w:left="993" w:hanging="284"/>
      </w:pPr>
      <w:r w:rsidRPr="00BD6C8A">
        <w:t xml:space="preserve">Promotional material in line with Medicines Australia Code of Conduct will be distributed; and </w:t>
      </w:r>
    </w:p>
    <w:p w:rsidR="00D60C27" w:rsidRPr="00BD6C8A" w:rsidRDefault="00D60C27" w:rsidP="00592178">
      <w:pPr>
        <w:pStyle w:val="ListParagraph"/>
        <w:widowControl/>
        <w:numPr>
          <w:ilvl w:val="0"/>
          <w:numId w:val="5"/>
        </w:numPr>
        <w:spacing w:before="120"/>
        <w:ind w:left="993" w:hanging="284"/>
      </w:pPr>
      <w:r w:rsidRPr="00BD6C8A">
        <w:t xml:space="preserve">Sponsored medical education programmes will be updated to include </w:t>
      </w:r>
      <w:proofErr w:type="spellStart"/>
      <w:r w:rsidRPr="00BD6C8A">
        <w:t>exenatide</w:t>
      </w:r>
      <w:proofErr w:type="spellEnd"/>
      <w:r w:rsidRPr="00BD6C8A">
        <w:t xml:space="preserve"> once weekly </w:t>
      </w:r>
      <w:proofErr w:type="spellStart"/>
      <w:r w:rsidRPr="00BD6C8A">
        <w:t>autoinjector</w:t>
      </w:r>
      <w:proofErr w:type="spellEnd"/>
      <w:r w:rsidR="007B4278" w:rsidRPr="00BD6C8A">
        <w:t>.</w:t>
      </w:r>
    </w:p>
    <w:p w:rsidR="00D60C27" w:rsidRPr="00BD6C8A" w:rsidRDefault="00D60C27" w:rsidP="00592178">
      <w:pPr>
        <w:widowControl/>
        <w:spacing w:before="120" w:after="120"/>
        <w:ind w:firstLine="709"/>
      </w:pPr>
      <w:r w:rsidRPr="00BD6C8A">
        <w:t xml:space="preserve">Further, post marketing </w:t>
      </w:r>
      <w:r w:rsidR="004C0B0B" w:rsidRPr="00BD6C8A">
        <w:t>pharmacovigilance</w:t>
      </w:r>
      <w:r w:rsidRPr="00BD6C8A">
        <w:t xml:space="preserve"> activities will be conducted.</w:t>
      </w:r>
      <w:r w:rsidR="00605337" w:rsidRPr="00BD6C8A">
        <w:t xml:space="preserve"> </w:t>
      </w:r>
    </w:p>
    <w:p w:rsidR="00D60C27" w:rsidRPr="00BD6C8A" w:rsidRDefault="00D60C27" w:rsidP="00592178">
      <w:pPr>
        <w:pStyle w:val="Heading2"/>
        <w:widowControl/>
        <w:spacing w:before="120"/>
      </w:pPr>
      <w:bookmarkStart w:id="24" w:name="_Toc535854215"/>
      <w:r w:rsidRPr="00BD6C8A">
        <w:t>Financial Management – Risk Sharing Arrangements</w:t>
      </w:r>
      <w:bookmarkEnd w:id="24"/>
    </w:p>
    <w:p w:rsidR="00EA7083" w:rsidRPr="00BD6C8A" w:rsidRDefault="00D60C27" w:rsidP="00592178">
      <w:pPr>
        <w:pStyle w:val="ListParagraph"/>
        <w:widowControl/>
        <w:numPr>
          <w:ilvl w:val="1"/>
          <w:numId w:val="1"/>
        </w:numPr>
        <w:spacing w:before="120"/>
        <w:rPr>
          <w:rFonts w:asciiTheme="minorHAnsi" w:hAnsiTheme="minorHAnsi"/>
          <w:bCs/>
          <w:i/>
        </w:rPr>
      </w:pPr>
      <w:r w:rsidRPr="00BD6C8A">
        <w:t xml:space="preserve">The sponsor </w:t>
      </w:r>
      <w:r w:rsidR="00EE20EB" w:rsidRPr="00BD6C8A">
        <w:t>sought</w:t>
      </w:r>
      <w:r w:rsidR="00A814D3" w:rsidRPr="00BD6C8A">
        <w:t xml:space="preserve"> </w:t>
      </w:r>
      <w:r w:rsidRPr="00BD6C8A">
        <w:t xml:space="preserve">a special pricing arrangement (SPA) for </w:t>
      </w:r>
      <w:proofErr w:type="spellStart"/>
      <w:r w:rsidRPr="00BD6C8A">
        <w:t>exenatide</w:t>
      </w:r>
      <w:proofErr w:type="spellEnd"/>
      <w:r w:rsidRPr="00BD6C8A">
        <w:t xml:space="preserve"> once weekly </w:t>
      </w:r>
      <w:proofErr w:type="spellStart"/>
      <w:r w:rsidRPr="00BD6C8A">
        <w:t>autoinjector</w:t>
      </w:r>
      <w:proofErr w:type="spellEnd"/>
      <w:r w:rsidRPr="00BD6C8A">
        <w:t xml:space="preserve"> at an effective </w:t>
      </w:r>
      <w:r w:rsidR="00C61979">
        <w:t xml:space="preserve">ex-manufacturer </w:t>
      </w:r>
      <w:r w:rsidRPr="00BD6C8A">
        <w:t>price of $</w:t>
      </w:r>
      <w:r w:rsidR="00E40122">
        <w:rPr>
          <w:noProof/>
          <w:color w:val="000000"/>
          <w:highlight w:val="black"/>
        </w:rPr>
        <w:t>''''''''''</w:t>
      </w:r>
      <w:r w:rsidRPr="00BD6C8A">
        <w:t xml:space="preserve">, which is the same as current </w:t>
      </w:r>
      <w:r w:rsidR="0064166C">
        <w:t>effective ex-manufacturer price</w:t>
      </w:r>
      <w:r w:rsidR="0064166C" w:rsidRPr="00BD6C8A">
        <w:t xml:space="preserve"> </w:t>
      </w:r>
      <w:r w:rsidRPr="00BD6C8A">
        <w:t xml:space="preserve">for </w:t>
      </w:r>
      <w:proofErr w:type="spellStart"/>
      <w:r w:rsidRPr="00BD6C8A">
        <w:t>exenatide</w:t>
      </w:r>
      <w:proofErr w:type="spellEnd"/>
      <w:r w:rsidRPr="00BD6C8A">
        <w:t xml:space="preserve"> once weekly DCP</w:t>
      </w:r>
      <w:r w:rsidR="00C61979">
        <w:t>. The sponsor</w:t>
      </w:r>
      <w:r w:rsidRPr="00BD6C8A">
        <w:t xml:space="preserve"> </w:t>
      </w:r>
      <w:r w:rsidR="00C61979" w:rsidRPr="00BD6C8A">
        <w:t>advis</w:t>
      </w:r>
      <w:r w:rsidR="00C61979">
        <w:t>ed</w:t>
      </w:r>
      <w:r w:rsidR="00C61979" w:rsidRPr="00BD6C8A">
        <w:t xml:space="preserve"> </w:t>
      </w:r>
      <w:r w:rsidRPr="00BD6C8A">
        <w:t xml:space="preserve">that after the PBS listing of </w:t>
      </w:r>
      <w:proofErr w:type="spellStart"/>
      <w:r w:rsidRPr="00BD6C8A">
        <w:t>exenatide</w:t>
      </w:r>
      <w:proofErr w:type="spellEnd"/>
      <w:r w:rsidRPr="00BD6C8A">
        <w:t xml:space="preserve"> once weekly </w:t>
      </w:r>
      <w:proofErr w:type="spellStart"/>
      <w:r w:rsidRPr="00BD6C8A">
        <w:t>autoinjector</w:t>
      </w:r>
      <w:proofErr w:type="spellEnd"/>
      <w:r w:rsidRPr="00CF27A3">
        <w:t xml:space="preserve">, </w:t>
      </w:r>
      <w:r w:rsidR="00E40122">
        <w:rPr>
          <w:noProof/>
          <w:color w:val="000000"/>
          <w:highlight w:val="black"/>
        </w:rPr>
        <w:t>''''''''''''''''' '''''''''' ''''''''''''''' '''''''' ''''''''''''' ''''' '''''''''''''''''''''''''''</w:t>
      </w:r>
      <w:r w:rsidR="008527BB" w:rsidRPr="00CF27A3">
        <w:t>.</w:t>
      </w:r>
      <w:r w:rsidR="00CF27A3">
        <w:t xml:space="preserve"> </w:t>
      </w:r>
    </w:p>
    <w:p w:rsidR="005A7C4F" w:rsidRPr="00BD6C8A" w:rsidRDefault="0005217A" w:rsidP="00592178">
      <w:pPr>
        <w:widowControl/>
        <w:spacing w:before="120" w:after="120"/>
        <w:ind w:left="709"/>
        <w:contextualSpacing/>
        <w:rPr>
          <w:rFonts w:asciiTheme="minorHAnsi" w:hAnsiTheme="minorHAnsi" w:cs="Times New Roman"/>
          <w:i/>
          <w:snapToGrid/>
          <w:szCs w:val="24"/>
          <w:lang w:eastAsia="en-AU"/>
        </w:rPr>
      </w:pPr>
      <w:r w:rsidRPr="00BD6C8A">
        <w:rPr>
          <w:rFonts w:asciiTheme="minorHAnsi" w:hAnsiTheme="minorHAnsi" w:cs="Times New Roman"/>
          <w:i/>
          <w:snapToGrid/>
          <w:szCs w:val="24"/>
          <w:lang w:eastAsia="en-AU"/>
        </w:rPr>
        <w:t>For more detail on PBAC’s view, see section 7 PBAC outcome.</w:t>
      </w:r>
    </w:p>
    <w:p w:rsidR="0005217A" w:rsidRPr="00BD6C8A" w:rsidRDefault="0005217A" w:rsidP="00592178">
      <w:pPr>
        <w:pStyle w:val="Heading1"/>
        <w:spacing w:before="120"/>
      </w:pPr>
      <w:r w:rsidRPr="00BD6C8A">
        <w:t>PBAC Outcome</w:t>
      </w:r>
    </w:p>
    <w:p w:rsidR="0005217A" w:rsidRPr="00BD6C8A" w:rsidRDefault="00D33677"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The PBA</w:t>
      </w:r>
      <w:r w:rsidR="00977D01" w:rsidRPr="00BD6C8A">
        <w:rPr>
          <w:rFonts w:asciiTheme="minorHAnsi" w:hAnsiTheme="minorHAnsi"/>
          <w:bCs/>
          <w:szCs w:val="24"/>
        </w:rPr>
        <w:t xml:space="preserve">C did not recommend </w:t>
      </w:r>
      <w:proofErr w:type="spellStart"/>
      <w:r w:rsidR="00977D01" w:rsidRPr="00BD6C8A">
        <w:rPr>
          <w:rFonts w:asciiTheme="minorHAnsi" w:hAnsiTheme="minorHAnsi"/>
          <w:bCs/>
          <w:szCs w:val="24"/>
        </w:rPr>
        <w:t>exenatide</w:t>
      </w:r>
      <w:proofErr w:type="spellEnd"/>
      <w:r w:rsidR="00977D01" w:rsidRPr="00BD6C8A">
        <w:rPr>
          <w:rFonts w:asciiTheme="minorHAnsi" w:hAnsiTheme="minorHAnsi"/>
          <w:bCs/>
          <w:szCs w:val="24"/>
        </w:rPr>
        <w:t xml:space="preserve"> 2</w:t>
      </w:r>
      <w:r w:rsidR="005B7260">
        <w:rPr>
          <w:rFonts w:asciiTheme="minorHAnsi" w:hAnsiTheme="minorHAnsi"/>
          <w:bCs/>
          <w:szCs w:val="24"/>
        </w:rPr>
        <w:t> </w:t>
      </w:r>
      <w:r w:rsidRPr="00BD6C8A">
        <w:rPr>
          <w:rFonts w:asciiTheme="minorHAnsi" w:hAnsiTheme="minorHAnsi"/>
          <w:bCs/>
          <w:szCs w:val="24"/>
        </w:rPr>
        <w:t xml:space="preserve">mg once weekly </w:t>
      </w:r>
      <w:proofErr w:type="spellStart"/>
      <w:r w:rsidRPr="00BD6C8A">
        <w:rPr>
          <w:rFonts w:asciiTheme="minorHAnsi" w:hAnsiTheme="minorHAnsi"/>
          <w:bCs/>
          <w:szCs w:val="24"/>
        </w:rPr>
        <w:t>autoinjector</w:t>
      </w:r>
      <w:proofErr w:type="spellEnd"/>
      <w:r w:rsidRPr="00BD6C8A">
        <w:rPr>
          <w:rFonts w:asciiTheme="minorHAnsi" w:hAnsiTheme="minorHAnsi"/>
          <w:bCs/>
          <w:szCs w:val="24"/>
        </w:rPr>
        <w:t xml:space="preserve"> for </w:t>
      </w:r>
      <w:r w:rsidR="00EE20EB" w:rsidRPr="00BD6C8A">
        <w:rPr>
          <w:rFonts w:asciiTheme="minorHAnsi" w:hAnsiTheme="minorHAnsi"/>
          <w:bCs/>
          <w:szCs w:val="24"/>
        </w:rPr>
        <w:t xml:space="preserve">the </w:t>
      </w:r>
      <w:r w:rsidRPr="00BD6C8A">
        <w:rPr>
          <w:rFonts w:asciiTheme="minorHAnsi" w:hAnsiTheme="minorHAnsi"/>
          <w:bCs/>
          <w:szCs w:val="24"/>
        </w:rPr>
        <w:t>treatment of type 2 diabetes mellitus</w:t>
      </w:r>
      <w:r w:rsidR="00B759F5" w:rsidRPr="00BD6C8A">
        <w:rPr>
          <w:rFonts w:asciiTheme="minorHAnsi" w:hAnsiTheme="minorHAnsi"/>
          <w:bCs/>
          <w:szCs w:val="24"/>
        </w:rPr>
        <w:t xml:space="preserve"> </w:t>
      </w:r>
      <w:r w:rsidR="00026F82" w:rsidRPr="00BD6C8A">
        <w:rPr>
          <w:rFonts w:asciiTheme="minorHAnsi" w:hAnsiTheme="minorHAnsi"/>
          <w:bCs/>
          <w:szCs w:val="24"/>
        </w:rPr>
        <w:t xml:space="preserve">(T2DM) </w:t>
      </w:r>
      <w:r w:rsidR="00B759F5" w:rsidRPr="00BD6C8A">
        <w:rPr>
          <w:rFonts w:asciiTheme="minorHAnsi" w:hAnsiTheme="minorHAnsi"/>
          <w:bCs/>
          <w:szCs w:val="24"/>
        </w:rPr>
        <w:t>on the basis that the indirect t</w:t>
      </w:r>
      <w:r w:rsidR="00A814D3" w:rsidRPr="00BD6C8A">
        <w:rPr>
          <w:rFonts w:asciiTheme="minorHAnsi" w:hAnsiTheme="minorHAnsi"/>
          <w:bCs/>
          <w:szCs w:val="24"/>
        </w:rPr>
        <w:t>reatment</w:t>
      </w:r>
      <w:r w:rsidR="00B759F5" w:rsidRPr="00BD6C8A">
        <w:rPr>
          <w:rFonts w:asciiTheme="minorHAnsi" w:hAnsiTheme="minorHAnsi"/>
          <w:bCs/>
          <w:szCs w:val="24"/>
        </w:rPr>
        <w:t xml:space="preserve"> comparison </w:t>
      </w:r>
      <w:r w:rsidR="00026F82" w:rsidRPr="00BD6C8A">
        <w:rPr>
          <w:rFonts w:asciiTheme="minorHAnsi" w:hAnsiTheme="minorHAnsi"/>
          <w:bCs/>
          <w:szCs w:val="24"/>
        </w:rPr>
        <w:t xml:space="preserve">(ITC) </w:t>
      </w:r>
      <w:r w:rsidR="00B759F5" w:rsidRPr="00BD6C8A">
        <w:rPr>
          <w:rFonts w:asciiTheme="minorHAnsi" w:hAnsiTheme="minorHAnsi"/>
          <w:bCs/>
          <w:szCs w:val="24"/>
        </w:rPr>
        <w:t>presented in the submission</w:t>
      </w:r>
      <w:r w:rsidRPr="00BD6C8A">
        <w:rPr>
          <w:rFonts w:asciiTheme="minorHAnsi" w:hAnsiTheme="minorHAnsi"/>
          <w:bCs/>
          <w:szCs w:val="24"/>
        </w:rPr>
        <w:t xml:space="preserve"> did not support </w:t>
      </w:r>
      <w:r w:rsidR="00B759F5" w:rsidRPr="00BD6C8A">
        <w:rPr>
          <w:rFonts w:asciiTheme="minorHAnsi" w:hAnsiTheme="minorHAnsi"/>
          <w:bCs/>
          <w:szCs w:val="24"/>
        </w:rPr>
        <w:t xml:space="preserve">the </w:t>
      </w:r>
      <w:r w:rsidRPr="00BD6C8A">
        <w:rPr>
          <w:rFonts w:asciiTheme="minorHAnsi" w:hAnsiTheme="minorHAnsi"/>
          <w:bCs/>
          <w:szCs w:val="24"/>
        </w:rPr>
        <w:t>claim</w:t>
      </w:r>
      <w:r w:rsidR="00B759F5" w:rsidRPr="00BD6C8A">
        <w:rPr>
          <w:rFonts w:asciiTheme="minorHAnsi" w:hAnsiTheme="minorHAnsi"/>
          <w:bCs/>
          <w:szCs w:val="24"/>
        </w:rPr>
        <w:t xml:space="preserve"> that </w:t>
      </w:r>
      <w:proofErr w:type="spellStart"/>
      <w:r w:rsidR="00B759F5" w:rsidRPr="00BD6C8A">
        <w:rPr>
          <w:rFonts w:asciiTheme="minorHAnsi" w:hAnsiTheme="minorHAnsi"/>
          <w:bCs/>
          <w:szCs w:val="24"/>
        </w:rPr>
        <w:t>exenatide</w:t>
      </w:r>
      <w:proofErr w:type="spellEnd"/>
      <w:r w:rsidR="00B759F5" w:rsidRPr="00BD6C8A">
        <w:rPr>
          <w:rFonts w:asciiTheme="minorHAnsi" w:hAnsiTheme="minorHAnsi"/>
          <w:bCs/>
          <w:szCs w:val="24"/>
        </w:rPr>
        <w:t xml:space="preserve"> </w:t>
      </w:r>
      <w:proofErr w:type="spellStart"/>
      <w:r w:rsidR="00B759F5" w:rsidRPr="00BD6C8A">
        <w:rPr>
          <w:rFonts w:asciiTheme="minorHAnsi" w:hAnsiTheme="minorHAnsi"/>
          <w:bCs/>
          <w:szCs w:val="24"/>
        </w:rPr>
        <w:t>autoinjector</w:t>
      </w:r>
      <w:proofErr w:type="spellEnd"/>
      <w:r w:rsidR="00B759F5" w:rsidRPr="00BD6C8A">
        <w:rPr>
          <w:rFonts w:asciiTheme="minorHAnsi" w:hAnsiTheme="minorHAnsi"/>
          <w:bCs/>
          <w:szCs w:val="24"/>
        </w:rPr>
        <w:t xml:space="preserve"> was non-inferior </w:t>
      </w:r>
      <w:r w:rsidR="00A814D3" w:rsidRPr="00BD6C8A">
        <w:rPr>
          <w:rFonts w:asciiTheme="minorHAnsi" w:hAnsiTheme="minorHAnsi"/>
          <w:bCs/>
          <w:szCs w:val="24"/>
        </w:rPr>
        <w:t xml:space="preserve">in effectiveness </w:t>
      </w:r>
      <w:r w:rsidR="00B759F5" w:rsidRPr="00BD6C8A">
        <w:rPr>
          <w:rFonts w:asciiTheme="minorHAnsi" w:hAnsiTheme="minorHAnsi"/>
          <w:bCs/>
          <w:szCs w:val="24"/>
        </w:rPr>
        <w:t>to the</w:t>
      </w:r>
      <w:r w:rsidR="00F06885" w:rsidRPr="00BD6C8A">
        <w:rPr>
          <w:rFonts w:asciiTheme="minorHAnsi" w:hAnsiTheme="minorHAnsi"/>
          <w:bCs/>
          <w:szCs w:val="24"/>
        </w:rPr>
        <w:t xml:space="preserve"> currently PBS-listed</w:t>
      </w:r>
      <w:r w:rsidR="00B759F5" w:rsidRPr="00BD6C8A">
        <w:rPr>
          <w:rFonts w:asciiTheme="minorHAnsi" w:hAnsiTheme="minorHAnsi"/>
          <w:bCs/>
          <w:szCs w:val="24"/>
        </w:rPr>
        <w:t xml:space="preserve"> </w:t>
      </w:r>
      <w:proofErr w:type="spellStart"/>
      <w:r w:rsidR="00B759F5" w:rsidRPr="00BD6C8A">
        <w:rPr>
          <w:rFonts w:asciiTheme="minorHAnsi" w:hAnsiTheme="minorHAnsi"/>
          <w:bCs/>
          <w:szCs w:val="24"/>
        </w:rPr>
        <w:t>exenatide</w:t>
      </w:r>
      <w:proofErr w:type="spellEnd"/>
      <w:r w:rsidR="00B759F5" w:rsidRPr="00BD6C8A">
        <w:rPr>
          <w:rFonts w:asciiTheme="minorHAnsi" w:hAnsiTheme="minorHAnsi"/>
          <w:bCs/>
          <w:szCs w:val="24"/>
        </w:rPr>
        <w:t xml:space="preserve"> dual chamber pen (DCP). </w:t>
      </w:r>
      <w:r w:rsidR="00A814D3" w:rsidRPr="00BD6C8A">
        <w:rPr>
          <w:rFonts w:asciiTheme="minorHAnsi" w:hAnsiTheme="minorHAnsi"/>
          <w:bCs/>
          <w:szCs w:val="24"/>
        </w:rPr>
        <w:t>While there may be</w:t>
      </w:r>
      <w:r w:rsidR="00AD5C00" w:rsidRPr="00BD6C8A">
        <w:rPr>
          <w:rFonts w:asciiTheme="minorHAnsi" w:hAnsiTheme="minorHAnsi"/>
          <w:bCs/>
          <w:szCs w:val="24"/>
        </w:rPr>
        <w:t xml:space="preserve"> patient</w:t>
      </w:r>
      <w:r w:rsidR="00A814D3" w:rsidRPr="00BD6C8A">
        <w:rPr>
          <w:rFonts w:asciiTheme="minorHAnsi" w:hAnsiTheme="minorHAnsi"/>
          <w:bCs/>
          <w:szCs w:val="24"/>
        </w:rPr>
        <w:t>-related</w:t>
      </w:r>
      <w:r w:rsidR="00AD5C00" w:rsidRPr="00BD6C8A">
        <w:rPr>
          <w:rFonts w:asciiTheme="minorHAnsi" w:hAnsiTheme="minorHAnsi"/>
          <w:bCs/>
          <w:szCs w:val="24"/>
        </w:rPr>
        <w:t xml:space="preserve"> benefits of </w:t>
      </w:r>
      <w:r w:rsidR="00A814D3" w:rsidRPr="00BD6C8A">
        <w:rPr>
          <w:rFonts w:asciiTheme="minorHAnsi" w:hAnsiTheme="minorHAnsi"/>
          <w:bCs/>
          <w:szCs w:val="24"/>
        </w:rPr>
        <w:t xml:space="preserve">using </w:t>
      </w:r>
      <w:r w:rsidR="00AD5C00" w:rsidRPr="00BD6C8A">
        <w:rPr>
          <w:rFonts w:asciiTheme="minorHAnsi" w:hAnsiTheme="minorHAnsi"/>
          <w:bCs/>
          <w:szCs w:val="24"/>
        </w:rPr>
        <w:t xml:space="preserve">the </w:t>
      </w:r>
      <w:proofErr w:type="spellStart"/>
      <w:r w:rsidR="00AD5C00" w:rsidRPr="00BD6C8A">
        <w:rPr>
          <w:rFonts w:asciiTheme="minorHAnsi" w:hAnsiTheme="minorHAnsi"/>
          <w:bCs/>
          <w:szCs w:val="24"/>
        </w:rPr>
        <w:t>autoinjector</w:t>
      </w:r>
      <w:proofErr w:type="spellEnd"/>
      <w:r w:rsidR="00AD5C00" w:rsidRPr="00BD6C8A">
        <w:rPr>
          <w:rFonts w:asciiTheme="minorHAnsi" w:hAnsiTheme="minorHAnsi"/>
          <w:bCs/>
          <w:szCs w:val="24"/>
        </w:rPr>
        <w:t xml:space="preserve"> formulation </w:t>
      </w:r>
      <w:r w:rsidR="00A814D3" w:rsidRPr="00BD6C8A">
        <w:rPr>
          <w:rFonts w:asciiTheme="minorHAnsi" w:hAnsiTheme="minorHAnsi"/>
          <w:bCs/>
          <w:szCs w:val="24"/>
        </w:rPr>
        <w:t>due to ease of administration, the PBAC</w:t>
      </w:r>
      <w:r w:rsidR="00AD5C00" w:rsidRPr="00BD6C8A">
        <w:rPr>
          <w:rFonts w:asciiTheme="minorHAnsi" w:hAnsiTheme="minorHAnsi"/>
          <w:bCs/>
          <w:szCs w:val="24"/>
        </w:rPr>
        <w:t xml:space="preserve"> </w:t>
      </w:r>
      <w:r w:rsidR="00B759F5" w:rsidRPr="00BD6C8A">
        <w:rPr>
          <w:rFonts w:asciiTheme="minorHAnsi" w:hAnsiTheme="minorHAnsi"/>
          <w:bCs/>
          <w:szCs w:val="24"/>
        </w:rPr>
        <w:t xml:space="preserve">noted there was </w:t>
      </w:r>
      <w:r w:rsidR="00533159" w:rsidRPr="00BD6C8A">
        <w:rPr>
          <w:rFonts w:asciiTheme="minorHAnsi" w:hAnsiTheme="minorHAnsi"/>
          <w:bCs/>
          <w:szCs w:val="24"/>
        </w:rPr>
        <w:t xml:space="preserve">a </w:t>
      </w:r>
      <w:r w:rsidR="00B759F5" w:rsidRPr="00BD6C8A">
        <w:rPr>
          <w:rFonts w:asciiTheme="minorHAnsi" w:hAnsiTheme="minorHAnsi"/>
          <w:bCs/>
          <w:szCs w:val="24"/>
        </w:rPr>
        <w:t xml:space="preserve">low clinical need </w:t>
      </w:r>
      <w:r w:rsidR="00A814D3" w:rsidRPr="00BD6C8A">
        <w:rPr>
          <w:rFonts w:asciiTheme="minorHAnsi" w:hAnsiTheme="minorHAnsi"/>
          <w:bCs/>
          <w:szCs w:val="24"/>
        </w:rPr>
        <w:t xml:space="preserve">to list a new formulation of </w:t>
      </w:r>
      <w:proofErr w:type="spellStart"/>
      <w:r w:rsidR="00A814D3" w:rsidRPr="00BD6C8A">
        <w:rPr>
          <w:rFonts w:asciiTheme="minorHAnsi" w:hAnsiTheme="minorHAnsi"/>
          <w:bCs/>
          <w:szCs w:val="24"/>
        </w:rPr>
        <w:t>exenatide</w:t>
      </w:r>
      <w:proofErr w:type="spellEnd"/>
      <w:r w:rsidR="00A814D3" w:rsidRPr="00BD6C8A">
        <w:rPr>
          <w:rFonts w:asciiTheme="minorHAnsi" w:hAnsiTheme="minorHAnsi"/>
          <w:bCs/>
          <w:szCs w:val="24"/>
        </w:rPr>
        <w:t xml:space="preserve"> </w:t>
      </w:r>
      <w:r w:rsidR="00B759F5" w:rsidRPr="00BD6C8A">
        <w:rPr>
          <w:rFonts w:asciiTheme="minorHAnsi" w:hAnsiTheme="minorHAnsi"/>
          <w:bCs/>
          <w:szCs w:val="24"/>
        </w:rPr>
        <w:t xml:space="preserve">due to </w:t>
      </w:r>
      <w:r w:rsidR="00533159" w:rsidRPr="00BD6C8A">
        <w:rPr>
          <w:rFonts w:asciiTheme="minorHAnsi" w:hAnsiTheme="minorHAnsi"/>
          <w:bCs/>
          <w:szCs w:val="24"/>
        </w:rPr>
        <w:t xml:space="preserve">the </w:t>
      </w:r>
      <w:r w:rsidR="00B759F5" w:rsidRPr="00BD6C8A">
        <w:rPr>
          <w:rFonts w:asciiTheme="minorHAnsi" w:hAnsiTheme="minorHAnsi"/>
          <w:bCs/>
          <w:szCs w:val="24"/>
        </w:rPr>
        <w:t xml:space="preserve">availability </w:t>
      </w:r>
      <w:r w:rsidR="00533159" w:rsidRPr="00BD6C8A">
        <w:rPr>
          <w:rFonts w:asciiTheme="minorHAnsi" w:hAnsiTheme="minorHAnsi"/>
          <w:bCs/>
          <w:szCs w:val="24"/>
        </w:rPr>
        <w:t>of</w:t>
      </w:r>
      <w:r w:rsidR="00B759F5" w:rsidRPr="00BD6C8A">
        <w:rPr>
          <w:rFonts w:asciiTheme="minorHAnsi" w:hAnsiTheme="minorHAnsi"/>
          <w:bCs/>
          <w:szCs w:val="24"/>
        </w:rPr>
        <w:t xml:space="preserve"> other </w:t>
      </w:r>
      <w:r w:rsidR="006D7790" w:rsidRPr="00BD6C8A">
        <w:rPr>
          <w:rFonts w:asciiTheme="minorHAnsi" w:hAnsiTheme="minorHAnsi"/>
          <w:bCs/>
          <w:szCs w:val="24"/>
        </w:rPr>
        <w:t xml:space="preserve">weekly </w:t>
      </w:r>
      <w:r w:rsidR="00070A3F" w:rsidRPr="00BD6C8A">
        <w:rPr>
          <w:rFonts w:asciiTheme="minorHAnsi" w:hAnsiTheme="minorHAnsi"/>
          <w:bCs/>
          <w:szCs w:val="24"/>
        </w:rPr>
        <w:t>antidiabetic agents</w:t>
      </w:r>
      <w:r w:rsidR="00B759F5" w:rsidRPr="00BD6C8A">
        <w:rPr>
          <w:rFonts w:asciiTheme="minorHAnsi" w:hAnsiTheme="minorHAnsi"/>
          <w:bCs/>
          <w:szCs w:val="24"/>
        </w:rPr>
        <w:t xml:space="preserve"> on the </w:t>
      </w:r>
      <w:r w:rsidR="00C66797" w:rsidRPr="00BD6C8A">
        <w:rPr>
          <w:rFonts w:asciiTheme="minorHAnsi" w:hAnsiTheme="minorHAnsi"/>
          <w:bCs/>
          <w:szCs w:val="24"/>
        </w:rPr>
        <w:t>P</w:t>
      </w:r>
      <w:r w:rsidR="00B759F5" w:rsidRPr="00BD6C8A">
        <w:rPr>
          <w:rFonts w:asciiTheme="minorHAnsi" w:hAnsiTheme="minorHAnsi"/>
          <w:bCs/>
          <w:szCs w:val="24"/>
        </w:rPr>
        <w:t xml:space="preserve">harmaceutical </w:t>
      </w:r>
      <w:r w:rsidR="00C66797" w:rsidRPr="00BD6C8A">
        <w:rPr>
          <w:rFonts w:asciiTheme="minorHAnsi" w:hAnsiTheme="minorHAnsi"/>
          <w:bCs/>
          <w:szCs w:val="24"/>
        </w:rPr>
        <w:t>B</w:t>
      </w:r>
      <w:r w:rsidR="00B759F5" w:rsidRPr="00BD6C8A">
        <w:rPr>
          <w:rFonts w:asciiTheme="minorHAnsi" w:hAnsiTheme="minorHAnsi"/>
          <w:bCs/>
          <w:szCs w:val="24"/>
        </w:rPr>
        <w:t xml:space="preserve">enefits </w:t>
      </w:r>
      <w:r w:rsidR="00C66797" w:rsidRPr="00BD6C8A">
        <w:rPr>
          <w:rFonts w:asciiTheme="minorHAnsi" w:hAnsiTheme="minorHAnsi"/>
          <w:bCs/>
          <w:szCs w:val="24"/>
        </w:rPr>
        <w:t>S</w:t>
      </w:r>
      <w:r w:rsidR="00B759F5" w:rsidRPr="00BD6C8A">
        <w:rPr>
          <w:rFonts w:asciiTheme="minorHAnsi" w:hAnsiTheme="minorHAnsi"/>
          <w:bCs/>
          <w:szCs w:val="24"/>
        </w:rPr>
        <w:t>cheme</w:t>
      </w:r>
      <w:r w:rsidR="00C66797" w:rsidRPr="00BD6C8A">
        <w:rPr>
          <w:rFonts w:asciiTheme="minorHAnsi" w:hAnsiTheme="minorHAnsi"/>
          <w:bCs/>
          <w:szCs w:val="24"/>
        </w:rPr>
        <w:t xml:space="preserve"> (PBS)</w:t>
      </w:r>
      <w:r w:rsidR="00CE3E6B" w:rsidRPr="00BD6C8A">
        <w:rPr>
          <w:rFonts w:asciiTheme="minorHAnsi" w:hAnsiTheme="minorHAnsi"/>
          <w:bCs/>
          <w:szCs w:val="24"/>
        </w:rPr>
        <w:t xml:space="preserve"> </w:t>
      </w:r>
      <w:r w:rsidR="00F06885" w:rsidRPr="00BD6C8A">
        <w:rPr>
          <w:rFonts w:asciiTheme="minorHAnsi" w:hAnsiTheme="minorHAnsi"/>
          <w:bCs/>
          <w:szCs w:val="24"/>
        </w:rPr>
        <w:t>for the same patient population.</w:t>
      </w:r>
    </w:p>
    <w:p w:rsidR="0005217A" w:rsidRPr="00BD6C8A" w:rsidRDefault="004862FD"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 xml:space="preserve">The PBAC considered that the requested listing </w:t>
      </w:r>
      <w:r w:rsidR="002E2020" w:rsidRPr="00BD6C8A">
        <w:rPr>
          <w:rFonts w:asciiTheme="minorHAnsi" w:hAnsiTheme="minorHAnsi"/>
          <w:bCs/>
          <w:szCs w:val="24"/>
        </w:rPr>
        <w:t xml:space="preserve">was appropriately aligned with </w:t>
      </w:r>
      <w:proofErr w:type="spellStart"/>
      <w:r w:rsidR="002E2020" w:rsidRPr="00BD6C8A">
        <w:rPr>
          <w:rFonts w:asciiTheme="minorHAnsi" w:hAnsiTheme="minorHAnsi"/>
          <w:bCs/>
          <w:szCs w:val="24"/>
        </w:rPr>
        <w:t>exenatide</w:t>
      </w:r>
      <w:proofErr w:type="spellEnd"/>
      <w:r w:rsidR="002E2020" w:rsidRPr="00BD6C8A">
        <w:rPr>
          <w:rFonts w:asciiTheme="minorHAnsi" w:hAnsiTheme="minorHAnsi"/>
          <w:bCs/>
          <w:szCs w:val="24"/>
        </w:rPr>
        <w:t xml:space="preserve"> DCP. </w:t>
      </w:r>
    </w:p>
    <w:p w:rsidR="00A91886" w:rsidRPr="00BD6C8A" w:rsidRDefault="00A91886" w:rsidP="00592178">
      <w:pPr>
        <w:pStyle w:val="ListParagraph"/>
        <w:numPr>
          <w:ilvl w:val="1"/>
          <w:numId w:val="1"/>
        </w:numPr>
        <w:spacing w:before="120"/>
        <w:rPr>
          <w:rFonts w:asciiTheme="minorHAnsi" w:hAnsiTheme="minorHAnsi"/>
          <w:bCs/>
          <w:szCs w:val="24"/>
        </w:rPr>
      </w:pPr>
      <w:r w:rsidRPr="00BD6C8A">
        <w:rPr>
          <w:rFonts w:asciiTheme="minorHAnsi" w:hAnsiTheme="minorHAnsi"/>
          <w:bCs/>
          <w:szCs w:val="24"/>
        </w:rPr>
        <w:t xml:space="preserve">The PBAC considered that </w:t>
      </w:r>
      <w:proofErr w:type="spellStart"/>
      <w:r w:rsidRPr="00BD6C8A">
        <w:rPr>
          <w:rFonts w:asciiTheme="minorHAnsi" w:hAnsiTheme="minorHAnsi"/>
          <w:bCs/>
          <w:szCs w:val="24"/>
        </w:rPr>
        <w:t>exenatide</w:t>
      </w:r>
      <w:proofErr w:type="spellEnd"/>
      <w:r w:rsidRPr="00BD6C8A">
        <w:rPr>
          <w:rFonts w:asciiTheme="minorHAnsi" w:hAnsiTheme="minorHAnsi"/>
          <w:bCs/>
          <w:szCs w:val="24"/>
        </w:rPr>
        <w:t xml:space="preserve"> DCP was </w:t>
      </w:r>
      <w:r w:rsidR="00533159" w:rsidRPr="00BD6C8A">
        <w:rPr>
          <w:rFonts w:asciiTheme="minorHAnsi" w:hAnsiTheme="minorHAnsi"/>
          <w:bCs/>
          <w:szCs w:val="24"/>
        </w:rPr>
        <w:t>the</w:t>
      </w:r>
      <w:r w:rsidRPr="00BD6C8A">
        <w:rPr>
          <w:rFonts w:asciiTheme="minorHAnsi" w:hAnsiTheme="minorHAnsi"/>
          <w:bCs/>
          <w:szCs w:val="24"/>
        </w:rPr>
        <w:t xml:space="preserve"> appropriate comparator. However, the PBAC noted that </w:t>
      </w:r>
      <w:r w:rsidR="002E2020" w:rsidRPr="00BD6C8A">
        <w:rPr>
          <w:rFonts w:asciiTheme="minorHAnsi" w:hAnsiTheme="minorHAnsi"/>
          <w:bCs/>
          <w:szCs w:val="24"/>
        </w:rPr>
        <w:t xml:space="preserve">there was an increased preference for antidiabetic medicines with </w:t>
      </w:r>
      <w:r w:rsidRPr="00BD6C8A">
        <w:rPr>
          <w:rFonts w:asciiTheme="minorHAnsi" w:hAnsiTheme="minorHAnsi"/>
          <w:bCs/>
          <w:szCs w:val="24"/>
        </w:rPr>
        <w:t>weekly dosing</w:t>
      </w:r>
      <w:r w:rsidR="002E2020" w:rsidRPr="00BD6C8A">
        <w:rPr>
          <w:rFonts w:asciiTheme="minorHAnsi" w:hAnsiTheme="minorHAnsi"/>
          <w:bCs/>
          <w:szCs w:val="24"/>
        </w:rPr>
        <w:t xml:space="preserve"> schedules</w:t>
      </w:r>
      <w:r w:rsidRPr="00BD6C8A">
        <w:rPr>
          <w:rFonts w:asciiTheme="minorHAnsi" w:hAnsiTheme="minorHAnsi"/>
          <w:bCs/>
          <w:szCs w:val="24"/>
        </w:rPr>
        <w:t xml:space="preserve"> and </w:t>
      </w:r>
      <w:r w:rsidR="002E2020" w:rsidRPr="00BD6C8A">
        <w:rPr>
          <w:rFonts w:asciiTheme="minorHAnsi" w:hAnsiTheme="minorHAnsi"/>
          <w:bCs/>
          <w:szCs w:val="24"/>
        </w:rPr>
        <w:t xml:space="preserve">therefore </w:t>
      </w:r>
      <w:r w:rsidRPr="00BD6C8A">
        <w:rPr>
          <w:rFonts w:asciiTheme="minorHAnsi" w:hAnsiTheme="minorHAnsi"/>
          <w:bCs/>
          <w:szCs w:val="24"/>
        </w:rPr>
        <w:t xml:space="preserve">considered </w:t>
      </w:r>
      <w:r w:rsidRPr="00BD6C8A">
        <w:rPr>
          <w:rFonts w:asciiTheme="minorHAnsi" w:hAnsiTheme="minorHAnsi"/>
          <w:bCs/>
          <w:szCs w:val="24"/>
        </w:rPr>
        <w:lastRenderedPageBreak/>
        <w:t xml:space="preserve">that </w:t>
      </w:r>
      <w:proofErr w:type="spellStart"/>
      <w:r w:rsidRPr="00BD6C8A">
        <w:rPr>
          <w:rFonts w:asciiTheme="minorHAnsi" w:hAnsiTheme="minorHAnsi"/>
          <w:bCs/>
          <w:szCs w:val="24"/>
        </w:rPr>
        <w:t>dulaglutide</w:t>
      </w:r>
      <w:proofErr w:type="spellEnd"/>
      <w:r w:rsidRPr="00BD6C8A">
        <w:rPr>
          <w:rFonts w:asciiTheme="minorHAnsi" w:hAnsiTheme="minorHAnsi"/>
          <w:bCs/>
          <w:szCs w:val="24"/>
        </w:rPr>
        <w:t xml:space="preserve">, another once weekly injection, </w:t>
      </w:r>
      <w:r w:rsidR="00533159" w:rsidRPr="00BD6C8A">
        <w:rPr>
          <w:rFonts w:asciiTheme="minorHAnsi" w:hAnsiTheme="minorHAnsi"/>
          <w:bCs/>
          <w:szCs w:val="24"/>
        </w:rPr>
        <w:t>was also</w:t>
      </w:r>
      <w:r w:rsidRPr="00BD6C8A">
        <w:rPr>
          <w:rFonts w:asciiTheme="minorHAnsi" w:hAnsiTheme="minorHAnsi"/>
          <w:bCs/>
          <w:szCs w:val="24"/>
        </w:rPr>
        <w:t xml:space="preserve"> a relevant comparator.</w:t>
      </w:r>
    </w:p>
    <w:p w:rsidR="0005217A" w:rsidRPr="00BD6C8A" w:rsidRDefault="0002346E"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 xml:space="preserve">The PBAC </w:t>
      </w:r>
      <w:r w:rsidR="002E2020" w:rsidRPr="00BD6C8A">
        <w:rPr>
          <w:rFonts w:asciiTheme="minorHAnsi" w:hAnsiTheme="minorHAnsi"/>
          <w:bCs/>
          <w:szCs w:val="24"/>
        </w:rPr>
        <w:t>agreed with the ESC</w:t>
      </w:r>
      <w:r w:rsidR="001C3DFD" w:rsidRPr="00BD6C8A">
        <w:rPr>
          <w:rFonts w:asciiTheme="minorHAnsi" w:hAnsiTheme="minorHAnsi"/>
          <w:bCs/>
          <w:szCs w:val="24"/>
        </w:rPr>
        <w:t xml:space="preserve"> that the trials included in the </w:t>
      </w:r>
      <w:r w:rsidR="00026F82" w:rsidRPr="00BD6C8A">
        <w:rPr>
          <w:rFonts w:asciiTheme="minorHAnsi" w:hAnsiTheme="minorHAnsi"/>
          <w:bCs/>
          <w:szCs w:val="24"/>
        </w:rPr>
        <w:t>ITC</w:t>
      </w:r>
      <w:r w:rsidR="001C3DFD" w:rsidRPr="00BD6C8A">
        <w:rPr>
          <w:rFonts w:asciiTheme="minorHAnsi" w:hAnsiTheme="minorHAnsi"/>
          <w:bCs/>
          <w:szCs w:val="24"/>
        </w:rPr>
        <w:t xml:space="preserve"> </w:t>
      </w:r>
      <w:r w:rsidR="002E2020" w:rsidRPr="00BD6C8A">
        <w:rPr>
          <w:rFonts w:asciiTheme="minorHAnsi" w:hAnsiTheme="minorHAnsi"/>
          <w:bCs/>
          <w:szCs w:val="24"/>
        </w:rPr>
        <w:t>were</w:t>
      </w:r>
      <w:r w:rsidR="009E11B5" w:rsidRPr="00BD6C8A">
        <w:rPr>
          <w:rFonts w:asciiTheme="minorHAnsi" w:hAnsiTheme="minorHAnsi"/>
          <w:bCs/>
          <w:szCs w:val="24"/>
        </w:rPr>
        <w:t xml:space="preserve"> not </w:t>
      </w:r>
      <w:r w:rsidR="001C3DFD" w:rsidRPr="00BD6C8A">
        <w:rPr>
          <w:rFonts w:asciiTheme="minorHAnsi" w:hAnsiTheme="minorHAnsi"/>
          <w:bCs/>
          <w:szCs w:val="24"/>
        </w:rPr>
        <w:t xml:space="preserve">comparable, </w:t>
      </w:r>
      <w:r w:rsidR="00FC46FF" w:rsidRPr="00BD6C8A">
        <w:rPr>
          <w:rFonts w:asciiTheme="minorHAnsi" w:hAnsiTheme="minorHAnsi"/>
          <w:bCs/>
          <w:szCs w:val="24"/>
        </w:rPr>
        <w:t>due to</w:t>
      </w:r>
      <w:r w:rsidR="001C3DFD" w:rsidRPr="00BD6C8A">
        <w:rPr>
          <w:rFonts w:asciiTheme="minorHAnsi" w:hAnsiTheme="minorHAnsi"/>
          <w:bCs/>
          <w:szCs w:val="24"/>
        </w:rPr>
        <w:t xml:space="preserve"> differences in the trial design </w:t>
      </w:r>
      <w:r w:rsidR="00FC46FF" w:rsidRPr="00BD6C8A">
        <w:rPr>
          <w:rFonts w:asciiTheme="minorHAnsi" w:hAnsiTheme="minorHAnsi"/>
          <w:bCs/>
          <w:szCs w:val="24"/>
        </w:rPr>
        <w:t>including</w:t>
      </w:r>
      <w:r w:rsidR="001C3DFD" w:rsidRPr="00BD6C8A">
        <w:rPr>
          <w:rFonts w:asciiTheme="minorHAnsi" w:hAnsiTheme="minorHAnsi"/>
          <w:bCs/>
          <w:szCs w:val="24"/>
        </w:rPr>
        <w:t xml:space="preserve"> </w:t>
      </w:r>
      <w:proofErr w:type="spellStart"/>
      <w:r w:rsidR="001C3DFD" w:rsidRPr="00BD6C8A">
        <w:rPr>
          <w:rFonts w:asciiTheme="minorHAnsi" w:hAnsiTheme="minorHAnsi"/>
          <w:bCs/>
          <w:szCs w:val="24"/>
        </w:rPr>
        <w:t>sulphonylurea</w:t>
      </w:r>
      <w:proofErr w:type="spellEnd"/>
      <w:r w:rsidR="001C3DFD" w:rsidRPr="00BD6C8A">
        <w:rPr>
          <w:rFonts w:asciiTheme="minorHAnsi" w:hAnsiTheme="minorHAnsi"/>
          <w:bCs/>
          <w:szCs w:val="24"/>
        </w:rPr>
        <w:t xml:space="preserve"> usage</w:t>
      </w:r>
      <w:r w:rsidR="002E2020" w:rsidRPr="00BD6C8A">
        <w:rPr>
          <w:rFonts w:asciiTheme="minorHAnsi" w:hAnsiTheme="minorHAnsi"/>
          <w:bCs/>
          <w:szCs w:val="24"/>
        </w:rPr>
        <w:t xml:space="preserve"> in the DURATION-</w:t>
      </w:r>
      <w:r w:rsidR="008D0B9B" w:rsidRPr="00BD6C8A">
        <w:rPr>
          <w:rFonts w:asciiTheme="minorHAnsi" w:hAnsiTheme="minorHAnsi"/>
          <w:bCs/>
          <w:szCs w:val="24"/>
        </w:rPr>
        <w:t>1</w:t>
      </w:r>
      <w:r w:rsidR="002E2020" w:rsidRPr="00BD6C8A">
        <w:rPr>
          <w:rFonts w:asciiTheme="minorHAnsi" w:hAnsiTheme="minorHAnsi"/>
          <w:bCs/>
          <w:szCs w:val="24"/>
        </w:rPr>
        <w:t xml:space="preserve"> study</w:t>
      </w:r>
      <w:r w:rsidR="00FC46FF" w:rsidRPr="00BD6C8A">
        <w:rPr>
          <w:rFonts w:asciiTheme="minorHAnsi" w:hAnsiTheme="minorHAnsi"/>
          <w:bCs/>
          <w:szCs w:val="24"/>
        </w:rPr>
        <w:t>.</w:t>
      </w:r>
      <w:r w:rsidR="00605337" w:rsidRPr="00BD6C8A">
        <w:rPr>
          <w:rFonts w:asciiTheme="minorHAnsi" w:hAnsiTheme="minorHAnsi"/>
          <w:bCs/>
          <w:szCs w:val="24"/>
        </w:rPr>
        <w:t xml:space="preserve"> </w:t>
      </w:r>
      <w:r w:rsidR="002E2020" w:rsidRPr="00BD6C8A">
        <w:rPr>
          <w:rFonts w:asciiTheme="minorHAnsi" w:hAnsiTheme="minorHAnsi"/>
          <w:bCs/>
          <w:szCs w:val="24"/>
        </w:rPr>
        <w:t xml:space="preserve">The PBAC considered that the PSCR’s request to include Ji et al (2013) in the ITC was </w:t>
      </w:r>
      <w:r w:rsidR="00085214" w:rsidRPr="00BD6C8A">
        <w:rPr>
          <w:rFonts w:asciiTheme="minorHAnsi" w:hAnsiTheme="minorHAnsi"/>
          <w:bCs/>
          <w:szCs w:val="24"/>
        </w:rPr>
        <w:t>inappropriate,</w:t>
      </w:r>
      <w:r w:rsidR="002E2020" w:rsidRPr="00BD6C8A">
        <w:rPr>
          <w:rFonts w:asciiTheme="minorHAnsi" w:hAnsiTheme="minorHAnsi"/>
          <w:bCs/>
          <w:szCs w:val="24"/>
        </w:rPr>
        <w:t xml:space="preserve"> as there was no evidence to support inclusion of the trial or applicability to the ITC. The PBAC noted that the Asian population in Australia was approximately 9% at the 2016 census</w:t>
      </w:r>
      <w:r w:rsidR="002E2020" w:rsidRPr="00BD6C8A">
        <w:rPr>
          <w:rStyle w:val="FootnoteReference"/>
          <w:rFonts w:asciiTheme="minorHAnsi" w:hAnsiTheme="minorHAnsi"/>
          <w:bCs/>
          <w:szCs w:val="24"/>
        </w:rPr>
        <w:footnoteReference w:id="1"/>
      </w:r>
      <w:r w:rsidR="002E2020" w:rsidRPr="00BD6C8A">
        <w:rPr>
          <w:rFonts w:asciiTheme="minorHAnsi" w:hAnsiTheme="minorHAnsi"/>
          <w:bCs/>
          <w:szCs w:val="24"/>
        </w:rPr>
        <w:t xml:space="preserve"> compared to 100% in Ji et al.</w:t>
      </w:r>
      <w:r w:rsidR="00991D34" w:rsidRPr="00BD6C8A">
        <w:rPr>
          <w:rFonts w:asciiTheme="minorHAnsi" w:hAnsiTheme="minorHAnsi"/>
          <w:bCs/>
          <w:szCs w:val="24"/>
        </w:rPr>
        <w:t xml:space="preserve"> </w:t>
      </w:r>
      <w:r w:rsidR="00FC46FF" w:rsidRPr="00BD6C8A">
        <w:rPr>
          <w:rFonts w:asciiTheme="minorHAnsi" w:hAnsiTheme="minorHAnsi"/>
          <w:bCs/>
          <w:szCs w:val="24"/>
        </w:rPr>
        <w:t xml:space="preserve">The PBAC </w:t>
      </w:r>
      <w:r w:rsidR="002E2020" w:rsidRPr="00BD6C8A">
        <w:rPr>
          <w:rFonts w:asciiTheme="minorHAnsi" w:hAnsiTheme="minorHAnsi"/>
          <w:bCs/>
          <w:szCs w:val="24"/>
        </w:rPr>
        <w:t xml:space="preserve">therefore </w:t>
      </w:r>
      <w:r w:rsidR="00FC46FF" w:rsidRPr="00BD6C8A">
        <w:rPr>
          <w:rFonts w:asciiTheme="minorHAnsi" w:hAnsiTheme="minorHAnsi"/>
          <w:bCs/>
          <w:szCs w:val="24"/>
        </w:rPr>
        <w:t xml:space="preserve">considered that the most appropriate trials for use in the indirect comparison were </w:t>
      </w:r>
      <w:r w:rsidR="00F04CA2" w:rsidRPr="00BD6C8A">
        <w:rPr>
          <w:rFonts w:asciiTheme="minorHAnsi" w:hAnsiTheme="minorHAnsi"/>
          <w:bCs/>
          <w:szCs w:val="24"/>
        </w:rPr>
        <w:t>N</w:t>
      </w:r>
      <w:r w:rsidR="00F04CA2" w:rsidRPr="00BD6C8A">
        <w:t>EO-1 and DURATION-5 as they were similar in design and background use of oral anti-diabetic medication.</w:t>
      </w:r>
    </w:p>
    <w:p w:rsidR="00A130EC" w:rsidRPr="00BD6C8A" w:rsidRDefault="00F04CA2"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 xml:space="preserve">The </w:t>
      </w:r>
      <w:r w:rsidR="004B4957" w:rsidRPr="00BD6C8A">
        <w:t xml:space="preserve">PBAC </w:t>
      </w:r>
      <w:r w:rsidR="00A130EC" w:rsidRPr="00BD6C8A">
        <w:t>considered</w:t>
      </w:r>
      <w:r w:rsidR="004B4957" w:rsidRPr="00BD6C8A">
        <w:t xml:space="preserve"> that</w:t>
      </w:r>
      <w:r w:rsidR="00554A0C" w:rsidRPr="00BD6C8A">
        <w:t xml:space="preserve"> the results of the </w:t>
      </w:r>
      <w:r w:rsidR="00026F82" w:rsidRPr="00BD6C8A">
        <w:t>ITC</w:t>
      </w:r>
      <w:r w:rsidR="00554A0C" w:rsidRPr="00BD6C8A">
        <w:t xml:space="preserve"> di</w:t>
      </w:r>
      <w:r w:rsidR="004B4957" w:rsidRPr="00BD6C8A">
        <w:t xml:space="preserve">d not support non-inferiority </w:t>
      </w:r>
      <w:r w:rsidR="00A130EC" w:rsidRPr="00BD6C8A">
        <w:t xml:space="preserve">of </w:t>
      </w:r>
      <w:proofErr w:type="spellStart"/>
      <w:r w:rsidR="00A130EC" w:rsidRPr="00BD6C8A">
        <w:t>exenatide</w:t>
      </w:r>
      <w:proofErr w:type="spellEnd"/>
      <w:r w:rsidR="00A130EC" w:rsidRPr="00BD6C8A">
        <w:t xml:space="preserve"> </w:t>
      </w:r>
      <w:proofErr w:type="spellStart"/>
      <w:r w:rsidR="00A130EC" w:rsidRPr="00CF27A3">
        <w:t>autoinjector</w:t>
      </w:r>
      <w:proofErr w:type="spellEnd"/>
      <w:r w:rsidR="00A130EC" w:rsidRPr="00CF27A3">
        <w:t xml:space="preserve"> </w:t>
      </w:r>
      <w:r w:rsidR="004B4957" w:rsidRPr="00CF27A3">
        <w:t>t</w:t>
      </w:r>
      <w:r w:rsidR="00A130EC" w:rsidRPr="00CF27A3">
        <w:t xml:space="preserve">o </w:t>
      </w:r>
      <w:proofErr w:type="spellStart"/>
      <w:r w:rsidR="00A130EC" w:rsidRPr="00CF27A3">
        <w:t>exenatide</w:t>
      </w:r>
      <w:proofErr w:type="spellEnd"/>
      <w:r w:rsidR="00A130EC" w:rsidRPr="00CF27A3">
        <w:t xml:space="preserve"> DCP</w:t>
      </w:r>
      <w:r w:rsidR="004B4957" w:rsidRPr="00CF27A3">
        <w:t xml:space="preserve">, with an indirect estimate of effect of </w:t>
      </w:r>
      <w:r w:rsidR="004B4957" w:rsidRPr="00CF27A3">
        <w:rPr>
          <w:rFonts w:asciiTheme="minorHAnsi" w:hAnsiTheme="minorHAnsi"/>
          <w:bCs/>
          <w:szCs w:val="24"/>
        </w:rPr>
        <w:t xml:space="preserve">change from baseline HbA1c of </w:t>
      </w:r>
      <w:r w:rsidR="004B4957" w:rsidRPr="00CF27A3">
        <w:t>0.16% (95% CI</w:t>
      </w:r>
      <w:r w:rsidR="005A7C4F" w:rsidRPr="00CF27A3">
        <w:t>:</w:t>
      </w:r>
      <w:r w:rsidR="004B4957" w:rsidRPr="00CF27A3">
        <w:t xml:space="preserve"> -0.16, 0.48) </w:t>
      </w:r>
      <w:r w:rsidR="00554A0C" w:rsidRPr="00CF27A3">
        <w:t xml:space="preserve">in the base case and </w:t>
      </w:r>
      <w:r w:rsidR="004B4957" w:rsidRPr="00CF27A3">
        <w:t xml:space="preserve">0.33% (95% </w:t>
      </w:r>
      <w:r w:rsidR="009C621E" w:rsidRPr="00CF27A3">
        <w:t>CI</w:t>
      </w:r>
      <w:r w:rsidR="005A7C4F" w:rsidRPr="00CF27A3">
        <w:t>:</w:t>
      </w:r>
      <w:r w:rsidR="004B4957" w:rsidRPr="00CF27A3">
        <w:t xml:space="preserve"> -0.03, 0.69)</w:t>
      </w:r>
      <w:r w:rsidR="00554A0C" w:rsidRPr="00CF27A3">
        <w:t xml:space="preserve"> </w:t>
      </w:r>
      <w:r w:rsidR="004B4957" w:rsidRPr="00CF27A3">
        <w:t xml:space="preserve">in the </w:t>
      </w:r>
      <w:r w:rsidR="00A130EC" w:rsidRPr="00CF27A3">
        <w:t>revised</w:t>
      </w:r>
      <w:r w:rsidR="00A130EC" w:rsidRPr="00BD6C8A">
        <w:t xml:space="preserve"> ITC removing</w:t>
      </w:r>
      <w:r w:rsidR="00554A0C" w:rsidRPr="00BD6C8A">
        <w:t xml:space="preserve"> </w:t>
      </w:r>
      <w:r w:rsidR="00A130EC" w:rsidRPr="00BD6C8A">
        <w:t xml:space="preserve">the </w:t>
      </w:r>
      <w:r w:rsidR="00554A0C" w:rsidRPr="00BD6C8A">
        <w:t>DURATION-1</w:t>
      </w:r>
      <w:r w:rsidR="00A130EC" w:rsidRPr="00BD6C8A">
        <w:t xml:space="preserve"> trial</w:t>
      </w:r>
      <w:r w:rsidRPr="00BD6C8A">
        <w:t xml:space="preserve">. </w:t>
      </w:r>
    </w:p>
    <w:p w:rsidR="00954EAD" w:rsidRPr="00BD6C8A" w:rsidRDefault="004654D5"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 xml:space="preserve">The PBAC noted the pharmacokinetic and </w:t>
      </w:r>
      <w:proofErr w:type="spellStart"/>
      <w:r w:rsidRPr="00BD6C8A">
        <w:rPr>
          <w:rFonts w:asciiTheme="minorHAnsi" w:hAnsiTheme="minorHAnsi"/>
          <w:bCs/>
          <w:szCs w:val="24"/>
        </w:rPr>
        <w:t>pharmacodynamic</w:t>
      </w:r>
      <w:proofErr w:type="spellEnd"/>
      <w:r w:rsidRPr="00BD6C8A">
        <w:rPr>
          <w:rFonts w:asciiTheme="minorHAnsi" w:hAnsiTheme="minorHAnsi"/>
          <w:bCs/>
          <w:szCs w:val="24"/>
        </w:rPr>
        <w:t xml:space="preserve"> modelling presented in the PSCR and in the sponsor hearing, however considered that given the results of the indirect </w:t>
      </w:r>
      <w:r w:rsidR="00A130EC" w:rsidRPr="00BD6C8A">
        <w:rPr>
          <w:rFonts w:asciiTheme="minorHAnsi" w:hAnsiTheme="minorHAnsi"/>
          <w:bCs/>
          <w:szCs w:val="24"/>
        </w:rPr>
        <w:t>treatment</w:t>
      </w:r>
      <w:r w:rsidRPr="00BD6C8A">
        <w:rPr>
          <w:rFonts w:asciiTheme="minorHAnsi" w:hAnsiTheme="minorHAnsi"/>
          <w:bCs/>
          <w:szCs w:val="24"/>
        </w:rPr>
        <w:t xml:space="preserve"> comparison, these data were insufficient to demonstrate non-inferiority.</w:t>
      </w:r>
    </w:p>
    <w:p w:rsidR="0005217A" w:rsidRPr="00BD6C8A" w:rsidRDefault="00297EEE"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 xml:space="preserve">The PBAC considered it likely that reduced bioavailability </w:t>
      </w:r>
      <w:r w:rsidR="00F60715" w:rsidRPr="00BD6C8A">
        <w:rPr>
          <w:rFonts w:asciiTheme="minorHAnsi" w:hAnsiTheme="minorHAnsi"/>
          <w:bCs/>
          <w:szCs w:val="24"/>
        </w:rPr>
        <w:t xml:space="preserve">of </w:t>
      </w:r>
      <w:proofErr w:type="spellStart"/>
      <w:r w:rsidR="00F60715" w:rsidRPr="00BD6C8A">
        <w:rPr>
          <w:rFonts w:asciiTheme="minorHAnsi" w:hAnsiTheme="minorHAnsi"/>
          <w:bCs/>
          <w:szCs w:val="24"/>
        </w:rPr>
        <w:t>exenatide</w:t>
      </w:r>
      <w:proofErr w:type="spellEnd"/>
      <w:r w:rsidR="00F60715" w:rsidRPr="00BD6C8A">
        <w:rPr>
          <w:rFonts w:asciiTheme="minorHAnsi" w:hAnsiTheme="minorHAnsi"/>
          <w:bCs/>
          <w:szCs w:val="24"/>
        </w:rPr>
        <w:t xml:space="preserve"> </w:t>
      </w:r>
      <w:proofErr w:type="spellStart"/>
      <w:r w:rsidR="00F60715" w:rsidRPr="00BD6C8A">
        <w:rPr>
          <w:rFonts w:asciiTheme="minorHAnsi" w:hAnsiTheme="minorHAnsi"/>
          <w:bCs/>
          <w:szCs w:val="24"/>
        </w:rPr>
        <w:t>autoinjector</w:t>
      </w:r>
      <w:proofErr w:type="spellEnd"/>
      <w:r w:rsidR="00F60715" w:rsidRPr="00BD6C8A">
        <w:rPr>
          <w:rFonts w:asciiTheme="minorHAnsi" w:hAnsiTheme="minorHAnsi"/>
          <w:bCs/>
          <w:szCs w:val="24"/>
        </w:rPr>
        <w:t xml:space="preserve"> </w:t>
      </w:r>
      <w:r w:rsidRPr="00BD6C8A">
        <w:rPr>
          <w:rFonts w:asciiTheme="minorHAnsi" w:hAnsiTheme="minorHAnsi"/>
          <w:bCs/>
          <w:szCs w:val="24"/>
        </w:rPr>
        <w:t>explained the results of the indirect t</w:t>
      </w:r>
      <w:r w:rsidR="00F60715" w:rsidRPr="00BD6C8A">
        <w:rPr>
          <w:rFonts w:asciiTheme="minorHAnsi" w:hAnsiTheme="minorHAnsi"/>
          <w:bCs/>
          <w:szCs w:val="24"/>
        </w:rPr>
        <w:t>reatment</w:t>
      </w:r>
      <w:r w:rsidRPr="00BD6C8A">
        <w:rPr>
          <w:rFonts w:asciiTheme="minorHAnsi" w:hAnsiTheme="minorHAnsi"/>
          <w:bCs/>
          <w:szCs w:val="24"/>
        </w:rPr>
        <w:t xml:space="preserve"> comparison not supporting non-inferiority.</w:t>
      </w:r>
    </w:p>
    <w:p w:rsidR="0005217A" w:rsidRPr="00BD6C8A" w:rsidRDefault="0047396A"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 xml:space="preserve">The PBAC considered that the claim of non-inferior comparative safety was </w:t>
      </w:r>
      <w:r w:rsidR="005D543A" w:rsidRPr="00BD6C8A">
        <w:rPr>
          <w:rFonts w:asciiTheme="minorHAnsi" w:hAnsiTheme="minorHAnsi"/>
          <w:bCs/>
          <w:szCs w:val="24"/>
        </w:rPr>
        <w:t>reasonable</w:t>
      </w:r>
      <w:r w:rsidR="0002346E" w:rsidRPr="00BD6C8A">
        <w:rPr>
          <w:rFonts w:asciiTheme="minorHAnsi" w:hAnsiTheme="minorHAnsi"/>
          <w:bCs/>
          <w:szCs w:val="24"/>
        </w:rPr>
        <w:t xml:space="preserve">, noting </w:t>
      </w:r>
      <w:r w:rsidR="001C792A" w:rsidRPr="00BD6C8A">
        <w:rPr>
          <w:rFonts w:asciiTheme="minorHAnsi" w:hAnsiTheme="minorHAnsi"/>
          <w:bCs/>
          <w:szCs w:val="24"/>
        </w:rPr>
        <w:t xml:space="preserve">that although there was some uncertainty as no non-inferiority margin for safety outcomes was nominated, there were no statistically significant differences observed in adverse events in the </w:t>
      </w:r>
      <w:r w:rsidR="00C84375" w:rsidRPr="00BD6C8A">
        <w:rPr>
          <w:rFonts w:asciiTheme="minorHAnsi" w:hAnsiTheme="minorHAnsi"/>
          <w:bCs/>
          <w:szCs w:val="24"/>
        </w:rPr>
        <w:t>ITC</w:t>
      </w:r>
      <w:r w:rsidR="001C792A" w:rsidRPr="00BD6C8A">
        <w:rPr>
          <w:rFonts w:asciiTheme="minorHAnsi" w:hAnsiTheme="minorHAnsi"/>
          <w:bCs/>
          <w:szCs w:val="24"/>
        </w:rPr>
        <w:t>.</w:t>
      </w:r>
    </w:p>
    <w:p w:rsidR="007F41B0" w:rsidRPr="00BD6C8A" w:rsidRDefault="007F41B0"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 xml:space="preserve">The PBAC considered that the </w:t>
      </w:r>
      <w:proofErr w:type="spellStart"/>
      <w:r w:rsidRPr="00BD6C8A">
        <w:rPr>
          <w:rFonts w:asciiTheme="minorHAnsi" w:hAnsiTheme="minorHAnsi"/>
          <w:bCs/>
          <w:szCs w:val="24"/>
        </w:rPr>
        <w:t>equi</w:t>
      </w:r>
      <w:proofErr w:type="spellEnd"/>
      <w:r w:rsidRPr="00BD6C8A">
        <w:rPr>
          <w:rFonts w:asciiTheme="minorHAnsi" w:hAnsiTheme="minorHAnsi"/>
          <w:bCs/>
          <w:szCs w:val="24"/>
        </w:rPr>
        <w:t xml:space="preserve">-effective doses were uncertain given the submission had not adequately demonstrated that </w:t>
      </w:r>
      <w:proofErr w:type="spellStart"/>
      <w:r w:rsidRPr="00BD6C8A">
        <w:rPr>
          <w:rFonts w:asciiTheme="minorHAnsi" w:hAnsiTheme="minorHAnsi"/>
          <w:bCs/>
          <w:szCs w:val="24"/>
        </w:rPr>
        <w:t>exenatide</w:t>
      </w:r>
      <w:proofErr w:type="spellEnd"/>
      <w:r w:rsidRPr="00BD6C8A">
        <w:rPr>
          <w:rFonts w:asciiTheme="minorHAnsi" w:hAnsiTheme="minorHAnsi"/>
          <w:bCs/>
          <w:szCs w:val="24"/>
        </w:rPr>
        <w:t xml:space="preserve"> </w:t>
      </w:r>
      <w:proofErr w:type="spellStart"/>
      <w:r w:rsidRPr="00BD6C8A">
        <w:rPr>
          <w:rFonts w:asciiTheme="minorHAnsi" w:hAnsiTheme="minorHAnsi"/>
          <w:bCs/>
          <w:szCs w:val="24"/>
        </w:rPr>
        <w:t>autoinjector</w:t>
      </w:r>
      <w:proofErr w:type="spellEnd"/>
      <w:r w:rsidRPr="00BD6C8A">
        <w:rPr>
          <w:rFonts w:asciiTheme="minorHAnsi" w:hAnsiTheme="minorHAnsi"/>
          <w:bCs/>
          <w:szCs w:val="24"/>
        </w:rPr>
        <w:t xml:space="preserve"> 2</w:t>
      </w:r>
      <w:r w:rsidR="005B7260">
        <w:rPr>
          <w:rFonts w:asciiTheme="minorHAnsi" w:hAnsiTheme="minorHAnsi"/>
          <w:bCs/>
          <w:szCs w:val="24"/>
        </w:rPr>
        <w:t> </w:t>
      </w:r>
      <w:r w:rsidRPr="00BD6C8A">
        <w:rPr>
          <w:rFonts w:asciiTheme="minorHAnsi" w:hAnsiTheme="minorHAnsi"/>
          <w:bCs/>
          <w:szCs w:val="24"/>
        </w:rPr>
        <w:t xml:space="preserve">mg once weekly was non-inferior to </w:t>
      </w:r>
      <w:proofErr w:type="spellStart"/>
      <w:r w:rsidRPr="00BD6C8A">
        <w:rPr>
          <w:rFonts w:asciiTheme="minorHAnsi" w:hAnsiTheme="minorHAnsi"/>
          <w:bCs/>
          <w:szCs w:val="24"/>
        </w:rPr>
        <w:t>exenatide</w:t>
      </w:r>
      <w:proofErr w:type="spellEnd"/>
      <w:r w:rsidRPr="00BD6C8A">
        <w:rPr>
          <w:rFonts w:asciiTheme="minorHAnsi" w:hAnsiTheme="minorHAnsi"/>
          <w:bCs/>
          <w:szCs w:val="24"/>
        </w:rPr>
        <w:t xml:space="preserve"> DCP 2</w:t>
      </w:r>
      <w:r w:rsidR="005B7260">
        <w:rPr>
          <w:rFonts w:asciiTheme="minorHAnsi" w:hAnsiTheme="minorHAnsi"/>
          <w:bCs/>
          <w:szCs w:val="24"/>
        </w:rPr>
        <w:t> </w:t>
      </w:r>
      <w:r w:rsidRPr="00BD6C8A">
        <w:rPr>
          <w:rFonts w:asciiTheme="minorHAnsi" w:hAnsiTheme="minorHAnsi"/>
          <w:bCs/>
          <w:szCs w:val="24"/>
        </w:rPr>
        <w:t>mg once weekly.</w:t>
      </w:r>
      <w:r w:rsidR="00605337" w:rsidRPr="00BD6C8A">
        <w:rPr>
          <w:rFonts w:asciiTheme="minorHAnsi" w:hAnsiTheme="minorHAnsi"/>
          <w:bCs/>
          <w:szCs w:val="24"/>
        </w:rPr>
        <w:t xml:space="preserve"> </w:t>
      </w:r>
      <w:r w:rsidRPr="00BD6C8A">
        <w:rPr>
          <w:rFonts w:asciiTheme="minorHAnsi" w:hAnsiTheme="minorHAnsi"/>
          <w:bCs/>
          <w:szCs w:val="24"/>
        </w:rPr>
        <w:t xml:space="preserve">The PBAC considered that the cost-minimisation analysis should have accounted for the reduced efficacy of </w:t>
      </w:r>
      <w:proofErr w:type="spellStart"/>
      <w:r w:rsidRPr="00BD6C8A">
        <w:rPr>
          <w:rFonts w:asciiTheme="minorHAnsi" w:hAnsiTheme="minorHAnsi"/>
          <w:bCs/>
          <w:szCs w:val="24"/>
        </w:rPr>
        <w:t>exenatide</w:t>
      </w:r>
      <w:proofErr w:type="spellEnd"/>
      <w:r w:rsidRPr="00BD6C8A">
        <w:rPr>
          <w:rFonts w:asciiTheme="minorHAnsi" w:hAnsiTheme="minorHAnsi"/>
          <w:bCs/>
          <w:szCs w:val="24"/>
        </w:rPr>
        <w:t xml:space="preserve"> </w:t>
      </w:r>
      <w:proofErr w:type="spellStart"/>
      <w:r w:rsidRPr="00BD6C8A">
        <w:rPr>
          <w:rFonts w:asciiTheme="minorHAnsi" w:hAnsiTheme="minorHAnsi"/>
          <w:bCs/>
          <w:szCs w:val="24"/>
        </w:rPr>
        <w:t>autoinjector</w:t>
      </w:r>
      <w:proofErr w:type="spellEnd"/>
      <w:r w:rsidRPr="00BD6C8A">
        <w:rPr>
          <w:rFonts w:asciiTheme="minorHAnsi" w:hAnsiTheme="minorHAnsi"/>
          <w:bCs/>
          <w:szCs w:val="24"/>
        </w:rPr>
        <w:t xml:space="preserve"> and included offsets to account for increased use of other oral hypoglycaemic medicines. </w:t>
      </w:r>
    </w:p>
    <w:p w:rsidR="0005217A" w:rsidRPr="00BD6C8A" w:rsidRDefault="002E5F64"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lastRenderedPageBreak/>
        <w:t>The PBAC</w:t>
      </w:r>
      <w:r w:rsidR="0000199C" w:rsidRPr="00BD6C8A">
        <w:rPr>
          <w:rFonts w:asciiTheme="minorHAnsi" w:hAnsiTheme="minorHAnsi"/>
          <w:bCs/>
          <w:szCs w:val="24"/>
        </w:rPr>
        <w:t xml:space="preserve"> considered that the utilisation estimates may be underestimated in annual growth rate, particularly given the stated convenience of the formulation.</w:t>
      </w:r>
      <w:r w:rsidR="00605337" w:rsidRPr="00BD6C8A">
        <w:rPr>
          <w:rFonts w:asciiTheme="minorHAnsi" w:hAnsiTheme="minorHAnsi"/>
          <w:bCs/>
          <w:szCs w:val="24"/>
        </w:rPr>
        <w:t xml:space="preserve"> </w:t>
      </w:r>
      <w:r w:rsidR="0000199C" w:rsidRPr="00BD6C8A">
        <w:rPr>
          <w:rFonts w:asciiTheme="minorHAnsi" w:hAnsiTheme="minorHAnsi"/>
          <w:bCs/>
          <w:szCs w:val="24"/>
        </w:rPr>
        <w:t>The PBAC also con</w:t>
      </w:r>
      <w:r w:rsidR="0002346E" w:rsidRPr="00BD6C8A">
        <w:rPr>
          <w:rFonts w:asciiTheme="minorHAnsi" w:hAnsiTheme="minorHAnsi"/>
          <w:bCs/>
          <w:szCs w:val="24"/>
        </w:rPr>
        <w:t>sidered</w:t>
      </w:r>
      <w:r w:rsidRPr="00BD6C8A">
        <w:rPr>
          <w:rFonts w:asciiTheme="minorHAnsi" w:hAnsiTheme="minorHAnsi"/>
          <w:bCs/>
          <w:szCs w:val="24"/>
        </w:rPr>
        <w:t xml:space="preserve"> that the submission’s estimate of zero net financial implications with the listing of the </w:t>
      </w:r>
      <w:proofErr w:type="spellStart"/>
      <w:r w:rsidRPr="00BD6C8A">
        <w:rPr>
          <w:rFonts w:asciiTheme="minorHAnsi" w:hAnsiTheme="minorHAnsi"/>
          <w:bCs/>
          <w:szCs w:val="24"/>
        </w:rPr>
        <w:t>exenatide</w:t>
      </w:r>
      <w:proofErr w:type="spellEnd"/>
      <w:r w:rsidRPr="00BD6C8A">
        <w:rPr>
          <w:rFonts w:asciiTheme="minorHAnsi" w:hAnsiTheme="minorHAnsi"/>
          <w:bCs/>
          <w:szCs w:val="24"/>
        </w:rPr>
        <w:t xml:space="preserve"> once weekly </w:t>
      </w:r>
      <w:proofErr w:type="spellStart"/>
      <w:r w:rsidRPr="00BD6C8A">
        <w:rPr>
          <w:rFonts w:asciiTheme="minorHAnsi" w:hAnsiTheme="minorHAnsi"/>
          <w:bCs/>
          <w:szCs w:val="24"/>
        </w:rPr>
        <w:t>autoinjector</w:t>
      </w:r>
      <w:proofErr w:type="spellEnd"/>
      <w:r w:rsidRPr="00BD6C8A">
        <w:rPr>
          <w:rFonts w:asciiTheme="minorHAnsi" w:hAnsiTheme="minorHAnsi"/>
          <w:bCs/>
          <w:szCs w:val="24"/>
        </w:rPr>
        <w:t xml:space="preserve"> was </w:t>
      </w:r>
      <w:r w:rsidR="0002346E" w:rsidRPr="00BD6C8A">
        <w:rPr>
          <w:rFonts w:asciiTheme="minorHAnsi" w:hAnsiTheme="minorHAnsi"/>
          <w:bCs/>
          <w:szCs w:val="24"/>
        </w:rPr>
        <w:t>likely underestimated</w:t>
      </w:r>
      <w:r w:rsidRPr="00BD6C8A">
        <w:rPr>
          <w:rFonts w:asciiTheme="minorHAnsi" w:hAnsiTheme="minorHAnsi"/>
          <w:bCs/>
          <w:szCs w:val="24"/>
        </w:rPr>
        <w:t xml:space="preserve"> as the use of other </w:t>
      </w:r>
      <w:r w:rsidR="007F41B0" w:rsidRPr="00BD6C8A">
        <w:rPr>
          <w:rFonts w:asciiTheme="minorHAnsi" w:hAnsiTheme="minorHAnsi"/>
          <w:bCs/>
          <w:szCs w:val="24"/>
        </w:rPr>
        <w:t>hypoglycaemic medicines</w:t>
      </w:r>
      <w:r w:rsidRPr="00BD6C8A">
        <w:rPr>
          <w:rFonts w:asciiTheme="minorHAnsi" w:hAnsiTheme="minorHAnsi"/>
          <w:bCs/>
          <w:szCs w:val="24"/>
        </w:rPr>
        <w:t xml:space="preserve"> </w:t>
      </w:r>
      <w:r w:rsidR="0002346E" w:rsidRPr="00BD6C8A">
        <w:rPr>
          <w:rFonts w:asciiTheme="minorHAnsi" w:hAnsiTheme="minorHAnsi"/>
          <w:bCs/>
          <w:szCs w:val="24"/>
        </w:rPr>
        <w:t>was likely to</w:t>
      </w:r>
      <w:r w:rsidRPr="00BD6C8A">
        <w:rPr>
          <w:rFonts w:asciiTheme="minorHAnsi" w:hAnsiTheme="minorHAnsi"/>
          <w:bCs/>
          <w:szCs w:val="24"/>
        </w:rPr>
        <w:t xml:space="preserve"> increase given the </w:t>
      </w:r>
      <w:r w:rsidR="008D0B9B" w:rsidRPr="00BD6C8A">
        <w:rPr>
          <w:rFonts w:asciiTheme="minorHAnsi" w:hAnsiTheme="minorHAnsi"/>
          <w:bCs/>
          <w:szCs w:val="24"/>
        </w:rPr>
        <w:t>likely</w:t>
      </w:r>
      <w:r w:rsidRPr="00BD6C8A">
        <w:rPr>
          <w:rFonts w:asciiTheme="minorHAnsi" w:hAnsiTheme="minorHAnsi"/>
          <w:bCs/>
          <w:szCs w:val="24"/>
        </w:rPr>
        <w:t xml:space="preserve"> non-inferior</w:t>
      </w:r>
      <w:r w:rsidR="008D0B9B" w:rsidRPr="00BD6C8A">
        <w:rPr>
          <w:rFonts w:asciiTheme="minorHAnsi" w:hAnsiTheme="minorHAnsi"/>
          <w:bCs/>
          <w:szCs w:val="24"/>
        </w:rPr>
        <w:t xml:space="preserve"> efficacy</w:t>
      </w:r>
      <w:r w:rsidRPr="00BD6C8A">
        <w:rPr>
          <w:rFonts w:asciiTheme="minorHAnsi" w:hAnsiTheme="minorHAnsi"/>
          <w:bCs/>
          <w:szCs w:val="24"/>
        </w:rPr>
        <w:t xml:space="preserve"> compared with the </w:t>
      </w:r>
      <w:proofErr w:type="spellStart"/>
      <w:r w:rsidRPr="00BD6C8A">
        <w:rPr>
          <w:rFonts w:asciiTheme="minorHAnsi" w:hAnsiTheme="minorHAnsi"/>
          <w:bCs/>
          <w:szCs w:val="24"/>
        </w:rPr>
        <w:t>exenatide</w:t>
      </w:r>
      <w:proofErr w:type="spellEnd"/>
      <w:r w:rsidRPr="00BD6C8A">
        <w:rPr>
          <w:rFonts w:asciiTheme="minorHAnsi" w:hAnsiTheme="minorHAnsi"/>
          <w:bCs/>
          <w:szCs w:val="24"/>
        </w:rPr>
        <w:t xml:space="preserve"> once weekly DCP</w:t>
      </w:r>
      <w:r w:rsidR="00BD6C8A">
        <w:rPr>
          <w:rFonts w:asciiTheme="minorHAnsi" w:hAnsiTheme="minorHAnsi"/>
          <w:bCs/>
          <w:szCs w:val="24"/>
        </w:rPr>
        <w:t xml:space="preserve">. </w:t>
      </w:r>
    </w:p>
    <w:p w:rsidR="0005217A" w:rsidRPr="00BD6C8A" w:rsidRDefault="00D53E27"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 xml:space="preserve">The PBAC considered that a future resubmission </w:t>
      </w:r>
      <w:r w:rsidR="0002346E" w:rsidRPr="00BD6C8A">
        <w:rPr>
          <w:rFonts w:asciiTheme="minorHAnsi" w:hAnsiTheme="minorHAnsi"/>
          <w:bCs/>
          <w:szCs w:val="24"/>
        </w:rPr>
        <w:t xml:space="preserve">would need to be a major submission if </w:t>
      </w:r>
      <w:r w:rsidRPr="00BD6C8A">
        <w:rPr>
          <w:rFonts w:asciiTheme="minorHAnsi" w:hAnsiTheme="minorHAnsi"/>
          <w:bCs/>
          <w:szCs w:val="24"/>
        </w:rPr>
        <w:t xml:space="preserve">presenting new clinical data </w:t>
      </w:r>
      <w:r w:rsidR="0002346E" w:rsidRPr="00BD6C8A">
        <w:rPr>
          <w:rFonts w:asciiTheme="minorHAnsi" w:hAnsiTheme="minorHAnsi"/>
          <w:bCs/>
          <w:szCs w:val="24"/>
        </w:rPr>
        <w:t>t</w:t>
      </w:r>
      <w:r w:rsidRPr="00BD6C8A">
        <w:rPr>
          <w:rFonts w:asciiTheme="minorHAnsi" w:hAnsiTheme="minorHAnsi"/>
          <w:bCs/>
          <w:szCs w:val="24"/>
        </w:rPr>
        <w:t xml:space="preserve">o seek the same cost as </w:t>
      </w:r>
      <w:r w:rsidR="0002346E" w:rsidRPr="00BD6C8A">
        <w:rPr>
          <w:rFonts w:asciiTheme="minorHAnsi" w:hAnsiTheme="minorHAnsi"/>
          <w:bCs/>
          <w:szCs w:val="24"/>
        </w:rPr>
        <w:t xml:space="preserve">the </w:t>
      </w:r>
      <w:r w:rsidRPr="00BD6C8A">
        <w:rPr>
          <w:rFonts w:asciiTheme="minorHAnsi" w:hAnsiTheme="minorHAnsi"/>
          <w:bCs/>
          <w:szCs w:val="24"/>
        </w:rPr>
        <w:t xml:space="preserve">currently listed </w:t>
      </w:r>
      <w:proofErr w:type="spellStart"/>
      <w:r w:rsidRPr="00BD6C8A">
        <w:rPr>
          <w:rFonts w:asciiTheme="minorHAnsi" w:hAnsiTheme="minorHAnsi"/>
          <w:bCs/>
          <w:szCs w:val="24"/>
        </w:rPr>
        <w:t>exenatide</w:t>
      </w:r>
      <w:proofErr w:type="spellEnd"/>
      <w:r w:rsidR="008D0B9B" w:rsidRPr="00BD6C8A">
        <w:rPr>
          <w:rFonts w:asciiTheme="minorHAnsi" w:hAnsiTheme="minorHAnsi"/>
          <w:bCs/>
          <w:szCs w:val="24"/>
        </w:rPr>
        <w:t xml:space="preserve"> DCP </w:t>
      </w:r>
      <w:r w:rsidRPr="00BD6C8A">
        <w:rPr>
          <w:rFonts w:asciiTheme="minorHAnsi" w:hAnsiTheme="minorHAnsi"/>
          <w:bCs/>
          <w:szCs w:val="24"/>
        </w:rPr>
        <w:t>presentation</w:t>
      </w:r>
      <w:r w:rsidR="008D0B9B" w:rsidRPr="00BD6C8A">
        <w:rPr>
          <w:rFonts w:asciiTheme="minorHAnsi" w:hAnsiTheme="minorHAnsi"/>
          <w:bCs/>
          <w:szCs w:val="24"/>
        </w:rPr>
        <w:t xml:space="preserve">. A </w:t>
      </w:r>
      <w:r w:rsidRPr="00BD6C8A">
        <w:rPr>
          <w:rFonts w:asciiTheme="minorHAnsi" w:hAnsiTheme="minorHAnsi"/>
          <w:bCs/>
          <w:szCs w:val="24"/>
        </w:rPr>
        <w:t xml:space="preserve">minor </w:t>
      </w:r>
      <w:r w:rsidR="008D0B9B" w:rsidRPr="00BD6C8A">
        <w:rPr>
          <w:rFonts w:asciiTheme="minorHAnsi" w:hAnsiTheme="minorHAnsi"/>
          <w:bCs/>
          <w:szCs w:val="24"/>
        </w:rPr>
        <w:t>re</w:t>
      </w:r>
      <w:r w:rsidRPr="00BD6C8A">
        <w:rPr>
          <w:rFonts w:asciiTheme="minorHAnsi" w:hAnsiTheme="minorHAnsi"/>
          <w:bCs/>
          <w:szCs w:val="24"/>
        </w:rPr>
        <w:t>submission</w:t>
      </w:r>
      <w:r w:rsidR="008D0B9B" w:rsidRPr="00BD6C8A">
        <w:rPr>
          <w:rFonts w:asciiTheme="minorHAnsi" w:hAnsiTheme="minorHAnsi"/>
          <w:bCs/>
          <w:szCs w:val="24"/>
        </w:rPr>
        <w:t xml:space="preserve"> would be appropriate if</w:t>
      </w:r>
      <w:r w:rsidR="0002346E" w:rsidRPr="00BD6C8A">
        <w:rPr>
          <w:rFonts w:asciiTheme="minorHAnsi" w:hAnsiTheme="minorHAnsi"/>
          <w:bCs/>
          <w:szCs w:val="24"/>
        </w:rPr>
        <w:t xml:space="preserve"> </w:t>
      </w:r>
      <w:r w:rsidRPr="00BD6C8A">
        <w:rPr>
          <w:rFonts w:asciiTheme="minorHAnsi" w:hAnsiTheme="minorHAnsi"/>
          <w:bCs/>
          <w:szCs w:val="24"/>
        </w:rPr>
        <w:t>seeking listing</w:t>
      </w:r>
      <w:r w:rsidR="008D0B9B" w:rsidRPr="00BD6C8A">
        <w:rPr>
          <w:rFonts w:asciiTheme="minorHAnsi" w:hAnsiTheme="minorHAnsi"/>
          <w:bCs/>
          <w:szCs w:val="24"/>
        </w:rPr>
        <w:t xml:space="preserve"> based on the same clinical data</w:t>
      </w:r>
      <w:r w:rsidRPr="00BD6C8A">
        <w:rPr>
          <w:rFonts w:asciiTheme="minorHAnsi" w:hAnsiTheme="minorHAnsi"/>
          <w:bCs/>
          <w:szCs w:val="24"/>
        </w:rPr>
        <w:t xml:space="preserve"> at </w:t>
      </w:r>
      <w:r w:rsidR="0002346E" w:rsidRPr="00BD6C8A">
        <w:rPr>
          <w:rFonts w:asciiTheme="minorHAnsi" w:hAnsiTheme="minorHAnsi"/>
          <w:bCs/>
          <w:szCs w:val="24"/>
        </w:rPr>
        <w:t>a</w:t>
      </w:r>
      <w:r w:rsidRPr="00BD6C8A">
        <w:rPr>
          <w:rFonts w:asciiTheme="minorHAnsi" w:hAnsiTheme="minorHAnsi"/>
          <w:bCs/>
          <w:szCs w:val="24"/>
        </w:rPr>
        <w:t xml:space="preserve"> </w:t>
      </w:r>
      <w:r w:rsidR="0002346E" w:rsidRPr="00BD6C8A">
        <w:rPr>
          <w:rFonts w:asciiTheme="minorHAnsi" w:hAnsiTheme="minorHAnsi"/>
          <w:bCs/>
          <w:szCs w:val="24"/>
        </w:rPr>
        <w:t>reduced</w:t>
      </w:r>
      <w:r w:rsidRPr="00BD6C8A">
        <w:rPr>
          <w:rFonts w:asciiTheme="minorHAnsi" w:hAnsiTheme="minorHAnsi"/>
          <w:bCs/>
          <w:szCs w:val="24"/>
        </w:rPr>
        <w:t xml:space="preserve"> price</w:t>
      </w:r>
      <w:r w:rsidR="0002346E" w:rsidRPr="00BD6C8A">
        <w:rPr>
          <w:rFonts w:asciiTheme="minorHAnsi" w:hAnsiTheme="minorHAnsi"/>
          <w:bCs/>
          <w:szCs w:val="24"/>
        </w:rPr>
        <w:t xml:space="preserve"> to reflect the reduced</w:t>
      </w:r>
      <w:r w:rsidR="008D0B9B" w:rsidRPr="00BD6C8A">
        <w:rPr>
          <w:rFonts w:asciiTheme="minorHAnsi" w:hAnsiTheme="minorHAnsi"/>
          <w:bCs/>
          <w:szCs w:val="24"/>
        </w:rPr>
        <w:t xml:space="preserve"> comparative</w:t>
      </w:r>
      <w:r w:rsidR="0002346E" w:rsidRPr="00BD6C8A">
        <w:rPr>
          <w:rFonts w:asciiTheme="minorHAnsi" w:hAnsiTheme="minorHAnsi"/>
          <w:bCs/>
          <w:szCs w:val="24"/>
        </w:rPr>
        <w:t xml:space="preserve"> efficacy of </w:t>
      </w:r>
      <w:proofErr w:type="spellStart"/>
      <w:r w:rsidR="0002346E" w:rsidRPr="00BD6C8A">
        <w:rPr>
          <w:rFonts w:asciiTheme="minorHAnsi" w:hAnsiTheme="minorHAnsi"/>
          <w:bCs/>
          <w:szCs w:val="24"/>
        </w:rPr>
        <w:t>exenatide</w:t>
      </w:r>
      <w:proofErr w:type="spellEnd"/>
      <w:r w:rsidR="0002346E" w:rsidRPr="00BD6C8A">
        <w:rPr>
          <w:rFonts w:asciiTheme="minorHAnsi" w:hAnsiTheme="minorHAnsi"/>
          <w:bCs/>
          <w:szCs w:val="24"/>
        </w:rPr>
        <w:t xml:space="preserve"> </w:t>
      </w:r>
      <w:proofErr w:type="spellStart"/>
      <w:r w:rsidR="0002346E" w:rsidRPr="00BD6C8A">
        <w:rPr>
          <w:rFonts w:asciiTheme="minorHAnsi" w:hAnsiTheme="minorHAnsi"/>
          <w:bCs/>
          <w:szCs w:val="24"/>
        </w:rPr>
        <w:t>autoinjector</w:t>
      </w:r>
      <w:proofErr w:type="spellEnd"/>
      <w:r w:rsidR="0002346E" w:rsidRPr="00BD6C8A">
        <w:rPr>
          <w:rFonts w:asciiTheme="minorHAnsi" w:hAnsiTheme="minorHAnsi"/>
          <w:bCs/>
          <w:szCs w:val="24"/>
        </w:rPr>
        <w:t xml:space="preserve"> and</w:t>
      </w:r>
      <w:r w:rsidR="00F451C4" w:rsidRPr="00BD6C8A">
        <w:rPr>
          <w:rFonts w:asciiTheme="minorHAnsi" w:hAnsiTheme="minorHAnsi"/>
          <w:bCs/>
          <w:szCs w:val="24"/>
        </w:rPr>
        <w:t xml:space="preserve"> adequately accounting for the</w:t>
      </w:r>
      <w:r w:rsidR="0002346E" w:rsidRPr="00BD6C8A">
        <w:rPr>
          <w:rFonts w:asciiTheme="minorHAnsi" w:hAnsiTheme="minorHAnsi"/>
          <w:bCs/>
          <w:szCs w:val="24"/>
        </w:rPr>
        <w:t xml:space="preserve"> likely increased </w:t>
      </w:r>
      <w:r w:rsidR="00F451C4" w:rsidRPr="00BD6C8A">
        <w:rPr>
          <w:rFonts w:asciiTheme="minorHAnsi" w:hAnsiTheme="minorHAnsi"/>
          <w:bCs/>
          <w:szCs w:val="24"/>
        </w:rPr>
        <w:t xml:space="preserve">concomitant </w:t>
      </w:r>
      <w:r w:rsidR="0002346E" w:rsidRPr="00BD6C8A">
        <w:rPr>
          <w:rFonts w:asciiTheme="minorHAnsi" w:hAnsiTheme="minorHAnsi"/>
          <w:bCs/>
          <w:szCs w:val="24"/>
        </w:rPr>
        <w:t xml:space="preserve">usage of other </w:t>
      </w:r>
      <w:r w:rsidR="007F41B0" w:rsidRPr="00BD6C8A">
        <w:rPr>
          <w:rFonts w:asciiTheme="minorHAnsi" w:hAnsiTheme="minorHAnsi"/>
          <w:bCs/>
          <w:szCs w:val="24"/>
        </w:rPr>
        <w:t>hypoglycaemic medicines</w:t>
      </w:r>
      <w:r w:rsidR="00F451C4" w:rsidRPr="00BD6C8A">
        <w:rPr>
          <w:rFonts w:asciiTheme="minorHAnsi" w:hAnsiTheme="minorHAnsi"/>
          <w:bCs/>
          <w:szCs w:val="24"/>
        </w:rPr>
        <w:t xml:space="preserve">. </w:t>
      </w:r>
    </w:p>
    <w:p w:rsidR="0005217A" w:rsidRPr="00BD6C8A" w:rsidRDefault="0005217A" w:rsidP="00592178">
      <w:pPr>
        <w:widowControl/>
        <w:numPr>
          <w:ilvl w:val="1"/>
          <w:numId w:val="1"/>
        </w:numPr>
        <w:spacing w:before="120" w:after="120"/>
        <w:rPr>
          <w:rFonts w:asciiTheme="minorHAnsi" w:hAnsiTheme="minorHAnsi"/>
          <w:bCs/>
          <w:szCs w:val="24"/>
        </w:rPr>
      </w:pPr>
      <w:r w:rsidRPr="00BD6C8A">
        <w:rPr>
          <w:rFonts w:asciiTheme="minorHAnsi" w:hAnsiTheme="minorHAnsi"/>
          <w:bCs/>
          <w:szCs w:val="24"/>
        </w:rPr>
        <w:t xml:space="preserve">The PBAC noted </w:t>
      </w:r>
      <w:r w:rsidR="00D53E27" w:rsidRPr="00BD6C8A">
        <w:rPr>
          <w:rFonts w:asciiTheme="minorHAnsi" w:hAnsiTheme="minorHAnsi"/>
          <w:bCs/>
          <w:szCs w:val="24"/>
        </w:rPr>
        <w:t xml:space="preserve">that this submission is </w:t>
      </w:r>
      <w:r w:rsidRPr="00BD6C8A">
        <w:rPr>
          <w:rFonts w:asciiTheme="minorHAnsi" w:hAnsiTheme="minorHAnsi"/>
          <w:bCs/>
          <w:szCs w:val="24"/>
        </w:rPr>
        <w:t>eligible for an Independent R</w:t>
      </w:r>
      <w:r w:rsidR="00D53E27" w:rsidRPr="00BD6C8A">
        <w:rPr>
          <w:rFonts w:asciiTheme="minorHAnsi" w:hAnsiTheme="minorHAnsi"/>
          <w:bCs/>
          <w:szCs w:val="24"/>
        </w:rPr>
        <w:t xml:space="preserve">eview. </w:t>
      </w:r>
    </w:p>
    <w:p w:rsidR="0005217A" w:rsidRPr="00BD6C8A" w:rsidRDefault="0005217A" w:rsidP="00592178">
      <w:pPr>
        <w:widowControl/>
        <w:spacing w:before="120" w:after="120"/>
        <w:rPr>
          <w:rFonts w:asciiTheme="minorHAnsi" w:hAnsiTheme="minorHAnsi"/>
          <w:b/>
          <w:bCs/>
          <w:szCs w:val="24"/>
        </w:rPr>
      </w:pPr>
      <w:r w:rsidRPr="00BD6C8A">
        <w:rPr>
          <w:rFonts w:asciiTheme="minorHAnsi" w:hAnsiTheme="minorHAnsi"/>
          <w:b/>
          <w:bCs/>
          <w:szCs w:val="24"/>
        </w:rPr>
        <w:t>Outcome:</w:t>
      </w:r>
    </w:p>
    <w:p w:rsidR="00C27C6C" w:rsidRPr="00BD6C8A" w:rsidRDefault="00CF27A3" w:rsidP="00592178">
      <w:pPr>
        <w:widowControl/>
        <w:spacing w:before="120" w:after="120"/>
        <w:rPr>
          <w:rFonts w:asciiTheme="minorHAnsi" w:hAnsiTheme="minorHAnsi"/>
          <w:bCs/>
          <w:szCs w:val="24"/>
        </w:rPr>
      </w:pPr>
      <w:r>
        <w:rPr>
          <w:rFonts w:asciiTheme="minorHAnsi" w:hAnsiTheme="minorHAnsi"/>
          <w:bCs/>
          <w:szCs w:val="24"/>
        </w:rPr>
        <w:t>Rejected</w:t>
      </w:r>
    </w:p>
    <w:p w:rsidR="00BE108C" w:rsidRPr="00C07617" w:rsidRDefault="00BE108C" w:rsidP="00592178">
      <w:pPr>
        <w:pStyle w:val="Heading1"/>
        <w:spacing w:before="120"/>
        <w:rPr>
          <w:rFonts w:asciiTheme="minorHAnsi" w:hAnsiTheme="minorHAnsi"/>
          <w:b w:val="0"/>
        </w:rPr>
      </w:pPr>
      <w:r w:rsidRPr="00C07617">
        <w:rPr>
          <w:rFonts w:asciiTheme="minorHAnsi" w:hAnsiTheme="minorHAnsi"/>
        </w:rPr>
        <w:t>Context for Decision</w:t>
      </w:r>
    </w:p>
    <w:p w:rsidR="00BE108C" w:rsidRPr="00CF27A3" w:rsidRDefault="00BE108C" w:rsidP="00592178">
      <w:pPr>
        <w:spacing w:before="120" w:after="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w:t>
      </w:r>
      <w:r w:rsidR="00CF27A3">
        <w:rPr>
          <w:rFonts w:asciiTheme="minorHAnsi" w:hAnsiTheme="minorHAnsi"/>
        </w:rPr>
        <w:t>nt review of the PBAC decision.</w:t>
      </w:r>
    </w:p>
    <w:p w:rsidR="00BE108C" w:rsidRPr="00CF27A3" w:rsidRDefault="00BE108C" w:rsidP="00592178">
      <w:pPr>
        <w:pStyle w:val="Heading1"/>
        <w:spacing w:before="120"/>
        <w:rPr>
          <w:rFonts w:asciiTheme="minorHAnsi" w:hAnsiTheme="minorHAnsi"/>
        </w:rPr>
      </w:pPr>
      <w:r>
        <w:rPr>
          <w:rFonts w:asciiTheme="minorHAnsi" w:hAnsiTheme="minorHAnsi"/>
        </w:rPr>
        <w:t>Sponsor’s Comment</w:t>
      </w:r>
    </w:p>
    <w:p w:rsidR="00BE108C" w:rsidRPr="00C07617" w:rsidRDefault="00BE108C" w:rsidP="00592178">
      <w:pPr>
        <w:spacing w:before="120" w:after="120"/>
        <w:ind w:left="709"/>
        <w:rPr>
          <w:rFonts w:asciiTheme="minorHAnsi" w:hAnsiTheme="minorHAnsi"/>
          <w:bCs/>
        </w:rPr>
      </w:pPr>
      <w:r w:rsidRPr="00C07617">
        <w:rPr>
          <w:rFonts w:asciiTheme="minorHAnsi" w:hAnsiTheme="minorHAnsi"/>
          <w:bCs/>
        </w:rPr>
        <w:t>The sponsor had no comment.</w:t>
      </w:r>
    </w:p>
    <w:p w:rsidR="0005217A" w:rsidRPr="00BD6C8A" w:rsidRDefault="0005217A" w:rsidP="00E2793B">
      <w:pPr>
        <w:spacing w:after="120"/>
        <w:rPr>
          <w:rFonts w:asciiTheme="minorHAnsi" w:hAnsiTheme="minorHAnsi"/>
          <w:bCs/>
          <w:szCs w:val="24"/>
        </w:rPr>
      </w:pPr>
    </w:p>
    <w:sectPr w:rsidR="0005217A" w:rsidRPr="00BD6C8A" w:rsidSect="00E21358">
      <w:headerReference w:type="default" r:id="rId8"/>
      <w:footerReference w:type="default" r:id="rId9"/>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0122" w:rsidRDefault="00E40122" w:rsidP="00124A51">
      <w:r>
        <w:separator/>
      </w:r>
    </w:p>
    <w:p w:rsidR="00E40122" w:rsidRDefault="00E40122"/>
  </w:endnote>
  <w:endnote w:type="continuationSeparator" w:id="0">
    <w:p w:rsidR="00E40122" w:rsidRDefault="00E40122" w:rsidP="00124A51">
      <w:r>
        <w:continuationSeparator/>
      </w:r>
    </w:p>
    <w:p w:rsidR="00E40122" w:rsidRDefault="00E401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7638006"/>
      <w:docPartObj>
        <w:docPartGallery w:val="Page Numbers (Bottom of Page)"/>
        <w:docPartUnique/>
      </w:docPartObj>
    </w:sdtPr>
    <w:sdtEndPr>
      <w:rPr>
        <w:b/>
        <w:noProof/>
        <w:szCs w:val="24"/>
      </w:rPr>
    </w:sdtEndPr>
    <w:sdtContent>
      <w:p w:rsidR="00FF70E5" w:rsidRPr="005A7C4F" w:rsidRDefault="00FF70E5">
        <w:pPr>
          <w:pStyle w:val="Footer"/>
          <w:jc w:val="center"/>
          <w:rPr>
            <w:b/>
            <w:szCs w:val="24"/>
          </w:rPr>
        </w:pPr>
        <w:r w:rsidRPr="005A7C4F">
          <w:rPr>
            <w:b/>
            <w:szCs w:val="24"/>
          </w:rPr>
          <w:fldChar w:fldCharType="begin"/>
        </w:r>
        <w:r w:rsidRPr="005A7C4F">
          <w:rPr>
            <w:b/>
            <w:szCs w:val="24"/>
          </w:rPr>
          <w:instrText xml:space="preserve"> PAGE   \* MERGEFORMAT </w:instrText>
        </w:r>
        <w:r w:rsidRPr="005A7C4F">
          <w:rPr>
            <w:b/>
            <w:szCs w:val="24"/>
          </w:rPr>
          <w:fldChar w:fldCharType="separate"/>
        </w:r>
        <w:r w:rsidR="00D2375F">
          <w:rPr>
            <w:b/>
            <w:noProof/>
            <w:szCs w:val="24"/>
          </w:rPr>
          <w:t>12</w:t>
        </w:r>
        <w:r w:rsidRPr="005A7C4F">
          <w:rPr>
            <w:b/>
            <w:noProof/>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0122" w:rsidRDefault="00E40122" w:rsidP="00124A51">
      <w:r>
        <w:separator/>
      </w:r>
    </w:p>
    <w:p w:rsidR="00E40122" w:rsidRDefault="00E40122"/>
  </w:footnote>
  <w:footnote w:type="continuationSeparator" w:id="0">
    <w:p w:rsidR="00E40122" w:rsidRDefault="00E40122" w:rsidP="00124A51">
      <w:r>
        <w:continuationSeparator/>
      </w:r>
    </w:p>
    <w:p w:rsidR="00E40122" w:rsidRDefault="00E40122"/>
  </w:footnote>
  <w:footnote w:id="1">
    <w:p w:rsidR="00FF70E5" w:rsidRDefault="00FF70E5" w:rsidP="002E2020">
      <w:pPr>
        <w:pStyle w:val="FootnoteText"/>
      </w:pPr>
      <w:r w:rsidRPr="00977D01">
        <w:rPr>
          <w:rStyle w:val="FootnoteReference"/>
        </w:rPr>
        <w:footnoteRef/>
      </w:r>
      <w:r>
        <w:t xml:space="preserve">Australian Bureau of Statistics 2016, </w:t>
      </w:r>
    </w:p>
    <w:p w:rsidR="00FF70E5" w:rsidRDefault="00FF70E5" w:rsidP="002E2020">
      <w:pPr>
        <w:pStyle w:val="FootnoteText"/>
      </w:pPr>
    </w:p>
    <w:p w:rsidR="00FF70E5" w:rsidRDefault="00D2375F" w:rsidP="002E2020">
      <w:pPr>
        <w:pStyle w:val="FootnoteText"/>
      </w:pPr>
      <w:hyperlink r:id="rId1" w:history="1">
        <w:r w:rsidR="00FF70E5" w:rsidRPr="00C738A0">
          <w:rPr>
            <w:rStyle w:val="Hyperlink"/>
          </w:rPr>
          <w:t>https://www.abs.gov.au/websitedbs/D3310114.nsf/home/census</w:t>
        </w:r>
      </w:hyperlink>
      <w:r w:rsidR="00FF70E5">
        <w:t>, viewed March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70E5" w:rsidRPr="00834E07" w:rsidRDefault="00FF70E5" w:rsidP="00834E07">
    <w:pPr>
      <w:widowControl/>
      <w:tabs>
        <w:tab w:val="center" w:pos="4153"/>
        <w:tab w:val="right" w:pos="8306"/>
      </w:tabs>
      <w:jc w:val="center"/>
      <w:rPr>
        <w:rFonts w:asciiTheme="minorHAnsi" w:hAnsiTheme="minorHAnsi"/>
        <w:i/>
        <w:snapToGrid/>
        <w:color w:val="808080"/>
        <w:szCs w:val="24"/>
      </w:rPr>
    </w:pPr>
    <w:r>
      <w:rPr>
        <w:rFonts w:asciiTheme="minorHAnsi" w:hAnsiTheme="minorHAnsi"/>
        <w:i/>
        <w:snapToGrid/>
        <w:color w:val="808080"/>
        <w:szCs w:val="24"/>
      </w:rPr>
      <w:t xml:space="preserve">Public Summary Document </w:t>
    </w:r>
    <w:r w:rsidRPr="00834E07">
      <w:rPr>
        <w:rFonts w:asciiTheme="minorHAnsi" w:hAnsiTheme="minorHAnsi"/>
        <w:i/>
        <w:snapToGrid/>
        <w:color w:val="808080"/>
        <w:szCs w:val="24"/>
      </w:rPr>
      <w:t>– March 2019 PBAC Meeting</w:t>
    </w:r>
  </w:p>
  <w:p w:rsidR="00FF70E5" w:rsidRPr="00124A51" w:rsidRDefault="00FF70E5" w:rsidP="002B1C1F">
    <w:pPr>
      <w:tabs>
        <w:tab w:val="left" w:pos="142"/>
        <w:tab w:val="right" w:pos="9027"/>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EAC67E7"/>
    <w:multiLevelType w:val="hybridMultilevel"/>
    <w:tmpl w:val="B1301632"/>
    <w:lvl w:ilvl="0" w:tplc="0C090001">
      <w:start w:val="1"/>
      <w:numFmt w:val="bullet"/>
      <w:lvlText w:val=""/>
      <w:lvlJc w:val="left"/>
      <w:pPr>
        <w:ind w:left="1500" w:hanging="360"/>
      </w:pPr>
      <w:rPr>
        <w:rFonts w:ascii="Symbol" w:hAnsi="Symbol" w:hint="default"/>
      </w:rPr>
    </w:lvl>
    <w:lvl w:ilvl="1" w:tplc="0C090003" w:tentative="1">
      <w:start w:val="1"/>
      <w:numFmt w:val="bullet"/>
      <w:lvlText w:val="o"/>
      <w:lvlJc w:val="left"/>
      <w:pPr>
        <w:ind w:left="2220" w:hanging="360"/>
      </w:pPr>
      <w:rPr>
        <w:rFonts w:ascii="Courier New" w:hAnsi="Courier New" w:cs="Courier New" w:hint="default"/>
      </w:rPr>
    </w:lvl>
    <w:lvl w:ilvl="2" w:tplc="0C090005" w:tentative="1">
      <w:start w:val="1"/>
      <w:numFmt w:val="bullet"/>
      <w:lvlText w:val=""/>
      <w:lvlJc w:val="left"/>
      <w:pPr>
        <w:ind w:left="2940" w:hanging="360"/>
      </w:pPr>
      <w:rPr>
        <w:rFonts w:ascii="Wingdings" w:hAnsi="Wingdings" w:hint="default"/>
      </w:rPr>
    </w:lvl>
    <w:lvl w:ilvl="3" w:tplc="0C090001" w:tentative="1">
      <w:start w:val="1"/>
      <w:numFmt w:val="bullet"/>
      <w:lvlText w:val=""/>
      <w:lvlJc w:val="left"/>
      <w:pPr>
        <w:ind w:left="3660" w:hanging="360"/>
      </w:pPr>
      <w:rPr>
        <w:rFonts w:ascii="Symbol" w:hAnsi="Symbol" w:hint="default"/>
      </w:rPr>
    </w:lvl>
    <w:lvl w:ilvl="4" w:tplc="0C090003" w:tentative="1">
      <w:start w:val="1"/>
      <w:numFmt w:val="bullet"/>
      <w:lvlText w:val="o"/>
      <w:lvlJc w:val="left"/>
      <w:pPr>
        <w:ind w:left="4380" w:hanging="360"/>
      </w:pPr>
      <w:rPr>
        <w:rFonts w:ascii="Courier New" w:hAnsi="Courier New" w:cs="Courier New" w:hint="default"/>
      </w:rPr>
    </w:lvl>
    <w:lvl w:ilvl="5" w:tplc="0C090005" w:tentative="1">
      <w:start w:val="1"/>
      <w:numFmt w:val="bullet"/>
      <w:lvlText w:val=""/>
      <w:lvlJc w:val="left"/>
      <w:pPr>
        <w:ind w:left="5100" w:hanging="360"/>
      </w:pPr>
      <w:rPr>
        <w:rFonts w:ascii="Wingdings" w:hAnsi="Wingdings" w:hint="default"/>
      </w:rPr>
    </w:lvl>
    <w:lvl w:ilvl="6" w:tplc="0C090001" w:tentative="1">
      <w:start w:val="1"/>
      <w:numFmt w:val="bullet"/>
      <w:lvlText w:val=""/>
      <w:lvlJc w:val="left"/>
      <w:pPr>
        <w:ind w:left="5820" w:hanging="360"/>
      </w:pPr>
      <w:rPr>
        <w:rFonts w:ascii="Symbol" w:hAnsi="Symbol" w:hint="default"/>
      </w:rPr>
    </w:lvl>
    <w:lvl w:ilvl="7" w:tplc="0C090003" w:tentative="1">
      <w:start w:val="1"/>
      <w:numFmt w:val="bullet"/>
      <w:lvlText w:val="o"/>
      <w:lvlJc w:val="left"/>
      <w:pPr>
        <w:ind w:left="6540" w:hanging="360"/>
      </w:pPr>
      <w:rPr>
        <w:rFonts w:ascii="Courier New" w:hAnsi="Courier New" w:cs="Courier New" w:hint="default"/>
      </w:rPr>
    </w:lvl>
    <w:lvl w:ilvl="8" w:tplc="0C090005" w:tentative="1">
      <w:start w:val="1"/>
      <w:numFmt w:val="bullet"/>
      <w:lvlText w:val=""/>
      <w:lvlJc w:val="left"/>
      <w:pPr>
        <w:ind w:left="7260" w:hanging="360"/>
      </w:pPr>
      <w:rPr>
        <w:rFonts w:ascii="Wingdings" w:hAnsi="Wingdings" w:hint="default"/>
      </w:rPr>
    </w:lvl>
  </w:abstractNum>
  <w:abstractNum w:abstractNumId="3"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34445FAF"/>
    <w:multiLevelType w:val="singleLevel"/>
    <w:tmpl w:val="DB2A6048"/>
    <w:lvl w:ilvl="0">
      <w:start w:val="1"/>
      <w:numFmt w:val="bullet"/>
      <w:pStyle w:val="A-ListBullet"/>
      <w:lvlText w:val=""/>
      <w:lvlJc w:val="left"/>
      <w:pPr>
        <w:tabs>
          <w:tab w:val="num" w:pos="994"/>
        </w:tabs>
        <w:ind w:left="994" w:hanging="994"/>
      </w:pPr>
      <w:rPr>
        <w:rFonts w:ascii="Symbol" w:hAnsi="Symbol" w:hint="default"/>
      </w:rPr>
    </w:lvl>
  </w:abstractNum>
  <w:abstractNum w:abstractNumId="5" w15:restartNumberingAfterBreak="0">
    <w:nsid w:val="3E5335A1"/>
    <w:multiLevelType w:val="multilevel"/>
    <w:tmpl w:val="2A881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922480"/>
    <w:multiLevelType w:val="hybridMultilevel"/>
    <w:tmpl w:val="42DA26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BB83B42"/>
    <w:multiLevelType w:val="hybridMultilevel"/>
    <w:tmpl w:val="B8088FE0"/>
    <w:lvl w:ilvl="0" w:tplc="6374D372">
      <w:start w:val="1"/>
      <w:numFmt w:val="decimal"/>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F8C202A"/>
    <w:multiLevelType w:val="hybridMultilevel"/>
    <w:tmpl w:val="EBC0DB2E"/>
    <w:lvl w:ilvl="0" w:tplc="1CA6956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2E9135A"/>
    <w:multiLevelType w:val="hybridMultilevel"/>
    <w:tmpl w:val="30AE02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4D033C"/>
    <w:multiLevelType w:val="multilevel"/>
    <w:tmpl w:val="0C94F9C8"/>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ascii="Calibri" w:hAnsi="Calibri" w:cs="Calibri" w:hint="default"/>
        <w:b w:val="0"/>
        <w:i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6"/>
  </w:num>
  <w:num w:numId="3">
    <w:abstractNumId w:val="4"/>
  </w:num>
  <w:num w:numId="4">
    <w:abstractNumId w:val="5"/>
  </w:num>
  <w:num w:numId="5">
    <w:abstractNumId w:val="11"/>
  </w:num>
  <w:num w:numId="6">
    <w:abstractNumId w:val="2"/>
  </w:num>
  <w:num w:numId="7">
    <w:abstractNumId w:val="9"/>
  </w:num>
  <w:num w:numId="8">
    <w:abstractNumId w:val="8"/>
  </w:num>
  <w:num w:numId="9">
    <w:abstractNumId w:val="1"/>
  </w:num>
  <w:num w:numId="10">
    <w:abstractNumId w:val="0"/>
  </w:num>
  <w:num w:numId="11">
    <w:abstractNumId w:val="3"/>
  </w:num>
  <w:num w:numId="12">
    <w:abstractNumId w:val="10"/>
  </w:num>
  <w:num w:numId="13">
    <w:abstractNumId w:val="7"/>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199C"/>
    <w:rsid w:val="00002C57"/>
    <w:rsid w:val="00003499"/>
    <w:rsid w:val="000039B7"/>
    <w:rsid w:val="000114BE"/>
    <w:rsid w:val="00011A9D"/>
    <w:rsid w:val="00013247"/>
    <w:rsid w:val="00013A14"/>
    <w:rsid w:val="000143F0"/>
    <w:rsid w:val="00015886"/>
    <w:rsid w:val="000162EF"/>
    <w:rsid w:val="0002225F"/>
    <w:rsid w:val="0002346E"/>
    <w:rsid w:val="00023763"/>
    <w:rsid w:val="00025339"/>
    <w:rsid w:val="00025E42"/>
    <w:rsid w:val="00026F82"/>
    <w:rsid w:val="0003043B"/>
    <w:rsid w:val="0003330A"/>
    <w:rsid w:val="00033863"/>
    <w:rsid w:val="00034D82"/>
    <w:rsid w:val="00035410"/>
    <w:rsid w:val="00035DC0"/>
    <w:rsid w:val="00036829"/>
    <w:rsid w:val="0004004D"/>
    <w:rsid w:val="00040895"/>
    <w:rsid w:val="00043546"/>
    <w:rsid w:val="00043C37"/>
    <w:rsid w:val="00045017"/>
    <w:rsid w:val="00045A2B"/>
    <w:rsid w:val="0004698F"/>
    <w:rsid w:val="000515F5"/>
    <w:rsid w:val="0005217A"/>
    <w:rsid w:val="000526C3"/>
    <w:rsid w:val="000539C3"/>
    <w:rsid w:val="000539D0"/>
    <w:rsid w:val="00054621"/>
    <w:rsid w:val="000546D7"/>
    <w:rsid w:val="00062B96"/>
    <w:rsid w:val="000654A6"/>
    <w:rsid w:val="00066360"/>
    <w:rsid w:val="00070A3F"/>
    <w:rsid w:val="00071248"/>
    <w:rsid w:val="000720B9"/>
    <w:rsid w:val="00072A4A"/>
    <w:rsid w:val="000737F7"/>
    <w:rsid w:val="00073A57"/>
    <w:rsid w:val="0007672F"/>
    <w:rsid w:val="000767EB"/>
    <w:rsid w:val="000774F0"/>
    <w:rsid w:val="000806A0"/>
    <w:rsid w:val="000808C7"/>
    <w:rsid w:val="00080909"/>
    <w:rsid w:val="000812CA"/>
    <w:rsid w:val="0008258D"/>
    <w:rsid w:val="00083E99"/>
    <w:rsid w:val="00085214"/>
    <w:rsid w:val="000856C5"/>
    <w:rsid w:val="00090C7E"/>
    <w:rsid w:val="00092600"/>
    <w:rsid w:val="0009262B"/>
    <w:rsid w:val="00093310"/>
    <w:rsid w:val="000937B2"/>
    <w:rsid w:val="0009445C"/>
    <w:rsid w:val="00095FE5"/>
    <w:rsid w:val="00096284"/>
    <w:rsid w:val="000A35DD"/>
    <w:rsid w:val="000A3D16"/>
    <w:rsid w:val="000A746F"/>
    <w:rsid w:val="000A7D08"/>
    <w:rsid w:val="000B0670"/>
    <w:rsid w:val="000B06A6"/>
    <w:rsid w:val="000B0E75"/>
    <w:rsid w:val="000B18B2"/>
    <w:rsid w:val="000B2DAB"/>
    <w:rsid w:val="000B6CAC"/>
    <w:rsid w:val="000B7612"/>
    <w:rsid w:val="000C1D22"/>
    <w:rsid w:val="000C297B"/>
    <w:rsid w:val="000C3DF9"/>
    <w:rsid w:val="000C5833"/>
    <w:rsid w:val="000C6713"/>
    <w:rsid w:val="000D1BFC"/>
    <w:rsid w:val="000D281A"/>
    <w:rsid w:val="000D326A"/>
    <w:rsid w:val="000D51FB"/>
    <w:rsid w:val="000E135D"/>
    <w:rsid w:val="000E13B4"/>
    <w:rsid w:val="000E4E5C"/>
    <w:rsid w:val="000E667B"/>
    <w:rsid w:val="000F00BA"/>
    <w:rsid w:val="000F2A69"/>
    <w:rsid w:val="000F316A"/>
    <w:rsid w:val="000F3C74"/>
    <w:rsid w:val="000F4BB8"/>
    <w:rsid w:val="000F6694"/>
    <w:rsid w:val="000F7127"/>
    <w:rsid w:val="00100ABF"/>
    <w:rsid w:val="00100F8A"/>
    <w:rsid w:val="00103111"/>
    <w:rsid w:val="00105AE2"/>
    <w:rsid w:val="00106B80"/>
    <w:rsid w:val="0011032E"/>
    <w:rsid w:val="00112052"/>
    <w:rsid w:val="0011348B"/>
    <w:rsid w:val="00113CA4"/>
    <w:rsid w:val="00113EB2"/>
    <w:rsid w:val="00115982"/>
    <w:rsid w:val="00116290"/>
    <w:rsid w:val="00116705"/>
    <w:rsid w:val="00116C53"/>
    <w:rsid w:val="00121799"/>
    <w:rsid w:val="001219B5"/>
    <w:rsid w:val="001222FC"/>
    <w:rsid w:val="0012452A"/>
    <w:rsid w:val="00124A51"/>
    <w:rsid w:val="00126621"/>
    <w:rsid w:val="001301E9"/>
    <w:rsid w:val="00131D82"/>
    <w:rsid w:val="00133D36"/>
    <w:rsid w:val="00136805"/>
    <w:rsid w:val="00137645"/>
    <w:rsid w:val="00137E08"/>
    <w:rsid w:val="0014015A"/>
    <w:rsid w:val="001404A5"/>
    <w:rsid w:val="00140C14"/>
    <w:rsid w:val="00140E99"/>
    <w:rsid w:val="001428DC"/>
    <w:rsid w:val="00145540"/>
    <w:rsid w:val="001456B0"/>
    <w:rsid w:val="001477F3"/>
    <w:rsid w:val="00147AF1"/>
    <w:rsid w:val="00151C0E"/>
    <w:rsid w:val="00152199"/>
    <w:rsid w:val="00154FDA"/>
    <w:rsid w:val="00157130"/>
    <w:rsid w:val="001576B1"/>
    <w:rsid w:val="00160A4C"/>
    <w:rsid w:val="00162913"/>
    <w:rsid w:val="00163EFF"/>
    <w:rsid w:val="00164AE5"/>
    <w:rsid w:val="001661FB"/>
    <w:rsid w:val="00166DE8"/>
    <w:rsid w:val="00173088"/>
    <w:rsid w:val="001731FE"/>
    <w:rsid w:val="00173565"/>
    <w:rsid w:val="00173B07"/>
    <w:rsid w:val="00175C73"/>
    <w:rsid w:val="00181D9C"/>
    <w:rsid w:val="0018745F"/>
    <w:rsid w:val="0018752F"/>
    <w:rsid w:val="00193F1C"/>
    <w:rsid w:val="00195222"/>
    <w:rsid w:val="001975D8"/>
    <w:rsid w:val="001A43FA"/>
    <w:rsid w:val="001A58AD"/>
    <w:rsid w:val="001A59FB"/>
    <w:rsid w:val="001A6354"/>
    <w:rsid w:val="001A76B3"/>
    <w:rsid w:val="001A7AE8"/>
    <w:rsid w:val="001B204E"/>
    <w:rsid w:val="001B3443"/>
    <w:rsid w:val="001B4D20"/>
    <w:rsid w:val="001B522B"/>
    <w:rsid w:val="001B7F07"/>
    <w:rsid w:val="001C2A9B"/>
    <w:rsid w:val="001C3DFD"/>
    <w:rsid w:val="001C4299"/>
    <w:rsid w:val="001C5F94"/>
    <w:rsid w:val="001C6E66"/>
    <w:rsid w:val="001C792A"/>
    <w:rsid w:val="001D104B"/>
    <w:rsid w:val="001D1693"/>
    <w:rsid w:val="001D233E"/>
    <w:rsid w:val="001D385F"/>
    <w:rsid w:val="001D575E"/>
    <w:rsid w:val="001D671B"/>
    <w:rsid w:val="001E072C"/>
    <w:rsid w:val="001E238E"/>
    <w:rsid w:val="001E2483"/>
    <w:rsid w:val="001E2B1E"/>
    <w:rsid w:val="001E30D4"/>
    <w:rsid w:val="001E52EB"/>
    <w:rsid w:val="001E5C9B"/>
    <w:rsid w:val="001E61D2"/>
    <w:rsid w:val="001E740C"/>
    <w:rsid w:val="001F1235"/>
    <w:rsid w:val="001F1CB3"/>
    <w:rsid w:val="001F38B5"/>
    <w:rsid w:val="001F4D2F"/>
    <w:rsid w:val="001F684C"/>
    <w:rsid w:val="001F7361"/>
    <w:rsid w:val="001F762B"/>
    <w:rsid w:val="002011B0"/>
    <w:rsid w:val="002022D5"/>
    <w:rsid w:val="00203181"/>
    <w:rsid w:val="00203783"/>
    <w:rsid w:val="0020385F"/>
    <w:rsid w:val="002054C3"/>
    <w:rsid w:val="002062EE"/>
    <w:rsid w:val="00207021"/>
    <w:rsid w:val="0020732F"/>
    <w:rsid w:val="00207D00"/>
    <w:rsid w:val="002105C1"/>
    <w:rsid w:val="00211FB8"/>
    <w:rsid w:val="0021600E"/>
    <w:rsid w:val="00223B49"/>
    <w:rsid w:val="00224DD4"/>
    <w:rsid w:val="002309CC"/>
    <w:rsid w:val="0023209F"/>
    <w:rsid w:val="002322EE"/>
    <w:rsid w:val="0023629D"/>
    <w:rsid w:val="00237255"/>
    <w:rsid w:val="00242248"/>
    <w:rsid w:val="002424AF"/>
    <w:rsid w:val="00242AC6"/>
    <w:rsid w:val="002439DC"/>
    <w:rsid w:val="00244DC8"/>
    <w:rsid w:val="002458BA"/>
    <w:rsid w:val="0024636C"/>
    <w:rsid w:val="00247925"/>
    <w:rsid w:val="00250975"/>
    <w:rsid w:val="00254DCF"/>
    <w:rsid w:val="0025534B"/>
    <w:rsid w:val="00255BB7"/>
    <w:rsid w:val="0025610C"/>
    <w:rsid w:val="00257541"/>
    <w:rsid w:val="00262A1A"/>
    <w:rsid w:val="00262A87"/>
    <w:rsid w:val="00264D26"/>
    <w:rsid w:val="00267642"/>
    <w:rsid w:val="00267AEA"/>
    <w:rsid w:val="002700E6"/>
    <w:rsid w:val="0027294B"/>
    <w:rsid w:val="0027372E"/>
    <w:rsid w:val="00275C5A"/>
    <w:rsid w:val="00281014"/>
    <w:rsid w:val="0028466D"/>
    <w:rsid w:val="002876EA"/>
    <w:rsid w:val="00291462"/>
    <w:rsid w:val="002965CD"/>
    <w:rsid w:val="00296990"/>
    <w:rsid w:val="0029790E"/>
    <w:rsid w:val="00297EEE"/>
    <w:rsid w:val="002A0AD0"/>
    <w:rsid w:val="002A14AB"/>
    <w:rsid w:val="002A1E6D"/>
    <w:rsid w:val="002A2F50"/>
    <w:rsid w:val="002A3236"/>
    <w:rsid w:val="002A630C"/>
    <w:rsid w:val="002B09A4"/>
    <w:rsid w:val="002B172E"/>
    <w:rsid w:val="002B1C1F"/>
    <w:rsid w:val="002B432F"/>
    <w:rsid w:val="002B5688"/>
    <w:rsid w:val="002B62B3"/>
    <w:rsid w:val="002B6389"/>
    <w:rsid w:val="002B6754"/>
    <w:rsid w:val="002B6CCE"/>
    <w:rsid w:val="002C067C"/>
    <w:rsid w:val="002C2510"/>
    <w:rsid w:val="002C2775"/>
    <w:rsid w:val="002C27C1"/>
    <w:rsid w:val="002C5099"/>
    <w:rsid w:val="002C5889"/>
    <w:rsid w:val="002C71CE"/>
    <w:rsid w:val="002D1FE5"/>
    <w:rsid w:val="002D29F0"/>
    <w:rsid w:val="002D4104"/>
    <w:rsid w:val="002D577C"/>
    <w:rsid w:val="002D5D8F"/>
    <w:rsid w:val="002E0ACE"/>
    <w:rsid w:val="002E15B9"/>
    <w:rsid w:val="002E2020"/>
    <w:rsid w:val="002E2158"/>
    <w:rsid w:val="002E2807"/>
    <w:rsid w:val="002E2ECE"/>
    <w:rsid w:val="002E5F64"/>
    <w:rsid w:val="002E7722"/>
    <w:rsid w:val="002F07BA"/>
    <w:rsid w:val="002F0DA9"/>
    <w:rsid w:val="002F3192"/>
    <w:rsid w:val="002F643C"/>
    <w:rsid w:val="002F71C0"/>
    <w:rsid w:val="00300286"/>
    <w:rsid w:val="00301017"/>
    <w:rsid w:val="0030155F"/>
    <w:rsid w:val="00305219"/>
    <w:rsid w:val="0030587B"/>
    <w:rsid w:val="00306D98"/>
    <w:rsid w:val="0030786C"/>
    <w:rsid w:val="0031031A"/>
    <w:rsid w:val="0031039C"/>
    <w:rsid w:val="00310981"/>
    <w:rsid w:val="00315498"/>
    <w:rsid w:val="00317C9A"/>
    <w:rsid w:val="00321B9F"/>
    <w:rsid w:val="00322107"/>
    <w:rsid w:val="00322846"/>
    <w:rsid w:val="00324CCD"/>
    <w:rsid w:val="00326DA7"/>
    <w:rsid w:val="003270E4"/>
    <w:rsid w:val="00330F5C"/>
    <w:rsid w:val="00332380"/>
    <w:rsid w:val="003366C9"/>
    <w:rsid w:val="003371B0"/>
    <w:rsid w:val="00340DF1"/>
    <w:rsid w:val="003430B5"/>
    <w:rsid w:val="00343B52"/>
    <w:rsid w:val="0034422F"/>
    <w:rsid w:val="00344DE1"/>
    <w:rsid w:val="0035040B"/>
    <w:rsid w:val="003517F9"/>
    <w:rsid w:val="003531C6"/>
    <w:rsid w:val="00353D28"/>
    <w:rsid w:val="0035620E"/>
    <w:rsid w:val="003624C4"/>
    <w:rsid w:val="003654AC"/>
    <w:rsid w:val="003710CF"/>
    <w:rsid w:val="003715D7"/>
    <w:rsid w:val="0037358A"/>
    <w:rsid w:val="003745D8"/>
    <w:rsid w:val="003750F6"/>
    <w:rsid w:val="003760FC"/>
    <w:rsid w:val="00377963"/>
    <w:rsid w:val="003801F6"/>
    <w:rsid w:val="00380F64"/>
    <w:rsid w:val="0038365C"/>
    <w:rsid w:val="0038369B"/>
    <w:rsid w:val="00383B78"/>
    <w:rsid w:val="00385A9D"/>
    <w:rsid w:val="00387666"/>
    <w:rsid w:val="003902B1"/>
    <w:rsid w:val="00392D4A"/>
    <w:rsid w:val="00396896"/>
    <w:rsid w:val="00396FD0"/>
    <w:rsid w:val="00397459"/>
    <w:rsid w:val="003A1A7A"/>
    <w:rsid w:val="003A200F"/>
    <w:rsid w:val="003A2392"/>
    <w:rsid w:val="003A2831"/>
    <w:rsid w:val="003A2C07"/>
    <w:rsid w:val="003A3ED1"/>
    <w:rsid w:val="003A4614"/>
    <w:rsid w:val="003A72A6"/>
    <w:rsid w:val="003B0036"/>
    <w:rsid w:val="003B0FA6"/>
    <w:rsid w:val="003B1BEB"/>
    <w:rsid w:val="003B4743"/>
    <w:rsid w:val="003B5079"/>
    <w:rsid w:val="003B513A"/>
    <w:rsid w:val="003B5405"/>
    <w:rsid w:val="003B5B61"/>
    <w:rsid w:val="003C1654"/>
    <w:rsid w:val="003C41E9"/>
    <w:rsid w:val="003C5FD9"/>
    <w:rsid w:val="003C66E0"/>
    <w:rsid w:val="003C694A"/>
    <w:rsid w:val="003C7D19"/>
    <w:rsid w:val="003D0495"/>
    <w:rsid w:val="003D1828"/>
    <w:rsid w:val="003D1DE4"/>
    <w:rsid w:val="003D2346"/>
    <w:rsid w:val="003D2422"/>
    <w:rsid w:val="003D39A1"/>
    <w:rsid w:val="003D3FBF"/>
    <w:rsid w:val="003D4A30"/>
    <w:rsid w:val="003D4B3D"/>
    <w:rsid w:val="003D79BB"/>
    <w:rsid w:val="003D7C98"/>
    <w:rsid w:val="003E0543"/>
    <w:rsid w:val="003E1D1B"/>
    <w:rsid w:val="003F4156"/>
    <w:rsid w:val="003F5C54"/>
    <w:rsid w:val="003F5E94"/>
    <w:rsid w:val="00400962"/>
    <w:rsid w:val="00400B29"/>
    <w:rsid w:val="0040322C"/>
    <w:rsid w:val="0040504B"/>
    <w:rsid w:val="00407589"/>
    <w:rsid w:val="00410708"/>
    <w:rsid w:val="00410EC7"/>
    <w:rsid w:val="0041133C"/>
    <w:rsid w:val="00411B39"/>
    <w:rsid w:val="00412B5F"/>
    <w:rsid w:val="00413A1E"/>
    <w:rsid w:val="00414476"/>
    <w:rsid w:val="00414C2E"/>
    <w:rsid w:val="004151CF"/>
    <w:rsid w:val="0041617F"/>
    <w:rsid w:val="00416364"/>
    <w:rsid w:val="004171D4"/>
    <w:rsid w:val="00420AA6"/>
    <w:rsid w:val="00420B9F"/>
    <w:rsid w:val="00420CE2"/>
    <w:rsid w:val="00422260"/>
    <w:rsid w:val="0042413F"/>
    <w:rsid w:val="00425273"/>
    <w:rsid w:val="004319F8"/>
    <w:rsid w:val="00431E55"/>
    <w:rsid w:val="004321F6"/>
    <w:rsid w:val="00433044"/>
    <w:rsid w:val="004347D2"/>
    <w:rsid w:val="004375B9"/>
    <w:rsid w:val="00437773"/>
    <w:rsid w:val="00437AF4"/>
    <w:rsid w:val="00442223"/>
    <w:rsid w:val="004428D0"/>
    <w:rsid w:val="00443525"/>
    <w:rsid w:val="004443A7"/>
    <w:rsid w:val="0044442C"/>
    <w:rsid w:val="00445941"/>
    <w:rsid w:val="004464EB"/>
    <w:rsid w:val="00447D26"/>
    <w:rsid w:val="00451447"/>
    <w:rsid w:val="00455D45"/>
    <w:rsid w:val="00457F50"/>
    <w:rsid w:val="00462F5B"/>
    <w:rsid w:val="00464595"/>
    <w:rsid w:val="004654D5"/>
    <w:rsid w:val="0046572F"/>
    <w:rsid w:val="004658EB"/>
    <w:rsid w:val="00467234"/>
    <w:rsid w:val="00472A79"/>
    <w:rsid w:val="0047396A"/>
    <w:rsid w:val="00473F19"/>
    <w:rsid w:val="00475E22"/>
    <w:rsid w:val="0048088E"/>
    <w:rsid w:val="00481653"/>
    <w:rsid w:val="00482720"/>
    <w:rsid w:val="004835E7"/>
    <w:rsid w:val="00484795"/>
    <w:rsid w:val="00485DF5"/>
    <w:rsid w:val="004862FD"/>
    <w:rsid w:val="004867E2"/>
    <w:rsid w:val="004879BE"/>
    <w:rsid w:val="00491B3A"/>
    <w:rsid w:val="00492CFD"/>
    <w:rsid w:val="00494DD5"/>
    <w:rsid w:val="004962D2"/>
    <w:rsid w:val="004A0AA5"/>
    <w:rsid w:val="004A0DA1"/>
    <w:rsid w:val="004A30EF"/>
    <w:rsid w:val="004A3D55"/>
    <w:rsid w:val="004A52E9"/>
    <w:rsid w:val="004A6597"/>
    <w:rsid w:val="004A65E6"/>
    <w:rsid w:val="004A65EE"/>
    <w:rsid w:val="004A7447"/>
    <w:rsid w:val="004A7848"/>
    <w:rsid w:val="004A7F97"/>
    <w:rsid w:val="004B1CB4"/>
    <w:rsid w:val="004B2CFD"/>
    <w:rsid w:val="004B2F18"/>
    <w:rsid w:val="004B3DDB"/>
    <w:rsid w:val="004B3F99"/>
    <w:rsid w:val="004B44FD"/>
    <w:rsid w:val="004B4957"/>
    <w:rsid w:val="004B52F5"/>
    <w:rsid w:val="004B5CFC"/>
    <w:rsid w:val="004B6D4C"/>
    <w:rsid w:val="004B774D"/>
    <w:rsid w:val="004C0B0B"/>
    <w:rsid w:val="004C41C8"/>
    <w:rsid w:val="004C4AED"/>
    <w:rsid w:val="004C5401"/>
    <w:rsid w:val="004D2C2D"/>
    <w:rsid w:val="004D7227"/>
    <w:rsid w:val="004E0E7F"/>
    <w:rsid w:val="004E0EB8"/>
    <w:rsid w:val="004E2ADC"/>
    <w:rsid w:val="004E43B2"/>
    <w:rsid w:val="004E678F"/>
    <w:rsid w:val="004E79C6"/>
    <w:rsid w:val="004E7AEC"/>
    <w:rsid w:val="004F1D02"/>
    <w:rsid w:val="004F2679"/>
    <w:rsid w:val="004F2F21"/>
    <w:rsid w:val="004F4698"/>
    <w:rsid w:val="004F5D62"/>
    <w:rsid w:val="004F6913"/>
    <w:rsid w:val="004F7865"/>
    <w:rsid w:val="004F7C96"/>
    <w:rsid w:val="005007A2"/>
    <w:rsid w:val="00500B50"/>
    <w:rsid w:val="0050219B"/>
    <w:rsid w:val="00503F17"/>
    <w:rsid w:val="00506928"/>
    <w:rsid w:val="0051017B"/>
    <w:rsid w:val="005118EE"/>
    <w:rsid w:val="005152B5"/>
    <w:rsid w:val="00515D04"/>
    <w:rsid w:val="00520CD6"/>
    <w:rsid w:val="00521319"/>
    <w:rsid w:val="00522BC8"/>
    <w:rsid w:val="00523C28"/>
    <w:rsid w:val="00524A4A"/>
    <w:rsid w:val="005251BA"/>
    <w:rsid w:val="00525C04"/>
    <w:rsid w:val="00526704"/>
    <w:rsid w:val="00533159"/>
    <w:rsid w:val="0053477C"/>
    <w:rsid w:val="00535B75"/>
    <w:rsid w:val="00536F42"/>
    <w:rsid w:val="00537182"/>
    <w:rsid w:val="00542743"/>
    <w:rsid w:val="00542C2D"/>
    <w:rsid w:val="00543724"/>
    <w:rsid w:val="00546BEB"/>
    <w:rsid w:val="00551985"/>
    <w:rsid w:val="00552BD3"/>
    <w:rsid w:val="00554A0C"/>
    <w:rsid w:val="00555109"/>
    <w:rsid w:val="005566E5"/>
    <w:rsid w:val="00557144"/>
    <w:rsid w:val="0056696F"/>
    <w:rsid w:val="00570DB8"/>
    <w:rsid w:val="00572269"/>
    <w:rsid w:val="0057244A"/>
    <w:rsid w:val="00575D8D"/>
    <w:rsid w:val="00576972"/>
    <w:rsid w:val="00580844"/>
    <w:rsid w:val="00583699"/>
    <w:rsid w:val="005842CC"/>
    <w:rsid w:val="005859E9"/>
    <w:rsid w:val="00585CDD"/>
    <w:rsid w:val="00587058"/>
    <w:rsid w:val="00587455"/>
    <w:rsid w:val="00590E80"/>
    <w:rsid w:val="0059124C"/>
    <w:rsid w:val="00591957"/>
    <w:rsid w:val="00592178"/>
    <w:rsid w:val="0059500C"/>
    <w:rsid w:val="0059569A"/>
    <w:rsid w:val="00597BF9"/>
    <w:rsid w:val="005A09CD"/>
    <w:rsid w:val="005A3037"/>
    <w:rsid w:val="005A373D"/>
    <w:rsid w:val="005A7C4F"/>
    <w:rsid w:val="005B0183"/>
    <w:rsid w:val="005B3124"/>
    <w:rsid w:val="005B4362"/>
    <w:rsid w:val="005B5857"/>
    <w:rsid w:val="005B610A"/>
    <w:rsid w:val="005B7260"/>
    <w:rsid w:val="005C0B17"/>
    <w:rsid w:val="005C1B83"/>
    <w:rsid w:val="005C2D55"/>
    <w:rsid w:val="005C316E"/>
    <w:rsid w:val="005C346B"/>
    <w:rsid w:val="005C6174"/>
    <w:rsid w:val="005D044D"/>
    <w:rsid w:val="005D0ABD"/>
    <w:rsid w:val="005D18AD"/>
    <w:rsid w:val="005D26B4"/>
    <w:rsid w:val="005D4FF4"/>
    <w:rsid w:val="005D543A"/>
    <w:rsid w:val="005D765A"/>
    <w:rsid w:val="005D7B23"/>
    <w:rsid w:val="005E0080"/>
    <w:rsid w:val="005E45D4"/>
    <w:rsid w:val="005E6CBC"/>
    <w:rsid w:val="005E73C0"/>
    <w:rsid w:val="005F2221"/>
    <w:rsid w:val="005F2706"/>
    <w:rsid w:val="005F2EC8"/>
    <w:rsid w:val="005F6A8F"/>
    <w:rsid w:val="00603DB9"/>
    <w:rsid w:val="00603E99"/>
    <w:rsid w:val="006048FF"/>
    <w:rsid w:val="00605337"/>
    <w:rsid w:val="00607669"/>
    <w:rsid w:val="00607AFD"/>
    <w:rsid w:val="00612F97"/>
    <w:rsid w:val="0061345D"/>
    <w:rsid w:val="00616802"/>
    <w:rsid w:val="00617E12"/>
    <w:rsid w:val="00621477"/>
    <w:rsid w:val="0062500A"/>
    <w:rsid w:val="006256E0"/>
    <w:rsid w:val="00625C3F"/>
    <w:rsid w:val="00630E95"/>
    <w:rsid w:val="0063158F"/>
    <w:rsid w:val="00631D6B"/>
    <w:rsid w:val="006330A1"/>
    <w:rsid w:val="00634253"/>
    <w:rsid w:val="0063479F"/>
    <w:rsid w:val="006353F0"/>
    <w:rsid w:val="006364A1"/>
    <w:rsid w:val="00637BFD"/>
    <w:rsid w:val="006407BC"/>
    <w:rsid w:val="0064166C"/>
    <w:rsid w:val="00641C4E"/>
    <w:rsid w:val="0064383F"/>
    <w:rsid w:val="006463E4"/>
    <w:rsid w:val="006471CC"/>
    <w:rsid w:val="00647A4E"/>
    <w:rsid w:val="0065079F"/>
    <w:rsid w:val="00653060"/>
    <w:rsid w:val="0065379F"/>
    <w:rsid w:val="00661C6B"/>
    <w:rsid w:val="006628F7"/>
    <w:rsid w:val="00666C00"/>
    <w:rsid w:val="0067223B"/>
    <w:rsid w:val="00674E42"/>
    <w:rsid w:val="00675995"/>
    <w:rsid w:val="00675CC6"/>
    <w:rsid w:val="006777DB"/>
    <w:rsid w:val="00682112"/>
    <w:rsid w:val="00686957"/>
    <w:rsid w:val="006872BA"/>
    <w:rsid w:val="006877A9"/>
    <w:rsid w:val="00691648"/>
    <w:rsid w:val="006917D7"/>
    <w:rsid w:val="00691BA0"/>
    <w:rsid w:val="00693202"/>
    <w:rsid w:val="00694F44"/>
    <w:rsid w:val="00697FF3"/>
    <w:rsid w:val="006A6144"/>
    <w:rsid w:val="006A6978"/>
    <w:rsid w:val="006A7E5F"/>
    <w:rsid w:val="006B261B"/>
    <w:rsid w:val="006B2C90"/>
    <w:rsid w:val="006B4A3B"/>
    <w:rsid w:val="006B5891"/>
    <w:rsid w:val="006B6DD0"/>
    <w:rsid w:val="006C2A8E"/>
    <w:rsid w:val="006C5AA9"/>
    <w:rsid w:val="006C5B91"/>
    <w:rsid w:val="006C655D"/>
    <w:rsid w:val="006C7303"/>
    <w:rsid w:val="006D212D"/>
    <w:rsid w:val="006D38A0"/>
    <w:rsid w:val="006D3C7D"/>
    <w:rsid w:val="006D5AA6"/>
    <w:rsid w:val="006D5D5F"/>
    <w:rsid w:val="006D7790"/>
    <w:rsid w:val="006D7943"/>
    <w:rsid w:val="006D7A8E"/>
    <w:rsid w:val="006D7D84"/>
    <w:rsid w:val="006E1FE8"/>
    <w:rsid w:val="006E2158"/>
    <w:rsid w:val="006E37A6"/>
    <w:rsid w:val="006F1674"/>
    <w:rsid w:val="006F306C"/>
    <w:rsid w:val="006F573E"/>
    <w:rsid w:val="006F63A5"/>
    <w:rsid w:val="007003A1"/>
    <w:rsid w:val="0070142B"/>
    <w:rsid w:val="0070276E"/>
    <w:rsid w:val="00702F8F"/>
    <w:rsid w:val="00711A36"/>
    <w:rsid w:val="00715250"/>
    <w:rsid w:val="0071529C"/>
    <w:rsid w:val="007172AD"/>
    <w:rsid w:val="00722B1B"/>
    <w:rsid w:val="0072416F"/>
    <w:rsid w:val="007264B8"/>
    <w:rsid w:val="00726AA1"/>
    <w:rsid w:val="007270AC"/>
    <w:rsid w:val="00727C94"/>
    <w:rsid w:val="0073030E"/>
    <w:rsid w:val="007319ED"/>
    <w:rsid w:val="00731EAE"/>
    <w:rsid w:val="00733397"/>
    <w:rsid w:val="00735033"/>
    <w:rsid w:val="00735328"/>
    <w:rsid w:val="0073685B"/>
    <w:rsid w:val="007400D8"/>
    <w:rsid w:val="007455F6"/>
    <w:rsid w:val="00752142"/>
    <w:rsid w:val="007523F9"/>
    <w:rsid w:val="007573E8"/>
    <w:rsid w:val="00760C4E"/>
    <w:rsid w:val="00765B1A"/>
    <w:rsid w:val="0076635C"/>
    <w:rsid w:val="00766BDE"/>
    <w:rsid w:val="00771133"/>
    <w:rsid w:val="00771DAD"/>
    <w:rsid w:val="0078353B"/>
    <w:rsid w:val="007842F5"/>
    <w:rsid w:val="007843F2"/>
    <w:rsid w:val="0078796C"/>
    <w:rsid w:val="00793430"/>
    <w:rsid w:val="007A0A12"/>
    <w:rsid w:val="007A0FE2"/>
    <w:rsid w:val="007A132D"/>
    <w:rsid w:val="007A1D94"/>
    <w:rsid w:val="007B0B68"/>
    <w:rsid w:val="007B0D68"/>
    <w:rsid w:val="007B2117"/>
    <w:rsid w:val="007B251D"/>
    <w:rsid w:val="007B2712"/>
    <w:rsid w:val="007B4278"/>
    <w:rsid w:val="007B4EB4"/>
    <w:rsid w:val="007B4F58"/>
    <w:rsid w:val="007B528D"/>
    <w:rsid w:val="007B77D1"/>
    <w:rsid w:val="007B788E"/>
    <w:rsid w:val="007B7BC7"/>
    <w:rsid w:val="007C1CD9"/>
    <w:rsid w:val="007C361D"/>
    <w:rsid w:val="007C4B84"/>
    <w:rsid w:val="007D004F"/>
    <w:rsid w:val="007D0B38"/>
    <w:rsid w:val="007D1FB2"/>
    <w:rsid w:val="007D2235"/>
    <w:rsid w:val="007D25D5"/>
    <w:rsid w:val="007D27E6"/>
    <w:rsid w:val="007D5440"/>
    <w:rsid w:val="007E08B1"/>
    <w:rsid w:val="007E2F4C"/>
    <w:rsid w:val="007E7ED3"/>
    <w:rsid w:val="007F1017"/>
    <w:rsid w:val="007F41B0"/>
    <w:rsid w:val="007F4A3F"/>
    <w:rsid w:val="007F4A61"/>
    <w:rsid w:val="007F61C2"/>
    <w:rsid w:val="007F6E92"/>
    <w:rsid w:val="00803BDF"/>
    <w:rsid w:val="008045A6"/>
    <w:rsid w:val="00805142"/>
    <w:rsid w:val="00806219"/>
    <w:rsid w:val="00807A8B"/>
    <w:rsid w:val="00811383"/>
    <w:rsid w:val="00811873"/>
    <w:rsid w:val="00812149"/>
    <w:rsid w:val="0081263A"/>
    <w:rsid w:val="00812CAC"/>
    <w:rsid w:val="008133A2"/>
    <w:rsid w:val="008166EF"/>
    <w:rsid w:val="00825751"/>
    <w:rsid w:val="008264EB"/>
    <w:rsid w:val="00833B05"/>
    <w:rsid w:val="00834E07"/>
    <w:rsid w:val="008362B4"/>
    <w:rsid w:val="00840CA2"/>
    <w:rsid w:val="00841A77"/>
    <w:rsid w:val="008433BE"/>
    <w:rsid w:val="0084374F"/>
    <w:rsid w:val="008442B4"/>
    <w:rsid w:val="00847DF5"/>
    <w:rsid w:val="008508B9"/>
    <w:rsid w:val="008527BB"/>
    <w:rsid w:val="0085309D"/>
    <w:rsid w:val="00856166"/>
    <w:rsid w:val="00856897"/>
    <w:rsid w:val="00856E9A"/>
    <w:rsid w:val="0085701F"/>
    <w:rsid w:val="0086075D"/>
    <w:rsid w:val="00862502"/>
    <w:rsid w:val="008660D4"/>
    <w:rsid w:val="00867F8E"/>
    <w:rsid w:val="00871FA9"/>
    <w:rsid w:val="008728E9"/>
    <w:rsid w:val="008736B0"/>
    <w:rsid w:val="008765C4"/>
    <w:rsid w:val="00882874"/>
    <w:rsid w:val="00883787"/>
    <w:rsid w:val="00886CD2"/>
    <w:rsid w:val="00890D43"/>
    <w:rsid w:val="00892A36"/>
    <w:rsid w:val="00893239"/>
    <w:rsid w:val="008942F0"/>
    <w:rsid w:val="00894489"/>
    <w:rsid w:val="008954A0"/>
    <w:rsid w:val="008963A5"/>
    <w:rsid w:val="00897170"/>
    <w:rsid w:val="008A21C5"/>
    <w:rsid w:val="008A3363"/>
    <w:rsid w:val="008A3371"/>
    <w:rsid w:val="008A3C3E"/>
    <w:rsid w:val="008A5872"/>
    <w:rsid w:val="008A637A"/>
    <w:rsid w:val="008A79DE"/>
    <w:rsid w:val="008B1757"/>
    <w:rsid w:val="008B3172"/>
    <w:rsid w:val="008B3BB8"/>
    <w:rsid w:val="008B4B04"/>
    <w:rsid w:val="008B75F8"/>
    <w:rsid w:val="008B7D7E"/>
    <w:rsid w:val="008C2E61"/>
    <w:rsid w:val="008C41F1"/>
    <w:rsid w:val="008C4972"/>
    <w:rsid w:val="008C5AA9"/>
    <w:rsid w:val="008C7ECB"/>
    <w:rsid w:val="008D0B9B"/>
    <w:rsid w:val="008D4755"/>
    <w:rsid w:val="008D4C3D"/>
    <w:rsid w:val="008D5D42"/>
    <w:rsid w:val="008D70D5"/>
    <w:rsid w:val="008E0D3C"/>
    <w:rsid w:val="008E1B9E"/>
    <w:rsid w:val="008E3628"/>
    <w:rsid w:val="008E55AB"/>
    <w:rsid w:val="008F120A"/>
    <w:rsid w:val="008F1B0D"/>
    <w:rsid w:val="008F27E0"/>
    <w:rsid w:val="008F48EB"/>
    <w:rsid w:val="008F4F0B"/>
    <w:rsid w:val="00901878"/>
    <w:rsid w:val="009046C4"/>
    <w:rsid w:val="00904778"/>
    <w:rsid w:val="009062A5"/>
    <w:rsid w:val="00907573"/>
    <w:rsid w:val="00911272"/>
    <w:rsid w:val="009113D8"/>
    <w:rsid w:val="00912B3B"/>
    <w:rsid w:val="009135D6"/>
    <w:rsid w:val="00913B95"/>
    <w:rsid w:val="00914C77"/>
    <w:rsid w:val="00916140"/>
    <w:rsid w:val="009175BF"/>
    <w:rsid w:val="0092369B"/>
    <w:rsid w:val="009302B3"/>
    <w:rsid w:val="00933DD0"/>
    <w:rsid w:val="00941AAB"/>
    <w:rsid w:val="0094309C"/>
    <w:rsid w:val="009509FC"/>
    <w:rsid w:val="00950B61"/>
    <w:rsid w:val="009510A2"/>
    <w:rsid w:val="00953257"/>
    <w:rsid w:val="00954CE0"/>
    <w:rsid w:val="00954EAD"/>
    <w:rsid w:val="009550FA"/>
    <w:rsid w:val="00956442"/>
    <w:rsid w:val="00957CAA"/>
    <w:rsid w:val="00962CB9"/>
    <w:rsid w:val="0096425C"/>
    <w:rsid w:val="00964312"/>
    <w:rsid w:val="00964934"/>
    <w:rsid w:val="00965B8A"/>
    <w:rsid w:val="00971508"/>
    <w:rsid w:val="009717AC"/>
    <w:rsid w:val="00975DF7"/>
    <w:rsid w:val="00977D01"/>
    <w:rsid w:val="00980B37"/>
    <w:rsid w:val="0098385F"/>
    <w:rsid w:val="00983E57"/>
    <w:rsid w:val="0098675D"/>
    <w:rsid w:val="00991D34"/>
    <w:rsid w:val="009938B0"/>
    <w:rsid w:val="00996B1A"/>
    <w:rsid w:val="00996BB7"/>
    <w:rsid w:val="00997925"/>
    <w:rsid w:val="009A04DD"/>
    <w:rsid w:val="009A1D39"/>
    <w:rsid w:val="009A3D3A"/>
    <w:rsid w:val="009A45BF"/>
    <w:rsid w:val="009A49B2"/>
    <w:rsid w:val="009A7F10"/>
    <w:rsid w:val="009B3E26"/>
    <w:rsid w:val="009B4224"/>
    <w:rsid w:val="009C621E"/>
    <w:rsid w:val="009C6CEA"/>
    <w:rsid w:val="009C7B85"/>
    <w:rsid w:val="009D1EF6"/>
    <w:rsid w:val="009D5B91"/>
    <w:rsid w:val="009D5F45"/>
    <w:rsid w:val="009D6E20"/>
    <w:rsid w:val="009D792E"/>
    <w:rsid w:val="009E0DFE"/>
    <w:rsid w:val="009E11B5"/>
    <w:rsid w:val="009E43B2"/>
    <w:rsid w:val="009E45C8"/>
    <w:rsid w:val="009E4C07"/>
    <w:rsid w:val="009E70F1"/>
    <w:rsid w:val="009F471A"/>
    <w:rsid w:val="00A01184"/>
    <w:rsid w:val="00A014C7"/>
    <w:rsid w:val="00A01C81"/>
    <w:rsid w:val="00A03D43"/>
    <w:rsid w:val="00A04380"/>
    <w:rsid w:val="00A04B03"/>
    <w:rsid w:val="00A04B82"/>
    <w:rsid w:val="00A05BF9"/>
    <w:rsid w:val="00A064C8"/>
    <w:rsid w:val="00A11CD0"/>
    <w:rsid w:val="00A130EC"/>
    <w:rsid w:val="00A13948"/>
    <w:rsid w:val="00A14654"/>
    <w:rsid w:val="00A15540"/>
    <w:rsid w:val="00A1555B"/>
    <w:rsid w:val="00A155C5"/>
    <w:rsid w:val="00A16AD8"/>
    <w:rsid w:val="00A20016"/>
    <w:rsid w:val="00A2121D"/>
    <w:rsid w:val="00A21CF3"/>
    <w:rsid w:val="00A27AEC"/>
    <w:rsid w:val="00A320DB"/>
    <w:rsid w:val="00A35D16"/>
    <w:rsid w:val="00A37BCD"/>
    <w:rsid w:val="00A41E9C"/>
    <w:rsid w:val="00A43C59"/>
    <w:rsid w:val="00A44F37"/>
    <w:rsid w:val="00A50ECD"/>
    <w:rsid w:val="00A518F3"/>
    <w:rsid w:val="00A52729"/>
    <w:rsid w:val="00A53675"/>
    <w:rsid w:val="00A550AB"/>
    <w:rsid w:val="00A564D7"/>
    <w:rsid w:val="00A56B6A"/>
    <w:rsid w:val="00A578DC"/>
    <w:rsid w:val="00A60FEF"/>
    <w:rsid w:val="00A66777"/>
    <w:rsid w:val="00A6725B"/>
    <w:rsid w:val="00A6775B"/>
    <w:rsid w:val="00A70605"/>
    <w:rsid w:val="00A73134"/>
    <w:rsid w:val="00A740C5"/>
    <w:rsid w:val="00A74B7C"/>
    <w:rsid w:val="00A777B2"/>
    <w:rsid w:val="00A814D3"/>
    <w:rsid w:val="00A86E8B"/>
    <w:rsid w:val="00A87164"/>
    <w:rsid w:val="00A87636"/>
    <w:rsid w:val="00A87740"/>
    <w:rsid w:val="00A9072C"/>
    <w:rsid w:val="00A90ADB"/>
    <w:rsid w:val="00A91886"/>
    <w:rsid w:val="00A9192A"/>
    <w:rsid w:val="00A93072"/>
    <w:rsid w:val="00A93888"/>
    <w:rsid w:val="00A93953"/>
    <w:rsid w:val="00A959D8"/>
    <w:rsid w:val="00AA0908"/>
    <w:rsid w:val="00AA113D"/>
    <w:rsid w:val="00AA613A"/>
    <w:rsid w:val="00AA6C7D"/>
    <w:rsid w:val="00AA79E6"/>
    <w:rsid w:val="00AA7FD6"/>
    <w:rsid w:val="00AB042A"/>
    <w:rsid w:val="00AB2D34"/>
    <w:rsid w:val="00AB3430"/>
    <w:rsid w:val="00AB4AD1"/>
    <w:rsid w:val="00AB56C4"/>
    <w:rsid w:val="00AB5C06"/>
    <w:rsid w:val="00AB7CFA"/>
    <w:rsid w:val="00AB7DAE"/>
    <w:rsid w:val="00AC1333"/>
    <w:rsid w:val="00AC2B83"/>
    <w:rsid w:val="00AC446F"/>
    <w:rsid w:val="00AC4D6D"/>
    <w:rsid w:val="00AC5B48"/>
    <w:rsid w:val="00AC7269"/>
    <w:rsid w:val="00AC7F9D"/>
    <w:rsid w:val="00AD28A8"/>
    <w:rsid w:val="00AD33AE"/>
    <w:rsid w:val="00AD532C"/>
    <w:rsid w:val="00AD5C00"/>
    <w:rsid w:val="00AD6285"/>
    <w:rsid w:val="00AD6502"/>
    <w:rsid w:val="00AD7D57"/>
    <w:rsid w:val="00AE027A"/>
    <w:rsid w:val="00AF0025"/>
    <w:rsid w:val="00AF09F3"/>
    <w:rsid w:val="00AF1315"/>
    <w:rsid w:val="00AF19BF"/>
    <w:rsid w:val="00AF2DC3"/>
    <w:rsid w:val="00B033E5"/>
    <w:rsid w:val="00B03A63"/>
    <w:rsid w:val="00B05D6F"/>
    <w:rsid w:val="00B06EA5"/>
    <w:rsid w:val="00B07EA6"/>
    <w:rsid w:val="00B118B8"/>
    <w:rsid w:val="00B136F8"/>
    <w:rsid w:val="00B1510E"/>
    <w:rsid w:val="00B17F0A"/>
    <w:rsid w:val="00B201A4"/>
    <w:rsid w:val="00B213A6"/>
    <w:rsid w:val="00B2252E"/>
    <w:rsid w:val="00B22586"/>
    <w:rsid w:val="00B24DF6"/>
    <w:rsid w:val="00B26697"/>
    <w:rsid w:val="00B307CE"/>
    <w:rsid w:val="00B30DC0"/>
    <w:rsid w:val="00B3130F"/>
    <w:rsid w:val="00B31E84"/>
    <w:rsid w:val="00B32FDB"/>
    <w:rsid w:val="00B345E4"/>
    <w:rsid w:val="00B34FE2"/>
    <w:rsid w:val="00B357D8"/>
    <w:rsid w:val="00B37BFC"/>
    <w:rsid w:val="00B40358"/>
    <w:rsid w:val="00B41614"/>
    <w:rsid w:val="00B42851"/>
    <w:rsid w:val="00B42F80"/>
    <w:rsid w:val="00B435B3"/>
    <w:rsid w:val="00B435CB"/>
    <w:rsid w:val="00B46F01"/>
    <w:rsid w:val="00B50DB8"/>
    <w:rsid w:val="00B53654"/>
    <w:rsid w:val="00B53905"/>
    <w:rsid w:val="00B54B5B"/>
    <w:rsid w:val="00B55491"/>
    <w:rsid w:val="00B5562E"/>
    <w:rsid w:val="00B57000"/>
    <w:rsid w:val="00B60939"/>
    <w:rsid w:val="00B60A09"/>
    <w:rsid w:val="00B60AFD"/>
    <w:rsid w:val="00B61040"/>
    <w:rsid w:val="00B62715"/>
    <w:rsid w:val="00B6479E"/>
    <w:rsid w:val="00B7190F"/>
    <w:rsid w:val="00B72119"/>
    <w:rsid w:val="00B72310"/>
    <w:rsid w:val="00B73C64"/>
    <w:rsid w:val="00B7435E"/>
    <w:rsid w:val="00B759F5"/>
    <w:rsid w:val="00B8089F"/>
    <w:rsid w:val="00B818A4"/>
    <w:rsid w:val="00B84117"/>
    <w:rsid w:val="00B85AA2"/>
    <w:rsid w:val="00B8649C"/>
    <w:rsid w:val="00B86E7B"/>
    <w:rsid w:val="00B87F0A"/>
    <w:rsid w:val="00B92D0B"/>
    <w:rsid w:val="00B94945"/>
    <w:rsid w:val="00B966C8"/>
    <w:rsid w:val="00B97727"/>
    <w:rsid w:val="00BA322D"/>
    <w:rsid w:val="00BA3D3D"/>
    <w:rsid w:val="00BB0BDD"/>
    <w:rsid w:val="00BB0FAB"/>
    <w:rsid w:val="00BB15A3"/>
    <w:rsid w:val="00BB2A73"/>
    <w:rsid w:val="00BB4ACC"/>
    <w:rsid w:val="00BB703E"/>
    <w:rsid w:val="00BB7405"/>
    <w:rsid w:val="00BC1C00"/>
    <w:rsid w:val="00BC3631"/>
    <w:rsid w:val="00BC6CF9"/>
    <w:rsid w:val="00BD0A79"/>
    <w:rsid w:val="00BD34A1"/>
    <w:rsid w:val="00BD68A3"/>
    <w:rsid w:val="00BD6938"/>
    <w:rsid w:val="00BD6C8A"/>
    <w:rsid w:val="00BD6CF3"/>
    <w:rsid w:val="00BE108C"/>
    <w:rsid w:val="00BE2180"/>
    <w:rsid w:val="00BE21F2"/>
    <w:rsid w:val="00BE3693"/>
    <w:rsid w:val="00BE4275"/>
    <w:rsid w:val="00BF0F95"/>
    <w:rsid w:val="00BF2433"/>
    <w:rsid w:val="00BF61C9"/>
    <w:rsid w:val="00BF6950"/>
    <w:rsid w:val="00BF6C94"/>
    <w:rsid w:val="00BF724F"/>
    <w:rsid w:val="00C0006A"/>
    <w:rsid w:val="00C00424"/>
    <w:rsid w:val="00C0394F"/>
    <w:rsid w:val="00C0620A"/>
    <w:rsid w:val="00C10FA0"/>
    <w:rsid w:val="00C12C14"/>
    <w:rsid w:val="00C13DC5"/>
    <w:rsid w:val="00C17DBF"/>
    <w:rsid w:val="00C200AA"/>
    <w:rsid w:val="00C235C3"/>
    <w:rsid w:val="00C237ED"/>
    <w:rsid w:val="00C24632"/>
    <w:rsid w:val="00C25418"/>
    <w:rsid w:val="00C25D9C"/>
    <w:rsid w:val="00C26608"/>
    <w:rsid w:val="00C2778B"/>
    <w:rsid w:val="00C27C6C"/>
    <w:rsid w:val="00C31649"/>
    <w:rsid w:val="00C31CFE"/>
    <w:rsid w:val="00C3544C"/>
    <w:rsid w:val="00C40385"/>
    <w:rsid w:val="00C437DF"/>
    <w:rsid w:val="00C45589"/>
    <w:rsid w:val="00C46AF6"/>
    <w:rsid w:val="00C475AA"/>
    <w:rsid w:val="00C56F32"/>
    <w:rsid w:val="00C617AD"/>
    <w:rsid w:val="00C61979"/>
    <w:rsid w:val="00C63CE1"/>
    <w:rsid w:val="00C63E8D"/>
    <w:rsid w:val="00C65576"/>
    <w:rsid w:val="00C65799"/>
    <w:rsid w:val="00C65CB9"/>
    <w:rsid w:val="00C66165"/>
    <w:rsid w:val="00C66797"/>
    <w:rsid w:val="00C67EA3"/>
    <w:rsid w:val="00C70AB8"/>
    <w:rsid w:val="00C7151A"/>
    <w:rsid w:val="00C71C29"/>
    <w:rsid w:val="00C71F60"/>
    <w:rsid w:val="00C72241"/>
    <w:rsid w:val="00C73F1D"/>
    <w:rsid w:val="00C745B9"/>
    <w:rsid w:val="00C750C8"/>
    <w:rsid w:val="00C7560F"/>
    <w:rsid w:val="00C7677D"/>
    <w:rsid w:val="00C80A0E"/>
    <w:rsid w:val="00C81D7D"/>
    <w:rsid w:val="00C8213F"/>
    <w:rsid w:val="00C83CBD"/>
    <w:rsid w:val="00C840B8"/>
    <w:rsid w:val="00C84375"/>
    <w:rsid w:val="00C8797A"/>
    <w:rsid w:val="00C900B8"/>
    <w:rsid w:val="00C9030E"/>
    <w:rsid w:val="00C90C71"/>
    <w:rsid w:val="00C926F2"/>
    <w:rsid w:val="00C931CF"/>
    <w:rsid w:val="00C938CF"/>
    <w:rsid w:val="00C9624D"/>
    <w:rsid w:val="00C969DA"/>
    <w:rsid w:val="00CA104D"/>
    <w:rsid w:val="00CA2C77"/>
    <w:rsid w:val="00CA444F"/>
    <w:rsid w:val="00CA5245"/>
    <w:rsid w:val="00CA5E29"/>
    <w:rsid w:val="00CA71F4"/>
    <w:rsid w:val="00CA7B09"/>
    <w:rsid w:val="00CB1F1B"/>
    <w:rsid w:val="00CB2F2A"/>
    <w:rsid w:val="00CB52F5"/>
    <w:rsid w:val="00CB5B1A"/>
    <w:rsid w:val="00CB6B22"/>
    <w:rsid w:val="00CB7F5F"/>
    <w:rsid w:val="00CC1ABD"/>
    <w:rsid w:val="00CC1B39"/>
    <w:rsid w:val="00CC6786"/>
    <w:rsid w:val="00CD082E"/>
    <w:rsid w:val="00CD1FFC"/>
    <w:rsid w:val="00CD6ADC"/>
    <w:rsid w:val="00CE3E6B"/>
    <w:rsid w:val="00CE5FB2"/>
    <w:rsid w:val="00CE6274"/>
    <w:rsid w:val="00CF1557"/>
    <w:rsid w:val="00CF215A"/>
    <w:rsid w:val="00CF27A3"/>
    <w:rsid w:val="00CF2B8D"/>
    <w:rsid w:val="00CF3C43"/>
    <w:rsid w:val="00CF456B"/>
    <w:rsid w:val="00CF5A22"/>
    <w:rsid w:val="00CF5BC3"/>
    <w:rsid w:val="00D0117C"/>
    <w:rsid w:val="00D022E9"/>
    <w:rsid w:val="00D0262E"/>
    <w:rsid w:val="00D110BD"/>
    <w:rsid w:val="00D13675"/>
    <w:rsid w:val="00D141E1"/>
    <w:rsid w:val="00D17B77"/>
    <w:rsid w:val="00D17D6C"/>
    <w:rsid w:val="00D20550"/>
    <w:rsid w:val="00D2375F"/>
    <w:rsid w:val="00D2754D"/>
    <w:rsid w:val="00D27B27"/>
    <w:rsid w:val="00D30061"/>
    <w:rsid w:val="00D3275E"/>
    <w:rsid w:val="00D33677"/>
    <w:rsid w:val="00D33BE9"/>
    <w:rsid w:val="00D357FF"/>
    <w:rsid w:val="00D424C7"/>
    <w:rsid w:val="00D42521"/>
    <w:rsid w:val="00D42A79"/>
    <w:rsid w:val="00D43B2A"/>
    <w:rsid w:val="00D45A21"/>
    <w:rsid w:val="00D47575"/>
    <w:rsid w:val="00D47F90"/>
    <w:rsid w:val="00D53E27"/>
    <w:rsid w:val="00D57C7A"/>
    <w:rsid w:val="00D60C27"/>
    <w:rsid w:val="00D62849"/>
    <w:rsid w:val="00D63061"/>
    <w:rsid w:val="00D67157"/>
    <w:rsid w:val="00D70F16"/>
    <w:rsid w:val="00D7145C"/>
    <w:rsid w:val="00D76A44"/>
    <w:rsid w:val="00D800D6"/>
    <w:rsid w:val="00D815EF"/>
    <w:rsid w:val="00D836DB"/>
    <w:rsid w:val="00D91923"/>
    <w:rsid w:val="00D925B1"/>
    <w:rsid w:val="00D93753"/>
    <w:rsid w:val="00D96227"/>
    <w:rsid w:val="00D96405"/>
    <w:rsid w:val="00D968BA"/>
    <w:rsid w:val="00D97103"/>
    <w:rsid w:val="00DA0699"/>
    <w:rsid w:val="00DA2A2E"/>
    <w:rsid w:val="00DA3167"/>
    <w:rsid w:val="00DA4676"/>
    <w:rsid w:val="00DA4DC3"/>
    <w:rsid w:val="00DA77A5"/>
    <w:rsid w:val="00DA7F1A"/>
    <w:rsid w:val="00DB3800"/>
    <w:rsid w:val="00DB484F"/>
    <w:rsid w:val="00DB5EE5"/>
    <w:rsid w:val="00DB73BB"/>
    <w:rsid w:val="00DC04F6"/>
    <w:rsid w:val="00DC3C57"/>
    <w:rsid w:val="00DC5501"/>
    <w:rsid w:val="00DC64E7"/>
    <w:rsid w:val="00DD0A8D"/>
    <w:rsid w:val="00DD273C"/>
    <w:rsid w:val="00DD3F28"/>
    <w:rsid w:val="00DD4537"/>
    <w:rsid w:val="00DD4E15"/>
    <w:rsid w:val="00DD62D8"/>
    <w:rsid w:val="00DE3138"/>
    <w:rsid w:val="00DE37F8"/>
    <w:rsid w:val="00DE4806"/>
    <w:rsid w:val="00DE4FCB"/>
    <w:rsid w:val="00DE7832"/>
    <w:rsid w:val="00DF18FC"/>
    <w:rsid w:val="00DF5D2B"/>
    <w:rsid w:val="00E00E8E"/>
    <w:rsid w:val="00E01C5E"/>
    <w:rsid w:val="00E05630"/>
    <w:rsid w:val="00E06DBB"/>
    <w:rsid w:val="00E07A0C"/>
    <w:rsid w:val="00E10149"/>
    <w:rsid w:val="00E11C13"/>
    <w:rsid w:val="00E12381"/>
    <w:rsid w:val="00E1331B"/>
    <w:rsid w:val="00E16372"/>
    <w:rsid w:val="00E20E4D"/>
    <w:rsid w:val="00E20ED6"/>
    <w:rsid w:val="00E21358"/>
    <w:rsid w:val="00E2249B"/>
    <w:rsid w:val="00E22A0D"/>
    <w:rsid w:val="00E26F96"/>
    <w:rsid w:val="00E2771E"/>
    <w:rsid w:val="00E2793B"/>
    <w:rsid w:val="00E3416B"/>
    <w:rsid w:val="00E34948"/>
    <w:rsid w:val="00E37569"/>
    <w:rsid w:val="00E40122"/>
    <w:rsid w:val="00E4107C"/>
    <w:rsid w:val="00E41E30"/>
    <w:rsid w:val="00E42C4D"/>
    <w:rsid w:val="00E43D70"/>
    <w:rsid w:val="00E446A5"/>
    <w:rsid w:val="00E46262"/>
    <w:rsid w:val="00E466F3"/>
    <w:rsid w:val="00E4730B"/>
    <w:rsid w:val="00E47B2C"/>
    <w:rsid w:val="00E50D24"/>
    <w:rsid w:val="00E51560"/>
    <w:rsid w:val="00E54347"/>
    <w:rsid w:val="00E54D65"/>
    <w:rsid w:val="00E55424"/>
    <w:rsid w:val="00E55BB5"/>
    <w:rsid w:val="00E62DCB"/>
    <w:rsid w:val="00E65E79"/>
    <w:rsid w:val="00E66BA2"/>
    <w:rsid w:val="00E67416"/>
    <w:rsid w:val="00E70620"/>
    <w:rsid w:val="00E718B6"/>
    <w:rsid w:val="00E723BA"/>
    <w:rsid w:val="00E73581"/>
    <w:rsid w:val="00E75CBE"/>
    <w:rsid w:val="00E771D2"/>
    <w:rsid w:val="00E81EF9"/>
    <w:rsid w:val="00E82A01"/>
    <w:rsid w:val="00E833F7"/>
    <w:rsid w:val="00E83BDF"/>
    <w:rsid w:val="00E845FE"/>
    <w:rsid w:val="00E853BD"/>
    <w:rsid w:val="00E87A1D"/>
    <w:rsid w:val="00E87DCC"/>
    <w:rsid w:val="00E90B80"/>
    <w:rsid w:val="00E926A5"/>
    <w:rsid w:val="00EA0EC9"/>
    <w:rsid w:val="00EA17C3"/>
    <w:rsid w:val="00EA2085"/>
    <w:rsid w:val="00EA2CAA"/>
    <w:rsid w:val="00EA3864"/>
    <w:rsid w:val="00EA7083"/>
    <w:rsid w:val="00EB15B6"/>
    <w:rsid w:val="00EB3D1B"/>
    <w:rsid w:val="00EB4916"/>
    <w:rsid w:val="00EB5892"/>
    <w:rsid w:val="00EB6F8D"/>
    <w:rsid w:val="00EC00C9"/>
    <w:rsid w:val="00EC2042"/>
    <w:rsid w:val="00EC2299"/>
    <w:rsid w:val="00EC243F"/>
    <w:rsid w:val="00EC2649"/>
    <w:rsid w:val="00EC3B41"/>
    <w:rsid w:val="00EC7EE4"/>
    <w:rsid w:val="00ED3CDE"/>
    <w:rsid w:val="00ED57EA"/>
    <w:rsid w:val="00ED5EDC"/>
    <w:rsid w:val="00EE003F"/>
    <w:rsid w:val="00EE07D3"/>
    <w:rsid w:val="00EE0E7A"/>
    <w:rsid w:val="00EE20EB"/>
    <w:rsid w:val="00EE22AF"/>
    <w:rsid w:val="00EE3A8D"/>
    <w:rsid w:val="00EE6C8F"/>
    <w:rsid w:val="00EF0171"/>
    <w:rsid w:val="00EF1B25"/>
    <w:rsid w:val="00EF377C"/>
    <w:rsid w:val="00EF44F0"/>
    <w:rsid w:val="00EF4747"/>
    <w:rsid w:val="00EF4BF8"/>
    <w:rsid w:val="00EF60D3"/>
    <w:rsid w:val="00EF6846"/>
    <w:rsid w:val="00EF7902"/>
    <w:rsid w:val="00F02253"/>
    <w:rsid w:val="00F03C2E"/>
    <w:rsid w:val="00F04A66"/>
    <w:rsid w:val="00F04CA2"/>
    <w:rsid w:val="00F0516C"/>
    <w:rsid w:val="00F067A2"/>
    <w:rsid w:val="00F06885"/>
    <w:rsid w:val="00F1263A"/>
    <w:rsid w:val="00F14623"/>
    <w:rsid w:val="00F2054E"/>
    <w:rsid w:val="00F21E54"/>
    <w:rsid w:val="00F230AB"/>
    <w:rsid w:val="00F24837"/>
    <w:rsid w:val="00F2575F"/>
    <w:rsid w:val="00F27565"/>
    <w:rsid w:val="00F30A77"/>
    <w:rsid w:val="00F310D4"/>
    <w:rsid w:val="00F31D5A"/>
    <w:rsid w:val="00F33DE9"/>
    <w:rsid w:val="00F3619A"/>
    <w:rsid w:val="00F40AAA"/>
    <w:rsid w:val="00F40BA7"/>
    <w:rsid w:val="00F439EA"/>
    <w:rsid w:val="00F451C4"/>
    <w:rsid w:val="00F46CB6"/>
    <w:rsid w:val="00F47DE8"/>
    <w:rsid w:val="00F52C2A"/>
    <w:rsid w:val="00F542C1"/>
    <w:rsid w:val="00F55BCA"/>
    <w:rsid w:val="00F55E73"/>
    <w:rsid w:val="00F55EDA"/>
    <w:rsid w:val="00F60092"/>
    <w:rsid w:val="00F60660"/>
    <w:rsid w:val="00F60715"/>
    <w:rsid w:val="00F614D0"/>
    <w:rsid w:val="00F65F4B"/>
    <w:rsid w:val="00F70C9D"/>
    <w:rsid w:val="00F73C5A"/>
    <w:rsid w:val="00F74CD9"/>
    <w:rsid w:val="00F80A7B"/>
    <w:rsid w:val="00F80E5D"/>
    <w:rsid w:val="00F851CE"/>
    <w:rsid w:val="00F864E4"/>
    <w:rsid w:val="00F87A4C"/>
    <w:rsid w:val="00F91219"/>
    <w:rsid w:val="00F95597"/>
    <w:rsid w:val="00F966D1"/>
    <w:rsid w:val="00F97A78"/>
    <w:rsid w:val="00FA0895"/>
    <w:rsid w:val="00FA0B20"/>
    <w:rsid w:val="00FA24E7"/>
    <w:rsid w:val="00FA291E"/>
    <w:rsid w:val="00FA6769"/>
    <w:rsid w:val="00FA7E7C"/>
    <w:rsid w:val="00FB2FCB"/>
    <w:rsid w:val="00FB63C6"/>
    <w:rsid w:val="00FC1074"/>
    <w:rsid w:val="00FC1884"/>
    <w:rsid w:val="00FC371D"/>
    <w:rsid w:val="00FC46FF"/>
    <w:rsid w:val="00FC521C"/>
    <w:rsid w:val="00FC5F0B"/>
    <w:rsid w:val="00FD17F9"/>
    <w:rsid w:val="00FD2100"/>
    <w:rsid w:val="00FD436C"/>
    <w:rsid w:val="00FD446D"/>
    <w:rsid w:val="00FD46D9"/>
    <w:rsid w:val="00FD6394"/>
    <w:rsid w:val="00FE0E6C"/>
    <w:rsid w:val="00FE36D8"/>
    <w:rsid w:val="00FE6728"/>
    <w:rsid w:val="00FE70C3"/>
    <w:rsid w:val="00FF3DCF"/>
    <w:rsid w:val="00FF492C"/>
    <w:rsid w:val="00FF4A21"/>
    <w:rsid w:val="00FF5AA3"/>
    <w:rsid w:val="00FF5AD8"/>
    <w:rsid w:val="00FF70E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39DC"/>
    <w:pPr>
      <w:widowControl w:val="0"/>
      <w:jc w:val="both"/>
    </w:pPr>
    <w:rPr>
      <w:rFonts w:ascii="Calibri" w:hAnsi="Calibri" w:cs="Arial"/>
      <w:snapToGrid w:val="0"/>
      <w:sz w:val="24"/>
      <w:szCs w:val="22"/>
      <w:lang w:eastAsia="en-US"/>
    </w:rPr>
  </w:style>
  <w:style w:type="paragraph" w:styleId="Heading1">
    <w:name w:val="heading 1"/>
    <w:basedOn w:val="PBACHeading1"/>
    <w:next w:val="Normal"/>
    <w:qFormat/>
    <w:rsid w:val="0076635C"/>
    <w:pPr>
      <w:keepNext/>
      <w:spacing w:after="120"/>
      <w:outlineLvl w:val="0"/>
    </w:pPr>
  </w:style>
  <w:style w:type="paragraph" w:styleId="Heading2">
    <w:name w:val="heading 2"/>
    <w:basedOn w:val="Normal"/>
    <w:next w:val="Normal"/>
    <w:link w:val="Heading2Char"/>
    <w:qFormat/>
    <w:rsid w:val="00AC4D6D"/>
    <w:pPr>
      <w:keepNext/>
      <w:spacing w:after="120"/>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AC4D6D"/>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aliases w:val="IB Caption,Medical Caption,Caption Char1 Char Char,Caption Char Char Char Char,Caption Char1 Char,Caption Char Char Char Char Char,Caption Char Char,Caption Char Char Char Char1,Caption Char1 Char1,Caption Char Char Char,12,Bullet"/>
    <w:basedOn w:val="Normal"/>
    <w:next w:val="Normal"/>
    <w:link w:val="CaptionChar"/>
    <w:uiPriority w:val="35"/>
    <w:unhideWhenUsed/>
    <w:qFormat/>
    <w:rsid w:val="00124A51"/>
    <w:pPr>
      <w:spacing w:after="200"/>
    </w:pPr>
    <w:rPr>
      <w:b/>
      <w:bCs/>
      <w:color w:val="4F81BD" w:themeColor="accent1"/>
      <w:sz w:val="18"/>
      <w:szCs w:val="18"/>
    </w:rPr>
  </w:style>
  <w:style w:type="character" w:customStyle="1" w:styleId="CaptionChar">
    <w:name w:val="Caption Char"/>
    <w:aliases w:val="IB Caption Char1,Medical Caption Char1,Caption Char1 Char Char Char1,Caption Char Char Char Char Char2,Caption Char1 Char Char2,Caption Char Char Char Char Char Char1,Caption Char Char Char2,Caption Char Char Char Char1 Char1,12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34"/>
    <w:qFormat/>
    <w:rsid w:val="00AC4D6D"/>
    <w:pPr>
      <w:spacing w:after="120"/>
      <w:ind w:left="720"/>
    </w:pPr>
  </w:style>
  <w:style w:type="character" w:customStyle="1" w:styleId="ListParagraphChar">
    <w:name w:val="List Paragraph Char"/>
    <w:aliases w:val="Numbered para Char,BulletPoints Char"/>
    <w:basedOn w:val="DefaultParagraphFont"/>
    <w:link w:val="ListParagraph"/>
    <w:uiPriority w:val="72"/>
    <w:locked/>
    <w:rsid w:val="00AC4D6D"/>
    <w:rPr>
      <w:rFonts w:ascii="Calibri" w:hAnsi="Calibri" w:cs="Arial"/>
      <w:snapToGrid w:val="0"/>
      <w:sz w:val="24"/>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qFormat/>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Lines/>
      <w:spacing w:before="480" w:line="276" w:lineRule="auto"/>
      <w:ind w:left="0" w:firstLine="0"/>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uiPriority w:val="99"/>
    <w:rsid w:val="00FD2100"/>
    <w:rPr>
      <w:rFonts w:ascii="Times New Roman" w:hAnsi="Times New Roman" w:cs="Times New Roman"/>
      <w:sz w:val="20"/>
    </w:rPr>
  </w:style>
  <w:style w:type="character" w:customStyle="1" w:styleId="CommentTextChar">
    <w:name w:val="Comment Text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B03A63"/>
    <w:pPr>
      <w:numPr>
        <w:numId w:val="1"/>
      </w:numPr>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basedOn w:val="Normal"/>
    <w:link w:val="TableTextChar0"/>
    <w:qFormat/>
    <w:rsid w:val="007A1D94"/>
    <w:pPr>
      <w:widowControl/>
      <w:spacing w:before="20" w:after="20" w:line="276" w:lineRule="auto"/>
      <w:jc w:val="left"/>
    </w:pPr>
    <w:rPr>
      <w:rFonts w:ascii="Arial Narrow" w:eastAsiaTheme="majorEastAsia" w:hAnsi="Arial Narrow"/>
      <w:snapToGrid/>
      <w:sz w:val="20"/>
      <w:szCs w:val="20"/>
      <w:lang w:bidi="en-US"/>
    </w:rPr>
  </w:style>
  <w:style w:type="table" w:customStyle="1" w:styleId="AZTable">
    <w:name w:val="AZ Table"/>
    <w:basedOn w:val="TableNormal"/>
    <w:uiPriority w:val="99"/>
    <w:rsid w:val="007A1D9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b w:val="0"/>
      </w:rPr>
      <w:tblPr/>
      <w:tcPr>
        <w:vAlign w:val="center"/>
      </w:tcPr>
    </w:tblStylePr>
  </w:style>
  <w:style w:type="character" w:customStyle="1" w:styleId="TableTextChar0">
    <w:name w:val="Table Text Char"/>
    <w:link w:val="TableText0"/>
    <w:rsid w:val="007A1D94"/>
    <w:rPr>
      <w:rFonts w:ascii="Arial Narrow" w:eastAsiaTheme="majorEastAsia" w:hAnsi="Arial Narrow" w:cs="Arial"/>
      <w:lang w:eastAsia="en-US" w:bidi="en-US"/>
    </w:rPr>
  </w:style>
  <w:style w:type="paragraph" w:customStyle="1" w:styleId="expl">
    <w:name w:val="expl"/>
    <w:basedOn w:val="Normal"/>
    <w:rsid w:val="007A1D94"/>
    <w:pPr>
      <w:widowControl/>
      <w:spacing w:before="20" w:after="80" w:line="260" w:lineRule="exact"/>
      <w:jc w:val="left"/>
    </w:pPr>
    <w:rPr>
      <w:rFonts w:ascii="Times New Roman" w:hAnsi="Times New Roman" w:cs="Times New Roman"/>
      <w:snapToGrid/>
      <w:sz w:val="20"/>
      <w:szCs w:val="20"/>
      <w:lang w:eastAsia="en-AU"/>
    </w:rPr>
  </w:style>
  <w:style w:type="character" w:customStyle="1" w:styleId="CaptionChar1">
    <w:name w:val="Caption Char1"/>
    <w:aliases w:val="IB Caption Char,Medical Caption Char,Caption Char1 Char Char Char,Caption Char Char Char Char Char1,Caption Char1 Char Char1,Caption Char Char Char Char Char Char,Caption Char Char Char1,Caption Char Char Char Char1 Char,Caption Char Char1"/>
    <w:basedOn w:val="DefaultParagraphFont"/>
    <w:uiPriority w:val="35"/>
    <w:rsid w:val="007A1D94"/>
    <w:rPr>
      <w:rFonts w:ascii="Arial" w:hAnsi="Arial"/>
      <w:b/>
      <w:iCs/>
      <w:color w:val="000000" w:themeColor="text1"/>
      <w:szCs w:val="18"/>
    </w:rPr>
  </w:style>
  <w:style w:type="paragraph" w:customStyle="1" w:styleId="A-ListBullet">
    <w:name w:val="A-List Bullet"/>
    <w:link w:val="A-ListBulletChar"/>
    <w:rsid w:val="007A1D94"/>
    <w:pPr>
      <w:numPr>
        <w:numId w:val="3"/>
      </w:numPr>
      <w:spacing w:after="240" w:line="280" w:lineRule="atLeast"/>
    </w:pPr>
    <w:rPr>
      <w:sz w:val="24"/>
      <w:lang w:val="en-GB" w:eastAsia="en-US"/>
    </w:rPr>
  </w:style>
  <w:style w:type="character" w:customStyle="1" w:styleId="A-ListBulletChar">
    <w:name w:val="A-List Bullet Char"/>
    <w:link w:val="A-ListBullet"/>
    <w:locked/>
    <w:rsid w:val="007A1D94"/>
    <w:rPr>
      <w:sz w:val="24"/>
      <w:lang w:val="en-GB" w:eastAsia="en-US"/>
    </w:rPr>
  </w:style>
  <w:style w:type="character" w:customStyle="1" w:styleId="UnresolvedMention1">
    <w:name w:val="Unresolved Mention1"/>
    <w:basedOn w:val="DefaultParagraphFont"/>
    <w:uiPriority w:val="99"/>
    <w:semiHidden/>
    <w:unhideWhenUsed/>
    <w:rsid w:val="007A1D94"/>
    <w:rPr>
      <w:color w:val="808080"/>
      <w:shd w:val="clear" w:color="auto" w:fill="E6E6E6"/>
    </w:rPr>
  </w:style>
  <w:style w:type="character" w:styleId="Strong">
    <w:name w:val="Strong"/>
    <w:basedOn w:val="DefaultParagraphFont"/>
    <w:uiPriority w:val="22"/>
    <w:qFormat/>
    <w:rsid w:val="007A1D94"/>
    <w:rPr>
      <w:b/>
      <w:bCs/>
    </w:rPr>
  </w:style>
  <w:style w:type="paragraph" w:customStyle="1" w:styleId="TableText1">
    <w:name w:val="TableText"/>
    <w:basedOn w:val="Normal"/>
    <w:link w:val="TableTextChar1"/>
    <w:qFormat/>
    <w:rsid w:val="003D0495"/>
    <w:pPr>
      <w:keepNext/>
      <w:widowControl/>
      <w:spacing w:before="60" w:after="60"/>
      <w:jc w:val="left"/>
    </w:pPr>
    <w:rPr>
      <w:rFonts w:ascii="Arial" w:hAnsi="Arial" w:cs="Times New Roman"/>
      <w:snapToGrid/>
      <w:color w:val="000000"/>
      <w:sz w:val="19"/>
      <w:szCs w:val="21"/>
      <w:lang w:eastAsia="en-AU"/>
    </w:rPr>
  </w:style>
  <w:style w:type="character" w:customStyle="1" w:styleId="TableTextChar1">
    <w:name w:val="TableText Char"/>
    <w:basedOn w:val="DefaultParagraphFont"/>
    <w:link w:val="TableText1"/>
    <w:rsid w:val="003D0495"/>
    <w:rPr>
      <w:rFonts w:ascii="Arial" w:hAnsi="Arial"/>
      <w:color w:val="000000"/>
      <w:sz w:val="19"/>
      <w:szCs w:val="21"/>
    </w:rPr>
  </w:style>
  <w:style w:type="paragraph" w:customStyle="1" w:styleId="TableHeading0">
    <w:name w:val="Table Heading"/>
    <w:basedOn w:val="TableText0"/>
    <w:qFormat/>
    <w:rsid w:val="009F471A"/>
    <w:pPr>
      <w:keepNext/>
      <w:keepLines/>
    </w:pPr>
    <w:rPr>
      <w:b/>
      <w:lang w:eastAsia="en-AU"/>
    </w:rPr>
  </w:style>
  <w:style w:type="paragraph" w:customStyle="1" w:styleId="Sources">
    <w:name w:val="Sources"/>
    <w:basedOn w:val="Normal"/>
    <w:qFormat/>
    <w:rsid w:val="00590E80"/>
    <w:pPr>
      <w:widowControl/>
      <w:spacing w:before="120" w:after="120"/>
      <w:jc w:val="left"/>
    </w:pPr>
    <w:rPr>
      <w:rFonts w:ascii="Arial" w:eastAsiaTheme="minorHAnsi" w:hAnsi="Arial" w:cstheme="minorBidi"/>
      <w:snapToGrid/>
      <w:sz w:val="16"/>
    </w:rPr>
  </w:style>
  <w:style w:type="paragraph" w:customStyle="1" w:styleId="BodyText1">
    <w:name w:val="Body Text1"/>
    <w:basedOn w:val="Normal"/>
    <w:rsid w:val="009D5F45"/>
    <w:pPr>
      <w:widowControl/>
      <w:spacing w:before="120" w:after="200" w:line="360" w:lineRule="auto"/>
      <w:ind w:left="1152"/>
      <w:jc w:val="left"/>
    </w:pPr>
    <w:rPr>
      <w:rFonts w:ascii="Arial" w:hAnsi="Arial"/>
      <w:snapToGrid/>
      <w:sz w:val="20"/>
      <w:szCs w:val="20"/>
      <w:lang w:eastAsia="en-AU"/>
    </w:rPr>
  </w:style>
  <w:style w:type="paragraph" w:styleId="FootnoteText">
    <w:name w:val="footnote text"/>
    <w:basedOn w:val="Normal"/>
    <w:link w:val="FootnoteTextChar"/>
    <w:semiHidden/>
    <w:unhideWhenUsed/>
    <w:rsid w:val="00026F82"/>
    <w:rPr>
      <w:sz w:val="20"/>
      <w:szCs w:val="20"/>
    </w:rPr>
  </w:style>
  <w:style w:type="character" w:customStyle="1" w:styleId="FootnoteTextChar">
    <w:name w:val="Footnote Text Char"/>
    <w:basedOn w:val="DefaultParagraphFont"/>
    <w:link w:val="FootnoteText"/>
    <w:semiHidden/>
    <w:rsid w:val="00026F82"/>
    <w:rPr>
      <w:rFonts w:ascii="Calibri" w:hAnsi="Calibri" w:cs="Arial"/>
      <w:snapToGrid w:val="0"/>
      <w:lang w:eastAsia="en-US"/>
    </w:rPr>
  </w:style>
  <w:style w:type="character" w:styleId="FootnoteReference">
    <w:name w:val="footnote reference"/>
    <w:basedOn w:val="DefaultParagraphFont"/>
    <w:semiHidden/>
    <w:unhideWhenUsed/>
    <w:rsid w:val="00026F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websitedbs/D3310114.nsf/home/cens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9866E-A428-4CCA-B394-BEC403936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5486</Words>
  <Characters>31704</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2019-07-15T05:40:00Z</dcterms:created>
  <dcterms:modified xsi:type="dcterms:W3CDTF">2019-07-15T05:45:00Z</dcterms:modified>
</cp:coreProperties>
</file>