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25C" w:rsidRPr="00B77CBC" w:rsidRDefault="00C05AE8" w:rsidP="00C1125C">
      <w:pPr>
        <w:pStyle w:val="Title"/>
        <w:spacing w:before="120" w:after="160"/>
        <w:ind w:left="720" w:hanging="720"/>
        <w:rPr>
          <w:rFonts w:asciiTheme="minorHAnsi" w:hAnsiTheme="minorHAnsi"/>
          <w:sz w:val="36"/>
          <w:szCs w:val="36"/>
        </w:rPr>
      </w:pPr>
      <w:r w:rsidRPr="00B77CBC">
        <w:rPr>
          <w:rFonts w:asciiTheme="minorHAnsi" w:hAnsiTheme="minorHAnsi"/>
          <w:sz w:val="36"/>
          <w:szCs w:val="36"/>
        </w:rPr>
        <w:t>6.10</w:t>
      </w:r>
      <w:r w:rsidR="006D6493" w:rsidRPr="00B77CBC">
        <w:rPr>
          <w:rFonts w:asciiTheme="minorHAnsi" w:hAnsiTheme="minorHAnsi"/>
          <w:sz w:val="36"/>
          <w:szCs w:val="36"/>
        </w:rPr>
        <w:tab/>
      </w:r>
      <w:r w:rsidR="00C1125C" w:rsidRPr="00B77CBC">
        <w:rPr>
          <w:rFonts w:asciiTheme="minorHAnsi" w:hAnsiTheme="minorHAnsi"/>
          <w:sz w:val="36"/>
          <w:szCs w:val="36"/>
        </w:rPr>
        <w:t>ENOXAPARIN</w:t>
      </w:r>
      <w:r w:rsidR="006D6493" w:rsidRPr="00B77CBC">
        <w:rPr>
          <w:rFonts w:asciiTheme="minorHAnsi" w:hAnsiTheme="minorHAnsi"/>
          <w:sz w:val="36"/>
          <w:szCs w:val="36"/>
        </w:rPr>
        <w:t xml:space="preserve"> </w:t>
      </w:r>
      <w:r w:rsidR="006D6493" w:rsidRPr="00B77CBC">
        <w:rPr>
          <w:rFonts w:asciiTheme="minorHAnsi" w:hAnsiTheme="minorHAnsi"/>
          <w:sz w:val="36"/>
          <w:szCs w:val="36"/>
        </w:rPr>
        <w:br/>
      </w:r>
      <w:r w:rsidR="00C1125C" w:rsidRPr="00B77CBC">
        <w:rPr>
          <w:rFonts w:asciiTheme="minorHAnsi" w:hAnsiTheme="minorHAnsi"/>
          <w:sz w:val="36"/>
          <w:szCs w:val="36"/>
        </w:rPr>
        <w:t>Injection containing enoxaparin sodium 20 mg (2,000 I.U. anti-</w:t>
      </w:r>
      <w:proofErr w:type="spellStart"/>
      <w:r w:rsidR="00C1125C" w:rsidRPr="00B77CBC">
        <w:rPr>
          <w:rFonts w:asciiTheme="minorHAnsi" w:hAnsiTheme="minorHAnsi"/>
          <w:sz w:val="36"/>
          <w:szCs w:val="36"/>
        </w:rPr>
        <w:t>Xa</w:t>
      </w:r>
      <w:proofErr w:type="spellEnd"/>
      <w:r w:rsidR="00C1125C" w:rsidRPr="00B77CBC">
        <w:rPr>
          <w:rFonts w:asciiTheme="minorHAnsi" w:hAnsiTheme="minorHAnsi"/>
          <w:sz w:val="36"/>
          <w:szCs w:val="36"/>
        </w:rPr>
        <w:t>) in 0.2 mL pre-filled syringe</w:t>
      </w:r>
    </w:p>
    <w:p w:rsidR="00C1125C" w:rsidRPr="00B77CBC" w:rsidRDefault="00C1125C" w:rsidP="00C1125C">
      <w:pPr>
        <w:pStyle w:val="Title"/>
        <w:spacing w:before="120" w:after="160"/>
        <w:ind w:left="720"/>
        <w:rPr>
          <w:rFonts w:asciiTheme="minorHAnsi" w:hAnsiTheme="minorHAnsi"/>
          <w:sz w:val="36"/>
          <w:szCs w:val="36"/>
        </w:rPr>
      </w:pPr>
      <w:r w:rsidRPr="00B77CBC">
        <w:rPr>
          <w:rFonts w:asciiTheme="minorHAnsi" w:hAnsiTheme="minorHAnsi"/>
          <w:sz w:val="36"/>
          <w:szCs w:val="36"/>
        </w:rPr>
        <w:t>Injection containing enoxaparin sodium 40 mg (4,000 I.U. anti-</w:t>
      </w:r>
      <w:proofErr w:type="spellStart"/>
      <w:r w:rsidRPr="00B77CBC">
        <w:rPr>
          <w:rFonts w:asciiTheme="minorHAnsi" w:hAnsiTheme="minorHAnsi"/>
          <w:sz w:val="36"/>
          <w:szCs w:val="36"/>
        </w:rPr>
        <w:t>Xa</w:t>
      </w:r>
      <w:proofErr w:type="spellEnd"/>
      <w:r w:rsidRPr="00B77CBC">
        <w:rPr>
          <w:rFonts w:asciiTheme="minorHAnsi" w:hAnsiTheme="minorHAnsi"/>
          <w:sz w:val="36"/>
          <w:szCs w:val="36"/>
        </w:rPr>
        <w:t>) in 0.4 mL pre-filled syringe</w:t>
      </w:r>
    </w:p>
    <w:p w:rsidR="006D6493" w:rsidRPr="00B77CBC" w:rsidRDefault="00C1125C" w:rsidP="00C1125C">
      <w:pPr>
        <w:pStyle w:val="Title"/>
        <w:spacing w:before="120" w:after="160"/>
        <w:ind w:left="720" w:hanging="11"/>
        <w:rPr>
          <w:rFonts w:asciiTheme="minorHAnsi" w:hAnsiTheme="minorHAnsi"/>
          <w:sz w:val="36"/>
          <w:szCs w:val="36"/>
        </w:rPr>
      </w:pPr>
      <w:proofErr w:type="spellStart"/>
      <w:r w:rsidRPr="00B77CBC">
        <w:rPr>
          <w:rFonts w:asciiTheme="minorHAnsi" w:hAnsiTheme="minorHAnsi"/>
          <w:sz w:val="36"/>
          <w:szCs w:val="36"/>
        </w:rPr>
        <w:t>Clexane</w:t>
      </w:r>
      <w:proofErr w:type="spellEnd"/>
      <w:r w:rsidR="006D6493" w:rsidRPr="00B77CBC">
        <w:rPr>
          <w:rFonts w:asciiTheme="minorHAnsi" w:hAnsiTheme="minorHAnsi"/>
          <w:sz w:val="36"/>
          <w:szCs w:val="36"/>
          <w:vertAlign w:val="superscript"/>
        </w:rPr>
        <w:t>®</w:t>
      </w:r>
      <w:r w:rsidR="006D6493" w:rsidRPr="00B77CBC">
        <w:rPr>
          <w:rFonts w:asciiTheme="minorHAnsi" w:hAnsiTheme="minorHAnsi"/>
          <w:sz w:val="36"/>
          <w:szCs w:val="36"/>
        </w:rPr>
        <w:t xml:space="preserve">, </w:t>
      </w:r>
      <w:r w:rsidRPr="00B77CBC">
        <w:rPr>
          <w:rFonts w:asciiTheme="minorHAnsi" w:hAnsiTheme="minorHAnsi"/>
          <w:sz w:val="36"/>
          <w:szCs w:val="36"/>
        </w:rPr>
        <w:t>Sanofi-Aventis Australia Pty Ltd</w:t>
      </w:r>
    </w:p>
    <w:p w:rsidR="008A50F1" w:rsidRPr="00B77CBC" w:rsidRDefault="00CE10C4" w:rsidP="00EB0B63">
      <w:pPr>
        <w:pStyle w:val="PBACHeading1"/>
        <w:spacing w:before="240" w:after="120"/>
        <w:ind w:left="709" w:hanging="709"/>
        <w:rPr>
          <w:rFonts w:asciiTheme="minorHAnsi" w:hAnsiTheme="minorHAnsi"/>
          <w:sz w:val="32"/>
          <w:szCs w:val="32"/>
        </w:rPr>
      </w:pPr>
      <w:r w:rsidRPr="00B77CBC">
        <w:rPr>
          <w:rFonts w:asciiTheme="minorHAnsi" w:hAnsiTheme="minorHAnsi"/>
          <w:sz w:val="32"/>
          <w:szCs w:val="32"/>
        </w:rPr>
        <w:t xml:space="preserve">Purpose of </w:t>
      </w:r>
      <w:r w:rsidR="0004240E" w:rsidRPr="00B77CBC">
        <w:rPr>
          <w:rFonts w:asciiTheme="minorHAnsi" w:hAnsiTheme="minorHAnsi"/>
          <w:sz w:val="32"/>
          <w:szCs w:val="32"/>
        </w:rPr>
        <w:t>Application</w:t>
      </w:r>
    </w:p>
    <w:p w:rsidR="006D69F1" w:rsidRDefault="00EF44A0" w:rsidP="000C6F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The mi</w:t>
      </w:r>
      <w:r w:rsidR="00FF2801" w:rsidRPr="00B77CBC">
        <w:rPr>
          <w:rFonts w:asciiTheme="minorHAnsi" w:eastAsiaTheme="minorHAnsi" w:hAnsiTheme="minorHAnsi" w:cstheme="minorBidi"/>
          <w:snapToGrid/>
          <w:sz w:val="24"/>
          <w:szCs w:val="22"/>
        </w:rPr>
        <w:t>nor submission sought to</w:t>
      </w:r>
      <w:r w:rsidR="00454405" w:rsidRPr="00B77CBC">
        <w:rPr>
          <w:rFonts w:asciiTheme="minorHAnsi" w:eastAsiaTheme="minorHAnsi" w:hAnsiTheme="minorHAnsi" w:cstheme="minorBidi"/>
          <w:snapToGrid/>
          <w:sz w:val="24"/>
          <w:szCs w:val="22"/>
        </w:rPr>
        <w:t xml:space="preserve"> increase the maximum number of repeats of the </w:t>
      </w:r>
      <w:r w:rsidR="00A546C3" w:rsidRPr="00B77CBC">
        <w:rPr>
          <w:rFonts w:asciiTheme="minorHAnsi" w:eastAsiaTheme="minorHAnsi" w:hAnsiTheme="minorHAnsi" w:cstheme="minorBidi"/>
          <w:snapToGrid/>
          <w:sz w:val="24"/>
          <w:szCs w:val="22"/>
        </w:rPr>
        <w:t xml:space="preserve">General Schedule </w:t>
      </w:r>
      <w:r w:rsidR="00454405" w:rsidRPr="00B77CBC">
        <w:rPr>
          <w:rFonts w:asciiTheme="minorHAnsi" w:eastAsiaTheme="minorHAnsi" w:hAnsiTheme="minorHAnsi" w:cstheme="minorBidi"/>
          <w:snapToGrid/>
          <w:sz w:val="24"/>
          <w:szCs w:val="22"/>
        </w:rPr>
        <w:t>listing</w:t>
      </w:r>
      <w:r w:rsidR="003840D8" w:rsidRPr="00B77CBC">
        <w:rPr>
          <w:rFonts w:asciiTheme="minorHAnsi" w:eastAsiaTheme="minorHAnsi" w:hAnsiTheme="minorHAnsi" w:cstheme="minorBidi"/>
          <w:snapToGrid/>
          <w:sz w:val="24"/>
          <w:szCs w:val="22"/>
        </w:rPr>
        <w:t>s</w:t>
      </w:r>
      <w:r w:rsidR="00454405" w:rsidRPr="00B77CBC">
        <w:rPr>
          <w:rFonts w:asciiTheme="minorHAnsi" w:eastAsiaTheme="minorHAnsi" w:hAnsiTheme="minorHAnsi" w:cstheme="minorBidi"/>
          <w:snapToGrid/>
          <w:sz w:val="24"/>
          <w:szCs w:val="22"/>
        </w:rPr>
        <w:t xml:space="preserve"> </w:t>
      </w:r>
      <w:r w:rsidR="003840D8" w:rsidRPr="00B77CBC">
        <w:rPr>
          <w:rFonts w:asciiTheme="minorHAnsi" w:eastAsiaTheme="minorHAnsi" w:hAnsiTheme="minorHAnsi" w:cstheme="minorBidi"/>
          <w:snapToGrid/>
          <w:sz w:val="24"/>
          <w:szCs w:val="22"/>
        </w:rPr>
        <w:t>of enoxaparin injections 20 mg</w:t>
      </w:r>
      <w:r w:rsidR="004B308A" w:rsidRPr="00B77CBC">
        <w:rPr>
          <w:rFonts w:asciiTheme="minorHAnsi" w:eastAsiaTheme="minorHAnsi" w:hAnsiTheme="minorHAnsi" w:cstheme="minorBidi"/>
          <w:snapToGrid/>
          <w:sz w:val="24"/>
          <w:szCs w:val="22"/>
        </w:rPr>
        <w:t xml:space="preserve"> (item number 8558K)</w:t>
      </w:r>
      <w:r w:rsidR="00DC2409" w:rsidRPr="00B77CBC">
        <w:rPr>
          <w:rFonts w:asciiTheme="minorHAnsi" w:eastAsiaTheme="minorHAnsi" w:hAnsiTheme="minorHAnsi" w:cstheme="minorBidi"/>
          <w:snapToGrid/>
          <w:sz w:val="24"/>
          <w:szCs w:val="22"/>
        </w:rPr>
        <w:t xml:space="preserve"> and 40 </w:t>
      </w:r>
      <w:r w:rsidR="003840D8" w:rsidRPr="00B77CBC">
        <w:rPr>
          <w:rFonts w:asciiTheme="minorHAnsi" w:eastAsiaTheme="minorHAnsi" w:hAnsiTheme="minorHAnsi" w:cstheme="minorBidi"/>
          <w:snapToGrid/>
          <w:sz w:val="24"/>
          <w:szCs w:val="22"/>
        </w:rPr>
        <w:t>mg</w:t>
      </w:r>
      <w:r w:rsidR="004B308A" w:rsidRPr="00B77CBC">
        <w:rPr>
          <w:rFonts w:asciiTheme="minorHAnsi" w:eastAsiaTheme="minorHAnsi" w:hAnsiTheme="minorHAnsi" w:cstheme="minorBidi"/>
          <w:snapToGrid/>
          <w:sz w:val="24"/>
          <w:szCs w:val="22"/>
        </w:rPr>
        <w:t xml:space="preserve"> (item number 8510X)</w:t>
      </w:r>
      <w:r w:rsidR="003840D8" w:rsidRPr="00B77CBC">
        <w:rPr>
          <w:rFonts w:asciiTheme="minorHAnsi" w:eastAsiaTheme="minorHAnsi" w:hAnsiTheme="minorHAnsi" w:cstheme="minorBidi"/>
          <w:snapToGrid/>
          <w:sz w:val="24"/>
          <w:szCs w:val="22"/>
        </w:rPr>
        <w:t xml:space="preserve">, from zero to one. </w:t>
      </w:r>
    </w:p>
    <w:p w:rsidR="006A12A5" w:rsidRPr="00B77CBC" w:rsidRDefault="006A12A5" w:rsidP="00EB0B63">
      <w:pPr>
        <w:pStyle w:val="PBACHeading1"/>
        <w:spacing w:before="240" w:after="120"/>
        <w:ind w:left="709" w:hanging="709"/>
        <w:rPr>
          <w:rFonts w:asciiTheme="minorHAnsi" w:hAnsiTheme="minorHAnsi"/>
          <w:sz w:val="32"/>
          <w:szCs w:val="32"/>
        </w:rPr>
      </w:pPr>
      <w:r w:rsidRPr="00B77CBC">
        <w:rPr>
          <w:rFonts w:asciiTheme="minorHAnsi" w:hAnsiTheme="minorHAnsi"/>
          <w:sz w:val="32"/>
          <w:szCs w:val="32"/>
        </w:rPr>
        <w:t>Requested listing</w:t>
      </w:r>
    </w:p>
    <w:p w:rsidR="00826F6D" w:rsidRPr="00B77CBC" w:rsidRDefault="00EF44A0" w:rsidP="00EB0B63">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The submission </w:t>
      </w:r>
      <w:r w:rsidR="00FF2801" w:rsidRPr="00B77CBC">
        <w:rPr>
          <w:rFonts w:asciiTheme="minorHAnsi" w:eastAsiaTheme="minorHAnsi" w:hAnsiTheme="minorHAnsi" w:cstheme="minorBidi"/>
          <w:snapToGrid/>
          <w:sz w:val="24"/>
          <w:szCs w:val="22"/>
        </w:rPr>
        <w:t>requested</w:t>
      </w:r>
      <w:r w:rsidRPr="00B77CBC">
        <w:rPr>
          <w:rFonts w:asciiTheme="minorHAnsi" w:eastAsiaTheme="minorHAnsi" w:hAnsiTheme="minorHAnsi" w:cstheme="minorBidi"/>
          <w:snapToGrid/>
          <w:sz w:val="24"/>
          <w:szCs w:val="22"/>
        </w:rPr>
        <w:t xml:space="preserve"> the following changes to the existing listing</w:t>
      </w:r>
      <w:r w:rsidR="004B308A" w:rsidRPr="00B77CBC">
        <w:rPr>
          <w:rFonts w:asciiTheme="minorHAnsi" w:eastAsiaTheme="minorHAnsi" w:hAnsiTheme="minorHAnsi" w:cstheme="minorBidi"/>
          <w:snapToGrid/>
          <w:sz w:val="24"/>
          <w:szCs w:val="22"/>
        </w:rPr>
        <w:t>:</w:t>
      </w:r>
      <w:r w:rsidR="007A68A7" w:rsidRPr="00B77CBC">
        <w:rPr>
          <w:rFonts w:asciiTheme="minorHAnsi" w:eastAsiaTheme="minorHAnsi" w:hAnsiTheme="minorHAnsi" w:cstheme="minorBidi"/>
          <w:snapToGrid/>
          <w:sz w:val="24"/>
          <w:szCs w:val="22"/>
        </w:rPr>
        <w:t xml:space="preserve"> </w:t>
      </w:r>
    </w:p>
    <w:tbl>
      <w:tblPr>
        <w:tblW w:w="4915" w:type="pct"/>
        <w:tblLook w:val="0000" w:firstRow="0" w:lastRow="0" w:firstColumn="0" w:lastColumn="0" w:noHBand="0" w:noVBand="0"/>
      </w:tblPr>
      <w:tblGrid>
        <w:gridCol w:w="1886"/>
        <w:gridCol w:w="1324"/>
        <w:gridCol w:w="703"/>
        <w:gridCol w:w="852"/>
        <w:gridCol w:w="1572"/>
        <w:gridCol w:w="1047"/>
        <w:gridCol w:w="658"/>
        <w:gridCol w:w="831"/>
      </w:tblGrid>
      <w:tr w:rsidR="00163329" w:rsidRPr="00B77CBC" w:rsidTr="0048157A">
        <w:trPr>
          <w:cantSplit/>
          <w:trHeight w:val="465"/>
        </w:trPr>
        <w:tc>
          <w:tcPr>
            <w:tcW w:w="1809" w:type="pct"/>
            <w:gridSpan w:val="2"/>
            <w:tcBorders>
              <w:bottom w:val="single" w:sz="4" w:space="0" w:color="auto"/>
            </w:tcBorders>
          </w:tcPr>
          <w:p w:rsidR="00826F6D" w:rsidRPr="00B77CBC" w:rsidRDefault="00826F6D" w:rsidP="00D932FF">
            <w:pPr>
              <w:keepNext/>
              <w:spacing w:before="40" w:after="40"/>
              <w:rPr>
                <w:rFonts w:ascii="Arial Narrow" w:hAnsi="Arial Narrow" w:cs="Arial"/>
                <w:b/>
                <w:sz w:val="20"/>
                <w:szCs w:val="20"/>
              </w:rPr>
            </w:pPr>
            <w:r w:rsidRPr="00B77CBC">
              <w:rPr>
                <w:rFonts w:ascii="Arial Narrow" w:hAnsi="Arial Narrow" w:cs="Arial"/>
                <w:b/>
                <w:sz w:val="20"/>
                <w:szCs w:val="20"/>
              </w:rPr>
              <w:t>Name, Restriction,</w:t>
            </w:r>
          </w:p>
          <w:p w:rsidR="00826F6D" w:rsidRPr="00B77CBC" w:rsidRDefault="00826F6D" w:rsidP="00D932FF">
            <w:pPr>
              <w:keepNext/>
              <w:spacing w:before="40" w:after="40"/>
              <w:rPr>
                <w:rFonts w:ascii="Arial Narrow" w:hAnsi="Arial Narrow" w:cs="Arial"/>
                <w:b/>
                <w:sz w:val="20"/>
                <w:szCs w:val="20"/>
              </w:rPr>
            </w:pPr>
            <w:r w:rsidRPr="00B77CBC">
              <w:rPr>
                <w:rFonts w:ascii="Arial Narrow" w:hAnsi="Arial Narrow" w:cs="Arial"/>
                <w:b/>
                <w:sz w:val="20"/>
                <w:szCs w:val="20"/>
              </w:rPr>
              <w:t>Manner of administration and form</w:t>
            </w:r>
          </w:p>
        </w:tc>
        <w:tc>
          <w:tcPr>
            <w:tcW w:w="396" w:type="pct"/>
            <w:tcBorders>
              <w:bottom w:val="single" w:sz="4" w:space="0" w:color="auto"/>
            </w:tcBorders>
          </w:tcPr>
          <w:p w:rsidR="00826F6D" w:rsidRPr="00B77CBC" w:rsidRDefault="00826F6D" w:rsidP="00D932FF">
            <w:pPr>
              <w:keepNext/>
              <w:spacing w:before="40" w:after="40"/>
              <w:rPr>
                <w:rFonts w:ascii="Arial Narrow" w:hAnsi="Arial Narrow" w:cs="Arial"/>
                <w:b/>
                <w:sz w:val="20"/>
                <w:szCs w:val="20"/>
              </w:rPr>
            </w:pPr>
            <w:r w:rsidRPr="00B77CBC">
              <w:rPr>
                <w:rFonts w:ascii="Arial Narrow" w:hAnsi="Arial Narrow" w:cs="Arial"/>
                <w:b/>
                <w:sz w:val="20"/>
                <w:szCs w:val="20"/>
              </w:rPr>
              <w:t>Max.</w:t>
            </w:r>
          </w:p>
          <w:p w:rsidR="00826F6D" w:rsidRPr="00B77CBC" w:rsidRDefault="00826F6D" w:rsidP="00D932FF">
            <w:pPr>
              <w:keepNext/>
              <w:spacing w:before="40" w:after="40"/>
              <w:rPr>
                <w:rFonts w:ascii="Arial Narrow" w:hAnsi="Arial Narrow" w:cs="Arial"/>
                <w:b/>
                <w:sz w:val="20"/>
                <w:szCs w:val="20"/>
              </w:rPr>
            </w:pPr>
            <w:proofErr w:type="spellStart"/>
            <w:r w:rsidRPr="00B77CBC">
              <w:rPr>
                <w:rFonts w:ascii="Arial Narrow" w:hAnsi="Arial Narrow" w:cs="Arial"/>
                <w:b/>
                <w:sz w:val="20"/>
                <w:szCs w:val="20"/>
              </w:rPr>
              <w:t>Qty</w:t>
            </w:r>
            <w:proofErr w:type="spellEnd"/>
          </w:p>
        </w:tc>
        <w:tc>
          <w:tcPr>
            <w:tcW w:w="480" w:type="pct"/>
            <w:tcBorders>
              <w:bottom w:val="single" w:sz="4" w:space="0" w:color="auto"/>
            </w:tcBorders>
          </w:tcPr>
          <w:p w:rsidR="00826F6D" w:rsidRPr="00B77CBC" w:rsidRDefault="00826F6D" w:rsidP="00D932FF">
            <w:pPr>
              <w:keepNext/>
              <w:spacing w:before="40" w:after="40"/>
              <w:rPr>
                <w:rFonts w:ascii="Arial Narrow" w:hAnsi="Arial Narrow" w:cs="Arial"/>
                <w:b/>
                <w:sz w:val="20"/>
                <w:szCs w:val="20"/>
              </w:rPr>
            </w:pPr>
            <w:r w:rsidRPr="00B77CBC">
              <w:rPr>
                <w:rFonts w:ascii="Arial Narrow" w:hAnsi="Arial Narrow" w:cs="Arial"/>
                <w:b/>
                <w:sz w:val="20"/>
                <w:szCs w:val="20"/>
              </w:rPr>
              <w:t>№.of</w:t>
            </w:r>
          </w:p>
          <w:p w:rsidR="00826F6D" w:rsidRPr="00B77CBC" w:rsidRDefault="00826F6D" w:rsidP="00D932FF">
            <w:pPr>
              <w:keepNext/>
              <w:spacing w:before="40" w:after="40"/>
              <w:rPr>
                <w:rFonts w:ascii="Arial Narrow" w:hAnsi="Arial Narrow" w:cs="Arial"/>
                <w:b/>
                <w:sz w:val="20"/>
                <w:szCs w:val="20"/>
              </w:rPr>
            </w:pPr>
            <w:proofErr w:type="spellStart"/>
            <w:r w:rsidRPr="00B77CBC">
              <w:rPr>
                <w:rFonts w:ascii="Arial Narrow" w:hAnsi="Arial Narrow" w:cs="Arial"/>
                <w:b/>
                <w:sz w:val="20"/>
                <w:szCs w:val="20"/>
              </w:rPr>
              <w:t>Rpts</w:t>
            </w:r>
            <w:proofErr w:type="spellEnd"/>
          </w:p>
        </w:tc>
        <w:tc>
          <w:tcPr>
            <w:tcW w:w="886" w:type="pct"/>
            <w:tcBorders>
              <w:bottom w:val="single" w:sz="4" w:space="0" w:color="auto"/>
            </w:tcBorders>
          </w:tcPr>
          <w:p w:rsidR="00826F6D" w:rsidRPr="00B77CBC" w:rsidRDefault="00826F6D" w:rsidP="00D932FF">
            <w:pPr>
              <w:keepNext/>
              <w:spacing w:before="40" w:after="40"/>
              <w:rPr>
                <w:rFonts w:ascii="Arial Narrow" w:hAnsi="Arial Narrow" w:cs="Arial"/>
                <w:b/>
                <w:sz w:val="20"/>
                <w:szCs w:val="20"/>
              </w:rPr>
            </w:pPr>
            <w:r w:rsidRPr="00B77CBC">
              <w:rPr>
                <w:rFonts w:ascii="Arial Narrow" w:hAnsi="Arial Narrow" w:cs="Arial"/>
                <w:b/>
                <w:sz w:val="20"/>
                <w:szCs w:val="20"/>
              </w:rPr>
              <w:t xml:space="preserve">Dispensed Price for Max. </w:t>
            </w:r>
            <w:proofErr w:type="spellStart"/>
            <w:r w:rsidRPr="00B77CBC">
              <w:rPr>
                <w:rFonts w:ascii="Arial Narrow" w:hAnsi="Arial Narrow" w:cs="Arial"/>
                <w:b/>
                <w:sz w:val="20"/>
                <w:szCs w:val="20"/>
              </w:rPr>
              <w:t>Qty</w:t>
            </w:r>
            <w:proofErr w:type="spellEnd"/>
          </w:p>
        </w:tc>
        <w:tc>
          <w:tcPr>
            <w:tcW w:w="1429" w:type="pct"/>
            <w:gridSpan w:val="3"/>
            <w:tcBorders>
              <w:bottom w:val="single" w:sz="4" w:space="0" w:color="auto"/>
            </w:tcBorders>
          </w:tcPr>
          <w:p w:rsidR="00826F6D" w:rsidRPr="00167033" w:rsidRDefault="00826F6D" w:rsidP="00D932FF">
            <w:pPr>
              <w:keepNext/>
              <w:spacing w:before="40" w:after="40"/>
              <w:rPr>
                <w:rFonts w:ascii="Arial Narrow" w:hAnsi="Arial Narrow" w:cs="Arial"/>
                <w:b/>
                <w:sz w:val="20"/>
                <w:szCs w:val="20"/>
              </w:rPr>
            </w:pPr>
            <w:r w:rsidRPr="00B77CBC">
              <w:rPr>
                <w:rFonts w:ascii="Arial Narrow" w:hAnsi="Arial Narrow" w:cs="Arial"/>
                <w:b/>
                <w:sz w:val="20"/>
                <w:szCs w:val="20"/>
              </w:rPr>
              <w:t>Proprietary Name and Manufacturer</w:t>
            </w:r>
          </w:p>
        </w:tc>
      </w:tr>
      <w:tr w:rsidR="00163329" w:rsidRPr="00B77CBC" w:rsidTr="0048157A">
        <w:trPr>
          <w:cantSplit/>
          <w:trHeight w:val="567"/>
        </w:trPr>
        <w:tc>
          <w:tcPr>
            <w:tcW w:w="1809" w:type="pct"/>
            <w:gridSpan w:val="2"/>
          </w:tcPr>
          <w:p w:rsidR="00826F6D" w:rsidRPr="00B77CBC" w:rsidRDefault="007A68A7" w:rsidP="00D932FF">
            <w:pPr>
              <w:keepNext/>
              <w:spacing w:before="40" w:after="40"/>
              <w:rPr>
                <w:rFonts w:ascii="Arial Narrow" w:hAnsi="Arial Narrow" w:cs="Arial"/>
                <w:sz w:val="20"/>
                <w:szCs w:val="20"/>
              </w:rPr>
            </w:pPr>
            <w:r w:rsidRPr="00B77CBC">
              <w:rPr>
                <w:rFonts w:ascii="Arial Narrow" w:hAnsi="Arial Narrow" w:cs="Arial"/>
                <w:smallCaps/>
                <w:sz w:val="20"/>
                <w:szCs w:val="20"/>
              </w:rPr>
              <w:t>ENOXAPARIN</w:t>
            </w:r>
          </w:p>
          <w:p w:rsidR="007A68A7" w:rsidRPr="00B77CBC" w:rsidRDefault="007A68A7" w:rsidP="00D932FF">
            <w:pPr>
              <w:keepNext/>
              <w:spacing w:before="40" w:after="40"/>
              <w:rPr>
                <w:rFonts w:ascii="Arial Narrow" w:hAnsi="Arial Narrow" w:cs="Arial"/>
                <w:sz w:val="20"/>
                <w:szCs w:val="20"/>
              </w:rPr>
            </w:pPr>
            <w:r w:rsidRPr="00B77CBC">
              <w:rPr>
                <w:rFonts w:ascii="Arial Narrow" w:hAnsi="Arial Narrow" w:cs="Arial"/>
                <w:sz w:val="20"/>
                <w:szCs w:val="20"/>
              </w:rPr>
              <w:t>enoxaparin sodium 20 mg/0.2 mL injection,</w:t>
            </w:r>
          </w:p>
          <w:p w:rsidR="00826F6D" w:rsidRPr="00B77CBC" w:rsidRDefault="007A68A7" w:rsidP="00D932FF">
            <w:pPr>
              <w:keepNext/>
              <w:spacing w:before="40" w:after="40"/>
              <w:rPr>
                <w:rFonts w:ascii="Arial Narrow" w:hAnsi="Arial Narrow" w:cs="Arial"/>
                <w:sz w:val="20"/>
                <w:szCs w:val="20"/>
              </w:rPr>
            </w:pPr>
            <w:r w:rsidRPr="00B77CBC">
              <w:rPr>
                <w:rFonts w:ascii="Arial Narrow" w:hAnsi="Arial Narrow" w:cs="Arial"/>
                <w:sz w:val="20"/>
                <w:szCs w:val="20"/>
              </w:rPr>
              <w:t>10 x 0.2 mL syringes</w:t>
            </w:r>
          </w:p>
          <w:p w:rsidR="007A68A7" w:rsidRPr="00B77CBC" w:rsidRDefault="007A68A7" w:rsidP="00D932FF">
            <w:pPr>
              <w:keepNext/>
              <w:spacing w:before="40" w:after="40"/>
              <w:rPr>
                <w:rFonts w:ascii="Arial Narrow" w:hAnsi="Arial Narrow" w:cs="Arial"/>
                <w:sz w:val="20"/>
                <w:szCs w:val="20"/>
              </w:rPr>
            </w:pPr>
            <w:r w:rsidRPr="00B77CBC">
              <w:rPr>
                <w:rFonts w:ascii="Arial Narrow" w:hAnsi="Arial Narrow" w:cs="Arial"/>
                <w:sz w:val="20"/>
                <w:szCs w:val="20"/>
              </w:rPr>
              <w:t>enoxaparin sodium 40 mg/0.4 mL injection,</w:t>
            </w:r>
          </w:p>
          <w:p w:rsidR="007A68A7" w:rsidRPr="00B77CBC" w:rsidRDefault="007A68A7" w:rsidP="00D932FF">
            <w:pPr>
              <w:keepNext/>
              <w:spacing w:before="40" w:after="40"/>
              <w:rPr>
                <w:rFonts w:ascii="Arial Narrow" w:hAnsi="Arial Narrow" w:cs="Arial"/>
                <w:sz w:val="20"/>
                <w:szCs w:val="20"/>
              </w:rPr>
            </w:pPr>
            <w:r w:rsidRPr="00B77CBC">
              <w:rPr>
                <w:rFonts w:ascii="Arial Narrow" w:hAnsi="Arial Narrow" w:cs="Arial"/>
                <w:sz w:val="20"/>
                <w:szCs w:val="20"/>
              </w:rPr>
              <w:t>10 x 0.4 mL syringes</w:t>
            </w:r>
          </w:p>
        </w:tc>
        <w:tc>
          <w:tcPr>
            <w:tcW w:w="396" w:type="pct"/>
          </w:tcPr>
          <w:p w:rsidR="00826F6D" w:rsidRPr="00B77CBC" w:rsidRDefault="00826F6D" w:rsidP="00EB0B63">
            <w:pPr>
              <w:keepNext/>
              <w:spacing w:before="40" w:after="40"/>
              <w:jc w:val="both"/>
              <w:rPr>
                <w:rFonts w:ascii="Arial Narrow" w:hAnsi="Arial Narrow" w:cs="Arial"/>
                <w:sz w:val="20"/>
                <w:szCs w:val="20"/>
              </w:rPr>
            </w:pPr>
          </w:p>
          <w:p w:rsidR="00826F6D" w:rsidRPr="00B77CBC" w:rsidRDefault="007A68A7" w:rsidP="00EB0B63">
            <w:pPr>
              <w:keepNext/>
              <w:spacing w:before="40" w:after="40"/>
              <w:jc w:val="both"/>
              <w:rPr>
                <w:rFonts w:ascii="Arial Narrow" w:hAnsi="Arial Narrow" w:cs="Arial"/>
                <w:sz w:val="20"/>
                <w:szCs w:val="20"/>
              </w:rPr>
            </w:pPr>
            <w:r w:rsidRPr="00B77CBC">
              <w:rPr>
                <w:rFonts w:ascii="Arial Narrow" w:hAnsi="Arial Narrow" w:cs="Arial"/>
                <w:sz w:val="20"/>
                <w:szCs w:val="20"/>
              </w:rPr>
              <w:t>2</w:t>
            </w:r>
          </w:p>
          <w:p w:rsidR="007A68A7" w:rsidRPr="00B77CBC" w:rsidRDefault="007A68A7" w:rsidP="00EB0B63">
            <w:pPr>
              <w:keepNext/>
              <w:spacing w:before="40" w:after="40"/>
              <w:jc w:val="both"/>
              <w:rPr>
                <w:rFonts w:ascii="Arial Narrow" w:hAnsi="Arial Narrow" w:cs="Arial"/>
                <w:sz w:val="20"/>
                <w:szCs w:val="20"/>
              </w:rPr>
            </w:pPr>
          </w:p>
          <w:p w:rsidR="007A68A7" w:rsidRPr="00B77CBC" w:rsidRDefault="007A68A7" w:rsidP="00EB0B63">
            <w:pPr>
              <w:keepNext/>
              <w:spacing w:before="40" w:after="40"/>
              <w:jc w:val="both"/>
              <w:rPr>
                <w:rFonts w:ascii="Arial Narrow" w:hAnsi="Arial Narrow" w:cs="Arial"/>
                <w:sz w:val="20"/>
                <w:szCs w:val="20"/>
              </w:rPr>
            </w:pPr>
            <w:r w:rsidRPr="00B77CBC">
              <w:rPr>
                <w:rFonts w:ascii="Arial Narrow" w:hAnsi="Arial Narrow" w:cs="Arial"/>
                <w:sz w:val="20"/>
                <w:szCs w:val="20"/>
              </w:rPr>
              <w:t>2</w:t>
            </w:r>
          </w:p>
        </w:tc>
        <w:tc>
          <w:tcPr>
            <w:tcW w:w="480" w:type="pct"/>
          </w:tcPr>
          <w:p w:rsidR="00826F6D" w:rsidRPr="00B77CBC" w:rsidRDefault="00826F6D" w:rsidP="00EB0B63">
            <w:pPr>
              <w:keepNext/>
              <w:spacing w:before="40" w:after="40"/>
              <w:jc w:val="both"/>
              <w:rPr>
                <w:rFonts w:ascii="Arial Narrow" w:hAnsi="Arial Narrow" w:cs="Arial"/>
                <w:sz w:val="20"/>
                <w:szCs w:val="20"/>
              </w:rPr>
            </w:pPr>
          </w:p>
          <w:p w:rsidR="00826F6D" w:rsidRPr="00B77CBC" w:rsidRDefault="004B308A" w:rsidP="00EB0B63">
            <w:pPr>
              <w:keepNext/>
              <w:spacing w:before="40" w:after="40"/>
              <w:jc w:val="both"/>
              <w:rPr>
                <w:rFonts w:ascii="Arial Narrow" w:hAnsi="Arial Narrow" w:cs="Arial"/>
                <w:sz w:val="20"/>
                <w:szCs w:val="20"/>
              </w:rPr>
            </w:pPr>
            <w:r w:rsidRPr="00B77CBC">
              <w:rPr>
                <w:rFonts w:ascii="Arial Narrow" w:hAnsi="Arial Narrow" w:cs="Arial"/>
                <w:strike/>
                <w:sz w:val="20"/>
                <w:szCs w:val="20"/>
              </w:rPr>
              <w:t>0</w:t>
            </w:r>
            <w:r w:rsidR="007A68A7" w:rsidRPr="00B77CBC">
              <w:rPr>
                <w:rFonts w:ascii="Arial Narrow" w:hAnsi="Arial Narrow" w:cs="Arial"/>
                <w:sz w:val="20"/>
                <w:szCs w:val="20"/>
              </w:rPr>
              <w:t>1</w:t>
            </w:r>
          </w:p>
          <w:p w:rsidR="007A68A7" w:rsidRPr="00B77CBC" w:rsidRDefault="007A68A7" w:rsidP="00EB0B63">
            <w:pPr>
              <w:keepNext/>
              <w:spacing w:before="40" w:after="40"/>
              <w:jc w:val="both"/>
              <w:rPr>
                <w:rFonts w:ascii="Arial Narrow" w:hAnsi="Arial Narrow" w:cs="Arial"/>
                <w:sz w:val="20"/>
                <w:szCs w:val="20"/>
              </w:rPr>
            </w:pPr>
          </w:p>
          <w:p w:rsidR="007A68A7" w:rsidRPr="00B77CBC" w:rsidRDefault="004B308A" w:rsidP="00EB0B63">
            <w:pPr>
              <w:keepNext/>
              <w:spacing w:before="40" w:after="40"/>
              <w:jc w:val="both"/>
              <w:rPr>
                <w:rFonts w:ascii="Arial Narrow" w:hAnsi="Arial Narrow" w:cs="Arial"/>
                <w:sz w:val="20"/>
                <w:szCs w:val="20"/>
              </w:rPr>
            </w:pPr>
            <w:r w:rsidRPr="00B77CBC">
              <w:rPr>
                <w:rFonts w:ascii="Arial Narrow" w:hAnsi="Arial Narrow" w:cs="Arial"/>
                <w:strike/>
                <w:sz w:val="20"/>
                <w:szCs w:val="20"/>
              </w:rPr>
              <w:t>0</w:t>
            </w:r>
            <w:r w:rsidR="007A68A7" w:rsidRPr="00B77CBC">
              <w:rPr>
                <w:rFonts w:ascii="Arial Narrow" w:hAnsi="Arial Narrow" w:cs="Arial"/>
                <w:sz w:val="20"/>
                <w:szCs w:val="20"/>
              </w:rPr>
              <w:t>1</w:t>
            </w:r>
          </w:p>
        </w:tc>
        <w:tc>
          <w:tcPr>
            <w:tcW w:w="886" w:type="pct"/>
          </w:tcPr>
          <w:p w:rsidR="00826F6D" w:rsidRPr="00B77CBC" w:rsidRDefault="00826F6D" w:rsidP="00EB0B63">
            <w:pPr>
              <w:keepNext/>
              <w:spacing w:before="40" w:after="40"/>
              <w:jc w:val="both"/>
              <w:rPr>
                <w:rFonts w:ascii="Arial Narrow" w:hAnsi="Arial Narrow" w:cs="Arial"/>
                <w:sz w:val="20"/>
                <w:szCs w:val="20"/>
              </w:rPr>
            </w:pPr>
          </w:p>
          <w:p w:rsidR="00826F6D" w:rsidRPr="00B77CBC" w:rsidRDefault="00FA73AF" w:rsidP="00EB0B63">
            <w:pPr>
              <w:keepNext/>
              <w:spacing w:before="40" w:after="40"/>
              <w:jc w:val="both"/>
              <w:rPr>
                <w:rFonts w:ascii="Arial Narrow" w:hAnsi="Arial Narrow" w:cs="Arial"/>
                <w:sz w:val="20"/>
                <w:szCs w:val="20"/>
              </w:rPr>
            </w:pPr>
            <w:r w:rsidRPr="00B77CBC">
              <w:rPr>
                <w:rFonts w:ascii="Arial Narrow" w:hAnsi="Arial Narrow" w:cs="Arial"/>
                <w:sz w:val="20"/>
                <w:szCs w:val="20"/>
              </w:rPr>
              <w:t>$82.63</w:t>
            </w:r>
          </w:p>
          <w:p w:rsidR="007A68A7" w:rsidRPr="00B77CBC" w:rsidRDefault="007A68A7" w:rsidP="00EB0B63">
            <w:pPr>
              <w:keepNext/>
              <w:spacing w:before="40" w:after="40"/>
              <w:jc w:val="both"/>
              <w:rPr>
                <w:rFonts w:ascii="Arial Narrow" w:hAnsi="Arial Narrow" w:cs="Arial"/>
                <w:sz w:val="20"/>
                <w:szCs w:val="20"/>
              </w:rPr>
            </w:pPr>
          </w:p>
          <w:p w:rsidR="007A68A7" w:rsidRPr="00B77CBC" w:rsidRDefault="007A68A7" w:rsidP="00EB0B63">
            <w:pPr>
              <w:keepNext/>
              <w:spacing w:before="40" w:after="40"/>
              <w:jc w:val="both"/>
              <w:rPr>
                <w:rFonts w:ascii="Arial Narrow" w:hAnsi="Arial Narrow" w:cs="Arial"/>
                <w:sz w:val="20"/>
                <w:szCs w:val="20"/>
              </w:rPr>
            </w:pPr>
            <w:r w:rsidRPr="00B77CBC">
              <w:rPr>
                <w:rFonts w:ascii="Arial Narrow" w:hAnsi="Arial Narrow" w:cs="Arial"/>
                <w:sz w:val="20"/>
                <w:szCs w:val="20"/>
              </w:rPr>
              <w:t>$</w:t>
            </w:r>
            <w:r w:rsidR="00FA73AF" w:rsidRPr="00B77CBC">
              <w:rPr>
                <w:rFonts w:ascii="Arial Narrow" w:hAnsi="Arial Narrow" w:cs="Arial"/>
                <w:sz w:val="20"/>
                <w:szCs w:val="20"/>
              </w:rPr>
              <w:t>85.65</w:t>
            </w:r>
          </w:p>
        </w:tc>
        <w:tc>
          <w:tcPr>
            <w:tcW w:w="590" w:type="pct"/>
          </w:tcPr>
          <w:p w:rsidR="00C27B58" w:rsidRPr="00B77CBC" w:rsidRDefault="00C27B58" w:rsidP="00EB0B63">
            <w:pPr>
              <w:keepNext/>
              <w:spacing w:before="40" w:after="40"/>
              <w:jc w:val="both"/>
              <w:rPr>
                <w:rFonts w:ascii="Arial Narrow" w:hAnsi="Arial Narrow" w:cs="Arial"/>
                <w:sz w:val="20"/>
                <w:szCs w:val="20"/>
              </w:rPr>
            </w:pPr>
          </w:p>
          <w:p w:rsidR="00826F6D" w:rsidRPr="00B77CBC" w:rsidRDefault="007A68A7" w:rsidP="007A68A7">
            <w:pPr>
              <w:keepNext/>
              <w:spacing w:before="40" w:after="40"/>
              <w:jc w:val="both"/>
              <w:rPr>
                <w:rFonts w:ascii="Arial Narrow" w:hAnsi="Arial Narrow" w:cs="Arial"/>
                <w:sz w:val="20"/>
                <w:szCs w:val="20"/>
              </w:rPr>
            </w:pPr>
            <w:proofErr w:type="spellStart"/>
            <w:r w:rsidRPr="00B77CBC">
              <w:rPr>
                <w:rFonts w:ascii="Arial Narrow" w:hAnsi="Arial Narrow" w:cs="Arial"/>
                <w:sz w:val="20"/>
                <w:szCs w:val="20"/>
              </w:rPr>
              <w:t>Clexane</w:t>
            </w:r>
            <w:proofErr w:type="spellEnd"/>
            <w:r w:rsidRPr="00B77CBC">
              <w:rPr>
                <w:rFonts w:ascii="Arial Narrow" w:hAnsi="Arial Narrow" w:cs="Arial"/>
                <w:sz w:val="20"/>
                <w:szCs w:val="20"/>
              </w:rPr>
              <w:t xml:space="preserve"> </w:t>
            </w:r>
            <w:r w:rsidR="00526F63" w:rsidRPr="00B77CBC">
              <w:rPr>
                <w:rFonts w:ascii="Arial Narrow" w:hAnsi="Arial Narrow" w:cs="Arial"/>
                <w:sz w:val="20"/>
                <w:szCs w:val="20"/>
              </w:rPr>
              <w:t>and Enoxaparin Winthrop</w:t>
            </w:r>
          </w:p>
        </w:tc>
        <w:tc>
          <w:tcPr>
            <w:tcW w:w="839" w:type="pct"/>
            <w:gridSpan w:val="2"/>
          </w:tcPr>
          <w:p w:rsidR="00C27B58" w:rsidRPr="00B77CBC" w:rsidRDefault="00C27B58" w:rsidP="00EB0B63">
            <w:pPr>
              <w:keepNext/>
              <w:spacing w:before="40" w:after="40"/>
              <w:jc w:val="both"/>
              <w:rPr>
                <w:rFonts w:ascii="Arial Narrow" w:hAnsi="Arial Narrow" w:cs="Arial"/>
                <w:sz w:val="20"/>
                <w:szCs w:val="20"/>
              </w:rPr>
            </w:pPr>
          </w:p>
          <w:p w:rsidR="00826F6D" w:rsidRPr="00B77CBC" w:rsidRDefault="007A68A7" w:rsidP="00EB0B63">
            <w:pPr>
              <w:keepNext/>
              <w:spacing w:before="40" w:after="40"/>
              <w:jc w:val="both"/>
              <w:rPr>
                <w:rFonts w:ascii="Arial Narrow" w:hAnsi="Arial Narrow" w:cs="Arial"/>
                <w:sz w:val="20"/>
                <w:szCs w:val="20"/>
              </w:rPr>
            </w:pPr>
            <w:proofErr w:type="spellStart"/>
            <w:r w:rsidRPr="00B77CBC">
              <w:rPr>
                <w:rFonts w:ascii="Arial Narrow" w:hAnsi="Arial Narrow" w:cs="Arial"/>
                <w:sz w:val="20"/>
                <w:szCs w:val="20"/>
              </w:rPr>
              <w:t>Sanofi-aventis</w:t>
            </w:r>
            <w:proofErr w:type="spellEnd"/>
            <w:r w:rsidRPr="00B77CBC">
              <w:rPr>
                <w:rFonts w:ascii="Arial Narrow" w:hAnsi="Arial Narrow" w:cs="Arial"/>
                <w:sz w:val="20"/>
                <w:szCs w:val="20"/>
              </w:rPr>
              <w:t xml:space="preserve"> Australia Pty Ltd</w:t>
            </w:r>
          </w:p>
        </w:tc>
      </w:tr>
      <w:tr w:rsidR="00826F6D" w:rsidRPr="00B77CBC" w:rsidTr="000F2C98">
        <w:trPr>
          <w:gridAfter w:val="1"/>
          <w:wAfter w:w="468" w:type="pct"/>
          <w:cantSplit/>
          <w:trHeight w:val="360"/>
        </w:trPr>
        <w:tc>
          <w:tcPr>
            <w:tcW w:w="4532" w:type="pct"/>
            <w:gridSpan w:val="7"/>
            <w:tcBorders>
              <w:bottom w:val="single" w:sz="4" w:space="0" w:color="auto"/>
            </w:tcBorders>
          </w:tcPr>
          <w:p w:rsidR="00826F6D" w:rsidRPr="00B77CBC" w:rsidRDefault="00826F6D" w:rsidP="00EB0B63">
            <w:pPr>
              <w:spacing w:before="40" w:after="40"/>
              <w:jc w:val="both"/>
              <w:rPr>
                <w:rFonts w:ascii="Arial Narrow" w:hAnsi="Arial Narrow" w:cs="Arial"/>
                <w:sz w:val="20"/>
                <w:szCs w:val="20"/>
              </w:rPr>
            </w:pPr>
          </w:p>
        </w:tc>
      </w:tr>
      <w:tr w:rsidR="00826F6D" w:rsidRPr="00B77CBC" w:rsidTr="000F2C98">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B77CBC" w:rsidRDefault="00826F6D" w:rsidP="00EB0B63">
            <w:pPr>
              <w:spacing w:before="40" w:after="40"/>
              <w:jc w:val="both"/>
              <w:rPr>
                <w:rFonts w:ascii="Arial Narrow" w:hAnsi="Arial Narrow" w:cs="Arial"/>
                <w:b/>
                <w:sz w:val="20"/>
                <w:szCs w:val="20"/>
              </w:rPr>
            </w:pPr>
            <w:r w:rsidRPr="00B77CBC">
              <w:rPr>
                <w:rFonts w:ascii="Arial Narrow" w:hAnsi="Arial Narrow" w:cs="Arial"/>
                <w:b/>
                <w:sz w:val="20"/>
                <w:szCs w:val="20"/>
              </w:rPr>
              <w:t xml:space="preserve">Category / </w:t>
            </w:r>
          </w:p>
          <w:p w:rsidR="00826F6D" w:rsidRPr="00B77CBC" w:rsidRDefault="00826F6D" w:rsidP="00EB0B63">
            <w:pPr>
              <w:spacing w:before="40" w:after="40"/>
              <w:jc w:val="both"/>
              <w:rPr>
                <w:rFonts w:ascii="Arial Narrow" w:hAnsi="Arial Narrow" w:cs="Arial"/>
                <w:b/>
                <w:sz w:val="20"/>
                <w:szCs w:val="20"/>
              </w:rPr>
            </w:pPr>
            <w:r w:rsidRPr="00B77CBC">
              <w:rPr>
                <w:rFonts w:ascii="Arial Narrow" w:hAnsi="Arial Narrow" w:cs="Arial"/>
                <w:b/>
                <w:sz w:val="20"/>
                <w:szCs w:val="20"/>
              </w:rPr>
              <w:t>Program</w:t>
            </w:r>
          </w:p>
        </w:tc>
        <w:tc>
          <w:tcPr>
            <w:tcW w:w="3937" w:type="pct"/>
            <w:gridSpan w:val="7"/>
            <w:tcBorders>
              <w:top w:val="single" w:sz="4" w:space="0" w:color="auto"/>
              <w:left w:val="single" w:sz="4" w:space="0" w:color="auto"/>
              <w:bottom w:val="single" w:sz="4" w:space="0" w:color="auto"/>
              <w:right w:val="single" w:sz="4" w:space="0" w:color="auto"/>
            </w:tcBorders>
          </w:tcPr>
          <w:p w:rsidR="00826F6D" w:rsidRPr="00B77CBC" w:rsidRDefault="00826F6D" w:rsidP="00EB0B63">
            <w:pPr>
              <w:spacing w:before="40" w:after="40"/>
              <w:rPr>
                <w:rFonts w:ascii="Arial Narrow" w:hAnsi="Arial Narrow" w:cs="Arial"/>
                <w:sz w:val="20"/>
                <w:szCs w:val="20"/>
              </w:rPr>
            </w:pPr>
            <w:r w:rsidRPr="00B77CBC">
              <w:rPr>
                <w:rFonts w:ascii="Arial Narrow" w:hAnsi="Arial Narrow" w:cs="Arial"/>
                <w:sz w:val="20"/>
                <w:szCs w:val="20"/>
              </w:rPr>
              <w:t>GENERAL – General Schedule (Code GE)</w:t>
            </w:r>
          </w:p>
          <w:p w:rsidR="00826F6D" w:rsidRPr="00B77CBC" w:rsidRDefault="00826F6D" w:rsidP="00EB0B63">
            <w:pPr>
              <w:spacing w:before="40" w:after="40"/>
              <w:rPr>
                <w:rFonts w:ascii="Arial Narrow" w:hAnsi="Arial Narrow" w:cs="Arial"/>
                <w:sz w:val="20"/>
                <w:szCs w:val="20"/>
              </w:rPr>
            </w:pPr>
          </w:p>
        </w:tc>
      </w:tr>
      <w:tr w:rsidR="00826F6D" w:rsidRPr="00B77CBC" w:rsidTr="000F2C98">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B77CBC" w:rsidRDefault="00826F6D" w:rsidP="00EB0B63">
            <w:pPr>
              <w:spacing w:before="40" w:after="40"/>
              <w:jc w:val="both"/>
              <w:rPr>
                <w:rFonts w:ascii="Arial Narrow" w:hAnsi="Arial Narrow" w:cs="Arial"/>
                <w:b/>
                <w:sz w:val="20"/>
                <w:szCs w:val="20"/>
              </w:rPr>
            </w:pPr>
            <w:r w:rsidRPr="00B77CBC">
              <w:rPr>
                <w:rFonts w:ascii="Arial Narrow" w:hAnsi="Arial Narrow" w:cs="Arial"/>
                <w:b/>
                <w:sz w:val="20"/>
                <w:szCs w:val="20"/>
              </w:rPr>
              <w:t>Prescriber type:</w:t>
            </w:r>
          </w:p>
        </w:tc>
        <w:tc>
          <w:tcPr>
            <w:tcW w:w="3937" w:type="pct"/>
            <w:gridSpan w:val="7"/>
            <w:tcBorders>
              <w:top w:val="single" w:sz="4" w:space="0" w:color="auto"/>
              <w:left w:val="single" w:sz="4" w:space="0" w:color="auto"/>
              <w:bottom w:val="single" w:sz="4" w:space="0" w:color="auto"/>
              <w:right w:val="single" w:sz="4" w:space="0" w:color="auto"/>
            </w:tcBorders>
          </w:tcPr>
          <w:p w:rsidR="00826F6D" w:rsidRPr="00B77CBC" w:rsidRDefault="007A68A7" w:rsidP="00EB0B63">
            <w:pPr>
              <w:spacing w:before="40" w:after="40"/>
              <w:rPr>
                <w:rFonts w:ascii="Arial Narrow" w:hAnsi="Arial Narrow" w:cs="Arial"/>
                <w:sz w:val="20"/>
                <w:szCs w:val="20"/>
              </w:rPr>
            </w:pPr>
            <w:r w:rsidRPr="00DB4822">
              <w:rPr>
                <w:rFonts w:ascii="Arial Narrow" w:hAnsi="Arial Narrow" w:cs="Arial"/>
                <w:sz w:val="20"/>
                <w:szCs w:val="20"/>
              </w:rPr>
              <w:fldChar w:fldCharType="begin">
                <w:ffData>
                  <w:name w:val=""/>
                  <w:enabled/>
                  <w:calcOnExit w:val="0"/>
                  <w:checkBox>
                    <w:sizeAuto/>
                    <w:default w:val="1"/>
                  </w:checkBox>
                </w:ffData>
              </w:fldChar>
            </w:r>
            <w:r w:rsidRPr="00B77CBC">
              <w:rPr>
                <w:rFonts w:ascii="Arial Narrow" w:hAnsi="Arial Narrow" w:cs="Arial"/>
                <w:sz w:val="20"/>
                <w:szCs w:val="20"/>
              </w:rPr>
              <w:instrText xml:space="preserve"> FORMCHECKBOX </w:instrText>
            </w:r>
            <w:r w:rsidR="003449A4">
              <w:rPr>
                <w:rFonts w:ascii="Arial Narrow" w:hAnsi="Arial Narrow" w:cs="Arial"/>
                <w:sz w:val="20"/>
                <w:szCs w:val="20"/>
              </w:rPr>
            </w:r>
            <w:r w:rsidR="003449A4">
              <w:rPr>
                <w:rFonts w:ascii="Arial Narrow" w:hAnsi="Arial Narrow" w:cs="Arial"/>
                <w:sz w:val="20"/>
                <w:szCs w:val="20"/>
              </w:rPr>
              <w:fldChar w:fldCharType="separate"/>
            </w:r>
            <w:r w:rsidRPr="00DB4822">
              <w:rPr>
                <w:rFonts w:ascii="Arial Narrow" w:hAnsi="Arial Narrow" w:cs="Arial"/>
                <w:sz w:val="20"/>
                <w:szCs w:val="20"/>
              </w:rPr>
              <w:fldChar w:fldCharType="end"/>
            </w:r>
            <w:r w:rsidR="00826F6D" w:rsidRPr="00B77CBC">
              <w:rPr>
                <w:rFonts w:ascii="Arial Narrow" w:hAnsi="Arial Narrow" w:cs="Arial"/>
                <w:sz w:val="20"/>
                <w:szCs w:val="20"/>
              </w:rPr>
              <w:t xml:space="preserve">Medical Practitioners  </w:t>
            </w:r>
            <w:r w:rsidRPr="00DB4822">
              <w:rPr>
                <w:rFonts w:ascii="Arial Narrow" w:hAnsi="Arial Narrow" w:cs="Arial"/>
                <w:sz w:val="20"/>
                <w:szCs w:val="20"/>
              </w:rPr>
              <w:fldChar w:fldCharType="begin">
                <w:ffData>
                  <w:name w:val="Check3"/>
                  <w:enabled/>
                  <w:calcOnExit w:val="0"/>
                  <w:checkBox>
                    <w:sizeAuto/>
                    <w:default w:val="1"/>
                  </w:checkBox>
                </w:ffData>
              </w:fldChar>
            </w:r>
            <w:bookmarkStart w:id="0" w:name="Check3"/>
            <w:r w:rsidRPr="00B77CBC">
              <w:rPr>
                <w:rFonts w:ascii="Arial Narrow" w:hAnsi="Arial Narrow" w:cs="Arial"/>
                <w:sz w:val="20"/>
                <w:szCs w:val="20"/>
              </w:rPr>
              <w:instrText xml:space="preserve"> FORMCHECKBOX </w:instrText>
            </w:r>
            <w:r w:rsidR="003449A4">
              <w:rPr>
                <w:rFonts w:ascii="Arial Narrow" w:hAnsi="Arial Narrow" w:cs="Arial"/>
                <w:sz w:val="20"/>
                <w:szCs w:val="20"/>
              </w:rPr>
            </w:r>
            <w:r w:rsidR="003449A4">
              <w:rPr>
                <w:rFonts w:ascii="Arial Narrow" w:hAnsi="Arial Narrow" w:cs="Arial"/>
                <w:sz w:val="20"/>
                <w:szCs w:val="20"/>
              </w:rPr>
              <w:fldChar w:fldCharType="separate"/>
            </w:r>
            <w:r w:rsidRPr="00DB4822">
              <w:rPr>
                <w:rFonts w:ascii="Arial Narrow" w:hAnsi="Arial Narrow" w:cs="Arial"/>
                <w:sz w:val="20"/>
                <w:szCs w:val="20"/>
              </w:rPr>
              <w:fldChar w:fldCharType="end"/>
            </w:r>
            <w:bookmarkEnd w:id="0"/>
            <w:r w:rsidR="00826F6D" w:rsidRPr="00B77CBC">
              <w:rPr>
                <w:rFonts w:ascii="Arial Narrow" w:hAnsi="Arial Narrow" w:cs="Arial"/>
                <w:sz w:val="20"/>
                <w:szCs w:val="20"/>
              </w:rPr>
              <w:t xml:space="preserve">Nurse practitioners  </w:t>
            </w:r>
          </w:p>
        </w:tc>
      </w:tr>
      <w:tr w:rsidR="00826F6D" w:rsidRPr="00B77CBC" w:rsidTr="000F2C98">
        <w:trPr>
          <w:cantSplit/>
          <w:trHeight w:val="360"/>
        </w:trPr>
        <w:tc>
          <w:tcPr>
            <w:tcW w:w="1063" w:type="pct"/>
            <w:tcBorders>
              <w:top w:val="single" w:sz="4" w:space="0" w:color="auto"/>
              <w:left w:val="single" w:sz="4" w:space="0" w:color="auto"/>
              <w:bottom w:val="single" w:sz="4" w:space="0" w:color="auto"/>
              <w:right w:val="single" w:sz="4" w:space="0" w:color="auto"/>
            </w:tcBorders>
          </w:tcPr>
          <w:p w:rsidR="00826F6D" w:rsidRPr="00B77CBC" w:rsidRDefault="00826F6D" w:rsidP="0048157A">
            <w:pPr>
              <w:spacing w:before="40" w:after="40"/>
              <w:jc w:val="both"/>
              <w:rPr>
                <w:rFonts w:ascii="Arial Narrow" w:hAnsi="Arial Narrow" w:cs="Arial"/>
                <w:b/>
                <w:sz w:val="20"/>
                <w:szCs w:val="20"/>
              </w:rPr>
            </w:pPr>
            <w:r w:rsidRPr="00B77CBC">
              <w:rPr>
                <w:rFonts w:ascii="Arial Narrow" w:hAnsi="Arial Narrow" w:cs="Arial"/>
                <w:b/>
                <w:sz w:val="20"/>
                <w:szCs w:val="20"/>
              </w:rPr>
              <w:t>Restriction Level / Method:</w:t>
            </w:r>
          </w:p>
        </w:tc>
        <w:tc>
          <w:tcPr>
            <w:tcW w:w="3937" w:type="pct"/>
            <w:gridSpan w:val="7"/>
            <w:tcBorders>
              <w:top w:val="single" w:sz="4" w:space="0" w:color="auto"/>
              <w:left w:val="single" w:sz="4" w:space="0" w:color="auto"/>
              <w:bottom w:val="single" w:sz="4" w:space="0" w:color="auto"/>
              <w:right w:val="single" w:sz="4" w:space="0" w:color="auto"/>
            </w:tcBorders>
          </w:tcPr>
          <w:p w:rsidR="00826F6D" w:rsidRPr="00B77CBC" w:rsidRDefault="00E33C1B" w:rsidP="00EB0B63">
            <w:pPr>
              <w:spacing w:before="40" w:after="40"/>
              <w:rPr>
                <w:rFonts w:ascii="Arial Narrow" w:hAnsi="Arial Narrow" w:cs="Arial"/>
                <w:sz w:val="20"/>
                <w:szCs w:val="20"/>
              </w:rPr>
            </w:pPr>
            <w:r w:rsidRPr="00DB4822">
              <w:rPr>
                <w:rFonts w:ascii="Arial Narrow" w:hAnsi="Arial Narrow" w:cs="Arial"/>
                <w:sz w:val="20"/>
                <w:szCs w:val="20"/>
              </w:rPr>
              <w:fldChar w:fldCharType="begin">
                <w:ffData>
                  <w:name w:val="Check1"/>
                  <w:enabled/>
                  <w:calcOnExit w:val="0"/>
                  <w:checkBox>
                    <w:sizeAuto/>
                    <w:default w:val="1"/>
                  </w:checkBox>
                </w:ffData>
              </w:fldChar>
            </w:r>
            <w:bookmarkStart w:id="1" w:name="Check1"/>
            <w:r w:rsidRPr="00B77CBC">
              <w:rPr>
                <w:rFonts w:ascii="Arial Narrow" w:hAnsi="Arial Narrow" w:cs="Arial"/>
                <w:sz w:val="20"/>
                <w:szCs w:val="20"/>
              </w:rPr>
              <w:instrText xml:space="preserve"> FORMCHECKBOX </w:instrText>
            </w:r>
            <w:r w:rsidR="003449A4">
              <w:rPr>
                <w:rFonts w:ascii="Arial Narrow" w:hAnsi="Arial Narrow" w:cs="Arial"/>
                <w:sz w:val="20"/>
                <w:szCs w:val="20"/>
              </w:rPr>
            </w:r>
            <w:r w:rsidR="003449A4">
              <w:rPr>
                <w:rFonts w:ascii="Arial Narrow" w:hAnsi="Arial Narrow" w:cs="Arial"/>
                <w:sz w:val="20"/>
                <w:szCs w:val="20"/>
              </w:rPr>
              <w:fldChar w:fldCharType="separate"/>
            </w:r>
            <w:r w:rsidRPr="00DB4822">
              <w:rPr>
                <w:rFonts w:ascii="Arial Narrow" w:hAnsi="Arial Narrow" w:cs="Arial"/>
                <w:sz w:val="20"/>
                <w:szCs w:val="20"/>
              </w:rPr>
              <w:fldChar w:fldCharType="end"/>
            </w:r>
            <w:bookmarkEnd w:id="1"/>
            <w:r w:rsidR="007A68A7" w:rsidRPr="00B77CBC">
              <w:rPr>
                <w:rFonts w:ascii="Arial Narrow" w:hAnsi="Arial Narrow" w:cs="Arial"/>
                <w:sz w:val="20"/>
                <w:szCs w:val="20"/>
              </w:rPr>
              <w:t>Unr</w:t>
            </w:r>
            <w:r w:rsidR="00826F6D" w:rsidRPr="00B77CBC">
              <w:rPr>
                <w:rFonts w:ascii="Arial Narrow" w:hAnsi="Arial Narrow" w:cs="Arial"/>
                <w:sz w:val="20"/>
                <w:szCs w:val="20"/>
              </w:rPr>
              <w:t>estricted benefit</w:t>
            </w:r>
          </w:p>
        </w:tc>
      </w:tr>
    </w:tbl>
    <w:p w:rsidR="00BC741E" w:rsidRPr="00B77CBC" w:rsidRDefault="004B308A" w:rsidP="002D4543">
      <w:pPr>
        <w:rPr>
          <w:rFonts w:ascii="Arial Narrow" w:hAnsi="Arial Narrow" w:cs="Arial"/>
          <w:sz w:val="18"/>
          <w:szCs w:val="22"/>
        </w:rPr>
      </w:pPr>
      <w:r w:rsidRPr="00B77CBC">
        <w:rPr>
          <w:rFonts w:ascii="Arial Narrow" w:hAnsi="Arial Narrow" w:cs="Arial"/>
          <w:sz w:val="18"/>
          <w:szCs w:val="22"/>
        </w:rPr>
        <w:t xml:space="preserve">Source: </w:t>
      </w:r>
      <w:r w:rsidR="009250DB" w:rsidRPr="00B77CBC">
        <w:rPr>
          <w:rFonts w:ascii="Arial Narrow" w:hAnsi="Arial Narrow" w:cs="Arial"/>
          <w:sz w:val="18"/>
          <w:szCs w:val="22"/>
        </w:rPr>
        <w:t>Enoxaparin (</w:t>
      </w:r>
      <w:proofErr w:type="spellStart"/>
      <w:r w:rsidR="009250DB" w:rsidRPr="00B77CBC">
        <w:rPr>
          <w:rFonts w:ascii="Arial Narrow" w:hAnsi="Arial Narrow" w:cs="Arial"/>
          <w:sz w:val="18"/>
          <w:szCs w:val="22"/>
        </w:rPr>
        <w:t>Clexane</w:t>
      </w:r>
      <w:proofErr w:type="spellEnd"/>
      <w:r w:rsidR="009250DB" w:rsidRPr="00B77CBC">
        <w:rPr>
          <w:rFonts w:ascii="Arial Narrow" w:hAnsi="Arial Narrow" w:cs="Arial"/>
          <w:sz w:val="18"/>
          <w:szCs w:val="22"/>
        </w:rPr>
        <w:t>) minor submission</w:t>
      </w:r>
      <w:r w:rsidR="00901A39" w:rsidRPr="00B77CBC">
        <w:rPr>
          <w:rFonts w:ascii="Arial Narrow" w:hAnsi="Arial Narrow" w:cs="Arial"/>
          <w:sz w:val="18"/>
          <w:szCs w:val="22"/>
        </w:rPr>
        <w:t>, p1</w:t>
      </w:r>
      <w:r w:rsidR="00D932FF" w:rsidRPr="00B77CBC">
        <w:rPr>
          <w:rFonts w:ascii="Arial Narrow" w:hAnsi="Arial Narrow" w:cs="Arial"/>
          <w:sz w:val="18"/>
          <w:szCs w:val="22"/>
        </w:rPr>
        <w:t>3</w:t>
      </w:r>
    </w:p>
    <w:p w:rsidR="00C603D4" w:rsidRPr="00B77CBC" w:rsidRDefault="00CE10C4" w:rsidP="00696129">
      <w:pPr>
        <w:pStyle w:val="PBACHeading1"/>
        <w:spacing w:before="240" w:after="120"/>
        <w:ind w:left="709" w:hanging="709"/>
        <w:rPr>
          <w:rFonts w:asciiTheme="minorHAnsi" w:hAnsiTheme="minorHAnsi"/>
          <w:sz w:val="32"/>
          <w:szCs w:val="32"/>
        </w:rPr>
      </w:pPr>
      <w:r w:rsidRPr="00B77CBC">
        <w:rPr>
          <w:rFonts w:asciiTheme="minorHAnsi" w:hAnsiTheme="minorHAnsi"/>
          <w:sz w:val="32"/>
          <w:szCs w:val="32"/>
        </w:rPr>
        <w:t>Background</w:t>
      </w:r>
    </w:p>
    <w:p w:rsidR="005F545C" w:rsidRPr="00B77CBC" w:rsidRDefault="003B3AC2"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Enoxaparin</w:t>
      </w:r>
      <w:r w:rsidR="00476245" w:rsidRPr="00B77CBC">
        <w:rPr>
          <w:rFonts w:asciiTheme="minorHAnsi" w:eastAsiaTheme="minorHAnsi" w:hAnsiTheme="minorHAnsi" w:cstheme="minorBidi"/>
          <w:snapToGrid/>
          <w:sz w:val="24"/>
          <w:szCs w:val="22"/>
        </w:rPr>
        <w:t xml:space="preserve"> is</w:t>
      </w:r>
      <w:r w:rsidRPr="00B77CBC">
        <w:rPr>
          <w:rFonts w:asciiTheme="minorHAnsi" w:eastAsiaTheme="minorHAnsi" w:hAnsiTheme="minorHAnsi" w:cstheme="minorBidi"/>
          <w:snapToGrid/>
          <w:sz w:val="24"/>
          <w:szCs w:val="22"/>
        </w:rPr>
        <w:t xml:space="preserve"> a low molecular weight heparin (LMWH) which is</w:t>
      </w:r>
      <w:r w:rsidR="00476245" w:rsidRPr="00B77CBC">
        <w:rPr>
          <w:rFonts w:asciiTheme="minorHAnsi" w:eastAsiaTheme="minorHAnsi" w:hAnsiTheme="minorHAnsi" w:cstheme="minorBidi"/>
          <w:snapToGrid/>
          <w:sz w:val="24"/>
          <w:szCs w:val="22"/>
        </w:rPr>
        <w:t xml:space="preserve"> TGA register</w:t>
      </w:r>
      <w:r w:rsidRPr="00B77CBC">
        <w:rPr>
          <w:rFonts w:asciiTheme="minorHAnsi" w:eastAsiaTheme="minorHAnsi" w:hAnsiTheme="minorHAnsi" w:cstheme="minorBidi"/>
          <w:snapToGrid/>
          <w:sz w:val="24"/>
          <w:szCs w:val="22"/>
        </w:rPr>
        <w:t xml:space="preserve">ed for a </w:t>
      </w:r>
      <w:r w:rsidR="00620DF7" w:rsidRPr="00B77CBC">
        <w:rPr>
          <w:rFonts w:asciiTheme="minorHAnsi" w:eastAsiaTheme="minorHAnsi" w:hAnsiTheme="minorHAnsi" w:cstheme="minorBidi"/>
          <w:snapToGrid/>
          <w:sz w:val="24"/>
          <w:szCs w:val="22"/>
        </w:rPr>
        <w:t>number</w:t>
      </w:r>
      <w:r w:rsidRPr="00B77CBC">
        <w:rPr>
          <w:rFonts w:asciiTheme="minorHAnsi" w:eastAsiaTheme="minorHAnsi" w:hAnsiTheme="minorHAnsi" w:cstheme="minorBidi"/>
          <w:snapToGrid/>
          <w:sz w:val="24"/>
          <w:szCs w:val="22"/>
        </w:rPr>
        <w:t xml:space="preserve"> of conditions including</w:t>
      </w:r>
      <w:r w:rsidR="002A3612" w:rsidRPr="00B77CBC">
        <w:rPr>
          <w:rFonts w:asciiTheme="minorHAnsi" w:eastAsiaTheme="minorHAnsi" w:hAnsiTheme="minorHAnsi" w:cstheme="minorBidi"/>
          <w:snapToGrid/>
          <w:sz w:val="24"/>
          <w:szCs w:val="22"/>
        </w:rPr>
        <w:t xml:space="preserve"> </w:t>
      </w:r>
      <w:r w:rsidR="0085395A" w:rsidRPr="00B77CBC">
        <w:rPr>
          <w:rFonts w:asciiTheme="minorHAnsi" w:eastAsiaTheme="minorHAnsi" w:hAnsiTheme="minorHAnsi" w:cstheme="minorBidi"/>
          <w:snapToGrid/>
          <w:sz w:val="24"/>
          <w:szCs w:val="22"/>
        </w:rPr>
        <w:t>prophylaxis</w:t>
      </w:r>
      <w:r w:rsidR="002A3612" w:rsidRPr="00B77CBC">
        <w:rPr>
          <w:rFonts w:asciiTheme="minorHAnsi" w:eastAsiaTheme="minorHAnsi" w:hAnsiTheme="minorHAnsi" w:cstheme="minorBidi"/>
          <w:snapToGrid/>
          <w:sz w:val="24"/>
          <w:szCs w:val="22"/>
        </w:rPr>
        <w:t xml:space="preserve"> or treatment of deep vein thrombosis (DVT) and</w:t>
      </w:r>
      <w:r w:rsidRPr="00B77CBC">
        <w:rPr>
          <w:rFonts w:asciiTheme="minorHAnsi" w:eastAsiaTheme="minorHAnsi" w:hAnsiTheme="minorHAnsi" w:cstheme="minorBidi"/>
          <w:snapToGrid/>
          <w:sz w:val="24"/>
          <w:szCs w:val="22"/>
        </w:rPr>
        <w:t xml:space="preserve"> </w:t>
      </w:r>
      <w:r w:rsidR="00DC2409" w:rsidRPr="00B77CBC">
        <w:rPr>
          <w:rFonts w:asciiTheme="minorHAnsi" w:eastAsiaTheme="minorHAnsi" w:hAnsiTheme="minorHAnsi" w:cstheme="minorBidi"/>
          <w:snapToGrid/>
          <w:sz w:val="24"/>
          <w:szCs w:val="22"/>
        </w:rPr>
        <w:t>venous thromboembolism (</w:t>
      </w:r>
      <w:r w:rsidRPr="00B77CBC">
        <w:rPr>
          <w:rFonts w:asciiTheme="minorHAnsi" w:eastAsiaTheme="minorHAnsi" w:hAnsiTheme="minorHAnsi" w:cstheme="minorBidi"/>
          <w:snapToGrid/>
          <w:sz w:val="24"/>
          <w:szCs w:val="22"/>
        </w:rPr>
        <w:t>VTE</w:t>
      </w:r>
      <w:r w:rsidR="00DC2409" w:rsidRPr="00B77CBC">
        <w:rPr>
          <w:rFonts w:asciiTheme="minorHAnsi" w:eastAsiaTheme="minorHAnsi" w:hAnsiTheme="minorHAnsi" w:cstheme="minorBidi"/>
          <w:snapToGrid/>
          <w:sz w:val="24"/>
          <w:szCs w:val="22"/>
        </w:rPr>
        <w:t>)</w:t>
      </w:r>
      <w:r w:rsidR="00253EF3" w:rsidRPr="00B77CBC">
        <w:rPr>
          <w:rFonts w:asciiTheme="minorHAnsi" w:eastAsiaTheme="minorHAnsi" w:hAnsiTheme="minorHAnsi" w:cstheme="minorBidi"/>
          <w:snapToGrid/>
          <w:sz w:val="24"/>
          <w:szCs w:val="22"/>
        </w:rPr>
        <w:t xml:space="preserve"> prophylaxis</w:t>
      </w:r>
      <w:r w:rsidRPr="00B77CBC">
        <w:rPr>
          <w:rFonts w:asciiTheme="minorHAnsi" w:eastAsiaTheme="minorHAnsi" w:hAnsiTheme="minorHAnsi" w:cstheme="minorBidi"/>
          <w:snapToGrid/>
          <w:sz w:val="24"/>
          <w:szCs w:val="22"/>
        </w:rPr>
        <w:t xml:space="preserve">. </w:t>
      </w:r>
    </w:p>
    <w:p w:rsidR="00DC2409" w:rsidRPr="00B77CBC" w:rsidRDefault="005F545C"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Enoxaparin</w:t>
      </w:r>
      <w:r w:rsidR="003B3AC2" w:rsidRPr="00B77CBC">
        <w:rPr>
          <w:rFonts w:asciiTheme="minorHAnsi" w:eastAsiaTheme="minorHAnsi" w:hAnsiTheme="minorHAnsi" w:cstheme="minorBidi"/>
          <w:snapToGrid/>
          <w:sz w:val="24"/>
          <w:szCs w:val="22"/>
        </w:rPr>
        <w:t xml:space="preserve"> has a restricted PBS listing for use in haemodialy</w:t>
      </w:r>
      <w:r w:rsidRPr="00B77CBC">
        <w:rPr>
          <w:rFonts w:asciiTheme="minorHAnsi" w:eastAsiaTheme="minorHAnsi" w:hAnsiTheme="minorHAnsi" w:cstheme="minorBidi"/>
          <w:snapToGrid/>
          <w:sz w:val="24"/>
          <w:szCs w:val="22"/>
        </w:rPr>
        <w:t>s</w:t>
      </w:r>
      <w:r w:rsidR="003B3AC2" w:rsidRPr="00B77CBC">
        <w:rPr>
          <w:rFonts w:asciiTheme="minorHAnsi" w:eastAsiaTheme="minorHAnsi" w:hAnsiTheme="minorHAnsi" w:cstheme="minorBidi"/>
          <w:snapToGrid/>
          <w:sz w:val="24"/>
          <w:szCs w:val="22"/>
        </w:rPr>
        <w:t>is and an unrestricted benefit</w:t>
      </w:r>
      <w:r w:rsidR="00EC1734" w:rsidRPr="00B77CBC">
        <w:rPr>
          <w:rFonts w:asciiTheme="minorHAnsi" w:eastAsiaTheme="minorHAnsi" w:hAnsiTheme="minorHAnsi" w:cstheme="minorBidi"/>
          <w:snapToGrid/>
          <w:sz w:val="24"/>
          <w:szCs w:val="22"/>
        </w:rPr>
        <w:t xml:space="preserve"> </w:t>
      </w:r>
      <w:r w:rsidR="00DC2409" w:rsidRPr="00B77CBC">
        <w:rPr>
          <w:rFonts w:asciiTheme="minorHAnsi" w:eastAsiaTheme="minorHAnsi" w:hAnsiTheme="minorHAnsi" w:cstheme="minorBidi"/>
          <w:snapToGrid/>
          <w:sz w:val="24"/>
          <w:szCs w:val="22"/>
        </w:rPr>
        <w:t>listing</w:t>
      </w:r>
      <w:r w:rsidR="00EC1734" w:rsidRPr="00B77CBC">
        <w:rPr>
          <w:rFonts w:asciiTheme="minorHAnsi" w:eastAsiaTheme="minorHAnsi" w:hAnsiTheme="minorHAnsi" w:cstheme="minorBidi"/>
          <w:snapToGrid/>
          <w:sz w:val="24"/>
          <w:szCs w:val="22"/>
        </w:rPr>
        <w:t xml:space="preserve">. Only the </w:t>
      </w:r>
      <w:r w:rsidR="00DC2409" w:rsidRPr="00B77CBC">
        <w:rPr>
          <w:rFonts w:asciiTheme="minorHAnsi" w:eastAsiaTheme="minorHAnsi" w:hAnsiTheme="minorHAnsi" w:cstheme="minorBidi"/>
          <w:snapToGrid/>
          <w:sz w:val="24"/>
          <w:szCs w:val="22"/>
        </w:rPr>
        <w:t>unrestricted benefit</w:t>
      </w:r>
      <w:r w:rsidR="00EC1734" w:rsidRPr="00B77CBC">
        <w:rPr>
          <w:rFonts w:asciiTheme="minorHAnsi" w:eastAsiaTheme="minorHAnsi" w:hAnsiTheme="minorHAnsi" w:cstheme="minorBidi"/>
          <w:snapToGrid/>
          <w:sz w:val="24"/>
          <w:szCs w:val="22"/>
        </w:rPr>
        <w:t xml:space="preserve"> listing </w:t>
      </w:r>
      <w:r w:rsidR="00FF414B" w:rsidRPr="00B77CBC">
        <w:rPr>
          <w:rFonts w:asciiTheme="minorHAnsi" w:eastAsiaTheme="minorHAnsi" w:hAnsiTheme="minorHAnsi" w:cstheme="minorBidi"/>
          <w:snapToGrid/>
          <w:sz w:val="24"/>
          <w:szCs w:val="22"/>
        </w:rPr>
        <w:t>was</w:t>
      </w:r>
      <w:r w:rsidR="00EC1734" w:rsidRPr="00B77CBC">
        <w:rPr>
          <w:rFonts w:asciiTheme="minorHAnsi" w:eastAsiaTheme="minorHAnsi" w:hAnsiTheme="minorHAnsi" w:cstheme="minorBidi"/>
          <w:snapToGrid/>
          <w:sz w:val="24"/>
          <w:szCs w:val="22"/>
        </w:rPr>
        <w:t xml:space="preserve"> relevant to this application. </w:t>
      </w:r>
    </w:p>
    <w:p w:rsidR="006B0D94" w:rsidRPr="00B77CBC" w:rsidRDefault="002D0FBD"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lastRenderedPageBreak/>
        <w:t>T</w:t>
      </w:r>
      <w:r w:rsidR="005F545C" w:rsidRPr="00B77CBC">
        <w:rPr>
          <w:rFonts w:asciiTheme="minorHAnsi" w:eastAsiaTheme="minorHAnsi" w:hAnsiTheme="minorHAnsi" w:cstheme="minorBidi"/>
          <w:snapToGrid/>
          <w:sz w:val="24"/>
          <w:szCs w:val="22"/>
        </w:rPr>
        <w:t xml:space="preserve">he 40 mg injections </w:t>
      </w:r>
      <w:r w:rsidRPr="00B77CBC">
        <w:rPr>
          <w:rFonts w:asciiTheme="minorHAnsi" w:eastAsiaTheme="minorHAnsi" w:hAnsiTheme="minorHAnsi" w:cstheme="minorBidi"/>
          <w:snapToGrid/>
          <w:sz w:val="24"/>
          <w:szCs w:val="22"/>
        </w:rPr>
        <w:t>were</w:t>
      </w:r>
      <w:r w:rsidR="005F545C" w:rsidRPr="00B77CBC">
        <w:rPr>
          <w:rFonts w:asciiTheme="minorHAnsi" w:eastAsiaTheme="minorHAnsi" w:hAnsiTheme="minorHAnsi" w:cstheme="minorBidi"/>
          <w:snapToGrid/>
          <w:sz w:val="24"/>
          <w:szCs w:val="22"/>
        </w:rPr>
        <w:t xml:space="preserve"> PBS listed</w:t>
      </w:r>
      <w:r w:rsidRPr="00B77CBC">
        <w:rPr>
          <w:rFonts w:asciiTheme="minorHAnsi" w:eastAsiaTheme="minorHAnsi" w:hAnsiTheme="minorHAnsi" w:cstheme="minorBidi"/>
          <w:snapToGrid/>
          <w:sz w:val="24"/>
          <w:szCs w:val="22"/>
        </w:rPr>
        <w:t xml:space="preserve"> in 2001 and the 20 mg injections since 2002</w:t>
      </w:r>
      <w:r w:rsidR="003B3AC2" w:rsidRPr="00B77CBC">
        <w:rPr>
          <w:rFonts w:asciiTheme="minorHAnsi" w:eastAsiaTheme="minorHAnsi" w:hAnsiTheme="minorHAnsi" w:cstheme="minorBidi"/>
          <w:snapToGrid/>
          <w:sz w:val="24"/>
          <w:szCs w:val="22"/>
        </w:rPr>
        <w:t xml:space="preserve">. </w:t>
      </w:r>
    </w:p>
    <w:p w:rsidR="00AC6128" w:rsidRPr="00B77CBC" w:rsidRDefault="00AC6128" w:rsidP="00690A1E">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Based on dosing recommendations in the TGA approved </w:t>
      </w:r>
      <w:r w:rsidR="00DC2409" w:rsidRPr="00B77CBC">
        <w:rPr>
          <w:rFonts w:asciiTheme="minorHAnsi" w:eastAsiaTheme="minorHAnsi" w:hAnsiTheme="minorHAnsi" w:cstheme="minorBidi"/>
          <w:snapToGrid/>
          <w:sz w:val="24"/>
          <w:szCs w:val="22"/>
        </w:rPr>
        <w:t>P</w:t>
      </w:r>
      <w:r w:rsidRPr="00B77CBC">
        <w:rPr>
          <w:rFonts w:asciiTheme="minorHAnsi" w:eastAsiaTheme="minorHAnsi" w:hAnsiTheme="minorHAnsi" w:cstheme="minorBidi"/>
          <w:snapToGrid/>
          <w:sz w:val="24"/>
          <w:szCs w:val="22"/>
        </w:rPr>
        <w:t xml:space="preserve">roduct </w:t>
      </w:r>
      <w:r w:rsidR="00DC2409" w:rsidRPr="00B77CBC">
        <w:rPr>
          <w:rFonts w:asciiTheme="minorHAnsi" w:eastAsiaTheme="minorHAnsi" w:hAnsiTheme="minorHAnsi" w:cstheme="minorBidi"/>
          <w:snapToGrid/>
          <w:sz w:val="24"/>
          <w:szCs w:val="22"/>
        </w:rPr>
        <w:t>I</w:t>
      </w:r>
      <w:r w:rsidRPr="00B77CBC">
        <w:rPr>
          <w:rFonts w:asciiTheme="minorHAnsi" w:eastAsiaTheme="minorHAnsi" w:hAnsiTheme="minorHAnsi" w:cstheme="minorBidi"/>
          <w:snapToGrid/>
          <w:sz w:val="24"/>
          <w:szCs w:val="22"/>
        </w:rPr>
        <w:t xml:space="preserve">nformation, a patient receiving enoxaparin injections for VTE prophylaxis should receive a 40 mg injection once daily </w:t>
      </w:r>
      <w:r w:rsidR="00DC2409" w:rsidRPr="00B77CBC">
        <w:rPr>
          <w:rFonts w:asciiTheme="minorHAnsi" w:eastAsiaTheme="minorHAnsi" w:hAnsiTheme="minorHAnsi" w:cstheme="minorBidi"/>
          <w:snapToGrid/>
          <w:sz w:val="24"/>
          <w:szCs w:val="22"/>
        </w:rPr>
        <w:t xml:space="preserve">for </w:t>
      </w:r>
      <w:r w:rsidRPr="00B77CBC">
        <w:rPr>
          <w:rFonts w:asciiTheme="minorHAnsi" w:eastAsiaTheme="minorHAnsi" w:hAnsiTheme="minorHAnsi" w:cstheme="minorBidi"/>
          <w:snapToGrid/>
          <w:sz w:val="24"/>
          <w:szCs w:val="22"/>
        </w:rPr>
        <w:t xml:space="preserve">a minimum of </w:t>
      </w:r>
      <w:r w:rsidR="00690A1E" w:rsidRPr="00B77CBC">
        <w:rPr>
          <w:rFonts w:asciiTheme="minorHAnsi" w:eastAsiaTheme="minorHAnsi" w:hAnsiTheme="minorHAnsi" w:cstheme="minorBidi"/>
          <w:snapToGrid/>
          <w:sz w:val="24"/>
          <w:szCs w:val="22"/>
        </w:rPr>
        <w:t>6 days and up to 20 days. In the case of patients who have a risk of developing VTE, the duration can be longer than the 20 days</w:t>
      </w:r>
      <w:r w:rsidR="00852726" w:rsidRPr="00B77CBC">
        <w:rPr>
          <w:rFonts w:asciiTheme="minorHAnsi" w:eastAsiaTheme="minorHAnsi" w:hAnsiTheme="minorHAnsi" w:cstheme="minorBidi"/>
          <w:snapToGrid/>
          <w:sz w:val="24"/>
          <w:szCs w:val="22"/>
        </w:rPr>
        <w:t>,</w:t>
      </w:r>
      <w:r w:rsidR="00DC2409" w:rsidRPr="00B77CBC">
        <w:rPr>
          <w:rFonts w:asciiTheme="minorHAnsi" w:eastAsiaTheme="minorHAnsi" w:hAnsiTheme="minorHAnsi" w:cstheme="minorBidi"/>
          <w:snapToGrid/>
          <w:sz w:val="24"/>
          <w:szCs w:val="22"/>
        </w:rPr>
        <w:t xml:space="preserve"> such as</w:t>
      </w:r>
      <w:r w:rsidR="00852726" w:rsidRPr="00B77CBC">
        <w:rPr>
          <w:rFonts w:asciiTheme="minorHAnsi" w:eastAsiaTheme="minorHAnsi" w:hAnsiTheme="minorHAnsi" w:cstheme="minorBidi"/>
          <w:snapToGrid/>
          <w:sz w:val="24"/>
          <w:szCs w:val="22"/>
        </w:rPr>
        <w:t xml:space="preserve"> in</w:t>
      </w:r>
      <w:r w:rsidR="00690A1E" w:rsidRPr="00B77CBC">
        <w:rPr>
          <w:rFonts w:asciiTheme="minorHAnsi" w:eastAsiaTheme="minorHAnsi" w:hAnsiTheme="minorHAnsi" w:cstheme="minorBidi"/>
          <w:snapToGrid/>
          <w:sz w:val="24"/>
          <w:szCs w:val="22"/>
        </w:rPr>
        <w:t xml:space="preserve"> the case for </w:t>
      </w:r>
      <w:r w:rsidR="00FF414B" w:rsidRPr="00B77CBC">
        <w:rPr>
          <w:rFonts w:asciiTheme="minorHAnsi" w:eastAsiaTheme="minorHAnsi" w:hAnsiTheme="minorHAnsi" w:cstheme="minorBidi"/>
          <w:snapToGrid/>
          <w:sz w:val="24"/>
          <w:szCs w:val="22"/>
        </w:rPr>
        <w:t xml:space="preserve">hip replacement surgery </w:t>
      </w:r>
      <w:r w:rsidR="00690A1E" w:rsidRPr="00B77CBC">
        <w:rPr>
          <w:rFonts w:asciiTheme="minorHAnsi" w:eastAsiaTheme="minorHAnsi" w:hAnsiTheme="minorHAnsi" w:cstheme="minorBidi"/>
          <w:snapToGrid/>
          <w:sz w:val="24"/>
          <w:szCs w:val="22"/>
        </w:rPr>
        <w:t xml:space="preserve">patients who have received a hip </w:t>
      </w:r>
      <w:r w:rsidR="00852726" w:rsidRPr="00B77CBC">
        <w:rPr>
          <w:rFonts w:asciiTheme="minorHAnsi" w:eastAsiaTheme="minorHAnsi" w:hAnsiTheme="minorHAnsi" w:cstheme="minorBidi"/>
          <w:snapToGrid/>
          <w:sz w:val="24"/>
          <w:szCs w:val="22"/>
        </w:rPr>
        <w:t>replacement</w:t>
      </w:r>
      <w:r w:rsidR="00DC2409" w:rsidRPr="00B77CBC">
        <w:rPr>
          <w:rFonts w:asciiTheme="minorHAnsi" w:eastAsiaTheme="minorHAnsi" w:hAnsiTheme="minorHAnsi" w:cstheme="minorBidi"/>
          <w:snapToGrid/>
          <w:sz w:val="24"/>
          <w:szCs w:val="22"/>
        </w:rPr>
        <w:t xml:space="preserve"> where</w:t>
      </w:r>
      <w:r w:rsidR="00690A1E" w:rsidRPr="00B77CBC">
        <w:rPr>
          <w:rFonts w:asciiTheme="minorHAnsi" w:eastAsiaTheme="minorHAnsi" w:hAnsiTheme="minorHAnsi" w:cstheme="minorBidi"/>
          <w:snapToGrid/>
          <w:sz w:val="24"/>
          <w:szCs w:val="22"/>
        </w:rPr>
        <w:t xml:space="preserve"> the recommended dosing is 40 mg daily for 30 post-operative days</w:t>
      </w:r>
      <w:r w:rsidR="00EC1734" w:rsidRPr="00B77CBC">
        <w:rPr>
          <w:rFonts w:asciiTheme="minorHAnsi" w:eastAsiaTheme="minorHAnsi" w:hAnsiTheme="minorHAnsi" w:cstheme="minorBidi"/>
          <w:snapToGrid/>
          <w:sz w:val="24"/>
          <w:szCs w:val="22"/>
        </w:rPr>
        <w:t>.</w:t>
      </w:r>
    </w:p>
    <w:p w:rsidR="00654C47" w:rsidRPr="00B77CBC" w:rsidRDefault="0085395A" w:rsidP="00253EF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Under the current PBS listing, surgical patients requiring enoxaparin injections for VTE </w:t>
      </w:r>
      <w:r w:rsidR="00253EF3" w:rsidRPr="00B77CBC">
        <w:rPr>
          <w:rFonts w:asciiTheme="minorHAnsi" w:eastAsiaTheme="minorHAnsi" w:hAnsiTheme="minorHAnsi" w:cstheme="minorBidi"/>
          <w:snapToGrid/>
          <w:sz w:val="24"/>
          <w:szCs w:val="22"/>
        </w:rPr>
        <w:t xml:space="preserve">prophylaxis </w:t>
      </w:r>
      <w:r w:rsidRPr="00B77CBC">
        <w:rPr>
          <w:rFonts w:asciiTheme="minorHAnsi" w:eastAsiaTheme="minorHAnsi" w:hAnsiTheme="minorHAnsi" w:cstheme="minorBidi"/>
          <w:snapToGrid/>
          <w:sz w:val="24"/>
          <w:szCs w:val="22"/>
        </w:rPr>
        <w:t>can be dispensed a maximum of 2 packs of 10 syringes (20 mg or 40</w:t>
      </w:r>
      <w:r w:rsidR="00DA5DBE" w:rsidRPr="00B77CBC">
        <w:rPr>
          <w:rFonts w:asciiTheme="minorHAnsi" w:eastAsiaTheme="minorHAnsi" w:hAnsiTheme="minorHAnsi" w:cstheme="minorBidi"/>
          <w:snapToGrid/>
          <w:sz w:val="24"/>
          <w:szCs w:val="22"/>
        </w:rPr>
        <w:t> </w:t>
      </w:r>
      <w:r w:rsidRPr="00B77CBC">
        <w:rPr>
          <w:rFonts w:asciiTheme="minorHAnsi" w:eastAsiaTheme="minorHAnsi" w:hAnsiTheme="minorHAnsi" w:cstheme="minorBidi"/>
          <w:snapToGrid/>
          <w:sz w:val="24"/>
          <w:szCs w:val="22"/>
        </w:rPr>
        <w:t xml:space="preserve">mg enoxaparin sodium) which provides sufficient therapy for 20 days under a standard prescription. </w:t>
      </w:r>
    </w:p>
    <w:p w:rsidR="000B4666" w:rsidRPr="00B77CBC" w:rsidRDefault="000F0C92" w:rsidP="00C30180">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The minor submission refers to </w:t>
      </w:r>
      <w:r w:rsidR="00690A1E" w:rsidRPr="00B77CBC">
        <w:rPr>
          <w:rFonts w:asciiTheme="minorHAnsi" w:eastAsiaTheme="minorHAnsi" w:hAnsiTheme="minorHAnsi" w:cstheme="minorBidi"/>
          <w:snapToGrid/>
          <w:sz w:val="24"/>
          <w:szCs w:val="22"/>
        </w:rPr>
        <w:t>clinical guidance</w:t>
      </w:r>
      <w:r w:rsidR="00690A1E" w:rsidRPr="00B77CBC">
        <w:rPr>
          <w:rStyle w:val="FootnoteReference"/>
          <w:rFonts w:asciiTheme="minorHAnsi" w:eastAsiaTheme="minorHAnsi" w:hAnsiTheme="minorHAnsi" w:cstheme="minorBidi"/>
          <w:snapToGrid/>
          <w:sz w:val="24"/>
          <w:szCs w:val="22"/>
        </w:rPr>
        <w:footnoteReference w:id="1"/>
      </w:r>
      <w:r w:rsidR="00690A1E" w:rsidRPr="00B77CBC">
        <w:rPr>
          <w:rFonts w:asciiTheme="minorHAnsi" w:eastAsiaTheme="minorHAnsi" w:hAnsiTheme="minorHAnsi" w:cstheme="minorBidi"/>
          <w:snapToGrid/>
          <w:sz w:val="24"/>
          <w:szCs w:val="22"/>
        </w:rPr>
        <w:t xml:space="preserve"> from the Australian New Zealand Working Party o</w:t>
      </w:r>
      <w:r w:rsidR="007337FC" w:rsidRPr="00B77CBC">
        <w:rPr>
          <w:rFonts w:asciiTheme="minorHAnsi" w:eastAsiaTheme="minorHAnsi" w:hAnsiTheme="minorHAnsi" w:cstheme="minorBidi"/>
          <w:snapToGrid/>
          <w:sz w:val="24"/>
          <w:szCs w:val="22"/>
        </w:rPr>
        <w:t>n</w:t>
      </w:r>
      <w:r w:rsidR="00690A1E" w:rsidRPr="00B77CBC">
        <w:rPr>
          <w:rFonts w:asciiTheme="minorHAnsi" w:eastAsiaTheme="minorHAnsi" w:hAnsiTheme="minorHAnsi" w:cstheme="minorBidi"/>
          <w:snapToGrid/>
          <w:sz w:val="24"/>
          <w:szCs w:val="22"/>
        </w:rPr>
        <w:t xml:space="preserve"> the Management and Prevention of Venous Thromboembolism </w:t>
      </w:r>
      <w:r w:rsidRPr="00B77CBC">
        <w:rPr>
          <w:rFonts w:asciiTheme="minorHAnsi" w:eastAsiaTheme="minorHAnsi" w:hAnsiTheme="minorHAnsi" w:cstheme="minorBidi"/>
          <w:snapToGrid/>
          <w:sz w:val="24"/>
          <w:szCs w:val="22"/>
        </w:rPr>
        <w:t>which identifies the types of</w:t>
      </w:r>
      <w:r w:rsidR="00690A1E" w:rsidRPr="00B77CBC">
        <w:rPr>
          <w:rFonts w:asciiTheme="minorHAnsi" w:eastAsiaTheme="minorHAnsi" w:hAnsiTheme="minorHAnsi" w:cstheme="minorBidi"/>
          <w:snapToGrid/>
          <w:sz w:val="24"/>
          <w:szCs w:val="22"/>
        </w:rPr>
        <w:t xml:space="preserve"> </w:t>
      </w:r>
      <w:r w:rsidR="00675D81" w:rsidRPr="00B77CBC">
        <w:rPr>
          <w:rFonts w:asciiTheme="minorHAnsi" w:eastAsiaTheme="minorHAnsi" w:hAnsiTheme="minorHAnsi" w:cstheme="minorBidi"/>
          <w:snapToGrid/>
          <w:sz w:val="24"/>
          <w:szCs w:val="22"/>
        </w:rPr>
        <w:t>circumstances in which a patient may require extended VTE prophylaxis with enoxaparin</w:t>
      </w:r>
      <w:r w:rsidR="007337FC" w:rsidRPr="00B77CBC">
        <w:rPr>
          <w:rFonts w:asciiTheme="minorHAnsi" w:eastAsiaTheme="minorHAnsi" w:hAnsiTheme="minorHAnsi" w:cstheme="minorBidi"/>
          <w:snapToGrid/>
          <w:sz w:val="24"/>
          <w:szCs w:val="22"/>
        </w:rPr>
        <w:t xml:space="preserve"> as presented </w:t>
      </w:r>
      <w:r w:rsidR="000A4610" w:rsidRPr="00B77CBC">
        <w:rPr>
          <w:rFonts w:asciiTheme="minorHAnsi" w:eastAsiaTheme="minorHAnsi" w:hAnsiTheme="minorHAnsi" w:cstheme="minorBidi"/>
          <w:snapToGrid/>
          <w:sz w:val="24"/>
          <w:szCs w:val="22"/>
        </w:rPr>
        <w:t>in the table below:</w:t>
      </w:r>
    </w:p>
    <w:p w:rsidR="00472FB0" w:rsidRPr="00B77CBC" w:rsidRDefault="00472FB0" w:rsidP="006942A3">
      <w:pPr>
        <w:pStyle w:val="Caption"/>
        <w:rPr>
          <w:szCs w:val="22"/>
        </w:rPr>
      </w:pPr>
      <w:r w:rsidRPr="00B77CBC">
        <w:rPr>
          <w:szCs w:val="22"/>
        </w:rPr>
        <w:t xml:space="preserve">Table </w:t>
      </w:r>
      <w:r w:rsidR="005A09EC" w:rsidRPr="00B77CBC">
        <w:rPr>
          <w:szCs w:val="22"/>
        </w:rPr>
        <w:t>1</w:t>
      </w:r>
      <w:r w:rsidRPr="00B77CBC">
        <w:rPr>
          <w:szCs w:val="22"/>
        </w:rPr>
        <w:t xml:space="preserve">. Duration of prophylaxis of VTE with LMWH recommended by ANZ working party </w:t>
      </w:r>
    </w:p>
    <w:tbl>
      <w:tblPr>
        <w:tblStyle w:val="TableGrid"/>
        <w:tblW w:w="5000" w:type="pct"/>
        <w:tblLook w:val="04A0" w:firstRow="1" w:lastRow="0" w:firstColumn="1" w:lastColumn="0" w:noHBand="0" w:noVBand="1"/>
        <w:tblCaption w:val="Table 1. Duration of prophylaxis of VTE with LMWH recommended by ANZ working party "/>
      </w:tblPr>
      <w:tblGrid>
        <w:gridCol w:w="6001"/>
        <w:gridCol w:w="3015"/>
      </w:tblGrid>
      <w:tr w:rsidR="000F0C92" w:rsidRPr="00B77CBC" w:rsidTr="003449A4">
        <w:trPr>
          <w:trHeight w:val="318"/>
          <w:tblHeader/>
        </w:trPr>
        <w:tc>
          <w:tcPr>
            <w:tcW w:w="2761" w:type="pct"/>
            <w:noWrap/>
            <w:hideMark/>
          </w:tcPr>
          <w:p w:rsidR="000F0C92" w:rsidRPr="00B77CBC" w:rsidRDefault="000F0C92" w:rsidP="000F0C92">
            <w:pPr>
              <w:spacing w:before="40" w:after="40"/>
              <w:rPr>
                <w:rFonts w:ascii="Arial Narrow" w:hAnsi="Arial Narrow"/>
                <w:b/>
                <w:iCs/>
                <w:sz w:val="20"/>
                <w:szCs w:val="22"/>
                <w:lang w:eastAsia="en-US"/>
              </w:rPr>
            </w:pPr>
            <w:r w:rsidRPr="00B77CBC">
              <w:rPr>
                <w:rFonts w:ascii="Arial Narrow" w:hAnsi="Arial Narrow"/>
                <w:b/>
                <w:iCs/>
                <w:sz w:val="20"/>
                <w:szCs w:val="22"/>
                <w:lang w:eastAsia="en-US"/>
              </w:rPr>
              <w:t>Type of surgery / patient circumstances</w:t>
            </w:r>
          </w:p>
        </w:tc>
        <w:tc>
          <w:tcPr>
            <w:tcW w:w="2239" w:type="pct"/>
            <w:noWrap/>
            <w:hideMark/>
          </w:tcPr>
          <w:p w:rsidR="000F0C92" w:rsidRPr="00B77CBC" w:rsidRDefault="000F0C92" w:rsidP="000F0C92">
            <w:pPr>
              <w:spacing w:before="40" w:after="40"/>
              <w:jc w:val="center"/>
              <w:rPr>
                <w:rFonts w:ascii="Arial Narrow" w:hAnsi="Arial Narrow"/>
                <w:b/>
                <w:iCs/>
                <w:sz w:val="20"/>
                <w:szCs w:val="22"/>
                <w:lang w:eastAsia="en-US"/>
              </w:rPr>
            </w:pPr>
            <w:r w:rsidRPr="00B77CBC">
              <w:rPr>
                <w:rFonts w:ascii="Arial Narrow" w:hAnsi="Arial Narrow"/>
                <w:b/>
                <w:iCs/>
                <w:sz w:val="20"/>
                <w:szCs w:val="22"/>
                <w:lang w:eastAsia="en-US"/>
              </w:rPr>
              <w:t>Duration of prophylaxis with LMWH</w:t>
            </w:r>
          </w:p>
        </w:tc>
      </w:tr>
      <w:tr w:rsidR="000F0C92" w:rsidRPr="00B77CBC" w:rsidTr="009250DB">
        <w:trPr>
          <w:trHeight w:val="315"/>
        </w:trPr>
        <w:tc>
          <w:tcPr>
            <w:tcW w:w="2761"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Total hip replacement surgery</w:t>
            </w:r>
          </w:p>
        </w:tc>
        <w:tc>
          <w:tcPr>
            <w:tcW w:w="2239"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28-35 days</w:t>
            </w:r>
          </w:p>
        </w:tc>
      </w:tr>
      <w:tr w:rsidR="000F0C92" w:rsidRPr="00B77CBC" w:rsidTr="009250DB">
        <w:trPr>
          <w:trHeight w:val="315"/>
        </w:trPr>
        <w:tc>
          <w:tcPr>
            <w:tcW w:w="2761"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Hip fracture surgery</w:t>
            </w:r>
          </w:p>
        </w:tc>
        <w:tc>
          <w:tcPr>
            <w:tcW w:w="2239"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28-35 days</w:t>
            </w:r>
          </w:p>
        </w:tc>
      </w:tr>
      <w:tr w:rsidR="000F0C92" w:rsidRPr="00B77CBC" w:rsidTr="009250DB">
        <w:trPr>
          <w:trHeight w:val="315"/>
        </w:trPr>
        <w:tc>
          <w:tcPr>
            <w:tcW w:w="2761"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Total knee replacement</w:t>
            </w:r>
          </w:p>
        </w:tc>
        <w:tc>
          <w:tcPr>
            <w:tcW w:w="2239"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At least 10 days</w:t>
            </w:r>
          </w:p>
        </w:tc>
      </w:tr>
      <w:tr w:rsidR="000F0C92" w:rsidRPr="00B77CBC" w:rsidTr="009250DB">
        <w:trPr>
          <w:trHeight w:val="315"/>
        </w:trPr>
        <w:tc>
          <w:tcPr>
            <w:tcW w:w="2761"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Any surgery and prior VTE</w:t>
            </w:r>
          </w:p>
        </w:tc>
        <w:tc>
          <w:tcPr>
            <w:tcW w:w="2239"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5-10 days or until hospital discharge</w:t>
            </w:r>
          </w:p>
        </w:tc>
      </w:tr>
      <w:tr w:rsidR="000F0C92" w:rsidRPr="00B77CBC" w:rsidTr="009250DB">
        <w:trPr>
          <w:trHeight w:val="315"/>
        </w:trPr>
        <w:tc>
          <w:tcPr>
            <w:tcW w:w="2761" w:type="pct"/>
            <w:noWrap/>
          </w:tcPr>
          <w:p w:rsidR="000F0C92" w:rsidRPr="00B77CBC" w:rsidRDefault="00C9191A" w:rsidP="00C9191A">
            <w:pPr>
              <w:spacing w:before="40" w:after="40"/>
              <w:rPr>
                <w:rFonts w:ascii="Arial Narrow" w:hAnsi="Arial Narrow"/>
                <w:iCs/>
                <w:sz w:val="20"/>
                <w:szCs w:val="22"/>
                <w:lang w:eastAsia="en-US"/>
              </w:rPr>
            </w:pPr>
            <w:r w:rsidRPr="00B77CBC">
              <w:rPr>
                <w:rFonts w:ascii="Arial Narrow" w:hAnsi="Arial Narrow"/>
                <w:iCs/>
                <w:sz w:val="20"/>
                <w:szCs w:val="22"/>
                <w:lang w:eastAsia="en-US"/>
              </w:rPr>
              <w:t>Major surgery</w:t>
            </w:r>
            <w:r w:rsidRPr="00B77CBC">
              <w:rPr>
                <w:rStyle w:val="FootnoteReference"/>
                <w:rFonts w:ascii="Arial Narrow" w:hAnsi="Arial Narrow"/>
                <w:iCs/>
                <w:sz w:val="20"/>
                <w:szCs w:val="22"/>
                <w:lang w:eastAsia="en-US"/>
              </w:rPr>
              <w:footnoteReference w:id="2"/>
            </w:r>
            <w:r w:rsidRPr="00B77CBC">
              <w:rPr>
                <w:rFonts w:ascii="Arial Narrow" w:hAnsi="Arial Narrow"/>
                <w:iCs/>
                <w:sz w:val="20"/>
                <w:szCs w:val="22"/>
                <w:lang w:eastAsia="en-US"/>
              </w:rPr>
              <w:t>: intra</w:t>
            </w:r>
            <w:r w:rsidR="000F0C92" w:rsidRPr="00B77CBC">
              <w:rPr>
                <w:rFonts w:ascii="Arial Narrow" w:hAnsi="Arial Narrow"/>
                <w:iCs/>
                <w:sz w:val="20"/>
                <w:szCs w:val="22"/>
                <w:lang w:eastAsia="en-US"/>
              </w:rPr>
              <w:t xml:space="preserve">-abdominal surgery or surgery &gt;45 </w:t>
            </w:r>
            <w:proofErr w:type="spellStart"/>
            <w:r w:rsidR="000F0C92" w:rsidRPr="00B77CBC">
              <w:rPr>
                <w:rFonts w:ascii="Arial Narrow" w:hAnsi="Arial Narrow"/>
                <w:iCs/>
                <w:sz w:val="20"/>
                <w:szCs w:val="22"/>
                <w:lang w:eastAsia="en-US"/>
              </w:rPr>
              <w:t>mins</w:t>
            </w:r>
            <w:proofErr w:type="spellEnd"/>
            <w:r w:rsidR="000F0C92" w:rsidRPr="00B77CBC">
              <w:rPr>
                <w:rFonts w:ascii="Arial Narrow" w:hAnsi="Arial Narrow"/>
                <w:iCs/>
                <w:sz w:val="20"/>
                <w:szCs w:val="22"/>
                <w:lang w:eastAsia="en-US"/>
              </w:rPr>
              <w:t xml:space="preserve"> and age &gt;40 years</w:t>
            </w:r>
          </w:p>
        </w:tc>
        <w:tc>
          <w:tcPr>
            <w:tcW w:w="2239" w:type="pct"/>
            <w:noWrap/>
          </w:tcPr>
          <w:p w:rsidR="000F0C92" w:rsidRPr="00B77CBC" w:rsidRDefault="000F0C92" w:rsidP="000F0C92">
            <w:pPr>
              <w:keepNext/>
              <w:spacing w:before="40" w:after="40"/>
              <w:rPr>
                <w:rFonts w:ascii="Arial Narrow" w:hAnsi="Arial Narrow"/>
                <w:iCs/>
                <w:sz w:val="20"/>
                <w:szCs w:val="22"/>
                <w:highlight w:val="yellow"/>
                <w:lang w:eastAsia="en-US"/>
              </w:rPr>
            </w:pPr>
            <w:r w:rsidRPr="00B77CBC">
              <w:rPr>
                <w:rFonts w:ascii="Arial Narrow" w:hAnsi="Arial Narrow"/>
                <w:iCs/>
                <w:sz w:val="20"/>
                <w:szCs w:val="22"/>
                <w:lang w:eastAsia="en-US"/>
              </w:rPr>
              <w:t>28-35 days</w:t>
            </w:r>
          </w:p>
        </w:tc>
      </w:tr>
      <w:tr w:rsidR="000F0C92" w:rsidRPr="00B77CBC" w:rsidTr="009250DB">
        <w:trPr>
          <w:trHeight w:val="315"/>
        </w:trPr>
        <w:tc>
          <w:tcPr>
            <w:tcW w:w="2761" w:type="pct"/>
            <w:noWrap/>
          </w:tcPr>
          <w:p w:rsidR="000F0C92" w:rsidRPr="00B77CBC" w:rsidRDefault="000F0C92" w:rsidP="000F0C92">
            <w:pPr>
              <w:spacing w:before="40" w:after="40"/>
              <w:rPr>
                <w:rFonts w:ascii="Arial Narrow" w:hAnsi="Arial Narrow"/>
                <w:iCs/>
                <w:sz w:val="20"/>
                <w:szCs w:val="22"/>
                <w:lang w:eastAsia="en-US"/>
              </w:rPr>
            </w:pPr>
            <w:r w:rsidRPr="00B77CBC">
              <w:rPr>
                <w:rFonts w:ascii="Arial Narrow" w:hAnsi="Arial Narrow"/>
                <w:iCs/>
                <w:sz w:val="20"/>
                <w:szCs w:val="22"/>
                <w:lang w:eastAsia="en-US"/>
              </w:rPr>
              <w:t>Surgical cancer patients</w:t>
            </w:r>
          </w:p>
        </w:tc>
        <w:tc>
          <w:tcPr>
            <w:tcW w:w="2239" w:type="pct"/>
            <w:noWrap/>
          </w:tcPr>
          <w:p w:rsidR="000F0C92" w:rsidRPr="00B77CBC" w:rsidRDefault="000F0C92" w:rsidP="000F0C92">
            <w:pPr>
              <w:spacing w:before="40" w:after="40"/>
              <w:rPr>
                <w:rFonts w:ascii="Arial Narrow" w:hAnsi="Arial Narrow"/>
                <w:iCs/>
                <w:sz w:val="20"/>
                <w:szCs w:val="22"/>
                <w:highlight w:val="yellow"/>
                <w:lang w:eastAsia="en-US"/>
              </w:rPr>
            </w:pPr>
            <w:r w:rsidRPr="00B77CBC">
              <w:rPr>
                <w:rFonts w:ascii="Arial Narrow" w:hAnsi="Arial Narrow"/>
                <w:iCs/>
                <w:sz w:val="20"/>
                <w:szCs w:val="22"/>
                <w:lang w:eastAsia="en-US"/>
              </w:rPr>
              <w:t>28-35 days for  major cancer surgery</w:t>
            </w:r>
          </w:p>
        </w:tc>
      </w:tr>
    </w:tbl>
    <w:p w:rsidR="000F0C92" w:rsidRPr="007F0FCE" w:rsidRDefault="000F0C92" w:rsidP="000F0C92">
      <w:pPr>
        <w:keepNext/>
        <w:keepLines/>
        <w:tabs>
          <w:tab w:val="left" w:pos="0"/>
        </w:tabs>
        <w:rPr>
          <w:rFonts w:ascii="Arial Narrow" w:eastAsia="SimSun" w:hAnsi="Arial Narrow"/>
          <w:sz w:val="18"/>
          <w:szCs w:val="22"/>
          <w:lang w:eastAsia="zh-CN"/>
        </w:rPr>
      </w:pPr>
      <w:r w:rsidRPr="007F0FCE">
        <w:rPr>
          <w:rFonts w:ascii="Arial Narrow" w:eastAsia="SimSun" w:hAnsi="Arial Narrow"/>
          <w:sz w:val="18"/>
          <w:szCs w:val="22"/>
          <w:lang w:eastAsia="zh-CN"/>
        </w:rPr>
        <w:t>Abbreviation: ANZ, Australia and New Zealand; LMWH, low molecular weight heparin; VTE, venous thromboembolism.</w:t>
      </w:r>
    </w:p>
    <w:p w:rsidR="000F0C92" w:rsidRPr="007F0FCE" w:rsidRDefault="000F0C92" w:rsidP="000F0C92">
      <w:pPr>
        <w:keepNext/>
        <w:keepLines/>
        <w:tabs>
          <w:tab w:val="left" w:pos="0"/>
        </w:tabs>
        <w:rPr>
          <w:rFonts w:ascii="Arial Narrow" w:eastAsia="SimSun" w:hAnsi="Arial Narrow"/>
          <w:sz w:val="18"/>
          <w:szCs w:val="22"/>
          <w:lang w:eastAsia="zh-CN"/>
        </w:rPr>
      </w:pPr>
      <w:r w:rsidRPr="007F0FCE">
        <w:rPr>
          <w:rFonts w:ascii="Arial Narrow" w:eastAsia="SimSun" w:hAnsi="Arial Narrow"/>
          <w:sz w:val="18"/>
          <w:szCs w:val="22"/>
          <w:lang w:eastAsia="zh-CN"/>
        </w:rPr>
        <w:t xml:space="preserve">Source: </w:t>
      </w:r>
      <w:r w:rsidR="009250DB" w:rsidRPr="00B77CBC">
        <w:rPr>
          <w:rFonts w:ascii="Arial Narrow" w:eastAsia="SimSun" w:hAnsi="Arial Narrow"/>
          <w:sz w:val="18"/>
          <w:szCs w:val="20"/>
          <w:lang w:eastAsia="zh-CN"/>
        </w:rPr>
        <w:t>Enoxaparin (</w:t>
      </w:r>
      <w:proofErr w:type="spellStart"/>
      <w:r w:rsidR="009250DB" w:rsidRPr="00B77CBC">
        <w:rPr>
          <w:rFonts w:ascii="Arial Narrow" w:eastAsia="SimSun" w:hAnsi="Arial Narrow"/>
          <w:sz w:val="18"/>
          <w:szCs w:val="20"/>
          <w:lang w:eastAsia="zh-CN"/>
        </w:rPr>
        <w:t>Clexane</w:t>
      </w:r>
      <w:proofErr w:type="spellEnd"/>
      <w:r w:rsidR="009250DB" w:rsidRPr="00B77CBC">
        <w:rPr>
          <w:rFonts w:ascii="Arial Narrow" w:eastAsia="SimSun" w:hAnsi="Arial Narrow"/>
          <w:sz w:val="18"/>
          <w:szCs w:val="20"/>
          <w:lang w:eastAsia="zh-CN"/>
        </w:rPr>
        <w:t>) minor submission,</w:t>
      </w:r>
      <w:r w:rsidR="009250DB" w:rsidRPr="007F0FCE">
        <w:rPr>
          <w:rFonts w:ascii="Arial Narrow" w:eastAsia="SimSun" w:hAnsi="Arial Narrow"/>
          <w:sz w:val="18"/>
          <w:szCs w:val="22"/>
          <w:lang w:eastAsia="zh-CN"/>
        </w:rPr>
        <w:t xml:space="preserve"> </w:t>
      </w:r>
      <w:r w:rsidRPr="007F0FCE">
        <w:rPr>
          <w:rFonts w:ascii="Arial Narrow" w:eastAsia="SimSun" w:hAnsi="Arial Narrow"/>
          <w:sz w:val="18"/>
          <w:szCs w:val="22"/>
          <w:lang w:eastAsia="zh-CN"/>
        </w:rPr>
        <w:t>Table E.2</w:t>
      </w:r>
      <w:r w:rsidR="009250DB" w:rsidRPr="007F0FCE">
        <w:rPr>
          <w:rFonts w:ascii="Arial Narrow" w:eastAsia="SimSun" w:hAnsi="Arial Narrow"/>
          <w:sz w:val="18"/>
          <w:szCs w:val="22"/>
          <w:lang w:eastAsia="zh-CN"/>
        </w:rPr>
        <w:t>.</w:t>
      </w:r>
    </w:p>
    <w:p w:rsidR="003D778F" w:rsidRPr="007F0FCE" w:rsidRDefault="003D778F" w:rsidP="004A4A4F">
      <w:pPr>
        <w:pStyle w:val="ListParagraph"/>
        <w:widowControl/>
        <w:spacing w:before="120" w:after="160"/>
        <w:contextualSpacing w:val="0"/>
        <w:rPr>
          <w:rFonts w:eastAsia="SimSun"/>
        </w:rPr>
      </w:pPr>
      <w:r w:rsidRPr="00B77CBC">
        <w:rPr>
          <w:rFonts w:asciiTheme="minorHAnsi" w:eastAsiaTheme="minorHAnsi" w:hAnsiTheme="minorHAnsi" w:cstheme="minorBidi"/>
          <w:i/>
          <w:snapToGrid/>
          <w:sz w:val="24"/>
          <w:szCs w:val="22"/>
        </w:rPr>
        <w:t xml:space="preserve">For more detail on PBAC’s view, see section </w:t>
      </w:r>
      <w:r w:rsidR="004677D9" w:rsidRPr="00B77CBC">
        <w:rPr>
          <w:rFonts w:asciiTheme="minorHAnsi" w:eastAsiaTheme="minorHAnsi" w:hAnsiTheme="minorHAnsi" w:cstheme="minorBidi"/>
          <w:i/>
          <w:snapToGrid/>
          <w:sz w:val="24"/>
          <w:szCs w:val="22"/>
        </w:rPr>
        <w:t>6</w:t>
      </w:r>
      <w:r w:rsidRPr="00B77CBC">
        <w:rPr>
          <w:rFonts w:asciiTheme="minorHAnsi" w:eastAsiaTheme="minorHAnsi" w:hAnsiTheme="minorHAnsi" w:cstheme="minorBidi"/>
          <w:i/>
          <w:snapToGrid/>
          <w:sz w:val="24"/>
          <w:szCs w:val="22"/>
        </w:rPr>
        <w:t xml:space="preserve"> PBAC outcome.</w:t>
      </w:r>
    </w:p>
    <w:p w:rsidR="000B558D" w:rsidRPr="00B77CBC" w:rsidRDefault="00253EF3" w:rsidP="000F0C92">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B77CBC">
        <w:rPr>
          <w:rFonts w:asciiTheme="minorHAnsi" w:hAnsiTheme="minorHAnsi"/>
          <w:sz w:val="32"/>
          <w:szCs w:val="32"/>
        </w:rPr>
        <w:t>Current Situation</w:t>
      </w:r>
    </w:p>
    <w:p w:rsidR="00253EF3" w:rsidRPr="00B77CBC" w:rsidRDefault="007F347A" w:rsidP="00253EF3">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Patients at high risk of developing VTE and requiring sufficient supply of enoxaparin for VTE prophylaxis </w:t>
      </w:r>
      <w:r w:rsidR="000F0C92" w:rsidRPr="00B77CBC">
        <w:rPr>
          <w:rFonts w:asciiTheme="minorHAnsi" w:eastAsiaTheme="minorHAnsi" w:hAnsiTheme="minorHAnsi" w:cstheme="minorBidi"/>
          <w:snapToGrid/>
          <w:sz w:val="24"/>
          <w:szCs w:val="22"/>
        </w:rPr>
        <w:t xml:space="preserve">for a period greater than 20 days </w:t>
      </w:r>
      <w:r w:rsidRPr="00B77CBC">
        <w:rPr>
          <w:rFonts w:asciiTheme="minorHAnsi" w:eastAsiaTheme="minorHAnsi" w:hAnsiTheme="minorHAnsi" w:cstheme="minorBidi"/>
          <w:snapToGrid/>
          <w:sz w:val="24"/>
          <w:szCs w:val="22"/>
        </w:rPr>
        <w:t>have the following options:</w:t>
      </w:r>
    </w:p>
    <w:p w:rsidR="007F347A" w:rsidRPr="00B77CBC" w:rsidRDefault="007F347A" w:rsidP="007F347A">
      <w:pPr>
        <w:pStyle w:val="ListParagraph"/>
        <w:widowControl/>
        <w:numPr>
          <w:ilvl w:val="0"/>
          <w:numId w:val="15"/>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Obtain an Authority script with approval for increased maximum quantity that enables the dispensing</w:t>
      </w:r>
      <w:r w:rsidR="00AA1989" w:rsidRPr="00B77CBC">
        <w:rPr>
          <w:rFonts w:asciiTheme="minorHAnsi" w:eastAsiaTheme="minorHAnsi" w:hAnsiTheme="minorHAnsi" w:cstheme="minorBidi"/>
          <w:snapToGrid/>
          <w:sz w:val="24"/>
          <w:szCs w:val="22"/>
        </w:rPr>
        <w:t xml:space="preserve"> </w:t>
      </w:r>
      <w:r w:rsidR="007E6CEB" w:rsidRPr="00B77CBC">
        <w:rPr>
          <w:rFonts w:asciiTheme="minorHAnsi" w:eastAsiaTheme="minorHAnsi" w:hAnsiTheme="minorHAnsi" w:cstheme="minorBidi"/>
          <w:snapToGrid/>
          <w:sz w:val="24"/>
          <w:szCs w:val="22"/>
        </w:rPr>
        <w:t xml:space="preserve">of additional packs; </w:t>
      </w:r>
      <w:r w:rsidR="007337FC" w:rsidRPr="00B77CBC">
        <w:rPr>
          <w:rFonts w:asciiTheme="minorHAnsi" w:eastAsiaTheme="minorHAnsi" w:hAnsiTheme="minorHAnsi" w:cstheme="minorBidi"/>
          <w:snapToGrid/>
          <w:sz w:val="24"/>
          <w:szCs w:val="22"/>
        </w:rPr>
        <w:t>or</w:t>
      </w:r>
    </w:p>
    <w:p w:rsidR="007F347A" w:rsidRPr="00B77CBC" w:rsidRDefault="007E6CEB" w:rsidP="007F347A">
      <w:pPr>
        <w:pStyle w:val="ListParagraph"/>
        <w:widowControl/>
        <w:numPr>
          <w:ilvl w:val="0"/>
          <w:numId w:val="15"/>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Obtain two standard prescriptions on two separate doctor’s visits</w:t>
      </w:r>
      <w:r w:rsidR="007337FC" w:rsidRPr="00B77CBC">
        <w:rPr>
          <w:rFonts w:asciiTheme="minorHAnsi" w:eastAsiaTheme="minorHAnsi" w:hAnsiTheme="minorHAnsi" w:cstheme="minorBidi"/>
          <w:snapToGrid/>
          <w:sz w:val="24"/>
          <w:szCs w:val="22"/>
        </w:rPr>
        <w:t>.</w:t>
      </w:r>
      <w:r w:rsidRPr="00B77CBC">
        <w:rPr>
          <w:rFonts w:asciiTheme="minorHAnsi" w:eastAsiaTheme="minorHAnsi" w:hAnsiTheme="minorHAnsi" w:cstheme="minorBidi"/>
          <w:snapToGrid/>
          <w:sz w:val="24"/>
          <w:szCs w:val="22"/>
        </w:rPr>
        <w:t xml:space="preserve"> </w:t>
      </w:r>
    </w:p>
    <w:p w:rsidR="006378C8" w:rsidRPr="00B77CBC" w:rsidRDefault="004D7657" w:rsidP="004D765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lastRenderedPageBreak/>
        <w:t xml:space="preserve">The submission has presented an analysis of a 10% sample of the PBS </w:t>
      </w:r>
      <w:r w:rsidR="003C45C4" w:rsidRPr="00B77CBC">
        <w:rPr>
          <w:rFonts w:asciiTheme="minorHAnsi" w:eastAsiaTheme="minorHAnsi" w:hAnsiTheme="minorHAnsi" w:cstheme="minorBidi"/>
          <w:snapToGrid/>
          <w:sz w:val="24"/>
          <w:szCs w:val="22"/>
        </w:rPr>
        <w:t xml:space="preserve">authority prescription </w:t>
      </w:r>
      <w:r w:rsidRPr="00B77CBC">
        <w:rPr>
          <w:rFonts w:asciiTheme="minorHAnsi" w:eastAsiaTheme="minorHAnsi" w:hAnsiTheme="minorHAnsi" w:cstheme="minorBidi"/>
          <w:snapToGrid/>
          <w:sz w:val="24"/>
          <w:szCs w:val="22"/>
        </w:rPr>
        <w:t xml:space="preserve">data for </w:t>
      </w:r>
      <w:r w:rsidR="003C45C4" w:rsidRPr="00B77CBC">
        <w:rPr>
          <w:rFonts w:asciiTheme="minorHAnsi" w:eastAsiaTheme="minorHAnsi" w:hAnsiTheme="minorHAnsi" w:cstheme="minorBidi"/>
          <w:snapToGrid/>
          <w:sz w:val="24"/>
          <w:szCs w:val="22"/>
        </w:rPr>
        <w:t>enoxaparin indicating that patients requiring extended prophylaxis comprise</w:t>
      </w:r>
      <w:r w:rsidRPr="00B77CBC">
        <w:rPr>
          <w:rFonts w:asciiTheme="minorHAnsi" w:eastAsiaTheme="minorHAnsi" w:hAnsiTheme="minorHAnsi" w:cstheme="minorBidi"/>
          <w:snapToGrid/>
          <w:sz w:val="24"/>
          <w:szCs w:val="22"/>
        </w:rPr>
        <w:t xml:space="preserve"> </w:t>
      </w:r>
      <w:r w:rsidR="002D386C" w:rsidRPr="00B77CBC">
        <w:rPr>
          <w:rFonts w:asciiTheme="minorHAnsi" w:eastAsiaTheme="minorHAnsi" w:hAnsiTheme="minorHAnsi" w:cstheme="minorBidi"/>
          <w:snapToGrid/>
          <w:sz w:val="24"/>
          <w:szCs w:val="22"/>
        </w:rPr>
        <w:t>2.8</w:t>
      </w:r>
      <w:r w:rsidRPr="00B77CBC">
        <w:rPr>
          <w:rFonts w:asciiTheme="minorHAnsi" w:eastAsiaTheme="minorHAnsi" w:hAnsiTheme="minorHAnsi" w:cstheme="minorBidi"/>
          <w:snapToGrid/>
          <w:sz w:val="24"/>
          <w:szCs w:val="22"/>
        </w:rPr>
        <w:t xml:space="preserve">% of </w:t>
      </w:r>
      <w:r w:rsidR="003C45C4" w:rsidRPr="00B77CBC">
        <w:rPr>
          <w:rFonts w:asciiTheme="minorHAnsi" w:eastAsiaTheme="minorHAnsi" w:hAnsiTheme="minorHAnsi" w:cstheme="minorBidi"/>
          <w:snapToGrid/>
          <w:sz w:val="24"/>
          <w:szCs w:val="22"/>
        </w:rPr>
        <w:t xml:space="preserve">the total number of </w:t>
      </w:r>
      <w:r w:rsidRPr="00B77CBC">
        <w:rPr>
          <w:rFonts w:asciiTheme="minorHAnsi" w:eastAsiaTheme="minorHAnsi" w:hAnsiTheme="minorHAnsi" w:cstheme="minorBidi"/>
          <w:snapToGrid/>
          <w:sz w:val="24"/>
          <w:szCs w:val="22"/>
        </w:rPr>
        <w:t xml:space="preserve">prescriptions for enoxaparin </w:t>
      </w:r>
      <w:r w:rsidR="002D386C" w:rsidRPr="00B77CBC">
        <w:rPr>
          <w:rFonts w:asciiTheme="minorHAnsi" w:eastAsiaTheme="minorHAnsi" w:hAnsiTheme="minorHAnsi" w:cstheme="minorBidi"/>
          <w:snapToGrid/>
          <w:sz w:val="24"/>
          <w:szCs w:val="22"/>
        </w:rPr>
        <w:t>20</w:t>
      </w:r>
      <w:r w:rsidR="007337FC" w:rsidRPr="00B77CBC">
        <w:rPr>
          <w:rFonts w:asciiTheme="minorHAnsi" w:eastAsiaTheme="minorHAnsi" w:hAnsiTheme="minorHAnsi" w:cstheme="minorBidi"/>
          <w:snapToGrid/>
          <w:sz w:val="24"/>
          <w:szCs w:val="22"/>
        </w:rPr>
        <w:t> </w:t>
      </w:r>
      <w:r w:rsidRPr="00B77CBC">
        <w:rPr>
          <w:rFonts w:asciiTheme="minorHAnsi" w:eastAsiaTheme="minorHAnsi" w:hAnsiTheme="minorHAnsi" w:cstheme="minorBidi"/>
          <w:snapToGrid/>
          <w:sz w:val="24"/>
          <w:szCs w:val="22"/>
        </w:rPr>
        <w:t xml:space="preserve">mg strength </w:t>
      </w:r>
      <w:r w:rsidR="003C45C4" w:rsidRPr="00B77CBC">
        <w:rPr>
          <w:rFonts w:asciiTheme="minorHAnsi" w:eastAsiaTheme="minorHAnsi" w:hAnsiTheme="minorHAnsi" w:cstheme="minorBidi"/>
          <w:snapToGrid/>
          <w:sz w:val="24"/>
          <w:szCs w:val="22"/>
        </w:rPr>
        <w:t>and</w:t>
      </w:r>
      <w:r w:rsidR="002D386C" w:rsidRPr="00B77CBC">
        <w:rPr>
          <w:rFonts w:asciiTheme="minorHAnsi" w:eastAsiaTheme="minorHAnsi" w:hAnsiTheme="minorHAnsi" w:cstheme="minorBidi"/>
          <w:snapToGrid/>
          <w:sz w:val="24"/>
          <w:szCs w:val="22"/>
        </w:rPr>
        <w:t xml:space="preserve"> 8.3% for enoxaparin 40 mg strength</w:t>
      </w:r>
      <w:r w:rsidR="003C45C4" w:rsidRPr="00B77CBC">
        <w:rPr>
          <w:rFonts w:asciiTheme="minorHAnsi" w:eastAsiaTheme="minorHAnsi" w:hAnsiTheme="minorHAnsi" w:cstheme="minorBidi"/>
          <w:snapToGrid/>
          <w:sz w:val="24"/>
          <w:szCs w:val="22"/>
        </w:rPr>
        <w:t>.</w:t>
      </w:r>
    </w:p>
    <w:p w:rsidR="003C45C4" w:rsidRPr="00B77CBC" w:rsidRDefault="00C217D8" w:rsidP="004D7657">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An additional </w:t>
      </w:r>
      <w:r w:rsidR="003C45C4" w:rsidRPr="00B77CBC">
        <w:rPr>
          <w:rFonts w:asciiTheme="minorHAnsi" w:eastAsiaTheme="minorHAnsi" w:hAnsiTheme="minorHAnsi" w:cstheme="minorBidi"/>
          <w:snapToGrid/>
          <w:sz w:val="24"/>
          <w:szCs w:val="22"/>
        </w:rPr>
        <w:t>analysis of a 10% sample of PBS prescription data involving patients filling scripts of the same strength less than 20 days apart</w:t>
      </w:r>
      <w:r w:rsidRPr="00B77CBC">
        <w:rPr>
          <w:rFonts w:asciiTheme="minorHAnsi" w:eastAsiaTheme="minorHAnsi" w:hAnsiTheme="minorHAnsi" w:cstheme="minorBidi"/>
          <w:snapToGrid/>
          <w:sz w:val="24"/>
          <w:szCs w:val="22"/>
        </w:rPr>
        <w:t xml:space="preserve"> indicates this occurs in 15.1% of patients for the 20mg strength and 14.6% of patients for the 40 mg strength.</w:t>
      </w:r>
    </w:p>
    <w:p w:rsidR="00827016" w:rsidRPr="00B77CBC" w:rsidRDefault="00B77CBC" w:rsidP="00827016">
      <w:pPr>
        <w:pStyle w:val="ListParagraph"/>
        <w:widowControl/>
        <w:numPr>
          <w:ilvl w:val="1"/>
          <w:numId w:val="14"/>
        </w:numPr>
        <w:spacing w:before="120" w:after="160"/>
        <w:contextualSpacing w:val="0"/>
        <w:rPr>
          <w:rFonts w:asciiTheme="minorHAnsi" w:eastAsiaTheme="minorHAnsi" w:hAnsiTheme="minorHAnsi" w:cstheme="minorBidi"/>
          <w:i/>
          <w:snapToGrid/>
          <w:sz w:val="24"/>
          <w:szCs w:val="22"/>
        </w:rPr>
      </w:pPr>
      <w:r w:rsidRPr="00B77CBC">
        <w:rPr>
          <w:rFonts w:asciiTheme="minorHAnsi" w:eastAsiaTheme="minorHAnsi" w:hAnsiTheme="minorHAnsi" w:cstheme="minorBidi"/>
          <w:snapToGrid/>
          <w:sz w:val="24"/>
          <w:szCs w:val="22"/>
        </w:rPr>
        <w:t>Based on</w:t>
      </w:r>
      <w:r w:rsidR="00C217D8" w:rsidRPr="00B77CBC">
        <w:rPr>
          <w:rFonts w:asciiTheme="minorHAnsi" w:eastAsiaTheme="minorHAnsi" w:hAnsiTheme="minorHAnsi" w:cstheme="minorBidi"/>
          <w:snapToGrid/>
          <w:sz w:val="24"/>
          <w:szCs w:val="22"/>
        </w:rPr>
        <w:t xml:space="preserve"> the two analys</w:t>
      </w:r>
      <w:r w:rsidR="009B1A40" w:rsidRPr="00B77CBC">
        <w:rPr>
          <w:rFonts w:asciiTheme="minorHAnsi" w:eastAsiaTheme="minorHAnsi" w:hAnsiTheme="minorHAnsi" w:cstheme="minorBidi"/>
          <w:snapToGrid/>
          <w:sz w:val="24"/>
          <w:szCs w:val="22"/>
        </w:rPr>
        <w:t>e</w:t>
      </w:r>
      <w:r w:rsidR="00C217D8" w:rsidRPr="00B77CBC">
        <w:rPr>
          <w:rFonts w:asciiTheme="minorHAnsi" w:eastAsiaTheme="minorHAnsi" w:hAnsiTheme="minorHAnsi" w:cstheme="minorBidi"/>
          <w:snapToGrid/>
          <w:sz w:val="24"/>
          <w:szCs w:val="22"/>
        </w:rPr>
        <w:t xml:space="preserve">s conducted by the </w:t>
      </w:r>
      <w:r w:rsidR="007337FC" w:rsidRPr="00B77CBC">
        <w:rPr>
          <w:rFonts w:asciiTheme="minorHAnsi" w:eastAsiaTheme="minorHAnsi" w:hAnsiTheme="minorHAnsi" w:cstheme="minorBidi"/>
          <w:snapToGrid/>
          <w:sz w:val="24"/>
          <w:szCs w:val="22"/>
        </w:rPr>
        <w:t>minor submission</w:t>
      </w:r>
      <w:r w:rsidR="00C217D8" w:rsidRPr="00B77CBC">
        <w:rPr>
          <w:rFonts w:asciiTheme="minorHAnsi" w:eastAsiaTheme="minorHAnsi" w:hAnsiTheme="minorHAnsi" w:cstheme="minorBidi"/>
          <w:snapToGrid/>
          <w:sz w:val="24"/>
          <w:szCs w:val="22"/>
        </w:rPr>
        <w:t xml:space="preserve">, it has concluded that approximately 5% of enoxaparin prescriptions involve Authority approved requests for increased maximum quantities and an additional 15% of prescriptions involve patients having two scripts dispensed within 20 days of each </w:t>
      </w:r>
      <w:r w:rsidRPr="00B77CBC">
        <w:rPr>
          <w:rFonts w:asciiTheme="minorHAnsi" w:eastAsiaTheme="minorHAnsi" w:hAnsiTheme="minorHAnsi" w:cstheme="minorBidi"/>
          <w:snapToGrid/>
          <w:sz w:val="24"/>
          <w:szCs w:val="22"/>
        </w:rPr>
        <w:t>other that</w:t>
      </w:r>
      <w:r w:rsidR="00C217D8" w:rsidRPr="00B77CBC">
        <w:rPr>
          <w:rFonts w:asciiTheme="minorHAnsi" w:eastAsiaTheme="minorHAnsi" w:hAnsiTheme="minorHAnsi" w:cstheme="minorBidi"/>
          <w:snapToGrid/>
          <w:sz w:val="24"/>
          <w:szCs w:val="22"/>
        </w:rPr>
        <w:t xml:space="preserve"> indicates two doctor’s visits were required.</w:t>
      </w:r>
      <w:r w:rsidR="00413E4F" w:rsidRPr="00B77CBC">
        <w:rPr>
          <w:rFonts w:asciiTheme="minorHAnsi" w:eastAsiaTheme="minorHAnsi" w:hAnsiTheme="minorHAnsi" w:cstheme="minorBidi"/>
          <w:snapToGrid/>
          <w:sz w:val="24"/>
          <w:szCs w:val="22"/>
        </w:rPr>
        <w:t xml:space="preserve"> </w:t>
      </w:r>
      <w:r w:rsidR="000145DA" w:rsidRPr="00B77CBC">
        <w:rPr>
          <w:rFonts w:asciiTheme="minorHAnsi" w:eastAsiaTheme="minorHAnsi" w:hAnsiTheme="minorHAnsi" w:cstheme="minorBidi"/>
          <w:snapToGrid/>
          <w:sz w:val="24"/>
          <w:szCs w:val="22"/>
        </w:rPr>
        <w:t xml:space="preserve">The submission noted that a minority of prescriptions may be used for other purposes such as DVT prophylaxis and that the change to listing is not expected to have a notable budget impact or alter prescribing practice. </w:t>
      </w:r>
    </w:p>
    <w:p w:rsidR="00827016" w:rsidRPr="00B77CBC" w:rsidRDefault="00B77CBC" w:rsidP="008270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DUSC Secretariat undertook a</w:t>
      </w:r>
      <w:r w:rsidRPr="00B77CBC">
        <w:rPr>
          <w:rFonts w:asciiTheme="minorHAnsi" w:eastAsiaTheme="minorHAnsi" w:hAnsiTheme="minorHAnsi" w:cstheme="minorBidi"/>
          <w:snapToGrid/>
          <w:sz w:val="24"/>
          <w:szCs w:val="22"/>
        </w:rPr>
        <w:t xml:space="preserve">n </w:t>
      </w:r>
      <w:r w:rsidR="00827016" w:rsidRPr="00B77CBC">
        <w:rPr>
          <w:rFonts w:asciiTheme="minorHAnsi" w:eastAsiaTheme="minorHAnsi" w:hAnsiTheme="minorHAnsi" w:cstheme="minorBidi"/>
          <w:snapToGrid/>
          <w:sz w:val="24"/>
          <w:szCs w:val="22"/>
        </w:rPr>
        <w:t>analysis of scripts dispensed for enoxaparin 20 mg (item 8558K) and 40 mg (item 8510X) for a full PBS sample in 2018, based on the date of supply. This found that:</w:t>
      </w:r>
    </w:p>
    <w:p w:rsidR="00827016" w:rsidRPr="00B77CBC" w:rsidRDefault="00827016" w:rsidP="00827016">
      <w:pPr>
        <w:pStyle w:val="ListParagraph"/>
        <w:widowControl/>
        <w:numPr>
          <w:ilvl w:val="0"/>
          <w:numId w:val="18"/>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6.8% of scripts for both the 20 mg and 40 mg strengths were dispensed with a quantity of more than 20 units. Separately, the proportion of dispensed scripts with a quantity above 20 units was 3.1% and 7.6% for the 20 mg and 40 mg strengths, respectively.</w:t>
      </w:r>
    </w:p>
    <w:p w:rsidR="00827016" w:rsidRPr="00B77CBC" w:rsidRDefault="00827016" w:rsidP="00827016">
      <w:pPr>
        <w:pStyle w:val="ListParagraph"/>
        <w:widowControl/>
        <w:numPr>
          <w:ilvl w:val="0"/>
          <w:numId w:val="18"/>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14.2% of scripts dispensed in 2018 for enoxaparin 20 mg were for a second script dispensed within 20 days of a prior script. The proportion of second scripts dispensed within 20 days for the 40 mg strength was 12.5%. </w:t>
      </w:r>
    </w:p>
    <w:p w:rsidR="003D778F" w:rsidRPr="00B77CBC" w:rsidRDefault="003D778F" w:rsidP="003D778F">
      <w:pPr>
        <w:pStyle w:val="ListParagraph"/>
        <w:widowControl/>
        <w:spacing w:before="120" w:after="160"/>
        <w:contextualSpacing w:val="0"/>
        <w:rPr>
          <w:rFonts w:asciiTheme="minorHAnsi" w:eastAsiaTheme="minorHAnsi" w:hAnsiTheme="minorHAnsi" w:cstheme="minorBidi"/>
          <w:i/>
          <w:snapToGrid/>
          <w:sz w:val="24"/>
          <w:szCs w:val="22"/>
        </w:rPr>
      </w:pPr>
      <w:r w:rsidRPr="00B77CBC">
        <w:rPr>
          <w:rFonts w:asciiTheme="minorHAnsi" w:eastAsiaTheme="minorHAnsi" w:hAnsiTheme="minorHAnsi" w:cstheme="minorBidi"/>
          <w:i/>
          <w:snapToGrid/>
          <w:sz w:val="24"/>
          <w:szCs w:val="22"/>
        </w:rPr>
        <w:t xml:space="preserve">For more detail on PBAC’s view, see section </w:t>
      </w:r>
      <w:r w:rsidR="004677D9" w:rsidRPr="00B77CBC">
        <w:rPr>
          <w:rFonts w:asciiTheme="minorHAnsi" w:eastAsiaTheme="minorHAnsi" w:hAnsiTheme="minorHAnsi" w:cstheme="minorBidi"/>
          <w:i/>
          <w:snapToGrid/>
          <w:sz w:val="24"/>
          <w:szCs w:val="22"/>
        </w:rPr>
        <w:t>6</w:t>
      </w:r>
      <w:r w:rsidRPr="00B77CBC">
        <w:rPr>
          <w:rFonts w:asciiTheme="minorHAnsi" w:eastAsiaTheme="minorHAnsi" w:hAnsiTheme="minorHAnsi" w:cstheme="minorBidi"/>
          <w:i/>
          <w:snapToGrid/>
          <w:sz w:val="24"/>
          <w:szCs w:val="22"/>
        </w:rPr>
        <w:t xml:space="preserve"> PBAC outcome.</w:t>
      </w:r>
    </w:p>
    <w:p w:rsidR="003D778F" w:rsidRPr="00B77CBC" w:rsidRDefault="002C2BCD" w:rsidP="003D778F">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sidRPr="00B77CBC">
        <w:rPr>
          <w:rFonts w:asciiTheme="minorHAnsi" w:eastAsiaTheme="majorEastAsia" w:hAnsiTheme="minorHAnsi" w:cstheme="majorBidi"/>
          <w:sz w:val="32"/>
          <w:szCs w:val="28"/>
        </w:rPr>
        <w:t>PBAC c</w:t>
      </w:r>
      <w:r w:rsidR="003D778F" w:rsidRPr="00B77CBC">
        <w:rPr>
          <w:rFonts w:asciiTheme="minorHAnsi" w:eastAsiaTheme="majorEastAsia" w:hAnsiTheme="minorHAnsi" w:cstheme="majorBidi"/>
          <w:sz w:val="32"/>
          <w:szCs w:val="28"/>
        </w:rPr>
        <w:t>onsideration of the evidence</w:t>
      </w:r>
    </w:p>
    <w:p w:rsidR="00827016" w:rsidRPr="00B77CBC" w:rsidRDefault="00827016" w:rsidP="00827016">
      <w:pPr>
        <w:pStyle w:val="Heading2"/>
      </w:pPr>
      <w:r w:rsidRPr="00B77CBC">
        <w:t>Sponsor hearing</w:t>
      </w:r>
    </w:p>
    <w:p w:rsidR="00827016" w:rsidRPr="00B77CBC" w:rsidRDefault="00827016" w:rsidP="00827016">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There was no hearing for this item as it was a minor submission.</w:t>
      </w:r>
    </w:p>
    <w:p w:rsidR="00827016" w:rsidRPr="00B77CBC" w:rsidRDefault="00827016" w:rsidP="00827016">
      <w:pPr>
        <w:pStyle w:val="Heading2"/>
      </w:pPr>
      <w:r w:rsidRPr="00B77CBC">
        <w:t>Consumer comments</w:t>
      </w:r>
    </w:p>
    <w:p w:rsidR="0035208D" w:rsidRPr="00B77CBC" w:rsidRDefault="0035208D" w:rsidP="0035208D">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The PBAC noted and welcomed the input from in</w:t>
      </w:r>
      <w:r w:rsidR="00BB0B45" w:rsidRPr="00B77CBC">
        <w:rPr>
          <w:rFonts w:asciiTheme="minorHAnsi" w:eastAsiaTheme="minorHAnsi" w:hAnsiTheme="minorHAnsi" w:cstheme="minorBidi"/>
          <w:snapToGrid/>
          <w:sz w:val="24"/>
          <w:szCs w:val="22"/>
        </w:rPr>
        <w:t>div</w:t>
      </w:r>
      <w:r w:rsidRPr="00B77CBC">
        <w:rPr>
          <w:rFonts w:asciiTheme="minorHAnsi" w:eastAsiaTheme="minorHAnsi" w:hAnsiTheme="minorHAnsi" w:cstheme="minorBidi"/>
          <w:snapToGrid/>
          <w:sz w:val="24"/>
          <w:szCs w:val="22"/>
        </w:rPr>
        <w:t>iduals</w:t>
      </w:r>
      <w:r w:rsidR="00207157" w:rsidRPr="00B77CBC">
        <w:rPr>
          <w:rFonts w:asciiTheme="minorHAnsi" w:eastAsiaTheme="minorHAnsi" w:hAnsiTheme="minorHAnsi" w:cstheme="minorBidi"/>
          <w:snapToGrid/>
          <w:sz w:val="24"/>
          <w:szCs w:val="22"/>
        </w:rPr>
        <w:t xml:space="preserve"> (1)</w:t>
      </w:r>
      <w:r w:rsidRPr="00B77CBC">
        <w:rPr>
          <w:rFonts w:asciiTheme="minorHAnsi" w:eastAsiaTheme="minorHAnsi" w:hAnsiTheme="minorHAnsi" w:cstheme="minorBidi"/>
          <w:snapToGrid/>
          <w:sz w:val="24"/>
          <w:szCs w:val="22"/>
        </w:rPr>
        <w:t xml:space="preserve"> via the Consumer Comments facility on the PBS website</w:t>
      </w:r>
      <w:r w:rsidR="00B77CBC">
        <w:rPr>
          <w:rFonts w:asciiTheme="minorHAnsi" w:eastAsiaTheme="minorHAnsi" w:hAnsiTheme="minorHAnsi" w:cstheme="minorBidi"/>
          <w:snapToGrid/>
          <w:sz w:val="24"/>
          <w:szCs w:val="22"/>
        </w:rPr>
        <w:t xml:space="preserve">. </w:t>
      </w:r>
      <w:r w:rsidRPr="00B77CBC">
        <w:rPr>
          <w:rFonts w:asciiTheme="minorHAnsi" w:eastAsiaTheme="minorHAnsi" w:hAnsiTheme="minorHAnsi" w:cstheme="minorBidi"/>
          <w:snapToGrid/>
          <w:sz w:val="24"/>
          <w:szCs w:val="22"/>
        </w:rPr>
        <w:t xml:space="preserve">The comments </w:t>
      </w:r>
      <w:r w:rsidR="00C9514B" w:rsidRPr="00B77CBC">
        <w:rPr>
          <w:rFonts w:asciiTheme="minorHAnsi" w:eastAsiaTheme="minorHAnsi" w:hAnsiTheme="minorHAnsi" w:cstheme="minorBidi"/>
          <w:snapToGrid/>
          <w:sz w:val="24"/>
          <w:szCs w:val="22"/>
        </w:rPr>
        <w:t>noted the improved affordability of extended treatment with enoxaparin</w:t>
      </w:r>
      <w:r w:rsidR="006A058E" w:rsidRPr="00B77CBC">
        <w:rPr>
          <w:rFonts w:asciiTheme="minorHAnsi" w:eastAsiaTheme="minorHAnsi" w:hAnsiTheme="minorHAnsi" w:cstheme="minorBidi"/>
          <w:snapToGrid/>
          <w:sz w:val="24"/>
          <w:szCs w:val="22"/>
        </w:rPr>
        <w:t xml:space="preserve"> </w:t>
      </w:r>
      <w:r w:rsidR="00626550" w:rsidRPr="00B77CBC">
        <w:rPr>
          <w:rFonts w:asciiTheme="minorHAnsi" w:eastAsiaTheme="minorHAnsi" w:hAnsiTheme="minorHAnsi" w:cstheme="minorBidi"/>
          <w:snapToGrid/>
          <w:sz w:val="24"/>
          <w:szCs w:val="22"/>
        </w:rPr>
        <w:t>that will result from</w:t>
      </w:r>
      <w:r w:rsidR="006A058E" w:rsidRPr="00B77CBC">
        <w:rPr>
          <w:rFonts w:asciiTheme="minorHAnsi" w:eastAsiaTheme="minorHAnsi" w:hAnsiTheme="minorHAnsi" w:cstheme="minorBidi"/>
          <w:snapToGrid/>
          <w:sz w:val="24"/>
          <w:szCs w:val="22"/>
        </w:rPr>
        <w:t xml:space="preserve"> fewer GP visits</w:t>
      </w:r>
      <w:r w:rsidR="00C9514B" w:rsidRPr="00B77CBC">
        <w:rPr>
          <w:rFonts w:asciiTheme="minorHAnsi" w:eastAsiaTheme="minorHAnsi" w:hAnsiTheme="minorHAnsi" w:cstheme="minorBidi"/>
          <w:snapToGrid/>
          <w:sz w:val="24"/>
          <w:szCs w:val="22"/>
        </w:rPr>
        <w:t xml:space="preserve"> for repeat prescriptions</w:t>
      </w:r>
      <w:r w:rsidRPr="00B77CBC">
        <w:rPr>
          <w:rFonts w:asciiTheme="minorHAnsi" w:eastAsiaTheme="minorHAnsi" w:hAnsiTheme="minorHAnsi" w:cstheme="minorBidi"/>
          <w:snapToGrid/>
          <w:sz w:val="24"/>
          <w:szCs w:val="22"/>
        </w:rPr>
        <w:t xml:space="preserve">. </w:t>
      </w:r>
    </w:p>
    <w:p w:rsidR="00827016" w:rsidRPr="00B77CBC" w:rsidRDefault="00827016" w:rsidP="00827016">
      <w:pPr>
        <w:pStyle w:val="Heading2"/>
      </w:pPr>
      <w:r w:rsidRPr="00B77CBC">
        <w:t>Clinical trials</w:t>
      </w:r>
    </w:p>
    <w:p w:rsidR="00827016" w:rsidRPr="00B77CBC" w:rsidRDefault="00827016" w:rsidP="00DA5DBE">
      <w:pPr>
        <w:pStyle w:val="ListParagraph"/>
        <w:widowControl/>
        <w:numPr>
          <w:ilvl w:val="1"/>
          <w:numId w:val="5"/>
        </w:numPr>
        <w:spacing w:before="120" w:after="160"/>
        <w:contextualSpacing w:val="0"/>
        <w:rPr>
          <w:rFonts w:asciiTheme="minorHAnsi" w:hAnsiTheme="minorHAnsi"/>
          <w:sz w:val="24"/>
          <w:szCs w:val="24"/>
        </w:rPr>
      </w:pPr>
      <w:r w:rsidRPr="00B77CBC">
        <w:rPr>
          <w:rFonts w:asciiTheme="minorHAnsi" w:hAnsiTheme="minorHAnsi"/>
          <w:sz w:val="24"/>
          <w:szCs w:val="24"/>
        </w:rPr>
        <w:t>As a minor submission, no clinical trials were presented in the submission.</w:t>
      </w:r>
    </w:p>
    <w:p w:rsidR="00253EF3" w:rsidRPr="00B77CBC" w:rsidRDefault="005A3173" w:rsidP="006378C8">
      <w:pPr>
        <w:pStyle w:val="Heading2"/>
        <w:keepLines/>
        <w:spacing w:before="240" w:after="120"/>
        <w:rPr>
          <w:rFonts w:asciiTheme="minorHAnsi" w:eastAsiaTheme="majorEastAsia" w:hAnsiTheme="minorHAnsi" w:cstheme="majorBidi"/>
          <w:sz w:val="28"/>
          <w:szCs w:val="28"/>
          <w:lang w:eastAsia="en-US"/>
        </w:rPr>
      </w:pPr>
      <w:r w:rsidRPr="00B77CBC">
        <w:rPr>
          <w:rFonts w:asciiTheme="minorHAnsi" w:eastAsiaTheme="majorEastAsia" w:hAnsiTheme="minorHAnsi" w:cstheme="majorBidi"/>
          <w:sz w:val="28"/>
          <w:szCs w:val="28"/>
          <w:lang w:eastAsia="en-US"/>
        </w:rPr>
        <w:lastRenderedPageBreak/>
        <w:t>Economic analysis</w:t>
      </w:r>
    </w:p>
    <w:p w:rsidR="009B0F67" w:rsidRPr="00B77CBC" w:rsidRDefault="00FF2801" w:rsidP="00E27EBB">
      <w:pPr>
        <w:pStyle w:val="ListParagraph"/>
        <w:widowControl/>
        <w:numPr>
          <w:ilvl w:val="1"/>
          <w:numId w:val="14"/>
        </w:numPr>
        <w:spacing w:after="120"/>
        <w:contextualSpacing w:val="0"/>
        <w:rPr>
          <w:rFonts w:asciiTheme="minorHAnsi" w:eastAsiaTheme="minorHAnsi" w:hAnsiTheme="minorHAnsi" w:cstheme="minorBidi"/>
          <w:snapToGrid/>
          <w:color w:val="FF00FF"/>
          <w:sz w:val="24"/>
          <w:szCs w:val="22"/>
        </w:rPr>
      </w:pPr>
      <w:r w:rsidRPr="00B77CBC">
        <w:rPr>
          <w:rFonts w:asciiTheme="minorHAnsi" w:hAnsiTheme="minorHAnsi"/>
          <w:sz w:val="24"/>
          <w:szCs w:val="24"/>
        </w:rPr>
        <w:t xml:space="preserve">As a minor submission, </w:t>
      </w:r>
      <w:r w:rsidR="00C00DA7" w:rsidRPr="00B77CBC">
        <w:rPr>
          <w:rFonts w:asciiTheme="minorHAnsi" w:hAnsiTheme="minorHAnsi"/>
          <w:sz w:val="24"/>
          <w:szCs w:val="24"/>
        </w:rPr>
        <w:t xml:space="preserve">an economic comparison </w:t>
      </w:r>
      <w:r w:rsidRPr="00B77CBC">
        <w:rPr>
          <w:rFonts w:asciiTheme="minorHAnsi" w:hAnsiTheme="minorHAnsi"/>
          <w:sz w:val="24"/>
          <w:szCs w:val="24"/>
        </w:rPr>
        <w:t>wa</w:t>
      </w:r>
      <w:r w:rsidR="00C00DA7" w:rsidRPr="00B77CBC">
        <w:rPr>
          <w:rFonts w:asciiTheme="minorHAnsi" w:hAnsiTheme="minorHAnsi"/>
          <w:sz w:val="24"/>
          <w:szCs w:val="24"/>
        </w:rPr>
        <w:t>s not relevant</w:t>
      </w:r>
      <w:r w:rsidR="009B0F67" w:rsidRPr="00B77CBC">
        <w:rPr>
          <w:rFonts w:asciiTheme="minorHAnsi" w:hAnsiTheme="minorHAnsi"/>
          <w:sz w:val="24"/>
          <w:szCs w:val="24"/>
        </w:rPr>
        <w:t>.</w:t>
      </w:r>
    </w:p>
    <w:p w:rsidR="005A3173" w:rsidRPr="00B77CBC" w:rsidRDefault="005A3173" w:rsidP="008306F3">
      <w:pPr>
        <w:pStyle w:val="Heading2"/>
        <w:keepLines/>
        <w:spacing w:before="240" w:after="120"/>
        <w:rPr>
          <w:rFonts w:asciiTheme="minorHAnsi" w:eastAsiaTheme="majorEastAsia" w:hAnsiTheme="minorHAnsi" w:cstheme="majorBidi"/>
          <w:sz w:val="28"/>
          <w:szCs w:val="28"/>
          <w:lang w:eastAsia="en-US"/>
        </w:rPr>
      </w:pPr>
      <w:r w:rsidRPr="00B77CBC">
        <w:rPr>
          <w:rFonts w:asciiTheme="minorHAnsi" w:eastAsiaTheme="majorEastAsia" w:hAnsiTheme="minorHAnsi" w:cstheme="majorBidi"/>
          <w:sz w:val="28"/>
          <w:szCs w:val="28"/>
          <w:lang w:eastAsia="en-US"/>
        </w:rPr>
        <w:t>Estimated PBS usage &amp; financial implications</w:t>
      </w:r>
    </w:p>
    <w:p w:rsidR="00D62FB6" w:rsidRPr="00B77CBC" w:rsidRDefault="00697AA1" w:rsidP="00D62FB6">
      <w:pPr>
        <w:pStyle w:val="ListParagraph"/>
        <w:widowControl/>
        <w:numPr>
          <w:ilvl w:val="1"/>
          <w:numId w:val="5"/>
        </w:numPr>
        <w:spacing w:after="120"/>
        <w:contextualSpacing w:val="0"/>
        <w:rPr>
          <w:rFonts w:asciiTheme="minorHAnsi" w:eastAsiaTheme="minorHAnsi" w:hAnsiTheme="minorHAnsi" w:cstheme="minorHAnsi"/>
          <w:snapToGrid/>
          <w:sz w:val="28"/>
          <w:szCs w:val="22"/>
        </w:rPr>
      </w:pPr>
      <w:r w:rsidRPr="00B77CBC">
        <w:rPr>
          <w:rFonts w:asciiTheme="minorHAnsi" w:eastAsiaTheme="minorHAnsi" w:hAnsiTheme="minorHAnsi" w:cstheme="minorBidi"/>
          <w:snapToGrid/>
          <w:sz w:val="24"/>
          <w:szCs w:val="22"/>
        </w:rPr>
        <w:t xml:space="preserve">The minor submission estimated a net save to the PBS and RPBS of </w:t>
      </w:r>
      <w:r w:rsidR="0067628A">
        <w:rPr>
          <w:rFonts w:asciiTheme="minorHAnsi" w:eastAsiaTheme="minorHAnsi" w:hAnsiTheme="minorHAnsi" w:cstheme="minorBidi"/>
          <w:snapToGrid/>
          <w:sz w:val="24"/>
          <w:szCs w:val="22"/>
        </w:rPr>
        <w:t>less than $10 million</w:t>
      </w:r>
      <w:r w:rsidR="00816C7B" w:rsidRPr="00B77CBC">
        <w:rPr>
          <w:rFonts w:asciiTheme="minorHAnsi" w:eastAsiaTheme="minorHAnsi" w:hAnsiTheme="minorHAnsi" w:cstheme="minorBidi"/>
          <w:snapToGrid/>
          <w:sz w:val="24"/>
          <w:szCs w:val="22"/>
        </w:rPr>
        <w:t xml:space="preserve"> in</w:t>
      </w:r>
      <w:r w:rsidR="00944AFB" w:rsidRPr="00B77CBC">
        <w:rPr>
          <w:rFonts w:asciiTheme="minorHAnsi" w:eastAsiaTheme="minorHAnsi" w:hAnsiTheme="minorHAnsi" w:cstheme="minorBidi"/>
          <w:snapToGrid/>
          <w:sz w:val="24"/>
          <w:szCs w:val="22"/>
        </w:rPr>
        <w:t xml:space="preserve"> </w:t>
      </w:r>
      <w:r w:rsidRPr="00B77CBC">
        <w:rPr>
          <w:rFonts w:asciiTheme="minorHAnsi" w:eastAsiaTheme="minorHAnsi" w:hAnsiTheme="minorHAnsi" w:cstheme="minorBidi"/>
          <w:snapToGrid/>
          <w:sz w:val="24"/>
          <w:szCs w:val="22"/>
        </w:rPr>
        <w:t>Year</w:t>
      </w:r>
      <w:r w:rsidR="00816C7B" w:rsidRPr="00B77CBC">
        <w:rPr>
          <w:rFonts w:asciiTheme="minorHAnsi" w:eastAsiaTheme="minorHAnsi" w:hAnsiTheme="minorHAnsi" w:cstheme="minorBidi"/>
          <w:snapToGrid/>
          <w:sz w:val="24"/>
          <w:szCs w:val="22"/>
        </w:rPr>
        <w:t> 5</w:t>
      </w:r>
      <w:r w:rsidR="00944AFB" w:rsidRPr="00B77CBC">
        <w:rPr>
          <w:rFonts w:asciiTheme="minorHAnsi" w:eastAsiaTheme="minorHAnsi" w:hAnsiTheme="minorHAnsi" w:cstheme="minorBidi"/>
          <w:snapToGrid/>
          <w:sz w:val="24"/>
          <w:szCs w:val="22"/>
        </w:rPr>
        <w:t xml:space="preserve"> </w:t>
      </w:r>
      <w:r w:rsidRPr="00B77CBC">
        <w:rPr>
          <w:rFonts w:asciiTheme="minorHAnsi" w:eastAsiaTheme="minorHAnsi" w:hAnsiTheme="minorHAnsi" w:cstheme="minorBidi"/>
          <w:snapToGrid/>
          <w:sz w:val="24"/>
          <w:szCs w:val="22"/>
        </w:rPr>
        <w:t xml:space="preserve">of listing. </w:t>
      </w:r>
      <w:r w:rsidR="00DB4822">
        <w:rPr>
          <w:rFonts w:asciiTheme="minorHAnsi" w:eastAsiaTheme="minorHAnsi" w:hAnsiTheme="minorHAnsi" w:cstheme="minorBidi"/>
          <w:snapToGrid/>
          <w:sz w:val="24"/>
          <w:szCs w:val="22"/>
        </w:rPr>
        <w:t xml:space="preserve">The submission also estimated net savings to the MBS as a result of fewer GP visits for the sole purpose of prescribing enoxaparin as it was </w:t>
      </w:r>
      <w:r w:rsidR="00DB4822" w:rsidRPr="00DB4822">
        <w:rPr>
          <w:rFonts w:asciiTheme="minorHAnsi" w:eastAsiaTheme="minorHAnsi" w:hAnsiTheme="minorHAnsi" w:cstheme="minorBidi"/>
          <w:snapToGrid/>
          <w:sz w:val="24"/>
          <w:szCs w:val="22"/>
        </w:rPr>
        <w:t xml:space="preserve">assumed that 50% of patients currently filling a second </w:t>
      </w:r>
      <w:r w:rsidR="00DB4822">
        <w:rPr>
          <w:rFonts w:asciiTheme="minorHAnsi" w:eastAsiaTheme="minorHAnsi" w:hAnsiTheme="minorHAnsi" w:cstheme="minorBidi"/>
          <w:snapToGrid/>
          <w:sz w:val="24"/>
          <w:szCs w:val="22"/>
        </w:rPr>
        <w:t>prescription r</w:t>
      </w:r>
      <w:r w:rsidR="00DB4822" w:rsidRPr="00DB4822">
        <w:rPr>
          <w:rFonts w:asciiTheme="minorHAnsi" w:eastAsiaTheme="minorHAnsi" w:hAnsiTheme="minorHAnsi" w:cstheme="minorBidi"/>
          <w:snapToGrid/>
          <w:sz w:val="24"/>
          <w:szCs w:val="22"/>
        </w:rPr>
        <w:t>equire a second GP visit</w:t>
      </w:r>
      <w:r w:rsidR="00DB4822">
        <w:rPr>
          <w:rFonts w:asciiTheme="minorHAnsi" w:eastAsiaTheme="minorHAnsi" w:hAnsiTheme="minorHAnsi" w:cstheme="minorBidi"/>
          <w:snapToGrid/>
          <w:sz w:val="24"/>
          <w:szCs w:val="22"/>
        </w:rPr>
        <w:t xml:space="preserve">, however as these MBS savings would </w:t>
      </w:r>
      <w:r w:rsidR="002144B7">
        <w:rPr>
          <w:rFonts w:asciiTheme="minorHAnsi" w:eastAsiaTheme="minorHAnsi" w:hAnsiTheme="minorHAnsi" w:cstheme="minorBidi"/>
          <w:snapToGrid/>
          <w:sz w:val="24"/>
          <w:szCs w:val="22"/>
        </w:rPr>
        <w:t>not</w:t>
      </w:r>
      <w:r w:rsidR="00DB4822">
        <w:rPr>
          <w:rFonts w:asciiTheme="minorHAnsi" w:eastAsiaTheme="minorHAnsi" w:hAnsiTheme="minorHAnsi" w:cstheme="minorBidi"/>
          <w:snapToGrid/>
          <w:sz w:val="24"/>
          <w:szCs w:val="22"/>
        </w:rPr>
        <w:t xml:space="preserve"> be realised, they have not been included in Table 2.</w:t>
      </w:r>
      <w:r w:rsidRPr="00B77CBC">
        <w:t xml:space="preserve"> </w:t>
      </w:r>
    </w:p>
    <w:p w:rsidR="005A09EC" w:rsidRPr="00B77CBC" w:rsidRDefault="005A09EC" w:rsidP="00D27D9E">
      <w:pPr>
        <w:pStyle w:val="Caption"/>
      </w:pPr>
      <w:r w:rsidRPr="00B77CBC">
        <w:t xml:space="preserve">Table </w:t>
      </w:r>
      <w:r w:rsidRPr="007F0FCE">
        <w:t>2</w:t>
      </w:r>
      <w:r w:rsidRPr="00B77CBC">
        <w:t xml:space="preserve">. Overall net cost to Commonwealth Government </w:t>
      </w:r>
    </w:p>
    <w:tbl>
      <w:tblPr>
        <w:tblW w:w="5000" w:type="pct"/>
        <w:tblLook w:val="04A0" w:firstRow="1" w:lastRow="0" w:firstColumn="1" w:lastColumn="0" w:noHBand="0" w:noVBand="1"/>
      </w:tblPr>
      <w:tblGrid>
        <w:gridCol w:w="2138"/>
        <w:gridCol w:w="1149"/>
        <w:gridCol w:w="1149"/>
        <w:gridCol w:w="1149"/>
        <w:gridCol w:w="1145"/>
        <w:gridCol w:w="1145"/>
        <w:gridCol w:w="1141"/>
      </w:tblGrid>
      <w:tr w:rsidR="00697AA1" w:rsidRPr="00B77CBC" w:rsidTr="00D27D9E">
        <w:trPr>
          <w:trHeight w:val="284"/>
        </w:trPr>
        <w:tc>
          <w:tcPr>
            <w:tcW w:w="1186" w:type="pct"/>
            <w:vMerge w:val="restart"/>
            <w:tcBorders>
              <w:top w:val="single" w:sz="4" w:space="0" w:color="auto"/>
              <w:left w:val="single" w:sz="4" w:space="0" w:color="auto"/>
              <w:right w:val="single" w:sz="4" w:space="0" w:color="auto"/>
            </w:tcBorders>
            <w:shd w:val="clear" w:color="auto" w:fill="auto"/>
            <w:vAlign w:val="center"/>
          </w:tcPr>
          <w:p w:rsidR="00697AA1" w:rsidRPr="00B77CBC" w:rsidRDefault="00697AA1" w:rsidP="00697AA1">
            <w:pPr>
              <w:keepNext/>
              <w:spacing w:before="40" w:after="40"/>
              <w:jc w:val="center"/>
              <w:rPr>
                <w:rFonts w:ascii="Arial Narrow" w:hAnsi="Arial Narrow"/>
                <w:iCs/>
                <w:sz w:val="20"/>
                <w:szCs w:val="20"/>
                <w:highlight w:val="lightGray"/>
                <w:lang w:eastAsia="en-US"/>
              </w:rPr>
            </w:pPr>
            <w:r w:rsidRPr="00B77CBC">
              <w:rPr>
                <w:rFonts w:ascii="Arial Narrow" w:hAnsi="Arial Narrow"/>
                <w:iCs/>
                <w:sz w:val="20"/>
                <w:szCs w:val="20"/>
                <w:lang w:eastAsia="en-US"/>
              </w:rPr>
              <w:t> </w:t>
            </w:r>
          </w:p>
        </w:tc>
        <w:tc>
          <w:tcPr>
            <w:tcW w:w="637" w:type="pct"/>
            <w:tcBorders>
              <w:top w:val="single" w:sz="4" w:space="0" w:color="3C3C3C"/>
              <w:left w:val="nil"/>
              <w:bottom w:val="single" w:sz="4" w:space="0" w:color="3C3C3C"/>
              <w:right w:val="single" w:sz="4" w:space="0" w:color="3C3C3C"/>
            </w:tcBorders>
            <w:shd w:val="clear" w:color="auto" w:fill="auto"/>
            <w:noWrap/>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Year 1</w:t>
            </w:r>
          </w:p>
        </w:tc>
        <w:tc>
          <w:tcPr>
            <w:tcW w:w="637" w:type="pct"/>
            <w:tcBorders>
              <w:top w:val="single" w:sz="4" w:space="0" w:color="3C3C3C"/>
              <w:left w:val="nil"/>
              <w:bottom w:val="single" w:sz="4" w:space="0" w:color="3C3C3C"/>
              <w:right w:val="single" w:sz="4" w:space="0" w:color="3C3C3C"/>
            </w:tcBorders>
            <w:shd w:val="clear" w:color="auto" w:fill="auto"/>
            <w:noWrap/>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Year 2</w:t>
            </w:r>
          </w:p>
        </w:tc>
        <w:tc>
          <w:tcPr>
            <w:tcW w:w="637" w:type="pct"/>
            <w:tcBorders>
              <w:top w:val="single" w:sz="4" w:space="0" w:color="3C3C3C"/>
              <w:left w:val="nil"/>
              <w:bottom w:val="single" w:sz="4" w:space="0" w:color="3C3C3C"/>
              <w:right w:val="single" w:sz="4" w:space="0" w:color="3C3C3C"/>
            </w:tcBorders>
            <w:shd w:val="clear" w:color="auto" w:fill="auto"/>
            <w:noWrap/>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Year 3</w:t>
            </w:r>
          </w:p>
        </w:tc>
        <w:tc>
          <w:tcPr>
            <w:tcW w:w="635" w:type="pct"/>
            <w:tcBorders>
              <w:top w:val="single" w:sz="4" w:space="0" w:color="3C3C3C"/>
              <w:left w:val="nil"/>
              <w:bottom w:val="single" w:sz="4" w:space="0" w:color="3C3C3C"/>
              <w:right w:val="single" w:sz="4" w:space="0" w:color="3C3C3C"/>
            </w:tcBorders>
            <w:shd w:val="clear" w:color="auto" w:fill="auto"/>
            <w:noWrap/>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Year 4</w:t>
            </w:r>
          </w:p>
        </w:tc>
        <w:tc>
          <w:tcPr>
            <w:tcW w:w="635" w:type="pct"/>
            <w:tcBorders>
              <w:top w:val="single" w:sz="4" w:space="0" w:color="3C3C3C"/>
              <w:left w:val="nil"/>
              <w:bottom w:val="single" w:sz="4" w:space="0" w:color="3C3C3C"/>
              <w:right w:val="single" w:sz="4" w:space="0" w:color="3C3C3C"/>
            </w:tcBorders>
            <w:shd w:val="clear" w:color="auto" w:fill="auto"/>
            <w:noWrap/>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Year 5</w:t>
            </w:r>
          </w:p>
        </w:tc>
        <w:tc>
          <w:tcPr>
            <w:tcW w:w="633" w:type="pct"/>
            <w:tcBorders>
              <w:top w:val="single" w:sz="4" w:space="0" w:color="3C3C3C"/>
              <w:left w:val="nil"/>
              <w:bottom w:val="single" w:sz="4" w:space="0" w:color="3C3C3C"/>
              <w:right w:val="single" w:sz="4" w:space="0" w:color="3C3C3C"/>
            </w:tcBorders>
            <w:shd w:val="clear" w:color="auto" w:fill="auto"/>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Year 6</w:t>
            </w:r>
          </w:p>
        </w:tc>
      </w:tr>
      <w:tr w:rsidR="00697AA1" w:rsidRPr="00B77CBC" w:rsidTr="00D27D9E">
        <w:trPr>
          <w:trHeight w:val="284"/>
        </w:trPr>
        <w:tc>
          <w:tcPr>
            <w:tcW w:w="1186" w:type="pct"/>
            <w:vMerge/>
            <w:tcBorders>
              <w:left w:val="single" w:sz="4" w:space="0" w:color="auto"/>
              <w:bottom w:val="single" w:sz="4" w:space="0" w:color="auto"/>
              <w:right w:val="single" w:sz="4" w:space="0" w:color="auto"/>
            </w:tcBorders>
            <w:shd w:val="clear" w:color="auto" w:fill="auto"/>
            <w:vAlign w:val="center"/>
            <w:hideMark/>
          </w:tcPr>
          <w:p w:rsidR="00697AA1" w:rsidRPr="00B77CBC" w:rsidRDefault="00697AA1" w:rsidP="00697AA1">
            <w:pPr>
              <w:keepNext/>
              <w:spacing w:before="40" w:after="40"/>
              <w:jc w:val="center"/>
              <w:rPr>
                <w:rFonts w:ascii="Arial Narrow" w:hAnsi="Arial Narrow"/>
                <w:iCs/>
                <w:sz w:val="20"/>
                <w:szCs w:val="20"/>
                <w:lang w:eastAsia="en-US"/>
              </w:rPr>
            </w:pPr>
          </w:p>
        </w:tc>
        <w:tc>
          <w:tcPr>
            <w:tcW w:w="637" w:type="pct"/>
            <w:tcBorders>
              <w:top w:val="single" w:sz="4" w:space="0" w:color="3C3C3C"/>
              <w:left w:val="nil"/>
              <w:bottom w:val="single" w:sz="4" w:space="0" w:color="3C3C3C"/>
              <w:right w:val="single" w:sz="4" w:space="0" w:color="3C3C3C"/>
            </w:tcBorders>
            <w:shd w:val="clear" w:color="auto" w:fill="auto"/>
            <w:noWrap/>
            <w:vAlign w:val="center"/>
            <w:hideMark/>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2019</w:t>
            </w:r>
          </w:p>
        </w:tc>
        <w:tc>
          <w:tcPr>
            <w:tcW w:w="637" w:type="pct"/>
            <w:tcBorders>
              <w:top w:val="single" w:sz="4" w:space="0" w:color="3C3C3C"/>
              <w:left w:val="nil"/>
              <w:bottom w:val="single" w:sz="4" w:space="0" w:color="3C3C3C"/>
              <w:right w:val="single" w:sz="4" w:space="0" w:color="3C3C3C"/>
            </w:tcBorders>
            <w:shd w:val="clear" w:color="auto" w:fill="auto"/>
            <w:noWrap/>
            <w:vAlign w:val="center"/>
            <w:hideMark/>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2020</w:t>
            </w:r>
          </w:p>
        </w:tc>
        <w:tc>
          <w:tcPr>
            <w:tcW w:w="637" w:type="pct"/>
            <w:tcBorders>
              <w:top w:val="single" w:sz="4" w:space="0" w:color="3C3C3C"/>
              <w:left w:val="nil"/>
              <w:bottom w:val="single" w:sz="4" w:space="0" w:color="3C3C3C"/>
              <w:right w:val="single" w:sz="4" w:space="0" w:color="3C3C3C"/>
            </w:tcBorders>
            <w:shd w:val="clear" w:color="auto" w:fill="auto"/>
            <w:noWrap/>
            <w:vAlign w:val="center"/>
            <w:hideMark/>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2021</w:t>
            </w:r>
          </w:p>
        </w:tc>
        <w:tc>
          <w:tcPr>
            <w:tcW w:w="635" w:type="pct"/>
            <w:tcBorders>
              <w:top w:val="single" w:sz="4" w:space="0" w:color="3C3C3C"/>
              <w:left w:val="nil"/>
              <w:bottom w:val="single" w:sz="4" w:space="0" w:color="3C3C3C"/>
              <w:right w:val="single" w:sz="4" w:space="0" w:color="3C3C3C"/>
            </w:tcBorders>
            <w:shd w:val="clear" w:color="auto" w:fill="auto"/>
            <w:noWrap/>
            <w:vAlign w:val="center"/>
            <w:hideMark/>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2022</w:t>
            </w:r>
          </w:p>
        </w:tc>
        <w:tc>
          <w:tcPr>
            <w:tcW w:w="635" w:type="pct"/>
            <w:tcBorders>
              <w:top w:val="single" w:sz="4" w:space="0" w:color="3C3C3C"/>
              <w:left w:val="nil"/>
              <w:bottom w:val="single" w:sz="4" w:space="0" w:color="3C3C3C"/>
              <w:right w:val="single" w:sz="4" w:space="0" w:color="3C3C3C"/>
            </w:tcBorders>
            <w:shd w:val="clear" w:color="auto" w:fill="auto"/>
            <w:noWrap/>
            <w:vAlign w:val="center"/>
            <w:hideMark/>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2023</w:t>
            </w:r>
          </w:p>
        </w:tc>
        <w:tc>
          <w:tcPr>
            <w:tcW w:w="633" w:type="pct"/>
            <w:tcBorders>
              <w:top w:val="single" w:sz="4" w:space="0" w:color="3C3C3C"/>
              <w:left w:val="nil"/>
              <w:bottom w:val="single" w:sz="4" w:space="0" w:color="3C3C3C"/>
              <w:right w:val="single" w:sz="4" w:space="0" w:color="3C3C3C"/>
            </w:tcBorders>
            <w:shd w:val="clear" w:color="auto" w:fill="auto"/>
            <w:vAlign w:val="center"/>
          </w:tcPr>
          <w:p w:rsidR="00697AA1" w:rsidRPr="00B77CBC" w:rsidRDefault="00697AA1" w:rsidP="00697AA1">
            <w:pPr>
              <w:keepNext/>
              <w:jc w:val="center"/>
              <w:rPr>
                <w:rFonts w:ascii="Arial Narrow" w:hAnsi="Arial Narrow"/>
                <w:b/>
                <w:iCs/>
                <w:sz w:val="20"/>
                <w:szCs w:val="20"/>
                <w:lang w:eastAsia="en-US"/>
              </w:rPr>
            </w:pPr>
            <w:r w:rsidRPr="00B77CBC">
              <w:rPr>
                <w:rFonts w:ascii="Arial Narrow" w:hAnsi="Arial Narrow"/>
                <w:b/>
                <w:iCs/>
                <w:sz w:val="20"/>
                <w:szCs w:val="20"/>
                <w:lang w:eastAsia="en-US"/>
              </w:rPr>
              <w:t>2024</w:t>
            </w:r>
          </w:p>
        </w:tc>
      </w:tr>
      <w:tr w:rsidR="00697AA1" w:rsidRPr="00B77CBC" w:rsidTr="001819F1">
        <w:trPr>
          <w:trHeight w:val="284"/>
        </w:trPr>
        <w:tc>
          <w:tcPr>
            <w:tcW w:w="1186" w:type="pct"/>
            <w:tcBorders>
              <w:top w:val="nil"/>
              <w:left w:val="single" w:sz="4" w:space="0" w:color="3C3C3C"/>
              <w:bottom w:val="single" w:sz="4" w:space="0" w:color="3C3C3C"/>
              <w:right w:val="single" w:sz="4" w:space="0" w:color="3C3C3C"/>
            </w:tcBorders>
            <w:shd w:val="clear" w:color="auto" w:fill="auto"/>
            <w:vAlign w:val="center"/>
          </w:tcPr>
          <w:p w:rsidR="00697AA1" w:rsidRPr="00B77CBC" w:rsidRDefault="00697AA1" w:rsidP="00697AA1">
            <w:pPr>
              <w:keepNext/>
              <w:spacing w:before="40" w:after="40"/>
              <w:rPr>
                <w:rFonts w:ascii="Arial Narrow" w:hAnsi="Arial Narrow"/>
                <w:b/>
                <w:iCs/>
                <w:sz w:val="20"/>
                <w:szCs w:val="20"/>
                <w:lang w:eastAsia="en-US"/>
              </w:rPr>
            </w:pPr>
            <w:r w:rsidRPr="00B77CBC">
              <w:rPr>
                <w:rFonts w:ascii="Arial Narrow" w:hAnsi="Arial Narrow"/>
                <w:b/>
                <w:iCs/>
                <w:sz w:val="20"/>
                <w:szCs w:val="20"/>
                <w:lang w:eastAsia="en-US"/>
              </w:rPr>
              <w:t>Net cost to the PBS (DPMQ-</w:t>
            </w:r>
            <w:proofErr w:type="spellStart"/>
            <w:r w:rsidRPr="00B77CBC">
              <w:rPr>
                <w:rFonts w:ascii="Arial Narrow" w:hAnsi="Arial Narrow"/>
                <w:b/>
                <w:iCs/>
                <w:sz w:val="20"/>
                <w:szCs w:val="20"/>
                <w:lang w:eastAsia="en-US"/>
              </w:rPr>
              <w:t>copay</w:t>
            </w:r>
            <w:proofErr w:type="spellEnd"/>
            <w:r w:rsidRPr="00B77CBC">
              <w:rPr>
                <w:rFonts w:ascii="Arial Narrow" w:hAnsi="Arial Narrow"/>
                <w:b/>
                <w:iCs/>
                <w:sz w:val="20"/>
                <w:szCs w:val="20"/>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5"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5"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3" w:type="pct"/>
            <w:tcBorders>
              <w:top w:val="nil"/>
              <w:left w:val="nil"/>
              <w:bottom w:val="single" w:sz="4" w:space="0" w:color="3C3C3C"/>
              <w:right w:val="single" w:sz="4" w:space="0" w:color="3C3C3C"/>
            </w:tcBorders>
            <w:shd w:val="clear" w:color="E5FFFF" w:fill="FFFFFF"/>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r>
      <w:tr w:rsidR="00697AA1" w:rsidRPr="00B77CBC" w:rsidTr="001819F1">
        <w:trPr>
          <w:trHeight w:val="284"/>
        </w:trPr>
        <w:tc>
          <w:tcPr>
            <w:tcW w:w="1186" w:type="pct"/>
            <w:tcBorders>
              <w:top w:val="nil"/>
              <w:left w:val="single" w:sz="4" w:space="0" w:color="3C3C3C"/>
              <w:bottom w:val="single" w:sz="4" w:space="0" w:color="3C3C3C"/>
              <w:right w:val="single" w:sz="4" w:space="0" w:color="3C3C3C"/>
            </w:tcBorders>
            <w:shd w:val="clear" w:color="auto" w:fill="auto"/>
            <w:vAlign w:val="center"/>
          </w:tcPr>
          <w:p w:rsidR="00697AA1" w:rsidRPr="00B77CBC" w:rsidRDefault="00697AA1" w:rsidP="00697AA1">
            <w:pPr>
              <w:keepNext/>
              <w:spacing w:before="40" w:after="40"/>
              <w:rPr>
                <w:rFonts w:ascii="Arial Narrow" w:hAnsi="Arial Narrow"/>
                <w:b/>
                <w:iCs/>
                <w:sz w:val="20"/>
                <w:szCs w:val="20"/>
                <w:lang w:eastAsia="en-US"/>
              </w:rPr>
            </w:pPr>
            <w:r w:rsidRPr="00B77CBC">
              <w:rPr>
                <w:rFonts w:ascii="Arial Narrow" w:hAnsi="Arial Narrow"/>
                <w:b/>
                <w:iCs/>
                <w:sz w:val="20"/>
                <w:szCs w:val="20"/>
                <w:lang w:eastAsia="en-US"/>
              </w:rPr>
              <w:t>Net cost to the RPBS (DPMQ-</w:t>
            </w:r>
            <w:proofErr w:type="spellStart"/>
            <w:r w:rsidRPr="00B77CBC">
              <w:rPr>
                <w:rFonts w:ascii="Arial Narrow" w:hAnsi="Arial Narrow"/>
                <w:b/>
                <w:iCs/>
                <w:sz w:val="20"/>
                <w:szCs w:val="20"/>
                <w:lang w:eastAsia="en-US"/>
              </w:rPr>
              <w:t>copay</w:t>
            </w:r>
            <w:proofErr w:type="spellEnd"/>
            <w:r w:rsidRPr="00B77CBC">
              <w:rPr>
                <w:rFonts w:ascii="Arial Narrow" w:hAnsi="Arial Narrow"/>
                <w:b/>
                <w:iCs/>
                <w:sz w:val="20"/>
                <w:szCs w:val="20"/>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5"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5"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c>
          <w:tcPr>
            <w:tcW w:w="633" w:type="pct"/>
            <w:tcBorders>
              <w:top w:val="nil"/>
              <w:left w:val="nil"/>
              <w:bottom w:val="single" w:sz="4" w:space="0" w:color="3C3C3C"/>
              <w:right w:val="single" w:sz="4" w:space="0" w:color="3C3C3C"/>
            </w:tcBorders>
            <w:shd w:val="clear" w:color="E5FFFF" w:fill="FFFFFF"/>
            <w:vAlign w:val="center"/>
          </w:tcPr>
          <w:p w:rsidR="00697AA1" w:rsidRPr="00B77CBC" w:rsidRDefault="00697AA1" w:rsidP="001819F1">
            <w:pPr>
              <w:keepNext/>
              <w:spacing w:before="40" w:after="40"/>
              <w:jc w:val="center"/>
              <w:rPr>
                <w:rFonts w:ascii="Arial Narrow" w:hAnsi="Arial Narrow"/>
                <w:iCs/>
                <w:sz w:val="20"/>
                <w:szCs w:val="20"/>
                <w:lang w:eastAsia="en-US"/>
              </w:rPr>
            </w:pPr>
            <w:r w:rsidRPr="00B77CBC">
              <w:rPr>
                <w:rFonts w:ascii="Arial Narrow" w:hAnsi="Arial Narrow"/>
                <w:iCs/>
                <w:sz w:val="20"/>
                <w:szCs w:val="20"/>
                <w:lang w:eastAsia="en-US"/>
              </w:rPr>
              <w:t>$</w:t>
            </w:r>
            <w:r w:rsidR="00CA0023">
              <w:rPr>
                <w:rFonts w:ascii="Arial Narrow" w:hAnsi="Arial Narrow"/>
                <w:iCs/>
                <w:noProof/>
                <w:color w:val="000000"/>
                <w:sz w:val="20"/>
                <w:szCs w:val="20"/>
                <w:highlight w:val="black"/>
                <w:lang w:eastAsia="en-US"/>
              </w:rPr>
              <w:t>'''''''''''''</w:t>
            </w:r>
          </w:p>
        </w:tc>
      </w:tr>
      <w:tr w:rsidR="00697AA1" w:rsidRPr="00B77CBC" w:rsidTr="001819F1">
        <w:trPr>
          <w:trHeight w:val="284"/>
        </w:trPr>
        <w:tc>
          <w:tcPr>
            <w:tcW w:w="1186" w:type="pct"/>
            <w:tcBorders>
              <w:top w:val="nil"/>
              <w:left w:val="single" w:sz="4" w:space="0" w:color="3C3C3C"/>
              <w:bottom w:val="single" w:sz="4" w:space="0" w:color="3C3C3C"/>
              <w:right w:val="single" w:sz="4" w:space="0" w:color="3C3C3C"/>
            </w:tcBorders>
            <w:shd w:val="clear" w:color="auto" w:fill="auto"/>
            <w:vAlign w:val="center"/>
            <w:hideMark/>
          </w:tcPr>
          <w:p w:rsidR="00697AA1" w:rsidRPr="00B77CBC" w:rsidRDefault="00697AA1" w:rsidP="00697AA1">
            <w:pPr>
              <w:keepNext/>
              <w:spacing w:before="40" w:after="40"/>
              <w:rPr>
                <w:rFonts w:ascii="Arial Narrow" w:hAnsi="Arial Narrow"/>
                <w:b/>
                <w:iCs/>
                <w:sz w:val="20"/>
                <w:szCs w:val="20"/>
                <w:lang w:eastAsia="en-US"/>
              </w:rPr>
            </w:pPr>
            <w:r w:rsidRPr="00B77CBC">
              <w:rPr>
                <w:rFonts w:ascii="Arial Narrow" w:hAnsi="Arial Narrow"/>
                <w:b/>
                <w:iCs/>
                <w:sz w:val="20"/>
                <w:szCs w:val="20"/>
                <w:lang w:eastAsia="en-US"/>
              </w:rPr>
              <w:t>Net cost to the PBS/ RPBS (DPMQ-</w:t>
            </w:r>
            <w:proofErr w:type="spellStart"/>
            <w:r w:rsidRPr="00B77CBC">
              <w:rPr>
                <w:rFonts w:ascii="Arial Narrow" w:hAnsi="Arial Narrow"/>
                <w:b/>
                <w:iCs/>
                <w:sz w:val="20"/>
                <w:szCs w:val="20"/>
                <w:lang w:eastAsia="en-US"/>
              </w:rPr>
              <w:t>copay</w:t>
            </w:r>
            <w:proofErr w:type="spellEnd"/>
            <w:r w:rsidRPr="00B77CBC">
              <w:rPr>
                <w:rFonts w:ascii="Arial Narrow" w:hAnsi="Arial Narrow"/>
                <w:b/>
                <w:iCs/>
                <w:sz w:val="20"/>
                <w:szCs w:val="20"/>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b/>
                <w:iCs/>
                <w:sz w:val="20"/>
                <w:szCs w:val="20"/>
                <w:lang w:eastAsia="en-US"/>
              </w:rPr>
            </w:pPr>
            <w:r w:rsidRPr="00B77CBC">
              <w:rPr>
                <w:rFonts w:ascii="Arial Narrow" w:hAnsi="Arial Narrow"/>
                <w:b/>
                <w:iCs/>
                <w:sz w:val="20"/>
                <w:szCs w:val="20"/>
                <w:lang w:eastAsia="en-US"/>
              </w:rPr>
              <w:t>-$</w:t>
            </w:r>
            <w:r w:rsidR="00CA0023">
              <w:rPr>
                <w:rFonts w:ascii="Arial Narrow" w:hAnsi="Arial Narrow"/>
                <w:b/>
                <w:iCs/>
                <w:noProof/>
                <w:color w:val="000000"/>
                <w:sz w:val="20"/>
                <w:szCs w:val="20"/>
                <w:highlight w:val="black"/>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b/>
                <w:iCs/>
                <w:sz w:val="20"/>
                <w:szCs w:val="20"/>
                <w:lang w:eastAsia="en-US"/>
              </w:rPr>
            </w:pPr>
            <w:r w:rsidRPr="00B77CBC">
              <w:rPr>
                <w:rFonts w:ascii="Arial Narrow" w:hAnsi="Arial Narrow"/>
                <w:b/>
                <w:iCs/>
                <w:sz w:val="20"/>
                <w:szCs w:val="20"/>
                <w:lang w:eastAsia="en-US"/>
              </w:rPr>
              <w:t>-$</w:t>
            </w:r>
            <w:r w:rsidR="00CA0023">
              <w:rPr>
                <w:rFonts w:ascii="Arial Narrow" w:hAnsi="Arial Narrow"/>
                <w:b/>
                <w:iCs/>
                <w:noProof/>
                <w:color w:val="000000"/>
                <w:sz w:val="20"/>
                <w:szCs w:val="20"/>
                <w:highlight w:val="black"/>
                <w:lang w:eastAsia="en-US"/>
              </w:rPr>
              <w:t>''''''''''''''''</w:t>
            </w:r>
          </w:p>
        </w:tc>
        <w:tc>
          <w:tcPr>
            <w:tcW w:w="637"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b/>
                <w:iCs/>
                <w:sz w:val="20"/>
                <w:szCs w:val="20"/>
                <w:lang w:eastAsia="en-US"/>
              </w:rPr>
            </w:pPr>
            <w:r w:rsidRPr="00B77CBC">
              <w:rPr>
                <w:rFonts w:ascii="Arial Narrow" w:hAnsi="Arial Narrow"/>
                <w:b/>
                <w:iCs/>
                <w:sz w:val="20"/>
                <w:szCs w:val="20"/>
                <w:lang w:eastAsia="en-US"/>
              </w:rPr>
              <w:t>-$</w:t>
            </w:r>
            <w:r w:rsidR="00CA0023">
              <w:rPr>
                <w:rFonts w:ascii="Arial Narrow" w:hAnsi="Arial Narrow"/>
                <w:b/>
                <w:iCs/>
                <w:noProof/>
                <w:color w:val="000000"/>
                <w:sz w:val="20"/>
                <w:szCs w:val="20"/>
                <w:highlight w:val="black"/>
                <w:lang w:eastAsia="en-US"/>
              </w:rPr>
              <w:t>''''''''''''''''</w:t>
            </w:r>
          </w:p>
        </w:tc>
        <w:tc>
          <w:tcPr>
            <w:tcW w:w="635"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b/>
                <w:iCs/>
                <w:sz w:val="20"/>
                <w:szCs w:val="20"/>
                <w:lang w:eastAsia="en-US"/>
              </w:rPr>
            </w:pPr>
            <w:r w:rsidRPr="00B77CBC">
              <w:rPr>
                <w:rFonts w:ascii="Arial Narrow" w:hAnsi="Arial Narrow"/>
                <w:b/>
                <w:iCs/>
                <w:sz w:val="20"/>
                <w:szCs w:val="20"/>
                <w:lang w:eastAsia="en-US"/>
              </w:rPr>
              <w:t>-$</w:t>
            </w:r>
            <w:r w:rsidR="00CA0023">
              <w:rPr>
                <w:rFonts w:ascii="Arial Narrow" w:hAnsi="Arial Narrow"/>
                <w:b/>
                <w:iCs/>
                <w:noProof/>
                <w:color w:val="000000"/>
                <w:sz w:val="20"/>
                <w:szCs w:val="20"/>
                <w:highlight w:val="black"/>
                <w:lang w:eastAsia="en-US"/>
              </w:rPr>
              <w:t>'''''''''''''''''</w:t>
            </w:r>
          </w:p>
        </w:tc>
        <w:tc>
          <w:tcPr>
            <w:tcW w:w="635" w:type="pct"/>
            <w:tcBorders>
              <w:top w:val="nil"/>
              <w:left w:val="nil"/>
              <w:bottom w:val="single" w:sz="4" w:space="0" w:color="3C3C3C"/>
              <w:right w:val="single" w:sz="4" w:space="0" w:color="3C3C3C"/>
            </w:tcBorders>
            <w:shd w:val="clear" w:color="E5FFFF" w:fill="FFFFFF"/>
            <w:noWrap/>
            <w:vAlign w:val="center"/>
          </w:tcPr>
          <w:p w:rsidR="00697AA1" w:rsidRPr="00B77CBC" w:rsidRDefault="00697AA1" w:rsidP="001819F1">
            <w:pPr>
              <w:keepNext/>
              <w:spacing w:before="40" w:after="40"/>
              <w:jc w:val="center"/>
              <w:rPr>
                <w:rFonts w:ascii="Arial Narrow" w:hAnsi="Arial Narrow"/>
                <w:b/>
                <w:iCs/>
                <w:sz w:val="20"/>
                <w:szCs w:val="20"/>
                <w:lang w:eastAsia="en-US"/>
              </w:rPr>
            </w:pPr>
            <w:r w:rsidRPr="00B77CBC">
              <w:rPr>
                <w:rFonts w:ascii="Arial Narrow" w:hAnsi="Arial Narrow"/>
                <w:b/>
                <w:iCs/>
                <w:sz w:val="20"/>
                <w:szCs w:val="20"/>
                <w:lang w:eastAsia="en-US"/>
              </w:rPr>
              <w:t>-$</w:t>
            </w:r>
            <w:r w:rsidR="00CA0023">
              <w:rPr>
                <w:rFonts w:ascii="Arial Narrow" w:hAnsi="Arial Narrow"/>
                <w:b/>
                <w:iCs/>
                <w:noProof/>
                <w:color w:val="000000"/>
                <w:sz w:val="20"/>
                <w:szCs w:val="20"/>
                <w:highlight w:val="black"/>
                <w:lang w:eastAsia="en-US"/>
              </w:rPr>
              <w:t>'''''''''''''''</w:t>
            </w:r>
          </w:p>
        </w:tc>
        <w:tc>
          <w:tcPr>
            <w:tcW w:w="633" w:type="pct"/>
            <w:tcBorders>
              <w:top w:val="nil"/>
              <w:left w:val="nil"/>
              <w:bottom w:val="single" w:sz="4" w:space="0" w:color="3C3C3C"/>
              <w:right w:val="single" w:sz="4" w:space="0" w:color="3C3C3C"/>
            </w:tcBorders>
            <w:shd w:val="clear" w:color="E5FFFF" w:fill="FFFFFF"/>
            <w:vAlign w:val="center"/>
          </w:tcPr>
          <w:p w:rsidR="00697AA1" w:rsidRPr="00B77CBC" w:rsidRDefault="00697AA1" w:rsidP="001819F1">
            <w:pPr>
              <w:keepNext/>
              <w:spacing w:before="40" w:after="40"/>
              <w:jc w:val="center"/>
              <w:rPr>
                <w:rFonts w:ascii="Arial Narrow" w:hAnsi="Arial Narrow"/>
                <w:b/>
                <w:iCs/>
                <w:sz w:val="20"/>
                <w:szCs w:val="20"/>
                <w:lang w:eastAsia="en-US"/>
              </w:rPr>
            </w:pPr>
            <w:r w:rsidRPr="00B77CBC">
              <w:rPr>
                <w:rFonts w:ascii="Arial Narrow" w:hAnsi="Arial Narrow"/>
                <w:b/>
                <w:iCs/>
                <w:sz w:val="20"/>
                <w:szCs w:val="20"/>
                <w:lang w:eastAsia="en-US"/>
              </w:rPr>
              <w:t>-$</w:t>
            </w:r>
            <w:r w:rsidR="00CA0023">
              <w:rPr>
                <w:rFonts w:ascii="Arial Narrow" w:hAnsi="Arial Narrow"/>
                <w:b/>
                <w:iCs/>
                <w:noProof/>
                <w:color w:val="000000"/>
                <w:sz w:val="20"/>
                <w:szCs w:val="20"/>
                <w:highlight w:val="black"/>
                <w:lang w:eastAsia="en-US"/>
              </w:rPr>
              <w:t>''''''''''''''</w:t>
            </w:r>
          </w:p>
        </w:tc>
      </w:tr>
    </w:tbl>
    <w:p w:rsidR="00697AA1" w:rsidRPr="00B77CBC" w:rsidRDefault="00697AA1" w:rsidP="00D27D9E">
      <w:pPr>
        <w:keepNext/>
        <w:tabs>
          <w:tab w:val="left" w:pos="0"/>
        </w:tabs>
        <w:ind w:left="-142"/>
        <w:jc w:val="both"/>
        <w:rPr>
          <w:rFonts w:ascii="Arial Narrow" w:eastAsia="SimSun" w:hAnsi="Arial Narrow"/>
          <w:sz w:val="18"/>
          <w:szCs w:val="20"/>
          <w:lang w:eastAsia="zh-CN"/>
        </w:rPr>
      </w:pPr>
      <w:r w:rsidRPr="00B77CBC">
        <w:rPr>
          <w:rFonts w:ascii="Arial Narrow" w:eastAsia="SimSun" w:hAnsi="Arial Narrow"/>
          <w:sz w:val="18"/>
          <w:szCs w:val="20"/>
          <w:lang w:eastAsia="zh-CN"/>
        </w:rPr>
        <w:t>Abbreviation: DPMQ, dispensed price for maximum quantity; MBS, Medicare benefits Schedule; PBS, Pharmaceutical Benefits Schedule; RPBS, Repatriation Pharmaceutical Benefits Scheme.</w:t>
      </w:r>
    </w:p>
    <w:p w:rsidR="005A09EC" w:rsidRPr="00B77CBC" w:rsidRDefault="00DB4822" w:rsidP="00D27D9E">
      <w:pPr>
        <w:keepNext/>
        <w:tabs>
          <w:tab w:val="left" w:pos="0"/>
        </w:tabs>
        <w:ind w:left="-142"/>
        <w:jc w:val="both"/>
        <w:rPr>
          <w:rFonts w:ascii="Arial Narrow" w:eastAsia="SimSun" w:hAnsi="Arial Narrow"/>
          <w:sz w:val="18"/>
          <w:szCs w:val="20"/>
          <w:lang w:eastAsia="zh-CN"/>
        </w:rPr>
      </w:pPr>
      <w:r w:rsidRPr="00B77CBC" w:rsidDel="00DB4822">
        <w:rPr>
          <w:rFonts w:ascii="Arial Narrow" w:eastAsia="SimSun" w:hAnsi="Arial Narrow"/>
          <w:sz w:val="18"/>
          <w:szCs w:val="20"/>
          <w:vertAlign w:val="superscript"/>
          <w:lang w:eastAsia="zh-CN"/>
        </w:rPr>
        <w:t xml:space="preserve"> </w:t>
      </w:r>
      <w:r w:rsidR="007337FC" w:rsidRPr="00B77CBC">
        <w:rPr>
          <w:rFonts w:ascii="Arial Narrow" w:eastAsia="SimSun" w:hAnsi="Arial Narrow"/>
          <w:sz w:val="18"/>
          <w:szCs w:val="20"/>
          <w:lang w:eastAsia="zh-CN"/>
        </w:rPr>
        <w:t>[Source: Enoxaparin (</w:t>
      </w:r>
      <w:proofErr w:type="spellStart"/>
      <w:r w:rsidR="007337FC" w:rsidRPr="00B77CBC">
        <w:rPr>
          <w:rFonts w:ascii="Arial Narrow" w:eastAsia="SimSun" w:hAnsi="Arial Narrow"/>
          <w:sz w:val="18"/>
          <w:szCs w:val="20"/>
          <w:lang w:eastAsia="zh-CN"/>
        </w:rPr>
        <w:t>Clexane</w:t>
      </w:r>
      <w:proofErr w:type="spellEnd"/>
      <w:r w:rsidR="007337FC" w:rsidRPr="00B77CBC">
        <w:rPr>
          <w:rFonts w:ascii="Arial Narrow" w:eastAsia="SimSun" w:hAnsi="Arial Narrow"/>
          <w:sz w:val="18"/>
          <w:szCs w:val="20"/>
          <w:lang w:eastAsia="zh-CN"/>
        </w:rPr>
        <w:t>) minor submission, p9]</w:t>
      </w:r>
    </w:p>
    <w:p w:rsidR="000B4666" w:rsidRPr="00B77CBC" w:rsidRDefault="000B4666" w:rsidP="00697AA1">
      <w:pPr>
        <w:pStyle w:val="ListParagraph"/>
        <w:widowControl/>
        <w:spacing w:after="120"/>
        <w:contextualSpacing w:val="0"/>
        <w:rPr>
          <w:rFonts w:asciiTheme="minorHAnsi" w:hAnsiTheme="minorHAnsi"/>
        </w:rPr>
      </w:pPr>
    </w:p>
    <w:p w:rsidR="003D778F" w:rsidRPr="00B77CBC" w:rsidRDefault="00827016" w:rsidP="00827016">
      <w:pPr>
        <w:pStyle w:val="ListParagraph"/>
        <w:widowControl/>
        <w:spacing w:before="120" w:after="160"/>
        <w:contextualSpacing w:val="0"/>
        <w:rPr>
          <w:rFonts w:eastAsiaTheme="minorHAnsi"/>
        </w:rPr>
      </w:pPr>
      <w:r w:rsidRPr="00B77CBC">
        <w:rPr>
          <w:rFonts w:asciiTheme="minorHAnsi" w:eastAsiaTheme="minorHAnsi" w:hAnsiTheme="minorHAnsi" w:cstheme="minorBidi"/>
          <w:i/>
          <w:snapToGrid/>
          <w:sz w:val="24"/>
          <w:szCs w:val="22"/>
        </w:rPr>
        <w:t xml:space="preserve">For more detail on PBAC’s view, see section </w:t>
      </w:r>
      <w:r w:rsidR="004677D9" w:rsidRPr="00B77CBC">
        <w:rPr>
          <w:rFonts w:asciiTheme="minorHAnsi" w:eastAsiaTheme="minorHAnsi" w:hAnsiTheme="minorHAnsi" w:cstheme="minorBidi"/>
          <w:i/>
          <w:snapToGrid/>
          <w:sz w:val="24"/>
          <w:szCs w:val="22"/>
        </w:rPr>
        <w:t>6</w:t>
      </w:r>
      <w:r w:rsidRPr="00B77CBC">
        <w:rPr>
          <w:rFonts w:asciiTheme="minorHAnsi" w:eastAsiaTheme="minorHAnsi" w:hAnsiTheme="minorHAnsi" w:cstheme="minorBidi"/>
          <w:i/>
          <w:snapToGrid/>
          <w:sz w:val="24"/>
          <w:szCs w:val="22"/>
        </w:rPr>
        <w:t xml:space="preserve"> PBAC outcome.</w:t>
      </w:r>
    </w:p>
    <w:p w:rsidR="00A51F73" w:rsidRPr="00B77CBC" w:rsidRDefault="003D778F" w:rsidP="00A51F73">
      <w:pPr>
        <w:pStyle w:val="Heading1"/>
        <w:keepNext/>
        <w:keepLines/>
        <w:widowControl/>
        <w:numPr>
          <w:ilvl w:val="0"/>
          <w:numId w:val="5"/>
        </w:numPr>
        <w:spacing w:before="240" w:after="120"/>
        <w:ind w:left="709" w:hanging="709"/>
        <w:contextualSpacing w:val="0"/>
        <w:jc w:val="left"/>
        <w:rPr>
          <w:rFonts w:asciiTheme="minorHAnsi" w:eastAsiaTheme="majorEastAsia" w:hAnsiTheme="minorHAnsi" w:cstheme="majorBidi"/>
          <w:sz w:val="32"/>
          <w:szCs w:val="28"/>
        </w:rPr>
      </w:pPr>
      <w:r w:rsidRPr="00B77CBC">
        <w:rPr>
          <w:rFonts w:asciiTheme="minorHAnsi" w:eastAsiaTheme="majorEastAsia" w:hAnsiTheme="minorHAnsi" w:cstheme="majorBidi"/>
          <w:sz w:val="32"/>
          <w:szCs w:val="28"/>
        </w:rPr>
        <w:t>PBAC Outcome</w:t>
      </w:r>
    </w:p>
    <w:p w:rsidR="002341D0" w:rsidRPr="00B77CBC" w:rsidRDefault="00BC4365" w:rsidP="004D74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The PBAC recommended an increase </w:t>
      </w:r>
      <w:r w:rsidR="00CF33B3" w:rsidRPr="00B77CBC">
        <w:rPr>
          <w:rFonts w:asciiTheme="minorHAnsi" w:eastAsiaTheme="minorHAnsi" w:hAnsiTheme="minorHAnsi" w:cstheme="minorBidi"/>
          <w:snapToGrid/>
          <w:sz w:val="24"/>
          <w:szCs w:val="22"/>
        </w:rPr>
        <w:t xml:space="preserve">to </w:t>
      </w:r>
      <w:r w:rsidR="002341D0" w:rsidRPr="00B77CBC">
        <w:rPr>
          <w:rFonts w:asciiTheme="minorHAnsi" w:eastAsiaTheme="minorHAnsi" w:hAnsiTheme="minorHAnsi" w:cstheme="minorBidi"/>
          <w:snapToGrid/>
          <w:sz w:val="24"/>
          <w:szCs w:val="22"/>
        </w:rPr>
        <w:t>the maximum number of</w:t>
      </w:r>
      <w:r w:rsidR="00CF33B3" w:rsidRPr="00B77CBC">
        <w:rPr>
          <w:rFonts w:asciiTheme="minorHAnsi" w:eastAsiaTheme="minorHAnsi" w:hAnsiTheme="minorHAnsi" w:cstheme="minorBidi"/>
          <w:snapToGrid/>
          <w:sz w:val="24"/>
          <w:szCs w:val="22"/>
        </w:rPr>
        <w:t xml:space="preserve"> repeats for </w:t>
      </w:r>
      <w:r w:rsidR="0035208D" w:rsidRPr="00B77CBC">
        <w:rPr>
          <w:rFonts w:asciiTheme="minorHAnsi" w:eastAsiaTheme="minorHAnsi" w:hAnsiTheme="minorHAnsi" w:cstheme="minorBidi"/>
          <w:snapToGrid/>
          <w:sz w:val="24"/>
          <w:szCs w:val="22"/>
        </w:rPr>
        <w:t>the u</w:t>
      </w:r>
      <w:r w:rsidR="00CF33B3" w:rsidRPr="00B77CBC">
        <w:rPr>
          <w:rFonts w:asciiTheme="minorHAnsi" w:eastAsiaTheme="minorHAnsi" w:hAnsiTheme="minorHAnsi" w:cstheme="minorBidi"/>
          <w:snapToGrid/>
          <w:sz w:val="24"/>
          <w:szCs w:val="22"/>
        </w:rPr>
        <w:t>nrestricted benefit listings of</w:t>
      </w:r>
      <w:r w:rsidR="0035208D" w:rsidRPr="00B77CBC">
        <w:rPr>
          <w:rFonts w:asciiTheme="minorHAnsi" w:eastAsiaTheme="minorHAnsi" w:hAnsiTheme="minorHAnsi" w:cstheme="minorBidi"/>
          <w:snapToGrid/>
          <w:sz w:val="24"/>
          <w:szCs w:val="22"/>
        </w:rPr>
        <w:t xml:space="preserve"> </w:t>
      </w:r>
      <w:r w:rsidR="002341D0" w:rsidRPr="00B77CBC">
        <w:rPr>
          <w:rFonts w:asciiTheme="minorHAnsi" w:eastAsiaTheme="minorHAnsi" w:hAnsiTheme="minorHAnsi" w:cstheme="minorBidi"/>
          <w:snapToGrid/>
          <w:sz w:val="24"/>
          <w:szCs w:val="22"/>
        </w:rPr>
        <w:t>enoxaparin injections 20 mg (</w:t>
      </w:r>
      <w:r w:rsidR="00960491" w:rsidRPr="00B77CBC">
        <w:rPr>
          <w:rFonts w:asciiTheme="minorHAnsi" w:eastAsiaTheme="minorHAnsi" w:hAnsiTheme="minorHAnsi" w:cstheme="minorBidi"/>
          <w:snapToGrid/>
          <w:sz w:val="24"/>
          <w:szCs w:val="22"/>
        </w:rPr>
        <w:t>PBS item code</w:t>
      </w:r>
      <w:r w:rsidR="002341D0" w:rsidRPr="00B77CBC">
        <w:rPr>
          <w:rFonts w:asciiTheme="minorHAnsi" w:eastAsiaTheme="minorHAnsi" w:hAnsiTheme="minorHAnsi" w:cstheme="minorBidi"/>
          <w:snapToGrid/>
          <w:sz w:val="24"/>
          <w:szCs w:val="22"/>
        </w:rPr>
        <w:t xml:space="preserve"> 8558K) and 40 mg (</w:t>
      </w:r>
      <w:r w:rsidR="00960491" w:rsidRPr="00B77CBC">
        <w:rPr>
          <w:rFonts w:asciiTheme="minorHAnsi" w:eastAsiaTheme="minorHAnsi" w:hAnsiTheme="minorHAnsi" w:cstheme="minorBidi"/>
          <w:snapToGrid/>
          <w:sz w:val="24"/>
          <w:szCs w:val="22"/>
        </w:rPr>
        <w:t>PBS item code</w:t>
      </w:r>
      <w:r w:rsidR="002341D0" w:rsidRPr="00B77CBC">
        <w:rPr>
          <w:rFonts w:asciiTheme="minorHAnsi" w:eastAsiaTheme="minorHAnsi" w:hAnsiTheme="minorHAnsi" w:cstheme="minorBidi"/>
          <w:snapToGrid/>
          <w:sz w:val="24"/>
          <w:szCs w:val="22"/>
        </w:rPr>
        <w:t xml:space="preserve"> 8510X), from zero to one. </w:t>
      </w:r>
    </w:p>
    <w:p w:rsidR="00EE5B01" w:rsidRPr="00B77CBC" w:rsidRDefault="00DE0B2A" w:rsidP="004D74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The PBAC </w:t>
      </w:r>
      <w:r w:rsidR="000E03DE" w:rsidRPr="00B77CBC">
        <w:rPr>
          <w:rFonts w:asciiTheme="minorHAnsi" w:eastAsiaTheme="minorHAnsi" w:hAnsiTheme="minorHAnsi" w:cstheme="minorBidi"/>
          <w:snapToGrid/>
          <w:sz w:val="24"/>
          <w:szCs w:val="22"/>
        </w:rPr>
        <w:t>noted</w:t>
      </w:r>
      <w:r w:rsidR="00392938" w:rsidRPr="00B77CBC">
        <w:rPr>
          <w:rFonts w:asciiTheme="minorHAnsi" w:eastAsiaTheme="minorHAnsi" w:hAnsiTheme="minorHAnsi" w:cstheme="minorBidi"/>
          <w:snapToGrid/>
          <w:sz w:val="24"/>
          <w:szCs w:val="22"/>
        </w:rPr>
        <w:t xml:space="preserve"> the</w:t>
      </w:r>
      <w:r w:rsidRPr="00B77CBC">
        <w:rPr>
          <w:rFonts w:asciiTheme="minorHAnsi" w:eastAsiaTheme="minorHAnsi" w:hAnsiTheme="minorHAnsi" w:cstheme="minorBidi"/>
          <w:snapToGrid/>
          <w:sz w:val="24"/>
          <w:szCs w:val="22"/>
        </w:rPr>
        <w:t xml:space="preserve"> recent clinical guidance published by the Australian New Zealand Working Party on the Management and Prevention of Venous </w:t>
      </w:r>
      <w:r w:rsidR="00B77CBC" w:rsidRPr="00B77CBC">
        <w:rPr>
          <w:rFonts w:asciiTheme="minorHAnsi" w:eastAsiaTheme="minorHAnsi" w:hAnsiTheme="minorHAnsi" w:cstheme="minorBidi"/>
          <w:snapToGrid/>
          <w:sz w:val="24"/>
          <w:szCs w:val="22"/>
        </w:rPr>
        <w:t>Thromboembolism that</w:t>
      </w:r>
      <w:r w:rsidR="000E03DE" w:rsidRPr="00B77CBC">
        <w:rPr>
          <w:rFonts w:asciiTheme="minorHAnsi" w:eastAsiaTheme="minorHAnsi" w:hAnsiTheme="minorHAnsi" w:cstheme="minorBidi"/>
          <w:snapToGrid/>
          <w:sz w:val="24"/>
          <w:szCs w:val="22"/>
        </w:rPr>
        <w:t xml:space="preserve"> </w:t>
      </w:r>
      <w:r w:rsidR="00392938" w:rsidRPr="00B77CBC">
        <w:rPr>
          <w:rFonts w:asciiTheme="minorHAnsi" w:eastAsiaTheme="minorHAnsi" w:hAnsiTheme="minorHAnsi" w:cstheme="minorBidi"/>
          <w:snapToGrid/>
          <w:sz w:val="24"/>
          <w:szCs w:val="22"/>
        </w:rPr>
        <w:t>establishes a need for broader availability of low molecular weight heparin for extended VTE prophylaxis</w:t>
      </w:r>
      <w:r w:rsidR="000E03DE" w:rsidRPr="00B77CBC">
        <w:rPr>
          <w:rFonts w:asciiTheme="minorHAnsi" w:eastAsiaTheme="minorHAnsi" w:hAnsiTheme="minorHAnsi" w:cstheme="minorBidi"/>
          <w:snapToGrid/>
          <w:sz w:val="24"/>
          <w:szCs w:val="22"/>
        </w:rPr>
        <w:t xml:space="preserve"> in </w:t>
      </w:r>
      <w:r w:rsidR="00B77CBC" w:rsidRPr="00B77CBC">
        <w:rPr>
          <w:rFonts w:asciiTheme="minorHAnsi" w:eastAsiaTheme="minorHAnsi" w:hAnsiTheme="minorHAnsi" w:cstheme="minorBidi"/>
          <w:snapToGrid/>
          <w:sz w:val="24"/>
          <w:szCs w:val="22"/>
        </w:rPr>
        <w:t>high-risk</w:t>
      </w:r>
      <w:r w:rsidR="000E03DE" w:rsidRPr="00B77CBC">
        <w:rPr>
          <w:rFonts w:asciiTheme="minorHAnsi" w:eastAsiaTheme="minorHAnsi" w:hAnsiTheme="minorHAnsi" w:cstheme="minorBidi"/>
          <w:snapToGrid/>
          <w:sz w:val="24"/>
          <w:szCs w:val="22"/>
        </w:rPr>
        <w:t xml:space="preserve"> patients after discharge from hospital</w:t>
      </w:r>
      <w:r w:rsidR="00392938" w:rsidRPr="00B77CBC">
        <w:rPr>
          <w:rFonts w:asciiTheme="minorHAnsi" w:eastAsiaTheme="minorHAnsi" w:hAnsiTheme="minorHAnsi" w:cstheme="minorBidi"/>
          <w:snapToGrid/>
          <w:sz w:val="24"/>
          <w:szCs w:val="22"/>
        </w:rPr>
        <w:t xml:space="preserve">. The PBAC </w:t>
      </w:r>
      <w:r w:rsidRPr="00B77CBC">
        <w:rPr>
          <w:rFonts w:asciiTheme="minorHAnsi" w:eastAsiaTheme="minorHAnsi" w:hAnsiTheme="minorHAnsi" w:cstheme="minorBidi"/>
          <w:snapToGrid/>
          <w:sz w:val="24"/>
          <w:szCs w:val="22"/>
        </w:rPr>
        <w:t>considered that repeat prescriptions</w:t>
      </w:r>
      <w:r w:rsidR="00392938" w:rsidRPr="00B77CBC">
        <w:rPr>
          <w:rFonts w:asciiTheme="minorHAnsi" w:eastAsiaTheme="minorHAnsi" w:hAnsiTheme="minorHAnsi" w:cstheme="minorBidi"/>
          <w:snapToGrid/>
          <w:sz w:val="24"/>
          <w:szCs w:val="22"/>
        </w:rPr>
        <w:t xml:space="preserve"> for enoxaparin injections </w:t>
      </w:r>
      <w:r w:rsidR="00EE5B01" w:rsidRPr="00B77CBC">
        <w:rPr>
          <w:rFonts w:asciiTheme="minorHAnsi" w:eastAsiaTheme="minorHAnsi" w:hAnsiTheme="minorHAnsi" w:cstheme="minorBidi"/>
          <w:snapToGrid/>
          <w:sz w:val="24"/>
          <w:szCs w:val="22"/>
        </w:rPr>
        <w:t xml:space="preserve">would help fulfil this need. </w:t>
      </w:r>
    </w:p>
    <w:p w:rsidR="00784711" w:rsidRPr="00B77CBC" w:rsidRDefault="00A51C97" w:rsidP="004D74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 xml:space="preserve">The PBAC </w:t>
      </w:r>
      <w:r w:rsidR="00240259">
        <w:rPr>
          <w:rFonts w:asciiTheme="minorHAnsi" w:eastAsiaTheme="minorHAnsi" w:hAnsiTheme="minorHAnsi" w:cstheme="minorBidi"/>
          <w:snapToGrid/>
          <w:sz w:val="24"/>
          <w:szCs w:val="22"/>
        </w:rPr>
        <w:t xml:space="preserve">considered that the estimated saving to the PBS were </w:t>
      </w:r>
      <w:r w:rsidR="00626550" w:rsidRPr="00B77CBC">
        <w:rPr>
          <w:rFonts w:asciiTheme="minorHAnsi" w:eastAsiaTheme="minorHAnsi" w:hAnsiTheme="minorHAnsi" w:cstheme="minorBidi"/>
          <w:snapToGrid/>
          <w:sz w:val="24"/>
          <w:szCs w:val="22"/>
        </w:rPr>
        <w:t>uncertain</w:t>
      </w:r>
      <w:r w:rsidR="00655749" w:rsidRPr="00B77CBC">
        <w:rPr>
          <w:rFonts w:asciiTheme="minorHAnsi" w:eastAsiaTheme="minorHAnsi" w:hAnsiTheme="minorHAnsi" w:cstheme="minorBidi"/>
          <w:snapToGrid/>
          <w:sz w:val="24"/>
          <w:szCs w:val="22"/>
        </w:rPr>
        <w:t>,</w:t>
      </w:r>
      <w:r w:rsidR="00626550" w:rsidRPr="00B77CBC">
        <w:rPr>
          <w:rFonts w:asciiTheme="minorHAnsi" w:eastAsiaTheme="minorHAnsi" w:hAnsiTheme="minorHAnsi" w:cstheme="minorBidi"/>
          <w:snapToGrid/>
          <w:sz w:val="24"/>
          <w:szCs w:val="22"/>
        </w:rPr>
        <w:t xml:space="preserve"> but accepted that the</w:t>
      </w:r>
      <w:r w:rsidR="00655749" w:rsidRPr="00B77CBC">
        <w:rPr>
          <w:rFonts w:asciiTheme="minorHAnsi" w:eastAsiaTheme="minorHAnsi" w:hAnsiTheme="minorHAnsi" w:cstheme="minorBidi"/>
          <w:snapToGrid/>
          <w:sz w:val="24"/>
          <w:szCs w:val="22"/>
        </w:rPr>
        <w:t xml:space="preserve"> reque</w:t>
      </w:r>
      <w:r w:rsidR="00563FD7" w:rsidRPr="00B77CBC">
        <w:rPr>
          <w:rFonts w:asciiTheme="minorHAnsi" w:eastAsiaTheme="minorHAnsi" w:hAnsiTheme="minorHAnsi" w:cstheme="minorBidi"/>
          <w:snapToGrid/>
          <w:sz w:val="24"/>
          <w:szCs w:val="22"/>
        </w:rPr>
        <w:t>sted increase in the number of</w:t>
      </w:r>
      <w:r w:rsidR="00655749" w:rsidRPr="00B77CBC">
        <w:rPr>
          <w:rFonts w:asciiTheme="minorHAnsi" w:eastAsiaTheme="minorHAnsi" w:hAnsiTheme="minorHAnsi" w:cstheme="minorBidi"/>
          <w:snapToGrid/>
          <w:sz w:val="24"/>
          <w:szCs w:val="22"/>
        </w:rPr>
        <w:t xml:space="preserve"> repeats will </w:t>
      </w:r>
      <w:r w:rsidR="00563FD7" w:rsidRPr="00B77CBC">
        <w:rPr>
          <w:rFonts w:asciiTheme="minorHAnsi" w:eastAsiaTheme="minorHAnsi" w:hAnsiTheme="minorHAnsi" w:cstheme="minorBidi"/>
          <w:snapToGrid/>
          <w:sz w:val="24"/>
          <w:szCs w:val="22"/>
        </w:rPr>
        <w:t xml:space="preserve">not result in any additional cost to </w:t>
      </w:r>
      <w:r w:rsidR="00655749" w:rsidRPr="00B77CBC">
        <w:rPr>
          <w:rFonts w:asciiTheme="minorHAnsi" w:eastAsiaTheme="minorHAnsi" w:hAnsiTheme="minorHAnsi" w:cstheme="minorBidi"/>
          <w:snapToGrid/>
          <w:sz w:val="24"/>
          <w:szCs w:val="22"/>
        </w:rPr>
        <w:t xml:space="preserve">Government. </w:t>
      </w:r>
    </w:p>
    <w:p w:rsidR="00207157" w:rsidRPr="00B77CBC" w:rsidRDefault="00207157" w:rsidP="004D7416">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B77CBC">
        <w:rPr>
          <w:rFonts w:asciiTheme="minorHAnsi" w:eastAsiaTheme="minorHAnsi" w:hAnsiTheme="minorHAnsi" w:cstheme="minorBidi"/>
          <w:snapToGrid/>
          <w:sz w:val="24"/>
          <w:szCs w:val="22"/>
        </w:rPr>
        <w:t>The PBAC noted that this submission is not eligible for an Independent Review as it received a positive recommendation.</w:t>
      </w:r>
    </w:p>
    <w:p w:rsidR="00827016" w:rsidRPr="007F0FCE" w:rsidRDefault="00827016" w:rsidP="00827016">
      <w:pPr>
        <w:spacing w:before="240"/>
        <w:jc w:val="both"/>
        <w:rPr>
          <w:rFonts w:asciiTheme="minorHAnsi" w:hAnsiTheme="minorHAnsi" w:cs="Arial"/>
          <w:b/>
          <w:bCs/>
          <w:snapToGrid w:val="0"/>
        </w:rPr>
      </w:pPr>
      <w:r w:rsidRPr="007F0FCE">
        <w:rPr>
          <w:rFonts w:asciiTheme="minorHAnsi" w:hAnsiTheme="minorHAnsi" w:cs="Arial"/>
          <w:b/>
          <w:bCs/>
          <w:snapToGrid w:val="0"/>
        </w:rPr>
        <w:lastRenderedPageBreak/>
        <w:t>Outcome:</w:t>
      </w:r>
    </w:p>
    <w:p w:rsidR="00827016" w:rsidRPr="007F0FCE" w:rsidRDefault="00827016" w:rsidP="00827016">
      <w:pPr>
        <w:jc w:val="both"/>
        <w:rPr>
          <w:rFonts w:asciiTheme="minorHAnsi" w:hAnsiTheme="minorHAnsi" w:cs="Arial"/>
          <w:bCs/>
          <w:snapToGrid w:val="0"/>
        </w:rPr>
      </w:pPr>
      <w:r w:rsidRPr="007F0FCE">
        <w:rPr>
          <w:rFonts w:asciiTheme="minorHAnsi" w:hAnsiTheme="minorHAnsi" w:cs="Arial"/>
          <w:bCs/>
          <w:snapToGrid w:val="0"/>
        </w:rPr>
        <w:t xml:space="preserve">Recommended </w:t>
      </w:r>
    </w:p>
    <w:p w:rsidR="00827016" w:rsidRPr="005D4322" w:rsidRDefault="00827016" w:rsidP="005D4322">
      <w:pPr>
        <w:pStyle w:val="PBACHeading1"/>
        <w:spacing w:before="240" w:after="120"/>
        <w:ind w:left="709" w:hanging="709"/>
        <w:rPr>
          <w:rFonts w:asciiTheme="minorHAnsi" w:hAnsiTheme="minorHAnsi"/>
          <w:sz w:val="32"/>
          <w:szCs w:val="32"/>
        </w:rPr>
      </w:pPr>
      <w:r w:rsidRPr="005D4322">
        <w:rPr>
          <w:rFonts w:asciiTheme="minorHAnsi" w:hAnsiTheme="minorHAnsi"/>
          <w:sz w:val="32"/>
          <w:szCs w:val="32"/>
        </w:rPr>
        <w:t>Recommended listing</w:t>
      </w:r>
    </w:p>
    <w:p w:rsidR="00827016" w:rsidRPr="00B77CBC" w:rsidRDefault="00827016" w:rsidP="00651B86">
      <w:pPr>
        <w:widowControl w:val="0"/>
        <w:numPr>
          <w:ilvl w:val="1"/>
          <w:numId w:val="5"/>
        </w:numPr>
        <w:spacing w:after="120"/>
        <w:jc w:val="both"/>
        <w:rPr>
          <w:rFonts w:asciiTheme="minorHAnsi" w:hAnsiTheme="minorHAnsi" w:cs="Arial"/>
          <w:bCs/>
          <w:snapToGrid w:val="0"/>
        </w:rPr>
      </w:pPr>
      <w:r w:rsidRPr="00B77CBC">
        <w:rPr>
          <w:rFonts w:asciiTheme="minorHAnsi" w:hAnsiTheme="minorHAnsi" w:cs="Arial"/>
          <w:bCs/>
          <w:snapToGrid w:val="0"/>
        </w:rPr>
        <w:t>Amend maximum number of repeats as follows:</w:t>
      </w:r>
    </w:p>
    <w:p w:rsidR="00827016" w:rsidRPr="00B77CBC" w:rsidRDefault="00D7147E" w:rsidP="00D7147E">
      <w:pPr>
        <w:pStyle w:val="NoSpacing"/>
        <w:ind w:firstLine="720"/>
        <w:rPr>
          <w:rFonts w:asciiTheme="minorHAnsi" w:hAnsiTheme="minorHAnsi" w:cs="Arial"/>
          <w:bCs/>
          <w:snapToGrid w:val="0"/>
          <w:sz w:val="24"/>
          <w:szCs w:val="24"/>
        </w:rPr>
      </w:pPr>
      <w:r w:rsidRPr="00B77CBC">
        <w:rPr>
          <w:rFonts w:asciiTheme="minorHAnsi" w:hAnsiTheme="minorHAnsi" w:cs="Arial"/>
          <w:bCs/>
          <w:snapToGrid w:val="0"/>
          <w:sz w:val="24"/>
          <w:szCs w:val="24"/>
        </w:rPr>
        <w:t xml:space="preserve">Amend items </w:t>
      </w:r>
      <w:r w:rsidRPr="00B77CBC">
        <w:rPr>
          <w:rFonts w:asciiTheme="minorHAnsi" w:hAnsiTheme="minorHAnsi" w:cs="Arial"/>
          <w:b/>
          <w:bCs/>
          <w:snapToGrid w:val="0"/>
          <w:sz w:val="24"/>
          <w:szCs w:val="24"/>
        </w:rPr>
        <w:t>8558K and 8510X</w:t>
      </w:r>
    </w:p>
    <w:p w:rsidR="00D7147E" w:rsidRPr="007F0FCE" w:rsidRDefault="00D7147E" w:rsidP="00827016">
      <w:pPr>
        <w:pStyle w:val="NoSpacing"/>
        <w:rPr>
          <w:lang w:val="en-GB"/>
        </w:rPr>
      </w:pPr>
    </w:p>
    <w:tbl>
      <w:tblPr>
        <w:tblW w:w="4915" w:type="pct"/>
        <w:tblLook w:val="0000" w:firstRow="0" w:lastRow="0" w:firstColumn="0" w:lastColumn="0" w:noHBand="0" w:noVBand="0"/>
      </w:tblPr>
      <w:tblGrid>
        <w:gridCol w:w="1885"/>
        <w:gridCol w:w="1324"/>
        <w:gridCol w:w="703"/>
        <w:gridCol w:w="852"/>
        <w:gridCol w:w="1047"/>
        <w:gridCol w:w="1489"/>
        <w:gridCol w:w="742"/>
        <w:gridCol w:w="831"/>
      </w:tblGrid>
      <w:tr w:rsidR="00417149" w:rsidRPr="00B77CBC" w:rsidTr="00B202B9">
        <w:trPr>
          <w:gridAfter w:val="2"/>
          <w:wAfter w:w="886" w:type="pct"/>
          <w:cantSplit/>
          <w:trHeight w:val="465"/>
        </w:trPr>
        <w:tc>
          <w:tcPr>
            <w:tcW w:w="1809" w:type="pct"/>
            <w:gridSpan w:val="2"/>
            <w:tcBorders>
              <w:bottom w:val="single" w:sz="4" w:space="0" w:color="auto"/>
            </w:tcBorders>
          </w:tcPr>
          <w:p w:rsidR="00417149" w:rsidRPr="00B77CBC" w:rsidRDefault="00417149" w:rsidP="00B202B9">
            <w:pPr>
              <w:keepNext/>
              <w:spacing w:before="40" w:after="40"/>
              <w:rPr>
                <w:rFonts w:ascii="Arial Narrow" w:hAnsi="Arial Narrow" w:cs="Arial"/>
                <w:b/>
                <w:sz w:val="20"/>
                <w:szCs w:val="20"/>
              </w:rPr>
            </w:pPr>
            <w:r w:rsidRPr="00B77CBC">
              <w:rPr>
                <w:rFonts w:ascii="Arial Narrow" w:hAnsi="Arial Narrow" w:cs="Arial"/>
                <w:b/>
                <w:sz w:val="20"/>
                <w:szCs w:val="20"/>
              </w:rPr>
              <w:t>Name, Restriction,</w:t>
            </w:r>
          </w:p>
          <w:p w:rsidR="00417149" w:rsidRPr="00B77CBC" w:rsidRDefault="00417149" w:rsidP="00B202B9">
            <w:pPr>
              <w:keepNext/>
              <w:spacing w:before="40" w:after="40"/>
              <w:rPr>
                <w:rFonts w:ascii="Arial Narrow" w:hAnsi="Arial Narrow" w:cs="Arial"/>
                <w:b/>
                <w:sz w:val="20"/>
                <w:szCs w:val="20"/>
              </w:rPr>
            </w:pPr>
            <w:r w:rsidRPr="00B77CBC">
              <w:rPr>
                <w:rFonts w:ascii="Arial Narrow" w:hAnsi="Arial Narrow" w:cs="Arial"/>
                <w:b/>
                <w:sz w:val="20"/>
                <w:szCs w:val="20"/>
              </w:rPr>
              <w:t>Manner of administration and form</w:t>
            </w:r>
          </w:p>
        </w:tc>
        <w:tc>
          <w:tcPr>
            <w:tcW w:w="396" w:type="pct"/>
            <w:tcBorders>
              <w:bottom w:val="single" w:sz="4" w:space="0" w:color="auto"/>
            </w:tcBorders>
          </w:tcPr>
          <w:p w:rsidR="00417149" w:rsidRPr="00B77CBC" w:rsidRDefault="00417149" w:rsidP="00B202B9">
            <w:pPr>
              <w:keepNext/>
              <w:spacing w:before="40" w:after="40"/>
              <w:rPr>
                <w:rFonts w:ascii="Arial Narrow" w:hAnsi="Arial Narrow" w:cs="Arial"/>
                <w:b/>
                <w:sz w:val="20"/>
                <w:szCs w:val="20"/>
              </w:rPr>
            </w:pPr>
            <w:r w:rsidRPr="00B77CBC">
              <w:rPr>
                <w:rFonts w:ascii="Arial Narrow" w:hAnsi="Arial Narrow" w:cs="Arial"/>
                <w:b/>
                <w:sz w:val="20"/>
                <w:szCs w:val="20"/>
              </w:rPr>
              <w:t>Max.</w:t>
            </w:r>
          </w:p>
          <w:p w:rsidR="00417149" w:rsidRPr="00B77CBC" w:rsidRDefault="00417149" w:rsidP="00B202B9">
            <w:pPr>
              <w:keepNext/>
              <w:spacing w:before="40" w:after="40"/>
              <w:rPr>
                <w:rFonts w:ascii="Arial Narrow" w:hAnsi="Arial Narrow" w:cs="Arial"/>
                <w:b/>
                <w:sz w:val="20"/>
                <w:szCs w:val="20"/>
              </w:rPr>
            </w:pPr>
            <w:proofErr w:type="spellStart"/>
            <w:r w:rsidRPr="00B77CBC">
              <w:rPr>
                <w:rFonts w:ascii="Arial Narrow" w:hAnsi="Arial Narrow" w:cs="Arial"/>
                <w:b/>
                <w:sz w:val="20"/>
                <w:szCs w:val="20"/>
              </w:rPr>
              <w:t>Qty</w:t>
            </w:r>
            <w:proofErr w:type="spellEnd"/>
          </w:p>
        </w:tc>
        <w:tc>
          <w:tcPr>
            <w:tcW w:w="480" w:type="pct"/>
            <w:tcBorders>
              <w:bottom w:val="single" w:sz="4" w:space="0" w:color="auto"/>
            </w:tcBorders>
          </w:tcPr>
          <w:p w:rsidR="00417149" w:rsidRPr="00B77CBC" w:rsidRDefault="00417149" w:rsidP="00B202B9">
            <w:pPr>
              <w:keepNext/>
              <w:spacing w:before="40" w:after="40"/>
              <w:rPr>
                <w:rFonts w:ascii="Arial Narrow" w:hAnsi="Arial Narrow" w:cs="Arial"/>
                <w:b/>
                <w:sz w:val="20"/>
                <w:szCs w:val="20"/>
              </w:rPr>
            </w:pPr>
            <w:r w:rsidRPr="00B77CBC">
              <w:rPr>
                <w:rFonts w:ascii="Arial Narrow" w:hAnsi="Arial Narrow" w:cs="Arial"/>
                <w:b/>
                <w:sz w:val="20"/>
                <w:szCs w:val="20"/>
              </w:rPr>
              <w:t>№.of</w:t>
            </w:r>
          </w:p>
          <w:p w:rsidR="00417149" w:rsidRPr="00B77CBC" w:rsidRDefault="00417149" w:rsidP="00B202B9">
            <w:pPr>
              <w:keepNext/>
              <w:spacing w:before="40" w:after="40"/>
              <w:rPr>
                <w:rFonts w:ascii="Arial Narrow" w:hAnsi="Arial Narrow" w:cs="Arial"/>
                <w:b/>
                <w:sz w:val="20"/>
                <w:szCs w:val="20"/>
              </w:rPr>
            </w:pPr>
            <w:proofErr w:type="spellStart"/>
            <w:r w:rsidRPr="00B77CBC">
              <w:rPr>
                <w:rFonts w:ascii="Arial Narrow" w:hAnsi="Arial Narrow" w:cs="Arial"/>
                <w:b/>
                <w:sz w:val="20"/>
                <w:szCs w:val="20"/>
              </w:rPr>
              <w:t>Rpts</w:t>
            </w:r>
            <w:proofErr w:type="spellEnd"/>
          </w:p>
        </w:tc>
        <w:tc>
          <w:tcPr>
            <w:tcW w:w="1429" w:type="pct"/>
            <w:gridSpan w:val="2"/>
            <w:tcBorders>
              <w:bottom w:val="single" w:sz="4" w:space="0" w:color="auto"/>
            </w:tcBorders>
          </w:tcPr>
          <w:p w:rsidR="00417149" w:rsidRPr="007F0FCE" w:rsidRDefault="00417149" w:rsidP="00B202B9">
            <w:pPr>
              <w:keepNext/>
              <w:spacing w:before="40" w:after="40"/>
              <w:rPr>
                <w:rFonts w:ascii="Arial Narrow" w:hAnsi="Arial Narrow" w:cs="Arial"/>
                <w:b/>
                <w:sz w:val="20"/>
                <w:szCs w:val="20"/>
              </w:rPr>
            </w:pPr>
            <w:r w:rsidRPr="00B77CBC">
              <w:rPr>
                <w:rFonts w:ascii="Arial Narrow" w:hAnsi="Arial Narrow" w:cs="Arial"/>
                <w:b/>
                <w:sz w:val="20"/>
                <w:szCs w:val="20"/>
              </w:rPr>
              <w:t>Proprietary Name and Manufacturer</w:t>
            </w:r>
          </w:p>
        </w:tc>
      </w:tr>
      <w:tr w:rsidR="00417149" w:rsidRPr="00B77CBC" w:rsidTr="00B202B9">
        <w:trPr>
          <w:gridAfter w:val="2"/>
          <w:wAfter w:w="886" w:type="pct"/>
          <w:cantSplit/>
          <w:trHeight w:val="567"/>
        </w:trPr>
        <w:tc>
          <w:tcPr>
            <w:tcW w:w="1809" w:type="pct"/>
            <w:gridSpan w:val="2"/>
          </w:tcPr>
          <w:p w:rsidR="00417149" w:rsidRPr="00B77CBC" w:rsidRDefault="00417149" w:rsidP="00B202B9">
            <w:pPr>
              <w:keepNext/>
              <w:spacing w:before="40" w:after="40"/>
              <w:rPr>
                <w:rFonts w:ascii="Arial Narrow" w:hAnsi="Arial Narrow" w:cs="Arial"/>
                <w:sz w:val="20"/>
                <w:szCs w:val="20"/>
              </w:rPr>
            </w:pPr>
            <w:r w:rsidRPr="00B77CBC">
              <w:rPr>
                <w:rFonts w:ascii="Arial Narrow" w:hAnsi="Arial Narrow" w:cs="Arial"/>
                <w:smallCaps/>
                <w:sz w:val="20"/>
                <w:szCs w:val="20"/>
              </w:rPr>
              <w:t>ENOXAPARIN</w:t>
            </w:r>
          </w:p>
          <w:p w:rsidR="00417149" w:rsidRPr="00B77CBC" w:rsidRDefault="00417149" w:rsidP="00B202B9">
            <w:pPr>
              <w:keepNext/>
              <w:spacing w:before="40" w:after="40"/>
              <w:rPr>
                <w:rFonts w:ascii="Arial Narrow" w:hAnsi="Arial Narrow" w:cs="Arial"/>
                <w:sz w:val="20"/>
                <w:szCs w:val="20"/>
              </w:rPr>
            </w:pPr>
            <w:r w:rsidRPr="00B77CBC">
              <w:rPr>
                <w:rFonts w:ascii="Arial Narrow" w:hAnsi="Arial Narrow" w:cs="Arial"/>
                <w:sz w:val="20"/>
                <w:szCs w:val="20"/>
              </w:rPr>
              <w:t>enoxaparin sodium 20 mg/0.2 mL injection,</w:t>
            </w:r>
          </w:p>
          <w:p w:rsidR="00417149" w:rsidRPr="00B77CBC" w:rsidRDefault="00417149" w:rsidP="00B202B9">
            <w:pPr>
              <w:keepNext/>
              <w:spacing w:before="40" w:after="40"/>
              <w:rPr>
                <w:rFonts w:ascii="Arial Narrow" w:hAnsi="Arial Narrow" w:cs="Arial"/>
                <w:sz w:val="20"/>
                <w:szCs w:val="20"/>
              </w:rPr>
            </w:pPr>
            <w:r w:rsidRPr="00B77CBC">
              <w:rPr>
                <w:rFonts w:ascii="Arial Narrow" w:hAnsi="Arial Narrow" w:cs="Arial"/>
                <w:sz w:val="20"/>
                <w:szCs w:val="20"/>
              </w:rPr>
              <w:t>10 x 0.2 mL syringes</w:t>
            </w:r>
          </w:p>
          <w:p w:rsidR="00417149" w:rsidRPr="00B77CBC" w:rsidRDefault="00417149" w:rsidP="00B202B9">
            <w:pPr>
              <w:keepNext/>
              <w:spacing w:before="40" w:after="40"/>
              <w:rPr>
                <w:rFonts w:ascii="Arial Narrow" w:hAnsi="Arial Narrow" w:cs="Arial"/>
                <w:sz w:val="20"/>
                <w:szCs w:val="20"/>
              </w:rPr>
            </w:pPr>
            <w:r w:rsidRPr="00B77CBC">
              <w:rPr>
                <w:rFonts w:ascii="Arial Narrow" w:hAnsi="Arial Narrow" w:cs="Arial"/>
                <w:sz w:val="20"/>
                <w:szCs w:val="20"/>
              </w:rPr>
              <w:t>enoxaparin sodium 40 mg/0.4 mL injection,</w:t>
            </w:r>
          </w:p>
          <w:p w:rsidR="00417149" w:rsidRPr="00B77CBC" w:rsidRDefault="00417149" w:rsidP="00B202B9">
            <w:pPr>
              <w:keepNext/>
              <w:spacing w:before="40" w:after="40"/>
              <w:rPr>
                <w:rFonts w:ascii="Arial Narrow" w:hAnsi="Arial Narrow" w:cs="Arial"/>
                <w:sz w:val="20"/>
                <w:szCs w:val="20"/>
              </w:rPr>
            </w:pPr>
            <w:r w:rsidRPr="00B77CBC">
              <w:rPr>
                <w:rFonts w:ascii="Arial Narrow" w:hAnsi="Arial Narrow" w:cs="Arial"/>
                <w:sz w:val="20"/>
                <w:szCs w:val="20"/>
              </w:rPr>
              <w:t>10 x 0.4 mL syringes</w:t>
            </w:r>
          </w:p>
        </w:tc>
        <w:tc>
          <w:tcPr>
            <w:tcW w:w="396" w:type="pct"/>
          </w:tcPr>
          <w:p w:rsidR="00417149" w:rsidRPr="00B77CBC" w:rsidRDefault="00417149" w:rsidP="00B202B9">
            <w:pPr>
              <w:keepNext/>
              <w:spacing w:before="40" w:after="40"/>
              <w:jc w:val="both"/>
              <w:rPr>
                <w:rFonts w:ascii="Arial Narrow" w:hAnsi="Arial Narrow" w:cs="Arial"/>
                <w:sz w:val="20"/>
                <w:szCs w:val="20"/>
              </w:rPr>
            </w:pPr>
          </w:p>
          <w:p w:rsidR="00417149" w:rsidRPr="00B77CBC" w:rsidRDefault="00417149" w:rsidP="00B202B9">
            <w:pPr>
              <w:keepNext/>
              <w:spacing w:before="40" w:after="40"/>
              <w:jc w:val="both"/>
              <w:rPr>
                <w:rFonts w:ascii="Arial Narrow" w:hAnsi="Arial Narrow" w:cs="Arial"/>
                <w:sz w:val="20"/>
                <w:szCs w:val="20"/>
              </w:rPr>
            </w:pPr>
            <w:r w:rsidRPr="00B77CBC">
              <w:rPr>
                <w:rFonts w:ascii="Arial Narrow" w:hAnsi="Arial Narrow" w:cs="Arial"/>
                <w:sz w:val="20"/>
                <w:szCs w:val="20"/>
              </w:rPr>
              <w:t>2</w:t>
            </w:r>
          </w:p>
          <w:p w:rsidR="00417149" w:rsidRPr="00B77CBC" w:rsidRDefault="00417149" w:rsidP="00B202B9">
            <w:pPr>
              <w:keepNext/>
              <w:spacing w:before="40" w:after="40"/>
              <w:jc w:val="both"/>
              <w:rPr>
                <w:rFonts w:ascii="Arial Narrow" w:hAnsi="Arial Narrow" w:cs="Arial"/>
                <w:sz w:val="20"/>
                <w:szCs w:val="20"/>
              </w:rPr>
            </w:pPr>
          </w:p>
          <w:p w:rsidR="00417149" w:rsidRPr="00B77CBC" w:rsidRDefault="00417149" w:rsidP="00B202B9">
            <w:pPr>
              <w:keepNext/>
              <w:spacing w:before="40" w:after="40"/>
              <w:jc w:val="both"/>
              <w:rPr>
                <w:rFonts w:ascii="Arial Narrow" w:hAnsi="Arial Narrow" w:cs="Arial"/>
                <w:sz w:val="20"/>
                <w:szCs w:val="20"/>
              </w:rPr>
            </w:pPr>
            <w:r w:rsidRPr="00B77CBC">
              <w:rPr>
                <w:rFonts w:ascii="Arial Narrow" w:hAnsi="Arial Narrow" w:cs="Arial"/>
                <w:sz w:val="20"/>
                <w:szCs w:val="20"/>
              </w:rPr>
              <w:t>2</w:t>
            </w:r>
          </w:p>
        </w:tc>
        <w:tc>
          <w:tcPr>
            <w:tcW w:w="480" w:type="pct"/>
          </w:tcPr>
          <w:p w:rsidR="00417149" w:rsidRPr="00B77CBC" w:rsidRDefault="00417149" w:rsidP="00B202B9">
            <w:pPr>
              <w:keepNext/>
              <w:spacing w:before="40" w:after="40"/>
              <w:jc w:val="both"/>
              <w:rPr>
                <w:rFonts w:ascii="Arial Narrow" w:hAnsi="Arial Narrow" w:cs="Arial"/>
                <w:sz w:val="20"/>
                <w:szCs w:val="20"/>
              </w:rPr>
            </w:pPr>
          </w:p>
          <w:p w:rsidR="00417149" w:rsidRPr="006D69F1" w:rsidRDefault="00417149" w:rsidP="00B202B9">
            <w:pPr>
              <w:keepNext/>
              <w:spacing w:before="40" w:after="40"/>
              <w:jc w:val="both"/>
              <w:rPr>
                <w:rFonts w:ascii="Arial Narrow" w:hAnsi="Arial Narrow" w:cs="Arial"/>
                <w:sz w:val="20"/>
                <w:szCs w:val="20"/>
              </w:rPr>
            </w:pPr>
            <w:r w:rsidRPr="006D69F1">
              <w:rPr>
                <w:rFonts w:ascii="Arial Narrow" w:hAnsi="Arial Narrow" w:cs="Arial"/>
                <w:sz w:val="20"/>
                <w:szCs w:val="20"/>
              </w:rPr>
              <w:t xml:space="preserve">1 </w:t>
            </w:r>
          </w:p>
          <w:p w:rsidR="00417149" w:rsidRPr="006D69F1" w:rsidRDefault="00417149" w:rsidP="00B202B9">
            <w:pPr>
              <w:keepNext/>
              <w:spacing w:before="40" w:after="40"/>
              <w:jc w:val="both"/>
              <w:rPr>
                <w:rFonts w:ascii="Arial Narrow" w:hAnsi="Arial Narrow" w:cs="Arial"/>
                <w:sz w:val="20"/>
                <w:szCs w:val="20"/>
              </w:rPr>
            </w:pPr>
          </w:p>
          <w:p w:rsidR="00417149" w:rsidRPr="00B77CBC" w:rsidRDefault="00417149" w:rsidP="00B202B9">
            <w:pPr>
              <w:keepNext/>
              <w:spacing w:before="40" w:after="40"/>
              <w:jc w:val="both"/>
              <w:rPr>
                <w:rFonts w:ascii="Arial Narrow" w:hAnsi="Arial Narrow" w:cs="Arial"/>
                <w:sz w:val="20"/>
                <w:szCs w:val="20"/>
              </w:rPr>
            </w:pPr>
            <w:r w:rsidRPr="006D69F1">
              <w:rPr>
                <w:rFonts w:ascii="Arial Narrow" w:hAnsi="Arial Narrow" w:cs="Arial"/>
                <w:sz w:val="20"/>
                <w:szCs w:val="20"/>
              </w:rPr>
              <w:t>1</w:t>
            </w:r>
            <w:r w:rsidRPr="00B77CBC">
              <w:rPr>
                <w:rFonts w:ascii="Arial Narrow" w:hAnsi="Arial Narrow" w:cs="Arial"/>
                <w:i/>
                <w:sz w:val="20"/>
                <w:szCs w:val="20"/>
              </w:rPr>
              <w:t xml:space="preserve"> </w:t>
            </w:r>
          </w:p>
        </w:tc>
        <w:tc>
          <w:tcPr>
            <w:tcW w:w="590" w:type="pct"/>
          </w:tcPr>
          <w:p w:rsidR="00417149" w:rsidRPr="00B77CBC" w:rsidRDefault="00417149" w:rsidP="00B202B9">
            <w:pPr>
              <w:keepNext/>
              <w:spacing w:before="40" w:after="40"/>
              <w:jc w:val="both"/>
              <w:rPr>
                <w:rFonts w:ascii="Arial Narrow" w:hAnsi="Arial Narrow" w:cs="Arial"/>
                <w:sz w:val="20"/>
                <w:szCs w:val="20"/>
              </w:rPr>
            </w:pPr>
          </w:p>
          <w:p w:rsidR="00417149" w:rsidRPr="00B77CBC" w:rsidRDefault="00417149" w:rsidP="00B202B9">
            <w:pPr>
              <w:keepNext/>
              <w:spacing w:before="40" w:after="40"/>
              <w:jc w:val="both"/>
              <w:rPr>
                <w:rFonts w:ascii="Arial Narrow" w:hAnsi="Arial Narrow" w:cs="Arial"/>
                <w:sz w:val="20"/>
                <w:szCs w:val="20"/>
              </w:rPr>
            </w:pPr>
            <w:proofErr w:type="spellStart"/>
            <w:r w:rsidRPr="00B77CBC">
              <w:rPr>
                <w:rFonts w:ascii="Arial Narrow" w:hAnsi="Arial Narrow" w:cs="Arial"/>
                <w:sz w:val="20"/>
                <w:szCs w:val="20"/>
              </w:rPr>
              <w:t>Clexane</w:t>
            </w:r>
            <w:proofErr w:type="spellEnd"/>
            <w:r w:rsidRPr="00B77CBC">
              <w:rPr>
                <w:rFonts w:ascii="Arial Narrow" w:hAnsi="Arial Narrow" w:cs="Arial"/>
                <w:sz w:val="20"/>
                <w:szCs w:val="20"/>
              </w:rPr>
              <w:t xml:space="preserve"> and Enoxaparin Winthrop</w:t>
            </w:r>
          </w:p>
        </w:tc>
        <w:tc>
          <w:tcPr>
            <w:tcW w:w="839" w:type="pct"/>
          </w:tcPr>
          <w:p w:rsidR="00417149" w:rsidRPr="00B77CBC" w:rsidRDefault="00417149" w:rsidP="00B202B9">
            <w:pPr>
              <w:keepNext/>
              <w:spacing w:before="40" w:after="40"/>
              <w:jc w:val="both"/>
              <w:rPr>
                <w:rFonts w:ascii="Arial Narrow" w:hAnsi="Arial Narrow" w:cs="Arial"/>
                <w:sz w:val="20"/>
                <w:szCs w:val="20"/>
              </w:rPr>
            </w:pPr>
          </w:p>
          <w:p w:rsidR="00417149" w:rsidRPr="00B77CBC" w:rsidRDefault="00417149" w:rsidP="00B202B9">
            <w:pPr>
              <w:keepNext/>
              <w:spacing w:before="40" w:after="40"/>
              <w:jc w:val="both"/>
              <w:rPr>
                <w:rFonts w:ascii="Arial Narrow" w:hAnsi="Arial Narrow" w:cs="Arial"/>
                <w:sz w:val="20"/>
                <w:szCs w:val="20"/>
              </w:rPr>
            </w:pPr>
            <w:proofErr w:type="spellStart"/>
            <w:r w:rsidRPr="00B77CBC">
              <w:rPr>
                <w:rFonts w:ascii="Arial Narrow" w:hAnsi="Arial Narrow" w:cs="Arial"/>
                <w:sz w:val="20"/>
                <w:szCs w:val="20"/>
              </w:rPr>
              <w:t>Sanofi-aventis</w:t>
            </w:r>
            <w:proofErr w:type="spellEnd"/>
            <w:r w:rsidRPr="00B77CBC">
              <w:rPr>
                <w:rFonts w:ascii="Arial Narrow" w:hAnsi="Arial Narrow" w:cs="Arial"/>
                <w:sz w:val="20"/>
                <w:szCs w:val="20"/>
              </w:rPr>
              <w:t xml:space="preserve"> Australia Pty Ltd</w:t>
            </w:r>
          </w:p>
        </w:tc>
      </w:tr>
      <w:tr w:rsidR="009250DB" w:rsidRPr="00B77CBC" w:rsidTr="00B202B9">
        <w:trPr>
          <w:gridAfter w:val="1"/>
          <w:wAfter w:w="468" w:type="pct"/>
          <w:cantSplit/>
          <w:trHeight w:val="360"/>
        </w:trPr>
        <w:tc>
          <w:tcPr>
            <w:tcW w:w="4532" w:type="pct"/>
            <w:gridSpan w:val="7"/>
            <w:tcBorders>
              <w:bottom w:val="single" w:sz="4" w:space="0" w:color="auto"/>
            </w:tcBorders>
          </w:tcPr>
          <w:p w:rsidR="009250DB" w:rsidRPr="00B77CBC" w:rsidRDefault="009250DB" w:rsidP="00B202B9">
            <w:pPr>
              <w:spacing w:before="40" w:after="40"/>
              <w:jc w:val="both"/>
              <w:rPr>
                <w:rFonts w:ascii="Arial Narrow" w:hAnsi="Arial Narrow" w:cs="Arial"/>
                <w:sz w:val="20"/>
                <w:szCs w:val="20"/>
              </w:rPr>
            </w:pPr>
          </w:p>
        </w:tc>
      </w:tr>
      <w:tr w:rsidR="009250DB" w:rsidRPr="00B77CBC" w:rsidTr="00B202B9">
        <w:trPr>
          <w:cantSplit/>
          <w:trHeight w:val="360"/>
        </w:trPr>
        <w:tc>
          <w:tcPr>
            <w:tcW w:w="1063" w:type="pct"/>
            <w:tcBorders>
              <w:top w:val="single" w:sz="4" w:space="0" w:color="auto"/>
              <w:left w:val="single" w:sz="4" w:space="0" w:color="auto"/>
              <w:bottom w:val="single" w:sz="4" w:space="0" w:color="auto"/>
              <w:right w:val="single" w:sz="4" w:space="0" w:color="auto"/>
            </w:tcBorders>
          </w:tcPr>
          <w:p w:rsidR="009250DB" w:rsidRPr="00B77CBC" w:rsidRDefault="009250DB" w:rsidP="00B202B9">
            <w:pPr>
              <w:spacing w:before="40" w:after="40"/>
              <w:jc w:val="both"/>
              <w:rPr>
                <w:rFonts w:ascii="Arial Narrow" w:hAnsi="Arial Narrow" w:cs="Arial"/>
                <w:b/>
                <w:sz w:val="20"/>
                <w:szCs w:val="20"/>
              </w:rPr>
            </w:pPr>
            <w:r w:rsidRPr="00B77CBC">
              <w:rPr>
                <w:rFonts w:ascii="Arial Narrow" w:hAnsi="Arial Narrow" w:cs="Arial"/>
                <w:b/>
                <w:sz w:val="20"/>
                <w:szCs w:val="20"/>
              </w:rPr>
              <w:t xml:space="preserve">Category / </w:t>
            </w:r>
          </w:p>
          <w:p w:rsidR="009250DB" w:rsidRPr="00B77CBC" w:rsidRDefault="009250DB" w:rsidP="00B202B9">
            <w:pPr>
              <w:spacing w:before="40" w:after="40"/>
              <w:jc w:val="both"/>
              <w:rPr>
                <w:rFonts w:ascii="Arial Narrow" w:hAnsi="Arial Narrow" w:cs="Arial"/>
                <w:b/>
                <w:sz w:val="20"/>
                <w:szCs w:val="20"/>
              </w:rPr>
            </w:pPr>
            <w:r w:rsidRPr="00B77CBC">
              <w:rPr>
                <w:rFonts w:ascii="Arial Narrow" w:hAnsi="Arial Narrow" w:cs="Arial"/>
                <w:b/>
                <w:sz w:val="20"/>
                <w:szCs w:val="20"/>
              </w:rPr>
              <w:t>Program</w:t>
            </w:r>
          </w:p>
        </w:tc>
        <w:tc>
          <w:tcPr>
            <w:tcW w:w="3937" w:type="pct"/>
            <w:gridSpan w:val="7"/>
            <w:tcBorders>
              <w:top w:val="single" w:sz="4" w:space="0" w:color="auto"/>
              <w:left w:val="single" w:sz="4" w:space="0" w:color="auto"/>
              <w:bottom w:val="single" w:sz="4" w:space="0" w:color="auto"/>
              <w:right w:val="single" w:sz="4" w:space="0" w:color="auto"/>
            </w:tcBorders>
          </w:tcPr>
          <w:p w:rsidR="009250DB" w:rsidRPr="00B77CBC" w:rsidRDefault="009250DB" w:rsidP="00B202B9">
            <w:pPr>
              <w:spacing w:before="40" w:after="40"/>
              <w:rPr>
                <w:rFonts w:ascii="Arial Narrow" w:hAnsi="Arial Narrow" w:cs="Arial"/>
                <w:sz w:val="20"/>
                <w:szCs w:val="20"/>
              </w:rPr>
            </w:pPr>
            <w:r w:rsidRPr="00B77CBC">
              <w:rPr>
                <w:rFonts w:ascii="Arial Narrow" w:hAnsi="Arial Narrow" w:cs="Arial"/>
                <w:sz w:val="20"/>
                <w:szCs w:val="20"/>
              </w:rPr>
              <w:t>GENERAL – General Schedule (Code GE)</w:t>
            </w:r>
          </w:p>
          <w:p w:rsidR="009250DB" w:rsidRPr="00B77CBC" w:rsidRDefault="009250DB" w:rsidP="00B202B9">
            <w:pPr>
              <w:spacing w:before="40" w:after="40"/>
              <w:rPr>
                <w:rFonts w:ascii="Arial Narrow" w:hAnsi="Arial Narrow" w:cs="Arial"/>
                <w:sz w:val="20"/>
                <w:szCs w:val="20"/>
              </w:rPr>
            </w:pPr>
          </w:p>
        </w:tc>
      </w:tr>
      <w:tr w:rsidR="009250DB" w:rsidRPr="00B77CBC" w:rsidTr="00B202B9">
        <w:trPr>
          <w:cantSplit/>
          <w:trHeight w:val="360"/>
        </w:trPr>
        <w:tc>
          <w:tcPr>
            <w:tcW w:w="1063" w:type="pct"/>
            <w:tcBorders>
              <w:top w:val="single" w:sz="4" w:space="0" w:color="auto"/>
              <w:left w:val="single" w:sz="4" w:space="0" w:color="auto"/>
              <w:bottom w:val="single" w:sz="4" w:space="0" w:color="auto"/>
              <w:right w:val="single" w:sz="4" w:space="0" w:color="auto"/>
            </w:tcBorders>
          </w:tcPr>
          <w:p w:rsidR="009250DB" w:rsidRPr="00B77CBC" w:rsidRDefault="009250DB" w:rsidP="00B202B9">
            <w:pPr>
              <w:spacing w:before="40" w:after="40"/>
              <w:jc w:val="both"/>
              <w:rPr>
                <w:rFonts w:ascii="Arial Narrow" w:hAnsi="Arial Narrow" w:cs="Arial"/>
                <w:b/>
                <w:sz w:val="20"/>
                <w:szCs w:val="20"/>
              </w:rPr>
            </w:pPr>
            <w:r w:rsidRPr="00B77CBC">
              <w:rPr>
                <w:rFonts w:ascii="Arial Narrow" w:hAnsi="Arial Narrow" w:cs="Arial"/>
                <w:b/>
                <w:sz w:val="20"/>
                <w:szCs w:val="20"/>
              </w:rPr>
              <w:t>Prescriber type:</w:t>
            </w:r>
          </w:p>
        </w:tc>
        <w:tc>
          <w:tcPr>
            <w:tcW w:w="3937" w:type="pct"/>
            <w:gridSpan w:val="7"/>
            <w:tcBorders>
              <w:top w:val="single" w:sz="4" w:space="0" w:color="auto"/>
              <w:left w:val="single" w:sz="4" w:space="0" w:color="auto"/>
              <w:bottom w:val="single" w:sz="4" w:space="0" w:color="auto"/>
              <w:right w:val="single" w:sz="4" w:space="0" w:color="auto"/>
            </w:tcBorders>
          </w:tcPr>
          <w:p w:rsidR="009250DB" w:rsidRPr="00B77CBC" w:rsidRDefault="009250DB" w:rsidP="00B202B9">
            <w:pPr>
              <w:spacing w:before="40" w:after="40"/>
              <w:rPr>
                <w:rFonts w:ascii="Arial Narrow" w:hAnsi="Arial Narrow" w:cs="Arial"/>
                <w:sz w:val="20"/>
                <w:szCs w:val="20"/>
              </w:rPr>
            </w:pPr>
            <w:r w:rsidRPr="00A878F4">
              <w:rPr>
                <w:rFonts w:ascii="Arial Narrow" w:hAnsi="Arial Narrow" w:cs="Arial"/>
                <w:sz w:val="20"/>
                <w:szCs w:val="20"/>
              </w:rPr>
              <w:fldChar w:fldCharType="begin">
                <w:ffData>
                  <w:name w:val=""/>
                  <w:enabled/>
                  <w:calcOnExit w:val="0"/>
                  <w:checkBox>
                    <w:sizeAuto/>
                    <w:default w:val="1"/>
                  </w:checkBox>
                </w:ffData>
              </w:fldChar>
            </w:r>
            <w:r w:rsidRPr="00B77CBC">
              <w:rPr>
                <w:rFonts w:ascii="Arial Narrow" w:hAnsi="Arial Narrow" w:cs="Arial"/>
                <w:sz w:val="20"/>
                <w:szCs w:val="20"/>
              </w:rPr>
              <w:instrText xml:space="preserve"> FORMCHECKBOX </w:instrText>
            </w:r>
            <w:r w:rsidR="003449A4">
              <w:rPr>
                <w:rFonts w:ascii="Arial Narrow" w:hAnsi="Arial Narrow" w:cs="Arial"/>
                <w:sz w:val="20"/>
                <w:szCs w:val="20"/>
              </w:rPr>
            </w:r>
            <w:r w:rsidR="003449A4">
              <w:rPr>
                <w:rFonts w:ascii="Arial Narrow" w:hAnsi="Arial Narrow" w:cs="Arial"/>
                <w:sz w:val="20"/>
                <w:szCs w:val="20"/>
              </w:rPr>
              <w:fldChar w:fldCharType="separate"/>
            </w:r>
            <w:r w:rsidRPr="00A878F4">
              <w:rPr>
                <w:rFonts w:ascii="Arial Narrow" w:hAnsi="Arial Narrow" w:cs="Arial"/>
                <w:sz w:val="20"/>
                <w:szCs w:val="20"/>
              </w:rPr>
              <w:fldChar w:fldCharType="end"/>
            </w:r>
            <w:r w:rsidRPr="00B77CBC">
              <w:rPr>
                <w:rFonts w:ascii="Arial Narrow" w:hAnsi="Arial Narrow" w:cs="Arial"/>
                <w:sz w:val="20"/>
                <w:szCs w:val="20"/>
              </w:rPr>
              <w:t xml:space="preserve">Medical Practitioners  </w:t>
            </w:r>
            <w:r w:rsidRPr="00A878F4">
              <w:rPr>
                <w:rFonts w:ascii="Arial Narrow" w:hAnsi="Arial Narrow" w:cs="Arial"/>
                <w:sz w:val="20"/>
                <w:szCs w:val="20"/>
              </w:rPr>
              <w:fldChar w:fldCharType="begin">
                <w:ffData>
                  <w:name w:val="Check3"/>
                  <w:enabled/>
                  <w:calcOnExit w:val="0"/>
                  <w:checkBox>
                    <w:sizeAuto/>
                    <w:default w:val="1"/>
                  </w:checkBox>
                </w:ffData>
              </w:fldChar>
            </w:r>
            <w:r w:rsidRPr="00B77CBC">
              <w:rPr>
                <w:rFonts w:ascii="Arial Narrow" w:hAnsi="Arial Narrow" w:cs="Arial"/>
                <w:sz w:val="20"/>
                <w:szCs w:val="20"/>
              </w:rPr>
              <w:instrText xml:space="preserve"> FORMCHECKBOX </w:instrText>
            </w:r>
            <w:r w:rsidR="003449A4">
              <w:rPr>
                <w:rFonts w:ascii="Arial Narrow" w:hAnsi="Arial Narrow" w:cs="Arial"/>
                <w:sz w:val="20"/>
                <w:szCs w:val="20"/>
              </w:rPr>
            </w:r>
            <w:r w:rsidR="003449A4">
              <w:rPr>
                <w:rFonts w:ascii="Arial Narrow" w:hAnsi="Arial Narrow" w:cs="Arial"/>
                <w:sz w:val="20"/>
                <w:szCs w:val="20"/>
              </w:rPr>
              <w:fldChar w:fldCharType="separate"/>
            </w:r>
            <w:r w:rsidRPr="00A878F4">
              <w:rPr>
                <w:rFonts w:ascii="Arial Narrow" w:hAnsi="Arial Narrow" w:cs="Arial"/>
                <w:sz w:val="20"/>
                <w:szCs w:val="20"/>
              </w:rPr>
              <w:fldChar w:fldCharType="end"/>
            </w:r>
            <w:r w:rsidRPr="00B77CBC">
              <w:rPr>
                <w:rFonts w:ascii="Arial Narrow" w:hAnsi="Arial Narrow" w:cs="Arial"/>
                <w:sz w:val="20"/>
                <w:szCs w:val="20"/>
              </w:rPr>
              <w:t xml:space="preserve">Nurse practitioners  </w:t>
            </w:r>
          </w:p>
        </w:tc>
      </w:tr>
      <w:tr w:rsidR="009250DB" w:rsidRPr="00B77CBC" w:rsidTr="00B202B9">
        <w:trPr>
          <w:cantSplit/>
          <w:trHeight w:val="360"/>
        </w:trPr>
        <w:tc>
          <w:tcPr>
            <w:tcW w:w="1063" w:type="pct"/>
            <w:tcBorders>
              <w:top w:val="single" w:sz="4" w:space="0" w:color="auto"/>
              <w:left w:val="single" w:sz="4" w:space="0" w:color="auto"/>
              <w:bottom w:val="single" w:sz="4" w:space="0" w:color="auto"/>
              <w:right w:val="single" w:sz="4" w:space="0" w:color="auto"/>
            </w:tcBorders>
          </w:tcPr>
          <w:p w:rsidR="009250DB" w:rsidRPr="00B77CBC" w:rsidRDefault="009250DB" w:rsidP="00B202B9">
            <w:pPr>
              <w:spacing w:before="40" w:after="40"/>
              <w:jc w:val="both"/>
              <w:rPr>
                <w:rFonts w:ascii="Arial Narrow" w:hAnsi="Arial Narrow" w:cs="Arial"/>
                <w:b/>
                <w:sz w:val="20"/>
                <w:szCs w:val="20"/>
              </w:rPr>
            </w:pPr>
            <w:r w:rsidRPr="00B77CBC">
              <w:rPr>
                <w:rFonts w:ascii="Arial Narrow" w:hAnsi="Arial Narrow" w:cs="Arial"/>
                <w:b/>
                <w:sz w:val="20"/>
                <w:szCs w:val="20"/>
              </w:rPr>
              <w:t>Restriction Level / Method:</w:t>
            </w:r>
          </w:p>
        </w:tc>
        <w:tc>
          <w:tcPr>
            <w:tcW w:w="3937" w:type="pct"/>
            <w:gridSpan w:val="7"/>
            <w:tcBorders>
              <w:top w:val="single" w:sz="4" w:space="0" w:color="auto"/>
              <w:left w:val="single" w:sz="4" w:space="0" w:color="auto"/>
              <w:bottom w:val="single" w:sz="4" w:space="0" w:color="auto"/>
              <w:right w:val="single" w:sz="4" w:space="0" w:color="auto"/>
            </w:tcBorders>
          </w:tcPr>
          <w:p w:rsidR="009250DB" w:rsidRPr="00B77CBC" w:rsidRDefault="009250DB" w:rsidP="00B202B9">
            <w:pPr>
              <w:spacing w:before="40" w:after="40"/>
              <w:rPr>
                <w:rFonts w:ascii="Arial Narrow" w:hAnsi="Arial Narrow" w:cs="Arial"/>
                <w:sz w:val="20"/>
                <w:szCs w:val="20"/>
              </w:rPr>
            </w:pPr>
            <w:r w:rsidRPr="00A878F4">
              <w:rPr>
                <w:rFonts w:ascii="Arial Narrow" w:hAnsi="Arial Narrow" w:cs="Arial"/>
                <w:sz w:val="20"/>
                <w:szCs w:val="20"/>
              </w:rPr>
              <w:fldChar w:fldCharType="begin">
                <w:ffData>
                  <w:name w:val="Check1"/>
                  <w:enabled/>
                  <w:calcOnExit w:val="0"/>
                  <w:checkBox>
                    <w:sizeAuto/>
                    <w:default w:val="1"/>
                  </w:checkBox>
                </w:ffData>
              </w:fldChar>
            </w:r>
            <w:r w:rsidRPr="00B77CBC">
              <w:rPr>
                <w:rFonts w:ascii="Arial Narrow" w:hAnsi="Arial Narrow" w:cs="Arial"/>
                <w:sz w:val="20"/>
                <w:szCs w:val="20"/>
              </w:rPr>
              <w:instrText xml:space="preserve"> FORMCHECKBOX </w:instrText>
            </w:r>
            <w:r w:rsidR="003449A4">
              <w:rPr>
                <w:rFonts w:ascii="Arial Narrow" w:hAnsi="Arial Narrow" w:cs="Arial"/>
                <w:sz w:val="20"/>
                <w:szCs w:val="20"/>
              </w:rPr>
            </w:r>
            <w:r w:rsidR="003449A4">
              <w:rPr>
                <w:rFonts w:ascii="Arial Narrow" w:hAnsi="Arial Narrow" w:cs="Arial"/>
                <w:sz w:val="20"/>
                <w:szCs w:val="20"/>
              </w:rPr>
              <w:fldChar w:fldCharType="separate"/>
            </w:r>
            <w:r w:rsidRPr="00A878F4">
              <w:rPr>
                <w:rFonts w:ascii="Arial Narrow" w:hAnsi="Arial Narrow" w:cs="Arial"/>
                <w:sz w:val="20"/>
                <w:szCs w:val="20"/>
              </w:rPr>
              <w:fldChar w:fldCharType="end"/>
            </w:r>
            <w:r w:rsidRPr="00B77CBC">
              <w:rPr>
                <w:rFonts w:ascii="Arial Narrow" w:hAnsi="Arial Narrow" w:cs="Arial"/>
                <w:sz w:val="20"/>
                <w:szCs w:val="20"/>
              </w:rPr>
              <w:t>Unrestricted benefit</w:t>
            </w:r>
          </w:p>
        </w:tc>
      </w:tr>
    </w:tbl>
    <w:p w:rsidR="00E957E0" w:rsidRPr="005D4322" w:rsidRDefault="00E957E0" w:rsidP="005D4322">
      <w:pPr>
        <w:pStyle w:val="PBACHeading1"/>
        <w:spacing w:before="240" w:after="120"/>
        <w:ind w:left="709" w:hanging="709"/>
        <w:rPr>
          <w:rFonts w:asciiTheme="minorHAnsi" w:hAnsiTheme="minorHAnsi"/>
          <w:sz w:val="32"/>
          <w:szCs w:val="32"/>
        </w:rPr>
      </w:pPr>
      <w:r w:rsidRPr="005D4322">
        <w:rPr>
          <w:rFonts w:asciiTheme="minorHAnsi" w:hAnsiTheme="minorHAnsi"/>
          <w:sz w:val="32"/>
          <w:szCs w:val="32"/>
        </w:rPr>
        <w:t>Context for Decision</w:t>
      </w:r>
    </w:p>
    <w:p w:rsidR="00E957E0" w:rsidRPr="000369F7" w:rsidRDefault="00E957E0" w:rsidP="000369F7">
      <w:pPr>
        <w:pStyle w:val="ListParagraph"/>
        <w:widowControl/>
        <w:spacing w:before="120" w:after="160"/>
        <w:contextualSpacing w:val="0"/>
        <w:rPr>
          <w:rFonts w:asciiTheme="minorHAnsi" w:eastAsiaTheme="minorHAnsi" w:hAnsiTheme="minorHAnsi" w:cstheme="minorBidi"/>
          <w:snapToGrid/>
          <w:sz w:val="24"/>
          <w:szCs w:val="22"/>
        </w:rPr>
      </w:pPr>
      <w:r w:rsidRPr="000369F7">
        <w:rPr>
          <w:rFonts w:asciiTheme="minorHAnsi" w:eastAsiaTheme="minorHAnsi" w:hAnsiTheme="minorHAnsi" w:cstheme="minorBidi"/>
          <w:snapToGrid/>
          <w:sz w:val="24"/>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w:t>
      </w:r>
      <w:bookmarkStart w:id="2" w:name="_GoBack"/>
      <w:bookmarkEnd w:id="2"/>
      <w:r w:rsidRPr="000369F7">
        <w:rPr>
          <w:rFonts w:asciiTheme="minorHAnsi" w:eastAsiaTheme="minorHAnsi" w:hAnsiTheme="minorHAnsi" w:cstheme="minorBidi"/>
          <w:snapToGrid/>
          <w:sz w:val="24"/>
          <w:szCs w:val="22"/>
        </w:rPr>
        <w:t>independent review of the PBAC decision.</w:t>
      </w:r>
    </w:p>
    <w:p w:rsidR="00E957E0" w:rsidRPr="005D4322" w:rsidRDefault="00E957E0" w:rsidP="005D4322">
      <w:pPr>
        <w:pStyle w:val="PBACHeading1"/>
        <w:spacing w:before="240" w:after="120"/>
        <w:ind w:left="709" w:hanging="709"/>
        <w:rPr>
          <w:rFonts w:asciiTheme="minorHAnsi" w:hAnsiTheme="minorHAnsi"/>
          <w:sz w:val="32"/>
          <w:szCs w:val="32"/>
        </w:rPr>
      </w:pPr>
      <w:r w:rsidRPr="005D4322">
        <w:rPr>
          <w:rFonts w:asciiTheme="minorHAnsi" w:hAnsiTheme="minorHAnsi"/>
          <w:sz w:val="32"/>
          <w:szCs w:val="32"/>
        </w:rPr>
        <w:t>Sponsor’s Comment</w:t>
      </w:r>
    </w:p>
    <w:p w:rsidR="00F64CC1" w:rsidRPr="00B77CBC" w:rsidRDefault="002144B7" w:rsidP="002144B7">
      <w:pPr>
        <w:ind w:left="709" w:firstLine="11"/>
        <w:jc w:val="both"/>
        <w:rPr>
          <w:rFonts w:asciiTheme="minorHAnsi" w:hAnsiTheme="minorHAnsi"/>
          <w:sz w:val="22"/>
          <w:szCs w:val="22"/>
        </w:rPr>
      </w:pPr>
      <w:r w:rsidRPr="002144B7">
        <w:rPr>
          <w:rFonts w:asciiTheme="minorHAnsi" w:eastAsiaTheme="minorHAnsi" w:hAnsiTheme="minorHAnsi" w:cstheme="minorBidi"/>
          <w:szCs w:val="22"/>
        </w:rPr>
        <w:t xml:space="preserve">Sanofi welcomes the PBAC’s decision to recommend the requested </w:t>
      </w:r>
      <w:r w:rsidRPr="002144B7">
        <w:rPr>
          <w:rFonts w:asciiTheme="minorHAnsi" w:eastAsiaTheme="minorHAnsi" w:hAnsiTheme="minorHAnsi" w:cstheme="minorBidi"/>
          <w:szCs w:val="22"/>
          <w:lang w:eastAsia="en-US"/>
        </w:rPr>
        <w:t xml:space="preserve">increase to the maximum number of repeats for </w:t>
      </w:r>
      <w:proofErr w:type="spellStart"/>
      <w:r w:rsidRPr="002144B7">
        <w:rPr>
          <w:rFonts w:asciiTheme="minorHAnsi" w:eastAsiaTheme="minorHAnsi" w:hAnsiTheme="minorHAnsi" w:cstheme="minorBidi"/>
          <w:szCs w:val="22"/>
          <w:lang w:eastAsia="en-US"/>
        </w:rPr>
        <w:t>Clexane</w:t>
      </w:r>
      <w:proofErr w:type="spellEnd"/>
      <w:r w:rsidRPr="002144B7">
        <w:rPr>
          <w:rFonts w:asciiTheme="minorHAnsi" w:eastAsiaTheme="minorHAnsi" w:hAnsiTheme="minorHAnsi" w:cstheme="minorBidi"/>
          <w:szCs w:val="22"/>
        </w:rPr>
        <w:t>,</w:t>
      </w:r>
      <w:r w:rsidRPr="002144B7">
        <w:rPr>
          <w:rFonts w:asciiTheme="minorHAnsi" w:eastAsiaTheme="minorHAnsi" w:hAnsiTheme="minorHAnsi" w:cstheme="minorBidi"/>
          <w:szCs w:val="22"/>
          <w:lang w:eastAsia="en-US"/>
        </w:rPr>
        <w:t xml:space="preserve"> in recognition of the need for broader availability of low molecular weight heparin for extended VTE prophylaxis in high-risk patients after discharge from hospital.</w:t>
      </w:r>
    </w:p>
    <w:sectPr w:rsidR="00F64CC1" w:rsidRPr="00B77CBC"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023" w:rsidRDefault="00CA0023">
      <w:r>
        <w:separator/>
      </w:r>
    </w:p>
    <w:p w:rsidR="00CA0023" w:rsidRDefault="00CA0023"/>
  </w:endnote>
  <w:endnote w:type="continuationSeparator" w:id="0">
    <w:p w:rsidR="00CA0023" w:rsidRDefault="00CA0023">
      <w:r>
        <w:continuationSeparator/>
      </w:r>
    </w:p>
    <w:p w:rsidR="00CA0023" w:rsidRDefault="00CA0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565026"/>
      <w:docPartObj>
        <w:docPartGallery w:val="Page Numbers (Bottom of Page)"/>
        <w:docPartUnique/>
      </w:docPartObj>
    </w:sdtPr>
    <w:sdtEndPr>
      <w:rPr>
        <w:rFonts w:ascii="Calibri" w:hAnsi="Calibri"/>
        <w:b/>
        <w:noProof/>
      </w:rPr>
    </w:sdtEndPr>
    <w:sdtContent>
      <w:p w:rsidR="00651B86" w:rsidRPr="00417149" w:rsidRDefault="00651B86">
        <w:pPr>
          <w:pStyle w:val="Footer"/>
          <w:jc w:val="center"/>
          <w:rPr>
            <w:rFonts w:ascii="Calibri" w:hAnsi="Calibri"/>
            <w:b/>
          </w:rPr>
        </w:pPr>
        <w:r w:rsidRPr="00417149">
          <w:rPr>
            <w:rFonts w:ascii="Calibri" w:hAnsi="Calibri"/>
            <w:b/>
          </w:rPr>
          <w:fldChar w:fldCharType="begin"/>
        </w:r>
        <w:r w:rsidRPr="00417149">
          <w:rPr>
            <w:rFonts w:ascii="Calibri" w:hAnsi="Calibri"/>
            <w:b/>
          </w:rPr>
          <w:instrText xml:space="preserve"> PAGE   \* MERGEFORMAT </w:instrText>
        </w:r>
        <w:r w:rsidRPr="00417149">
          <w:rPr>
            <w:rFonts w:ascii="Calibri" w:hAnsi="Calibri"/>
            <w:b/>
          </w:rPr>
          <w:fldChar w:fldCharType="separate"/>
        </w:r>
        <w:r w:rsidR="003449A4">
          <w:rPr>
            <w:rFonts w:ascii="Calibri" w:hAnsi="Calibri"/>
            <w:b/>
            <w:noProof/>
          </w:rPr>
          <w:t>5</w:t>
        </w:r>
        <w:r w:rsidRPr="00417149">
          <w:rPr>
            <w:rFonts w:ascii="Calibri" w:hAnsi="Calibri"/>
            <w:b/>
            <w:noProof/>
          </w:rPr>
          <w:fldChar w:fldCharType="end"/>
        </w:r>
      </w:p>
    </w:sdtContent>
  </w:sdt>
  <w:p w:rsidR="00F80475" w:rsidRDefault="00F80475" w:rsidP="00EF44A0">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023" w:rsidRDefault="00CA0023">
      <w:r>
        <w:separator/>
      </w:r>
    </w:p>
    <w:p w:rsidR="00CA0023" w:rsidRDefault="00CA0023"/>
  </w:footnote>
  <w:footnote w:type="continuationSeparator" w:id="0">
    <w:p w:rsidR="00CA0023" w:rsidRDefault="00CA0023">
      <w:r>
        <w:continuationSeparator/>
      </w:r>
    </w:p>
    <w:p w:rsidR="00CA0023" w:rsidRDefault="00CA0023"/>
  </w:footnote>
  <w:footnote w:id="1">
    <w:p w:rsidR="00690A1E" w:rsidRPr="00852726" w:rsidRDefault="00690A1E">
      <w:pPr>
        <w:pStyle w:val="FootnoteText"/>
        <w:rPr>
          <w:rFonts w:asciiTheme="minorHAnsi" w:hAnsiTheme="minorHAnsi" w:cstheme="minorHAnsi"/>
        </w:rPr>
      </w:pPr>
      <w:r w:rsidRPr="00852726">
        <w:rPr>
          <w:rStyle w:val="FootnoteReference"/>
          <w:rFonts w:asciiTheme="minorHAnsi" w:hAnsiTheme="minorHAnsi" w:cstheme="minorHAnsi"/>
        </w:rPr>
        <w:footnoteRef/>
      </w:r>
      <w:r w:rsidRPr="00852726">
        <w:rPr>
          <w:rFonts w:asciiTheme="minorHAnsi" w:hAnsiTheme="minorHAnsi" w:cstheme="minorHAnsi"/>
        </w:rPr>
        <w:t xml:space="preserve"> The Australia and New Zealand Working Party on the Management and Prevention of Venous Thromboembolism, 5th Edition. Published by Health Education and Management Innovations (2010).</w:t>
      </w:r>
    </w:p>
  </w:footnote>
  <w:footnote w:id="2">
    <w:p w:rsidR="00C9191A" w:rsidRDefault="00C919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78F" w:rsidRPr="00AB42BF" w:rsidRDefault="00823661" w:rsidP="003D778F">
    <w:pPr>
      <w:pStyle w:val="Header"/>
      <w:ind w:left="360"/>
      <w:jc w:val="center"/>
      <w:rPr>
        <w:rFonts w:asciiTheme="minorHAnsi" w:hAnsiTheme="minorHAnsi"/>
        <w:i/>
        <w:color w:val="808080"/>
      </w:rPr>
    </w:pPr>
    <w:r w:rsidRPr="00AB42BF">
      <w:rPr>
        <w:rFonts w:asciiTheme="minorHAnsi" w:hAnsiTheme="minorHAnsi"/>
        <w:i/>
        <w:color w:val="808080"/>
      </w:rPr>
      <w:t xml:space="preserve">Public Summary Document </w:t>
    </w:r>
    <w:r w:rsidR="003D778F" w:rsidRPr="00AB42BF">
      <w:rPr>
        <w:rFonts w:asciiTheme="minorHAnsi" w:hAnsiTheme="minorHAnsi"/>
        <w:i/>
        <w:color w:val="808080"/>
      </w:rPr>
      <w:t>– March 2019 PBAC Meeting</w:t>
    </w:r>
  </w:p>
  <w:p w:rsidR="00823661" w:rsidRPr="00F90A91" w:rsidRDefault="00823661" w:rsidP="003D778F">
    <w:pPr>
      <w:pStyle w:val="Header"/>
      <w:ind w:left="360"/>
      <w:jc w:val="center"/>
      <w:rPr>
        <w:rFonts w:asciiTheme="minorHAnsi" w:hAnsiTheme="minorHAnsi"/>
        <w:i/>
        <w:color w:val="808080"/>
        <w:sz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2BF" w:rsidRDefault="00A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84D3551"/>
    <w:multiLevelType w:val="hybridMultilevel"/>
    <w:tmpl w:val="479E01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A66CC"/>
    <w:multiLevelType w:val="hybridMultilevel"/>
    <w:tmpl w:val="F50422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F2C2DEA"/>
    <w:multiLevelType w:val="multilevel"/>
    <w:tmpl w:val="670EF4B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80EA21A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5"/>
  </w:num>
  <w:num w:numId="4">
    <w:abstractNumId w:val="14"/>
  </w:num>
  <w:num w:numId="5">
    <w:abstractNumId w:val="18"/>
  </w:num>
  <w:num w:numId="6">
    <w:abstractNumId w:val="6"/>
  </w:num>
  <w:num w:numId="7">
    <w:abstractNumId w:val="11"/>
  </w:num>
  <w:num w:numId="8">
    <w:abstractNumId w:val="3"/>
  </w:num>
  <w:num w:numId="9">
    <w:abstractNumId w:val="10"/>
  </w:num>
  <w:num w:numId="10">
    <w:abstractNumId w:val="9"/>
  </w:num>
  <w:num w:numId="11">
    <w:abstractNumId w:val="8"/>
  </w:num>
  <w:num w:numId="12">
    <w:abstractNumId w:val="1"/>
  </w:num>
  <w:num w:numId="13">
    <w:abstractNumId w:val="0"/>
  </w:num>
  <w:num w:numId="14">
    <w:abstractNumId w:val="18"/>
  </w:num>
  <w:num w:numId="15">
    <w:abstractNumId w:val="12"/>
  </w:num>
  <w:num w:numId="16">
    <w:abstractNumId w:val="18"/>
  </w:num>
  <w:num w:numId="17">
    <w:abstractNumId w:val="13"/>
  </w:num>
  <w:num w:numId="18">
    <w:abstractNumId w:val="4"/>
  </w:num>
  <w:num w:numId="19">
    <w:abstractNumId w:val="15"/>
  </w:num>
  <w:num w:numId="20">
    <w:abstractNumId w:val="16"/>
  </w:num>
  <w:num w:numId="21">
    <w:abstractNumId w:val="17"/>
  </w:num>
  <w:num w:numId="22">
    <w:abstractNumId w:val="18"/>
  </w:num>
  <w:num w:numId="23">
    <w:abstractNumId w:val="18"/>
  </w:num>
  <w:num w:numId="24">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145DA"/>
    <w:rsid w:val="0002464A"/>
    <w:rsid w:val="0003106B"/>
    <w:rsid w:val="000369F7"/>
    <w:rsid w:val="000421A1"/>
    <w:rsid w:val="0004240E"/>
    <w:rsid w:val="00045E26"/>
    <w:rsid w:val="000514B5"/>
    <w:rsid w:val="00060E64"/>
    <w:rsid w:val="00066755"/>
    <w:rsid w:val="00077143"/>
    <w:rsid w:val="00082169"/>
    <w:rsid w:val="00091908"/>
    <w:rsid w:val="00093B40"/>
    <w:rsid w:val="000969AD"/>
    <w:rsid w:val="00097A76"/>
    <w:rsid w:val="000A4610"/>
    <w:rsid w:val="000B4666"/>
    <w:rsid w:val="000B558D"/>
    <w:rsid w:val="000C6996"/>
    <w:rsid w:val="000C6F63"/>
    <w:rsid w:val="000D23BA"/>
    <w:rsid w:val="000E03DE"/>
    <w:rsid w:val="000E1CA3"/>
    <w:rsid w:val="000E2593"/>
    <w:rsid w:val="000E681E"/>
    <w:rsid w:val="000F0003"/>
    <w:rsid w:val="000F0C92"/>
    <w:rsid w:val="000F2C98"/>
    <w:rsid w:val="000F3713"/>
    <w:rsid w:val="000F4E6A"/>
    <w:rsid w:val="0010201E"/>
    <w:rsid w:val="00104227"/>
    <w:rsid w:val="001107BF"/>
    <w:rsid w:val="0012417C"/>
    <w:rsid w:val="00125A94"/>
    <w:rsid w:val="00142395"/>
    <w:rsid w:val="00142714"/>
    <w:rsid w:val="001452ED"/>
    <w:rsid w:val="00162F5C"/>
    <w:rsid w:val="00163329"/>
    <w:rsid w:val="00164623"/>
    <w:rsid w:val="00165B64"/>
    <w:rsid w:val="00167033"/>
    <w:rsid w:val="00180713"/>
    <w:rsid w:val="001819F1"/>
    <w:rsid w:val="001830CE"/>
    <w:rsid w:val="0018643B"/>
    <w:rsid w:val="00196307"/>
    <w:rsid w:val="001A03C7"/>
    <w:rsid w:val="001A33EA"/>
    <w:rsid w:val="001B017F"/>
    <w:rsid w:val="001B2BBC"/>
    <w:rsid w:val="001B5129"/>
    <w:rsid w:val="001C1195"/>
    <w:rsid w:val="001F1850"/>
    <w:rsid w:val="001F2EBD"/>
    <w:rsid w:val="00203FAC"/>
    <w:rsid w:val="002044BD"/>
    <w:rsid w:val="00207157"/>
    <w:rsid w:val="00213CFB"/>
    <w:rsid w:val="002144B7"/>
    <w:rsid w:val="00214BAC"/>
    <w:rsid w:val="00217BE1"/>
    <w:rsid w:val="00233146"/>
    <w:rsid w:val="002341D0"/>
    <w:rsid w:val="002356EB"/>
    <w:rsid w:val="00240259"/>
    <w:rsid w:val="00253EF3"/>
    <w:rsid w:val="00271BA1"/>
    <w:rsid w:val="002762FA"/>
    <w:rsid w:val="00277505"/>
    <w:rsid w:val="0029458F"/>
    <w:rsid w:val="00294913"/>
    <w:rsid w:val="002A104C"/>
    <w:rsid w:val="002A3612"/>
    <w:rsid w:val="002A4960"/>
    <w:rsid w:val="002A6B2D"/>
    <w:rsid w:val="002A73F8"/>
    <w:rsid w:val="002B1AE6"/>
    <w:rsid w:val="002B2DE8"/>
    <w:rsid w:val="002B30F8"/>
    <w:rsid w:val="002B5596"/>
    <w:rsid w:val="002C212F"/>
    <w:rsid w:val="002C2BCD"/>
    <w:rsid w:val="002D0FBD"/>
    <w:rsid w:val="002D386C"/>
    <w:rsid w:val="002D4543"/>
    <w:rsid w:val="002E3153"/>
    <w:rsid w:val="002E72CA"/>
    <w:rsid w:val="002F600D"/>
    <w:rsid w:val="00300AD6"/>
    <w:rsid w:val="00314498"/>
    <w:rsid w:val="00317C6C"/>
    <w:rsid w:val="00326E79"/>
    <w:rsid w:val="0033518A"/>
    <w:rsid w:val="003367EF"/>
    <w:rsid w:val="00341AE4"/>
    <w:rsid w:val="003449A4"/>
    <w:rsid w:val="0035208D"/>
    <w:rsid w:val="003840D8"/>
    <w:rsid w:val="003872CF"/>
    <w:rsid w:val="003878C3"/>
    <w:rsid w:val="00392938"/>
    <w:rsid w:val="0039782C"/>
    <w:rsid w:val="003A5B4A"/>
    <w:rsid w:val="003B23C5"/>
    <w:rsid w:val="003B2A75"/>
    <w:rsid w:val="003B3AC2"/>
    <w:rsid w:val="003B6124"/>
    <w:rsid w:val="003C2FB5"/>
    <w:rsid w:val="003C45C4"/>
    <w:rsid w:val="003D4AC4"/>
    <w:rsid w:val="003D63B7"/>
    <w:rsid w:val="003D778F"/>
    <w:rsid w:val="003E468B"/>
    <w:rsid w:val="003F3228"/>
    <w:rsid w:val="003F5C8C"/>
    <w:rsid w:val="003F65F1"/>
    <w:rsid w:val="004055A6"/>
    <w:rsid w:val="00413E4F"/>
    <w:rsid w:val="00417149"/>
    <w:rsid w:val="004252EC"/>
    <w:rsid w:val="004465BD"/>
    <w:rsid w:val="00454405"/>
    <w:rsid w:val="00466ADA"/>
    <w:rsid w:val="004677D9"/>
    <w:rsid w:val="00472FB0"/>
    <w:rsid w:val="00476245"/>
    <w:rsid w:val="00476EE0"/>
    <w:rsid w:val="0048157A"/>
    <w:rsid w:val="00483035"/>
    <w:rsid w:val="00485940"/>
    <w:rsid w:val="004A2484"/>
    <w:rsid w:val="004A4A4F"/>
    <w:rsid w:val="004A5A85"/>
    <w:rsid w:val="004A71D1"/>
    <w:rsid w:val="004B308A"/>
    <w:rsid w:val="004B5640"/>
    <w:rsid w:val="004C1BD7"/>
    <w:rsid w:val="004C31FE"/>
    <w:rsid w:val="004C691D"/>
    <w:rsid w:val="004C6C07"/>
    <w:rsid w:val="004D7416"/>
    <w:rsid w:val="004D7657"/>
    <w:rsid w:val="004E692D"/>
    <w:rsid w:val="00501554"/>
    <w:rsid w:val="00514CD7"/>
    <w:rsid w:val="005237FF"/>
    <w:rsid w:val="00526F63"/>
    <w:rsid w:val="005319B2"/>
    <w:rsid w:val="00532402"/>
    <w:rsid w:val="00532C74"/>
    <w:rsid w:val="00534E2E"/>
    <w:rsid w:val="0053533F"/>
    <w:rsid w:val="00544552"/>
    <w:rsid w:val="00563FD7"/>
    <w:rsid w:val="00577C4D"/>
    <w:rsid w:val="00581932"/>
    <w:rsid w:val="005963BB"/>
    <w:rsid w:val="005A09EC"/>
    <w:rsid w:val="005A3173"/>
    <w:rsid w:val="005A3223"/>
    <w:rsid w:val="005A3DA3"/>
    <w:rsid w:val="005A52C4"/>
    <w:rsid w:val="005D03AB"/>
    <w:rsid w:val="005D316A"/>
    <w:rsid w:val="005D4322"/>
    <w:rsid w:val="005D5017"/>
    <w:rsid w:val="005D518C"/>
    <w:rsid w:val="005E1252"/>
    <w:rsid w:val="005E1333"/>
    <w:rsid w:val="005E6D92"/>
    <w:rsid w:val="005F545C"/>
    <w:rsid w:val="00601A91"/>
    <w:rsid w:val="00602BA3"/>
    <w:rsid w:val="00606EED"/>
    <w:rsid w:val="00612E34"/>
    <w:rsid w:val="00614159"/>
    <w:rsid w:val="00617C00"/>
    <w:rsid w:val="00620DF7"/>
    <w:rsid w:val="00623631"/>
    <w:rsid w:val="006263BF"/>
    <w:rsid w:val="00626550"/>
    <w:rsid w:val="0062748A"/>
    <w:rsid w:val="00630A2C"/>
    <w:rsid w:val="0063682E"/>
    <w:rsid w:val="006378C8"/>
    <w:rsid w:val="006436CD"/>
    <w:rsid w:val="00651169"/>
    <w:rsid w:val="00651B86"/>
    <w:rsid w:val="00653D69"/>
    <w:rsid w:val="00654C47"/>
    <w:rsid w:val="00655749"/>
    <w:rsid w:val="006670BE"/>
    <w:rsid w:val="00670A76"/>
    <w:rsid w:val="006711AA"/>
    <w:rsid w:val="00672B57"/>
    <w:rsid w:val="00675622"/>
    <w:rsid w:val="00675D81"/>
    <w:rsid w:val="0067628A"/>
    <w:rsid w:val="0067747D"/>
    <w:rsid w:val="006906DB"/>
    <w:rsid w:val="00690A1E"/>
    <w:rsid w:val="00691E6C"/>
    <w:rsid w:val="006942A3"/>
    <w:rsid w:val="0069494E"/>
    <w:rsid w:val="00696129"/>
    <w:rsid w:val="00697AA1"/>
    <w:rsid w:val="00697CF2"/>
    <w:rsid w:val="006A058E"/>
    <w:rsid w:val="006A12A5"/>
    <w:rsid w:val="006B0D94"/>
    <w:rsid w:val="006B485D"/>
    <w:rsid w:val="006B4A7D"/>
    <w:rsid w:val="006C708E"/>
    <w:rsid w:val="006D14E7"/>
    <w:rsid w:val="006D6493"/>
    <w:rsid w:val="006D69F1"/>
    <w:rsid w:val="006D6EC7"/>
    <w:rsid w:val="006F5125"/>
    <w:rsid w:val="00702B6F"/>
    <w:rsid w:val="007043EE"/>
    <w:rsid w:val="0071340B"/>
    <w:rsid w:val="007174BB"/>
    <w:rsid w:val="0072025D"/>
    <w:rsid w:val="007337FC"/>
    <w:rsid w:val="007353D3"/>
    <w:rsid w:val="00742BC1"/>
    <w:rsid w:val="0076420C"/>
    <w:rsid w:val="007753C2"/>
    <w:rsid w:val="007838B8"/>
    <w:rsid w:val="00784711"/>
    <w:rsid w:val="007A68A7"/>
    <w:rsid w:val="007C0F57"/>
    <w:rsid w:val="007C40B6"/>
    <w:rsid w:val="007C729F"/>
    <w:rsid w:val="007E1D28"/>
    <w:rsid w:val="007E5075"/>
    <w:rsid w:val="007E6CEB"/>
    <w:rsid w:val="007F0FCE"/>
    <w:rsid w:val="007F2641"/>
    <w:rsid w:val="007F347A"/>
    <w:rsid w:val="007F7C36"/>
    <w:rsid w:val="00806796"/>
    <w:rsid w:val="008151D6"/>
    <w:rsid w:val="00816C7B"/>
    <w:rsid w:val="00823661"/>
    <w:rsid w:val="00826F6D"/>
    <w:rsid w:val="00827016"/>
    <w:rsid w:val="008306F3"/>
    <w:rsid w:val="00852726"/>
    <w:rsid w:val="0085395A"/>
    <w:rsid w:val="00856DDD"/>
    <w:rsid w:val="00863E68"/>
    <w:rsid w:val="00882085"/>
    <w:rsid w:val="00883188"/>
    <w:rsid w:val="00897D58"/>
    <w:rsid w:val="00897F22"/>
    <w:rsid w:val="008A1956"/>
    <w:rsid w:val="008A4937"/>
    <w:rsid w:val="008A50F1"/>
    <w:rsid w:val="008C0092"/>
    <w:rsid w:val="008D1B5C"/>
    <w:rsid w:val="008D3C82"/>
    <w:rsid w:val="008D447E"/>
    <w:rsid w:val="008D7A41"/>
    <w:rsid w:val="008E3680"/>
    <w:rsid w:val="008E5870"/>
    <w:rsid w:val="008F1434"/>
    <w:rsid w:val="008F42CB"/>
    <w:rsid w:val="008F7355"/>
    <w:rsid w:val="00901A39"/>
    <w:rsid w:val="009067B7"/>
    <w:rsid w:val="009250DB"/>
    <w:rsid w:val="00930937"/>
    <w:rsid w:val="00933E6C"/>
    <w:rsid w:val="00937958"/>
    <w:rsid w:val="00942160"/>
    <w:rsid w:val="00944AFB"/>
    <w:rsid w:val="0095146F"/>
    <w:rsid w:val="009602C5"/>
    <w:rsid w:val="00960491"/>
    <w:rsid w:val="00962223"/>
    <w:rsid w:val="0096567E"/>
    <w:rsid w:val="00966D0D"/>
    <w:rsid w:val="00974C21"/>
    <w:rsid w:val="00980296"/>
    <w:rsid w:val="009A1FE6"/>
    <w:rsid w:val="009B0F67"/>
    <w:rsid w:val="009B1A40"/>
    <w:rsid w:val="009B40AE"/>
    <w:rsid w:val="009B50FF"/>
    <w:rsid w:val="009C703C"/>
    <w:rsid w:val="009D3CAA"/>
    <w:rsid w:val="009E40E1"/>
    <w:rsid w:val="009F4E46"/>
    <w:rsid w:val="009F5B65"/>
    <w:rsid w:val="009F5F2E"/>
    <w:rsid w:val="00A06225"/>
    <w:rsid w:val="00A128E6"/>
    <w:rsid w:val="00A34E6C"/>
    <w:rsid w:val="00A37C8D"/>
    <w:rsid w:val="00A51C97"/>
    <w:rsid w:val="00A51F73"/>
    <w:rsid w:val="00A5273B"/>
    <w:rsid w:val="00A53A9D"/>
    <w:rsid w:val="00A546C3"/>
    <w:rsid w:val="00A55FEE"/>
    <w:rsid w:val="00A62C1A"/>
    <w:rsid w:val="00A6426D"/>
    <w:rsid w:val="00A665C1"/>
    <w:rsid w:val="00A70622"/>
    <w:rsid w:val="00A70977"/>
    <w:rsid w:val="00A73413"/>
    <w:rsid w:val="00A77613"/>
    <w:rsid w:val="00A8390C"/>
    <w:rsid w:val="00A878F4"/>
    <w:rsid w:val="00A928BD"/>
    <w:rsid w:val="00AA1989"/>
    <w:rsid w:val="00AA4D1C"/>
    <w:rsid w:val="00AB42BF"/>
    <w:rsid w:val="00AB514F"/>
    <w:rsid w:val="00AC193C"/>
    <w:rsid w:val="00AC5206"/>
    <w:rsid w:val="00AC6128"/>
    <w:rsid w:val="00AC6B62"/>
    <w:rsid w:val="00AD2432"/>
    <w:rsid w:val="00AD48D1"/>
    <w:rsid w:val="00AE11A5"/>
    <w:rsid w:val="00AE13E2"/>
    <w:rsid w:val="00AE22D3"/>
    <w:rsid w:val="00AF1EBD"/>
    <w:rsid w:val="00AF62DF"/>
    <w:rsid w:val="00AF68CC"/>
    <w:rsid w:val="00B1059E"/>
    <w:rsid w:val="00B123ED"/>
    <w:rsid w:val="00B176C8"/>
    <w:rsid w:val="00B205AA"/>
    <w:rsid w:val="00B22E84"/>
    <w:rsid w:val="00B25F75"/>
    <w:rsid w:val="00B26B3F"/>
    <w:rsid w:val="00B34E4C"/>
    <w:rsid w:val="00B43E90"/>
    <w:rsid w:val="00B467DC"/>
    <w:rsid w:val="00B56118"/>
    <w:rsid w:val="00B6773F"/>
    <w:rsid w:val="00B76A9F"/>
    <w:rsid w:val="00B77CBC"/>
    <w:rsid w:val="00B801BA"/>
    <w:rsid w:val="00B84D5C"/>
    <w:rsid w:val="00BB0B45"/>
    <w:rsid w:val="00BB69F5"/>
    <w:rsid w:val="00BB7EC3"/>
    <w:rsid w:val="00BC4365"/>
    <w:rsid w:val="00BC4B9A"/>
    <w:rsid w:val="00BC741E"/>
    <w:rsid w:val="00BD784C"/>
    <w:rsid w:val="00BF4CB6"/>
    <w:rsid w:val="00C00DA7"/>
    <w:rsid w:val="00C05AE8"/>
    <w:rsid w:val="00C1125C"/>
    <w:rsid w:val="00C12768"/>
    <w:rsid w:val="00C217D8"/>
    <w:rsid w:val="00C27B58"/>
    <w:rsid w:val="00C30180"/>
    <w:rsid w:val="00C35996"/>
    <w:rsid w:val="00C424B7"/>
    <w:rsid w:val="00C45C90"/>
    <w:rsid w:val="00C4747E"/>
    <w:rsid w:val="00C5342C"/>
    <w:rsid w:val="00C53DE7"/>
    <w:rsid w:val="00C603D4"/>
    <w:rsid w:val="00C6256A"/>
    <w:rsid w:val="00C77891"/>
    <w:rsid w:val="00C80725"/>
    <w:rsid w:val="00C8726B"/>
    <w:rsid w:val="00C91449"/>
    <w:rsid w:val="00C9191A"/>
    <w:rsid w:val="00C92D10"/>
    <w:rsid w:val="00C9514B"/>
    <w:rsid w:val="00CA0023"/>
    <w:rsid w:val="00CB1AC8"/>
    <w:rsid w:val="00CC1174"/>
    <w:rsid w:val="00CC399A"/>
    <w:rsid w:val="00CE10C4"/>
    <w:rsid w:val="00CE27B5"/>
    <w:rsid w:val="00CE7C17"/>
    <w:rsid w:val="00CF33B3"/>
    <w:rsid w:val="00D0321E"/>
    <w:rsid w:val="00D10F27"/>
    <w:rsid w:val="00D1455A"/>
    <w:rsid w:val="00D27D9E"/>
    <w:rsid w:val="00D31150"/>
    <w:rsid w:val="00D3138B"/>
    <w:rsid w:val="00D3280C"/>
    <w:rsid w:val="00D3406A"/>
    <w:rsid w:val="00D4572C"/>
    <w:rsid w:val="00D469B2"/>
    <w:rsid w:val="00D570B5"/>
    <w:rsid w:val="00D61E44"/>
    <w:rsid w:val="00D62FB6"/>
    <w:rsid w:val="00D644BB"/>
    <w:rsid w:val="00D7147E"/>
    <w:rsid w:val="00D741EB"/>
    <w:rsid w:val="00D7485C"/>
    <w:rsid w:val="00D83605"/>
    <w:rsid w:val="00D84934"/>
    <w:rsid w:val="00D91271"/>
    <w:rsid w:val="00D919F5"/>
    <w:rsid w:val="00D932FF"/>
    <w:rsid w:val="00D94F03"/>
    <w:rsid w:val="00DA2CB5"/>
    <w:rsid w:val="00DA4BAC"/>
    <w:rsid w:val="00DA5DBE"/>
    <w:rsid w:val="00DB4822"/>
    <w:rsid w:val="00DC2409"/>
    <w:rsid w:val="00DC781F"/>
    <w:rsid w:val="00DE0B2A"/>
    <w:rsid w:val="00DE6D27"/>
    <w:rsid w:val="00DF217D"/>
    <w:rsid w:val="00DF26A7"/>
    <w:rsid w:val="00E103AA"/>
    <w:rsid w:val="00E15627"/>
    <w:rsid w:val="00E164B3"/>
    <w:rsid w:val="00E16910"/>
    <w:rsid w:val="00E27149"/>
    <w:rsid w:val="00E27EBB"/>
    <w:rsid w:val="00E33C1B"/>
    <w:rsid w:val="00E42BDB"/>
    <w:rsid w:val="00E53157"/>
    <w:rsid w:val="00E57EEB"/>
    <w:rsid w:val="00E57FA5"/>
    <w:rsid w:val="00E62D94"/>
    <w:rsid w:val="00E65E54"/>
    <w:rsid w:val="00E768E1"/>
    <w:rsid w:val="00E80155"/>
    <w:rsid w:val="00E81F28"/>
    <w:rsid w:val="00E848C0"/>
    <w:rsid w:val="00E8585D"/>
    <w:rsid w:val="00E91B96"/>
    <w:rsid w:val="00E941A1"/>
    <w:rsid w:val="00E957E0"/>
    <w:rsid w:val="00E95CE3"/>
    <w:rsid w:val="00EA2825"/>
    <w:rsid w:val="00EA3622"/>
    <w:rsid w:val="00EA56EB"/>
    <w:rsid w:val="00EB0B63"/>
    <w:rsid w:val="00EB1936"/>
    <w:rsid w:val="00EB5088"/>
    <w:rsid w:val="00EC1734"/>
    <w:rsid w:val="00EC5A03"/>
    <w:rsid w:val="00ED1644"/>
    <w:rsid w:val="00ED2593"/>
    <w:rsid w:val="00ED7D9C"/>
    <w:rsid w:val="00EE5B01"/>
    <w:rsid w:val="00EF3FB7"/>
    <w:rsid w:val="00EF44A0"/>
    <w:rsid w:val="00EF4FED"/>
    <w:rsid w:val="00F050BD"/>
    <w:rsid w:val="00F05657"/>
    <w:rsid w:val="00F076D4"/>
    <w:rsid w:val="00F25578"/>
    <w:rsid w:val="00F258E5"/>
    <w:rsid w:val="00F300BC"/>
    <w:rsid w:val="00F3334E"/>
    <w:rsid w:val="00F35D60"/>
    <w:rsid w:val="00F36CCB"/>
    <w:rsid w:val="00F374E5"/>
    <w:rsid w:val="00F43AF2"/>
    <w:rsid w:val="00F5007E"/>
    <w:rsid w:val="00F50EC4"/>
    <w:rsid w:val="00F550CF"/>
    <w:rsid w:val="00F57A6D"/>
    <w:rsid w:val="00F638CC"/>
    <w:rsid w:val="00F64CC1"/>
    <w:rsid w:val="00F72317"/>
    <w:rsid w:val="00F80475"/>
    <w:rsid w:val="00F8247A"/>
    <w:rsid w:val="00F94524"/>
    <w:rsid w:val="00F9602C"/>
    <w:rsid w:val="00F9629A"/>
    <w:rsid w:val="00F97EFC"/>
    <w:rsid w:val="00FA5883"/>
    <w:rsid w:val="00FA6055"/>
    <w:rsid w:val="00FA73AF"/>
    <w:rsid w:val="00FB322F"/>
    <w:rsid w:val="00FB442F"/>
    <w:rsid w:val="00FC1929"/>
    <w:rsid w:val="00FC5B46"/>
    <w:rsid w:val="00FD6D8E"/>
    <w:rsid w:val="00FE0E94"/>
    <w:rsid w:val="00FE4AE5"/>
    <w:rsid w:val="00FE4C89"/>
    <w:rsid w:val="00FF00BD"/>
    <w:rsid w:val="00FF1ED4"/>
    <w:rsid w:val="00FF2801"/>
    <w:rsid w:val="00FF414B"/>
    <w:rsid w:val="00FF6B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74"/>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semiHidden/>
    <w:unhideWhenUsed/>
    <w:rsid w:val="00AB514F"/>
    <w:rPr>
      <w:sz w:val="20"/>
      <w:szCs w:val="20"/>
    </w:rPr>
  </w:style>
  <w:style w:type="character" w:customStyle="1" w:styleId="FootnoteTextChar">
    <w:name w:val="Footnote Text Char"/>
    <w:basedOn w:val="DefaultParagraphFont"/>
    <w:link w:val="FootnoteText"/>
    <w:semiHidden/>
    <w:rsid w:val="00AB514F"/>
  </w:style>
  <w:style w:type="character" w:styleId="FootnoteReference">
    <w:name w:val="footnote reference"/>
    <w:basedOn w:val="DefaultParagraphFont"/>
    <w:semiHidden/>
    <w:unhideWhenUsed/>
    <w:rsid w:val="00AB514F"/>
    <w:rPr>
      <w:vertAlign w:val="superscript"/>
    </w:rPr>
  </w:style>
  <w:style w:type="paragraph" w:customStyle="1" w:styleId="TableText0">
    <w:name w:val="TableText"/>
    <w:basedOn w:val="Normal"/>
    <w:link w:val="TableTextChar"/>
    <w:qFormat/>
    <w:rsid w:val="000F0C92"/>
    <w:pPr>
      <w:keepNext/>
      <w:spacing w:before="40" w:after="40"/>
      <w:jc w:val="center"/>
    </w:pPr>
    <w:rPr>
      <w:rFonts w:ascii="Calibri" w:hAnsi="Calibri"/>
      <w:iCs/>
      <w:sz w:val="18"/>
      <w:szCs w:val="18"/>
      <w:lang w:eastAsia="en-US"/>
    </w:rPr>
  </w:style>
  <w:style w:type="character" w:customStyle="1" w:styleId="TableTextChar">
    <w:name w:val="TableText Char"/>
    <w:link w:val="TableText0"/>
    <w:rsid w:val="000F0C92"/>
    <w:rPr>
      <w:rFonts w:ascii="Calibri" w:hAnsi="Calibri"/>
      <w:iCs/>
      <w:sz w:val="18"/>
      <w:szCs w:val="18"/>
      <w:lang w:eastAsia="en-US"/>
    </w:rPr>
  </w:style>
  <w:style w:type="paragraph" w:styleId="Caption">
    <w:name w:val="caption"/>
    <w:basedOn w:val="Normal"/>
    <w:next w:val="Normal"/>
    <w:unhideWhenUsed/>
    <w:qFormat/>
    <w:rsid w:val="00D27D9E"/>
    <w:pPr>
      <w:keepNext/>
    </w:pPr>
    <w:rPr>
      <w:rFonts w:ascii="Arial Narrow" w:hAnsi="Arial Narrow" w:cs="Arial"/>
      <w:b/>
      <w:bCs/>
      <w:color w:val="000000" w:themeColor="text1"/>
      <w:sz w:val="20"/>
      <w:szCs w:val="20"/>
    </w:rPr>
  </w:style>
  <w:style w:type="paragraph" w:styleId="Revision">
    <w:name w:val="Revision"/>
    <w:hidden/>
    <w:uiPriority w:val="71"/>
    <w:semiHidden/>
    <w:rsid w:val="007337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505884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847D6-8595-4A0F-ACA7-721A44C7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2019-06-24T01:29:00Z</dcterms:created>
  <dcterms:modified xsi:type="dcterms:W3CDTF">2019-06-30T23:48:00Z</dcterms:modified>
</cp:coreProperties>
</file>