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97" w:rsidRPr="00F7404F" w:rsidRDefault="008A4A70" w:rsidP="00F7404F">
      <w:pPr>
        <w:pStyle w:val="Title"/>
        <w:widowControl/>
        <w:spacing w:before="120" w:after="160"/>
        <w:ind w:left="720" w:hanging="720"/>
        <w:contextualSpacing/>
        <w:jc w:val="left"/>
        <w:rPr>
          <w:rFonts w:asciiTheme="minorHAnsi" w:eastAsiaTheme="majorEastAsia" w:hAnsiTheme="minorHAnsi" w:cstheme="majorBidi"/>
          <w:bCs w:val="0"/>
          <w:snapToGrid/>
          <w:spacing w:val="5"/>
          <w:sz w:val="36"/>
          <w:szCs w:val="36"/>
          <w:lang w:eastAsia="en-AU"/>
        </w:rPr>
      </w:pPr>
      <w:r w:rsidRPr="00F7404F">
        <w:rPr>
          <w:rFonts w:asciiTheme="minorHAnsi" w:eastAsiaTheme="majorEastAsia" w:hAnsiTheme="minorHAnsi" w:cstheme="majorBidi"/>
          <w:bCs w:val="0"/>
          <w:snapToGrid/>
          <w:spacing w:val="5"/>
          <w:sz w:val="36"/>
          <w:szCs w:val="36"/>
          <w:lang w:eastAsia="en-AU"/>
        </w:rPr>
        <w:t>6.04</w:t>
      </w:r>
      <w:r w:rsidR="00B60939" w:rsidRPr="00F7404F">
        <w:rPr>
          <w:rFonts w:asciiTheme="minorHAnsi" w:eastAsiaTheme="majorEastAsia" w:hAnsiTheme="minorHAnsi" w:cstheme="majorBidi"/>
          <w:bCs w:val="0"/>
          <w:snapToGrid/>
          <w:spacing w:val="5"/>
          <w:sz w:val="36"/>
          <w:szCs w:val="36"/>
          <w:lang w:eastAsia="en-AU"/>
        </w:rPr>
        <w:tab/>
      </w:r>
      <w:r w:rsidR="00032B97" w:rsidRPr="00F7404F">
        <w:rPr>
          <w:rFonts w:asciiTheme="minorHAnsi" w:eastAsiaTheme="majorEastAsia" w:hAnsiTheme="minorHAnsi" w:cstheme="majorBidi"/>
          <w:bCs w:val="0"/>
          <w:snapToGrid/>
          <w:spacing w:val="5"/>
          <w:sz w:val="36"/>
          <w:szCs w:val="36"/>
          <w:lang w:eastAsia="en-AU"/>
        </w:rPr>
        <w:t xml:space="preserve">DABRAFENIB, </w:t>
      </w:r>
    </w:p>
    <w:p w:rsidR="00255C4D" w:rsidRPr="00F7404F" w:rsidRDefault="00032B97" w:rsidP="00F7404F">
      <w:pPr>
        <w:pStyle w:val="Title"/>
        <w:widowControl/>
        <w:spacing w:before="120" w:after="160"/>
        <w:ind w:left="1440" w:hanging="720"/>
        <w:contextualSpacing/>
        <w:jc w:val="left"/>
        <w:rPr>
          <w:rFonts w:asciiTheme="minorHAnsi" w:eastAsiaTheme="majorEastAsia" w:hAnsiTheme="minorHAnsi" w:cstheme="majorBidi"/>
          <w:bCs w:val="0"/>
          <w:snapToGrid/>
          <w:spacing w:val="5"/>
          <w:sz w:val="36"/>
          <w:szCs w:val="36"/>
          <w:lang w:eastAsia="en-AU"/>
        </w:rPr>
      </w:pPr>
      <w:r w:rsidRPr="00F7404F">
        <w:rPr>
          <w:rFonts w:asciiTheme="minorHAnsi" w:eastAsiaTheme="majorEastAsia" w:hAnsiTheme="minorHAnsi" w:cstheme="majorBidi"/>
          <w:bCs w:val="0"/>
          <w:snapToGrid/>
          <w:spacing w:val="5"/>
          <w:sz w:val="36"/>
          <w:szCs w:val="36"/>
          <w:lang w:eastAsia="en-AU"/>
        </w:rPr>
        <w:t xml:space="preserve">Capsule </w:t>
      </w:r>
      <w:r w:rsidR="008A4A70" w:rsidRPr="00F7404F">
        <w:rPr>
          <w:rFonts w:asciiTheme="minorHAnsi" w:eastAsiaTheme="majorEastAsia" w:hAnsiTheme="minorHAnsi" w:cstheme="majorBidi"/>
          <w:bCs w:val="0"/>
          <w:snapToGrid/>
          <w:spacing w:val="5"/>
          <w:sz w:val="36"/>
          <w:szCs w:val="36"/>
          <w:lang w:eastAsia="en-AU"/>
        </w:rPr>
        <w:t xml:space="preserve">50 mg, </w:t>
      </w:r>
      <w:r w:rsidRPr="00F7404F">
        <w:rPr>
          <w:rFonts w:asciiTheme="minorHAnsi" w:eastAsiaTheme="majorEastAsia" w:hAnsiTheme="minorHAnsi" w:cstheme="majorBidi"/>
          <w:bCs w:val="0"/>
          <w:snapToGrid/>
          <w:spacing w:val="5"/>
          <w:sz w:val="36"/>
          <w:szCs w:val="36"/>
          <w:lang w:eastAsia="en-AU"/>
        </w:rPr>
        <w:t>75 mg</w:t>
      </w:r>
      <w:r w:rsidR="008064DE" w:rsidRPr="00F7404F">
        <w:rPr>
          <w:rFonts w:asciiTheme="minorHAnsi" w:eastAsiaTheme="majorEastAsia" w:hAnsiTheme="minorHAnsi" w:cstheme="majorBidi"/>
          <w:bCs w:val="0"/>
          <w:snapToGrid/>
          <w:spacing w:val="5"/>
          <w:sz w:val="36"/>
          <w:szCs w:val="36"/>
          <w:lang w:eastAsia="en-AU"/>
        </w:rPr>
        <w:t xml:space="preserve"> (as </w:t>
      </w:r>
      <w:proofErr w:type="spellStart"/>
      <w:r w:rsidR="008064DE" w:rsidRPr="00F7404F">
        <w:rPr>
          <w:rFonts w:asciiTheme="minorHAnsi" w:eastAsiaTheme="majorEastAsia" w:hAnsiTheme="minorHAnsi" w:cstheme="majorBidi"/>
          <w:bCs w:val="0"/>
          <w:snapToGrid/>
          <w:spacing w:val="5"/>
          <w:sz w:val="36"/>
          <w:szCs w:val="36"/>
          <w:lang w:eastAsia="en-AU"/>
        </w:rPr>
        <w:t>mesilate</w:t>
      </w:r>
      <w:proofErr w:type="spellEnd"/>
      <w:r w:rsidR="008064DE" w:rsidRPr="00F7404F">
        <w:rPr>
          <w:rFonts w:asciiTheme="minorHAnsi" w:eastAsiaTheme="majorEastAsia" w:hAnsiTheme="minorHAnsi" w:cstheme="majorBidi"/>
          <w:bCs w:val="0"/>
          <w:snapToGrid/>
          <w:spacing w:val="5"/>
          <w:sz w:val="36"/>
          <w:szCs w:val="36"/>
          <w:lang w:eastAsia="en-AU"/>
        </w:rPr>
        <w:t>)</w:t>
      </w:r>
      <w:r w:rsidRPr="00F7404F">
        <w:rPr>
          <w:rFonts w:asciiTheme="minorHAnsi" w:eastAsiaTheme="majorEastAsia" w:hAnsiTheme="minorHAnsi" w:cstheme="majorBidi"/>
          <w:bCs w:val="0"/>
          <w:snapToGrid/>
          <w:spacing w:val="5"/>
          <w:sz w:val="36"/>
          <w:szCs w:val="36"/>
          <w:lang w:eastAsia="en-AU"/>
        </w:rPr>
        <w:t>,</w:t>
      </w:r>
      <w:r w:rsidR="00C032C8" w:rsidRPr="00F7404F">
        <w:rPr>
          <w:rFonts w:asciiTheme="minorHAnsi" w:eastAsiaTheme="majorEastAsia" w:hAnsiTheme="minorHAnsi" w:cstheme="majorBidi"/>
          <w:bCs w:val="0"/>
          <w:snapToGrid/>
          <w:spacing w:val="5"/>
          <w:sz w:val="36"/>
          <w:szCs w:val="36"/>
          <w:lang w:eastAsia="en-AU"/>
        </w:rPr>
        <w:t xml:space="preserve"> </w:t>
      </w:r>
    </w:p>
    <w:p w:rsidR="00B12DF3" w:rsidRDefault="00032B97" w:rsidP="00F7404F">
      <w:pPr>
        <w:pStyle w:val="Title"/>
        <w:widowControl/>
        <w:spacing w:before="120" w:after="160"/>
        <w:ind w:left="1440" w:hanging="720"/>
        <w:contextualSpacing/>
        <w:jc w:val="left"/>
        <w:rPr>
          <w:rFonts w:asciiTheme="minorHAnsi" w:eastAsiaTheme="majorEastAsia" w:hAnsiTheme="minorHAnsi" w:cstheme="majorBidi"/>
          <w:bCs w:val="0"/>
          <w:snapToGrid/>
          <w:spacing w:val="5"/>
          <w:sz w:val="36"/>
          <w:szCs w:val="36"/>
          <w:lang w:eastAsia="en-AU"/>
        </w:rPr>
      </w:pPr>
      <w:proofErr w:type="spellStart"/>
      <w:r w:rsidRPr="00F7404F">
        <w:rPr>
          <w:rFonts w:asciiTheme="minorHAnsi" w:eastAsiaTheme="majorEastAsia" w:hAnsiTheme="minorHAnsi" w:cstheme="majorBidi"/>
          <w:bCs w:val="0"/>
          <w:snapToGrid/>
          <w:spacing w:val="5"/>
          <w:sz w:val="36"/>
          <w:szCs w:val="36"/>
          <w:lang w:eastAsia="en-AU"/>
        </w:rPr>
        <w:t>T</w:t>
      </w:r>
      <w:r w:rsidR="008064DE" w:rsidRPr="00F7404F">
        <w:rPr>
          <w:rFonts w:asciiTheme="minorHAnsi" w:eastAsiaTheme="majorEastAsia" w:hAnsiTheme="minorHAnsi" w:cstheme="majorBidi"/>
          <w:bCs w:val="0"/>
          <w:snapToGrid/>
          <w:spacing w:val="5"/>
          <w:sz w:val="36"/>
          <w:szCs w:val="36"/>
          <w:lang w:eastAsia="en-AU"/>
        </w:rPr>
        <w:t>afinlar</w:t>
      </w:r>
      <w:proofErr w:type="spellEnd"/>
      <w:r w:rsidR="00F7404F">
        <w:rPr>
          <w:rFonts w:asciiTheme="minorHAnsi" w:eastAsiaTheme="majorEastAsia" w:hAnsiTheme="minorHAnsi" w:cstheme="majorBidi"/>
          <w:bCs w:val="0"/>
          <w:snapToGrid/>
          <w:spacing w:val="5"/>
          <w:sz w:val="36"/>
          <w:szCs w:val="36"/>
          <w:lang w:eastAsia="en-AU"/>
        </w:rPr>
        <w:t xml:space="preserve">®; </w:t>
      </w:r>
    </w:p>
    <w:p w:rsidR="00B12DF3" w:rsidRDefault="00032B97" w:rsidP="00F7404F">
      <w:pPr>
        <w:pStyle w:val="Title"/>
        <w:widowControl/>
        <w:spacing w:before="120" w:after="160"/>
        <w:ind w:left="1440" w:hanging="720"/>
        <w:contextualSpacing/>
        <w:jc w:val="left"/>
        <w:rPr>
          <w:rFonts w:asciiTheme="minorHAnsi" w:eastAsiaTheme="majorEastAsia" w:hAnsiTheme="minorHAnsi" w:cstheme="majorBidi"/>
          <w:bCs w:val="0"/>
          <w:snapToGrid/>
          <w:spacing w:val="5"/>
          <w:sz w:val="36"/>
          <w:szCs w:val="36"/>
          <w:lang w:eastAsia="en-AU"/>
        </w:rPr>
      </w:pPr>
      <w:proofErr w:type="gramStart"/>
      <w:r w:rsidRPr="00F7404F">
        <w:rPr>
          <w:rFonts w:asciiTheme="minorHAnsi" w:eastAsiaTheme="majorEastAsia" w:hAnsiTheme="minorHAnsi" w:cstheme="majorBidi"/>
          <w:bCs w:val="0"/>
          <w:snapToGrid/>
          <w:spacing w:val="5"/>
          <w:sz w:val="36"/>
          <w:szCs w:val="36"/>
          <w:lang w:eastAsia="en-AU"/>
        </w:rPr>
        <w:t>and</w:t>
      </w:r>
      <w:proofErr w:type="gramEnd"/>
      <w:r w:rsidRPr="00F7404F">
        <w:rPr>
          <w:rFonts w:asciiTheme="minorHAnsi" w:eastAsiaTheme="majorEastAsia" w:hAnsiTheme="minorHAnsi" w:cstheme="majorBidi"/>
          <w:bCs w:val="0"/>
          <w:snapToGrid/>
          <w:spacing w:val="5"/>
          <w:sz w:val="36"/>
          <w:szCs w:val="36"/>
          <w:lang w:eastAsia="en-AU"/>
        </w:rPr>
        <w:t xml:space="preserve"> </w:t>
      </w:r>
    </w:p>
    <w:p w:rsidR="00032B97" w:rsidRPr="00F7404F" w:rsidRDefault="00032B97" w:rsidP="00F7404F">
      <w:pPr>
        <w:pStyle w:val="Title"/>
        <w:widowControl/>
        <w:spacing w:before="120" w:after="160"/>
        <w:ind w:left="1440" w:hanging="720"/>
        <w:contextualSpacing/>
        <w:jc w:val="left"/>
        <w:rPr>
          <w:rFonts w:asciiTheme="minorHAnsi" w:eastAsiaTheme="majorEastAsia" w:hAnsiTheme="minorHAnsi" w:cstheme="majorBidi"/>
          <w:bCs w:val="0"/>
          <w:snapToGrid/>
          <w:spacing w:val="5"/>
          <w:sz w:val="36"/>
          <w:szCs w:val="36"/>
          <w:lang w:eastAsia="en-AU"/>
        </w:rPr>
      </w:pPr>
      <w:r w:rsidRPr="00F7404F">
        <w:rPr>
          <w:rFonts w:asciiTheme="minorHAnsi" w:eastAsiaTheme="majorEastAsia" w:hAnsiTheme="minorHAnsi" w:cstheme="majorBidi"/>
          <w:bCs w:val="0"/>
          <w:snapToGrid/>
          <w:spacing w:val="5"/>
          <w:sz w:val="36"/>
          <w:szCs w:val="36"/>
          <w:lang w:eastAsia="en-AU"/>
        </w:rPr>
        <w:t xml:space="preserve">TRAMETINIB, </w:t>
      </w:r>
    </w:p>
    <w:p w:rsidR="00B12DF3" w:rsidRDefault="00032B97" w:rsidP="00F7404F">
      <w:pPr>
        <w:pStyle w:val="Title"/>
        <w:widowControl/>
        <w:spacing w:before="120" w:after="160"/>
        <w:ind w:left="720"/>
        <w:contextualSpacing/>
        <w:jc w:val="left"/>
        <w:rPr>
          <w:rFonts w:asciiTheme="minorHAnsi" w:eastAsiaTheme="majorEastAsia" w:hAnsiTheme="minorHAnsi" w:cstheme="majorBidi"/>
          <w:bCs w:val="0"/>
          <w:snapToGrid/>
          <w:spacing w:val="5"/>
          <w:sz w:val="36"/>
          <w:szCs w:val="36"/>
          <w:lang w:eastAsia="en-AU"/>
        </w:rPr>
      </w:pPr>
      <w:r w:rsidRPr="00F7404F">
        <w:rPr>
          <w:rFonts w:asciiTheme="minorHAnsi" w:eastAsiaTheme="majorEastAsia" w:hAnsiTheme="minorHAnsi" w:cstheme="majorBidi"/>
          <w:bCs w:val="0"/>
          <w:snapToGrid/>
          <w:spacing w:val="5"/>
          <w:sz w:val="36"/>
          <w:szCs w:val="36"/>
          <w:lang w:eastAsia="en-AU"/>
        </w:rPr>
        <w:t xml:space="preserve">Tablet </w:t>
      </w:r>
      <w:r w:rsidR="008A4A70" w:rsidRPr="00F7404F">
        <w:rPr>
          <w:rFonts w:asciiTheme="minorHAnsi" w:eastAsiaTheme="majorEastAsia" w:hAnsiTheme="minorHAnsi" w:cstheme="majorBidi"/>
          <w:bCs w:val="0"/>
          <w:snapToGrid/>
          <w:spacing w:val="5"/>
          <w:sz w:val="36"/>
          <w:szCs w:val="36"/>
          <w:lang w:eastAsia="en-AU"/>
        </w:rPr>
        <w:t>500 microgram</w:t>
      </w:r>
      <w:r w:rsidR="008064DE" w:rsidRPr="00F7404F">
        <w:rPr>
          <w:rFonts w:asciiTheme="minorHAnsi" w:eastAsiaTheme="majorEastAsia" w:hAnsiTheme="minorHAnsi" w:cstheme="majorBidi"/>
          <w:bCs w:val="0"/>
          <w:snapToGrid/>
          <w:spacing w:val="5"/>
          <w:sz w:val="36"/>
          <w:szCs w:val="36"/>
          <w:lang w:eastAsia="en-AU"/>
        </w:rPr>
        <w:t>s</w:t>
      </w:r>
      <w:r w:rsidR="008A4A70" w:rsidRPr="00F7404F">
        <w:rPr>
          <w:rFonts w:asciiTheme="minorHAnsi" w:eastAsiaTheme="majorEastAsia" w:hAnsiTheme="minorHAnsi" w:cstheme="majorBidi"/>
          <w:bCs w:val="0"/>
          <w:snapToGrid/>
          <w:spacing w:val="5"/>
          <w:sz w:val="36"/>
          <w:szCs w:val="36"/>
          <w:lang w:eastAsia="en-AU"/>
        </w:rPr>
        <w:t xml:space="preserve">, </w:t>
      </w:r>
      <w:r w:rsidRPr="00F7404F">
        <w:rPr>
          <w:rFonts w:asciiTheme="minorHAnsi" w:eastAsiaTheme="majorEastAsia" w:hAnsiTheme="minorHAnsi" w:cstheme="majorBidi"/>
          <w:bCs w:val="0"/>
          <w:snapToGrid/>
          <w:spacing w:val="5"/>
          <w:sz w:val="36"/>
          <w:szCs w:val="36"/>
          <w:lang w:eastAsia="en-AU"/>
        </w:rPr>
        <w:t>2 mg</w:t>
      </w:r>
      <w:r w:rsidR="008A4A70" w:rsidRPr="00F7404F">
        <w:rPr>
          <w:rFonts w:asciiTheme="minorHAnsi" w:eastAsiaTheme="majorEastAsia" w:hAnsiTheme="minorHAnsi" w:cstheme="majorBidi"/>
          <w:bCs w:val="0"/>
          <w:snapToGrid/>
          <w:spacing w:val="5"/>
          <w:sz w:val="36"/>
          <w:szCs w:val="36"/>
          <w:lang w:eastAsia="en-AU"/>
        </w:rPr>
        <w:t>,</w:t>
      </w:r>
      <w:r w:rsidRPr="00F7404F">
        <w:rPr>
          <w:rFonts w:asciiTheme="minorHAnsi" w:eastAsiaTheme="majorEastAsia" w:hAnsiTheme="minorHAnsi" w:cstheme="majorBidi"/>
          <w:bCs w:val="0"/>
          <w:snapToGrid/>
          <w:spacing w:val="5"/>
          <w:sz w:val="36"/>
          <w:szCs w:val="36"/>
          <w:lang w:eastAsia="en-AU"/>
        </w:rPr>
        <w:t xml:space="preserve"> </w:t>
      </w:r>
    </w:p>
    <w:p w:rsidR="00032B97" w:rsidRPr="00F7404F" w:rsidRDefault="00032B97" w:rsidP="00F7404F">
      <w:pPr>
        <w:pStyle w:val="Title"/>
        <w:widowControl/>
        <w:spacing w:before="120" w:after="160"/>
        <w:ind w:left="720"/>
        <w:contextualSpacing/>
        <w:jc w:val="left"/>
        <w:rPr>
          <w:rFonts w:asciiTheme="minorHAnsi" w:eastAsiaTheme="majorEastAsia" w:hAnsiTheme="minorHAnsi" w:cstheme="majorBidi"/>
          <w:bCs w:val="0"/>
          <w:snapToGrid/>
          <w:spacing w:val="5"/>
          <w:sz w:val="36"/>
          <w:szCs w:val="36"/>
          <w:lang w:eastAsia="en-AU"/>
        </w:rPr>
      </w:pPr>
      <w:proofErr w:type="spellStart"/>
      <w:r w:rsidRPr="00F7404F">
        <w:rPr>
          <w:rFonts w:asciiTheme="minorHAnsi" w:eastAsiaTheme="majorEastAsia" w:hAnsiTheme="minorHAnsi" w:cstheme="majorBidi"/>
          <w:bCs w:val="0"/>
          <w:snapToGrid/>
          <w:spacing w:val="5"/>
          <w:sz w:val="36"/>
          <w:szCs w:val="36"/>
          <w:lang w:eastAsia="en-AU"/>
        </w:rPr>
        <w:t>M</w:t>
      </w:r>
      <w:r w:rsidR="008064DE" w:rsidRPr="00F7404F">
        <w:rPr>
          <w:rFonts w:asciiTheme="minorHAnsi" w:eastAsiaTheme="majorEastAsia" w:hAnsiTheme="minorHAnsi" w:cstheme="majorBidi"/>
          <w:bCs w:val="0"/>
          <w:snapToGrid/>
          <w:spacing w:val="5"/>
          <w:sz w:val="36"/>
          <w:szCs w:val="36"/>
          <w:lang w:eastAsia="en-AU"/>
        </w:rPr>
        <w:t>ekinist</w:t>
      </w:r>
      <w:proofErr w:type="spellEnd"/>
      <w:r w:rsidRPr="00F7404F">
        <w:rPr>
          <w:rFonts w:asciiTheme="minorHAnsi" w:eastAsiaTheme="majorEastAsia" w:hAnsiTheme="minorHAnsi" w:cstheme="majorBidi"/>
          <w:bCs w:val="0"/>
          <w:snapToGrid/>
          <w:spacing w:val="5"/>
          <w:sz w:val="36"/>
          <w:szCs w:val="36"/>
          <w:lang w:eastAsia="en-AU"/>
        </w:rPr>
        <w:t>®,</w:t>
      </w:r>
    </w:p>
    <w:p w:rsidR="00032B97" w:rsidRPr="00F7404F" w:rsidRDefault="00032B97" w:rsidP="00F7404F">
      <w:pPr>
        <w:pStyle w:val="Title"/>
        <w:widowControl/>
        <w:spacing w:before="120" w:after="160"/>
        <w:ind w:left="1440" w:hanging="720"/>
        <w:contextualSpacing/>
        <w:jc w:val="left"/>
        <w:rPr>
          <w:rFonts w:asciiTheme="minorHAnsi" w:eastAsiaTheme="majorEastAsia" w:hAnsiTheme="minorHAnsi" w:cstheme="majorBidi"/>
          <w:bCs w:val="0"/>
          <w:snapToGrid/>
          <w:spacing w:val="5"/>
          <w:sz w:val="36"/>
          <w:szCs w:val="36"/>
          <w:lang w:eastAsia="en-AU"/>
        </w:rPr>
      </w:pPr>
      <w:r w:rsidRPr="00F7404F">
        <w:rPr>
          <w:rFonts w:asciiTheme="minorHAnsi" w:eastAsiaTheme="majorEastAsia" w:hAnsiTheme="minorHAnsi" w:cstheme="majorBidi"/>
          <w:bCs w:val="0"/>
          <w:snapToGrid/>
          <w:spacing w:val="5"/>
          <w:sz w:val="36"/>
          <w:szCs w:val="36"/>
          <w:lang w:eastAsia="en-AU"/>
        </w:rPr>
        <w:t>Novartis Pharmaceuticals Australia</w:t>
      </w:r>
      <w:r w:rsidR="007F3F04" w:rsidRPr="00F7404F">
        <w:rPr>
          <w:rFonts w:asciiTheme="minorHAnsi" w:eastAsiaTheme="majorEastAsia" w:hAnsiTheme="minorHAnsi" w:cstheme="majorBidi"/>
          <w:bCs w:val="0"/>
          <w:snapToGrid/>
          <w:spacing w:val="5"/>
          <w:sz w:val="36"/>
          <w:szCs w:val="36"/>
          <w:lang w:eastAsia="en-AU"/>
        </w:rPr>
        <w:t xml:space="preserve"> </w:t>
      </w:r>
    </w:p>
    <w:p w:rsidR="00B60939" w:rsidRPr="007579E2" w:rsidRDefault="00B50DB8" w:rsidP="00CB615F">
      <w:pPr>
        <w:pStyle w:val="Heading1"/>
        <w:spacing w:before="120"/>
      </w:pPr>
      <w:bookmarkStart w:id="0" w:name="_Toc536007992"/>
      <w:r w:rsidRPr="007579E2">
        <w:t>Purpose of Application</w:t>
      </w:r>
      <w:bookmarkEnd w:id="0"/>
    </w:p>
    <w:p w:rsidR="006B665B" w:rsidRPr="007579E2" w:rsidRDefault="006B665B" w:rsidP="00CB615F">
      <w:pPr>
        <w:pStyle w:val="ListParagraph"/>
        <w:widowControl/>
        <w:numPr>
          <w:ilvl w:val="1"/>
          <w:numId w:val="2"/>
        </w:numPr>
        <w:spacing w:before="120"/>
      </w:pPr>
      <w:r w:rsidRPr="007579E2">
        <w:t xml:space="preserve">The submission requested an Authority Required </w:t>
      </w:r>
      <w:r w:rsidR="008064DE" w:rsidRPr="007579E2">
        <w:t xml:space="preserve">(STREAMLINED) </w:t>
      </w:r>
      <w:r w:rsidRPr="007579E2">
        <w:t xml:space="preserve">listing for </w:t>
      </w:r>
      <w:proofErr w:type="spellStart"/>
      <w:r w:rsidRPr="007579E2">
        <w:t>dabrafenib</w:t>
      </w:r>
      <w:proofErr w:type="spellEnd"/>
      <w:r w:rsidR="00C30BE1" w:rsidRPr="007579E2">
        <w:t xml:space="preserve"> (a BRAF inhibitor)</w:t>
      </w:r>
      <w:r w:rsidRPr="007579E2">
        <w:t xml:space="preserve"> in combination with </w:t>
      </w:r>
      <w:proofErr w:type="spellStart"/>
      <w:r w:rsidRPr="007579E2">
        <w:t>trametinib</w:t>
      </w:r>
      <w:proofErr w:type="spellEnd"/>
      <w:r w:rsidR="00C30BE1" w:rsidRPr="007579E2">
        <w:t xml:space="preserve"> (a </w:t>
      </w:r>
      <w:r w:rsidR="00D9648C" w:rsidRPr="007579E2">
        <w:t>mitogen-activated extracellular signal regulated kinase (</w:t>
      </w:r>
      <w:r w:rsidR="00C30BE1" w:rsidRPr="007579E2">
        <w:t>MEK</w:t>
      </w:r>
      <w:r w:rsidR="00D9648C" w:rsidRPr="007579E2">
        <w:t>)</w:t>
      </w:r>
      <w:r w:rsidR="00C30BE1" w:rsidRPr="007579E2">
        <w:t xml:space="preserve"> inhibitor)</w:t>
      </w:r>
      <w:r w:rsidRPr="007579E2">
        <w:t xml:space="preserve"> as adjuvant treatment for BRAF </w:t>
      </w:r>
      <w:r w:rsidR="00062744" w:rsidRPr="007579E2">
        <w:t xml:space="preserve">V600 </w:t>
      </w:r>
      <w:r w:rsidRPr="007579E2">
        <w:t xml:space="preserve">mutation positive patients with completely resected Stage III melanoma. </w:t>
      </w:r>
      <w:r w:rsidR="009637AE" w:rsidRPr="007579E2">
        <w:t>This wa</w:t>
      </w:r>
      <w:r w:rsidRPr="007579E2">
        <w:t xml:space="preserve">s the first submission to PBAC for </w:t>
      </w:r>
      <w:proofErr w:type="spellStart"/>
      <w:r w:rsidRPr="007579E2">
        <w:t>dabrafenib+trametinib</w:t>
      </w:r>
      <w:proofErr w:type="spellEnd"/>
      <w:r w:rsidRPr="007579E2">
        <w:t xml:space="preserve"> in this indication. </w:t>
      </w:r>
    </w:p>
    <w:p w:rsidR="006B665B" w:rsidRPr="007579E2" w:rsidRDefault="006B665B" w:rsidP="00CB615F">
      <w:pPr>
        <w:pStyle w:val="ListParagraph"/>
        <w:widowControl/>
        <w:numPr>
          <w:ilvl w:val="1"/>
          <w:numId w:val="2"/>
        </w:numPr>
        <w:spacing w:before="120"/>
      </w:pPr>
      <w:r w:rsidRPr="007579E2">
        <w:t xml:space="preserve">The submission was based on a cost-utility analysis of </w:t>
      </w:r>
      <w:proofErr w:type="spellStart"/>
      <w:r w:rsidRPr="007579E2">
        <w:t>dabrafenib+trametinib</w:t>
      </w:r>
      <w:proofErr w:type="spellEnd"/>
      <w:r w:rsidRPr="007579E2">
        <w:t xml:space="preserve"> compared with no active treatment in the proposed population. The key components of the clinical issue addressed by the submission are summarised below.</w:t>
      </w:r>
    </w:p>
    <w:p w:rsidR="008B1757" w:rsidRPr="007579E2" w:rsidRDefault="006B665B" w:rsidP="007E6F21">
      <w:pPr>
        <w:pStyle w:val="Caption"/>
        <w:widowControl/>
        <w:rPr>
          <w:rStyle w:val="CommentReference"/>
          <w:b/>
        </w:rPr>
      </w:pPr>
      <w:r w:rsidRPr="007579E2">
        <w:t xml:space="preserve">Table </w:t>
      </w:r>
      <w:r w:rsidR="0043437E" w:rsidRPr="007579E2">
        <w:t>1</w:t>
      </w:r>
      <w:r w:rsidRPr="007579E2">
        <w:t>:</w:t>
      </w:r>
      <w:r w:rsidRPr="007579E2">
        <w:rPr>
          <w:b w:val="0"/>
        </w:rPr>
        <w:t xml:space="preserve"> </w:t>
      </w:r>
      <w:r w:rsidRPr="007579E2">
        <w:rPr>
          <w:rStyle w:val="CommentReference"/>
          <w:b/>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413"/>
        <w:gridCol w:w="7604"/>
      </w:tblGrid>
      <w:tr w:rsidR="006B665B" w:rsidRPr="007579E2" w:rsidTr="00F43BAB">
        <w:trPr>
          <w:trHeight w:val="57"/>
        </w:trPr>
        <w:tc>
          <w:tcPr>
            <w:tcW w:w="1413" w:type="dxa"/>
          </w:tcPr>
          <w:p w:rsidR="006B665B" w:rsidRPr="007579E2" w:rsidRDefault="006B665B" w:rsidP="007E6F21">
            <w:pPr>
              <w:pStyle w:val="Tabletext"/>
              <w:keepNext/>
              <w:rPr>
                <w:b/>
              </w:rPr>
            </w:pPr>
            <w:r w:rsidRPr="007579E2">
              <w:rPr>
                <w:b/>
              </w:rPr>
              <w:t>Component</w:t>
            </w:r>
          </w:p>
        </w:tc>
        <w:tc>
          <w:tcPr>
            <w:tcW w:w="7604" w:type="dxa"/>
          </w:tcPr>
          <w:p w:rsidR="006B665B" w:rsidRPr="007579E2" w:rsidRDefault="006B665B" w:rsidP="007E6F21">
            <w:pPr>
              <w:pStyle w:val="Tabletext"/>
              <w:keepNext/>
              <w:rPr>
                <w:b/>
              </w:rPr>
            </w:pPr>
            <w:r w:rsidRPr="007579E2">
              <w:rPr>
                <w:b/>
              </w:rPr>
              <w:t>Description</w:t>
            </w:r>
          </w:p>
        </w:tc>
      </w:tr>
      <w:tr w:rsidR="006B665B" w:rsidRPr="007579E2" w:rsidTr="00F43BAB">
        <w:trPr>
          <w:trHeight w:val="57"/>
        </w:trPr>
        <w:tc>
          <w:tcPr>
            <w:tcW w:w="1413" w:type="dxa"/>
          </w:tcPr>
          <w:p w:rsidR="006B665B" w:rsidRPr="007579E2" w:rsidRDefault="006B665B" w:rsidP="007E6F21">
            <w:pPr>
              <w:pStyle w:val="Tabletext"/>
              <w:keepNext/>
            </w:pPr>
            <w:r w:rsidRPr="007579E2">
              <w:t>Population</w:t>
            </w:r>
          </w:p>
        </w:tc>
        <w:tc>
          <w:tcPr>
            <w:tcW w:w="7604" w:type="dxa"/>
          </w:tcPr>
          <w:p w:rsidR="006B665B" w:rsidRPr="007579E2" w:rsidRDefault="006B665B" w:rsidP="007E6F21">
            <w:pPr>
              <w:pStyle w:val="Tabletext"/>
              <w:keepNext/>
              <w:rPr>
                <w:i/>
              </w:rPr>
            </w:pPr>
            <w:r w:rsidRPr="007579E2">
              <w:t>Patients with resected Stage III melanoma with BRAF V600 positive mutations</w:t>
            </w:r>
            <w:r w:rsidR="00ED65F8" w:rsidRPr="007579E2">
              <w:t>.</w:t>
            </w:r>
          </w:p>
        </w:tc>
      </w:tr>
      <w:tr w:rsidR="006B665B" w:rsidRPr="007579E2" w:rsidTr="00F43BAB">
        <w:trPr>
          <w:trHeight w:val="57"/>
        </w:trPr>
        <w:tc>
          <w:tcPr>
            <w:tcW w:w="1413" w:type="dxa"/>
          </w:tcPr>
          <w:p w:rsidR="006B665B" w:rsidRPr="007579E2" w:rsidRDefault="006B665B" w:rsidP="007E6F21">
            <w:pPr>
              <w:pStyle w:val="Tabletext"/>
              <w:keepNext/>
            </w:pPr>
            <w:r w:rsidRPr="007579E2">
              <w:t>Intervention</w:t>
            </w:r>
          </w:p>
        </w:tc>
        <w:tc>
          <w:tcPr>
            <w:tcW w:w="7604" w:type="dxa"/>
          </w:tcPr>
          <w:p w:rsidR="006B665B" w:rsidRPr="007579E2" w:rsidRDefault="006B665B" w:rsidP="007E6F21">
            <w:pPr>
              <w:pStyle w:val="Tabletext"/>
              <w:keepNext/>
            </w:pPr>
            <w:proofErr w:type="spellStart"/>
            <w:r w:rsidRPr="007579E2">
              <w:t>Dabrafenib</w:t>
            </w:r>
            <w:proofErr w:type="spellEnd"/>
            <w:r w:rsidRPr="007579E2">
              <w:t xml:space="preserve"> 150 mg twice daily in combination with </w:t>
            </w:r>
            <w:proofErr w:type="spellStart"/>
            <w:r w:rsidRPr="007579E2">
              <w:t>trametinib</w:t>
            </w:r>
            <w:proofErr w:type="spellEnd"/>
            <w:r w:rsidRPr="007579E2">
              <w:t xml:space="preserve"> 2 mg once daily until disease relapse or unacceptable toxicity, for a maximum of 12 months</w:t>
            </w:r>
            <w:r w:rsidR="00ED65F8" w:rsidRPr="007579E2">
              <w:t>.</w:t>
            </w:r>
          </w:p>
          <w:p w:rsidR="006B665B" w:rsidRPr="007579E2" w:rsidRDefault="006B665B" w:rsidP="007E6F21">
            <w:pPr>
              <w:pStyle w:val="Tabletext"/>
              <w:keepNext/>
            </w:pPr>
            <w:r w:rsidRPr="007579E2">
              <w:t>Treatment must be adjuvant to complete surgical resection</w:t>
            </w:r>
            <w:r w:rsidR="00ED65F8" w:rsidRPr="007579E2">
              <w:t>.</w:t>
            </w:r>
          </w:p>
        </w:tc>
      </w:tr>
      <w:tr w:rsidR="006B665B" w:rsidRPr="007579E2" w:rsidTr="00F43BAB">
        <w:trPr>
          <w:trHeight w:val="57"/>
        </w:trPr>
        <w:tc>
          <w:tcPr>
            <w:tcW w:w="1413" w:type="dxa"/>
          </w:tcPr>
          <w:p w:rsidR="006B665B" w:rsidRPr="007579E2" w:rsidRDefault="006B665B" w:rsidP="007E6F21">
            <w:pPr>
              <w:pStyle w:val="Tabletext"/>
              <w:keepNext/>
            </w:pPr>
            <w:r w:rsidRPr="007579E2">
              <w:t>Comparator</w:t>
            </w:r>
          </w:p>
        </w:tc>
        <w:tc>
          <w:tcPr>
            <w:tcW w:w="7604" w:type="dxa"/>
          </w:tcPr>
          <w:p w:rsidR="006B665B" w:rsidRPr="007579E2" w:rsidRDefault="006B665B" w:rsidP="007E6F21">
            <w:pPr>
              <w:pStyle w:val="Tabletext"/>
              <w:keepNext/>
            </w:pPr>
            <w:r w:rsidRPr="007579E2">
              <w:t>Routine follow-up (consisting of clinician visits and radiological imaging)</w:t>
            </w:r>
            <w:r w:rsidR="00ED65F8" w:rsidRPr="007579E2">
              <w:t>.</w:t>
            </w:r>
          </w:p>
          <w:p w:rsidR="006B665B" w:rsidRPr="007579E2" w:rsidRDefault="006B665B" w:rsidP="007E6F21">
            <w:pPr>
              <w:pStyle w:val="Tabletext"/>
              <w:keepNext/>
            </w:pPr>
            <w:proofErr w:type="spellStart"/>
            <w:r w:rsidRPr="007579E2">
              <w:t>Nivolumab</w:t>
            </w:r>
            <w:proofErr w:type="spellEnd"/>
            <w:r w:rsidRPr="007579E2">
              <w:t xml:space="preserve"> and </w:t>
            </w:r>
            <w:proofErr w:type="spellStart"/>
            <w:r w:rsidRPr="007579E2">
              <w:t>pembrolizumab</w:t>
            </w:r>
            <w:proofErr w:type="spellEnd"/>
            <w:r w:rsidRPr="007579E2">
              <w:t xml:space="preserve"> as near market comparators.</w:t>
            </w:r>
          </w:p>
        </w:tc>
      </w:tr>
      <w:tr w:rsidR="006B665B" w:rsidRPr="007579E2" w:rsidTr="00F43BAB">
        <w:trPr>
          <w:trHeight w:val="57"/>
        </w:trPr>
        <w:tc>
          <w:tcPr>
            <w:tcW w:w="1413" w:type="dxa"/>
          </w:tcPr>
          <w:p w:rsidR="006B665B" w:rsidRPr="007579E2" w:rsidRDefault="006B665B" w:rsidP="007E6F21">
            <w:pPr>
              <w:pStyle w:val="Tabletext"/>
              <w:keepNext/>
            </w:pPr>
            <w:r w:rsidRPr="007579E2">
              <w:t>Main outcomes</w:t>
            </w:r>
          </w:p>
        </w:tc>
        <w:tc>
          <w:tcPr>
            <w:tcW w:w="7604" w:type="dxa"/>
          </w:tcPr>
          <w:p w:rsidR="006B665B" w:rsidRPr="007579E2" w:rsidRDefault="006B665B" w:rsidP="007E6F21">
            <w:pPr>
              <w:pStyle w:val="Tabletext"/>
              <w:keepNext/>
            </w:pPr>
            <w:r w:rsidRPr="007579E2">
              <w:t>Relapse-free survival, overall survival</w:t>
            </w:r>
            <w:r w:rsidR="00ED65F8" w:rsidRPr="007579E2">
              <w:t>.</w:t>
            </w:r>
          </w:p>
          <w:p w:rsidR="006B665B" w:rsidRPr="007579E2" w:rsidRDefault="006B665B" w:rsidP="007E6F21">
            <w:pPr>
              <w:pStyle w:val="Tabletext"/>
              <w:keepNext/>
            </w:pPr>
            <w:r w:rsidRPr="007579E2">
              <w:t>The submission also presented outcomes of DMFS, FFR, AEs and SAEs and quality of life (EQ-5D)</w:t>
            </w:r>
            <w:r w:rsidR="00ED65F8" w:rsidRPr="007579E2">
              <w:t>.</w:t>
            </w:r>
            <w:r w:rsidRPr="007579E2">
              <w:t xml:space="preserve"> </w:t>
            </w:r>
          </w:p>
        </w:tc>
      </w:tr>
      <w:tr w:rsidR="006B665B" w:rsidRPr="007579E2" w:rsidTr="00F43BAB">
        <w:trPr>
          <w:trHeight w:val="57"/>
        </w:trPr>
        <w:tc>
          <w:tcPr>
            <w:tcW w:w="1413" w:type="dxa"/>
          </w:tcPr>
          <w:p w:rsidR="006B665B" w:rsidRPr="007579E2" w:rsidRDefault="006B665B" w:rsidP="007E6F21">
            <w:pPr>
              <w:pStyle w:val="Tabletext"/>
              <w:keepNext/>
            </w:pPr>
            <w:r w:rsidRPr="007579E2">
              <w:t>Therapeutic claim</w:t>
            </w:r>
          </w:p>
        </w:tc>
        <w:tc>
          <w:tcPr>
            <w:tcW w:w="7604" w:type="dxa"/>
          </w:tcPr>
          <w:p w:rsidR="006B665B" w:rsidRPr="007579E2" w:rsidRDefault="006B665B" w:rsidP="007E6F21">
            <w:pPr>
              <w:pStyle w:val="Tabletext"/>
              <w:keepNext/>
            </w:pPr>
            <w:proofErr w:type="spellStart"/>
            <w:r w:rsidRPr="007579E2">
              <w:t>Dabrafenib</w:t>
            </w:r>
            <w:proofErr w:type="spellEnd"/>
            <w:r w:rsidRPr="007579E2">
              <w:t xml:space="preserve"> in combination with </w:t>
            </w:r>
            <w:proofErr w:type="spellStart"/>
            <w:r w:rsidRPr="007579E2">
              <w:t>trametinib</w:t>
            </w:r>
            <w:proofErr w:type="spellEnd"/>
            <w:r w:rsidRPr="007579E2">
              <w:t xml:space="preserve"> is more effective than routine follow-up at improving relapse-free survival and overall survival, in patients with resected Stage III melanoma with BRAF V600 mutations. It is inferior in terms of safety to routine follow-up.</w:t>
            </w:r>
          </w:p>
        </w:tc>
      </w:tr>
    </w:tbl>
    <w:p w:rsidR="006B665B" w:rsidRPr="007579E2" w:rsidRDefault="006B665B" w:rsidP="007E6F21">
      <w:pPr>
        <w:pStyle w:val="TableFooter"/>
        <w:widowControl/>
      </w:pPr>
      <w:r w:rsidRPr="007579E2">
        <w:t>AE</w:t>
      </w:r>
      <w:r w:rsidR="000B1BDB" w:rsidRPr="007579E2">
        <w:t xml:space="preserve"> </w:t>
      </w:r>
      <w:r w:rsidRPr="007579E2">
        <w:t>=</w:t>
      </w:r>
      <w:r w:rsidR="000B1BDB" w:rsidRPr="007579E2">
        <w:t xml:space="preserve"> </w:t>
      </w:r>
      <w:r w:rsidRPr="007579E2">
        <w:t>adverse event; DMFS</w:t>
      </w:r>
      <w:r w:rsidR="000B1BDB" w:rsidRPr="007579E2">
        <w:t xml:space="preserve"> </w:t>
      </w:r>
      <w:r w:rsidRPr="007579E2">
        <w:t>=</w:t>
      </w:r>
      <w:r w:rsidR="000B1BDB" w:rsidRPr="007579E2">
        <w:t xml:space="preserve"> </w:t>
      </w:r>
      <w:r w:rsidRPr="007579E2">
        <w:t>distant metastases-free survival; FFR</w:t>
      </w:r>
      <w:r w:rsidR="000B1BDB" w:rsidRPr="007579E2">
        <w:t xml:space="preserve"> </w:t>
      </w:r>
      <w:r w:rsidRPr="007579E2">
        <w:t>=</w:t>
      </w:r>
      <w:r w:rsidR="000B1BDB" w:rsidRPr="007579E2">
        <w:t xml:space="preserve"> </w:t>
      </w:r>
      <w:r w:rsidRPr="007579E2">
        <w:t>freedom from relapse</w:t>
      </w:r>
      <w:r w:rsidR="00032B97" w:rsidRPr="007579E2">
        <w:t>; SAE = serious adverse event</w:t>
      </w:r>
    </w:p>
    <w:p w:rsidR="006B665B" w:rsidRPr="007579E2" w:rsidRDefault="006B665B" w:rsidP="007E6F21">
      <w:pPr>
        <w:pStyle w:val="TableFooter"/>
        <w:widowControl/>
      </w:pPr>
      <w:r w:rsidRPr="007579E2">
        <w:t>Source: Table1.1-1, p 5 of the submission</w:t>
      </w:r>
    </w:p>
    <w:p w:rsidR="00AF7593" w:rsidRPr="007579E2" w:rsidRDefault="00B50DB8" w:rsidP="00153CAC">
      <w:pPr>
        <w:pStyle w:val="Heading1"/>
        <w:spacing w:before="120"/>
      </w:pPr>
      <w:bookmarkStart w:id="1" w:name="_Toc536007993"/>
      <w:r w:rsidRPr="007579E2">
        <w:t>Requested listing</w:t>
      </w:r>
      <w:bookmarkEnd w:id="1"/>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254"/>
        <w:gridCol w:w="1353"/>
        <w:gridCol w:w="1871"/>
        <w:gridCol w:w="2138"/>
      </w:tblGrid>
      <w:tr w:rsidR="00FC5C52" w:rsidRPr="007579E2" w:rsidTr="00866AE2">
        <w:tc>
          <w:tcPr>
            <w:tcW w:w="0" w:type="auto"/>
            <w:tcBorders>
              <w:left w:val="nil"/>
              <w:bottom w:val="single" w:sz="4" w:space="0" w:color="auto"/>
              <w:right w:val="nil"/>
            </w:tcBorders>
          </w:tcPr>
          <w:p w:rsidR="00FC5C52" w:rsidRPr="007579E2" w:rsidRDefault="00FC5C52" w:rsidP="007E6F21">
            <w:pPr>
              <w:pStyle w:val="Tabletext"/>
              <w:rPr>
                <w:b/>
                <w:bCs/>
              </w:rPr>
            </w:pPr>
            <w:r w:rsidRPr="007579E2">
              <w:rPr>
                <w:b/>
              </w:rPr>
              <w:t>Name, restriction, manner of administration, form</w:t>
            </w:r>
          </w:p>
        </w:tc>
        <w:tc>
          <w:tcPr>
            <w:tcW w:w="1254" w:type="dxa"/>
            <w:tcBorders>
              <w:left w:val="nil"/>
              <w:bottom w:val="single" w:sz="4" w:space="0" w:color="auto"/>
              <w:right w:val="nil"/>
            </w:tcBorders>
          </w:tcPr>
          <w:p w:rsidR="00FC5C52" w:rsidRPr="007579E2" w:rsidRDefault="00FC5C52" w:rsidP="007E6F21">
            <w:pPr>
              <w:pStyle w:val="Tabletext"/>
              <w:jc w:val="center"/>
              <w:rPr>
                <w:b/>
                <w:bCs/>
              </w:rPr>
            </w:pPr>
            <w:r w:rsidRPr="007579E2">
              <w:rPr>
                <w:b/>
              </w:rPr>
              <w:t>Maximum quantity (packs)</w:t>
            </w:r>
          </w:p>
        </w:tc>
        <w:tc>
          <w:tcPr>
            <w:tcW w:w="1353" w:type="dxa"/>
            <w:tcBorders>
              <w:left w:val="nil"/>
              <w:bottom w:val="single" w:sz="4" w:space="0" w:color="auto"/>
              <w:right w:val="nil"/>
            </w:tcBorders>
          </w:tcPr>
          <w:p w:rsidR="00FC5C52" w:rsidRPr="007579E2" w:rsidRDefault="00FC5C52" w:rsidP="007E6F21">
            <w:pPr>
              <w:pStyle w:val="Tabletext"/>
              <w:jc w:val="center"/>
              <w:rPr>
                <w:b/>
                <w:bCs/>
              </w:rPr>
            </w:pPr>
            <w:r w:rsidRPr="007579E2">
              <w:rPr>
                <w:b/>
              </w:rPr>
              <w:t>No. of repeats</w:t>
            </w:r>
          </w:p>
        </w:tc>
        <w:tc>
          <w:tcPr>
            <w:tcW w:w="0" w:type="auto"/>
            <w:tcBorders>
              <w:left w:val="nil"/>
              <w:bottom w:val="single" w:sz="4" w:space="0" w:color="auto"/>
              <w:right w:val="nil"/>
            </w:tcBorders>
          </w:tcPr>
          <w:p w:rsidR="00FC5C52" w:rsidRPr="007579E2" w:rsidRDefault="00FC5C52" w:rsidP="007E6F21">
            <w:pPr>
              <w:pStyle w:val="Tabletext"/>
              <w:rPr>
                <w:b/>
                <w:bCs/>
              </w:rPr>
            </w:pPr>
            <w:r w:rsidRPr="007579E2">
              <w:rPr>
                <w:b/>
              </w:rPr>
              <w:t>Dispensed price for maximum quantity</w:t>
            </w:r>
          </w:p>
        </w:tc>
        <w:tc>
          <w:tcPr>
            <w:tcW w:w="0" w:type="auto"/>
            <w:tcBorders>
              <w:left w:val="nil"/>
              <w:bottom w:val="single" w:sz="4" w:space="0" w:color="auto"/>
              <w:right w:val="nil"/>
            </w:tcBorders>
          </w:tcPr>
          <w:p w:rsidR="00FC5C52" w:rsidRPr="007579E2" w:rsidRDefault="00FC5C52" w:rsidP="007E6F21">
            <w:pPr>
              <w:pStyle w:val="Tabletext"/>
              <w:rPr>
                <w:b/>
                <w:bCs/>
              </w:rPr>
            </w:pPr>
            <w:r w:rsidRPr="007579E2">
              <w:rPr>
                <w:b/>
              </w:rPr>
              <w:t>Proprietary name and manufacturer</w:t>
            </w:r>
          </w:p>
        </w:tc>
      </w:tr>
      <w:tr w:rsidR="00FC5C52" w:rsidRPr="007579E2" w:rsidTr="00866AE2">
        <w:tc>
          <w:tcPr>
            <w:tcW w:w="0" w:type="auto"/>
            <w:tcBorders>
              <w:left w:val="nil"/>
              <w:bottom w:val="single" w:sz="4" w:space="0" w:color="auto"/>
              <w:right w:val="nil"/>
            </w:tcBorders>
          </w:tcPr>
          <w:p w:rsidR="00FC5C52" w:rsidRPr="007579E2" w:rsidRDefault="00FC5C52" w:rsidP="007E6F21">
            <w:pPr>
              <w:pStyle w:val="Tabletext"/>
            </w:pPr>
            <w:r w:rsidRPr="007579E2">
              <w:t>DABRAFENIB</w:t>
            </w:r>
          </w:p>
          <w:p w:rsidR="00FC5C52" w:rsidRPr="007579E2" w:rsidRDefault="00FC5C52" w:rsidP="007E6F21">
            <w:pPr>
              <w:pStyle w:val="Tabletext"/>
              <w:rPr>
                <w:bCs/>
              </w:rPr>
            </w:pPr>
            <w:r w:rsidRPr="007579E2">
              <w:rPr>
                <w:bCs/>
              </w:rPr>
              <w:t>75 mg capsule, 120</w:t>
            </w:r>
          </w:p>
          <w:p w:rsidR="00FC5C52" w:rsidRPr="007579E2" w:rsidRDefault="00FC5C52" w:rsidP="007E6F21">
            <w:pPr>
              <w:pStyle w:val="Tabletext"/>
              <w:rPr>
                <w:bCs/>
              </w:rPr>
            </w:pPr>
          </w:p>
          <w:p w:rsidR="00FC5C52" w:rsidRPr="007579E2" w:rsidRDefault="00FC5C52" w:rsidP="007E6F21">
            <w:pPr>
              <w:pStyle w:val="Tabletext"/>
              <w:rPr>
                <w:bCs/>
              </w:rPr>
            </w:pPr>
            <w:r w:rsidRPr="007579E2">
              <w:rPr>
                <w:bCs/>
              </w:rPr>
              <w:t>50 mg capsule, 120</w:t>
            </w:r>
          </w:p>
        </w:tc>
        <w:tc>
          <w:tcPr>
            <w:tcW w:w="1254" w:type="dxa"/>
            <w:tcBorders>
              <w:left w:val="nil"/>
              <w:bottom w:val="single" w:sz="4" w:space="0" w:color="auto"/>
              <w:right w:val="nil"/>
            </w:tcBorders>
          </w:tcPr>
          <w:p w:rsidR="00FC5C52" w:rsidRPr="007579E2" w:rsidRDefault="00FC5C52" w:rsidP="007E6F21">
            <w:pPr>
              <w:pStyle w:val="Tabletext"/>
              <w:jc w:val="center"/>
            </w:pPr>
          </w:p>
          <w:p w:rsidR="00FC5C52" w:rsidRPr="007579E2" w:rsidRDefault="00FC5C52" w:rsidP="007E6F21">
            <w:pPr>
              <w:pStyle w:val="Tabletext"/>
              <w:jc w:val="center"/>
            </w:pPr>
            <w:r w:rsidRPr="007579E2">
              <w:t>1</w:t>
            </w:r>
          </w:p>
          <w:p w:rsidR="00FC5C52" w:rsidRPr="007579E2" w:rsidRDefault="00FC5C52" w:rsidP="007E6F21">
            <w:pPr>
              <w:pStyle w:val="Tabletext"/>
              <w:jc w:val="center"/>
            </w:pPr>
          </w:p>
          <w:p w:rsidR="00FC5C52" w:rsidRPr="007579E2" w:rsidRDefault="00FC5C52" w:rsidP="007E6F21">
            <w:pPr>
              <w:pStyle w:val="Tabletext"/>
              <w:jc w:val="center"/>
            </w:pPr>
            <w:r w:rsidRPr="007579E2">
              <w:t>1</w:t>
            </w:r>
          </w:p>
          <w:p w:rsidR="00FC5C52" w:rsidRPr="007579E2" w:rsidRDefault="00FC5C52" w:rsidP="007E6F21">
            <w:pPr>
              <w:pStyle w:val="Tabletext"/>
              <w:jc w:val="center"/>
              <w:rPr>
                <w:rFonts w:ascii="Times" w:hAnsi="Times"/>
              </w:rPr>
            </w:pPr>
          </w:p>
        </w:tc>
        <w:tc>
          <w:tcPr>
            <w:tcW w:w="1353" w:type="dxa"/>
            <w:tcBorders>
              <w:left w:val="nil"/>
              <w:bottom w:val="single" w:sz="4" w:space="0" w:color="auto"/>
              <w:right w:val="nil"/>
            </w:tcBorders>
          </w:tcPr>
          <w:p w:rsidR="00FC5C52" w:rsidRPr="00077A99" w:rsidRDefault="00FC5C52" w:rsidP="007E6F21">
            <w:pPr>
              <w:pStyle w:val="Tabletext"/>
              <w:jc w:val="center"/>
              <w:rPr>
                <w:rFonts w:ascii="Times" w:hAnsi="Times"/>
                <w:i/>
              </w:rPr>
            </w:pPr>
          </w:p>
          <w:p w:rsidR="00866AE2" w:rsidRPr="00077A99" w:rsidRDefault="00866AE2" w:rsidP="007E6F21">
            <w:pPr>
              <w:pStyle w:val="Tabletext"/>
              <w:jc w:val="center"/>
            </w:pPr>
            <w:r w:rsidRPr="00077A99">
              <w:t>Initial:</w:t>
            </w:r>
            <w:r w:rsidR="007579E2" w:rsidRPr="00077A99">
              <w:t xml:space="preserve"> </w:t>
            </w:r>
            <w:r w:rsidRPr="00077A99">
              <w:t>3</w:t>
            </w:r>
          </w:p>
          <w:p w:rsidR="00FC5C52" w:rsidRPr="00077A99" w:rsidRDefault="00866AE2" w:rsidP="007E6F21">
            <w:pPr>
              <w:pStyle w:val="Tabletext"/>
              <w:jc w:val="center"/>
            </w:pPr>
            <w:r w:rsidRPr="00077A99">
              <w:t xml:space="preserve">Continuing: </w:t>
            </w:r>
            <w:r w:rsidR="00FC5C52" w:rsidRPr="00077A99">
              <w:t>5</w:t>
            </w:r>
          </w:p>
          <w:p w:rsidR="00866AE2" w:rsidRPr="00077A99" w:rsidRDefault="00866AE2" w:rsidP="007E6F21">
            <w:pPr>
              <w:pStyle w:val="Tabletext"/>
              <w:jc w:val="center"/>
            </w:pPr>
            <w:r w:rsidRPr="00077A99">
              <w:t>Initial: 3</w:t>
            </w:r>
          </w:p>
          <w:p w:rsidR="00FC5C52" w:rsidRPr="00077A99" w:rsidRDefault="00866AE2" w:rsidP="007E6F21">
            <w:pPr>
              <w:pStyle w:val="Tabletext"/>
              <w:jc w:val="center"/>
            </w:pPr>
            <w:r w:rsidRPr="00077A99">
              <w:t>Continuing:</w:t>
            </w:r>
            <w:r w:rsidR="007579E2" w:rsidRPr="00077A99">
              <w:t xml:space="preserve"> </w:t>
            </w:r>
            <w:r w:rsidR="00FC5C52" w:rsidRPr="00077A99">
              <w:t>5</w:t>
            </w:r>
          </w:p>
        </w:tc>
        <w:tc>
          <w:tcPr>
            <w:tcW w:w="0" w:type="auto"/>
            <w:tcBorders>
              <w:left w:val="nil"/>
              <w:bottom w:val="single" w:sz="4" w:space="0" w:color="auto"/>
              <w:right w:val="nil"/>
            </w:tcBorders>
          </w:tcPr>
          <w:p w:rsidR="00FC5C52" w:rsidRPr="00077A99" w:rsidRDefault="00FC5C52" w:rsidP="007E6F21">
            <w:pPr>
              <w:pStyle w:val="Tabletext"/>
            </w:pPr>
          </w:p>
          <w:p w:rsidR="00FC5C52" w:rsidRPr="00077A99" w:rsidRDefault="00FC5C52" w:rsidP="007E6F21">
            <w:pPr>
              <w:pStyle w:val="Tabletext"/>
            </w:pPr>
            <w:r w:rsidRPr="00077A99">
              <w:t>$8,763.21 (Published)</w:t>
            </w:r>
          </w:p>
          <w:p w:rsidR="00FC5C52" w:rsidRPr="00077A99" w:rsidRDefault="00FC5C52" w:rsidP="007E6F21">
            <w:pPr>
              <w:pStyle w:val="Tabletext"/>
            </w:pPr>
            <w:r w:rsidRPr="00077A99">
              <w:t>$</w:t>
            </w:r>
            <w:r w:rsidR="0023686E">
              <w:rPr>
                <w:noProof/>
                <w:color w:val="000000"/>
                <w:highlight w:val="black"/>
              </w:rPr>
              <w:t xml:space="preserve">'''''''''''''''''''''' </w:t>
            </w:r>
            <w:r w:rsidRPr="00077A99">
              <w:t>(Effective)</w:t>
            </w:r>
            <w:r w:rsidR="004F4F38" w:rsidRPr="00077A99">
              <w:t>*</w:t>
            </w:r>
          </w:p>
          <w:p w:rsidR="00FC5C52" w:rsidRPr="00077A99" w:rsidRDefault="00FC5C52" w:rsidP="007E6F21">
            <w:pPr>
              <w:pStyle w:val="Tabletext"/>
            </w:pPr>
            <w:r w:rsidRPr="00077A99">
              <w:t>$5,892.49 (Published)</w:t>
            </w:r>
          </w:p>
          <w:p w:rsidR="00FC5C52" w:rsidRPr="00077A99" w:rsidRDefault="00FC41AD" w:rsidP="007E6F21">
            <w:pPr>
              <w:pStyle w:val="Tabletext"/>
              <w:rPr>
                <w:rFonts w:ascii="Times" w:hAnsi="Times"/>
                <w:u w:val="single"/>
              </w:rPr>
            </w:pPr>
            <w:r w:rsidRPr="00077A99">
              <w:t>$</w:t>
            </w:r>
            <w:r w:rsidR="0023686E">
              <w:rPr>
                <w:noProof/>
                <w:color w:val="000000"/>
                <w:highlight w:val="black"/>
              </w:rPr>
              <w:t>''''''''''''''''''''''</w:t>
            </w:r>
            <w:r w:rsidRPr="00077A99">
              <w:t xml:space="preserve"> (Effective)</w:t>
            </w:r>
          </w:p>
        </w:tc>
        <w:tc>
          <w:tcPr>
            <w:tcW w:w="0" w:type="auto"/>
            <w:tcBorders>
              <w:left w:val="nil"/>
              <w:bottom w:val="single" w:sz="4" w:space="0" w:color="auto"/>
              <w:right w:val="nil"/>
            </w:tcBorders>
          </w:tcPr>
          <w:p w:rsidR="00FC5C52" w:rsidRPr="007579E2" w:rsidRDefault="00FC5C52" w:rsidP="007E6F21">
            <w:pPr>
              <w:pStyle w:val="Tabletext"/>
            </w:pPr>
          </w:p>
          <w:p w:rsidR="00FC5C52" w:rsidRPr="007579E2" w:rsidRDefault="00FC5C52" w:rsidP="007E6F21">
            <w:pPr>
              <w:pStyle w:val="Tabletext"/>
            </w:pPr>
            <w:proofErr w:type="spellStart"/>
            <w:r w:rsidRPr="007579E2">
              <w:t>Tafinlar</w:t>
            </w:r>
            <w:proofErr w:type="spellEnd"/>
            <w:r w:rsidR="009B4F81" w:rsidRPr="007579E2">
              <w:rPr>
                <w:vertAlign w:val="superscript"/>
              </w:rPr>
              <w:t>®</w:t>
            </w:r>
          </w:p>
          <w:p w:rsidR="00FC5C52" w:rsidRPr="007579E2" w:rsidRDefault="00FC5C52" w:rsidP="007E6F21">
            <w:pPr>
              <w:pStyle w:val="Tabletext"/>
            </w:pPr>
            <w:r w:rsidRPr="007579E2">
              <w:t>Novartis Pharmaceuticals Australia Pty Ltd</w:t>
            </w:r>
          </w:p>
        </w:tc>
      </w:tr>
      <w:tr w:rsidR="00FC5C52" w:rsidRPr="007579E2" w:rsidTr="00866AE2">
        <w:tc>
          <w:tcPr>
            <w:tcW w:w="0" w:type="auto"/>
            <w:tcBorders>
              <w:left w:val="nil"/>
              <w:right w:val="nil"/>
            </w:tcBorders>
          </w:tcPr>
          <w:p w:rsidR="00FC5C52" w:rsidRPr="007579E2" w:rsidRDefault="00FC5C52" w:rsidP="007E6F21">
            <w:pPr>
              <w:pStyle w:val="Tabletext"/>
            </w:pPr>
            <w:r w:rsidRPr="007579E2">
              <w:lastRenderedPageBreak/>
              <w:t>TRAMETINIB</w:t>
            </w:r>
          </w:p>
          <w:p w:rsidR="00FC5C52" w:rsidRPr="007579E2" w:rsidRDefault="00FC5C52" w:rsidP="007E6F21">
            <w:pPr>
              <w:pStyle w:val="Tabletext"/>
            </w:pPr>
            <w:r w:rsidRPr="007579E2">
              <w:t>2 mg tablet, 30</w:t>
            </w:r>
          </w:p>
          <w:p w:rsidR="00FC5C52" w:rsidRPr="007579E2" w:rsidRDefault="00FC5C52" w:rsidP="007E6F21">
            <w:pPr>
              <w:pStyle w:val="Tabletext"/>
            </w:pPr>
          </w:p>
          <w:p w:rsidR="00FC5C52" w:rsidRPr="007579E2" w:rsidRDefault="00FC5C52" w:rsidP="007E6F21">
            <w:pPr>
              <w:pStyle w:val="Tabletext"/>
            </w:pPr>
            <w:r w:rsidRPr="007579E2">
              <w:t xml:space="preserve">500 microgram tablet, </w:t>
            </w:r>
            <w:r w:rsidR="00003BF8" w:rsidRPr="007579E2">
              <w:t>30</w:t>
            </w:r>
            <w:r w:rsidRPr="007579E2">
              <w:t xml:space="preserve"> </w:t>
            </w:r>
          </w:p>
        </w:tc>
        <w:tc>
          <w:tcPr>
            <w:tcW w:w="1254" w:type="dxa"/>
            <w:tcBorders>
              <w:left w:val="nil"/>
              <w:right w:val="nil"/>
            </w:tcBorders>
          </w:tcPr>
          <w:p w:rsidR="00FC5C52" w:rsidRPr="007579E2" w:rsidRDefault="00FC5C52" w:rsidP="007E6F21">
            <w:pPr>
              <w:pStyle w:val="Tabletext"/>
              <w:jc w:val="center"/>
            </w:pPr>
          </w:p>
          <w:p w:rsidR="00FC5C52" w:rsidRPr="007579E2" w:rsidRDefault="00FC5C52" w:rsidP="007E6F21">
            <w:pPr>
              <w:pStyle w:val="Tabletext"/>
              <w:jc w:val="center"/>
            </w:pPr>
            <w:r w:rsidRPr="007579E2">
              <w:t>1</w:t>
            </w:r>
          </w:p>
          <w:p w:rsidR="00FC5C52" w:rsidRPr="007579E2" w:rsidRDefault="00FC5C52" w:rsidP="007E6F21">
            <w:pPr>
              <w:pStyle w:val="Tabletext"/>
              <w:jc w:val="center"/>
            </w:pPr>
          </w:p>
          <w:p w:rsidR="00FC5C52" w:rsidRPr="007579E2" w:rsidRDefault="004F4F38" w:rsidP="007E6F21">
            <w:pPr>
              <w:pStyle w:val="Tabletext"/>
              <w:jc w:val="center"/>
            </w:pPr>
            <w:r w:rsidRPr="007579E2">
              <w:t>3</w:t>
            </w:r>
          </w:p>
        </w:tc>
        <w:tc>
          <w:tcPr>
            <w:tcW w:w="1353" w:type="dxa"/>
            <w:tcBorders>
              <w:left w:val="nil"/>
              <w:right w:val="nil"/>
            </w:tcBorders>
          </w:tcPr>
          <w:p w:rsidR="00FC5C52" w:rsidRPr="007579E2" w:rsidRDefault="00FC5C52" w:rsidP="007E6F21">
            <w:pPr>
              <w:pStyle w:val="Tabletext"/>
              <w:jc w:val="center"/>
              <w:rPr>
                <w:rFonts w:ascii="Times" w:hAnsi="Times"/>
                <w:i/>
              </w:rPr>
            </w:pPr>
          </w:p>
          <w:p w:rsidR="00866AE2" w:rsidRPr="007579E2" w:rsidRDefault="00866AE2" w:rsidP="007E6F21">
            <w:pPr>
              <w:pStyle w:val="Tabletext"/>
              <w:jc w:val="center"/>
            </w:pPr>
            <w:r w:rsidRPr="007579E2">
              <w:t>Initial: 3</w:t>
            </w:r>
          </w:p>
          <w:p w:rsidR="00FC5C52" w:rsidRPr="007579E2" w:rsidRDefault="00866AE2" w:rsidP="007E6F21">
            <w:pPr>
              <w:pStyle w:val="Tabletext"/>
              <w:jc w:val="center"/>
            </w:pPr>
            <w:r w:rsidRPr="007579E2">
              <w:t xml:space="preserve">Continuing: </w:t>
            </w:r>
            <w:r w:rsidR="00FC5C52" w:rsidRPr="007579E2">
              <w:t>5</w:t>
            </w:r>
          </w:p>
          <w:p w:rsidR="00866AE2" w:rsidRPr="007579E2" w:rsidRDefault="00866AE2" w:rsidP="007E6F21">
            <w:pPr>
              <w:pStyle w:val="Tabletext"/>
              <w:jc w:val="center"/>
            </w:pPr>
            <w:r w:rsidRPr="007579E2">
              <w:t>Initial: 3</w:t>
            </w:r>
          </w:p>
          <w:p w:rsidR="00FC5C52" w:rsidRPr="007579E2" w:rsidRDefault="00866AE2" w:rsidP="007E6F21">
            <w:pPr>
              <w:pStyle w:val="Tabletext"/>
              <w:jc w:val="center"/>
            </w:pPr>
            <w:r w:rsidRPr="007579E2">
              <w:t xml:space="preserve">Continuing: </w:t>
            </w:r>
            <w:r w:rsidR="00FC5C52" w:rsidRPr="007579E2">
              <w:t>5</w:t>
            </w:r>
          </w:p>
        </w:tc>
        <w:tc>
          <w:tcPr>
            <w:tcW w:w="0" w:type="auto"/>
            <w:tcBorders>
              <w:left w:val="nil"/>
              <w:right w:val="nil"/>
            </w:tcBorders>
          </w:tcPr>
          <w:p w:rsidR="00FC5C52" w:rsidRPr="007579E2" w:rsidRDefault="00FC5C52" w:rsidP="007E6F21">
            <w:pPr>
              <w:pStyle w:val="Tabletext"/>
            </w:pPr>
          </w:p>
          <w:p w:rsidR="00FC5C52" w:rsidRPr="007579E2" w:rsidRDefault="00FC5C52" w:rsidP="007E6F21">
            <w:pPr>
              <w:pStyle w:val="Tabletext"/>
            </w:pPr>
            <w:r w:rsidRPr="007579E2">
              <w:t>$8,763.21 (Published)</w:t>
            </w:r>
          </w:p>
          <w:p w:rsidR="00FC5C52" w:rsidRPr="007579E2" w:rsidRDefault="00FC5C52" w:rsidP="007E6F21">
            <w:pPr>
              <w:pStyle w:val="Tabletext"/>
            </w:pPr>
            <w:r w:rsidRPr="007579E2">
              <w:t>$</w:t>
            </w:r>
            <w:r w:rsidR="0023686E">
              <w:rPr>
                <w:noProof/>
                <w:color w:val="000000"/>
                <w:highlight w:val="black"/>
              </w:rPr>
              <w:t>'''''''''''''''''''''</w:t>
            </w:r>
            <w:r w:rsidRPr="007579E2">
              <w:t xml:space="preserve"> (Effective)</w:t>
            </w:r>
            <w:r w:rsidR="004F4F38" w:rsidRPr="007579E2">
              <w:t>*</w:t>
            </w:r>
          </w:p>
          <w:p w:rsidR="00FC5C52" w:rsidRPr="007579E2" w:rsidRDefault="00FC5C52" w:rsidP="007E6F21">
            <w:pPr>
              <w:pStyle w:val="Tabletext"/>
            </w:pPr>
            <w:r w:rsidRPr="007579E2">
              <w:t>$6,610.14 (Published)</w:t>
            </w:r>
          </w:p>
          <w:p w:rsidR="00FC5C52" w:rsidRPr="007579E2" w:rsidRDefault="00FC5C52" w:rsidP="007E6F21">
            <w:pPr>
              <w:pStyle w:val="Tabletext"/>
            </w:pPr>
            <w:r w:rsidRPr="007579E2">
              <w:t>$</w:t>
            </w:r>
            <w:r w:rsidR="0023686E">
              <w:rPr>
                <w:noProof/>
                <w:color w:val="000000"/>
                <w:highlight w:val="black"/>
              </w:rPr>
              <w:t>'''''''''''''''''''</w:t>
            </w:r>
            <w:r w:rsidRPr="007579E2">
              <w:t xml:space="preserve"> (Effective)</w:t>
            </w:r>
          </w:p>
        </w:tc>
        <w:tc>
          <w:tcPr>
            <w:tcW w:w="0" w:type="auto"/>
            <w:tcBorders>
              <w:left w:val="nil"/>
              <w:right w:val="nil"/>
            </w:tcBorders>
          </w:tcPr>
          <w:p w:rsidR="00FC5C52" w:rsidRPr="007579E2" w:rsidRDefault="00FC5C52" w:rsidP="007E6F21">
            <w:pPr>
              <w:pStyle w:val="Tabletext"/>
            </w:pPr>
          </w:p>
          <w:p w:rsidR="00FC5C52" w:rsidRPr="007579E2" w:rsidRDefault="00FC5C52" w:rsidP="007E6F21">
            <w:pPr>
              <w:pStyle w:val="Tabletext"/>
            </w:pPr>
            <w:proofErr w:type="spellStart"/>
            <w:r w:rsidRPr="007579E2">
              <w:t>Mekinist</w:t>
            </w:r>
            <w:proofErr w:type="spellEnd"/>
            <w:r w:rsidR="009B4F81" w:rsidRPr="007579E2">
              <w:rPr>
                <w:vertAlign w:val="superscript"/>
              </w:rPr>
              <w:t>®</w:t>
            </w:r>
          </w:p>
          <w:p w:rsidR="00FC5C52" w:rsidRPr="007579E2" w:rsidRDefault="00FC5C52" w:rsidP="007E6F21">
            <w:pPr>
              <w:pStyle w:val="Tabletext"/>
            </w:pPr>
            <w:r w:rsidRPr="007579E2">
              <w:t>Novartis Pharmaceuticals Australia Pty Ltd</w:t>
            </w:r>
          </w:p>
        </w:tc>
      </w:tr>
    </w:tbl>
    <w:p w:rsidR="00570E1F" w:rsidRPr="007579E2" w:rsidRDefault="004F4F38" w:rsidP="007E6F21">
      <w:pPr>
        <w:widowControl/>
        <w:rPr>
          <w:rFonts w:ascii="Arial Narrow" w:hAnsi="Arial Narrow"/>
          <w:sz w:val="18"/>
          <w:szCs w:val="18"/>
        </w:rPr>
      </w:pPr>
      <w:r w:rsidRPr="007579E2">
        <w:rPr>
          <w:rFonts w:ascii="Arial Narrow" w:hAnsi="Arial Narrow"/>
          <w:sz w:val="18"/>
          <w:szCs w:val="18"/>
        </w:rPr>
        <w:t xml:space="preserve">* A </w:t>
      </w:r>
      <w:r w:rsidR="0023686E">
        <w:rPr>
          <w:rFonts w:ascii="Arial Narrow" w:hAnsi="Arial Narrow"/>
          <w:noProof/>
          <w:color w:val="000000"/>
          <w:sz w:val="18"/>
          <w:szCs w:val="18"/>
          <w:highlight w:val="black"/>
        </w:rPr>
        <w:t>''''''</w:t>
      </w:r>
      <w:r w:rsidRPr="007579E2">
        <w:rPr>
          <w:rFonts w:ascii="Arial Narrow" w:hAnsi="Arial Narrow"/>
          <w:sz w:val="18"/>
          <w:szCs w:val="18"/>
        </w:rPr>
        <w:t>% reduction to the AEMP was proposed in the pre-PBAC response</w:t>
      </w:r>
    </w:p>
    <w:p w:rsidR="004F4F38" w:rsidRPr="007579E2" w:rsidRDefault="004F4F38" w:rsidP="007E6F21">
      <w:pPr>
        <w:widowControl/>
        <w:rPr>
          <w:rFonts w:ascii="Arial Narrow" w:hAnsi="Arial Narrow"/>
          <w:sz w:val="18"/>
          <w:szCs w:val="18"/>
        </w:rPr>
      </w:pPr>
    </w:p>
    <w:tbl>
      <w:tblPr>
        <w:tblW w:w="5000" w:type="pct"/>
        <w:tblLook w:val="0000" w:firstRow="0" w:lastRow="0" w:firstColumn="0" w:lastColumn="0" w:noHBand="0" w:noVBand="0"/>
      </w:tblPr>
      <w:tblGrid>
        <w:gridCol w:w="1695"/>
        <w:gridCol w:w="7322"/>
      </w:tblGrid>
      <w:tr w:rsidR="00FC5C52" w:rsidRPr="007579E2" w:rsidTr="00A12E11">
        <w:trPr>
          <w:cantSplit/>
        </w:trPr>
        <w:tc>
          <w:tcPr>
            <w:tcW w:w="940"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widowControl/>
              <w:rPr>
                <w:rFonts w:ascii="Arial Narrow" w:eastAsiaTheme="minorHAnsi" w:hAnsi="Arial Narrow" w:cstheme="minorHAnsi"/>
                <w:b/>
                <w:snapToGrid/>
                <w:sz w:val="20"/>
                <w:szCs w:val="20"/>
              </w:rPr>
            </w:pPr>
            <w:r w:rsidRPr="007579E2">
              <w:rPr>
                <w:rFonts w:ascii="Arial Narrow" w:eastAsiaTheme="minorHAnsi" w:hAnsi="Arial Narrow" w:cstheme="minorHAnsi"/>
                <w:b/>
                <w:snapToGrid/>
                <w:sz w:val="20"/>
                <w:szCs w:val="20"/>
              </w:rPr>
              <w:t>Category/program</w:t>
            </w:r>
          </w:p>
        </w:tc>
        <w:tc>
          <w:tcPr>
            <w:tcW w:w="4060"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widowControl/>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Authority required (STREAMLINED)</w:t>
            </w:r>
          </w:p>
        </w:tc>
      </w:tr>
      <w:tr w:rsidR="00FC5C52" w:rsidRPr="007579E2" w:rsidTr="00A12E11">
        <w:trPr>
          <w:cantSplit/>
        </w:trPr>
        <w:tc>
          <w:tcPr>
            <w:tcW w:w="940"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widowControl/>
              <w:rPr>
                <w:rFonts w:ascii="Arial Narrow" w:eastAsiaTheme="minorHAnsi" w:hAnsi="Arial Narrow" w:cstheme="minorHAnsi"/>
                <w:b/>
                <w:snapToGrid/>
                <w:sz w:val="20"/>
                <w:szCs w:val="20"/>
              </w:rPr>
            </w:pPr>
            <w:r w:rsidRPr="007579E2">
              <w:rPr>
                <w:rFonts w:ascii="Arial Narrow" w:eastAsiaTheme="minorHAnsi" w:hAnsi="Arial Narrow" w:cstheme="minorHAnsi"/>
                <w:b/>
                <w:snapToGrid/>
                <w:sz w:val="20"/>
                <w:szCs w:val="20"/>
              </w:rPr>
              <w:t>Severity</w:t>
            </w:r>
          </w:p>
        </w:tc>
        <w:tc>
          <w:tcPr>
            <w:tcW w:w="4060"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widowControl/>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Resected Stage III</w:t>
            </w:r>
          </w:p>
        </w:tc>
      </w:tr>
      <w:tr w:rsidR="00FC5C52" w:rsidRPr="007579E2" w:rsidTr="00A12E11">
        <w:trPr>
          <w:cantSplit/>
        </w:trPr>
        <w:tc>
          <w:tcPr>
            <w:tcW w:w="940"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widowControl/>
              <w:rPr>
                <w:rFonts w:ascii="Arial Narrow" w:eastAsiaTheme="minorHAnsi" w:hAnsi="Arial Narrow" w:cstheme="minorHAnsi"/>
                <w:b/>
                <w:snapToGrid/>
                <w:sz w:val="20"/>
                <w:szCs w:val="20"/>
              </w:rPr>
            </w:pPr>
            <w:r w:rsidRPr="007579E2">
              <w:rPr>
                <w:rFonts w:ascii="Arial Narrow" w:eastAsiaTheme="minorHAnsi" w:hAnsi="Arial Narrow" w:cstheme="minorHAnsi"/>
                <w:b/>
                <w:snapToGrid/>
                <w:sz w:val="20"/>
                <w:szCs w:val="20"/>
              </w:rPr>
              <w:t>Condition</w:t>
            </w:r>
          </w:p>
        </w:tc>
        <w:tc>
          <w:tcPr>
            <w:tcW w:w="4060"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widowControl/>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Malignant melanoma</w:t>
            </w:r>
          </w:p>
        </w:tc>
      </w:tr>
      <w:tr w:rsidR="00FC5C52" w:rsidRPr="007579E2" w:rsidTr="00A12E11">
        <w:trPr>
          <w:cantSplit/>
        </w:trPr>
        <w:tc>
          <w:tcPr>
            <w:tcW w:w="940"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widowControl/>
              <w:rPr>
                <w:rFonts w:ascii="Arial Narrow" w:eastAsiaTheme="minorHAnsi" w:hAnsi="Arial Narrow" w:cstheme="minorHAnsi"/>
                <w:i/>
                <w:snapToGrid/>
                <w:sz w:val="20"/>
                <w:szCs w:val="20"/>
              </w:rPr>
            </w:pPr>
            <w:r w:rsidRPr="007579E2">
              <w:rPr>
                <w:rFonts w:ascii="Arial Narrow" w:eastAsiaTheme="minorHAnsi" w:hAnsi="Arial Narrow" w:cstheme="minorHAnsi"/>
                <w:b/>
                <w:snapToGrid/>
                <w:sz w:val="20"/>
                <w:szCs w:val="20"/>
              </w:rPr>
              <w:t>Treatment phase</w:t>
            </w:r>
          </w:p>
        </w:tc>
        <w:tc>
          <w:tcPr>
            <w:tcW w:w="4060"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widowControl/>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Initial treatment</w:t>
            </w:r>
          </w:p>
        </w:tc>
      </w:tr>
      <w:tr w:rsidR="00FC5C52" w:rsidRPr="007579E2" w:rsidTr="00A12E11">
        <w:trPr>
          <w:cantSplit/>
        </w:trPr>
        <w:tc>
          <w:tcPr>
            <w:tcW w:w="940"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widowControl/>
              <w:rPr>
                <w:rFonts w:ascii="Arial Narrow" w:eastAsiaTheme="minorHAnsi" w:hAnsi="Arial Narrow" w:cstheme="minorHAnsi"/>
                <w:snapToGrid/>
                <w:sz w:val="20"/>
                <w:szCs w:val="20"/>
              </w:rPr>
            </w:pPr>
            <w:r w:rsidRPr="007579E2">
              <w:rPr>
                <w:rFonts w:ascii="Arial Narrow" w:eastAsiaTheme="minorHAnsi" w:hAnsi="Arial Narrow" w:cstheme="minorHAnsi"/>
                <w:b/>
                <w:snapToGrid/>
                <w:sz w:val="20"/>
                <w:szCs w:val="20"/>
              </w:rPr>
              <w:t>Clinical criteria</w:t>
            </w:r>
          </w:p>
        </w:tc>
        <w:tc>
          <w:tcPr>
            <w:tcW w:w="4060"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 xml:space="preserve">The treatment must be adjuvant to complete surgical resection </w:t>
            </w:r>
          </w:p>
          <w:p w:rsidR="00FC5C52" w:rsidRPr="007579E2" w:rsidRDefault="00FC5C52" w:rsidP="007E6F21">
            <w:pPr>
              <w:widowControl/>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 xml:space="preserve">AND </w:t>
            </w:r>
          </w:p>
          <w:p w:rsidR="00FC5C52" w:rsidRPr="007579E2" w:rsidRDefault="00FC5C52"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The condition must be positive for a BRAF V600 mutation</w:t>
            </w:r>
          </w:p>
          <w:p w:rsidR="00FC5C52" w:rsidRPr="007579E2" w:rsidRDefault="00FC5C52" w:rsidP="007E6F21">
            <w:pPr>
              <w:widowControl/>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AND</w:t>
            </w:r>
          </w:p>
          <w:p w:rsidR="00FC5C52" w:rsidRPr="007579E2" w:rsidRDefault="00FC5C52"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Patient must have a WHO performance status of 1 or less</w:t>
            </w:r>
          </w:p>
          <w:p w:rsidR="00FC5C52" w:rsidRPr="007579E2" w:rsidRDefault="00FC5C52" w:rsidP="007E6F21">
            <w:pPr>
              <w:widowControl/>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AND</w:t>
            </w:r>
          </w:p>
          <w:p w:rsidR="00FC5C52" w:rsidRPr="007579E2" w:rsidRDefault="00FC5C52"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 xml:space="preserve">Patient must be receiving PBS-subsidised </w:t>
            </w:r>
            <w:proofErr w:type="spellStart"/>
            <w:r w:rsidRPr="007579E2">
              <w:rPr>
                <w:rFonts w:ascii="Arial Narrow" w:eastAsiaTheme="minorHAnsi" w:hAnsi="Arial Narrow" w:cstheme="minorHAnsi"/>
                <w:snapToGrid/>
                <w:sz w:val="20"/>
                <w:szCs w:val="20"/>
              </w:rPr>
              <w:t>trametinib</w:t>
            </w:r>
            <w:proofErr w:type="spellEnd"/>
            <w:r w:rsidRPr="007579E2">
              <w:rPr>
                <w:rFonts w:ascii="Arial Narrow" w:eastAsiaTheme="minorHAnsi" w:hAnsi="Arial Narrow" w:cstheme="minorHAnsi"/>
                <w:snapToGrid/>
                <w:sz w:val="20"/>
                <w:szCs w:val="20"/>
              </w:rPr>
              <w:t xml:space="preserve"> and </w:t>
            </w:r>
            <w:proofErr w:type="spellStart"/>
            <w:r w:rsidRPr="007579E2">
              <w:rPr>
                <w:rFonts w:ascii="Arial Narrow" w:eastAsiaTheme="minorHAnsi" w:hAnsi="Arial Narrow" w:cstheme="minorHAnsi"/>
                <w:snapToGrid/>
                <w:sz w:val="20"/>
                <w:szCs w:val="20"/>
              </w:rPr>
              <w:t>dabrafenib</w:t>
            </w:r>
            <w:proofErr w:type="spellEnd"/>
            <w:r w:rsidRPr="007579E2">
              <w:rPr>
                <w:rFonts w:ascii="Arial Narrow" w:eastAsiaTheme="minorHAnsi" w:hAnsi="Arial Narrow" w:cstheme="minorHAnsi"/>
                <w:snapToGrid/>
                <w:sz w:val="20"/>
                <w:szCs w:val="20"/>
              </w:rPr>
              <w:t xml:space="preserve"> concomitantly for this condition </w:t>
            </w:r>
          </w:p>
          <w:p w:rsidR="00FC5C52" w:rsidRPr="007579E2" w:rsidRDefault="00FC5C52"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AND</w:t>
            </w:r>
          </w:p>
          <w:p w:rsidR="00FC5C52" w:rsidRPr="007579E2" w:rsidRDefault="00FC5C52"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The condition must not have been treated previously with PBS subsidised therapy</w:t>
            </w:r>
          </w:p>
        </w:tc>
      </w:tr>
      <w:tr w:rsidR="00FC5C52" w:rsidRPr="007579E2" w:rsidTr="00A12E11">
        <w:trPr>
          <w:cantSplit/>
        </w:trPr>
        <w:tc>
          <w:tcPr>
            <w:tcW w:w="940"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widowControl/>
              <w:rPr>
                <w:rFonts w:ascii="Arial Narrow" w:eastAsiaTheme="minorHAnsi" w:hAnsi="Arial Narrow" w:cstheme="minorHAnsi"/>
                <w:snapToGrid/>
                <w:sz w:val="20"/>
                <w:szCs w:val="20"/>
              </w:rPr>
            </w:pPr>
            <w:r w:rsidRPr="007579E2">
              <w:rPr>
                <w:rFonts w:ascii="Arial Narrow" w:eastAsiaTheme="minorHAnsi" w:hAnsi="Arial Narrow" w:cstheme="minorHAnsi"/>
                <w:b/>
                <w:snapToGrid/>
                <w:sz w:val="20"/>
                <w:szCs w:val="20"/>
              </w:rPr>
              <w:t>Population criteria</w:t>
            </w:r>
          </w:p>
        </w:tc>
        <w:tc>
          <w:tcPr>
            <w:tcW w:w="4060"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widowControl/>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N/A</w:t>
            </w:r>
          </w:p>
        </w:tc>
      </w:tr>
      <w:tr w:rsidR="00FC5C52" w:rsidRPr="007579E2" w:rsidTr="00A12E11">
        <w:trPr>
          <w:cantSplit/>
        </w:trPr>
        <w:tc>
          <w:tcPr>
            <w:tcW w:w="940"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widowControl/>
              <w:rPr>
                <w:rFonts w:ascii="Arial Narrow" w:eastAsiaTheme="minorHAnsi" w:hAnsi="Arial Narrow" w:cstheme="minorHAnsi"/>
                <w:b/>
                <w:snapToGrid/>
                <w:sz w:val="20"/>
                <w:szCs w:val="20"/>
              </w:rPr>
            </w:pPr>
            <w:r w:rsidRPr="007579E2">
              <w:rPr>
                <w:rFonts w:ascii="Arial Narrow" w:eastAsiaTheme="minorHAnsi" w:hAnsi="Arial Narrow" w:cstheme="minorHAnsi"/>
                <w:b/>
                <w:snapToGrid/>
                <w:sz w:val="20"/>
                <w:szCs w:val="20"/>
              </w:rPr>
              <w:t>Treatment criteria</w:t>
            </w:r>
          </w:p>
        </w:tc>
        <w:tc>
          <w:tcPr>
            <w:tcW w:w="4060"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Treatment must commence within 12 weeks of complete resection</w:t>
            </w:r>
          </w:p>
          <w:p w:rsidR="00FC5C52" w:rsidRPr="007579E2" w:rsidRDefault="00FC5C52" w:rsidP="007E6F21">
            <w:pPr>
              <w:widowControl/>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AND</w:t>
            </w:r>
          </w:p>
          <w:p w:rsidR="00FC5C52" w:rsidRPr="007579E2" w:rsidRDefault="00FC5C52"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Treatment must not exceed a maximum duration of 12 months (initial and continuing therapy) under this restriction</w:t>
            </w:r>
          </w:p>
        </w:tc>
      </w:tr>
    </w:tbl>
    <w:p w:rsidR="00D324F7" w:rsidRDefault="00D324F7" w:rsidP="007E6F21">
      <w:pPr>
        <w:widowControl/>
      </w:pPr>
    </w:p>
    <w:p w:rsidR="00FC5C52" w:rsidRPr="007579E2" w:rsidRDefault="00D324F7" w:rsidP="007E6F21">
      <w:pPr>
        <w:widowControl/>
      </w:pPr>
      <w:r>
        <w:br w:type="column"/>
      </w:r>
    </w:p>
    <w:tbl>
      <w:tblPr>
        <w:tblW w:w="4998" w:type="pct"/>
        <w:tblLook w:val="0000" w:firstRow="0" w:lastRow="0" w:firstColumn="0" w:lastColumn="0" w:noHBand="0" w:noVBand="0"/>
      </w:tblPr>
      <w:tblGrid>
        <w:gridCol w:w="1696"/>
        <w:gridCol w:w="7317"/>
      </w:tblGrid>
      <w:tr w:rsidR="00FC5C52" w:rsidRPr="007579E2" w:rsidTr="00A12E11">
        <w:trPr>
          <w:cantSplit/>
        </w:trPr>
        <w:tc>
          <w:tcPr>
            <w:tcW w:w="941"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pStyle w:val="Tabletext"/>
              <w:rPr>
                <w:rFonts w:eastAsiaTheme="minorHAnsi"/>
              </w:rPr>
            </w:pPr>
            <w:r w:rsidRPr="007579E2">
              <w:rPr>
                <w:rFonts w:eastAsiaTheme="minorHAnsi"/>
                <w:b/>
              </w:rPr>
              <w:t>Category/program</w:t>
            </w:r>
          </w:p>
        </w:tc>
        <w:tc>
          <w:tcPr>
            <w:tcW w:w="4059"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pStyle w:val="Tabletext"/>
              <w:rPr>
                <w:rFonts w:eastAsiaTheme="minorHAnsi"/>
              </w:rPr>
            </w:pPr>
            <w:r w:rsidRPr="007579E2">
              <w:rPr>
                <w:rFonts w:eastAsiaTheme="minorHAnsi"/>
              </w:rPr>
              <w:t>Authority required (STREAMLINED)</w:t>
            </w:r>
          </w:p>
        </w:tc>
      </w:tr>
      <w:tr w:rsidR="00FC5C52" w:rsidRPr="007579E2" w:rsidTr="00A12E11">
        <w:trPr>
          <w:cantSplit/>
        </w:trPr>
        <w:tc>
          <w:tcPr>
            <w:tcW w:w="941"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pStyle w:val="Tabletext"/>
              <w:rPr>
                <w:rFonts w:eastAsiaTheme="minorHAnsi"/>
                <w:b/>
              </w:rPr>
            </w:pPr>
            <w:r w:rsidRPr="007579E2">
              <w:rPr>
                <w:rFonts w:eastAsiaTheme="minorHAnsi"/>
                <w:b/>
              </w:rPr>
              <w:t>Severity</w:t>
            </w:r>
          </w:p>
        </w:tc>
        <w:tc>
          <w:tcPr>
            <w:tcW w:w="4059"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pStyle w:val="Tabletext"/>
              <w:rPr>
                <w:rFonts w:eastAsiaTheme="minorHAnsi"/>
              </w:rPr>
            </w:pPr>
            <w:r w:rsidRPr="007579E2">
              <w:rPr>
                <w:rFonts w:eastAsiaTheme="minorHAnsi"/>
              </w:rPr>
              <w:t>Resected Stage III</w:t>
            </w:r>
          </w:p>
        </w:tc>
      </w:tr>
      <w:tr w:rsidR="00FC5C52" w:rsidRPr="007579E2" w:rsidTr="00A12E11">
        <w:trPr>
          <w:cantSplit/>
        </w:trPr>
        <w:tc>
          <w:tcPr>
            <w:tcW w:w="941"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pStyle w:val="Tabletext"/>
              <w:rPr>
                <w:rFonts w:eastAsiaTheme="minorHAnsi"/>
                <w:b/>
              </w:rPr>
            </w:pPr>
            <w:r w:rsidRPr="007579E2">
              <w:rPr>
                <w:rFonts w:eastAsiaTheme="minorHAnsi"/>
                <w:b/>
              </w:rPr>
              <w:t>Condition</w:t>
            </w:r>
          </w:p>
        </w:tc>
        <w:tc>
          <w:tcPr>
            <w:tcW w:w="4059"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pStyle w:val="Tabletext"/>
              <w:rPr>
                <w:rFonts w:eastAsiaTheme="minorHAnsi"/>
              </w:rPr>
            </w:pPr>
            <w:r w:rsidRPr="007579E2">
              <w:rPr>
                <w:rFonts w:eastAsiaTheme="minorHAnsi"/>
              </w:rPr>
              <w:t>Malignant melanoma</w:t>
            </w:r>
          </w:p>
        </w:tc>
      </w:tr>
      <w:tr w:rsidR="00FC5C52" w:rsidRPr="007579E2" w:rsidTr="00A12E11">
        <w:trPr>
          <w:cantSplit/>
        </w:trPr>
        <w:tc>
          <w:tcPr>
            <w:tcW w:w="941"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pStyle w:val="Tabletext"/>
              <w:rPr>
                <w:rFonts w:eastAsiaTheme="minorHAnsi"/>
                <w:i/>
              </w:rPr>
            </w:pPr>
            <w:r w:rsidRPr="007579E2">
              <w:rPr>
                <w:rFonts w:eastAsiaTheme="minorHAnsi"/>
                <w:b/>
              </w:rPr>
              <w:t>Treatment phase</w:t>
            </w:r>
          </w:p>
        </w:tc>
        <w:tc>
          <w:tcPr>
            <w:tcW w:w="4059"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pStyle w:val="Tabletext"/>
              <w:rPr>
                <w:rFonts w:eastAsiaTheme="minorHAnsi"/>
              </w:rPr>
            </w:pPr>
            <w:r w:rsidRPr="007579E2">
              <w:rPr>
                <w:rFonts w:eastAsiaTheme="minorHAnsi"/>
              </w:rPr>
              <w:t>Continuing treatment</w:t>
            </w:r>
          </w:p>
        </w:tc>
      </w:tr>
      <w:tr w:rsidR="00FC5C52" w:rsidRPr="007579E2" w:rsidTr="00A12E11">
        <w:trPr>
          <w:cantSplit/>
        </w:trPr>
        <w:tc>
          <w:tcPr>
            <w:tcW w:w="941"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pStyle w:val="Tabletext"/>
              <w:rPr>
                <w:rFonts w:eastAsiaTheme="minorHAnsi"/>
              </w:rPr>
            </w:pPr>
            <w:r w:rsidRPr="007579E2">
              <w:rPr>
                <w:rFonts w:eastAsiaTheme="minorHAnsi"/>
                <w:b/>
              </w:rPr>
              <w:t>Clinical criteria</w:t>
            </w:r>
          </w:p>
        </w:tc>
        <w:tc>
          <w:tcPr>
            <w:tcW w:w="4059"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 xml:space="preserve">Patient must have previously been issued with an authority prescription for </w:t>
            </w:r>
            <w:proofErr w:type="spellStart"/>
            <w:r w:rsidRPr="007579E2">
              <w:rPr>
                <w:rFonts w:ascii="Arial Narrow" w:eastAsiaTheme="minorHAnsi" w:hAnsi="Arial Narrow" w:cstheme="minorHAnsi"/>
                <w:snapToGrid/>
                <w:sz w:val="20"/>
                <w:szCs w:val="20"/>
              </w:rPr>
              <w:t>trametinib</w:t>
            </w:r>
            <w:proofErr w:type="spellEnd"/>
            <w:r w:rsidRPr="007579E2">
              <w:rPr>
                <w:rFonts w:ascii="Arial Narrow" w:eastAsiaTheme="minorHAnsi" w:hAnsi="Arial Narrow" w:cstheme="minorHAnsi"/>
                <w:snapToGrid/>
                <w:sz w:val="20"/>
                <w:szCs w:val="20"/>
              </w:rPr>
              <w:t xml:space="preserve"> and </w:t>
            </w:r>
            <w:proofErr w:type="spellStart"/>
            <w:r w:rsidRPr="007579E2">
              <w:rPr>
                <w:rFonts w:ascii="Arial Narrow" w:eastAsiaTheme="minorHAnsi" w:hAnsi="Arial Narrow" w:cstheme="minorHAnsi"/>
                <w:snapToGrid/>
                <w:sz w:val="20"/>
                <w:szCs w:val="20"/>
              </w:rPr>
              <w:t>dabrafenib</w:t>
            </w:r>
            <w:proofErr w:type="spellEnd"/>
            <w:r w:rsidRPr="007579E2">
              <w:rPr>
                <w:rFonts w:ascii="Arial Narrow" w:eastAsiaTheme="minorHAnsi" w:hAnsi="Arial Narrow" w:cstheme="minorHAnsi"/>
                <w:snapToGrid/>
                <w:sz w:val="20"/>
                <w:szCs w:val="20"/>
              </w:rPr>
              <w:t xml:space="preserve"> concomitantly for adjuvant treatment following complete surgical resection</w:t>
            </w:r>
          </w:p>
          <w:p w:rsidR="00FC5C52" w:rsidRPr="007579E2" w:rsidRDefault="00FC5C52" w:rsidP="007E6F21">
            <w:pPr>
              <w:pStyle w:val="Tabletext"/>
              <w:rPr>
                <w:rFonts w:eastAsiaTheme="minorHAnsi"/>
              </w:rPr>
            </w:pPr>
            <w:r w:rsidRPr="007579E2">
              <w:rPr>
                <w:rFonts w:eastAsiaTheme="minorHAnsi"/>
              </w:rPr>
              <w:t xml:space="preserve">AND </w:t>
            </w:r>
          </w:p>
          <w:p w:rsidR="00FC5C52" w:rsidRPr="007579E2" w:rsidRDefault="00FC5C52" w:rsidP="007E6F21">
            <w:pPr>
              <w:widowControl/>
              <w:contextualSpacing/>
              <w:rPr>
                <w:rFonts w:eastAsiaTheme="minorHAnsi"/>
              </w:rPr>
            </w:pPr>
            <w:r w:rsidRPr="007579E2">
              <w:rPr>
                <w:rFonts w:ascii="Arial Narrow" w:eastAsiaTheme="minorHAnsi" w:hAnsi="Arial Narrow" w:cstheme="minorHAnsi"/>
                <w:snapToGrid/>
                <w:sz w:val="20"/>
                <w:szCs w:val="20"/>
              </w:rPr>
              <w:t>Patient must not have experienced disease recurrence</w:t>
            </w:r>
          </w:p>
        </w:tc>
      </w:tr>
      <w:tr w:rsidR="00FC5C52" w:rsidRPr="007579E2" w:rsidTr="00A12E11">
        <w:trPr>
          <w:cantSplit/>
        </w:trPr>
        <w:tc>
          <w:tcPr>
            <w:tcW w:w="941"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pStyle w:val="Tabletext"/>
              <w:rPr>
                <w:rFonts w:eastAsiaTheme="minorHAnsi"/>
              </w:rPr>
            </w:pPr>
            <w:r w:rsidRPr="007579E2">
              <w:rPr>
                <w:rFonts w:eastAsiaTheme="minorHAnsi"/>
                <w:b/>
              </w:rPr>
              <w:t>Population criteria</w:t>
            </w:r>
          </w:p>
        </w:tc>
        <w:tc>
          <w:tcPr>
            <w:tcW w:w="4059"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pStyle w:val="Tabletext"/>
              <w:rPr>
                <w:rFonts w:eastAsiaTheme="minorHAnsi"/>
              </w:rPr>
            </w:pPr>
            <w:r w:rsidRPr="007579E2">
              <w:rPr>
                <w:rFonts w:eastAsiaTheme="minorHAnsi"/>
              </w:rPr>
              <w:t>N/A</w:t>
            </w:r>
          </w:p>
        </w:tc>
      </w:tr>
      <w:tr w:rsidR="00FC5C52" w:rsidRPr="007579E2" w:rsidTr="00A12E11">
        <w:trPr>
          <w:cantSplit/>
        </w:trPr>
        <w:tc>
          <w:tcPr>
            <w:tcW w:w="941"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pStyle w:val="Tabletext"/>
              <w:rPr>
                <w:rFonts w:eastAsiaTheme="minorHAnsi"/>
                <w:b/>
              </w:rPr>
            </w:pPr>
            <w:r w:rsidRPr="007579E2">
              <w:rPr>
                <w:rFonts w:eastAsiaTheme="minorHAnsi"/>
                <w:b/>
              </w:rPr>
              <w:t>Treatment criteria</w:t>
            </w:r>
          </w:p>
        </w:tc>
        <w:tc>
          <w:tcPr>
            <w:tcW w:w="4059" w:type="pct"/>
            <w:tcBorders>
              <w:top w:val="single" w:sz="4" w:space="0" w:color="auto"/>
              <w:left w:val="single" w:sz="4" w:space="0" w:color="auto"/>
              <w:bottom w:val="single" w:sz="4" w:space="0" w:color="auto"/>
              <w:right w:val="single" w:sz="4" w:space="0" w:color="auto"/>
            </w:tcBorders>
          </w:tcPr>
          <w:p w:rsidR="00FC5C52" w:rsidRPr="007579E2" w:rsidRDefault="00FC5C52" w:rsidP="007E6F21">
            <w:pPr>
              <w:pStyle w:val="Tabletext"/>
              <w:rPr>
                <w:rFonts w:eastAsiaTheme="minorHAnsi"/>
              </w:rPr>
            </w:pPr>
            <w:r w:rsidRPr="007579E2">
              <w:rPr>
                <w:rFonts w:eastAsiaTheme="minorHAnsi"/>
              </w:rPr>
              <w:t>Treatment must not exceed a maximum duration of 12 months (initial and continuing therapy) under this restriction</w:t>
            </w:r>
          </w:p>
        </w:tc>
      </w:tr>
    </w:tbl>
    <w:p w:rsidR="00FC5C52" w:rsidRPr="007579E2" w:rsidRDefault="00FC5C52" w:rsidP="007E6F21">
      <w:pPr>
        <w:widowControl/>
      </w:pPr>
    </w:p>
    <w:tbl>
      <w:tblPr>
        <w:tblW w:w="5000" w:type="pct"/>
        <w:tblLook w:val="0000" w:firstRow="0" w:lastRow="0" w:firstColumn="0" w:lastColumn="0" w:noHBand="0" w:noVBand="0"/>
      </w:tblPr>
      <w:tblGrid>
        <w:gridCol w:w="1695"/>
        <w:gridCol w:w="7322"/>
      </w:tblGrid>
      <w:tr w:rsidR="00E30526" w:rsidRPr="007579E2" w:rsidTr="00A12E11">
        <w:trPr>
          <w:cantSplit/>
        </w:trPr>
        <w:tc>
          <w:tcPr>
            <w:tcW w:w="940" w:type="pct"/>
            <w:tcBorders>
              <w:top w:val="single" w:sz="4" w:space="0" w:color="auto"/>
              <w:left w:val="single" w:sz="4" w:space="0" w:color="auto"/>
              <w:bottom w:val="single" w:sz="4" w:space="0" w:color="auto"/>
              <w:right w:val="single" w:sz="4" w:space="0" w:color="auto"/>
            </w:tcBorders>
          </w:tcPr>
          <w:p w:rsidR="00E30526" w:rsidRPr="007579E2" w:rsidRDefault="00E30526" w:rsidP="007E6F21">
            <w:pPr>
              <w:pStyle w:val="Tabletext"/>
              <w:rPr>
                <w:rFonts w:eastAsiaTheme="minorHAnsi"/>
                <w:b/>
              </w:rPr>
            </w:pPr>
            <w:r w:rsidRPr="007579E2">
              <w:rPr>
                <w:rFonts w:eastAsiaTheme="minorHAnsi"/>
                <w:b/>
              </w:rPr>
              <w:t>Category/program</w:t>
            </w:r>
          </w:p>
        </w:tc>
        <w:tc>
          <w:tcPr>
            <w:tcW w:w="4060" w:type="pct"/>
            <w:tcBorders>
              <w:top w:val="single" w:sz="4" w:space="0" w:color="auto"/>
              <w:left w:val="single" w:sz="4" w:space="0" w:color="auto"/>
              <w:bottom w:val="single" w:sz="4" w:space="0" w:color="auto"/>
              <w:right w:val="single" w:sz="4" w:space="0" w:color="auto"/>
            </w:tcBorders>
          </w:tcPr>
          <w:p w:rsidR="00E30526" w:rsidRPr="007579E2" w:rsidRDefault="00E30526" w:rsidP="007E6F21">
            <w:pPr>
              <w:pStyle w:val="Tabletext"/>
              <w:rPr>
                <w:rFonts w:eastAsiaTheme="minorHAnsi"/>
              </w:rPr>
            </w:pPr>
            <w:r w:rsidRPr="007579E2">
              <w:rPr>
                <w:rFonts w:eastAsiaTheme="minorHAnsi"/>
              </w:rPr>
              <w:t>Authority required (STREAMLINED)</w:t>
            </w:r>
          </w:p>
        </w:tc>
      </w:tr>
      <w:tr w:rsidR="00E30526" w:rsidRPr="007579E2" w:rsidTr="00A12E11">
        <w:trPr>
          <w:cantSplit/>
        </w:trPr>
        <w:tc>
          <w:tcPr>
            <w:tcW w:w="940" w:type="pct"/>
            <w:tcBorders>
              <w:top w:val="single" w:sz="4" w:space="0" w:color="auto"/>
              <w:left w:val="single" w:sz="4" w:space="0" w:color="auto"/>
              <w:bottom w:val="single" w:sz="4" w:space="0" w:color="auto"/>
              <w:right w:val="single" w:sz="4" w:space="0" w:color="auto"/>
            </w:tcBorders>
          </w:tcPr>
          <w:p w:rsidR="00E30526" w:rsidRPr="007579E2" w:rsidRDefault="00E30526" w:rsidP="007E6F21">
            <w:pPr>
              <w:pStyle w:val="Tabletext"/>
              <w:rPr>
                <w:rFonts w:eastAsiaTheme="minorHAnsi"/>
              </w:rPr>
            </w:pPr>
            <w:r w:rsidRPr="007579E2">
              <w:rPr>
                <w:rFonts w:eastAsiaTheme="minorHAnsi"/>
                <w:b/>
              </w:rPr>
              <w:t>Severity</w:t>
            </w:r>
          </w:p>
        </w:tc>
        <w:tc>
          <w:tcPr>
            <w:tcW w:w="4060" w:type="pct"/>
            <w:tcBorders>
              <w:top w:val="single" w:sz="4" w:space="0" w:color="auto"/>
              <w:left w:val="single" w:sz="4" w:space="0" w:color="auto"/>
              <w:bottom w:val="single" w:sz="4" w:space="0" w:color="auto"/>
              <w:right w:val="single" w:sz="4" w:space="0" w:color="auto"/>
            </w:tcBorders>
          </w:tcPr>
          <w:p w:rsidR="00E30526" w:rsidRPr="007579E2" w:rsidRDefault="00E30526" w:rsidP="007E6F21">
            <w:pPr>
              <w:pStyle w:val="Tabletext"/>
              <w:rPr>
                <w:rFonts w:eastAsiaTheme="minorHAnsi"/>
              </w:rPr>
            </w:pPr>
            <w:r w:rsidRPr="007579E2">
              <w:rPr>
                <w:rFonts w:eastAsiaTheme="minorHAnsi"/>
              </w:rPr>
              <w:t xml:space="preserve">Resected Stage III </w:t>
            </w:r>
          </w:p>
        </w:tc>
      </w:tr>
      <w:tr w:rsidR="00E30526" w:rsidRPr="007579E2" w:rsidTr="00A12E11">
        <w:trPr>
          <w:cantSplit/>
        </w:trPr>
        <w:tc>
          <w:tcPr>
            <w:tcW w:w="940" w:type="pct"/>
            <w:tcBorders>
              <w:top w:val="single" w:sz="4" w:space="0" w:color="auto"/>
              <w:left w:val="single" w:sz="4" w:space="0" w:color="auto"/>
              <w:bottom w:val="single" w:sz="4" w:space="0" w:color="auto"/>
              <w:right w:val="single" w:sz="4" w:space="0" w:color="auto"/>
            </w:tcBorders>
          </w:tcPr>
          <w:p w:rsidR="00E30526" w:rsidRPr="007579E2" w:rsidRDefault="00E30526" w:rsidP="007E6F21">
            <w:pPr>
              <w:pStyle w:val="Tabletext"/>
              <w:rPr>
                <w:rFonts w:eastAsiaTheme="minorHAnsi"/>
                <w:i/>
              </w:rPr>
            </w:pPr>
            <w:r w:rsidRPr="007579E2">
              <w:rPr>
                <w:rFonts w:eastAsiaTheme="minorHAnsi"/>
                <w:b/>
              </w:rPr>
              <w:t>Condition</w:t>
            </w:r>
          </w:p>
        </w:tc>
        <w:tc>
          <w:tcPr>
            <w:tcW w:w="4060" w:type="pct"/>
            <w:tcBorders>
              <w:top w:val="single" w:sz="4" w:space="0" w:color="auto"/>
              <w:left w:val="single" w:sz="4" w:space="0" w:color="auto"/>
              <w:bottom w:val="single" w:sz="4" w:space="0" w:color="auto"/>
              <w:right w:val="single" w:sz="4" w:space="0" w:color="auto"/>
            </w:tcBorders>
          </w:tcPr>
          <w:p w:rsidR="00E30526" w:rsidRPr="007579E2" w:rsidRDefault="00E30526" w:rsidP="007E6F21">
            <w:pPr>
              <w:pStyle w:val="Tabletext"/>
              <w:rPr>
                <w:rFonts w:eastAsiaTheme="minorHAnsi"/>
              </w:rPr>
            </w:pPr>
            <w:r w:rsidRPr="007579E2">
              <w:rPr>
                <w:rFonts w:eastAsiaTheme="minorHAnsi"/>
              </w:rPr>
              <w:t xml:space="preserve">Malignant melanoma </w:t>
            </w:r>
          </w:p>
        </w:tc>
      </w:tr>
      <w:tr w:rsidR="00E30526" w:rsidRPr="007579E2" w:rsidTr="00A12E11">
        <w:trPr>
          <w:cantSplit/>
        </w:trPr>
        <w:tc>
          <w:tcPr>
            <w:tcW w:w="940" w:type="pct"/>
            <w:tcBorders>
              <w:top w:val="single" w:sz="4" w:space="0" w:color="auto"/>
              <w:left w:val="single" w:sz="4" w:space="0" w:color="auto"/>
              <w:bottom w:val="single" w:sz="4" w:space="0" w:color="auto"/>
              <w:right w:val="single" w:sz="4" w:space="0" w:color="auto"/>
            </w:tcBorders>
          </w:tcPr>
          <w:p w:rsidR="00E30526" w:rsidRPr="007579E2" w:rsidRDefault="00E30526" w:rsidP="007E6F21">
            <w:pPr>
              <w:pStyle w:val="Tabletext"/>
              <w:rPr>
                <w:rFonts w:eastAsiaTheme="minorHAnsi"/>
              </w:rPr>
            </w:pPr>
            <w:r w:rsidRPr="007579E2">
              <w:rPr>
                <w:rFonts w:eastAsiaTheme="minorHAnsi"/>
                <w:b/>
              </w:rPr>
              <w:t>Treatment phase</w:t>
            </w:r>
          </w:p>
        </w:tc>
        <w:tc>
          <w:tcPr>
            <w:tcW w:w="4060" w:type="pct"/>
            <w:tcBorders>
              <w:top w:val="single" w:sz="4" w:space="0" w:color="auto"/>
              <w:left w:val="single" w:sz="4" w:space="0" w:color="auto"/>
              <w:bottom w:val="single" w:sz="4" w:space="0" w:color="auto"/>
              <w:right w:val="single" w:sz="4" w:space="0" w:color="auto"/>
            </w:tcBorders>
          </w:tcPr>
          <w:p w:rsidR="00E30526" w:rsidRPr="007579E2" w:rsidRDefault="00E30526" w:rsidP="007E6F21">
            <w:pPr>
              <w:pStyle w:val="Tabletext"/>
              <w:rPr>
                <w:rFonts w:eastAsiaTheme="minorHAnsi"/>
              </w:rPr>
            </w:pPr>
            <w:r w:rsidRPr="007579E2">
              <w:rPr>
                <w:rFonts w:eastAsiaTheme="minorHAnsi"/>
              </w:rPr>
              <w:t>Grandfathered patients</w:t>
            </w:r>
          </w:p>
        </w:tc>
      </w:tr>
      <w:tr w:rsidR="00E30526" w:rsidRPr="007579E2" w:rsidTr="00A12E11">
        <w:trPr>
          <w:cantSplit/>
          <w:trHeight w:val="360"/>
        </w:trPr>
        <w:tc>
          <w:tcPr>
            <w:tcW w:w="940" w:type="pct"/>
            <w:tcBorders>
              <w:top w:val="single" w:sz="4" w:space="0" w:color="auto"/>
              <w:left w:val="single" w:sz="4" w:space="0" w:color="auto"/>
              <w:bottom w:val="single" w:sz="4" w:space="0" w:color="auto"/>
              <w:right w:val="single" w:sz="4" w:space="0" w:color="auto"/>
            </w:tcBorders>
          </w:tcPr>
          <w:p w:rsidR="00E30526" w:rsidRPr="007579E2" w:rsidRDefault="00E30526" w:rsidP="007E6F21">
            <w:pPr>
              <w:pStyle w:val="Tabletext"/>
              <w:rPr>
                <w:rFonts w:eastAsiaTheme="minorHAnsi"/>
              </w:rPr>
            </w:pPr>
            <w:r w:rsidRPr="007579E2">
              <w:rPr>
                <w:rFonts w:eastAsiaTheme="minorHAnsi"/>
                <w:b/>
              </w:rPr>
              <w:t>Clinical criteria</w:t>
            </w:r>
          </w:p>
        </w:tc>
        <w:tc>
          <w:tcPr>
            <w:tcW w:w="4060" w:type="pct"/>
            <w:tcBorders>
              <w:top w:val="single" w:sz="4" w:space="0" w:color="auto"/>
              <w:left w:val="single" w:sz="4" w:space="0" w:color="auto"/>
              <w:bottom w:val="single" w:sz="4" w:space="0" w:color="auto"/>
              <w:right w:val="single" w:sz="4" w:space="0" w:color="auto"/>
            </w:tcBorders>
          </w:tcPr>
          <w:p w:rsidR="00E30526" w:rsidRPr="007579E2" w:rsidRDefault="00E30526"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Patient must have previously received non-PBS subsidised drug for this condition prior to [list date]</w:t>
            </w:r>
          </w:p>
          <w:p w:rsidR="00E30526" w:rsidRPr="007579E2" w:rsidRDefault="00E30526"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AND</w:t>
            </w:r>
          </w:p>
          <w:p w:rsidR="00E30526" w:rsidRPr="007579E2" w:rsidRDefault="00E30526"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 xml:space="preserve">The treatment must be adjuvant to complete surgical resection </w:t>
            </w:r>
          </w:p>
          <w:p w:rsidR="00E30526" w:rsidRPr="007579E2" w:rsidRDefault="00E30526"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AND</w:t>
            </w:r>
          </w:p>
          <w:p w:rsidR="00E30526" w:rsidRPr="007579E2" w:rsidRDefault="00E30526"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The condition must be positive for a BRAF V600 mutation</w:t>
            </w:r>
          </w:p>
          <w:p w:rsidR="00E30526" w:rsidRPr="007579E2" w:rsidRDefault="00E30526"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AND</w:t>
            </w:r>
          </w:p>
          <w:p w:rsidR="00E30526" w:rsidRPr="007579E2" w:rsidRDefault="00E30526"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Patient must have a WHO performance status of 1 or less</w:t>
            </w:r>
          </w:p>
          <w:p w:rsidR="00E30526" w:rsidRPr="007579E2" w:rsidRDefault="00E30526"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AND</w:t>
            </w:r>
          </w:p>
          <w:p w:rsidR="00E30526" w:rsidRPr="007579E2" w:rsidRDefault="00E30526"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 xml:space="preserve">Patient must be receiving PBS-subsidised </w:t>
            </w:r>
            <w:proofErr w:type="spellStart"/>
            <w:r w:rsidRPr="007579E2">
              <w:rPr>
                <w:rFonts w:ascii="Arial Narrow" w:eastAsiaTheme="minorHAnsi" w:hAnsi="Arial Narrow" w:cstheme="minorHAnsi"/>
                <w:snapToGrid/>
                <w:sz w:val="20"/>
                <w:szCs w:val="20"/>
              </w:rPr>
              <w:t>trametinib</w:t>
            </w:r>
            <w:proofErr w:type="spellEnd"/>
            <w:r w:rsidRPr="007579E2">
              <w:rPr>
                <w:rFonts w:ascii="Arial Narrow" w:eastAsiaTheme="minorHAnsi" w:hAnsi="Arial Narrow" w:cstheme="minorHAnsi"/>
                <w:snapToGrid/>
                <w:sz w:val="20"/>
                <w:szCs w:val="20"/>
              </w:rPr>
              <w:t xml:space="preserve"> and </w:t>
            </w:r>
            <w:proofErr w:type="spellStart"/>
            <w:r w:rsidRPr="007579E2">
              <w:rPr>
                <w:rFonts w:ascii="Arial Narrow" w:eastAsiaTheme="minorHAnsi" w:hAnsi="Arial Narrow" w:cstheme="minorHAnsi"/>
                <w:snapToGrid/>
                <w:sz w:val="20"/>
                <w:szCs w:val="20"/>
              </w:rPr>
              <w:t>dabrafenib</w:t>
            </w:r>
            <w:proofErr w:type="spellEnd"/>
            <w:r w:rsidRPr="007579E2">
              <w:rPr>
                <w:rFonts w:ascii="Arial Narrow" w:eastAsiaTheme="minorHAnsi" w:hAnsi="Arial Narrow" w:cstheme="minorHAnsi"/>
                <w:snapToGrid/>
                <w:sz w:val="20"/>
                <w:szCs w:val="20"/>
              </w:rPr>
              <w:t xml:space="preserve"> concomitantly for this condition </w:t>
            </w:r>
          </w:p>
          <w:p w:rsidR="00E30526" w:rsidRPr="007579E2" w:rsidRDefault="00E30526"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AND</w:t>
            </w:r>
          </w:p>
          <w:p w:rsidR="00E30526" w:rsidRPr="007579E2" w:rsidRDefault="00E30526" w:rsidP="007E6F21">
            <w:pPr>
              <w:widowControl/>
              <w:contextualSpacing/>
              <w:rPr>
                <w:rFonts w:eastAsiaTheme="minorHAnsi"/>
              </w:rPr>
            </w:pPr>
            <w:r w:rsidRPr="007579E2">
              <w:rPr>
                <w:rFonts w:ascii="Arial Narrow" w:eastAsiaTheme="minorHAnsi" w:hAnsi="Arial Narrow" w:cstheme="minorHAnsi"/>
                <w:snapToGrid/>
                <w:sz w:val="20"/>
                <w:szCs w:val="20"/>
              </w:rPr>
              <w:t>The condition must not have been treated previously with PBS subsidised therapy</w:t>
            </w:r>
          </w:p>
        </w:tc>
      </w:tr>
      <w:tr w:rsidR="00E30526" w:rsidRPr="007579E2" w:rsidTr="00A12E11">
        <w:trPr>
          <w:cantSplit/>
          <w:trHeight w:val="87"/>
        </w:trPr>
        <w:tc>
          <w:tcPr>
            <w:tcW w:w="940" w:type="pct"/>
            <w:tcBorders>
              <w:top w:val="single" w:sz="4" w:space="0" w:color="auto"/>
              <w:left w:val="single" w:sz="4" w:space="0" w:color="auto"/>
              <w:bottom w:val="single" w:sz="4" w:space="0" w:color="auto"/>
              <w:right w:val="single" w:sz="4" w:space="0" w:color="auto"/>
            </w:tcBorders>
          </w:tcPr>
          <w:p w:rsidR="00E30526" w:rsidRPr="007579E2" w:rsidRDefault="00E30526" w:rsidP="007E6F21">
            <w:pPr>
              <w:pStyle w:val="Tabletext"/>
              <w:rPr>
                <w:rFonts w:eastAsiaTheme="minorHAnsi"/>
              </w:rPr>
            </w:pPr>
            <w:r w:rsidRPr="007579E2">
              <w:rPr>
                <w:rFonts w:eastAsiaTheme="minorHAnsi"/>
                <w:b/>
              </w:rPr>
              <w:t>Population criteria</w:t>
            </w:r>
          </w:p>
        </w:tc>
        <w:tc>
          <w:tcPr>
            <w:tcW w:w="4060" w:type="pct"/>
            <w:tcBorders>
              <w:top w:val="single" w:sz="4" w:space="0" w:color="auto"/>
              <w:left w:val="single" w:sz="4" w:space="0" w:color="auto"/>
              <w:bottom w:val="single" w:sz="4" w:space="0" w:color="auto"/>
              <w:right w:val="single" w:sz="4" w:space="0" w:color="auto"/>
            </w:tcBorders>
          </w:tcPr>
          <w:p w:rsidR="00E30526" w:rsidRPr="007579E2" w:rsidRDefault="00E30526" w:rsidP="007E6F21">
            <w:pPr>
              <w:pStyle w:val="Tabletext"/>
              <w:rPr>
                <w:rFonts w:eastAsiaTheme="minorHAnsi"/>
              </w:rPr>
            </w:pPr>
            <w:r w:rsidRPr="007579E2">
              <w:rPr>
                <w:rFonts w:eastAsiaTheme="minorHAnsi"/>
              </w:rPr>
              <w:t>N/A</w:t>
            </w:r>
          </w:p>
        </w:tc>
      </w:tr>
      <w:tr w:rsidR="00E30526" w:rsidRPr="007579E2" w:rsidTr="00A12E11">
        <w:trPr>
          <w:cantSplit/>
          <w:trHeight w:val="360"/>
        </w:trPr>
        <w:tc>
          <w:tcPr>
            <w:tcW w:w="940" w:type="pct"/>
            <w:tcBorders>
              <w:top w:val="single" w:sz="4" w:space="0" w:color="auto"/>
              <w:left w:val="single" w:sz="4" w:space="0" w:color="auto"/>
              <w:bottom w:val="single" w:sz="4" w:space="0" w:color="auto"/>
              <w:right w:val="single" w:sz="4" w:space="0" w:color="auto"/>
            </w:tcBorders>
          </w:tcPr>
          <w:p w:rsidR="00E30526" w:rsidRPr="007579E2" w:rsidRDefault="00E30526" w:rsidP="007E6F21">
            <w:pPr>
              <w:pStyle w:val="Tabletext"/>
              <w:rPr>
                <w:rFonts w:eastAsiaTheme="minorHAnsi"/>
                <w:b/>
              </w:rPr>
            </w:pPr>
            <w:r w:rsidRPr="007579E2">
              <w:rPr>
                <w:rFonts w:eastAsiaTheme="minorHAnsi"/>
                <w:b/>
              </w:rPr>
              <w:t>Treatment criteria</w:t>
            </w:r>
          </w:p>
        </w:tc>
        <w:tc>
          <w:tcPr>
            <w:tcW w:w="4060" w:type="pct"/>
            <w:tcBorders>
              <w:top w:val="single" w:sz="4" w:space="0" w:color="auto"/>
              <w:left w:val="single" w:sz="4" w:space="0" w:color="auto"/>
              <w:bottom w:val="single" w:sz="4" w:space="0" w:color="auto"/>
              <w:right w:val="single" w:sz="4" w:space="0" w:color="auto"/>
            </w:tcBorders>
          </w:tcPr>
          <w:p w:rsidR="00E30526" w:rsidRPr="007579E2" w:rsidRDefault="00E30526"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Non-PBS subsidised treatment must have commenced within 12 weeks of complete surgical resection</w:t>
            </w:r>
          </w:p>
          <w:p w:rsidR="00E30526" w:rsidRPr="007579E2" w:rsidRDefault="00E30526" w:rsidP="007E6F21">
            <w:pPr>
              <w:widowControl/>
              <w:contextualSpacing/>
              <w:rPr>
                <w:rFonts w:ascii="Arial Narrow" w:eastAsiaTheme="minorHAnsi" w:hAnsi="Arial Narrow" w:cstheme="minorHAnsi"/>
                <w:snapToGrid/>
                <w:sz w:val="20"/>
                <w:szCs w:val="20"/>
              </w:rPr>
            </w:pPr>
            <w:r w:rsidRPr="007579E2">
              <w:rPr>
                <w:rFonts w:ascii="Arial Narrow" w:eastAsiaTheme="minorHAnsi" w:hAnsi="Arial Narrow" w:cstheme="minorHAnsi"/>
                <w:snapToGrid/>
                <w:sz w:val="20"/>
                <w:szCs w:val="20"/>
              </w:rPr>
              <w:t>AND</w:t>
            </w:r>
          </w:p>
          <w:p w:rsidR="00E30526" w:rsidRPr="007579E2" w:rsidRDefault="00E30526" w:rsidP="007E6F21">
            <w:pPr>
              <w:widowControl/>
              <w:contextualSpacing/>
              <w:rPr>
                <w:rFonts w:eastAsiaTheme="minorHAnsi"/>
              </w:rPr>
            </w:pPr>
            <w:r w:rsidRPr="007579E2">
              <w:rPr>
                <w:rFonts w:ascii="Arial Narrow" w:eastAsiaTheme="minorHAnsi" w:hAnsi="Arial Narrow" w:cstheme="minorHAnsi"/>
                <w:snapToGrid/>
                <w:sz w:val="20"/>
                <w:szCs w:val="20"/>
              </w:rPr>
              <w:t>Treatment must not exceed a maximum duration of 12 months (initial and continuing therapy) under this restriction</w:t>
            </w:r>
          </w:p>
        </w:tc>
      </w:tr>
    </w:tbl>
    <w:p w:rsidR="00203847" w:rsidRPr="007579E2" w:rsidRDefault="00203847" w:rsidP="00153CAC">
      <w:pPr>
        <w:pStyle w:val="ListParagraph"/>
        <w:widowControl/>
        <w:numPr>
          <w:ilvl w:val="1"/>
          <w:numId w:val="2"/>
        </w:numPr>
        <w:spacing w:before="120"/>
      </w:pPr>
      <w:r w:rsidRPr="007579E2">
        <w:t xml:space="preserve">The proposed amendments to the current restrictions for </w:t>
      </w:r>
      <w:proofErr w:type="spellStart"/>
      <w:r w:rsidRPr="007579E2">
        <w:t>dabrafenib</w:t>
      </w:r>
      <w:proofErr w:type="spellEnd"/>
      <w:r w:rsidRPr="007579E2">
        <w:t xml:space="preserve"> and </w:t>
      </w:r>
      <w:proofErr w:type="spellStart"/>
      <w:r w:rsidRPr="007579E2">
        <w:t>trametinib</w:t>
      </w:r>
      <w:proofErr w:type="spellEnd"/>
      <w:r w:rsidRPr="007579E2">
        <w:t xml:space="preserve"> for patients with </w:t>
      </w:r>
      <w:proofErr w:type="spellStart"/>
      <w:r w:rsidRPr="007579E2">
        <w:t>unresectable</w:t>
      </w:r>
      <w:proofErr w:type="spellEnd"/>
      <w:r w:rsidRPr="007579E2">
        <w:t xml:space="preserve"> Stage III or Stage IV malignant melanoma are presented below.</w:t>
      </w:r>
      <w:r w:rsidR="005200FD" w:rsidRPr="007579E2">
        <w:t xml:space="preserve"> The sponsor’s proposed amendments are in italics and strikethrough.</w:t>
      </w:r>
      <w:r w:rsidR="0022313D" w:rsidRPr="007579E2">
        <w:t xml:space="preserve"> Flow on changes would also be expected for the programmed cell death 1 (PD-1) inhibitors (</w:t>
      </w:r>
      <w:proofErr w:type="spellStart"/>
      <w:r w:rsidR="0022313D" w:rsidRPr="007579E2">
        <w:t>nivolumab</w:t>
      </w:r>
      <w:proofErr w:type="spellEnd"/>
      <w:r w:rsidR="0022313D" w:rsidRPr="007579E2">
        <w:t xml:space="preserve"> and </w:t>
      </w:r>
      <w:proofErr w:type="spellStart"/>
      <w:r w:rsidR="0022313D" w:rsidRPr="007579E2">
        <w:t>pembrolizumab</w:t>
      </w:r>
      <w:proofErr w:type="spellEnd"/>
      <w:r w:rsidR="0022313D" w:rsidRPr="007579E2">
        <w:t xml:space="preserve">) and </w:t>
      </w:r>
      <w:proofErr w:type="spellStart"/>
      <w:r w:rsidR="0022313D" w:rsidRPr="007579E2">
        <w:t>ipilimumab</w:t>
      </w:r>
      <w:proofErr w:type="spellEnd"/>
      <w:r w:rsidR="0022313D" w:rsidRPr="007579E2">
        <w:t xml:space="preserve">, which are currently PBS listed for </w:t>
      </w:r>
      <w:proofErr w:type="spellStart"/>
      <w:r w:rsidR="0022313D" w:rsidRPr="007579E2">
        <w:t>unresectable</w:t>
      </w:r>
      <w:proofErr w:type="spellEnd"/>
      <w:r w:rsidR="0022313D" w:rsidRPr="007579E2">
        <w:t xml:space="preserve"> Stage III or Stage IV melanoma.</w:t>
      </w:r>
    </w:p>
    <w:tbl>
      <w:tblPr>
        <w:tblW w:w="5000" w:type="pct"/>
        <w:tblLook w:val="0000" w:firstRow="0" w:lastRow="0" w:firstColumn="0" w:lastColumn="0" w:noHBand="0" w:noVBand="0"/>
      </w:tblPr>
      <w:tblGrid>
        <w:gridCol w:w="1695"/>
        <w:gridCol w:w="7322"/>
      </w:tblGrid>
      <w:tr w:rsidR="005200FD" w:rsidRPr="007579E2" w:rsidTr="005200FD">
        <w:trPr>
          <w:cantSplit/>
          <w:trHeight w:val="267"/>
        </w:trPr>
        <w:tc>
          <w:tcPr>
            <w:tcW w:w="5000" w:type="pct"/>
            <w:gridSpan w:val="2"/>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keepNext/>
              <w:rPr>
                <w:rFonts w:eastAsiaTheme="minorHAnsi"/>
                <w:b/>
                <w:szCs w:val="20"/>
              </w:rPr>
            </w:pPr>
            <w:proofErr w:type="spellStart"/>
            <w:r w:rsidRPr="007579E2">
              <w:rPr>
                <w:rFonts w:eastAsiaTheme="minorHAnsi"/>
                <w:b/>
                <w:szCs w:val="20"/>
              </w:rPr>
              <w:lastRenderedPageBreak/>
              <w:t>Dabrafenib</w:t>
            </w:r>
            <w:proofErr w:type="spellEnd"/>
          </w:p>
        </w:tc>
      </w:tr>
      <w:tr w:rsidR="005200FD" w:rsidRPr="007579E2" w:rsidTr="005200FD">
        <w:trPr>
          <w:cantSplit/>
          <w:trHeight w:val="130"/>
        </w:trPr>
        <w:tc>
          <w:tcPr>
            <w:tcW w:w="94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PBACHeading1"/>
              <w:keepNext/>
              <w:numPr>
                <w:ilvl w:val="0"/>
                <w:numId w:val="0"/>
              </w:numPr>
              <w:rPr>
                <w:rFonts w:ascii="Arial Narrow" w:eastAsiaTheme="minorHAnsi" w:hAnsi="Arial Narrow"/>
                <w:sz w:val="20"/>
                <w:szCs w:val="20"/>
              </w:rPr>
            </w:pPr>
            <w:r w:rsidRPr="007579E2">
              <w:rPr>
                <w:rFonts w:ascii="Arial Narrow" w:eastAsiaTheme="minorHAnsi" w:hAnsi="Arial Narrow"/>
                <w:sz w:val="20"/>
                <w:szCs w:val="20"/>
              </w:rPr>
              <w:t>Category/program</w:t>
            </w:r>
          </w:p>
        </w:tc>
        <w:tc>
          <w:tcPr>
            <w:tcW w:w="406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keepNext/>
              <w:rPr>
                <w:rFonts w:eastAsiaTheme="minorHAnsi"/>
                <w:szCs w:val="20"/>
              </w:rPr>
            </w:pPr>
            <w:r w:rsidRPr="007579E2">
              <w:rPr>
                <w:rFonts w:eastAsiaTheme="minorHAnsi"/>
                <w:szCs w:val="20"/>
              </w:rPr>
              <w:t>Authority required (STREAMLINED)</w:t>
            </w:r>
          </w:p>
        </w:tc>
      </w:tr>
      <w:tr w:rsidR="005200FD" w:rsidRPr="007579E2" w:rsidTr="005200FD">
        <w:trPr>
          <w:cantSplit/>
          <w:trHeight w:val="176"/>
        </w:trPr>
        <w:tc>
          <w:tcPr>
            <w:tcW w:w="94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keepNext/>
              <w:rPr>
                <w:rFonts w:eastAsiaTheme="minorHAnsi"/>
                <w:b/>
                <w:szCs w:val="20"/>
              </w:rPr>
            </w:pPr>
            <w:r w:rsidRPr="007579E2">
              <w:rPr>
                <w:rFonts w:eastAsiaTheme="minorHAnsi"/>
                <w:b/>
                <w:szCs w:val="20"/>
              </w:rPr>
              <w:t>Severity</w:t>
            </w:r>
          </w:p>
        </w:tc>
        <w:tc>
          <w:tcPr>
            <w:tcW w:w="406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keepNext/>
              <w:rPr>
                <w:rFonts w:eastAsiaTheme="minorHAnsi"/>
                <w:szCs w:val="20"/>
              </w:rPr>
            </w:pPr>
            <w:proofErr w:type="spellStart"/>
            <w:r w:rsidRPr="007579E2">
              <w:rPr>
                <w:rFonts w:eastAsiaTheme="minorHAnsi"/>
                <w:szCs w:val="20"/>
              </w:rPr>
              <w:t>Unresectable</w:t>
            </w:r>
            <w:proofErr w:type="spellEnd"/>
            <w:r w:rsidRPr="007579E2">
              <w:rPr>
                <w:rFonts w:eastAsiaTheme="minorHAnsi"/>
                <w:szCs w:val="20"/>
              </w:rPr>
              <w:t xml:space="preserve"> Stage III or Stage IV</w:t>
            </w:r>
          </w:p>
        </w:tc>
      </w:tr>
      <w:tr w:rsidR="005200FD" w:rsidRPr="007579E2" w:rsidTr="005200FD">
        <w:trPr>
          <w:cantSplit/>
          <w:trHeight w:val="80"/>
        </w:trPr>
        <w:tc>
          <w:tcPr>
            <w:tcW w:w="94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keepNext/>
              <w:rPr>
                <w:rFonts w:eastAsiaTheme="minorHAnsi"/>
                <w:b/>
                <w:szCs w:val="20"/>
              </w:rPr>
            </w:pPr>
            <w:r w:rsidRPr="007579E2">
              <w:rPr>
                <w:rFonts w:eastAsiaTheme="minorHAnsi"/>
                <w:b/>
                <w:szCs w:val="20"/>
              </w:rPr>
              <w:t>Condition</w:t>
            </w:r>
          </w:p>
        </w:tc>
        <w:tc>
          <w:tcPr>
            <w:tcW w:w="406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keepNext/>
              <w:rPr>
                <w:rFonts w:eastAsiaTheme="minorHAnsi"/>
                <w:szCs w:val="20"/>
              </w:rPr>
            </w:pPr>
            <w:r w:rsidRPr="007579E2">
              <w:rPr>
                <w:rFonts w:eastAsiaTheme="minorHAnsi"/>
                <w:szCs w:val="20"/>
              </w:rPr>
              <w:t>Malignant melanoma</w:t>
            </w:r>
          </w:p>
        </w:tc>
      </w:tr>
      <w:tr w:rsidR="005200FD" w:rsidRPr="007579E2" w:rsidTr="005200FD">
        <w:trPr>
          <w:cantSplit/>
          <w:trHeight w:val="112"/>
        </w:trPr>
        <w:tc>
          <w:tcPr>
            <w:tcW w:w="94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keepNext/>
              <w:rPr>
                <w:rFonts w:eastAsiaTheme="minorHAnsi"/>
                <w:i/>
                <w:szCs w:val="20"/>
              </w:rPr>
            </w:pPr>
            <w:r w:rsidRPr="007579E2">
              <w:rPr>
                <w:rFonts w:eastAsiaTheme="minorHAnsi"/>
                <w:b/>
                <w:szCs w:val="20"/>
              </w:rPr>
              <w:t>Treatment phase</w:t>
            </w:r>
          </w:p>
        </w:tc>
        <w:tc>
          <w:tcPr>
            <w:tcW w:w="406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keepNext/>
              <w:rPr>
                <w:rFonts w:eastAsiaTheme="minorHAnsi"/>
                <w:szCs w:val="20"/>
              </w:rPr>
            </w:pPr>
            <w:r w:rsidRPr="007579E2">
              <w:rPr>
                <w:rFonts w:eastAsiaTheme="minorHAnsi"/>
                <w:szCs w:val="20"/>
              </w:rPr>
              <w:t>Initial treatment</w:t>
            </w:r>
          </w:p>
        </w:tc>
      </w:tr>
      <w:tr w:rsidR="005200FD" w:rsidRPr="007579E2" w:rsidTr="005200FD">
        <w:trPr>
          <w:cantSplit/>
          <w:trHeight w:val="360"/>
        </w:trPr>
        <w:tc>
          <w:tcPr>
            <w:tcW w:w="94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keepNext/>
              <w:rPr>
                <w:rFonts w:eastAsiaTheme="minorHAnsi"/>
                <w:b/>
                <w:szCs w:val="20"/>
              </w:rPr>
            </w:pPr>
            <w:r w:rsidRPr="007579E2">
              <w:rPr>
                <w:rFonts w:eastAsiaTheme="minorHAnsi"/>
                <w:b/>
                <w:szCs w:val="20"/>
              </w:rPr>
              <w:t>Clinical criteria</w:t>
            </w:r>
          </w:p>
          <w:p w:rsidR="005200FD" w:rsidRPr="007579E2" w:rsidRDefault="005200FD" w:rsidP="007E6F21">
            <w:pPr>
              <w:pStyle w:val="Tabletext"/>
              <w:keepNext/>
              <w:rPr>
                <w:rFonts w:eastAsiaTheme="minorHAnsi"/>
                <w:szCs w:val="20"/>
              </w:rPr>
            </w:pPr>
          </w:p>
        </w:tc>
        <w:tc>
          <w:tcPr>
            <w:tcW w:w="406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keepNext/>
              <w:rPr>
                <w:rFonts w:eastAsiaTheme="minorHAnsi"/>
                <w:szCs w:val="20"/>
              </w:rPr>
            </w:pPr>
            <w:r w:rsidRPr="007579E2">
              <w:rPr>
                <w:rFonts w:eastAsiaTheme="minorHAnsi"/>
                <w:szCs w:val="20"/>
              </w:rPr>
              <w:t>The condition must be positive for a BRAF mutation,</w:t>
            </w:r>
          </w:p>
          <w:p w:rsidR="005200FD" w:rsidRPr="007579E2" w:rsidRDefault="005200FD" w:rsidP="007E6F21">
            <w:pPr>
              <w:pStyle w:val="Tabletext"/>
              <w:keepNext/>
              <w:rPr>
                <w:rFonts w:eastAsiaTheme="minorHAnsi"/>
                <w:szCs w:val="20"/>
              </w:rPr>
            </w:pPr>
            <w:r w:rsidRPr="007579E2">
              <w:rPr>
                <w:rFonts w:eastAsiaTheme="minorHAnsi"/>
                <w:szCs w:val="20"/>
              </w:rPr>
              <w:t>AND</w:t>
            </w:r>
          </w:p>
          <w:p w:rsidR="005200FD" w:rsidRPr="007579E2" w:rsidRDefault="005200FD" w:rsidP="007E6F21">
            <w:pPr>
              <w:pStyle w:val="Tabletext"/>
              <w:keepNext/>
              <w:rPr>
                <w:rFonts w:eastAsiaTheme="minorHAnsi"/>
                <w:strike/>
                <w:szCs w:val="20"/>
              </w:rPr>
            </w:pPr>
            <w:r w:rsidRPr="007579E2">
              <w:rPr>
                <w:rFonts w:eastAsiaTheme="minorHAnsi"/>
                <w:strike/>
                <w:szCs w:val="20"/>
              </w:rPr>
              <w:t>The condition must not have been treated previously with PBS subsidised therapy; OR</w:t>
            </w:r>
          </w:p>
          <w:p w:rsidR="005200FD" w:rsidRPr="007579E2" w:rsidRDefault="005200FD" w:rsidP="007E6F21">
            <w:pPr>
              <w:pStyle w:val="Tabletext"/>
              <w:keepNext/>
              <w:rPr>
                <w:rFonts w:eastAsiaTheme="minorHAnsi"/>
                <w:strike/>
                <w:szCs w:val="20"/>
              </w:rPr>
            </w:pPr>
            <w:r w:rsidRPr="007579E2">
              <w:rPr>
                <w:rFonts w:eastAsiaTheme="minorHAnsi"/>
                <w:strike/>
                <w:szCs w:val="20"/>
              </w:rPr>
              <w:t>Patient must have developed intolerance to another BRAF inhibitor of a severity necessitating permanent withdrawal,</w:t>
            </w:r>
          </w:p>
          <w:p w:rsidR="005200FD" w:rsidRPr="007579E2" w:rsidRDefault="005200FD" w:rsidP="007E6F21">
            <w:pPr>
              <w:pStyle w:val="Tabletext"/>
              <w:keepNext/>
              <w:rPr>
                <w:rFonts w:eastAsiaTheme="minorHAnsi"/>
                <w:strike/>
                <w:szCs w:val="20"/>
              </w:rPr>
            </w:pPr>
            <w:r w:rsidRPr="007579E2">
              <w:rPr>
                <w:rFonts w:eastAsiaTheme="minorHAnsi"/>
                <w:strike/>
                <w:szCs w:val="20"/>
              </w:rPr>
              <w:t>AND</w:t>
            </w:r>
          </w:p>
          <w:p w:rsidR="005200FD" w:rsidRPr="007579E2" w:rsidRDefault="005200FD" w:rsidP="007E6F21">
            <w:pPr>
              <w:pStyle w:val="Tabletext"/>
              <w:keepNext/>
              <w:rPr>
                <w:rFonts w:eastAsiaTheme="minorHAnsi"/>
                <w:szCs w:val="20"/>
              </w:rPr>
            </w:pPr>
            <w:r w:rsidRPr="007579E2">
              <w:rPr>
                <w:rFonts w:eastAsiaTheme="minorHAnsi"/>
                <w:szCs w:val="20"/>
              </w:rPr>
              <w:t>Patient must have a WHO performance status of 2 or less</w:t>
            </w:r>
          </w:p>
        </w:tc>
      </w:tr>
      <w:tr w:rsidR="005200FD" w:rsidRPr="007579E2" w:rsidTr="005200FD">
        <w:trPr>
          <w:cantSplit/>
          <w:trHeight w:val="110"/>
        </w:trPr>
        <w:tc>
          <w:tcPr>
            <w:tcW w:w="94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keepNext/>
              <w:rPr>
                <w:rFonts w:eastAsiaTheme="minorHAnsi"/>
                <w:b/>
                <w:szCs w:val="20"/>
              </w:rPr>
            </w:pPr>
            <w:r w:rsidRPr="007579E2">
              <w:rPr>
                <w:rFonts w:eastAsiaTheme="minorHAnsi"/>
                <w:b/>
                <w:szCs w:val="20"/>
              </w:rPr>
              <w:t>Population criteria</w:t>
            </w:r>
          </w:p>
        </w:tc>
        <w:tc>
          <w:tcPr>
            <w:tcW w:w="406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keepNext/>
              <w:rPr>
                <w:rFonts w:eastAsiaTheme="minorHAnsi"/>
                <w:szCs w:val="20"/>
              </w:rPr>
            </w:pPr>
            <w:r w:rsidRPr="007579E2">
              <w:rPr>
                <w:rFonts w:eastAsiaTheme="minorHAnsi"/>
                <w:szCs w:val="20"/>
              </w:rPr>
              <w:t>N/A</w:t>
            </w:r>
          </w:p>
        </w:tc>
      </w:tr>
      <w:tr w:rsidR="005200FD" w:rsidRPr="007579E2" w:rsidTr="005200FD">
        <w:trPr>
          <w:cantSplit/>
          <w:trHeight w:val="360"/>
        </w:trPr>
        <w:tc>
          <w:tcPr>
            <w:tcW w:w="94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keepNext/>
              <w:rPr>
                <w:rFonts w:eastAsiaTheme="minorHAnsi"/>
                <w:b/>
                <w:szCs w:val="20"/>
              </w:rPr>
            </w:pPr>
            <w:r w:rsidRPr="007579E2">
              <w:rPr>
                <w:rFonts w:eastAsiaTheme="minorHAnsi"/>
                <w:b/>
                <w:szCs w:val="20"/>
              </w:rPr>
              <w:t>Treatment criteria</w:t>
            </w:r>
          </w:p>
        </w:tc>
        <w:tc>
          <w:tcPr>
            <w:tcW w:w="406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keepNext/>
              <w:rPr>
                <w:rFonts w:eastAsiaTheme="minorHAnsi"/>
                <w:szCs w:val="20"/>
              </w:rPr>
            </w:pPr>
            <w:r w:rsidRPr="007579E2">
              <w:rPr>
                <w:rFonts w:eastAsiaTheme="minorHAnsi"/>
                <w:i/>
                <w:szCs w:val="20"/>
              </w:rPr>
              <w:t xml:space="preserve">Patients who have progressed during treatment with a BRAF inhibitor are no longer eligible to receive PBS-subsidised </w:t>
            </w:r>
            <w:proofErr w:type="spellStart"/>
            <w:r w:rsidRPr="007579E2">
              <w:rPr>
                <w:rFonts w:eastAsiaTheme="minorHAnsi"/>
                <w:i/>
                <w:szCs w:val="20"/>
              </w:rPr>
              <w:t>dabrafenib</w:t>
            </w:r>
            <w:proofErr w:type="spellEnd"/>
          </w:p>
        </w:tc>
      </w:tr>
    </w:tbl>
    <w:p w:rsidR="005200FD" w:rsidRPr="007579E2" w:rsidRDefault="005200FD" w:rsidP="007E6F21">
      <w:pPr>
        <w:widowControl/>
        <w:rPr>
          <w:rFonts w:ascii="Arial Narrow" w:hAnsi="Arial Narrow"/>
          <w:sz w:val="18"/>
          <w:szCs w:val="18"/>
        </w:rPr>
      </w:pPr>
    </w:p>
    <w:tbl>
      <w:tblPr>
        <w:tblW w:w="5000" w:type="pct"/>
        <w:tblLook w:val="0000" w:firstRow="0" w:lastRow="0" w:firstColumn="0" w:lastColumn="0" w:noHBand="0" w:noVBand="0"/>
      </w:tblPr>
      <w:tblGrid>
        <w:gridCol w:w="1695"/>
        <w:gridCol w:w="7322"/>
      </w:tblGrid>
      <w:tr w:rsidR="005200FD" w:rsidRPr="007579E2" w:rsidTr="005200FD">
        <w:trPr>
          <w:cantSplit/>
          <w:trHeight w:val="166"/>
        </w:trPr>
        <w:tc>
          <w:tcPr>
            <w:tcW w:w="5000" w:type="pct"/>
            <w:gridSpan w:val="2"/>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rPr>
                <w:rFonts w:eastAsiaTheme="minorHAnsi"/>
                <w:b/>
              </w:rPr>
            </w:pPr>
            <w:proofErr w:type="spellStart"/>
            <w:r w:rsidRPr="007579E2">
              <w:rPr>
                <w:rFonts w:eastAsiaTheme="minorHAnsi"/>
                <w:b/>
              </w:rPr>
              <w:t>Trametinib</w:t>
            </w:r>
            <w:proofErr w:type="spellEnd"/>
          </w:p>
        </w:tc>
      </w:tr>
      <w:tr w:rsidR="005200FD" w:rsidRPr="007579E2" w:rsidTr="005200FD">
        <w:trPr>
          <w:cantSplit/>
          <w:trHeight w:val="211"/>
        </w:trPr>
        <w:tc>
          <w:tcPr>
            <w:tcW w:w="94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rPr>
                <w:rFonts w:eastAsiaTheme="minorHAnsi"/>
                <w:b/>
              </w:rPr>
            </w:pPr>
            <w:r w:rsidRPr="007579E2">
              <w:rPr>
                <w:rFonts w:eastAsiaTheme="minorHAnsi"/>
                <w:b/>
              </w:rPr>
              <w:t>Category/program</w:t>
            </w:r>
          </w:p>
        </w:tc>
        <w:tc>
          <w:tcPr>
            <w:tcW w:w="406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rPr>
                <w:rFonts w:eastAsiaTheme="minorHAnsi"/>
              </w:rPr>
            </w:pPr>
            <w:r w:rsidRPr="007579E2">
              <w:rPr>
                <w:rFonts w:eastAsiaTheme="minorHAnsi"/>
              </w:rPr>
              <w:t>Authority required (STREAMLINED)</w:t>
            </w:r>
          </w:p>
        </w:tc>
      </w:tr>
      <w:tr w:rsidR="005200FD" w:rsidRPr="007579E2" w:rsidTr="005200FD">
        <w:trPr>
          <w:cantSplit/>
          <w:trHeight w:val="258"/>
        </w:trPr>
        <w:tc>
          <w:tcPr>
            <w:tcW w:w="94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rPr>
                <w:rFonts w:eastAsiaTheme="minorHAnsi"/>
                <w:b/>
              </w:rPr>
            </w:pPr>
            <w:r w:rsidRPr="007579E2">
              <w:rPr>
                <w:rFonts w:eastAsiaTheme="minorHAnsi"/>
                <w:b/>
              </w:rPr>
              <w:t>Severity</w:t>
            </w:r>
          </w:p>
        </w:tc>
        <w:tc>
          <w:tcPr>
            <w:tcW w:w="406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rPr>
                <w:rFonts w:eastAsiaTheme="minorHAnsi"/>
              </w:rPr>
            </w:pPr>
            <w:proofErr w:type="spellStart"/>
            <w:r w:rsidRPr="007579E2">
              <w:rPr>
                <w:rFonts w:eastAsiaTheme="minorHAnsi"/>
              </w:rPr>
              <w:t>Unresectable</w:t>
            </w:r>
            <w:proofErr w:type="spellEnd"/>
            <w:r w:rsidRPr="007579E2">
              <w:rPr>
                <w:rFonts w:eastAsiaTheme="minorHAnsi"/>
              </w:rPr>
              <w:t xml:space="preserve"> Stage III or Stage IV</w:t>
            </w:r>
          </w:p>
        </w:tc>
      </w:tr>
      <w:tr w:rsidR="005200FD" w:rsidRPr="007579E2" w:rsidTr="005200FD">
        <w:trPr>
          <w:cantSplit/>
          <w:trHeight w:val="133"/>
        </w:trPr>
        <w:tc>
          <w:tcPr>
            <w:tcW w:w="94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rPr>
                <w:rFonts w:eastAsiaTheme="minorHAnsi"/>
                <w:b/>
              </w:rPr>
            </w:pPr>
            <w:r w:rsidRPr="007579E2">
              <w:rPr>
                <w:rFonts w:eastAsiaTheme="minorHAnsi"/>
                <w:b/>
              </w:rPr>
              <w:t>Condition</w:t>
            </w:r>
          </w:p>
        </w:tc>
        <w:tc>
          <w:tcPr>
            <w:tcW w:w="406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rPr>
                <w:rFonts w:eastAsiaTheme="minorHAnsi"/>
              </w:rPr>
            </w:pPr>
            <w:r w:rsidRPr="007579E2">
              <w:rPr>
                <w:rFonts w:eastAsiaTheme="minorHAnsi"/>
              </w:rPr>
              <w:t>Malignant melanoma</w:t>
            </w:r>
          </w:p>
        </w:tc>
      </w:tr>
      <w:tr w:rsidR="005200FD" w:rsidRPr="007579E2" w:rsidTr="005200FD">
        <w:trPr>
          <w:cantSplit/>
          <w:trHeight w:val="180"/>
        </w:trPr>
        <w:tc>
          <w:tcPr>
            <w:tcW w:w="94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rPr>
                <w:rFonts w:eastAsiaTheme="minorHAnsi"/>
                <w:i/>
              </w:rPr>
            </w:pPr>
            <w:r w:rsidRPr="007579E2">
              <w:rPr>
                <w:rFonts w:eastAsiaTheme="minorHAnsi"/>
                <w:b/>
              </w:rPr>
              <w:t>Treatment phase</w:t>
            </w:r>
          </w:p>
        </w:tc>
        <w:tc>
          <w:tcPr>
            <w:tcW w:w="406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rPr>
                <w:rFonts w:eastAsiaTheme="minorHAnsi"/>
              </w:rPr>
            </w:pPr>
            <w:r w:rsidRPr="007579E2">
              <w:rPr>
                <w:rFonts w:eastAsiaTheme="minorHAnsi"/>
              </w:rPr>
              <w:t>Initial treatment</w:t>
            </w:r>
          </w:p>
        </w:tc>
      </w:tr>
      <w:tr w:rsidR="005200FD" w:rsidRPr="007579E2" w:rsidTr="005200FD">
        <w:trPr>
          <w:cantSplit/>
          <w:trHeight w:val="360"/>
        </w:trPr>
        <w:tc>
          <w:tcPr>
            <w:tcW w:w="94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rPr>
                <w:rFonts w:eastAsiaTheme="minorHAnsi"/>
                <w:b/>
              </w:rPr>
            </w:pPr>
            <w:r w:rsidRPr="007579E2">
              <w:rPr>
                <w:rFonts w:eastAsiaTheme="minorHAnsi"/>
                <w:b/>
              </w:rPr>
              <w:t>Clinical criteria</w:t>
            </w:r>
          </w:p>
          <w:p w:rsidR="005200FD" w:rsidRPr="007579E2" w:rsidRDefault="005200FD" w:rsidP="007E6F21">
            <w:pPr>
              <w:pStyle w:val="Tabletext"/>
              <w:rPr>
                <w:rFonts w:eastAsiaTheme="minorHAnsi"/>
              </w:rPr>
            </w:pPr>
          </w:p>
        </w:tc>
        <w:tc>
          <w:tcPr>
            <w:tcW w:w="406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rPr>
                <w:rFonts w:eastAsiaTheme="minorHAnsi"/>
              </w:rPr>
            </w:pPr>
            <w:r w:rsidRPr="007579E2">
              <w:rPr>
                <w:rFonts w:eastAsiaTheme="minorHAnsi"/>
              </w:rPr>
              <w:t xml:space="preserve">Patient must be receiving PBS subsidised </w:t>
            </w:r>
            <w:proofErr w:type="spellStart"/>
            <w:r w:rsidRPr="007579E2">
              <w:rPr>
                <w:rFonts w:eastAsiaTheme="minorHAnsi"/>
              </w:rPr>
              <w:t>dabrafenib</w:t>
            </w:r>
            <w:proofErr w:type="spellEnd"/>
            <w:r w:rsidRPr="007579E2">
              <w:rPr>
                <w:rFonts w:eastAsiaTheme="minorHAnsi"/>
              </w:rPr>
              <w:t xml:space="preserve"> concomitantly for this condition</w:t>
            </w:r>
          </w:p>
          <w:p w:rsidR="005200FD" w:rsidRPr="007579E2" w:rsidRDefault="005200FD" w:rsidP="007E6F21">
            <w:pPr>
              <w:pStyle w:val="Tabletext"/>
              <w:rPr>
                <w:rFonts w:eastAsiaTheme="minorHAnsi"/>
                <w:strike/>
              </w:rPr>
            </w:pPr>
            <w:r w:rsidRPr="007579E2">
              <w:rPr>
                <w:rFonts w:eastAsiaTheme="minorHAnsi"/>
                <w:strike/>
              </w:rPr>
              <w:t>AND</w:t>
            </w:r>
          </w:p>
          <w:p w:rsidR="005200FD" w:rsidRPr="007579E2" w:rsidRDefault="005200FD" w:rsidP="007E6F21">
            <w:pPr>
              <w:pStyle w:val="Tabletext"/>
              <w:rPr>
                <w:rFonts w:eastAsiaTheme="minorHAnsi"/>
                <w:strike/>
              </w:rPr>
            </w:pPr>
            <w:r w:rsidRPr="007579E2">
              <w:rPr>
                <w:rFonts w:eastAsiaTheme="minorHAnsi"/>
                <w:strike/>
              </w:rPr>
              <w:t>Patient must not have had progressive disease when treated with a BRAF inhibitor.</w:t>
            </w:r>
          </w:p>
        </w:tc>
      </w:tr>
      <w:tr w:rsidR="005200FD" w:rsidRPr="007579E2" w:rsidTr="005200FD">
        <w:trPr>
          <w:cantSplit/>
          <w:trHeight w:val="79"/>
        </w:trPr>
        <w:tc>
          <w:tcPr>
            <w:tcW w:w="94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rPr>
                <w:rFonts w:eastAsiaTheme="minorHAnsi"/>
                <w:b/>
              </w:rPr>
            </w:pPr>
            <w:r w:rsidRPr="007579E2">
              <w:rPr>
                <w:rFonts w:eastAsiaTheme="minorHAnsi"/>
                <w:b/>
              </w:rPr>
              <w:t>Population criteria</w:t>
            </w:r>
          </w:p>
        </w:tc>
        <w:tc>
          <w:tcPr>
            <w:tcW w:w="406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rPr>
                <w:rFonts w:eastAsiaTheme="minorHAnsi"/>
              </w:rPr>
            </w:pPr>
            <w:r w:rsidRPr="007579E2">
              <w:rPr>
                <w:rFonts w:eastAsiaTheme="minorHAnsi"/>
              </w:rPr>
              <w:t>N/A</w:t>
            </w:r>
          </w:p>
        </w:tc>
      </w:tr>
      <w:tr w:rsidR="005200FD" w:rsidRPr="007579E2" w:rsidTr="005200FD">
        <w:trPr>
          <w:cantSplit/>
          <w:trHeight w:val="360"/>
        </w:trPr>
        <w:tc>
          <w:tcPr>
            <w:tcW w:w="94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rPr>
                <w:rFonts w:eastAsiaTheme="minorHAnsi"/>
                <w:b/>
              </w:rPr>
            </w:pPr>
            <w:r w:rsidRPr="007579E2">
              <w:rPr>
                <w:rFonts w:eastAsiaTheme="minorHAnsi"/>
                <w:b/>
              </w:rPr>
              <w:t>Treatment criteria</w:t>
            </w:r>
          </w:p>
        </w:tc>
        <w:tc>
          <w:tcPr>
            <w:tcW w:w="4060" w:type="pct"/>
            <w:tcBorders>
              <w:top w:val="single" w:sz="4" w:space="0" w:color="auto"/>
              <w:left w:val="single" w:sz="4" w:space="0" w:color="auto"/>
              <w:bottom w:val="single" w:sz="4" w:space="0" w:color="auto"/>
              <w:right w:val="single" w:sz="4" w:space="0" w:color="auto"/>
            </w:tcBorders>
          </w:tcPr>
          <w:p w:rsidR="005200FD" w:rsidRPr="007579E2" w:rsidRDefault="005200FD" w:rsidP="007E6F21">
            <w:pPr>
              <w:pStyle w:val="Tabletext"/>
              <w:rPr>
                <w:rFonts w:eastAsiaTheme="minorHAnsi"/>
              </w:rPr>
            </w:pPr>
            <w:r w:rsidRPr="007579E2">
              <w:rPr>
                <w:rFonts w:eastAsiaTheme="minorHAnsi"/>
                <w:i/>
              </w:rPr>
              <w:t xml:space="preserve">Patients who have progressed during treatment with a BRAF inhibitor are no longer eligible to receive PBS-subsidised </w:t>
            </w:r>
            <w:proofErr w:type="spellStart"/>
            <w:r w:rsidRPr="007579E2">
              <w:rPr>
                <w:rFonts w:eastAsiaTheme="minorHAnsi"/>
                <w:i/>
              </w:rPr>
              <w:t>trametinib</w:t>
            </w:r>
            <w:proofErr w:type="spellEnd"/>
          </w:p>
        </w:tc>
      </w:tr>
    </w:tbl>
    <w:p w:rsidR="004B6034" w:rsidRPr="007579E2" w:rsidRDefault="004B6034" w:rsidP="00061E01">
      <w:pPr>
        <w:pStyle w:val="ListParagraph"/>
        <w:widowControl/>
        <w:numPr>
          <w:ilvl w:val="1"/>
          <w:numId w:val="2"/>
        </w:numPr>
        <w:spacing w:before="120"/>
      </w:pPr>
      <w:r w:rsidRPr="007579E2">
        <w:t>The submission proposed a special pricing arrangement (SPA)</w:t>
      </w:r>
      <w:r w:rsidR="00736DF6" w:rsidRPr="007579E2">
        <w:t>. E</w:t>
      </w:r>
      <w:r w:rsidRPr="007579E2">
        <w:t xml:space="preserve">ffective prices </w:t>
      </w:r>
      <w:r w:rsidR="00736DF6" w:rsidRPr="007579E2">
        <w:t>were use</w:t>
      </w:r>
      <w:r w:rsidRPr="007579E2">
        <w:t xml:space="preserve">d in the economic model and financial estimates. </w:t>
      </w:r>
      <w:r w:rsidR="001A6554" w:rsidRPr="007579E2">
        <w:t xml:space="preserve">The PBAC noted that a </w:t>
      </w:r>
      <w:r w:rsidR="0023686E">
        <w:rPr>
          <w:noProof/>
          <w:color w:val="000000"/>
          <w:highlight w:val="black"/>
        </w:rPr>
        <w:t>''''''</w:t>
      </w:r>
      <w:r w:rsidR="001A6554" w:rsidRPr="007579E2">
        <w:t xml:space="preserve">% reduction to the price </w:t>
      </w:r>
      <w:r w:rsidR="00A93F90" w:rsidRPr="007579E2">
        <w:t xml:space="preserve">(at the ex-manufacturer level) </w:t>
      </w:r>
      <w:r w:rsidR="001A6554" w:rsidRPr="007579E2">
        <w:t>was proposed in the pre-PBAC response.</w:t>
      </w:r>
    </w:p>
    <w:p w:rsidR="009C2104" w:rsidRPr="007579E2" w:rsidRDefault="009C2104" w:rsidP="00061E01">
      <w:pPr>
        <w:pStyle w:val="ListParagraph"/>
        <w:widowControl/>
        <w:numPr>
          <w:ilvl w:val="1"/>
          <w:numId w:val="2"/>
        </w:numPr>
        <w:spacing w:before="120"/>
      </w:pPr>
      <w:r w:rsidRPr="007579E2">
        <w:rPr>
          <w:rFonts w:asciiTheme="minorHAnsi" w:hAnsiTheme="minorHAnsi"/>
        </w:rPr>
        <w:t xml:space="preserve">The ESC noted that the proposed listing included all completely resected Stage IIIA patients, irrespective of the size of lymph node metastases. The key trial, COMBI-AD, excluded patients with lymph node metastases ≤ 1 mm; </w:t>
      </w:r>
      <w:r w:rsidRPr="007579E2">
        <w:t xml:space="preserve">therefore, there was no evidence to support adjuvant therapy in this patient subgroup. </w:t>
      </w:r>
    </w:p>
    <w:p w:rsidR="004B6034" w:rsidRPr="007579E2" w:rsidRDefault="004B6034" w:rsidP="00061E01">
      <w:pPr>
        <w:pStyle w:val="ListParagraph"/>
        <w:widowControl/>
        <w:numPr>
          <w:ilvl w:val="1"/>
          <w:numId w:val="2"/>
        </w:numPr>
        <w:spacing w:before="120"/>
      </w:pPr>
      <w:r w:rsidRPr="007579E2">
        <w:t xml:space="preserve">The submission requested an amendment to the current PBS listings of both </w:t>
      </w:r>
      <w:proofErr w:type="spellStart"/>
      <w:r w:rsidRPr="007579E2">
        <w:t>dabrafenib</w:t>
      </w:r>
      <w:proofErr w:type="spellEnd"/>
      <w:r w:rsidRPr="007579E2">
        <w:t xml:space="preserve"> and </w:t>
      </w:r>
      <w:proofErr w:type="spellStart"/>
      <w:r w:rsidRPr="007579E2">
        <w:t>trametinib</w:t>
      </w:r>
      <w:proofErr w:type="spellEnd"/>
      <w:r w:rsidRPr="007579E2">
        <w:t xml:space="preserve"> to allow patients to be retreated with </w:t>
      </w:r>
      <w:proofErr w:type="spellStart"/>
      <w:r w:rsidRPr="007579E2">
        <w:t>dabrafenib±trametinib</w:t>
      </w:r>
      <w:proofErr w:type="spellEnd"/>
      <w:r w:rsidRPr="007579E2">
        <w:t xml:space="preserve"> in the </w:t>
      </w:r>
      <w:proofErr w:type="spellStart"/>
      <w:r w:rsidRPr="007579E2">
        <w:t>unresectable</w:t>
      </w:r>
      <w:proofErr w:type="spellEnd"/>
      <w:r w:rsidR="004F4F38" w:rsidRPr="007579E2">
        <w:t xml:space="preserve"> </w:t>
      </w:r>
      <w:r w:rsidRPr="007579E2">
        <w:t xml:space="preserve">setting, provided that patients did not experience disease progression </w:t>
      </w:r>
      <w:r w:rsidR="009637AE" w:rsidRPr="007579E2">
        <w:t xml:space="preserve">whilst receiving adjuvant </w:t>
      </w:r>
      <w:proofErr w:type="spellStart"/>
      <w:r w:rsidRPr="007579E2">
        <w:t>dabrafenib</w:t>
      </w:r>
      <w:r w:rsidR="009637AE" w:rsidRPr="007579E2">
        <w:t>+t</w:t>
      </w:r>
      <w:r w:rsidRPr="007579E2">
        <w:t>rametinib</w:t>
      </w:r>
      <w:proofErr w:type="spellEnd"/>
      <w:r w:rsidRPr="007579E2">
        <w:t xml:space="preserve"> </w:t>
      </w:r>
      <w:r w:rsidR="009637AE" w:rsidRPr="007579E2">
        <w:t>treatment</w:t>
      </w:r>
      <w:r w:rsidRPr="007579E2">
        <w:t>.</w:t>
      </w:r>
      <w:r w:rsidR="00B15C09" w:rsidRPr="007579E2">
        <w:t xml:space="preserve"> Thus</w:t>
      </w:r>
      <w:r w:rsidR="0022313D" w:rsidRPr="007579E2">
        <w:t>,</w:t>
      </w:r>
      <w:r w:rsidRPr="007579E2">
        <w:t xml:space="preserve"> patient</w:t>
      </w:r>
      <w:r w:rsidR="009637AE" w:rsidRPr="007579E2">
        <w:t>s</w:t>
      </w:r>
      <w:r w:rsidRPr="007579E2">
        <w:t xml:space="preserve"> who tolerate </w:t>
      </w:r>
      <w:proofErr w:type="spellStart"/>
      <w:r w:rsidRPr="007579E2">
        <w:t>dabrafenib+trametinib</w:t>
      </w:r>
      <w:proofErr w:type="spellEnd"/>
      <w:r w:rsidRPr="007579E2">
        <w:t xml:space="preserve"> and </w:t>
      </w:r>
      <w:r w:rsidR="00062744" w:rsidRPr="007579E2">
        <w:t xml:space="preserve">complete </w:t>
      </w:r>
      <w:r w:rsidRPr="007579E2">
        <w:t>the 12-month</w:t>
      </w:r>
      <w:r w:rsidR="00736DF6" w:rsidRPr="007579E2">
        <w:t xml:space="preserve"> adjuvant </w:t>
      </w:r>
      <w:r w:rsidRPr="007579E2">
        <w:t xml:space="preserve">course would be eligible for retreatment with </w:t>
      </w:r>
      <w:proofErr w:type="spellStart"/>
      <w:r w:rsidRPr="007579E2">
        <w:t>dabrafenib±trametinib</w:t>
      </w:r>
      <w:proofErr w:type="spellEnd"/>
      <w:r w:rsidRPr="007579E2">
        <w:t xml:space="preserve"> for </w:t>
      </w:r>
      <w:proofErr w:type="spellStart"/>
      <w:r w:rsidRPr="007579E2">
        <w:t>unresectable</w:t>
      </w:r>
      <w:proofErr w:type="spellEnd"/>
      <w:r w:rsidRPr="007579E2">
        <w:t xml:space="preserve"> Stage III or Stage IV disease.</w:t>
      </w:r>
      <w:r w:rsidR="00E072B8" w:rsidRPr="007579E2">
        <w:t xml:space="preserve"> </w:t>
      </w:r>
      <w:r w:rsidR="001A6554" w:rsidRPr="007579E2">
        <w:t>T</w:t>
      </w:r>
      <w:r w:rsidR="001420C5" w:rsidRPr="007579E2">
        <w:t xml:space="preserve">he ESC advised that although not </w:t>
      </w:r>
      <w:r w:rsidR="00924D18" w:rsidRPr="007579E2">
        <w:t xml:space="preserve">specifically </w:t>
      </w:r>
      <w:r w:rsidR="001420C5" w:rsidRPr="007579E2">
        <w:t xml:space="preserve">proposed by the submission, patients with </w:t>
      </w:r>
      <w:proofErr w:type="spellStart"/>
      <w:r w:rsidR="001420C5" w:rsidRPr="007579E2">
        <w:t>unresectable</w:t>
      </w:r>
      <w:proofErr w:type="spellEnd"/>
      <w:r w:rsidR="001420C5" w:rsidRPr="007579E2">
        <w:t xml:space="preserve"> </w:t>
      </w:r>
      <w:r w:rsidR="003532CB" w:rsidRPr="007579E2">
        <w:t xml:space="preserve">or </w:t>
      </w:r>
      <w:r w:rsidR="001420C5" w:rsidRPr="007579E2">
        <w:t xml:space="preserve">metastatic disease who respond well to </w:t>
      </w:r>
      <w:proofErr w:type="spellStart"/>
      <w:r w:rsidR="001420C5" w:rsidRPr="007579E2">
        <w:t>dabrafenib+trametinib</w:t>
      </w:r>
      <w:proofErr w:type="spellEnd"/>
      <w:r w:rsidR="001420C5" w:rsidRPr="007579E2">
        <w:t xml:space="preserve"> therapy and then go on to have </w:t>
      </w:r>
      <w:r w:rsidR="00A8601E" w:rsidRPr="007579E2">
        <w:t>complete resection</w:t>
      </w:r>
      <w:r w:rsidR="001420C5" w:rsidRPr="007579E2">
        <w:t xml:space="preserve"> may also warrant access to adjuvant </w:t>
      </w:r>
      <w:proofErr w:type="spellStart"/>
      <w:r w:rsidR="001420C5" w:rsidRPr="007579E2">
        <w:t>dabrafenib+trametinib</w:t>
      </w:r>
      <w:proofErr w:type="spellEnd"/>
      <w:r w:rsidR="001420C5" w:rsidRPr="007579E2">
        <w:t xml:space="preserve"> therapy.</w:t>
      </w:r>
      <w:r w:rsidR="004F4F38" w:rsidRPr="007579E2">
        <w:t xml:space="preserve"> </w:t>
      </w:r>
      <w:r w:rsidR="009D071C">
        <w:t xml:space="preserve">The PBAC noted no data was presented to support this approach and that patients receiving </w:t>
      </w:r>
      <w:proofErr w:type="spellStart"/>
      <w:r w:rsidR="009D071C">
        <w:t>dabrafenib</w:t>
      </w:r>
      <w:r w:rsidR="00B55B92" w:rsidRPr="007579E2">
        <w:t>±</w:t>
      </w:r>
      <w:r w:rsidR="009D071C">
        <w:t>trametinib</w:t>
      </w:r>
      <w:proofErr w:type="spellEnd"/>
      <w:r w:rsidR="009D071C">
        <w:t xml:space="preserve"> therapy under the Stage IV </w:t>
      </w:r>
      <w:proofErr w:type="spellStart"/>
      <w:r w:rsidR="009D071C">
        <w:t>unresectable</w:t>
      </w:r>
      <w:proofErr w:type="spellEnd"/>
      <w:r w:rsidR="009D071C">
        <w:t xml:space="preserve"> listing, who then subsequently undergo surgical resection, may still continue to access </w:t>
      </w:r>
      <w:proofErr w:type="spellStart"/>
      <w:r w:rsidR="009D071C">
        <w:lastRenderedPageBreak/>
        <w:t>dabrafenib</w:t>
      </w:r>
      <w:r w:rsidR="00B55B92" w:rsidRPr="007579E2">
        <w:t>±</w:t>
      </w:r>
      <w:r w:rsidR="009D071C">
        <w:t>trametinib</w:t>
      </w:r>
      <w:proofErr w:type="spellEnd"/>
      <w:r w:rsidR="009D071C">
        <w:t xml:space="preserve"> under the current </w:t>
      </w:r>
      <w:proofErr w:type="spellStart"/>
      <w:r w:rsidR="009D071C">
        <w:t>unresectable</w:t>
      </w:r>
      <w:proofErr w:type="spellEnd"/>
      <w:r w:rsidR="009D071C">
        <w:t xml:space="preserve"> listing, if the clinician deems it appropriate to continue treatment. The PBAC did not deem it therefore appropriate, without further data presented, for these patients to access </w:t>
      </w:r>
      <w:proofErr w:type="spellStart"/>
      <w:r w:rsidR="009D071C">
        <w:t>dabrafenib+trametinib</w:t>
      </w:r>
      <w:proofErr w:type="spellEnd"/>
      <w:r w:rsidR="009D071C">
        <w:t xml:space="preserve"> under the adjuvant listing, which should be reserved for patients who are naïve to </w:t>
      </w:r>
      <w:proofErr w:type="spellStart"/>
      <w:r w:rsidR="009D071C">
        <w:t>dabrafenib+trametinib</w:t>
      </w:r>
      <w:proofErr w:type="spellEnd"/>
      <w:r w:rsidR="009D071C">
        <w:t xml:space="preserve"> therapy. </w:t>
      </w:r>
    </w:p>
    <w:p w:rsidR="00A15C9F" w:rsidRPr="007579E2" w:rsidRDefault="00A15C9F" w:rsidP="00061E01">
      <w:pPr>
        <w:pStyle w:val="ListParagraph"/>
        <w:widowControl/>
        <w:numPr>
          <w:ilvl w:val="1"/>
          <w:numId w:val="2"/>
        </w:numPr>
        <w:spacing w:before="120"/>
      </w:pPr>
      <w:r w:rsidRPr="007579E2">
        <w:t>The submission noted th</w:t>
      </w:r>
      <w:r w:rsidR="001420C5" w:rsidRPr="007579E2">
        <w:t xml:space="preserve">at a minor submission </w:t>
      </w:r>
      <w:r w:rsidR="0028738C">
        <w:t xml:space="preserve">is scheduled for </w:t>
      </w:r>
      <w:r w:rsidR="0028738C" w:rsidRPr="007579E2">
        <w:t>the March 2019 MSAC meeting</w:t>
      </w:r>
      <w:r w:rsidR="0028738C">
        <w:t xml:space="preserve"> </w:t>
      </w:r>
      <w:r w:rsidRPr="007579E2">
        <w:t>to allow for the removal of the word ‘</w:t>
      </w:r>
      <w:proofErr w:type="spellStart"/>
      <w:r w:rsidRPr="007579E2">
        <w:t>unresectable</w:t>
      </w:r>
      <w:proofErr w:type="spellEnd"/>
      <w:r w:rsidRPr="007579E2">
        <w:t xml:space="preserve">’ from the descriptor of </w:t>
      </w:r>
      <w:r w:rsidR="0028738C">
        <w:t xml:space="preserve">MBS </w:t>
      </w:r>
      <w:r w:rsidRPr="007579E2">
        <w:t xml:space="preserve">item 73336 for BRAF mutation testing for: ‘A test of tumour tissue from a patient with </w:t>
      </w:r>
      <w:proofErr w:type="spellStart"/>
      <w:r w:rsidRPr="007579E2">
        <w:rPr>
          <w:strike/>
        </w:rPr>
        <w:t>unresectable</w:t>
      </w:r>
      <w:proofErr w:type="spellEnd"/>
      <w:r w:rsidRPr="007579E2">
        <w:t xml:space="preserve"> Stage III or Stage IV metastatic cutaneous melanoma’.</w:t>
      </w:r>
    </w:p>
    <w:p w:rsidR="00133169" w:rsidRPr="007579E2" w:rsidRDefault="00133169" w:rsidP="00061E01">
      <w:pPr>
        <w:pStyle w:val="ListParagraph"/>
        <w:widowControl/>
        <w:numPr>
          <w:ilvl w:val="1"/>
          <w:numId w:val="2"/>
        </w:numPr>
        <w:spacing w:before="120"/>
      </w:pPr>
      <w:r w:rsidRPr="007579E2">
        <w:t>The ESC noted correspondence from MSAC to the PBAC on 11 February 2019 regarding sentinel lymph node biopsy (SL</w:t>
      </w:r>
      <w:r w:rsidR="0028738C">
        <w:t>N</w:t>
      </w:r>
      <w:r w:rsidRPr="007579E2">
        <w:t xml:space="preserve">B) and the implications for emerging adjuvant therapies. The MSAC noted that clinicians and other stakeholders have advised that all patients diagnosed by </w:t>
      </w:r>
      <w:r w:rsidR="009A0DBA" w:rsidRPr="007579E2">
        <w:t xml:space="preserve">SLNB </w:t>
      </w:r>
      <w:r w:rsidRPr="007579E2">
        <w:t>as being Stage IIIA or higher would now be referred to a medical oncologist and multi-disciplinary team to consider whether these patients should be offered systemic adjuvant treatment. The MSAC further noted that, compared to the 7</w:t>
      </w:r>
      <w:r w:rsidR="00F26D3A" w:rsidRPr="007579E2">
        <w:rPr>
          <w:vertAlign w:val="superscript"/>
        </w:rPr>
        <w:t>th</w:t>
      </w:r>
      <w:r w:rsidR="00F26D3A" w:rsidRPr="007579E2">
        <w:t xml:space="preserve"> edition of the American Joint Committee on Cancer (AJCC) melanoma s</w:t>
      </w:r>
      <w:r w:rsidRPr="007579E2">
        <w:t xml:space="preserve">taging system (as used in </w:t>
      </w:r>
      <w:r w:rsidR="003D3C11" w:rsidRPr="007579E2">
        <w:t>COMBI-AD</w:t>
      </w:r>
      <w:r w:rsidRPr="007579E2">
        <w:t xml:space="preserve">), the </w:t>
      </w:r>
      <w:r w:rsidR="00F26D3A" w:rsidRPr="007579E2">
        <w:t>8</w:t>
      </w:r>
      <w:r w:rsidR="00F26D3A" w:rsidRPr="007579E2">
        <w:rPr>
          <w:vertAlign w:val="superscript"/>
        </w:rPr>
        <w:t>th</w:t>
      </w:r>
      <w:r w:rsidR="00F26D3A" w:rsidRPr="007579E2">
        <w:t xml:space="preserve"> edition s</w:t>
      </w:r>
      <w:r w:rsidRPr="007579E2">
        <w:t>taging system</w:t>
      </w:r>
      <w:r w:rsidR="00B3546F" w:rsidRPr="007579E2">
        <w:t>, which came into effect in Australia in 2018,</w:t>
      </w:r>
      <w:r w:rsidRPr="007579E2">
        <w:t xml:space="preserve"> has changed the proportions of patients classified into the various subcategories of Stage III, and that the risk of melanoma recurrence has also changed across these subcategories (see paragraph </w:t>
      </w:r>
      <w:r w:rsidR="00D65F54" w:rsidRPr="0040483C">
        <w:t>6.9</w:t>
      </w:r>
      <w:r w:rsidRPr="007579E2">
        <w:t xml:space="preserve">). In particular, more patients are now being classified as having Stage IIIA melanoma, </w:t>
      </w:r>
      <w:r w:rsidR="009D071C">
        <w:t>and</w:t>
      </w:r>
      <w:r w:rsidRPr="007579E2">
        <w:t xml:space="preserve"> they may </w:t>
      </w:r>
      <w:r w:rsidR="00D543BC" w:rsidRPr="00795225">
        <w:t xml:space="preserve">have a </w:t>
      </w:r>
      <w:r w:rsidR="00D543BC">
        <w:t xml:space="preserve">lower </w:t>
      </w:r>
      <w:r w:rsidR="00D543BC" w:rsidRPr="00795225">
        <w:t>risk of recurrence</w:t>
      </w:r>
      <w:r w:rsidR="00D543BC">
        <w:t xml:space="preserve"> than patients with Stage IIIB, IIIC or IIID melanoma</w:t>
      </w:r>
      <w:r w:rsidRPr="007579E2">
        <w:t>.</w:t>
      </w:r>
      <w:r w:rsidR="00543AC1" w:rsidRPr="007579E2">
        <w:t xml:space="preserve"> The MSAC advised the PBAC to review the proposed </w:t>
      </w:r>
      <w:r w:rsidR="009D071C">
        <w:t>t</w:t>
      </w:r>
      <w:r w:rsidR="00543AC1" w:rsidRPr="007579E2">
        <w:t>hreshold of melanoma staging for the initiation of adjuvant treatment.</w:t>
      </w:r>
    </w:p>
    <w:p w:rsidR="00895046" w:rsidRPr="007579E2" w:rsidRDefault="00A5613E" w:rsidP="00061E01">
      <w:pPr>
        <w:pStyle w:val="ListParagraph"/>
        <w:widowControl/>
        <w:numPr>
          <w:ilvl w:val="1"/>
          <w:numId w:val="2"/>
        </w:numPr>
        <w:spacing w:before="120"/>
      </w:pPr>
      <w:r w:rsidRPr="007579E2">
        <w:t xml:space="preserve">The MSAC also advised that the second </w:t>
      </w:r>
      <w:proofErr w:type="spellStart"/>
      <w:r w:rsidRPr="007579E2">
        <w:t>Multicenter</w:t>
      </w:r>
      <w:proofErr w:type="spellEnd"/>
      <w:r w:rsidRPr="007579E2">
        <w:t xml:space="preserve"> Selective Lymphadenectomy Trial (MSLT-II) demonstrated no improvement in 10-year survival with </w:t>
      </w:r>
      <w:r w:rsidR="00E850F7" w:rsidRPr="007579E2">
        <w:t xml:space="preserve">complete lymph node dissection (CLND) versus nodal observation in patients with a tumour-positive sentinel </w:t>
      </w:r>
      <w:r w:rsidR="00DF79DF">
        <w:t xml:space="preserve">lymph </w:t>
      </w:r>
      <w:r w:rsidR="00E850F7" w:rsidRPr="007579E2">
        <w:t xml:space="preserve">node </w:t>
      </w:r>
      <w:r w:rsidRPr="007579E2">
        <w:t>(</w:t>
      </w:r>
      <w:proofErr w:type="spellStart"/>
      <w:r w:rsidRPr="007579E2">
        <w:t>Faries</w:t>
      </w:r>
      <w:proofErr w:type="spellEnd"/>
      <w:r w:rsidRPr="007579E2">
        <w:t>, 2017)</w:t>
      </w:r>
      <w:r w:rsidR="002D4593">
        <w:rPr>
          <w:rStyle w:val="FootnoteReference"/>
        </w:rPr>
        <w:footnoteReference w:id="1"/>
      </w:r>
      <w:r w:rsidR="007579E2">
        <w:t xml:space="preserve">. </w:t>
      </w:r>
      <w:r w:rsidRPr="007579E2">
        <w:t xml:space="preserve">As a result, </w:t>
      </w:r>
      <w:r w:rsidR="00543AC1" w:rsidRPr="007579E2">
        <w:t xml:space="preserve">some </w:t>
      </w:r>
      <w:r w:rsidRPr="007579E2">
        <w:t xml:space="preserve">patients with </w:t>
      </w:r>
      <w:r w:rsidR="00E850F7" w:rsidRPr="007579E2">
        <w:t xml:space="preserve">a positive sentinel </w:t>
      </w:r>
      <w:r w:rsidR="00D543BC">
        <w:t xml:space="preserve">lymph </w:t>
      </w:r>
      <w:r w:rsidR="00E850F7" w:rsidRPr="007579E2">
        <w:t>node</w:t>
      </w:r>
      <w:r w:rsidRPr="007579E2">
        <w:t xml:space="preserve"> may no longer go on to a</w:t>
      </w:r>
      <w:r w:rsidR="00D82881" w:rsidRPr="007579E2">
        <w:t>n immediate</w:t>
      </w:r>
      <w:r w:rsidRPr="007579E2">
        <w:t xml:space="preserve"> CLND. </w:t>
      </w:r>
      <w:r w:rsidR="00895046" w:rsidRPr="007579E2">
        <w:t>This means that some patients will present for treatment with residual microscopically positive regional lymph nodes, whereas in the past (and in the COMBI-AD trial) this group would have undergone CLND.</w:t>
      </w:r>
    </w:p>
    <w:p w:rsidR="00EA4C18" w:rsidRPr="007579E2" w:rsidRDefault="00895046" w:rsidP="00061E01">
      <w:pPr>
        <w:pStyle w:val="ListParagraph"/>
        <w:widowControl/>
        <w:numPr>
          <w:ilvl w:val="1"/>
          <w:numId w:val="2"/>
        </w:numPr>
        <w:spacing w:before="120"/>
      </w:pPr>
      <w:r w:rsidRPr="007579E2">
        <w:t xml:space="preserve">In relation to the patient population, the PBAC </w:t>
      </w:r>
      <w:r w:rsidR="004A66CE">
        <w:t xml:space="preserve">foreshadowed </w:t>
      </w:r>
      <w:r w:rsidRPr="007579E2">
        <w:t xml:space="preserve">that </w:t>
      </w:r>
      <w:r w:rsidR="004A66CE">
        <w:t xml:space="preserve">a recommended PBS listing of </w:t>
      </w:r>
      <w:r w:rsidR="00173DAF">
        <w:t xml:space="preserve">adjuvant </w:t>
      </w:r>
      <w:proofErr w:type="spellStart"/>
      <w:r w:rsidR="00EA4C18" w:rsidRPr="007579E2">
        <w:t>dabrafenib+trametinib</w:t>
      </w:r>
      <w:proofErr w:type="spellEnd"/>
      <w:r w:rsidR="00EA4C18" w:rsidRPr="007579E2">
        <w:t xml:space="preserve"> should be </w:t>
      </w:r>
      <w:r w:rsidR="004A66CE">
        <w:t xml:space="preserve">limited to </w:t>
      </w:r>
      <w:r w:rsidRPr="007579E2">
        <w:t xml:space="preserve">patients with </w:t>
      </w:r>
      <w:r w:rsidR="00173DAF">
        <w:t xml:space="preserve">completely resected </w:t>
      </w:r>
      <w:r w:rsidRPr="007579E2">
        <w:t>Stage IIIB</w:t>
      </w:r>
      <w:r w:rsidR="00F26D3A" w:rsidRPr="007579E2">
        <w:t>, IIIC and IIID</w:t>
      </w:r>
      <w:r w:rsidR="00EA4C18" w:rsidRPr="007579E2">
        <w:t xml:space="preserve"> disease</w:t>
      </w:r>
      <w:r w:rsidR="00F26D3A" w:rsidRPr="007579E2">
        <w:t>, as classified using the 8</w:t>
      </w:r>
      <w:r w:rsidR="00F26D3A" w:rsidRPr="007579E2">
        <w:rPr>
          <w:vertAlign w:val="superscript"/>
        </w:rPr>
        <w:t>th</w:t>
      </w:r>
      <w:r w:rsidR="00F26D3A" w:rsidRPr="007579E2">
        <w:t xml:space="preserve"> edition of the AJCC melanoma staging manual,</w:t>
      </w:r>
      <w:r w:rsidR="00EA4C18" w:rsidRPr="007579E2">
        <w:t xml:space="preserve"> and that it should </w:t>
      </w:r>
      <w:r w:rsidR="004A66CE">
        <w:t xml:space="preserve">exclude </w:t>
      </w:r>
      <w:r w:rsidR="00EA4C18" w:rsidRPr="007579E2">
        <w:t>patients with Stage IIIA disease. This was on the basis of:</w:t>
      </w:r>
    </w:p>
    <w:p w:rsidR="00895046" w:rsidRPr="007579E2" w:rsidRDefault="00EA4C18" w:rsidP="00061E01">
      <w:pPr>
        <w:pStyle w:val="ListParagraph"/>
        <w:widowControl/>
        <w:numPr>
          <w:ilvl w:val="0"/>
          <w:numId w:val="44"/>
        </w:numPr>
        <w:spacing w:before="120"/>
      </w:pPr>
      <w:r w:rsidRPr="007579E2">
        <w:t xml:space="preserve">Patients with Stage IIIA disease </w:t>
      </w:r>
      <w:r w:rsidR="00EA0668" w:rsidRPr="007579E2">
        <w:t>with</w:t>
      </w:r>
      <w:r w:rsidRPr="007579E2">
        <w:t xml:space="preserve"> metastases </w:t>
      </w:r>
      <w:r w:rsidRPr="007579E2">
        <w:rPr>
          <w:rFonts w:cs="Calibri"/>
        </w:rPr>
        <w:t>≤</w:t>
      </w:r>
      <w:r w:rsidRPr="007579E2">
        <w:t xml:space="preserve"> 1 mm being excluded from the COMBI-AD trial</w:t>
      </w:r>
      <w:r w:rsidR="009A0947" w:rsidRPr="007579E2">
        <w:t>.</w:t>
      </w:r>
    </w:p>
    <w:p w:rsidR="00CB7112" w:rsidRPr="007579E2" w:rsidRDefault="00EA4C18" w:rsidP="00061E01">
      <w:pPr>
        <w:pStyle w:val="ListParagraph"/>
        <w:widowControl/>
        <w:numPr>
          <w:ilvl w:val="0"/>
          <w:numId w:val="44"/>
        </w:numPr>
        <w:spacing w:before="120"/>
      </w:pPr>
      <w:r w:rsidRPr="007579E2">
        <w:lastRenderedPageBreak/>
        <w:t xml:space="preserve">Patients </w:t>
      </w:r>
      <w:r w:rsidR="009A0947" w:rsidRPr="007579E2">
        <w:t xml:space="preserve">in the COMBI-AD trial </w:t>
      </w:r>
      <w:r w:rsidRPr="007579E2">
        <w:t xml:space="preserve">with Stage IIIA disease </w:t>
      </w:r>
      <w:r w:rsidR="00EA0668" w:rsidRPr="007579E2">
        <w:t>with</w:t>
      </w:r>
      <w:r w:rsidRPr="007579E2">
        <w:t xml:space="preserve"> metastases </w:t>
      </w:r>
      <w:r w:rsidRPr="007579E2">
        <w:rPr>
          <w:rFonts w:cs="Calibri"/>
        </w:rPr>
        <w:t>&gt;</w:t>
      </w:r>
      <w:r w:rsidRPr="007579E2">
        <w:t xml:space="preserve"> 1 mm having a relatively low risk of recurrence (29% after 3 years versus 57</w:t>
      </w:r>
      <w:r w:rsidR="00F26D3A" w:rsidRPr="007579E2">
        <w:t xml:space="preserve"> to </w:t>
      </w:r>
      <w:r w:rsidRPr="007579E2">
        <w:t>82% for patients with Stage IIIB</w:t>
      </w:r>
      <w:r w:rsidR="00F26D3A" w:rsidRPr="007579E2">
        <w:t xml:space="preserve"> to </w:t>
      </w:r>
      <w:r w:rsidRPr="007579E2">
        <w:t xml:space="preserve">IIID disease, Table 6), and the efficacy of </w:t>
      </w:r>
      <w:proofErr w:type="spellStart"/>
      <w:r w:rsidRPr="007579E2">
        <w:t>dabrafenib+trametinib</w:t>
      </w:r>
      <w:proofErr w:type="spellEnd"/>
      <w:r w:rsidRPr="007579E2">
        <w:t xml:space="preserve"> in these patients being uncertain (</w:t>
      </w:r>
      <w:r w:rsidR="00E054C5" w:rsidRPr="007579E2">
        <w:t>hazard ratio (</w:t>
      </w:r>
      <w:r w:rsidRPr="007579E2">
        <w:t>HR</w:t>
      </w:r>
      <w:r w:rsidR="00E054C5" w:rsidRPr="007579E2">
        <w:t>)</w:t>
      </w:r>
      <w:r w:rsidR="00F26D3A" w:rsidRPr="007579E2">
        <w:t xml:space="preserve"> </w:t>
      </w:r>
      <w:r w:rsidRPr="007579E2">
        <w:t>=</w:t>
      </w:r>
      <w:r w:rsidR="00F26D3A" w:rsidRPr="007579E2">
        <w:t xml:space="preserve"> </w:t>
      </w:r>
      <w:r w:rsidRPr="007579E2">
        <w:t>0.63</w:t>
      </w:r>
      <w:r w:rsidR="00F26D3A" w:rsidRPr="007579E2">
        <w:t>;</w:t>
      </w:r>
      <w:r w:rsidRPr="007579E2">
        <w:t xml:space="preserve"> 95% </w:t>
      </w:r>
      <w:r w:rsidR="00E054C5" w:rsidRPr="007579E2">
        <w:t>confidence interval (</w:t>
      </w:r>
      <w:r w:rsidRPr="007579E2">
        <w:t>CI</w:t>
      </w:r>
      <w:r w:rsidR="00E054C5" w:rsidRPr="007579E2">
        <w:t>)</w:t>
      </w:r>
      <w:r w:rsidRPr="007579E2">
        <w:t>: 0.26, 1.56, Table 6).</w:t>
      </w:r>
      <w:r w:rsidR="00CB7112" w:rsidRPr="007579E2">
        <w:t xml:space="preserve"> </w:t>
      </w:r>
    </w:p>
    <w:p w:rsidR="00EA4C18" w:rsidRPr="007579E2" w:rsidRDefault="0031452E" w:rsidP="00061E01">
      <w:pPr>
        <w:pStyle w:val="ListParagraph"/>
        <w:widowControl/>
        <w:numPr>
          <w:ilvl w:val="0"/>
          <w:numId w:val="44"/>
        </w:numPr>
        <w:spacing w:before="120"/>
      </w:pPr>
      <w:r>
        <w:t>P</w:t>
      </w:r>
      <w:r w:rsidR="00CB7112" w:rsidRPr="007579E2">
        <w:t xml:space="preserve">atients with Stage IIIA disease may now </w:t>
      </w:r>
      <w:r w:rsidR="009D071C">
        <w:t xml:space="preserve">only have had sentinel </w:t>
      </w:r>
      <w:r>
        <w:t xml:space="preserve">lymph </w:t>
      </w:r>
      <w:r w:rsidR="009D071C">
        <w:t>nod</w:t>
      </w:r>
      <w:r>
        <w:t>e</w:t>
      </w:r>
      <w:r w:rsidR="009D071C">
        <w:t xml:space="preserve"> biopsy </w:t>
      </w:r>
      <w:r w:rsidR="00173DAF">
        <w:t xml:space="preserve">demonstrating microscopic involvement, </w:t>
      </w:r>
      <w:r w:rsidR="009D071C">
        <w:t>a</w:t>
      </w:r>
      <w:r w:rsidR="00CB7112" w:rsidRPr="007579E2">
        <w:t xml:space="preserve">nd the efficacy of </w:t>
      </w:r>
      <w:proofErr w:type="spellStart"/>
      <w:r w:rsidR="00CB7112" w:rsidRPr="007579E2">
        <w:t>dabrafeni</w:t>
      </w:r>
      <w:r w:rsidR="00F26D3A" w:rsidRPr="007579E2">
        <w:t>b+trametinib</w:t>
      </w:r>
      <w:proofErr w:type="spellEnd"/>
      <w:r w:rsidR="00F26D3A" w:rsidRPr="007579E2">
        <w:t xml:space="preserve"> in these patients wa</w:t>
      </w:r>
      <w:r w:rsidR="00CB7112" w:rsidRPr="007579E2">
        <w:t>s unknown as 98% of patients in the COMBI-AD trial underwent a CLND.</w:t>
      </w:r>
    </w:p>
    <w:p w:rsidR="00564339" w:rsidRPr="007579E2" w:rsidRDefault="00564339" w:rsidP="00061E01">
      <w:pPr>
        <w:widowControl/>
        <w:spacing w:before="120" w:after="120"/>
        <w:ind w:left="720"/>
      </w:pPr>
      <w:r w:rsidRPr="007579E2">
        <w:t>The PBAC acknowledged that excluding Stage IIIA disease from adjuvant treatment may encourage immediate CLND as this enables improved staging</w:t>
      </w:r>
      <w:r w:rsidR="002D4F4C" w:rsidRPr="007579E2">
        <w:t xml:space="preserve">. However, it was noted in the </w:t>
      </w:r>
      <w:r w:rsidR="009F6DEF" w:rsidRPr="007579E2">
        <w:t xml:space="preserve">immediate </w:t>
      </w:r>
      <w:r w:rsidR="002D4F4C" w:rsidRPr="007579E2">
        <w:t>CLND arm of the MSLT-II trial that non</w:t>
      </w:r>
      <w:r w:rsidR="009F6DEF" w:rsidRPr="007579E2">
        <w:t>-</w:t>
      </w:r>
      <w:r w:rsidR="002D4F4C" w:rsidRPr="007579E2">
        <w:t>sentinel</w:t>
      </w:r>
      <w:r w:rsidR="009F6DEF" w:rsidRPr="007579E2">
        <w:t xml:space="preserve"> </w:t>
      </w:r>
      <w:r w:rsidR="002D4F4C" w:rsidRPr="007579E2">
        <w:t>node metastases were detected on pathological assessment in only 11.5% patients, and</w:t>
      </w:r>
      <w:r w:rsidRPr="007579E2">
        <w:t xml:space="preserve"> </w:t>
      </w:r>
      <w:r w:rsidR="009F6DEF" w:rsidRPr="007579E2">
        <w:t xml:space="preserve">that </w:t>
      </w:r>
      <w:r w:rsidR="009D071C">
        <w:t>CLND le</w:t>
      </w:r>
      <w:r w:rsidR="002D4F4C" w:rsidRPr="007579E2">
        <w:t>d to a change in disease stage in less than 6% of patients</w:t>
      </w:r>
      <w:r w:rsidR="002D4593">
        <w:rPr>
          <w:rStyle w:val="FootnoteReference"/>
        </w:rPr>
        <w:t>*</w:t>
      </w:r>
      <w:r w:rsidR="00DC38E3">
        <w:rPr>
          <w:rStyle w:val="FootnoteReference"/>
        </w:rPr>
        <w:footnoteReference w:id="2"/>
      </w:r>
      <w:r w:rsidR="007579E2">
        <w:t>.</w:t>
      </w:r>
    </w:p>
    <w:p w:rsidR="00C52AF3" w:rsidRPr="007579E2" w:rsidRDefault="00D82881" w:rsidP="00061E01">
      <w:pPr>
        <w:pStyle w:val="ListParagraph"/>
        <w:widowControl/>
        <w:numPr>
          <w:ilvl w:val="1"/>
          <w:numId w:val="2"/>
        </w:numPr>
        <w:spacing w:before="120"/>
      </w:pPr>
      <w:r w:rsidRPr="007579E2">
        <w:t>The PBAC noted</w:t>
      </w:r>
      <w:r w:rsidR="00C52AF3" w:rsidRPr="007579E2">
        <w:t xml:space="preserve"> that</w:t>
      </w:r>
      <w:r w:rsidR="0031452E">
        <w:t>,</w:t>
      </w:r>
      <w:r w:rsidR="00C52AF3" w:rsidRPr="007579E2">
        <w:t xml:space="preserve"> at 5 years </w:t>
      </w:r>
      <w:r w:rsidR="0031452E" w:rsidRPr="007579E2">
        <w:t>in the nodal observation arm of the MSLT-II trial</w:t>
      </w:r>
      <w:r w:rsidR="0031452E">
        <w:t>,</w:t>
      </w:r>
      <w:r w:rsidR="0031452E" w:rsidRPr="007579E2">
        <w:t xml:space="preserve"> </w:t>
      </w:r>
      <w:r w:rsidR="00C52AF3" w:rsidRPr="007579E2">
        <w:t xml:space="preserve">26.1% of patients had disease in non-sentinel nodes on the basis of </w:t>
      </w:r>
      <w:proofErr w:type="spellStart"/>
      <w:r w:rsidR="00C52AF3" w:rsidRPr="007579E2">
        <w:t>ultrasonographic</w:t>
      </w:r>
      <w:proofErr w:type="spellEnd"/>
      <w:r w:rsidR="00C52AF3" w:rsidRPr="007579E2">
        <w:t xml:space="preserve"> or physical examination, and this was statistically significantly higher than for the immediate CLND arm (19.9%, p=0.005). The PBAC considered patients classified as having Stage IIIA disease at the time of excision of the primary tumour, and hence not eligible for adjuvant treatment, should </w:t>
      </w:r>
      <w:r w:rsidR="00B5179A" w:rsidRPr="007579E2">
        <w:t>be eligible for adjuvant treatment if and when they meet the criteria for Stage IIIB</w:t>
      </w:r>
      <w:r w:rsidR="00A8601E" w:rsidRPr="007579E2">
        <w:t xml:space="preserve">, IIIC or </w:t>
      </w:r>
      <w:r w:rsidR="00B5179A" w:rsidRPr="007579E2">
        <w:t>IIID disease and undergo a salvage nodal resection</w:t>
      </w:r>
      <w:r w:rsidR="00E27365">
        <w:t>.</w:t>
      </w:r>
      <w:r w:rsidR="00B5179A" w:rsidRPr="007579E2">
        <w:t xml:space="preserve"> </w:t>
      </w:r>
      <w:r w:rsidR="00E0292A" w:rsidRPr="000B4348">
        <w:t xml:space="preserve">The PBAC noted the proposed PBS criteria require patients to commence </w:t>
      </w:r>
      <w:r w:rsidR="004A66CE" w:rsidRPr="000B4348">
        <w:t xml:space="preserve">adjuvant </w:t>
      </w:r>
      <w:r w:rsidR="00E0292A" w:rsidRPr="000B4348">
        <w:t>treatment within 12 weeks of complete resection</w:t>
      </w:r>
      <w:r w:rsidR="007579E2" w:rsidRPr="00D65F54">
        <w:t>.</w:t>
      </w:r>
    </w:p>
    <w:p w:rsidR="00C3299D" w:rsidRPr="007579E2" w:rsidRDefault="00E0292A" w:rsidP="00061E01">
      <w:pPr>
        <w:pStyle w:val="ListParagraph"/>
        <w:widowControl/>
        <w:numPr>
          <w:ilvl w:val="1"/>
          <w:numId w:val="2"/>
        </w:numPr>
        <w:spacing w:before="120"/>
      </w:pPr>
      <w:r w:rsidRPr="007579E2">
        <w:t xml:space="preserve">Regarding </w:t>
      </w:r>
      <w:r w:rsidR="009F6DEF" w:rsidRPr="007579E2">
        <w:t xml:space="preserve">PBS </w:t>
      </w:r>
      <w:r w:rsidR="00D35734" w:rsidRPr="007579E2">
        <w:t>eligibility for patients who have not undergone CLND, n</w:t>
      </w:r>
      <w:r w:rsidR="00B37EFC" w:rsidRPr="007579E2">
        <w:t xml:space="preserve">oting that CLND was no longer standard of care for </w:t>
      </w:r>
      <w:r w:rsidR="00D35734" w:rsidRPr="007579E2">
        <w:t xml:space="preserve">all </w:t>
      </w:r>
      <w:r w:rsidR="00B37EFC" w:rsidRPr="007579E2">
        <w:t xml:space="preserve">patients with a positive </w:t>
      </w:r>
      <w:r w:rsidR="008907A0" w:rsidRPr="007579E2">
        <w:t>sentinel lymph node</w:t>
      </w:r>
      <w:r w:rsidR="00B37EFC" w:rsidRPr="007579E2">
        <w:t xml:space="preserve">, the </w:t>
      </w:r>
      <w:r w:rsidR="00575DD1" w:rsidRPr="007579E2">
        <w:t>PBAC considered that “completely resected disease” would</w:t>
      </w:r>
      <w:r w:rsidR="002D0E93" w:rsidRPr="007579E2">
        <w:t>, in practice,</w:t>
      </w:r>
      <w:r w:rsidR="00575DD1" w:rsidRPr="007579E2">
        <w:t xml:space="preserve"> include all patients with </w:t>
      </w:r>
      <w:r w:rsidR="002D0E93" w:rsidRPr="007579E2">
        <w:t xml:space="preserve">a </w:t>
      </w:r>
      <w:r w:rsidR="00575DD1" w:rsidRPr="007579E2">
        <w:t>wide excision of the primary tumour</w:t>
      </w:r>
      <w:r w:rsidR="00E27365">
        <w:t xml:space="preserve"> and either</w:t>
      </w:r>
      <w:r w:rsidR="00D35734" w:rsidRPr="007579E2">
        <w:t xml:space="preserve"> CLND </w:t>
      </w:r>
      <w:r w:rsidR="00E27365">
        <w:t xml:space="preserve">or sentinel </w:t>
      </w:r>
      <w:r w:rsidR="0031452E">
        <w:t xml:space="preserve">lymph </w:t>
      </w:r>
      <w:r w:rsidR="00E27365">
        <w:t>nod</w:t>
      </w:r>
      <w:r w:rsidR="0031452E">
        <w:t>e</w:t>
      </w:r>
      <w:r w:rsidR="00E27365">
        <w:t xml:space="preserve"> biopsy (or both). </w:t>
      </w:r>
      <w:r w:rsidR="00E716F5" w:rsidRPr="007579E2">
        <w:t xml:space="preserve">The PBAC noted </w:t>
      </w:r>
      <w:r w:rsidR="00A7507E">
        <w:t xml:space="preserve">that, </w:t>
      </w:r>
      <w:r w:rsidR="00E716F5" w:rsidRPr="007579E2">
        <w:t>when the COMBI-AD trial was designed</w:t>
      </w:r>
      <w:r w:rsidR="00A7507E">
        <w:t>,</w:t>
      </w:r>
      <w:r w:rsidR="00E716F5" w:rsidRPr="007579E2">
        <w:t xml:space="preserve"> CLND was considered standard practice and</w:t>
      </w:r>
      <w:r w:rsidR="00A7507E">
        <w:t>,</w:t>
      </w:r>
      <w:r w:rsidR="00E716F5" w:rsidRPr="007579E2">
        <w:t xml:space="preserve"> </w:t>
      </w:r>
      <w:r w:rsidR="00D35734" w:rsidRPr="007579E2">
        <w:t xml:space="preserve">as noted above, </w:t>
      </w:r>
      <w:r w:rsidR="00E716F5" w:rsidRPr="007579E2">
        <w:t xml:space="preserve">98% of the trial participants had undergone CLND. </w:t>
      </w:r>
      <w:r w:rsidR="009F6DEF" w:rsidRPr="007579E2">
        <w:t>Allowing treatment in patients without CLND</w:t>
      </w:r>
      <w:r w:rsidR="00D35734" w:rsidRPr="007579E2">
        <w:t xml:space="preserve"> </w:t>
      </w:r>
      <w:r w:rsidR="009F6DEF" w:rsidRPr="007579E2">
        <w:t xml:space="preserve">thus </w:t>
      </w:r>
      <w:r w:rsidR="00D35734" w:rsidRPr="007579E2">
        <w:t>impacts</w:t>
      </w:r>
      <w:r w:rsidR="00C3299D" w:rsidRPr="007579E2">
        <w:t xml:space="preserve"> on the applicability of the trial results to the PBS population</w:t>
      </w:r>
      <w:r w:rsidR="009F6DEF" w:rsidRPr="007579E2">
        <w:t>.</w:t>
      </w:r>
      <w:r w:rsidR="00C3299D" w:rsidRPr="007579E2">
        <w:t xml:space="preserve"> </w:t>
      </w:r>
      <w:r w:rsidR="009F6DEF" w:rsidRPr="007579E2">
        <w:t>H</w:t>
      </w:r>
      <w:r w:rsidR="00C3299D" w:rsidRPr="007579E2">
        <w:t>owever, it is currently unknown what proportion of patients will forgo a CLND as</w:t>
      </w:r>
      <w:r w:rsidR="008907A0" w:rsidRPr="007579E2">
        <w:t>,</w:t>
      </w:r>
      <w:r w:rsidR="00C3299D" w:rsidRPr="007579E2">
        <w:t xml:space="preserve"> although an improvement in melanoma-specific survival with immediate CLND dissection was not demonstrated in the MSLT-II trial, immediate CLND did increase the rate of regional disease control and provided prognostic information in terms of </w:t>
      </w:r>
      <w:r w:rsidR="009C1E8A" w:rsidRPr="007579E2">
        <w:t>disease in non-sentinel nodes</w:t>
      </w:r>
      <w:r w:rsidR="00C3299D" w:rsidRPr="007579E2">
        <w:t>.</w:t>
      </w:r>
      <w:r w:rsidR="009F6DEF" w:rsidRPr="007579E2">
        <w:t xml:space="preserve"> </w:t>
      </w:r>
      <w:r w:rsidR="00076ECB" w:rsidRPr="00795225">
        <w:rPr>
          <w:rFonts w:asciiTheme="minorHAnsi" w:hAnsiTheme="minorHAnsi"/>
          <w:bCs/>
        </w:rPr>
        <w:t xml:space="preserve">The PBAC further noted </w:t>
      </w:r>
      <w:r w:rsidR="00076ECB">
        <w:rPr>
          <w:rFonts w:asciiTheme="minorHAnsi" w:hAnsiTheme="minorHAnsi"/>
          <w:bCs/>
        </w:rPr>
        <w:t xml:space="preserve">the value of CLND is currently being debated in the clinical literature, and that immediate CLND is standard of care for patients presenting with clinically positive lymph nodes, and therefore </w:t>
      </w:r>
      <w:r w:rsidR="00076ECB" w:rsidRPr="00795225">
        <w:rPr>
          <w:rFonts w:asciiTheme="minorHAnsi" w:hAnsiTheme="minorHAnsi"/>
          <w:bCs/>
        </w:rPr>
        <w:t xml:space="preserve">more likely </w:t>
      </w:r>
      <w:r w:rsidR="00076ECB">
        <w:rPr>
          <w:rFonts w:asciiTheme="minorHAnsi" w:hAnsiTheme="minorHAnsi"/>
          <w:bCs/>
        </w:rPr>
        <w:t xml:space="preserve">to be undertaken </w:t>
      </w:r>
      <w:r w:rsidR="00076ECB" w:rsidRPr="00795225">
        <w:rPr>
          <w:rFonts w:asciiTheme="minorHAnsi" w:hAnsiTheme="minorHAnsi"/>
          <w:bCs/>
        </w:rPr>
        <w:t>in patients with Stage IIIB, II</w:t>
      </w:r>
      <w:r w:rsidR="00D543BC">
        <w:rPr>
          <w:rFonts w:asciiTheme="minorHAnsi" w:hAnsiTheme="minorHAnsi"/>
          <w:bCs/>
        </w:rPr>
        <w:t>IC or IIID or Stage IV disease.</w:t>
      </w:r>
    </w:p>
    <w:p w:rsidR="00D048AE" w:rsidRPr="007579E2" w:rsidRDefault="00D048AE" w:rsidP="00061E01">
      <w:pPr>
        <w:pStyle w:val="ListParagraph"/>
        <w:widowControl/>
        <w:spacing w:before="120"/>
        <w:ind w:left="0" w:firstLine="709"/>
        <w:rPr>
          <w:i/>
        </w:rPr>
      </w:pPr>
      <w:r w:rsidRPr="007579E2">
        <w:rPr>
          <w:i/>
        </w:rPr>
        <w:lastRenderedPageBreak/>
        <w:t>For more detail on PBAC’s view, see Section 7 PBAC outcome.</w:t>
      </w:r>
    </w:p>
    <w:p w:rsidR="00575626" w:rsidRPr="007579E2" w:rsidRDefault="00B50DB8" w:rsidP="00061E01">
      <w:pPr>
        <w:pStyle w:val="Heading1"/>
        <w:spacing w:before="120"/>
      </w:pPr>
      <w:bookmarkStart w:id="2" w:name="_Toc536007994"/>
      <w:r w:rsidRPr="007579E2">
        <w:t>Background</w:t>
      </w:r>
      <w:bookmarkEnd w:id="2"/>
    </w:p>
    <w:p w:rsidR="00591957" w:rsidRPr="007579E2" w:rsidRDefault="00591957" w:rsidP="00061E01">
      <w:pPr>
        <w:pStyle w:val="Heading2"/>
        <w:widowControl/>
        <w:spacing w:before="120"/>
      </w:pPr>
      <w:r w:rsidRPr="007579E2">
        <w:t>Registration status</w:t>
      </w:r>
    </w:p>
    <w:p w:rsidR="00596D37" w:rsidRPr="007579E2" w:rsidRDefault="00596D37" w:rsidP="00061E01">
      <w:pPr>
        <w:pStyle w:val="ListParagraph"/>
        <w:widowControl/>
        <w:numPr>
          <w:ilvl w:val="1"/>
          <w:numId w:val="2"/>
        </w:numPr>
        <w:spacing w:before="120"/>
      </w:pPr>
      <w:proofErr w:type="spellStart"/>
      <w:r w:rsidRPr="007579E2">
        <w:t>Dabrafenib</w:t>
      </w:r>
      <w:proofErr w:type="spellEnd"/>
      <w:r w:rsidRPr="007579E2">
        <w:t xml:space="preserve"> in combination with </w:t>
      </w:r>
      <w:proofErr w:type="spellStart"/>
      <w:r w:rsidRPr="007579E2">
        <w:t>trametinib</w:t>
      </w:r>
      <w:proofErr w:type="spellEnd"/>
      <w:r w:rsidRPr="007579E2">
        <w:t xml:space="preserve"> was TGA registered</w:t>
      </w:r>
      <w:r w:rsidR="00325FFE" w:rsidRPr="007579E2">
        <w:t xml:space="preserve"> </w:t>
      </w:r>
      <w:r w:rsidRPr="007579E2">
        <w:t xml:space="preserve">in June </w:t>
      </w:r>
      <w:r w:rsidR="0009302F" w:rsidRPr="007579E2">
        <w:t>2018</w:t>
      </w:r>
      <w:r w:rsidR="00AB2A38" w:rsidRPr="007579E2">
        <w:t xml:space="preserve">, under the priority review evaluation pathway, </w:t>
      </w:r>
      <w:r w:rsidRPr="007579E2">
        <w:t xml:space="preserve">for the </w:t>
      </w:r>
      <w:r w:rsidR="00C86197" w:rsidRPr="007579E2">
        <w:t xml:space="preserve">adjuvant </w:t>
      </w:r>
      <w:r w:rsidRPr="007579E2">
        <w:t>treatment of patients with BRAF V600 mutation</w:t>
      </w:r>
      <w:r w:rsidR="00C86197" w:rsidRPr="007579E2">
        <w:t xml:space="preserve"> positive melanoma</w:t>
      </w:r>
      <w:r w:rsidRPr="007579E2">
        <w:t xml:space="preserve"> and involvement of the lymph node(s), following complete resection.</w:t>
      </w:r>
      <w:r w:rsidR="0009302F" w:rsidRPr="007579E2">
        <w:t xml:space="preserve"> </w:t>
      </w:r>
    </w:p>
    <w:p w:rsidR="00596D37" w:rsidRPr="007579E2" w:rsidRDefault="00596D37" w:rsidP="00061E01">
      <w:pPr>
        <w:pStyle w:val="ListParagraph"/>
        <w:widowControl/>
        <w:numPr>
          <w:ilvl w:val="1"/>
          <w:numId w:val="2"/>
        </w:numPr>
        <w:spacing w:before="120"/>
      </w:pPr>
      <w:proofErr w:type="spellStart"/>
      <w:r w:rsidRPr="007579E2">
        <w:t>Dabrafenib</w:t>
      </w:r>
      <w:proofErr w:type="spellEnd"/>
      <w:r w:rsidRPr="007579E2">
        <w:t xml:space="preserve"> monotherapy, </w:t>
      </w:r>
      <w:proofErr w:type="spellStart"/>
      <w:r w:rsidRPr="007579E2">
        <w:t>trametinib</w:t>
      </w:r>
      <w:proofErr w:type="spellEnd"/>
      <w:r w:rsidRPr="007579E2">
        <w:t xml:space="preserve"> monotherapy, and </w:t>
      </w:r>
      <w:proofErr w:type="spellStart"/>
      <w:r w:rsidRPr="007579E2">
        <w:t>dabrafenib</w:t>
      </w:r>
      <w:proofErr w:type="spellEnd"/>
      <w:r w:rsidRPr="007579E2">
        <w:t xml:space="preserve"> in combination with </w:t>
      </w:r>
      <w:proofErr w:type="spellStart"/>
      <w:r w:rsidRPr="007579E2">
        <w:t>trametinib</w:t>
      </w:r>
      <w:proofErr w:type="spellEnd"/>
      <w:r w:rsidRPr="007579E2">
        <w:t xml:space="preserve"> have also been TGA approved for the treatment of patients with BRAF V600 mutation positive </w:t>
      </w:r>
      <w:proofErr w:type="spellStart"/>
      <w:r w:rsidRPr="007579E2">
        <w:t>unresectable</w:t>
      </w:r>
      <w:proofErr w:type="spellEnd"/>
      <w:r w:rsidRPr="007579E2">
        <w:t xml:space="preserve"> Stage III or metastatic (Stage IV) melanoma.</w:t>
      </w:r>
    </w:p>
    <w:p w:rsidR="00B033E5" w:rsidRPr="007579E2" w:rsidRDefault="00B033E5" w:rsidP="00061E01">
      <w:pPr>
        <w:pStyle w:val="Heading2"/>
        <w:widowControl/>
        <w:spacing w:before="120"/>
      </w:pPr>
      <w:r w:rsidRPr="007579E2">
        <w:t>Previous PBAC consideration</w:t>
      </w:r>
      <w:r w:rsidR="008751AF">
        <w:t>s</w:t>
      </w:r>
    </w:p>
    <w:p w:rsidR="005B65B2" w:rsidRPr="007579E2" w:rsidRDefault="00B63176" w:rsidP="00061E01">
      <w:pPr>
        <w:pStyle w:val="ListParagraph"/>
        <w:widowControl/>
        <w:numPr>
          <w:ilvl w:val="1"/>
          <w:numId w:val="2"/>
        </w:numPr>
        <w:spacing w:before="120"/>
      </w:pPr>
      <w:proofErr w:type="spellStart"/>
      <w:r w:rsidRPr="007579E2">
        <w:t>Dabrafenib</w:t>
      </w:r>
      <w:proofErr w:type="spellEnd"/>
      <w:r w:rsidRPr="007579E2">
        <w:t xml:space="preserve"> with or without </w:t>
      </w:r>
      <w:proofErr w:type="spellStart"/>
      <w:r w:rsidRPr="007579E2">
        <w:t>trametinib</w:t>
      </w:r>
      <w:proofErr w:type="spellEnd"/>
      <w:r w:rsidRPr="007579E2">
        <w:t xml:space="preserve"> </w:t>
      </w:r>
      <w:r w:rsidR="002E3D3A" w:rsidRPr="007579E2">
        <w:t xml:space="preserve">combination </w:t>
      </w:r>
      <w:r w:rsidRPr="007579E2">
        <w:t xml:space="preserve">is currently PBS listed for the treatment of patients with BRAF V600 mutation positive </w:t>
      </w:r>
      <w:proofErr w:type="spellStart"/>
      <w:r w:rsidRPr="007579E2">
        <w:t>unresectable</w:t>
      </w:r>
      <w:proofErr w:type="spellEnd"/>
      <w:r w:rsidRPr="007579E2">
        <w:t xml:space="preserve"> Stage III or Stage IV</w:t>
      </w:r>
      <w:r w:rsidR="00A8601E" w:rsidRPr="007579E2">
        <w:t xml:space="preserve"> malignant</w:t>
      </w:r>
      <w:r w:rsidRPr="007579E2">
        <w:t xml:space="preserve"> melanoma</w:t>
      </w:r>
      <w:r w:rsidR="005B65B2" w:rsidRPr="007579E2">
        <w:t>.</w:t>
      </w:r>
    </w:p>
    <w:p w:rsidR="000B37B2" w:rsidRPr="007579E2" w:rsidRDefault="000B37B2" w:rsidP="00061E01">
      <w:pPr>
        <w:pStyle w:val="ListParagraph"/>
        <w:widowControl/>
        <w:numPr>
          <w:ilvl w:val="1"/>
          <w:numId w:val="2"/>
        </w:numPr>
        <w:spacing w:before="120"/>
      </w:pPr>
      <w:proofErr w:type="spellStart"/>
      <w:r w:rsidRPr="007579E2">
        <w:t>Nivolumab</w:t>
      </w:r>
      <w:proofErr w:type="spellEnd"/>
      <w:r w:rsidRPr="007579E2">
        <w:t xml:space="preserve"> as adjuvant treatment for resected Stage III and Stage IV melanoma was rejected by PBAC in July 2018. </w:t>
      </w:r>
      <w:proofErr w:type="spellStart"/>
      <w:r w:rsidRPr="007579E2">
        <w:t>Pembrolizumab</w:t>
      </w:r>
      <w:proofErr w:type="spellEnd"/>
      <w:r w:rsidRPr="007579E2">
        <w:t xml:space="preserve"> as adjuvant treatment for resected Stage III melanoma was considered by PBAC in November 2018 and also rejected.</w:t>
      </w:r>
    </w:p>
    <w:p w:rsidR="00D048AE" w:rsidRPr="007579E2" w:rsidRDefault="00D048AE" w:rsidP="00061E01">
      <w:pPr>
        <w:pStyle w:val="ListParagraph"/>
        <w:widowControl/>
        <w:spacing w:before="120"/>
        <w:rPr>
          <w:i/>
        </w:rPr>
      </w:pPr>
      <w:r w:rsidRPr="007579E2">
        <w:rPr>
          <w:i/>
        </w:rPr>
        <w:t>For more detail on PBAC’s view, see Section 7 PBAC outcome.</w:t>
      </w:r>
    </w:p>
    <w:p w:rsidR="00B60939" w:rsidRPr="007579E2" w:rsidRDefault="00203181" w:rsidP="00061E01">
      <w:pPr>
        <w:pStyle w:val="Heading1"/>
        <w:spacing w:before="120"/>
      </w:pPr>
      <w:bookmarkStart w:id="3" w:name="_Toc536007995"/>
      <w:r w:rsidRPr="007579E2">
        <w:t xml:space="preserve">Population and </w:t>
      </w:r>
      <w:r w:rsidR="008E0D3C" w:rsidRPr="007579E2">
        <w:t>d</w:t>
      </w:r>
      <w:r w:rsidRPr="007579E2">
        <w:t>isease</w:t>
      </w:r>
      <w:bookmarkEnd w:id="3"/>
    </w:p>
    <w:p w:rsidR="00305C89" w:rsidRPr="007579E2" w:rsidRDefault="00AB3273" w:rsidP="00061E01">
      <w:pPr>
        <w:pStyle w:val="ListParagraph"/>
        <w:widowControl/>
        <w:numPr>
          <w:ilvl w:val="1"/>
          <w:numId w:val="2"/>
        </w:numPr>
        <w:spacing w:before="120"/>
      </w:pPr>
      <w:r w:rsidRPr="007579E2">
        <w:t>P</w:t>
      </w:r>
      <w:r w:rsidR="00252025" w:rsidRPr="007579E2">
        <w:t xml:space="preserve">atients </w:t>
      </w:r>
      <w:r w:rsidR="00305C89" w:rsidRPr="007579E2">
        <w:t xml:space="preserve">who have completely resected Stage III melanoma are at </w:t>
      </w:r>
      <w:r w:rsidRPr="007579E2">
        <w:t xml:space="preserve">a </w:t>
      </w:r>
      <w:r w:rsidR="00305C89" w:rsidRPr="007579E2">
        <w:t xml:space="preserve">high risk of developing </w:t>
      </w:r>
      <w:proofErr w:type="spellStart"/>
      <w:r w:rsidR="00305C89" w:rsidRPr="007579E2">
        <w:t>unresectable</w:t>
      </w:r>
      <w:proofErr w:type="spellEnd"/>
      <w:r w:rsidR="00305C89" w:rsidRPr="007579E2">
        <w:t xml:space="preserve"> disease recurrence, which, in many cases, includes distant metastases. Despite the availability of immunotherapies and targeted therapies for the treatment of </w:t>
      </w:r>
      <w:proofErr w:type="spellStart"/>
      <w:r w:rsidR="003532CB" w:rsidRPr="007579E2">
        <w:t>unresectable</w:t>
      </w:r>
      <w:proofErr w:type="spellEnd"/>
      <w:r w:rsidR="003532CB" w:rsidRPr="007579E2">
        <w:t xml:space="preserve"> or </w:t>
      </w:r>
      <w:r w:rsidR="00305C89" w:rsidRPr="007579E2">
        <w:t xml:space="preserve">metastatic melanoma, </w:t>
      </w:r>
      <w:proofErr w:type="spellStart"/>
      <w:r w:rsidR="00305C89" w:rsidRPr="007579E2">
        <w:t>unresectable</w:t>
      </w:r>
      <w:proofErr w:type="spellEnd"/>
      <w:r w:rsidR="00305C89" w:rsidRPr="007579E2">
        <w:t xml:space="preserve"> disease remains associated with high mortality. To reduce the risk of relapse post resection, high-risk patients may be considered candidates for adjuvant treatment.</w:t>
      </w:r>
    </w:p>
    <w:p w:rsidR="00305C89" w:rsidRPr="007579E2" w:rsidRDefault="00252025" w:rsidP="00061E01">
      <w:pPr>
        <w:pStyle w:val="ListParagraph"/>
        <w:widowControl/>
        <w:numPr>
          <w:ilvl w:val="1"/>
          <w:numId w:val="2"/>
        </w:numPr>
        <w:spacing w:before="120"/>
      </w:pPr>
      <w:r w:rsidRPr="007579E2">
        <w:t xml:space="preserve">Patients with </w:t>
      </w:r>
      <w:r w:rsidR="00305C89" w:rsidRPr="007579E2">
        <w:t xml:space="preserve">Stage III melanoma </w:t>
      </w:r>
      <w:r w:rsidRPr="007579E2">
        <w:t xml:space="preserve">have disease </w:t>
      </w:r>
      <w:r w:rsidR="00305C89" w:rsidRPr="007579E2">
        <w:t xml:space="preserve">involvement of </w:t>
      </w:r>
      <w:r w:rsidRPr="007579E2">
        <w:t xml:space="preserve">the </w:t>
      </w:r>
      <w:r w:rsidR="00305C89" w:rsidRPr="007579E2">
        <w:t xml:space="preserve">regional lymph nodes or the presence of in transit or satellite metastases. </w:t>
      </w:r>
    </w:p>
    <w:p w:rsidR="00E55BB5" w:rsidRPr="007579E2" w:rsidRDefault="00305C89" w:rsidP="00061E01">
      <w:pPr>
        <w:pStyle w:val="ListParagraph"/>
        <w:widowControl/>
        <w:numPr>
          <w:ilvl w:val="1"/>
          <w:numId w:val="2"/>
        </w:numPr>
        <w:spacing w:before="120"/>
      </w:pPr>
      <w:r w:rsidRPr="007579E2">
        <w:t>In Australia, there are no agents currently available on the PBS for adjuvant treatment</w:t>
      </w:r>
      <w:r w:rsidR="00FF57C4" w:rsidRPr="007579E2">
        <w:t xml:space="preserve"> of melanoma</w:t>
      </w:r>
      <w:r w:rsidRPr="007579E2">
        <w:t xml:space="preserve">. The Cancer Council </w:t>
      </w:r>
      <w:r w:rsidR="00FF57C4" w:rsidRPr="007579E2">
        <w:t xml:space="preserve">of </w:t>
      </w:r>
      <w:r w:rsidRPr="007579E2">
        <w:t>Australia (CCA) guidelines</w:t>
      </w:r>
      <w:r w:rsidRPr="007579E2">
        <w:rPr>
          <w:rStyle w:val="FootnoteReference"/>
        </w:rPr>
        <w:footnoteReference w:id="3"/>
      </w:r>
      <w:r w:rsidRPr="007579E2">
        <w:t xml:space="preserve"> recommend adjuvant treatment of resected Stage III patients with </w:t>
      </w:r>
      <w:proofErr w:type="spellStart"/>
      <w:r w:rsidRPr="007579E2">
        <w:t>pembrolizumab</w:t>
      </w:r>
      <w:proofErr w:type="spellEnd"/>
      <w:r w:rsidRPr="007579E2">
        <w:t xml:space="preserve">, </w:t>
      </w:r>
      <w:proofErr w:type="spellStart"/>
      <w:r w:rsidRPr="007579E2">
        <w:t>nivolumab</w:t>
      </w:r>
      <w:proofErr w:type="spellEnd"/>
      <w:r w:rsidRPr="007579E2">
        <w:t xml:space="preserve"> or </w:t>
      </w:r>
      <w:proofErr w:type="spellStart"/>
      <w:r w:rsidRPr="007579E2">
        <w:t>dabrafenib+trametinib</w:t>
      </w:r>
      <w:proofErr w:type="spellEnd"/>
      <w:r w:rsidRPr="007579E2">
        <w:t xml:space="preserve"> (only in BRAF positive patients</w:t>
      </w:r>
      <w:r w:rsidR="00FF57C4" w:rsidRPr="007579E2">
        <w:t xml:space="preserve"> because </w:t>
      </w:r>
      <w:proofErr w:type="spellStart"/>
      <w:r w:rsidR="00FF57C4" w:rsidRPr="007579E2">
        <w:t>dabrafenib</w:t>
      </w:r>
      <w:proofErr w:type="spellEnd"/>
      <w:r w:rsidR="00FF57C4" w:rsidRPr="007579E2">
        <w:t xml:space="preserve"> is a BRAF inhibitor</w:t>
      </w:r>
      <w:r w:rsidRPr="007579E2">
        <w:t xml:space="preserve">). The guidelines acknowledge that, currently, patients can only access these treatments if </w:t>
      </w:r>
      <w:r w:rsidR="00FF57C4" w:rsidRPr="007579E2">
        <w:t>they are</w:t>
      </w:r>
      <w:r w:rsidRPr="007579E2">
        <w:t xml:space="preserve"> eligibl</w:t>
      </w:r>
      <w:r w:rsidR="00FF57C4" w:rsidRPr="007579E2">
        <w:t>e</w:t>
      </w:r>
      <w:r w:rsidRPr="007579E2">
        <w:t xml:space="preserve"> for a clinical trial or </w:t>
      </w:r>
      <w:r w:rsidR="00FF57C4" w:rsidRPr="007579E2">
        <w:t xml:space="preserve">are </w:t>
      </w:r>
      <w:r w:rsidRPr="007579E2">
        <w:t>self-funded</w:t>
      </w:r>
      <w:r w:rsidR="00FF57C4" w:rsidRPr="007579E2">
        <w:t xml:space="preserve">. </w:t>
      </w:r>
      <w:r w:rsidRPr="007579E2">
        <w:t xml:space="preserve">If patients develop </w:t>
      </w:r>
      <w:proofErr w:type="spellStart"/>
      <w:r w:rsidRPr="007579E2">
        <w:t>unresectable</w:t>
      </w:r>
      <w:proofErr w:type="spellEnd"/>
      <w:r w:rsidRPr="007579E2">
        <w:t xml:space="preserve"> Stage III or Stage IV melanoma, they are eligible for PBS-subsidised treatment with targeted therapy or immunotherapy depending on their BRAF mutation status. Patients whose tumour expresses BRAF mutations are eligible for </w:t>
      </w:r>
      <w:r w:rsidRPr="007579E2">
        <w:lastRenderedPageBreak/>
        <w:t>BRAF inhibitor ± MEK inhibitor therapy</w:t>
      </w:r>
      <w:r w:rsidR="00FF57C4" w:rsidRPr="007579E2">
        <w:t xml:space="preserve"> (including </w:t>
      </w:r>
      <w:proofErr w:type="spellStart"/>
      <w:r w:rsidR="00FF57C4" w:rsidRPr="007579E2">
        <w:t>dabrafenib</w:t>
      </w:r>
      <w:r w:rsidR="00AB3273" w:rsidRPr="007579E2">
        <w:rPr>
          <w:rFonts w:cs="Calibri"/>
        </w:rPr>
        <w:t>±</w:t>
      </w:r>
      <w:r w:rsidR="00FF57C4" w:rsidRPr="007579E2">
        <w:t>trametinib</w:t>
      </w:r>
      <w:proofErr w:type="spellEnd"/>
      <w:r w:rsidR="00FF57C4" w:rsidRPr="007579E2">
        <w:t>)</w:t>
      </w:r>
      <w:r w:rsidRPr="007579E2">
        <w:t>, followed by PD-1 inhibitors upon disease progression.</w:t>
      </w:r>
    </w:p>
    <w:p w:rsidR="00D048AE" w:rsidRPr="007579E2" w:rsidRDefault="00D048AE" w:rsidP="00061E01">
      <w:pPr>
        <w:pStyle w:val="ListParagraph"/>
        <w:widowControl/>
        <w:spacing w:before="120"/>
        <w:rPr>
          <w:i/>
        </w:rPr>
      </w:pPr>
      <w:r w:rsidRPr="007579E2">
        <w:rPr>
          <w:i/>
        </w:rPr>
        <w:t>For more detail on PBAC’s view, see Section 7 PBAC outcome.</w:t>
      </w:r>
    </w:p>
    <w:p w:rsidR="00B50DB8" w:rsidRPr="007579E2" w:rsidRDefault="00B50DB8" w:rsidP="00061E01">
      <w:pPr>
        <w:pStyle w:val="Heading1"/>
        <w:spacing w:before="120"/>
      </w:pPr>
      <w:bookmarkStart w:id="4" w:name="_Toc536007996"/>
      <w:r w:rsidRPr="007579E2">
        <w:t>Comparator</w:t>
      </w:r>
      <w:bookmarkEnd w:id="4"/>
    </w:p>
    <w:p w:rsidR="009656F7" w:rsidRPr="007579E2" w:rsidRDefault="00A75D49" w:rsidP="00061E01">
      <w:pPr>
        <w:pStyle w:val="ListParagraph"/>
        <w:widowControl/>
        <w:numPr>
          <w:ilvl w:val="1"/>
          <w:numId w:val="2"/>
        </w:numPr>
        <w:tabs>
          <w:tab w:val="left" w:pos="6946"/>
          <w:tab w:val="left" w:pos="7230"/>
        </w:tabs>
        <w:spacing w:before="120"/>
      </w:pPr>
      <w:r w:rsidRPr="007579E2">
        <w:t xml:space="preserve">The submission nominated </w:t>
      </w:r>
      <w:r w:rsidR="00587D44" w:rsidRPr="007579E2">
        <w:t>observation</w:t>
      </w:r>
      <w:r w:rsidRPr="007579E2">
        <w:t xml:space="preserve"> (</w:t>
      </w:r>
      <w:r w:rsidR="00E41514" w:rsidRPr="007579E2">
        <w:t xml:space="preserve">routine follow-up </w:t>
      </w:r>
      <w:r w:rsidRPr="007579E2">
        <w:t xml:space="preserve">consisting of clinician visits and radiological imaging) as the main comparator. </w:t>
      </w:r>
      <w:proofErr w:type="spellStart"/>
      <w:r w:rsidRPr="007579E2">
        <w:t>Pembrolizumab</w:t>
      </w:r>
      <w:proofErr w:type="spellEnd"/>
      <w:r w:rsidRPr="007579E2">
        <w:t xml:space="preserve"> and </w:t>
      </w:r>
      <w:proofErr w:type="spellStart"/>
      <w:r w:rsidRPr="007579E2">
        <w:t>nivolumab</w:t>
      </w:r>
      <w:proofErr w:type="spellEnd"/>
      <w:r w:rsidRPr="007579E2">
        <w:t xml:space="preserve"> were nominated as near-market comparators. </w:t>
      </w:r>
      <w:r w:rsidR="009656F7" w:rsidRPr="007579E2">
        <w:t>The ESC considered that the nominated comparator</w:t>
      </w:r>
      <w:r w:rsidR="003F0F63" w:rsidRPr="007579E2">
        <w:t>s</w:t>
      </w:r>
      <w:r w:rsidR="009656F7" w:rsidRPr="007579E2">
        <w:t xml:space="preserve"> </w:t>
      </w:r>
      <w:r w:rsidR="003F0F63" w:rsidRPr="007579E2">
        <w:t>were</w:t>
      </w:r>
      <w:r w:rsidR="009656F7" w:rsidRPr="007579E2">
        <w:t xml:space="preserve"> appropriate.</w:t>
      </w:r>
    </w:p>
    <w:p w:rsidR="00D048AE" w:rsidRPr="007579E2" w:rsidRDefault="00D048AE" w:rsidP="00061E01">
      <w:pPr>
        <w:pStyle w:val="ListParagraph"/>
        <w:widowControl/>
        <w:tabs>
          <w:tab w:val="left" w:pos="7230"/>
        </w:tabs>
        <w:spacing w:before="120"/>
        <w:rPr>
          <w:i/>
        </w:rPr>
      </w:pPr>
      <w:r w:rsidRPr="007579E2">
        <w:rPr>
          <w:i/>
        </w:rPr>
        <w:t>For more detail on PBAC’s view, see Section 7 PBAC outcome.</w:t>
      </w:r>
    </w:p>
    <w:p w:rsidR="00B50DB8" w:rsidRPr="007579E2" w:rsidRDefault="00BD6CF3" w:rsidP="00061E01">
      <w:pPr>
        <w:pStyle w:val="Heading1"/>
        <w:spacing w:before="120"/>
      </w:pPr>
      <w:bookmarkStart w:id="5" w:name="_Toc536007997"/>
      <w:r w:rsidRPr="007579E2">
        <w:t>C</w:t>
      </w:r>
      <w:r w:rsidR="00B50DB8" w:rsidRPr="007579E2">
        <w:t>onsideration of the evidence</w:t>
      </w:r>
      <w:bookmarkEnd w:id="5"/>
    </w:p>
    <w:p w:rsidR="00D048AE" w:rsidRPr="007579E2" w:rsidRDefault="00D048AE" w:rsidP="00061E01">
      <w:pPr>
        <w:pStyle w:val="Heading2"/>
        <w:widowControl/>
        <w:spacing w:before="120"/>
      </w:pPr>
      <w:bookmarkStart w:id="6" w:name="_Toc536007998"/>
      <w:r w:rsidRPr="007579E2">
        <w:t>Sponsor hearing</w:t>
      </w:r>
    </w:p>
    <w:p w:rsidR="00D048AE" w:rsidRPr="007579E2" w:rsidRDefault="00D048AE" w:rsidP="00061E01">
      <w:pPr>
        <w:widowControl/>
        <w:numPr>
          <w:ilvl w:val="1"/>
          <w:numId w:val="2"/>
        </w:numPr>
        <w:spacing w:before="120" w:after="120"/>
        <w:rPr>
          <w:rFonts w:asciiTheme="minorHAnsi" w:hAnsiTheme="minorHAnsi"/>
          <w:bCs/>
        </w:rPr>
      </w:pPr>
      <w:r w:rsidRPr="007579E2">
        <w:rPr>
          <w:rFonts w:asciiTheme="minorHAnsi" w:hAnsiTheme="minorHAnsi"/>
          <w:bCs/>
        </w:rPr>
        <w:t>The</w:t>
      </w:r>
      <w:r w:rsidR="00E60D23" w:rsidRPr="007579E2">
        <w:rPr>
          <w:rFonts w:asciiTheme="minorHAnsi" w:hAnsiTheme="minorHAnsi"/>
          <w:bCs/>
        </w:rPr>
        <w:t>re was no hearing for this item.</w:t>
      </w:r>
    </w:p>
    <w:p w:rsidR="00D048AE" w:rsidRPr="007579E2" w:rsidRDefault="00D048AE" w:rsidP="00061E01">
      <w:pPr>
        <w:pStyle w:val="Heading2"/>
        <w:widowControl/>
        <w:spacing w:before="120"/>
      </w:pPr>
      <w:r w:rsidRPr="007579E2">
        <w:t>Consumer comments</w:t>
      </w:r>
    </w:p>
    <w:p w:rsidR="00D048AE" w:rsidRPr="007579E2" w:rsidRDefault="00D048AE" w:rsidP="00061E01">
      <w:pPr>
        <w:widowControl/>
        <w:numPr>
          <w:ilvl w:val="1"/>
          <w:numId w:val="2"/>
        </w:numPr>
        <w:spacing w:before="120" w:after="120"/>
        <w:rPr>
          <w:rFonts w:asciiTheme="minorHAnsi" w:hAnsiTheme="minorHAnsi"/>
          <w:bCs/>
        </w:rPr>
      </w:pPr>
      <w:r w:rsidRPr="007579E2">
        <w:rPr>
          <w:rFonts w:asciiTheme="minorHAnsi" w:hAnsiTheme="minorHAnsi"/>
          <w:bCs/>
        </w:rPr>
        <w:t>The PBAC noted and welcomed the input from individuals (4</w:t>
      </w:r>
      <w:r w:rsidR="00687B24" w:rsidRPr="007579E2">
        <w:rPr>
          <w:rFonts w:asciiTheme="minorHAnsi" w:hAnsiTheme="minorHAnsi"/>
          <w:bCs/>
        </w:rPr>
        <w:t>5</w:t>
      </w:r>
      <w:r w:rsidRPr="007579E2">
        <w:rPr>
          <w:rFonts w:asciiTheme="minorHAnsi" w:hAnsiTheme="minorHAnsi"/>
          <w:bCs/>
        </w:rPr>
        <w:t>), he</w:t>
      </w:r>
      <w:r w:rsidR="00687B24" w:rsidRPr="007579E2">
        <w:rPr>
          <w:rFonts w:asciiTheme="minorHAnsi" w:hAnsiTheme="minorHAnsi"/>
          <w:bCs/>
        </w:rPr>
        <w:t>alth care professionals (1</w:t>
      </w:r>
      <w:r w:rsidRPr="007579E2">
        <w:rPr>
          <w:rFonts w:asciiTheme="minorHAnsi" w:hAnsiTheme="minorHAnsi"/>
          <w:bCs/>
        </w:rPr>
        <w:t>) and organisations (</w:t>
      </w:r>
      <w:r w:rsidR="00386B81" w:rsidRPr="007579E2">
        <w:rPr>
          <w:rFonts w:asciiTheme="minorHAnsi" w:hAnsiTheme="minorHAnsi"/>
          <w:bCs/>
        </w:rPr>
        <w:t>4</w:t>
      </w:r>
      <w:r w:rsidRPr="007579E2">
        <w:rPr>
          <w:rFonts w:asciiTheme="minorHAnsi" w:hAnsiTheme="minorHAnsi"/>
          <w:bCs/>
        </w:rPr>
        <w:t>) via the Consumer Comments facility on the PBS website</w:t>
      </w:r>
      <w:r w:rsidR="00C5506D" w:rsidRPr="007579E2">
        <w:rPr>
          <w:rFonts w:asciiTheme="minorHAnsi" w:hAnsiTheme="minorHAnsi"/>
          <w:bCs/>
        </w:rPr>
        <w:t xml:space="preserve"> and other correspondence</w:t>
      </w:r>
      <w:r w:rsidRPr="007579E2">
        <w:rPr>
          <w:rFonts w:asciiTheme="minorHAnsi" w:hAnsiTheme="minorHAnsi"/>
          <w:bCs/>
        </w:rPr>
        <w:t>.</w:t>
      </w:r>
      <w:r w:rsidR="009E0E27" w:rsidRPr="007579E2">
        <w:rPr>
          <w:rFonts w:asciiTheme="minorHAnsi" w:hAnsiTheme="minorHAnsi"/>
          <w:bCs/>
        </w:rPr>
        <w:t xml:space="preserve"> </w:t>
      </w:r>
      <w:r w:rsidRPr="007579E2">
        <w:rPr>
          <w:rFonts w:asciiTheme="minorHAnsi" w:hAnsiTheme="minorHAnsi"/>
          <w:bCs/>
        </w:rPr>
        <w:t>The comments described a range</w:t>
      </w:r>
      <w:r w:rsidR="00EE5132" w:rsidRPr="007579E2">
        <w:rPr>
          <w:rFonts w:asciiTheme="minorHAnsi" w:hAnsiTheme="minorHAnsi"/>
          <w:bCs/>
        </w:rPr>
        <w:t xml:space="preserve"> of benefits of treatment with </w:t>
      </w:r>
      <w:proofErr w:type="spellStart"/>
      <w:r w:rsidR="00EE5132" w:rsidRPr="007579E2">
        <w:rPr>
          <w:rFonts w:asciiTheme="minorHAnsi" w:hAnsiTheme="minorHAnsi"/>
          <w:bCs/>
        </w:rPr>
        <w:t>dabrafenib+trametinib</w:t>
      </w:r>
      <w:proofErr w:type="spellEnd"/>
      <w:r w:rsidR="00EE5132" w:rsidRPr="007579E2">
        <w:rPr>
          <w:rFonts w:asciiTheme="minorHAnsi" w:hAnsiTheme="minorHAnsi"/>
          <w:bCs/>
        </w:rPr>
        <w:t xml:space="preserve"> adjuvant therapy </w:t>
      </w:r>
      <w:r w:rsidRPr="007579E2">
        <w:rPr>
          <w:rFonts w:asciiTheme="minorHAnsi" w:hAnsiTheme="minorHAnsi"/>
          <w:bCs/>
        </w:rPr>
        <w:t xml:space="preserve">including </w:t>
      </w:r>
      <w:r w:rsidR="00E23EB7" w:rsidRPr="007579E2">
        <w:rPr>
          <w:rFonts w:asciiTheme="minorHAnsi" w:hAnsiTheme="minorHAnsi"/>
          <w:bCs/>
        </w:rPr>
        <w:t>manageable adverse events</w:t>
      </w:r>
      <w:r w:rsidR="008C2357" w:rsidRPr="007579E2">
        <w:rPr>
          <w:rFonts w:asciiTheme="minorHAnsi" w:hAnsiTheme="minorHAnsi"/>
          <w:bCs/>
        </w:rPr>
        <w:t xml:space="preserve">, the ease of oral administration, and also </w:t>
      </w:r>
      <w:r w:rsidR="00F67FE6" w:rsidRPr="007579E2">
        <w:rPr>
          <w:rFonts w:asciiTheme="minorHAnsi" w:hAnsiTheme="minorHAnsi"/>
          <w:bCs/>
        </w:rPr>
        <w:t>a</w:t>
      </w:r>
      <w:r w:rsidR="008C2357" w:rsidRPr="007579E2">
        <w:rPr>
          <w:rFonts w:asciiTheme="minorHAnsi" w:hAnsiTheme="minorHAnsi"/>
          <w:bCs/>
        </w:rPr>
        <w:t xml:space="preserve"> reduction in stress and anxiety for patients </w:t>
      </w:r>
      <w:r w:rsidR="00F67FE6" w:rsidRPr="007579E2">
        <w:rPr>
          <w:rFonts w:asciiTheme="minorHAnsi" w:hAnsiTheme="minorHAnsi"/>
          <w:bCs/>
        </w:rPr>
        <w:t>with no other adjuvant therap</w:t>
      </w:r>
      <w:r w:rsidR="00876321" w:rsidRPr="007579E2">
        <w:rPr>
          <w:rFonts w:asciiTheme="minorHAnsi" w:hAnsiTheme="minorHAnsi"/>
          <w:bCs/>
        </w:rPr>
        <w:t>y options</w:t>
      </w:r>
      <w:r w:rsidR="00F67FE6" w:rsidRPr="007579E2">
        <w:rPr>
          <w:rFonts w:asciiTheme="minorHAnsi" w:hAnsiTheme="minorHAnsi"/>
          <w:bCs/>
        </w:rPr>
        <w:t xml:space="preserve"> available</w:t>
      </w:r>
      <w:r w:rsidR="008C2357" w:rsidRPr="007579E2">
        <w:rPr>
          <w:rFonts w:asciiTheme="minorHAnsi" w:hAnsiTheme="minorHAnsi"/>
          <w:bCs/>
        </w:rPr>
        <w:t>.</w:t>
      </w:r>
    </w:p>
    <w:p w:rsidR="00160FEF" w:rsidRPr="007579E2" w:rsidRDefault="009E0E27" w:rsidP="00061E01">
      <w:pPr>
        <w:widowControl/>
        <w:numPr>
          <w:ilvl w:val="1"/>
          <w:numId w:val="2"/>
        </w:numPr>
        <w:spacing w:before="120" w:after="120"/>
        <w:rPr>
          <w:rFonts w:asciiTheme="minorHAnsi" w:hAnsiTheme="minorHAnsi"/>
          <w:bCs/>
        </w:rPr>
      </w:pPr>
      <w:r w:rsidRPr="007579E2">
        <w:rPr>
          <w:rFonts w:asciiTheme="minorHAnsi" w:hAnsiTheme="minorHAnsi"/>
          <w:bCs/>
        </w:rPr>
        <w:t xml:space="preserve">The PBAC noted the correspondence received from </w:t>
      </w:r>
      <w:r w:rsidR="00160FEF" w:rsidRPr="007579E2">
        <w:rPr>
          <w:rFonts w:asciiTheme="minorHAnsi" w:hAnsiTheme="minorHAnsi"/>
          <w:bCs/>
        </w:rPr>
        <w:t>Melanoma Patients Australia</w:t>
      </w:r>
      <w:r w:rsidRPr="007579E2">
        <w:rPr>
          <w:rFonts w:asciiTheme="minorHAnsi" w:hAnsiTheme="minorHAnsi"/>
          <w:bCs/>
        </w:rPr>
        <w:t xml:space="preserve"> (MPA) supporting the listing. MPA also provided a summary of individual patient comments, describing the benefits of reduced risk of recurrence and treatment efficacy and the need for equitable access and choice of treatments. Comments via the MPA also expressed that adjuvant treatment was a worthwhile financial investment in terms of delaying or preventing recurrence at a later stage of disease with greater complications. The PBAC also noted the </w:t>
      </w:r>
      <w:r w:rsidR="00386B81" w:rsidRPr="007579E2">
        <w:rPr>
          <w:rFonts w:asciiTheme="minorHAnsi" w:hAnsiTheme="minorHAnsi"/>
          <w:bCs/>
        </w:rPr>
        <w:t xml:space="preserve">combined </w:t>
      </w:r>
      <w:r w:rsidRPr="007579E2">
        <w:rPr>
          <w:rFonts w:asciiTheme="minorHAnsi" w:hAnsiTheme="minorHAnsi"/>
          <w:bCs/>
        </w:rPr>
        <w:t xml:space="preserve">advice from </w:t>
      </w:r>
      <w:r w:rsidR="00160FEF" w:rsidRPr="007579E2">
        <w:rPr>
          <w:rFonts w:asciiTheme="minorHAnsi" w:hAnsiTheme="minorHAnsi"/>
          <w:bCs/>
        </w:rPr>
        <w:t>Mel</w:t>
      </w:r>
      <w:r w:rsidRPr="007579E2">
        <w:rPr>
          <w:rFonts w:asciiTheme="minorHAnsi" w:hAnsiTheme="minorHAnsi"/>
          <w:bCs/>
        </w:rPr>
        <w:t xml:space="preserve">anoma Consumers Alliance (AMCA) with the </w:t>
      </w:r>
      <w:r w:rsidR="00160FEF" w:rsidRPr="007579E2">
        <w:rPr>
          <w:rFonts w:asciiTheme="minorHAnsi" w:hAnsiTheme="minorHAnsi"/>
          <w:bCs/>
        </w:rPr>
        <w:t>Melanoma Research Victoria Consumer Reference Group (MRV-CRG)</w:t>
      </w:r>
      <w:r w:rsidR="00A8601E" w:rsidRPr="007579E2">
        <w:rPr>
          <w:rFonts w:asciiTheme="minorHAnsi" w:hAnsiTheme="minorHAnsi"/>
          <w:bCs/>
        </w:rPr>
        <w:t xml:space="preserve"> which</w:t>
      </w:r>
      <w:r w:rsidRPr="007579E2">
        <w:rPr>
          <w:rFonts w:asciiTheme="minorHAnsi" w:hAnsiTheme="minorHAnsi"/>
          <w:bCs/>
        </w:rPr>
        <w:t xml:space="preserve"> express</w:t>
      </w:r>
      <w:r w:rsidR="00A8601E" w:rsidRPr="007579E2">
        <w:rPr>
          <w:rFonts w:asciiTheme="minorHAnsi" w:hAnsiTheme="minorHAnsi"/>
          <w:bCs/>
        </w:rPr>
        <w:t>ed</w:t>
      </w:r>
      <w:r w:rsidRPr="007579E2">
        <w:rPr>
          <w:rFonts w:asciiTheme="minorHAnsi" w:hAnsiTheme="minorHAnsi"/>
          <w:bCs/>
        </w:rPr>
        <w:t xml:space="preserve"> support for the listing. </w:t>
      </w:r>
    </w:p>
    <w:p w:rsidR="00D048AE" w:rsidRPr="007579E2" w:rsidRDefault="006A46D9" w:rsidP="00061E01">
      <w:pPr>
        <w:widowControl/>
        <w:numPr>
          <w:ilvl w:val="1"/>
          <w:numId w:val="2"/>
        </w:numPr>
        <w:spacing w:before="120" w:after="120"/>
        <w:rPr>
          <w:rFonts w:asciiTheme="minorHAnsi" w:hAnsiTheme="minorHAnsi"/>
          <w:bCs/>
        </w:rPr>
      </w:pPr>
      <w:r w:rsidRPr="007579E2">
        <w:rPr>
          <w:rFonts w:asciiTheme="minorHAnsi" w:hAnsiTheme="minorHAnsi"/>
          <w:bCs/>
        </w:rPr>
        <w:t xml:space="preserve">The </w:t>
      </w:r>
      <w:r w:rsidR="00160FEF" w:rsidRPr="007579E2">
        <w:rPr>
          <w:rFonts w:asciiTheme="minorHAnsi" w:hAnsiTheme="minorHAnsi"/>
          <w:bCs/>
        </w:rPr>
        <w:t>Medical Oncology Group of Australia (MOGA)</w:t>
      </w:r>
      <w:r w:rsidRPr="007579E2">
        <w:rPr>
          <w:rFonts w:asciiTheme="minorHAnsi" w:hAnsiTheme="minorHAnsi"/>
          <w:bCs/>
        </w:rPr>
        <w:t xml:space="preserve"> a</w:t>
      </w:r>
      <w:r w:rsidR="00D048AE" w:rsidRPr="007579E2">
        <w:rPr>
          <w:rFonts w:asciiTheme="minorHAnsi" w:hAnsiTheme="minorHAnsi"/>
          <w:bCs/>
        </w:rPr>
        <w:t xml:space="preserve">lso expressed its </w:t>
      </w:r>
      <w:r w:rsidR="00634476" w:rsidRPr="007579E2">
        <w:rPr>
          <w:rFonts w:asciiTheme="minorHAnsi" w:hAnsiTheme="minorHAnsi"/>
          <w:bCs/>
        </w:rPr>
        <w:t xml:space="preserve">strong </w:t>
      </w:r>
      <w:r w:rsidR="00D048AE" w:rsidRPr="007579E2">
        <w:rPr>
          <w:rFonts w:asciiTheme="minorHAnsi" w:hAnsiTheme="minorHAnsi"/>
          <w:bCs/>
        </w:rPr>
        <w:t xml:space="preserve">support for the </w:t>
      </w:r>
      <w:r w:rsidR="00634476" w:rsidRPr="007579E2">
        <w:rPr>
          <w:rFonts w:asciiTheme="minorHAnsi" w:hAnsiTheme="minorHAnsi"/>
          <w:bCs/>
        </w:rPr>
        <w:t>submission</w:t>
      </w:r>
      <w:r w:rsidR="00BE5F39" w:rsidRPr="007579E2">
        <w:rPr>
          <w:rFonts w:asciiTheme="minorHAnsi" w:hAnsiTheme="minorHAnsi"/>
          <w:bCs/>
        </w:rPr>
        <w:t>. It</w:t>
      </w:r>
      <w:r w:rsidR="00CD086E" w:rsidRPr="007579E2">
        <w:rPr>
          <w:rFonts w:asciiTheme="minorHAnsi" w:hAnsiTheme="minorHAnsi"/>
          <w:bCs/>
        </w:rPr>
        <w:t xml:space="preserve"> recognis</w:t>
      </w:r>
      <w:r w:rsidR="00634476" w:rsidRPr="007579E2">
        <w:rPr>
          <w:rFonts w:asciiTheme="minorHAnsi" w:hAnsiTheme="minorHAnsi"/>
          <w:bCs/>
        </w:rPr>
        <w:t>ed the</w:t>
      </w:r>
      <w:r w:rsidR="00CD086E" w:rsidRPr="007579E2">
        <w:rPr>
          <w:rFonts w:asciiTheme="minorHAnsi" w:hAnsiTheme="minorHAnsi"/>
          <w:bCs/>
        </w:rPr>
        <w:t xml:space="preserve"> immature survival data</w:t>
      </w:r>
      <w:r w:rsidR="00634476" w:rsidRPr="007579E2">
        <w:rPr>
          <w:rFonts w:asciiTheme="minorHAnsi" w:hAnsiTheme="minorHAnsi"/>
          <w:bCs/>
        </w:rPr>
        <w:t xml:space="preserve"> but noted there was</w:t>
      </w:r>
      <w:r w:rsidR="00D048AE" w:rsidRPr="007579E2">
        <w:rPr>
          <w:rFonts w:asciiTheme="minorHAnsi" w:hAnsiTheme="minorHAnsi"/>
          <w:bCs/>
        </w:rPr>
        <w:t xml:space="preserve"> </w:t>
      </w:r>
      <w:r w:rsidR="00CD086E" w:rsidRPr="007579E2">
        <w:rPr>
          <w:rFonts w:asciiTheme="minorHAnsi" w:hAnsiTheme="minorHAnsi"/>
          <w:bCs/>
        </w:rPr>
        <w:t xml:space="preserve">a significant unmet need for adjuvant treatment of melanoma with a high risk of recurrence. </w:t>
      </w:r>
      <w:r w:rsidR="00D048AE" w:rsidRPr="007579E2">
        <w:rPr>
          <w:rFonts w:asciiTheme="minorHAnsi" w:hAnsiTheme="minorHAnsi"/>
          <w:bCs/>
        </w:rPr>
        <w:t xml:space="preserve">The PBAC noted that the MOGA presented </w:t>
      </w:r>
      <w:r w:rsidR="00634476" w:rsidRPr="007579E2">
        <w:rPr>
          <w:rFonts w:asciiTheme="minorHAnsi" w:hAnsiTheme="minorHAnsi"/>
          <w:bCs/>
        </w:rPr>
        <w:t>a</w:t>
      </w:r>
      <w:r w:rsidR="00D048AE" w:rsidRPr="007579E2">
        <w:rPr>
          <w:rFonts w:asciiTheme="minorHAnsi" w:hAnsiTheme="minorHAnsi"/>
          <w:bCs/>
        </w:rPr>
        <w:t xml:space="preserve"> European Society for Medical Oncology Magnitude of Clinical Benefit Scale (ESMO-MCBS)</w:t>
      </w:r>
      <w:r w:rsidR="00BE5F39" w:rsidRPr="007579E2">
        <w:rPr>
          <w:rStyle w:val="FootnoteReference"/>
          <w:rFonts w:asciiTheme="minorHAnsi" w:hAnsiTheme="minorHAnsi"/>
          <w:bCs/>
        </w:rPr>
        <w:footnoteReference w:id="4"/>
      </w:r>
      <w:r w:rsidR="00BE5F39" w:rsidRPr="007579E2">
        <w:rPr>
          <w:rFonts w:asciiTheme="minorHAnsi" w:hAnsiTheme="minorHAnsi"/>
          <w:bCs/>
        </w:rPr>
        <w:t xml:space="preserve"> score</w:t>
      </w:r>
      <w:r w:rsidR="00D048AE" w:rsidRPr="007579E2">
        <w:rPr>
          <w:rFonts w:asciiTheme="minorHAnsi" w:hAnsiTheme="minorHAnsi"/>
          <w:bCs/>
        </w:rPr>
        <w:t xml:space="preserve"> for </w:t>
      </w:r>
      <w:proofErr w:type="spellStart"/>
      <w:r w:rsidR="00634476" w:rsidRPr="007579E2">
        <w:rPr>
          <w:rFonts w:asciiTheme="minorHAnsi" w:hAnsiTheme="minorHAnsi"/>
          <w:bCs/>
        </w:rPr>
        <w:t>dabrafen</w:t>
      </w:r>
      <w:r w:rsidR="00BE5F39" w:rsidRPr="007579E2">
        <w:rPr>
          <w:rFonts w:asciiTheme="minorHAnsi" w:hAnsiTheme="minorHAnsi"/>
          <w:bCs/>
        </w:rPr>
        <w:t>ib+trametinib</w:t>
      </w:r>
      <w:proofErr w:type="spellEnd"/>
      <w:r w:rsidR="00BE5F39" w:rsidRPr="007579E2">
        <w:rPr>
          <w:rFonts w:asciiTheme="minorHAnsi" w:hAnsiTheme="minorHAnsi"/>
          <w:bCs/>
        </w:rPr>
        <w:t xml:space="preserve"> adjuvant treatment</w:t>
      </w:r>
      <w:r w:rsidR="00D048AE" w:rsidRPr="007579E2">
        <w:rPr>
          <w:rFonts w:asciiTheme="minorHAnsi" w:hAnsiTheme="minorHAnsi"/>
          <w:bCs/>
        </w:rPr>
        <w:t>, which was</w:t>
      </w:r>
      <w:r w:rsidR="00BE5F39" w:rsidRPr="007579E2">
        <w:rPr>
          <w:rFonts w:asciiTheme="minorHAnsi" w:hAnsiTheme="minorHAnsi"/>
          <w:bCs/>
        </w:rPr>
        <w:t xml:space="preserve"> Grade</w:t>
      </w:r>
      <w:r w:rsidR="00D048AE" w:rsidRPr="007579E2">
        <w:rPr>
          <w:rFonts w:asciiTheme="minorHAnsi" w:hAnsiTheme="minorHAnsi"/>
          <w:bCs/>
        </w:rPr>
        <w:t xml:space="preserve"> </w:t>
      </w:r>
      <w:r w:rsidR="00BE5F39" w:rsidRPr="007579E2">
        <w:rPr>
          <w:rFonts w:asciiTheme="minorHAnsi" w:hAnsiTheme="minorHAnsi"/>
          <w:bCs/>
        </w:rPr>
        <w:t>A (out of C, which is the highest possible grade and restricted to</w:t>
      </w:r>
      <w:r w:rsidR="00BE37DC" w:rsidRPr="007579E2">
        <w:rPr>
          <w:rFonts w:asciiTheme="minorHAnsi" w:hAnsiTheme="minorHAnsi"/>
          <w:bCs/>
        </w:rPr>
        <w:t xml:space="preserve"> new approaches to adjuvant therapy or </w:t>
      </w:r>
      <w:r w:rsidR="00BE37DC" w:rsidRPr="007579E2">
        <w:rPr>
          <w:rFonts w:asciiTheme="minorHAnsi" w:hAnsiTheme="minorHAnsi"/>
          <w:bCs/>
        </w:rPr>
        <w:lastRenderedPageBreak/>
        <w:t>potentially</w:t>
      </w:r>
      <w:r w:rsidR="00BE5F39" w:rsidRPr="007579E2">
        <w:rPr>
          <w:rFonts w:asciiTheme="minorHAnsi" w:hAnsiTheme="minorHAnsi"/>
          <w:bCs/>
        </w:rPr>
        <w:t xml:space="preserve"> new curative treatments</w:t>
      </w:r>
      <w:r w:rsidR="00D048AE" w:rsidRPr="007579E2">
        <w:rPr>
          <w:rFonts w:asciiTheme="minorHAnsi" w:hAnsiTheme="minorHAnsi"/>
          <w:bCs/>
        </w:rPr>
        <w:t xml:space="preserve">), based </w:t>
      </w:r>
      <w:r w:rsidR="00C145C2" w:rsidRPr="007579E2">
        <w:rPr>
          <w:rFonts w:asciiTheme="minorHAnsi" w:hAnsiTheme="minorHAnsi"/>
          <w:bCs/>
        </w:rPr>
        <w:t xml:space="preserve">a </w:t>
      </w:r>
      <w:r w:rsidR="00D048AE" w:rsidRPr="007579E2">
        <w:rPr>
          <w:rFonts w:asciiTheme="minorHAnsi" w:hAnsiTheme="minorHAnsi"/>
          <w:bCs/>
        </w:rPr>
        <w:t xml:space="preserve">comparison with </w:t>
      </w:r>
      <w:r w:rsidR="00C145C2" w:rsidRPr="007579E2">
        <w:rPr>
          <w:rFonts w:asciiTheme="minorHAnsi" w:hAnsiTheme="minorHAnsi"/>
          <w:bCs/>
        </w:rPr>
        <w:t>placebo in the COMBI-AD trial</w:t>
      </w:r>
      <w:r w:rsidR="00D048AE" w:rsidRPr="007579E2">
        <w:rPr>
          <w:rFonts w:asciiTheme="minorHAnsi" w:hAnsiTheme="minorHAnsi"/>
          <w:bCs/>
        </w:rPr>
        <w:t>.</w:t>
      </w:r>
      <w:r w:rsidR="00BE5F39" w:rsidRPr="007579E2">
        <w:rPr>
          <w:rFonts w:asciiTheme="minorHAnsi" w:hAnsiTheme="minorHAnsi"/>
          <w:bCs/>
        </w:rPr>
        <w:t xml:space="preserve"> </w:t>
      </w:r>
    </w:p>
    <w:p w:rsidR="00B60939" w:rsidRPr="007579E2" w:rsidRDefault="00B60939" w:rsidP="00061E01">
      <w:pPr>
        <w:pStyle w:val="Heading2"/>
        <w:widowControl/>
        <w:spacing w:before="120"/>
      </w:pPr>
      <w:r w:rsidRPr="007579E2">
        <w:t>Clinical trials</w:t>
      </w:r>
      <w:bookmarkEnd w:id="6"/>
    </w:p>
    <w:p w:rsidR="00DD0C65" w:rsidRPr="007579E2" w:rsidRDefault="00DD0C65" w:rsidP="00061E01">
      <w:pPr>
        <w:pStyle w:val="ListParagraph"/>
        <w:widowControl/>
        <w:numPr>
          <w:ilvl w:val="1"/>
          <w:numId w:val="2"/>
        </w:numPr>
        <w:spacing w:before="120"/>
      </w:pPr>
      <w:r w:rsidRPr="007579E2">
        <w:rPr>
          <w:rFonts w:cs="Calibri"/>
          <w:snapToGrid/>
          <w:szCs w:val="24"/>
          <w:lang w:eastAsia="en-AU"/>
        </w:rPr>
        <w:t xml:space="preserve">The submission was based on one head-to-head trial comparing </w:t>
      </w:r>
      <w:proofErr w:type="spellStart"/>
      <w:r w:rsidRPr="007579E2">
        <w:rPr>
          <w:rFonts w:cs="Calibri"/>
          <w:snapToGrid/>
          <w:szCs w:val="24"/>
          <w:lang w:eastAsia="en-AU"/>
        </w:rPr>
        <w:t>dabrafenib+trametinib</w:t>
      </w:r>
      <w:proofErr w:type="spellEnd"/>
      <w:r w:rsidRPr="007579E2">
        <w:rPr>
          <w:rFonts w:cs="Calibri"/>
          <w:snapToGrid/>
          <w:szCs w:val="24"/>
          <w:lang w:eastAsia="en-AU"/>
        </w:rPr>
        <w:t xml:space="preserve"> to placebo </w:t>
      </w:r>
      <w:r w:rsidR="00FF57C4" w:rsidRPr="007579E2">
        <w:rPr>
          <w:rFonts w:cs="Calibri"/>
          <w:snapToGrid/>
          <w:szCs w:val="24"/>
          <w:lang w:eastAsia="en-AU"/>
        </w:rPr>
        <w:t xml:space="preserve">for the </w:t>
      </w:r>
      <w:r w:rsidRPr="007579E2">
        <w:rPr>
          <w:rFonts w:cs="Calibri"/>
          <w:snapToGrid/>
          <w:szCs w:val="24"/>
          <w:lang w:eastAsia="en-AU"/>
        </w:rPr>
        <w:t xml:space="preserve">adjuvant treatment </w:t>
      </w:r>
      <w:r w:rsidR="00FF57C4" w:rsidRPr="007579E2">
        <w:rPr>
          <w:rFonts w:cs="Calibri"/>
          <w:snapToGrid/>
          <w:szCs w:val="24"/>
          <w:lang w:eastAsia="en-AU"/>
        </w:rPr>
        <w:t xml:space="preserve">of </w:t>
      </w:r>
      <w:r w:rsidRPr="007579E2">
        <w:rPr>
          <w:rFonts w:cs="Calibri"/>
          <w:snapToGrid/>
          <w:szCs w:val="24"/>
          <w:lang w:eastAsia="en-AU"/>
        </w:rPr>
        <w:t>patients with BRAF V600 mutation positive cutaneous melanoma after complete surgical resection</w:t>
      </w:r>
      <w:r w:rsidR="009637AE" w:rsidRPr="007579E2">
        <w:rPr>
          <w:rFonts w:cs="Calibri"/>
          <w:snapToGrid/>
          <w:szCs w:val="24"/>
          <w:lang w:eastAsia="en-AU"/>
        </w:rPr>
        <w:t>,</w:t>
      </w:r>
      <w:r w:rsidRPr="007579E2">
        <w:rPr>
          <w:rFonts w:cs="Calibri"/>
          <w:snapToGrid/>
          <w:szCs w:val="24"/>
          <w:lang w:eastAsia="en-AU"/>
        </w:rPr>
        <w:t xml:space="preserve"> COMBI-AD (</w:t>
      </w:r>
      <w:r w:rsidR="00457F17" w:rsidRPr="007579E2">
        <w:rPr>
          <w:rFonts w:cs="Calibri"/>
          <w:snapToGrid/>
          <w:szCs w:val="24"/>
          <w:lang w:eastAsia="en-AU"/>
        </w:rPr>
        <w:t>N</w:t>
      </w:r>
      <w:r w:rsidR="00AB3273" w:rsidRPr="007579E2">
        <w:rPr>
          <w:rFonts w:cs="Calibri"/>
          <w:snapToGrid/>
          <w:szCs w:val="24"/>
          <w:lang w:eastAsia="en-AU"/>
        </w:rPr>
        <w:t xml:space="preserve"> </w:t>
      </w:r>
      <w:r w:rsidRPr="007579E2">
        <w:rPr>
          <w:rFonts w:cs="Calibri"/>
          <w:snapToGrid/>
          <w:szCs w:val="24"/>
          <w:lang w:eastAsia="en-AU"/>
        </w:rPr>
        <w:t>=</w:t>
      </w:r>
      <w:r w:rsidR="00AB3273" w:rsidRPr="007579E2">
        <w:rPr>
          <w:rFonts w:cs="Calibri"/>
          <w:snapToGrid/>
          <w:szCs w:val="24"/>
          <w:lang w:eastAsia="en-AU"/>
        </w:rPr>
        <w:t xml:space="preserve"> </w:t>
      </w:r>
      <w:r w:rsidRPr="007579E2">
        <w:rPr>
          <w:rFonts w:cs="Calibri"/>
          <w:snapToGrid/>
          <w:szCs w:val="24"/>
          <w:lang w:eastAsia="en-AU"/>
        </w:rPr>
        <w:t xml:space="preserve">870). </w:t>
      </w:r>
    </w:p>
    <w:p w:rsidR="00DD0C65" w:rsidRPr="007579E2" w:rsidRDefault="00DD0C65" w:rsidP="00061E01">
      <w:pPr>
        <w:pStyle w:val="ListParagraph"/>
        <w:widowControl/>
        <w:numPr>
          <w:ilvl w:val="1"/>
          <w:numId w:val="2"/>
        </w:numPr>
        <w:spacing w:before="120"/>
      </w:pPr>
      <w:r w:rsidRPr="007579E2">
        <w:rPr>
          <w:rFonts w:cs="Calibri"/>
          <w:snapToGrid/>
          <w:szCs w:val="24"/>
          <w:lang w:eastAsia="en-AU"/>
        </w:rPr>
        <w:t>Details of the trial presented in the submission are provided in the table below</w:t>
      </w:r>
      <w:r w:rsidR="007579E2">
        <w:rPr>
          <w:rFonts w:cs="Calibri"/>
          <w:snapToGrid/>
          <w:szCs w:val="24"/>
          <w:lang w:eastAsia="en-AU"/>
        </w:rPr>
        <w:t xml:space="preserve">. </w:t>
      </w:r>
    </w:p>
    <w:p w:rsidR="00DD0C65" w:rsidRPr="007579E2" w:rsidRDefault="00DD0C65" w:rsidP="007E6F21">
      <w:pPr>
        <w:pStyle w:val="Caption"/>
        <w:widowControl/>
        <w:rPr>
          <w:rStyle w:val="CommentReference"/>
          <w:b/>
          <w:szCs w:val="18"/>
        </w:rPr>
      </w:pPr>
      <w:r w:rsidRPr="007579E2">
        <w:t xml:space="preserve">Table </w:t>
      </w:r>
      <w:r w:rsidR="0043437E" w:rsidRPr="007579E2">
        <w:t>2</w:t>
      </w:r>
      <w:r w:rsidRPr="007579E2">
        <w:t xml:space="preserve">: </w:t>
      </w:r>
      <w:r w:rsidRPr="007579E2">
        <w:rPr>
          <w:rStyle w:val="CommentReference"/>
          <w:b/>
          <w:szCs w:val="18"/>
        </w:rPr>
        <w:t>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 and associated reports presented in the submission"/>
      </w:tblPr>
      <w:tblGrid>
        <w:gridCol w:w="1129"/>
        <w:gridCol w:w="5765"/>
        <w:gridCol w:w="2123"/>
      </w:tblGrid>
      <w:tr w:rsidR="00DD0C65" w:rsidRPr="007579E2" w:rsidTr="008751AF">
        <w:trPr>
          <w:tblHeader/>
        </w:trPr>
        <w:tc>
          <w:tcPr>
            <w:tcW w:w="626" w:type="pct"/>
            <w:vAlign w:val="center"/>
          </w:tcPr>
          <w:p w:rsidR="00DD0C65" w:rsidRPr="007579E2" w:rsidRDefault="00DD0C65" w:rsidP="007E6F21">
            <w:pPr>
              <w:pStyle w:val="Tabletext"/>
              <w:keepNext/>
              <w:rPr>
                <w:b/>
              </w:rPr>
            </w:pPr>
            <w:r w:rsidRPr="007579E2">
              <w:rPr>
                <w:b/>
              </w:rPr>
              <w:t>Trial ID</w:t>
            </w:r>
          </w:p>
        </w:tc>
        <w:tc>
          <w:tcPr>
            <w:tcW w:w="3197" w:type="pct"/>
            <w:vAlign w:val="center"/>
          </w:tcPr>
          <w:p w:rsidR="00DD0C65" w:rsidRPr="007579E2" w:rsidRDefault="00AB3273" w:rsidP="007E6F21">
            <w:pPr>
              <w:pStyle w:val="Tabletext"/>
              <w:keepNext/>
              <w:jc w:val="center"/>
              <w:rPr>
                <w:b/>
              </w:rPr>
            </w:pPr>
            <w:r w:rsidRPr="007579E2">
              <w:rPr>
                <w:b/>
              </w:rPr>
              <w:t>Protocol title/</w:t>
            </w:r>
            <w:r w:rsidR="00DD0C65" w:rsidRPr="007579E2">
              <w:rPr>
                <w:b/>
              </w:rPr>
              <w:t>Publication title</w:t>
            </w:r>
          </w:p>
        </w:tc>
        <w:tc>
          <w:tcPr>
            <w:tcW w:w="1177" w:type="pct"/>
            <w:vAlign w:val="center"/>
          </w:tcPr>
          <w:p w:rsidR="00DD0C65" w:rsidRPr="007579E2" w:rsidRDefault="00DD0C65" w:rsidP="007E6F21">
            <w:pPr>
              <w:pStyle w:val="Tabletext"/>
              <w:keepNext/>
              <w:jc w:val="center"/>
              <w:rPr>
                <w:b/>
              </w:rPr>
            </w:pPr>
            <w:r w:rsidRPr="007579E2">
              <w:rPr>
                <w:b/>
              </w:rPr>
              <w:t>Publication citation</w:t>
            </w:r>
          </w:p>
        </w:tc>
      </w:tr>
      <w:tr w:rsidR="00DD0C65" w:rsidRPr="007579E2" w:rsidTr="008751AF">
        <w:tc>
          <w:tcPr>
            <w:tcW w:w="626" w:type="pct"/>
            <w:tcBorders>
              <w:bottom w:val="nil"/>
            </w:tcBorders>
          </w:tcPr>
          <w:p w:rsidR="00DD0C65" w:rsidRPr="007579E2" w:rsidRDefault="00DD0C65" w:rsidP="007E6F21">
            <w:pPr>
              <w:pStyle w:val="Tabletext"/>
              <w:keepNext/>
            </w:pPr>
            <w:r w:rsidRPr="007579E2">
              <w:t xml:space="preserve">COMBI-AD </w:t>
            </w:r>
          </w:p>
        </w:tc>
        <w:tc>
          <w:tcPr>
            <w:tcW w:w="3197" w:type="pct"/>
            <w:tcBorders>
              <w:bottom w:val="nil"/>
            </w:tcBorders>
            <w:vAlign w:val="center"/>
          </w:tcPr>
          <w:p w:rsidR="00DD0C65" w:rsidRPr="007579E2" w:rsidRDefault="00DD0C65" w:rsidP="007E6F21">
            <w:pPr>
              <w:pStyle w:val="Tabletext"/>
              <w:keepNext/>
              <w:rPr>
                <w:szCs w:val="18"/>
              </w:rPr>
            </w:pPr>
            <w:r w:rsidRPr="007579E2">
              <w:rPr>
                <w:szCs w:val="18"/>
              </w:rPr>
              <w:t xml:space="preserve">COMBI-AD: A Phase III randomized double-blind study of </w:t>
            </w:r>
            <w:proofErr w:type="spellStart"/>
            <w:r w:rsidRPr="007579E2">
              <w:rPr>
                <w:szCs w:val="18"/>
              </w:rPr>
              <w:t>dabrafenib</w:t>
            </w:r>
            <w:proofErr w:type="spellEnd"/>
            <w:r w:rsidRPr="007579E2">
              <w:rPr>
                <w:szCs w:val="18"/>
              </w:rPr>
              <w:t xml:space="preserve"> (GSK2118436) in </w:t>
            </w:r>
            <w:proofErr w:type="spellStart"/>
            <w:r w:rsidRPr="007579E2">
              <w:rPr>
                <w:szCs w:val="18"/>
              </w:rPr>
              <w:t>COMBInation</w:t>
            </w:r>
            <w:proofErr w:type="spellEnd"/>
            <w:r w:rsidRPr="007579E2">
              <w:rPr>
                <w:szCs w:val="18"/>
              </w:rPr>
              <w:t xml:space="preserve"> with </w:t>
            </w:r>
            <w:proofErr w:type="spellStart"/>
            <w:r w:rsidRPr="007579E2">
              <w:rPr>
                <w:szCs w:val="18"/>
              </w:rPr>
              <w:t>trametinib</w:t>
            </w:r>
            <w:proofErr w:type="spellEnd"/>
            <w:r w:rsidRPr="007579E2">
              <w:rPr>
                <w:szCs w:val="18"/>
              </w:rPr>
              <w:t xml:space="preserve"> (GSK1120212) versus two placebos in the </w:t>
            </w:r>
            <w:proofErr w:type="spellStart"/>
            <w:r w:rsidRPr="007579E2">
              <w:rPr>
                <w:szCs w:val="18"/>
              </w:rPr>
              <w:t>ADjuvant</w:t>
            </w:r>
            <w:proofErr w:type="spellEnd"/>
            <w:r w:rsidRPr="007579E2">
              <w:rPr>
                <w:szCs w:val="18"/>
              </w:rPr>
              <w:t xml:space="preserve"> treatment of high-risk BRAF V600 mutation-positive melanoma after surgical resection.</w:t>
            </w:r>
          </w:p>
        </w:tc>
        <w:tc>
          <w:tcPr>
            <w:tcW w:w="1177" w:type="pct"/>
            <w:tcBorders>
              <w:bottom w:val="nil"/>
            </w:tcBorders>
          </w:tcPr>
          <w:p w:rsidR="00DD0C65" w:rsidRPr="007579E2" w:rsidRDefault="00DD0C65" w:rsidP="007E6F21">
            <w:pPr>
              <w:pStyle w:val="Tabletext"/>
              <w:keepNext/>
              <w:rPr>
                <w:rFonts w:ascii="Times" w:hAnsi="Times"/>
              </w:rPr>
            </w:pPr>
            <w:r w:rsidRPr="007579E2">
              <w:t>November 2017</w:t>
            </w:r>
          </w:p>
        </w:tc>
      </w:tr>
      <w:tr w:rsidR="00DD0C65" w:rsidRPr="007579E2" w:rsidTr="008751AF">
        <w:tc>
          <w:tcPr>
            <w:tcW w:w="626" w:type="pct"/>
            <w:tcBorders>
              <w:top w:val="nil"/>
              <w:bottom w:val="nil"/>
            </w:tcBorders>
          </w:tcPr>
          <w:p w:rsidR="00DD0C65" w:rsidRPr="007579E2" w:rsidRDefault="00DD0C65" w:rsidP="007E6F21">
            <w:pPr>
              <w:pStyle w:val="Tabletext"/>
              <w:keepNext/>
              <w:jc w:val="center"/>
            </w:pPr>
          </w:p>
        </w:tc>
        <w:tc>
          <w:tcPr>
            <w:tcW w:w="3197" w:type="pct"/>
            <w:tcBorders>
              <w:top w:val="nil"/>
              <w:bottom w:val="nil"/>
            </w:tcBorders>
            <w:vAlign w:val="center"/>
          </w:tcPr>
          <w:p w:rsidR="00DD0C65" w:rsidRPr="007579E2" w:rsidRDefault="00DD0C65" w:rsidP="007E6F21">
            <w:pPr>
              <w:pStyle w:val="Tabletext"/>
              <w:keepNext/>
              <w:rPr>
                <w:szCs w:val="18"/>
                <w:lang w:eastAsia="en-AU"/>
              </w:rPr>
            </w:pPr>
          </w:p>
          <w:p w:rsidR="00DD0C65" w:rsidRPr="007579E2" w:rsidRDefault="00DD0C65" w:rsidP="007E6F21">
            <w:pPr>
              <w:pStyle w:val="Tabletext"/>
              <w:keepNext/>
              <w:rPr>
                <w:szCs w:val="18"/>
                <w:lang w:eastAsia="en-AU"/>
              </w:rPr>
            </w:pPr>
            <w:r w:rsidRPr="007579E2">
              <w:rPr>
                <w:szCs w:val="18"/>
                <w:lang w:eastAsia="en-AU"/>
              </w:rPr>
              <w:t xml:space="preserve">Long G, </w:t>
            </w:r>
            <w:proofErr w:type="spellStart"/>
            <w:r w:rsidRPr="007579E2">
              <w:rPr>
                <w:szCs w:val="18"/>
                <w:lang w:eastAsia="en-AU"/>
              </w:rPr>
              <w:t>Hauschild</w:t>
            </w:r>
            <w:proofErr w:type="spellEnd"/>
            <w:r w:rsidRPr="007579E2">
              <w:rPr>
                <w:szCs w:val="18"/>
                <w:lang w:eastAsia="en-AU"/>
              </w:rPr>
              <w:t xml:space="preserve"> A et al. Adjuvant </w:t>
            </w:r>
            <w:proofErr w:type="spellStart"/>
            <w:r w:rsidRPr="007579E2">
              <w:rPr>
                <w:szCs w:val="18"/>
                <w:lang w:eastAsia="en-AU"/>
              </w:rPr>
              <w:t>Dabrafenib</w:t>
            </w:r>
            <w:proofErr w:type="spellEnd"/>
            <w:r w:rsidRPr="007579E2">
              <w:rPr>
                <w:szCs w:val="18"/>
                <w:lang w:eastAsia="en-AU"/>
              </w:rPr>
              <w:t xml:space="preserve"> plus </w:t>
            </w:r>
            <w:proofErr w:type="spellStart"/>
            <w:r w:rsidRPr="007579E2">
              <w:rPr>
                <w:szCs w:val="18"/>
                <w:lang w:eastAsia="en-AU"/>
              </w:rPr>
              <w:t>Trametinib</w:t>
            </w:r>
            <w:proofErr w:type="spellEnd"/>
            <w:r w:rsidRPr="007579E2">
              <w:rPr>
                <w:szCs w:val="18"/>
                <w:lang w:eastAsia="en-AU"/>
              </w:rPr>
              <w:t xml:space="preserve"> in Stage III </w:t>
            </w:r>
            <w:r w:rsidRPr="007579E2">
              <w:rPr>
                <w:i/>
                <w:szCs w:val="18"/>
                <w:lang w:eastAsia="en-AU"/>
              </w:rPr>
              <w:t>BRAF</w:t>
            </w:r>
            <w:r w:rsidRPr="007579E2">
              <w:rPr>
                <w:szCs w:val="18"/>
                <w:lang w:eastAsia="en-AU"/>
              </w:rPr>
              <w:t xml:space="preserve">-Mutated Melanoma. </w:t>
            </w:r>
          </w:p>
        </w:tc>
        <w:tc>
          <w:tcPr>
            <w:tcW w:w="1177" w:type="pct"/>
            <w:tcBorders>
              <w:top w:val="nil"/>
              <w:bottom w:val="nil"/>
            </w:tcBorders>
            <w:vAlign w:val="center"/>
          </w:tcPr>
          <w:p w:rsidR="00DD0C65" w:rsidRPr="007579E2" w:rsidRDefault="00DD0C65" w:rsidP="007E6F21">
            <w:pPr>
              <w:pStyle w:val="Tabletext"/>
              <w:keepNext/>
              <w:rPr>
                <w:i/>
                <w:szCs w:val="18"/>
                <w:lang w:eastAsia="en-AU"/>
              </w:rPr>
            </w:pPr>
          </w:p>
          <w:p w:rsidR="00DD0C65" w:rsidRPr="007579E2" w:rsidRDefault="00DD0C65" w:rsidP="007E6F21">
            <w:pPr>
              <w:pStyle w:val="Tabletext"/>
              <w:keepNext/>
              <w:rPr>
                <w:szCs w:val="18"/>
                <w:lang w:eastAsia="en-AU"/>
              </w:rPr>
            </w:pPr>
            <w:r w:rsidRPr="007579E2">
              <w:rPr>
                <w:i/>
                <w:szCs w:val="18"/>
                <w:lang w:eastAsia="en-AU"/>
              </w:rPr>
              <w:t>NEJM</w:t>
            </w:r>
            <w:r w:rsidRPr="007579E2">
              <w:rPr>
                <w:szCs w:val="18"/>
                <w:lang w:eastAsia="en-AU"/>
              </w:rPr>
              <w:t xml:space="preserve"> 2017; 377(19):1813-1823.</w:t>
            </w:r>
          </w:p>
        </w:tc>
      </w:tr>
      <w:tr w:rsidR="00DD0C65" w:rsidRPr="007579E2" w:rsidTr="008751AF">
        <w:tc>
          <w:tcPr>
            <w:tcW w:w="626" w:type="pct"/>
            <w:tcBorders>
              <w:top w:val="nil"/>
              <w:bottom w:val="single" w:sz="4" w:space="0" w:color="auto"/>
            </w:tcBorders>
            <w:vAlign w:val="center"/>
          </w:tcPr>
          <w:p w:rsidR="00DD0C65" w:rsidRPr="007579E2" w:rsidRDefault="00DD0C65" w:rsidP="007E6F21">
            <w:pPr>
              <w:pStyle w:val="Tabletext"/>
              <w:keepNext/>
            </w:pPr>
          </w:p>
        </w:tc>
        <w:tc>
          <w:tcPr>
            <w:tcW w:w="3197" w:type="pct"/>
            <w:tcBorders>
              <w:top w:val="nil"/>
              <w:bottom w:val="single" w:sz="4" w:space="0" w:color="auto"/>
            </w:tcBorders>
            <w:vAlign w:val="center"/>
          </w:tcPr>
          <w:p w:rsidR="00DD0C65" w:rsidRPr="007579E2" w:rsidRDefault="00DD0C65" w:rsidP="007E6F21">
            <w:pPr>
              <w:pStyle w:val="Tabletext"/>
              <w:keepNext/>
              <w:rPr>
                <w:szCs w:val="18"/>
                <w:lang w:eastAsia="en-AU"/>
              </w:rPr>
            </w:pPr>
          </w:p>
          <w:p w:rsidR="00DD0C65" w:rsidRPr="007579E2" w:rsidRDefault="00DD0C65" w:rsidP="007E6F21">
            <w:pPr>
              <w:pStyle w:val="Tabletext"/>
              <w:keepNext/>
              <w:rPr>
                <w:szCs w:val="18"/>
                <w:lang w:eastAsia="en-AU"/>
              </w:rPr>
            </w:pPr>
            <w:proofErr w:type="spellStart"/>
            <w:r w:rsidRPr="007579E2">
              <w:rPr>
                <w:szCs w:val="18"/>
                <w:lang w:eastAsia="en-AU"/>
              </w:rPr>
              <w:t>Hauschild</w:t>
            </w:r>
            <w:proofErr w:type="spellEnd"/>
            <w:r w:rsidRPr="007579E2">
              <w:rPr>
                <w:szCs w:val="18"/>
                <w:lang w:eastAsia="en-AU"/>
              </w:rPr>
              <w:t xml:space="preserve"> A, </w:t>
            </w:r>
            <w:proofErr w:type="spellStart"/>
            <w:r w:rsidRPr="007579E2">
              <w:rPr>
                <w:szCs w:val="18"/>
                <w:lang w:eastAsia="en-AU"/>
              </w:rPr>
              <w:t>Dummer</w:t>
            </w:r>
            <w:proofErr w:type="spellEnd"/>
            <w:r w:rsidRPr="007579E2">
              <w:rPr>
                <w:szCs w:val="18"/>
                <w:lang w:eastAsia="en-AU"/>
              </w:rPr>
              <w:t xml:space="preserve"> R et al. Longer Follow-Up Confirms Relapse-Free Survival Benefit With Adjuvant </w:t>
            </w:r>
            <w:proofErr w:type="spellStart"/>
            <w:r w:rsidRPr="007579E2">
              <w:rPr>
                <w:szCs w:val="18"/>
                <w:lang w:eastAsia="en-AU"/>
              </w:rPr>
              <w:t>Dabrafenib</w:t>
            </w:r>
            <w:proofErr w:type="spellEnd"/>
            <w:r w:rsidRPr="007579E2">
              <w:rPr>
                <w:szCs w:val="18"/>
                <w:lang w:eastAsia="en-AU"/>
              </w:rPr>
              <w:t xml:space="preserve"> Plus </w:t>
            </w:r>
            <w:proofErr w:type="spellStart"/>
            <w:r w:rsidRPr="007579E2">
              <w:rPr>
                <w:szCs w:val="18"/>
                <w:lang w:eastAsia="en-AU"/>
              </w:rPr>
              <w:t>Trametinib</w:t>
            </w:r>
            <w:proofErr w:type="spellEnd"/>
            <w:r w:rsidRPr="007579E2">
              <w:rPr>
                <w:szCs w:val="18"/>
                <w:lang w:eastAsia="en-AU"/>
              </w:rPr>
              <w:t xml:space="preserve"> in Patients With Resected </w:t>
            </w:r>
            <w:r w:rsidRPr="007579E2">
              <w:rPr>
                <w:i/>
                <w:szCs w:val="18"/>
                <w:lang w:eastAsia="en-AU"/>
              </w:rPr>
              <w:t>BRAF</w:t>
            </w:r>
            <w:r w:rsidRPr="007579E2">
              <w:rPr>
                <w:szCs w:val="18"/>
                <w:lang w:eastAsia="en-AU"/>
              </w:rPr>
              <w:t xml:space="preserve"> V600-Mutant Stage III Melanoma. </w:t>
            </w:r>
          </w:p>
          <w:p w:rsidR="00DD0C65" w:rsidRPr="007579E2" w:rsidRDefault="00DD0C65" w:rsidP="007E6F21">
            <w:pPr>
              <w:pStyle w:val="Tabletext"/>
              <w:keepNext/>
              <w:rPr>
                <w:szCs w:val="18"/>
                <w:lang w:eastAsia="en-AU"/>
              </w:rPr>
            </w:pPr>
          </w:p>
          <w:p w:rsidR="00DD0C65" w:rsidRPr="007579E2" w:rsidRDefault="00DD0C65" w:rsidP="007E6F21">
            <w:pPr>
              <w:pStyle w:val="Tabletext"/>
              <w:keepNext/>
              <w:rPr>
                <w:szCs w:val="18"/>
                <w:lang w:eastAsia="en-AU"/>
              </w:rPr>
            </w:pPr>
            <w:r w:rsidRPr="007579E2">
              <w:rPr>
                <w:szCs w:val="18"/>
                <w:lang w:eastAsia="en-AU"/>
              </w:rPr>
              <w:t xml:space="preserve">Long G, </w:t>
            </w:r>
            <w:proofErr w:type="spellStart"/>
            <w:r w:rsidRPr="007579E2">
              <w:rPr>
                <w:szCs w:val="18"/>
                <w:lang w:eastAsia="en-AU"/>
              </w:rPr>
              <w:t>Hauschild</w:t>
            </w:r>
            <w:proofErr w:type="spellEnd"/>
            <w:r w:rsidRPr="007579E2">
              <w:rPr>
                <w:szCs w:val="18"/>
                <w:lang w:eastAsia="en-AU"/>
              </w:rPr>
              <w:t xml:space="preserve"> A et al. Efficacy outcomes in the phase 3 COMBI-AD study of adjuvant </w:t>
            </w:r>
            <w:proofErr w:type="spellStart"/>
            <w:r w:rsidRPr="007579E2">
              <w:rPr>
                <w:szCs w:val="18"/>
                <w:lang w:eastAsia="en-AU"/>
              </w:rPr>
              <w:t>dabrafenib</w:t>
            </w:r>
            <w:proofErr w:type="spellEnd"/>
            <w:r w:rsidRPr="007579E2">
              <w:rPr>
                <w:szCs w:val="18"/>
                <w:lang w:eastAsia="en-AU"/>
              </w:rPr>
              <w:t xml:space="preserve"> (D) plus </w:t>
            </w:r>
            <w:proofErr w:type="spellStart"/>
            <w:r w:rsidRPr="007579E2">
              <w:rPr>
                <w:szCs w:val="18"/>
                <w:lang w:eastAsia="en-AU"/>
              </w:rPr>
              <w:t>trametinib</w:t>
            </w:r>
            <w:proofErr w:type="spellEnd"/>
            <w:r w:rsidRPr="007579E2">
              <w:rPr>
                <w:szCs w:val="18"/>
                <w:lang w:eastAsia="en-AU"/>
              </w:rPr>
              <w:t xml:space="preserve"> (T) versus placebo (PBO) in patients (pts) with stage III BRAF V600E/K-mutant melanoma. (Abstract).</w:t>
            </w:r>
          </w:p>
          <w:p w:rsidR="00DD0C65" w:rsidRPr="007579E2" w:rsidRDefault="00DD0C65" w:rsidP="007E6F21">
            <w:pPr>
              <w:pStyle w:val="Tabletext"/>
              <w:keepNext/>
              <w:rPr>
                <w:szCs w:val="18"/>
                <w:lang w:eastAsia="en-AU"/>
              </w:rPr>
            </w:pPr>
          </w:p>
          <w:p w:rsidR="00DD0C65" w:rsidRPr="007579E2" w:rsidRDefault="00DD0C65" w:rsidP="007E6F21">
            <w:pPr>
              <w:pStyle w:val="Tabletext"/>
              <w:keepNext/>
              <w:rPr>
                <w:szCs w:val="18"/>
                <w:lang w:eastAsia="en-AU"/>
              </w:rPr>
            </w:pPr>
            <w:proofErr w:type="spellStart"/>
            <w:r w:rsidRPr="007579E2">
              <w:rPr>
                <w:szCs w:val="18"/>
                <w:lang w:eastAsia="en-AU"/>
              </w:rPr>
              <w:t>Hauschild</w:t>
            </w:r>
            <w:proofErr w:type="spellEnd"/>
            <w:r w:rsidRPr="007579E2">
              <w:rPr>
                <w:szCs w:val="18"/>
                <w:lang w:eastAsia="en-AU"/>
              </w:rPr>
              <w:t xml:space="preserve"> A, </w:t>
            </w:r>
            <w:proofErr w:type="spellStart"/>
            <w:r w:rsidRPr="007579E2">
              <w:rPr>
                <w:szCs w:val="18"/>
                <w:lang w:eastAsia="en-AU"/>
              </w:rPr>
              <w:t>Santinami</w:t>
            </w:r>
            <w:proofErr w:type="spellEnd"/>
            <w:r w:rsidRPr="007579E2">
              <w:rPr>
                <w:szCs w:val="18"/>
                <w:lang w:eastAsia="en-AU"/>
              </w:rPr>
              <w:t xml:space="preserve"> M et al. COMBI-AD: Adjuvant </w:t>
            </w:r>
            <w:proofErr w:type="spellStart"/>
            <w:r w:rsidRPr="007579E2">
              <w:rPr>
                <w:szCs w:val="18"/>
                <w:lang w:eastAsia="en-AU"/>
              </w:rPr>
              <w:t>dabrafenib</w:t>
            </w:r>
            <w:proofErr w:type="spellEnd"/>
            <w:r w:rsidRPr="007579E2">
              <w:rPr>
                <w:szCs w:val="18"/>
                <w:lang w:eastAsia="en-AU"/>
              </w:rPr>
              <w:t xml:space="preserve"> (D) plus </w:t>
            </w:r>
            <w:proofErr w:type="spellStart"/>
            <w:r w:rsidRPr="007579E2">
              <w:rPr>
                <w:szCs w:val="18"/>
                <w:lang w:eastAsia="en-AU"/>
              </w:rPr>
              <w:t>trametinib</w:t>
            </w:r>
            <w:proofErr w:type="spellEnd"/>
            <w:r w:rsidRPr="007579E2">
              <w:rPr>
                <w:szCs w:val="18"/>
                <w:lang w:eastAsia="en-AU"/>
              </w:rPr>
              <w:t xml:space="preserve"> (T) for resected stage III BRAF V600/K-mutant melanoma. </w:t>
            </w:r>
          </w:p>
        </w:tc>
        <w:tc>
          <w:tcPr>
            <w:tcW w:w="1177" w:type="pct"/>
            <w:tcBorders>
              <w:top w:val="nil"/>
              <w:bottom w:val="single" w:sz="4" w:space="0" w:color="auto"/>
            </w:tcBorders>
          </w:tcPr>
          <w:p w:rsidR="00DD0C65" w:rsidRPr="007579E2" w:rsidRDefault="00DD0C65" w:rsidP="007E6F21">
            <w:pPr>
              <w:pStyle w:val="Tabletext"/>
              <w:keepNext/>
              <w:rPr>
                <w:i/>
                <w:szCs w:val="18"/>
                <w:lang w:eastAsia="en-AU"/>
              </w:rPr>
            </w:pPr>
          </w:p>
          <w:p w:rsidR="00DD0C65" w:rsidRPr="007579E2" w:rsidRDefault="00DD0C65" w:rsidP="007E6F21">
            <w:pPr>
              <w:pStyle w:val="Tabletext"/>
              <w:keepNext/>
            </w:pPr>
            <w:r w:rsidRPr="007579E2">
              <w:rPr>
                <w:i/>
                <w:szCs w:val="18"/>
                <w:lang w:eastAsia="en-AU"/>
              </w:rPr>
              <w:t xml:space="preserve">J </w:t>
            </w:r>
            <w:proofErr w:type="spellStart"/>
            <w:r w:rsidRPr="007579E2">
              <w:rPr>
                <w:i/>
                <w:szCs w:val="18"/>
                <w:lang w:eastAsia="en-AU"/>
              </w:rPr>
              <w:t>Clin</w:t>
            </w:r>
            <w:proofErr w:type="spellEnd"/>
            <w:r w:rsidRPr="007579E2">
              <w:rPr>
                <w:i/>
                <w:szCs w:val="18"/>
                <w:lang w:eastAsia="en-AU"/>
              </w:rPr>
              <w:t xml:space="preserve"> </w:t>
            </w:r>
            <w:proofErr w:type="spellStart"/>
            <w:r w:rsidRPr="007579E2">
              <w:rPr>
                <w:i/>
                <w:szCs w:val="18"/>
                <w:lang w:eastAsia="en-AU"/>
              </w:rPr>
              <w:t>Oncol</w:t>
            </w:r>
            <w:proofErr w:type="spellEnd"/>
            <w:r w:rsidRPr="007579E2">
              <w:rPr>
                <w:i/>
                <w:szCs w:val="18"/>
                <w:lang w:eastAsia="en-AU"/>
              </w:rPr>
              <w:t xml:space="preserve"> </w:t>
            </w:r>
            <w:r w:rsidRPr="007579E2">
              <w:rPr>
                <w:szCs w:val="18"/>
                <w:lang w:eastAsia="en-AU"/>
              </w:rPr>
              <w:t xml:space="preserve">2018; </w:t>
            </w:r>
            <w:r w:rsidRPr="007579E2">
              <w:t>DOI: 10.1200/JCO.18.01219.</w:t>
            </w:r>
          </w:p>
          <w:p w:rsidR="00DD0C65" w:rsidRPr="007579E2" w:rsidRDefault="00DD0C65" w:rsidP="007E6F21">
            <w:pPr>
              <w:pStyle w:val="Tabletext"/>
              <w:keepNext/>
            </w:pPr>
          </w:p>
          <w:p w:rsidR="00543746" w:rsidRPr="007579E2" w:rsidRDefault="00543746" w:rsidP="007E6F21">
            <w:pPr>
              <w:pStyle w:val="Tabletext"/>
              <w:keepNext/>
              <w:rPr>
                <w:i/>
                <w:szCs w:val="18"/>
                <w:lang w:eastAsia="en-AU"/>
              </w:rPr>
            </w:pPr>
          </w:p>
          <w:p w:rsidR="00DD0C65" w:rsidRPr="007579E2" w:rsidRDefault="00DD0C65" w:rsidP="007E6F21">
            <w:pPr>
              <w:pStyle w:val="Tabletext"/>
              <w:keepNext/>
              <w:rPr>
                <w:szCs w:val="18"/>
                <w:lang w:eastAsia="en-AU"/>
              </w:rPr>
            </w:pPr>
            <w:r w:rsidRPr="007579E2">
              <w:rPr>
                <w:i/>
                <w:szCs w:val="18"/>
                <w:lang w:eastAsia="en-AU"/>
              </w:rPr>
              <w:t xml:space="preserve">Pigment Cell and Melanoma Research </w:t>
            </w:r>
            <w:r w:rsidRPr="007579E2">
              <w:rPr>
                <w:szCs w:val="18"/>
                <w:lang w:eastAsia="en-AU"/>
              </w:rPr>
              <w:t>2018; 31(1):182-183.</w:t>
            </w:r>
          </w:p>
          <w:p w:rsidR="00DD0C65" w:rsidRPr="007579E2" w:rsidRDefault="00DD0C65" w:rsidP="007E6F21">
            <w:pPr>
              <w:pStyle w:val="Tabletext"/>
              <w:keepNext/>
              <w:rPr>
                <w:szCs w:val="18"/>
                <w:lang w:eastAsia="en-AU"/>
              </w:rPr>
            </w:pPr>
          </w:p>
          <w:p w:rsidR="00DD0C65" w:rsidRPr="007579E2" w:rsidRDefault="00DD0C65" w:rsidP="007E6F21">
            <w:pPr>
              <w:pStyle w:val="Tabletext"/>
              <w:keepNext/>
              <w:rPr>
                <w:szCs w:val="18"/>
                <w:lang w:eastAsia="en-AU"/>
              </w:rPr>
            </w:pPr>
            <w:r w:rsidRPr="007579E2">
              <w:rPr>
                <w:i/>
                <w:szCs w:val="18"/>
                <w:lang w:eastAsia="en-AU"/>
              </w:rPr>
              <w:t xml:space="preserve">Ann </w:t>
            </w:r>
            <w:proofErr w:type="spellStart"/>
            <w:r w:rsidRPr="007579E2">
              <w:rPr>
                <w:i/>
                <w:szCs w:val="18"/>
                <w:lang w:eastAsia="en-AU"/>
              </w:rPr>
              <w:t>Oncol</w:t>
            </w:r>
            <w:proofErr w:type="spellEnd"/>
            <w:r w:rsidRPr="007579E2">
              <w:rPr>
                <w:i/>
                <w:szCs w:val="18"/>
                <w:lang w:eastAsia="en-AU"/>
              </w:rPr>
              <w:t xml:space="preserve"> </w:t>
            </w:r>
            <w:r w:rsidRPr="007579E2">
              <w:rPr>
                <w:szCs w:val="18"/>
                <w:lang w:eastAsia="en-AU"/>
              </w:rPr>
              <w:t>2017; 28(Supplement 5):631.</w:t>
            </w:r>
          </w:p>
        </w:tc>
      </w:tr>
    </w:tbl>
    <w:p w:rsidR="00DD0C65" w:rsidRPr="007579E2" w:rsidRDefault="00DD0C65" w:rsidP="007E6F21">
      <w:pPr>
        <w:pStyle w:val="TableFooter"/>
        <w:widowControl/>
      </w:pPr>
      <w:r w:rsidRPr="007579E2">
        <w:t>Source: Table 2.2-1, p39 of the submission.</w:t>
      </w:r>
    </w:p>
    <w:p w:rsidR="007F1017" w:rsidRPr="007579E2" w:rsidRDefault="007F1017" w:rsidP="007E6F21">
      <w:pPr>
        <w:pStyle w:val="Caption"/>
        <w:widowControl/>
        <w:rPr>
          <w:rStyle w:val="CommentReference"/>
          <w:b/>
          <w:szCs w:val="18"/>
        </w:rPr>
      </w:pPr>
    </w:p>
    <w:p w:rsidR="00DD0C65" w:rsidRPr="007579E2" w:rsidRDefault="00DD0C65" w:rsidP="007E6F21">
      <w:pPr>
        <w:pStyle w:val="ListParagraph"/>
        <w:widowControl/>
        <w:numPr>
          <w:ilvl w:val="1"/>
          <w:numId w:val="2"/>
        </w:numPr>
      </w:pPr>
      <w:r w:rsidRPr="007579E2">
        <w:t xml:space="preserve">The key features of the direct randomised trial are summarised in the table below. </w:t>
      </w:r>
    </w:p>
    <w:p w:rsidR="00DD0C65" w:rsidRPr="007579E2" w:rsidRDefault="00D324F7" w:rsidP="007E6F21">
      <w:pPr>
        <w:pStyle w:val="Caption"/>
        <w:widowControl/>
        <w:rPr>
          <w:rStyle w:val="CommentReference"/>
          <w:b/>
          <w:szCs w:val="18"/>
        </w:rPr>
      </w:pPr>
      <w:r>
        <w:br w:type="column"/>
      </w:r>
      <w:r w:rsidR="00DD0C65" w:rsidRPr="007579E2">
        <w:lastRenderedPageBreak/>
        <w:t xml:space="preserve">Table </w:t>
      </w:r>
      <w:r w:rsidR="0043437E" w:rsidRPr="007579E2">
        <w:t>3</w:t>
      </w:r>
      <w:r w:rsidR="00DD0C65" w:rsidRPr="007579E2">
        <w:t xml:space="preserve">: </w:t>
      </w:r>
      <w:r w:rsidR="00DD0C65" w:rsidRPr="007579E2">
        <w:rPr>
          <w:rStyle w:val="CommentReference"/>
          <w:b/>
          <w:szCs w:val="18"/>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129"/>
        <w:gridCol w:w="709"/>
        <w:gridCol w:w="1277"/>
        <w:gridCol w:w="849"/>
        <w:gridCol w:w="2694"/>
        <w:gridCol w:w="994"/>
        <w:gridCol w:w="1365"/>
      </w:tblGrid>
      <w:tr w:rsidR="00DD0C65" w:rsidRPr="007579E2" w:rsidTr="005B4A89">
        <w:tc>
          <w:tcPr>
            <w:tcW w:w="626" w:type="pct"/>
            <w:shd w:val="clear" w:color="auto" w:fill="auto"/>
            <w:vAlign w:val="center"/>
          </w:tcPr>
          <w:p w:rsidR="00DD0C65" w:rsidRPr="007579E2" w:rsidRDefault="00DD0C65" w:rsidP="007E6F21">
            <w:pPr>
              <w:pStyle w:val="Tabletext"/>
              <w:rPr>
                <w:b/>
              </w:rPr>
            </w:pPr>
            <w:r w:rsidRPr="007579E2">
              <w:rPr>
                <w:b/>
              </w:rPr>
              <w:t>Trial</w:t>
            </w:r>
          </w:p>
        </w:tc>
        <w:tc>
          <w:tcPr>
            <w:tcW w:w="393" w:type="pct"/>
            <w:shd w:val="clear" w:color="auto" w:fill="auto"/>
            <w:vAlign w:val="center"/>
          </w:tcPr>
          <w:p w:rsidR="00DD0C65" w:rsidRPr="007579E2" w:rsidRDefault="00DD0C65" w:rsidP="007E6F21">
            <w:pPr>
              <w:pStyle w:val="Tabletext"/>
              <w:jc w:val="center"/>
              <w:rPr>
                <w:b/>
              </w:rPr>
            </w:pPr>
            <w:r w:rsidRPr="007579E2">
              <w:rPr>
                <w:b/>
              </w:rPr>
              <w:t>N</w:t>
            </w:r>
          </w:p>
        </w:tc>
        <w:tc>
          <w:tcPr>
            <w:tcW w:w="708" w:type="pct"/>
            <w:shd w:val="clear" w:color="auto" w:fill="auto"/>
            <w:vAlign w:val="center"/>
          </w:tcPr>
          <w:p w:rsidR="00AB3273" w:rsidRPr="007579E2" w:rsidRDefault="00DD0C65" w:rsidP="007E6F21">
            <w:pPr>
              <w:pStyle w:val="Tabletext"/>
              <w:jc w:val="center"/>
              <w:rPr>
                <w:b/>
              </w:rPr>
            </w:pPr>
            <w:r w:rsidRPr="007579E2">
              <w:rPr>
                <w:b/>
              </w:rPr>
              <w:t>Design/</w:t>
            </w:r>
          </w:p>
          <w:p w:rsidR="00DD0C65" w:rsidRPr="007579E2" w:rsidRDefault="00AB3273" w:rsidP="007E6F21">
            <w:pPr>
              <w:pStyle w:val="Tabletext"/>
              <w:jc w:val="center"/>
              <w:rPr>
                <w:b/>
              </w:rPr>
            </w:pPr>
            <w:r w:rsidRPr="007579E2">
              <w:rPr>
                <w:b/>
              </w:rPr>
              <w:t>D</w:t>
            </w:r>
            <w:r w:rsidR="00DD0C65" w:rsidRPr="007579E2">
              <w:rPr>
                <w:b/>
              </w:rPr>
              <w:t>uration</w:t>
            </w:r>
          </w:p>
        </w:tc>
        <w:tc>
          <w:tcPr>
            <w:tcW w:w="471" w:type="pct"/>
            <w:shd w:val="clear" w:color="auto" w:fill="auto"/>
            <w:vAlign w:val="center"/>
          </w:tcPr>
          <w:p w:rsidR="00DD0C65" w:rsidRPr="007579E2" w:rsidRDefault="00DD0C65" w:rsidP="007E6F21">
            <w:pPr>
              <w:pStyle w:val="Tabletext"/>
              <w:jc w:val="center"/>
              <w:rPr>
                <w:b/>
              </w:rPr>
            </w:pPr>
            <w:r w:rsidRPr="007579E2">
              <w:rPr>
                <w:b/>
              </w:rPr>
              <w:t>Risk of bias</w:t>
            </w:r>
          </w:p>
        </w:tc>
        <w:tc>
          <w:tcPr>
            <w:tcW w:w="1494" w:type="pct"/>
            <w:shd w:val="clear" w:color="auto" w:fill="auto"/>
            <w:vAlign w:val="center"/>
          </w:tcPr>
          <w:p w:rsidR="00DD0C65" w:rsidRPr="007579E2" w:rsidRDefault="00DD0C65" w:rsidP="007E6F21">
            <w:pPr>
              <w:pStyle w:val="Tabletext"/>
              <w:jc w:val="center"/>
              <w:rPr>
                <w:b/>
              </w:rPr>
            </w:pPr>
            <w:r w:rsidRPr="007579E2">
              <w:rPr>
                <w:b/>
              </w:rPr>
              <w:t>Patient population</w:t>
            </w:r>
          </w:p>
        </w:tc>
        <w:tc>
          <w:tcPr>
            <w:tcW w:w="551" w:type="pct"/>
            <w:shd w:val="clear" w:color="auto" w:fill="auto"/>
            <w:vAlign w:val="center"/>
          </w:tcPr>
          <w:p w:rsidR="00DD0C65" w:rsidRPr="007579E2" w:rsidRDefault="00DD0C65" w:rsidP="007E6F21">
            <w:pPr>
              <w:pStyle w:val="Tabletext"/>
              <w:jc w:val="center"/>
              <w:rPr>
                <w:b/>
              </w:rPr>
            </w:pPr>
            <w:r w:rsidRPr="007579E2">
              <w:rPr>
                <w:b/>
              </w:rPr>
              <w:t>Outcomes</w:t>
            </w:r>
          </w:p>
        </w:tc>
        <w:tc>
          <w:tcPr>
            <w:tcW w:w="757" w:type="pct"/>
            <w:shd w:val="clear" w:color="auto" w:fill="auto"/>
            <w:vAlign w:val="center"/>
          </w:tcPr>
          <w:p w:rsidR="00DD0C65" w:rsidRPr="007579E2" w:rsidRDefault="00DD0C65" w:rsidP="007E6F21">
            <w:pPr>
              <w:pStyle w:val="Tabletext"/>
              <w:jc w:val="center"/>
              <w:rPr>
                <w:b/>
              </w:rPr>
            </w:pPr>
            <w:r w:rsidRPr="007579E2">
              <w:rPr>
                <w:b/>
              </w:rPr>
              <w:t>Use in modelled evaluation</w:t>
            </w:r>
          </w:p>
        </w:tc>
      </w:tr>
      <w:tr w:rsidR="00DD0C65" w:rsidRPr="007579E2" w:rsidTr="00342770">
        <w:tc>
          <w:tcPr>
            <w:tcW w:w="5000" w:type="pct"/>
            <w:gridSpan w:val="7"/>
            <w:shd w:val="clear" w:color="auto" w:fill="auto"/>
            <w:vAlign w:val="center"/>
          </w:tcPr>
          <w:p w:rsidR="00DD0C65" w:rsidRPr="007579E2" w:rsidRDefault="00DD0C65" w:rsidP="007E6F21">
            <w:pPr>
              <w:pStyle w:val="Tabletext"/>
              <w:rPr>
                <w:b/>
              </w:rPr>
            </w:pPr>
            <w:proofErr w:type="spellStart"/>
            <w:r w:rsidRPr="007579E2">
              <w:rPr>
                <w:b/>
              </w:rPr>
              <w:t>Dabrafenib+trametinib</w:t>
            </w:r>
            <w:proofErr w:type="spellEnd"/>
            <w:r w:rsidRPr="007579E2">
              <w:rPr>
                <w:b/>
              </w:rPr>
              <w:t xml:space="preserve"> vs. placebo</w:t>
            </w:r>
          </w:p>
        </w:tc>
      </w:tr>
      <w:tr w:rsidR="00DD0C65" w:rsidRPr="007579E2" w:rsidTr="005B4A89">
        <w:tc>
          <w:tcPr>
            <w:tcW w:w="626" w:type="pct"/>
            <w:shd w:val="clear" w:color="auto" w:fill="auto"/>
            <w:vAlign w:val="center"/>
          </w:tcPr>
          <w:p w:rsidR="00DD0C65" w:rsidRPr="007579E2" w:rsidRDefault="00DD0C65" w:rsidP="007E6F21">
            <w:pPr>
              <w:pStyle w:val="Tabletext"/>
            </w:pPr>
            <w:r w:rsidRPr="007579E2">
              <w:t>COMBI-AD</w:t>
            </w:r>
          </w:p>
        </w:tc>
        <w:tc>
          <w:tcPr>
            <w:tcW w:w="393" w:type="pct"/>
            <w:shd w:val="clear" w:color="auto" w:fill="auto"/>
            <w:vAlign w:val="center"/>
          </w:tcPr>
          <w:p w:rsidR="00DD0C65" w:rsidRPr="007579E2" w:rsidRDefault="00DD0C65" w:rsidP="007E6F21">
            <w:pPr>
              <w:pStyle w:val="Tabletext"/>
              <w:jc w:val="center"/>
            </w:pPr>
            <w:r w:rsidRPr="007579E2">
              <w:t>870</w:t>
            </w:r>
          </w:p>
        </w:tc>
        <w:tc>
          <w:tcPr>
            <w:tcW w:w="708" w:type="pct"/>
            <w:shd w:val="clear" w:color="auto" w:fill="auto"/>
            <w:vAlign w:val="center"/>
          </w:tcPr>
          <w:p w:rsidR="00DD0C65" w:rsidRPr="007579E2" w:rsidRDefault="00DD0C65" w:rsidP="007E6F21">
            <w:pPr>
              <w:pStyle w:val="Tabletext"/>
              <w:jc w:val="center"/>
            </w:pPr>
            <w:r w:rsidRPr="007579E2">
              <w:t>R, DB</w:t>
            </w:r>
          </w:p>
          <w:p w:rsidR="00DD0C65" w:rsidRPr="007579E2" w:rsidRDefault="001D0E7E" w:rsidP="007E6F21">
            <w:pPr>
              <w:pStyle w:val="Tabletext"/>
              <w:jc w:val="center"/>
            </w:pPr>
            <w:r w:rsidRPr="007579E2">
              <w:t>42</w:t>
            </w:r>
            <w:r w:rsidR="00AB3273" w:rsidRPr="007579E2">
              <w:t xml:space="preserve"> to </w:t>
            </w:r>
            <w:r w:rsidR="005E4767" w:rsidRPr="007579E2">
              <w:t>44</w:t>
            </w:r>
            <w:r w:rsidR="00DD0C65" w:rsidRPr="007579E2">
              <w:t xml:space="preserve"> months</w:t>
            </w:r>
          </w:p>
        </w:tc>
        <w:tc>
          <w:tcPr>
            <w:tcW w:w="471" w:type="pct"/>
            <w:shd w:val="clear" w:color="auto" w:fill="auto"/>
            <w:vAlign w:val="center"/>
          </w:tcPr>
          <w:p w:rsidR="00DD0C65" w:rsidRPr="007579E2" w:rsidRDefault="00DD0C65" w:rsidP="007E6F21">
            <w:pPr>
              <w:pStyle w:val="Tabletext"/>
              <w:jc w:val="center"/>
            </w:pPr>
            <w:r w:rsidRPr="007579E2">
              <w:t>Low</w:t>
            </w:r>
          </w:p>
        </w:tc>
        <w:tc>
          <w:tcPr>
            <w:tcW w:w="1494" w:type="pct"/>
            <w:shd w:val="clear" w:color="auto" w:fill="auto"/>
            <w:vAlign w:val="center"/>
          </w:tcPr>
          <w:p w:rsidR="00DD0C65" w:rsidRPr="007579E2" w:rsidRDefault="00DD0C65" w:rsidP="007E6F21">
            <w:pPr>
              <w:pStyle w:val="Tabletext"/>
              <w:jc w:val="center"/>
            </w:pPr>
            <w:r w:rsidRPr="007579E2">
              <w:t xml:space="preserve">Completely resected high risk Stage III melanoma </w:t>
            </w:r>
            <w:proofErr w:type="spellStart"/>
            <w:r w:rsidRPr="007579E2">
              <w:t>patients</w:t>
            </w:r>
            <w:r w:rsidR="00457F17" w:rsidRPr="007579E2">
              <w:rPr>
                <w:vertAlign w:val="superscript"/>
              </w:rPr>
              <w:t>a</w:t>
            </w:r>
            <w:proofErr w:type="spellEnd"/>
            <w:r w:rsidRPr="007579E2">
              <w:t xml:space="preserve"> with positive BRAF V600E/K mutations </w:t>
            </w:r>
          </w:p>
        </w:tc>
        <w:tc>
          <w:tcPr>
            <w:tcW w:w="551" w:type="pct"/>
            <w:shd w:val="clear" w:color="auto" w:fill="auto"/>
            <w:vAlign w:val="center"/>
          </w:tcPr>
          <w:p w:rsidR="00DD0C65" w:rsidRPr="007579E2" w:rsidRDefault="00DD0C65" w:rsidP="007E6F21">
            <w:pPr>
              <w:pStyle w:val="Tabletext"/>
              <w:jc w:val="center"/>
              <w:rPr>
                <w:vertAlign w:val="superscript"/>
              </w:rPr>
            </w:pPr>
            <w:r w:rsidRPr="007579E2">
              <w:t xml:space="preserve">RFS, </w:t>
            </w:r>
            <w:r w:rsidR="001C1008" w:rsidRPr="007579E2">
              <w:t>DMFS</w:t>
            </w:r>
            <w:r w:rsidR="007172B0" w:rsidRPr="007579E2">
              <w:t xml:space="preserve">, </w:t>
            </w:r>
            <w:proofErr w:type="spellStart"/>
            <w:r w:rsidR="007172B0" w:rsidRPr="007579E2">
              <w:t>OS</w:t>
            </w:r>
            <w:r w:rsidR="007172B0" w:rsidRPr="007579E2">
              <w:rPr>
                <w:vertAlign w:val="superscript"/>
              </w:rPr>
              <w:t>b</w:t>
            </w:r>
            <w:proofErr w:type="spellEnd"/>
          </w:p>
        </w:tc>
        <w:tc>
          <w:tcPr>
            <w:tcW w:w="757" w:type="pct"/>
            <w:shd w:val="clear" w:color="auto" w:fill="auto"/>
            <w:vAlign w:val="center"/>
          </w:tcPr>
          <w:p w:rsidR="00DD0C65" w:rsidRPr="007579E2" w:rsidRDefault="00DD0C65" w:rsidP="007E6F21">
            <w:pPr>
              <w:pStyle w:val="Tabletext"/>
              <w:jc w:val="center"/>
            </w:pPr>
            <w:r w:rsidRPr="007579E2">
              <w:t>Used</w:t>
            </w:r>
          </w:p>
        </w:tc>
      </w:tr>
    </w:tbl>
    <w:p w:rsidR="00DD0C65" w:rsidRPr="007579E2" w:rsidRDefault="00DD0C65" w:rsidP="007E6F21">
      <w:pPr>
        <w:pStyle w:val="TableFooter"/>
        <w:widowControl/>
      </w:pPr>
      <w:r w:rsidRPr="007579E2">
        <w:t>DB</w:t>
      </w:r>
      <w:r w:rsidR="000B1BDB" w:rsidRPr="007579E2">
        <w:t xml:space="preserve"> </w:t>
      </w:r>
      <w:r w:rsidRPr="007579E2">
        <w:t>=</w:t>
      </w:r>
      <w:r w:rsidR="000B1BDB" w:rsidRPr="007579E2">
        <w:t xml:space="preserve"> </w:t>
      </w:r>
      <w:r w:rsidRPr="007579E2">
        <w:t xml:space="preserve">double blind; </w:t>
      </w:r>
      <w:r w:rsidR="000D4D3E" w:rsidRPr="007579E2">
        <w:t xml:space="preserve">DMFS = </w:t>
      </w:r>
      <w:r w:rsidR="00BD2E5F" w:rsidRPr="007579E2">
        <w:t xml:space="preserve">distant metastasis-free survival; </w:t>
      </w:r>
      <w:r w:rsidR="007172B0" w:rsidRPr="007579E2">
        <w:t xml:space="preserve">OS = overall survival; </w:t>
      </w:r>
      <w:r w:rsidR="00457F17" w:rsidRPr="007579E2">
        <w:t xml:space="preserve">R = randomised; </w:t>
      </w:r>
      <w:r w:rsidRPr="007579E2">
        <w:t>RFS = re</w:t>
      </w:r>
      <w:r w:rsidR="001D7148" w:rsidRPr="007579E2">
        <w:t>lapse</w:t>
      </w:r>
      <w:r w:rsidR="00400D2F" w:rsidRPr="007579E2">
        <w:t>-</w:t>
      </w:r>
      <w:r w:rsidRPr="007579E2">
        <w:t xml:space="preserve">free survival </w:t>
      </w:r>
    </w:p>
    <w:p w:rsidR="00DD0C65" w:rsidRPr="007579E2" w:rsidRDefault="00DD0C65" w:rsidP="007E6F21">
      <w:pPr>
        <w:pStyle w:val="TableFooter"/>
        <w:widowControl/>
      </w:pPr>
      <w:r w:rsidRPr="007579E2">
        <w:t>RFS defined as time from randomisation to disease recurrence (loco-regional, distant metastases and second primary melanoma) or death from any cause.</w:t>
      </w:r>
    </w:p>
    <w:p w:rsidR="00DD0C65" w:rsidRPr="007579E2" w:rsidRDefault="00DD0C65" w:rsidP="007E6F21">
      <w:pPr>
        <w:pStyle w:val="TableFooter"/>
        <w:widowControl/>
      </w:pPr>
      <w:r w:rsidRPr="007579E2">
        <w:t>Source: Sections 2.3-2.4 of the submission</w:t>
      </w:r>
    </w:p>
    <w:p w:rsidR="00457F17" w:rsidRPr="007579E2" w:rsidRDefault="00457F17" w:rsidP="007E6F21">
      <w:pPr>
        <w:pStyle w:val="TableFooter"/>
        <w:widowControl/>
      </w:pPr>
      <w:proofErr w:type="gramStart"/>
      <w:r w:rsidRPr="007579E2">
        <w:rPr>
          <w:vertAlign w:val="superscript"/>
        </w:rPr>
        <w:t>a</w:t>
      </w:r>
      <w:proofErr w:type="gramEnd"/>
      <w:r w:rsidRPr="007579E2">
        <w:t xml:space="preserve"> Stage IIIA (metastases &gt; 1 mm), Stage IIIB and Stage IIIC, based on the 7</w:t>
      </w:r>
      <w:r w:rsidRPr="007579E2">
        <w:rPr>
          <w:vertAlign w:val="superscript"/>
        </w:rPr>
        <w:t>th</w:t>
      </w:r>
      <w:r w:rsidRPr="007579E2">
        <w:t xml:space="preserve"> edition of </w:t>
      </w:r>
      <w:r w:rsidR="00516572" w:rsidRPr="007579E2">
        <w:t xml:space="preserve">American Joint Committee on Cancer </w:t>
      </w:r>
      <w:r w:rsidRPr="007579E2">
        <w:t>staging manual</w:t>
      </w:r>
    </w:p>
    <w:p w:rsidR="007172B0" w:rsidRPr="007579E2" w:rsidRDefault="007172B0" w:rsidP="007E6F21">
      <w:pPr>
        <w:pStyle w:val="TableFooter"/>
        <w:widowControl/>
        <w:rPr>
          <w:sz w:val="20"/>
        </w:rPr>
      </w:pPr>
      <w:proofErr w:type="gramStart"/>
      <w:r w:rsidRPr="007579E2">
        <w:rPr>
          <w:vertAlign w:val="superscript"/>
        </w:rPr>
        <w:t>b</w:t>
      </w:r>
      <w:proofErr w:type="gramEnd"/>
      <w:r w:rsidRPr="007579E2">
        <w:rPr>
          <w:vertAlign w:val="superscript"/>
        </w:rPr>
        <w:t xml:space="preserve"> </w:t>
      </w:r>
      <w:r w:rsidRPr="007579E2">
        <w:t>OS follow-up 33-34 months</w:t>
      </w:r>
      <w:r w:rsidR="00DA5D55" w:rsidRPr="007579E2">
        <w:t xml:space="preserve"> (interim analysis)</w:t>
      </w:r>
    </w:p>
    <w:p w:rsidR="00C103D5" w:rsidRPr="007579E2" w:rsidRDefault="00C103D5" w:rsidP="00061E01">
      <w:pPr>
        <w:pStyle w:val="ListParagraph"/>
        <w:widowControl/>
        <w:numPr>
          <w:ilvl w:val="1"/>
          <w:numId w:val="2"/>
        </w:numPr>
        <w:spacing w:before="120"/>
      </w:pPr>
      <w:r w:rsidRPr="007579E2">
        <w:t>Patients in COMBI-AD were classified using the 7</w:t>
      </w:r>
      <w:r w:rsidRPr="007579E2">
        <w:rPr>
          <w:vertAlign w:val="superscript"/>
        </w:rPr>
        <w:t>th</w:t>
      </w:r>
      <w:r w:rsidRPr="007579E2">
        <w:t xml:space="preserve"> edition of the AJCC </w:t>
      </w:r>
      <w:r w:rsidR="00A8601E" w:rsidRPr="007579E2">
        <w:t>melanoma staging system</w:t>
      </w:r>
      <w:r w:rsidRPr="007579E2">
        <w:t>, which has three prognostic sub</w:t>
      </w:r>
      <w:r w:rsidR="001F6ADC" w:rsidRPr="007579E2">
        <w:t>-</w:t>
      </w:r>
      <w:r w:rsidRPr="007579E2">
        <w:t>stages, Stages IIIA</w:t>
      </w:r>
      <w:r w:rsidR="00A8601E" w:rsidRPr="007579E2">
        <w:t>, IIIC and IIIC</w:t>
      </w:r>
      <w:r w:rsidRPr="007579E2">
        <w:t>, depending upon the extent of lymphatic involvement and the characteristics of the primary tumour. Since 2018, the 8</w:t>
      </w:r>
      <w:r w:rsidRPr="007579E2">
        <w:rPr>
          <w:vertAlign w:val="superscript"/>
        </w:rPr>
        <w:t>th</w:t>
      </w:r>
      <w:r w:rsidRPr="007579E2">
        <w:t xml:space="preserve"> edition of the AJCC </w:t>
      </w:r>
      <w:r w:rsidR="00A8601E" w:rsidRPr="007579E2">
        <w:t>staging system</w:t>
      </w:r>
      <w:r w:rsidRPr="007579E2">
        <w:rPr>
          <w:rStyle w:val="FootnoteReference"/>
        </w:rPr>
        <w:footnoteReference w:id="5"/>
      </w:r>
      <w:r w:rsidRPr="007579E2">
        <w:t xml:space="preserve"> has been used to classify melanoma patients in Australia</w:t>
      </w:r>
      <w:r w:rsidR="00876321" w:rsidRPr="007579E2">
        <w:t>; this</w:t>
      </w:r>
      <w:r w:rsidR="001F6ADC" w:rsidRPr="007579E2">
        <w:t xml:space="preserve"> </w:t>
      </w:r>
      <w:r w:rsidRPr="007579E2">
        <w:t>subdivide</w:t>
      </w:r>
      <w:r w:rsidR="001F6ADC" w:rsidRPr="007579E2">
        <w:t>s patients</w:t>
      </w:r>
      <w:r w:rsidRPr="007579E2">
        <w:t xml:space="preserve"> into four prognostic sub</w:t>
      </w:r>
      <w:r w:rsidR="001F6ADC" w:rsidRPr="007579E2">
        <w:t>-</w:t>
      </w:r>
      <w:r w:rsidRPr="007579E2">
        <w:t>stages</w:t>
      </w:r>
      <w:r w:rsidR="00876321" w:rsidRPr="007579E2">
        <w:t>,</w:t>
      </w:r>
      <w:r w:rsidRPr="007579E2">
        <w:t xml:space="preserve"> Stages IIIA</w:t>
      </w:r>
      <w:r w:rsidR="00A8601E" w:rsidRPr="007579E2">
        <w:t>, IIIB, IIIC and IIID</w:t>
      </w:r>
      <w:r w:rsidRPr="007579E2">
        <w:t xml:space="preserve">. </w:t>
      </w:r>
      <w:r w:rsidR="003745AA" w:rsidRPr="007579E2">
        <w:t>The figure below</w:t>
      </w:r>
      <w:r w:rsidRPr="007579E2">
        <w:t xml:space="preserve"> presents a comparison of survival probabilities for each sub</w:t>
      </w:r>
      <w:r w:rsidR="001F6ADC" w:rsidRPr="007579E2">
        <w:t>-</w:t>
      </w:r>
      <w:r w:rsidRPr="007579E2">
        <w:t>stage of Stage III melanoma using the 7</w:t>
      </w:r>
      <w:r w:rsidRPr="007579E2">
        <w:rPr>
          <w:vertAlign w:val="superscript"/>
        </w:rPr>
        <w:t>th</w:t>
      </w:r>
      <w:r w:rsidRPr="007579E2">
        <w:t xml:space="preserve"> and 8</w:t>
      </w:r>
      <w:r w:rsidRPr="007579E2">
        <w:rPr>
          <w:vertAlign w:val="superscript"/>
        </w:rPr>
        <w:t>th</w:t>
      </w:r>
      <w:r w:rsidR="00A8601E" w:rsidRPr="007579E2">
        <w:t xml:space="preserve"> editions of the AJCC staging </w:t>
      </w:r>
      <w:r w:rsidR="002B7F94" w:rsidRPr="007579E2">
        <w:t>system</w:t>
      </w:r>
      <w:r w:rsidRPr="007579E2">
        <w:t>.</w:t>
      </w:r>
    </w:p>
    <w:p w:rsidR="00C103D5" w:rsidRPr="007579E2" w:rsidRDefault="00C103D5" w:rsidP="007E6F21">
      <w:pPr>
        <w:pStyle w:val="TableHead"/>
        <w:keepLines/>
        <w:widowControl/>
        <w:rPr>
          <w:rStyle w:val="CommentReference"/>
          <w:b/>
        </w:rPr>
      </w:pPr>
      <w:r w:rsidRPr="007579E2">
        <w:rPr>
          <w:rStyle w:val="CommentReference"/>
          <w:b/>
        </w:rPr>
        <w:t>Figure 1: Comparison of survival probability for melanoma using the 7</w:t>
      </w:r>
      <w:r w:rsidRPr="007579E2">
        <w:rPr>
          <w:rStyle w:val="CommentReference"/>
          <w:b/>
          <w:vertAlign w:val="superscript"/>
        </w:rPr>
        <w:t>th</w:t>
      </w:r>
      <w:r w:rsidRPr="007579E2">
        <w:rPr>
          <w:rStyle w:val="CommentReference"/>
          <w:b/>
        </w:rPr>
        <w:t xml:space="preserve"> (RIGHT panel) and 8</w:t>
      </w:r>
      <w:r w:rsidRPr="007579E2">
        <w:rPr>
          <w:rStyle w:val="CommentReference"/>
          <w:b/>
          <w:vertAlign w:val="superscript"/>
        </w:rPr>
        <w:t>th</w:t>
      </w:r>
      <w:r w:rsidRPr="007579E2">
        <w:rPr>
          <w:rStyle w:val="CommentReference"/>
          <w:b/>
        </w:rPr>
        <w:t xml:space="preserve"> (LEFT panel) editions of the AJCC melanoma staging system</w:t>
      </w:r>
    </w:p>
    <w:p w:rsidR="00C103D5" w:rsidRPr="007579E2" w:rsidRDefault="001D295E" w:rsidP="00C3560A">
      <w:pPr>
        <w:pStyle w:val="BodyText"/>
        <w:widowControl/>
        <w:ind w:left="1440" w:firstLine="720"/>
        <w:rPr>
          <w:rStyle w:val="CommentReference"/>
        </w:rPr>
      </w:pPr>
      <w:bookmarkStart w:id="7" w:name="_Toc536007999"/>
      <w:r w:rsidRPr="007579E2">
        <w:rPr>
          <w:rStyle w:val="CommentReference"/>
        </w:rPr>
        <w:t>8</w:t>
      </w:r>
      <w:r w:rsidRPr="007579E2">
        <w:rPr>
          <w:rStyle w:val="CommentReference"/>
          <w:vertAlign w:val="superscript"/>
        </w:rPr>
        <w:t>th</w:t>
      </w:r>
      <w:r w:rsidRPr="007579E2">
        <w:rPr>
          <w:rStyle w:val="CommentReference"/>
        </w:rPr>
        <w:t xml:space="preserve"> Edition</w:t>
      </w:r>
      <w:bookmarkEnd w:id="7"/>
      <w:r w:rsidR="00C3560A" w:rsidRPr="00C3560A">
        <w:rPr>
          <w:rStyle w:val="CommentReference"/>
          <w:spacing w:val="3400"/>
        </w:rPr>
        <w:t xml:space="preserve"> </w:t>
      </w:r>
      <w:r w:rsidRPr="007579E2">
        <w:rPr>
          <w:rStyle w:val="CommentReference"/>
        </w:rPr>
        <w:t>7</w:t>
      </w:r>
      <w:r w:rsidRPr="007579E2">
        <w:rPr>
          <w:rStyle w:val="CommentReference"/>
          <w:vertAlign w:val="superscript"/>
        </w:rPr>
        <w:t>th</w:t>
      </w:r>
      <w:r w:rsidR="00C3560A">
        <w:rPr>
          <w:rStyle w:val="CommentReference"/>
        </w:rPr>
        <w:t xml:space="preserve"> Edition</w:t>
      </w:r>
    </w:p>
    <w:p w:rsidR="00C103D5" w:rsidRPr="007579E2" w:rsidRDefault="00C103D5" w:rsidP="007E6F21">
      <w:pPr>
        <w:pStyle w:val="TableFooter"/>
        <w:keepNext/>
        <w:widowControl/>
      </w:pPr>
      <w:r w:rsidRPr="007579E2">
        <w:rPr>
          <w:noProof/>
          <w:snapToGrid/>
          <w:lang w:eastAsia="en-AU"/>
        </w:rPr>
        <w:drawing>
          <wp:inline distT="0" distB="0" distL="0" distR="0" wp14:anchorId="64F32823" wp14:editId="5F57B3BC">
            <wp:extent cx="5669278" cy="1701800"/>
            <wp:effectExtent l="0" t="0" r="8255" b="0"/>
            <wp:docPr id="8" name="Picture 8" title="Figure 1: Comparison of survival probability for melanoma using the 7th (RIGHT panel) and 8th (LEFT panel) editions of the AJCC melanoma stag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0097" t="49508" r="25386" b="20142"/>
                    <a:stretch/>
                  </pic:blipFill>
                  <pic:spPr bwMode="auto">
                    <a:xfrm>
                      <a:off x="0" y="0"/>
                      <a:ext cx="5666140" cy="1700858"/>
                    </a:xfrm>
                    <a:prstGeom prst="rect">
                      <a:avLst/>
                    </a:prstGeom>
                    <a:ln>
                      <a:noFill/>
                    </a:ln>
                    <a:extLst>
                      <a:ext uri="{53640926-AAD7-44D8-BBD7-CCE9431645EC}">
                        <a14:shadowObscured xmlns:a14="http://schemas.microsoft.com/office/drawing/2010/main"/>
                      </a:ext>
                    </a:extLst>
                  </pic:spPr>
                </pic:pic>
              </a:graphicData>
            </a:graphic>
          </wp:inline>
        </w:drawing>
      </w:r>
      <w:r w:rsidRPr="007579E2">
        <w:t>AJCC = American Joint Committee on Cancer; YR = year</w:t>
      </w:r>
    </w:p>
    <w:p w:rsidR="00C103D5" w:rsidRPr="007579E2" w:rsidRDefault="00C103D5" w:rsidP="007E6F21">
      <w:pPr>
        <w:pStyle w:val="TableFooter"/>
        <w:widowControl/>
      </w:pPr>
      <w:r w:rsidRPr="007579E2">
        <w:t xml:space="preserve">Source: </w:t>
      </w:r>
      <w:proofErr w:type="spellStart"/>
      <w:r w:rsidRPr="007579E2">
        <w:t>Gershenwald</w:t>
      </w:r>
      <w:proofErr w:type="spellEnd"/>
      <w:r w:rsidRPr="007579E2">
        <w:t xml:space="preserve"> JE, </w:t>
      </w:r>
      <w:proofErr w:type="spellStart"/>
      <w:r w:rsidRPr="007579E2">
        <w:t>Scolyer</w:t>
      </w:r>
      <w:proofErr w:type="spellEnd"/>
      <w:r w:rsidRPr="007579E2">
        <w:t xml:space="preserve"> RA. Melanoma Staging: American Joint Committee on Cancer (AJCC) 8</w:t>
      </w:r>
      <w:r w:rsidRPr="007579E2">
        <w:rPr>
          <w:vertAlign w:val="superscript"/>
        </w:rPr>
        <w:t>th</w:t>
      </w:r>
      <w:r w:rsidRPr="007579E2">
        <w:t xml:space="preserve"> edition and beyond. Annals of Surgical Oncology. 2018; 25(8): 2105-2110.</w:t>
      </w:r>
    </w:p>
    <w:p w:rsidR="00C103D5" w:rsidRPr="007579E2" w:rsidRDefault="00C103D5" w:rsidP="00061E01">
      <w:pPr>
        <w:widowControl/>
        <w:spacing w:before="120" w:after="120"/>
      </w:pPr>
    </w:p>
    <w:p w:rsidR="00A500F2" w:rsidRPr="007579E2" w:rsidRDefault="005015C6" w:rsidP="00061E01">
      <w:pPr>
        <w:pStyle w:val="ListParagraph"/>
        <w:widowControl/>
        <w:numPr>
          <w:ilvl w:val="1"/>
          <w:numId w:val="2"/>
        </w:numPr>
        <w:spacing w:before="120"/>
      </w:pPr>
      <w:r w:rsidRPr="007579E2">
        <w:t>The above comparison suggested that patients in the 8</w:t>
      </w:r>
      <w:r w:rsidRPr="007579E2">
        <w:rPr>
          <w:vertAlign w:val="superscript"/>
        </w:rPr>
        <w:t>th</w:t>
      </w:r>
      <w:r w:rsidRPr="007579E2">
        <w:t xml:space="preserve"> edition cohort had a more favourable survival profile across Stages IIIA, IIIB, and IIIC disease compared with patients with similar stage groupings in the 7</w:t>
      </w:r>
      <w:r w:rsidRPr="007579E2">
        <w:rPr>
          <w:vertAlign w:val="superscript"/>
        </w:rPr>
        <w:t>th</w:t>
      </w:r>
      <w:r w:rsidR="00175CE2" w:rsidRPr="007579E2">
        <w:t xml:space="preserve"> edition. </w:t>
      </w:r>
      <w:r w:rsidR="00A500F2" w:rsidRPr="007579E2">
        <w:t>I</w:t>
      </w:r>
      <w:r w:rsidR="00175CE2" w:rsidRPr="007579E2">
        <w:t xml:space="preserve">t should be noted that the two survival curves were based on populations with substantially different prognostic profiles. </w:t>
      </w:r>
      <w:proofErr w:type="spellStart"/>
      <w:r w:rsidR="00175CE2" w:rsidRPr="007579E2">
        <w:t>Gershenwald</w:t>
      </w:r>
      <w:proofErr w:type="spellEnd"/>
      <w:r w:rsidR="00A500F2" w:rsidRPr="007579E2">
        <w:t xml:space="preserve"> (</w:t>
      </w:r>
      <w:r w:rsidR="00175CE2" w:rsidRPr="007579E2">
        <w:t>2018</w:t>
      </w:r>
      <w:r w:rsidR="00A500F2" w:rsidRPr="007579E2">
        <w:t>)</w:t>
      </w:r>
      <w:r w:rsidR="00175CE2" w:rsidRPr="007579E2">
        <w:t xml:space="preserve"> noted that patients included in the 8</w:t>
      </w:r>
      <w:r w:rsidR="00175CE2" w:rsidRPr="007579E2">
        <w:rPr>
          <w:vertAlign w:val="superscript"/>
        </w:rPr>
        <w:t>th</w:t>
      </w:r>
      <w:r w:rsidR="00175CE2" w:rsidRPr="007579E2">
        <w:t xml:space="preserve"> edition analyses were diagnosed since 1988, whereas the 7</w:t>
      </w:r>
      <w:r w:rsidR="00175CE2" w:rsidRPr="007579E2">
        <w:rPr>
          <w:vertAlign w:val="superscript"/>
        </w:rPr>
        <w:t>th</w:t>
      </w:r>
      <w:r w:rsidR="00175CE2" w:rsidRPr="007579E2">
        <w:t xml:space="preserve"> edition analyses included patients </w:t>
      </w:r>
      <w:r w:rsidR="00175CE2" w:rsidRPr="007579E2">
        <w:lastRenderedPageBreak/>
        <w:t>diagnosed in the 1960s. The better disease-specific survival from the 8</w:t>
      </w:r>
      <w:r w:rsidR="00175CE2" w:rsidRPr="007579E2">
        <w:rPr>
          <w:vertAlign w:val="superscript"/>
        </w:rPr>
        <w:t>th</w:t>
      </w:r>
      <w:r w:rsidR="00175CE2" w:rsidRPr="007579E2">
        <w:t xml:space="preserve"> edition may be </w:t>
      </w:r>
      <w:r w:rsidR="00A500F2" w:rsidRPr="007579E2">
        <w:t>explained by</w:t>
      </w:r>
      <w:r w:rsidR="00175CE2" w:rsidRPr="007579E2">
        <w:t xml:space="preserve"> the evolution of surgery, medicine, pathology and nuclear medicine</w:t>
      </w:r>
      <w:r w:rsidR="00483980" w:rsidRPr="007579E2">
        <w:t xml:space="preserve">. Additionally, the more recent development of post-recurrence therapies for </w:t>
      </w:r>
      <w:proofErr w:type="spellStart"/>
      <w:r w:rsidR="00483980" w:rsidRPr="007579E2">
        <w:t>unresectable</w:t>
      </w:r>
      <w:proofErr w:type="spellEnd"/>
      <w:r w:rsidR="00483980" w:rsidRPr="007579E2">
        <w:t xml:space="preserve"> </w:t>
      </w:r>
      <w:r w:rsidR="002B7F94" w:rsidRPr="007579E2">
        <w:t xml:space="preserve">or metastatic </w:t>
      </w:r>
      <w:r w:rsidR="00483980" w:rsidRPr="007579E2">
        <w:t>melanoma (e.g. PD-1 inhibitors and targeted therapies) may mean that the stage-specific survival data presented in the 8</w:t>
      </w:r>
      <w:r w:rsidR="00483980" w:rsidRPr="007579E2">
        <w:rPr>
          <w:vertAlign w:val="superscript"/>
        </w:rPr>
        <w:t>th</w:t>
      </w:r>
      <w:r w:rsidR="00483980" w:rsidRPr="007579E2">
        <w:t xml:space="preserve"> edition were not applicable to the proposed PBS population or to the trial patients.</w:t>
      </w:r>
      <w:r w:rsidR="00197CC1" w:rsidRPr="007579E2">
        <w:t xml:space="preserve"> </w:t>
      </w:r>
      <w:r w:rsidR="00A32C26" w:rsidRPr="007579E2">
        <w:t>Nonetheless, t</w:t>
      </w:r>
      <w:r w:rsidR="00A500F2" w:rsidRPr="007579E2">
        <w:t>he ESC noted that Stage III disease is associated with heterogeneous outcomes; five-year melanoma-specific survival rates range from 93% for Stage IIIA disease to 32% for Stage IIID disease (8</w:t>
      </w:r>
      <w:r w:rsidR="00A500F2" w:rsidRPr="007579E2">
        <w:rPr>
          <w:sz w:val="22"/>
          <w:vertAlign w:val="superscript"/>
        </w:rPr>
        <w:t>th</w:t>
      </w:r>
      <w:r w:rsidR="00A500F2" w:rsidRPr="007579E2">
        <w:t xml:space="preserve"> edition)</w:t>
      </w:r>
      <w:r w:rsidR="00A32C26" w:rsidRPr="007579E2">
        <w:t>, and that the distribution of patients across the subcategories in clinical practice may be different to that in the COMBI-AD trial</w:t>
      </w:r>
      <w:r w:rsidR="005B65B2" w:rsidRPr="007579E2">
        <w:t xml:space="preserve">. </w:t>
      </w:r>
      <w:r w:rsidR="00A32C26" w:rsidRPr="007579E2">
        <w:t xml:space="preserve">In particular, use of </w:t>
      </w:r>
      <w:proofErr w:type="spellStart"/>
      <w:r w:rsidR="00A32C26" w:rsidRPr="007579E2">
        <w:t>dabrafenib+trametinib</w:t>
      </w:r>
      <w:proofErr w:type="spellEnd"/>
      <w:r w:rsidR="00A32C26" w:rsidRPr="007579E2">
        <w:t xml:space="preserve"> in a higher proportion of lower risk Stage IIIA patients</w:t>
      </w:r>
      <w:r w:rsidR="002B4B9A" w:rsidRPr="007579E2">
        <w:t xml:space="preserve"> (including in patients with metastases </w:t>
      </w:r>
      <w:r w:rsidR="002B4B9A" w:rsidRPr="007579E2">
        <w:rPr>
          <w:rFonts w:cs="Calibri"/>
        </w:rPr>
        <w:t>≤</w:t>
      </w:r>
      <w:r w:rsidR="002B4B9A" w:rsidRPr="007579E2">
        <w:t xml:space="preserve"> 1 mm)</w:t>
      </w:r>
      <w:r w:rsidR="00A32C26" w:rsidRPr="007579E2">
        <w:t xml:space="preserve"> would result in </w:t>
      </w:r>
      <w:proofErr w:type="spellStart"/>
      <w:r w:rsidR="00A32C26" w:rsidRPr="007579E2">
        <w:t>dabrafenib+trametinib</w:t>
      </w:r>
      <w:proofErr w:type="spellEnd"/>
      <w:r w:rsidR="00A32C26" w:rsidRPr="007579E2">
        <w:t xml:space="preserve"> being less cost-effective</w:t>
      </w:r>
      <w:r w:rsidR="007579E2">
        <w:t xml:space="preserve">. </w:t>
      </w:r>
    </w:p>
    <w:p w:rsidR="00543746" w:rsidRPr="007579E2" w:rsidRDefault="009417F8" w:rsidP="00061E01">
      <w:pPr>
        <w:pStyle w:val="ListParagraph"/>
        <w:widowControl/>
        <w:numPr>
          <w:ilvl w:val="1"/>
          <w:numId w:val="2"/>
        </w:numPr>
        <w:spacing w:before="120"/>
      </w:pPr>
      <w:r w:rsidRPr="007579E2">
        <w:t>T</w:t>
      </w:r>
      <w:r w:rsidR="00AB3273" w:rsidRPr="007579E2">
        <w:t>he majority of</w:t>
      </w:r>
      <w:r w:rsidR="00543746" w:rsidRPr="007579E2">
        <w:t xml:space="preserve"> </w:t>
      </w:r>
      <w:r w:rsidR="005B4A89" w:rsidRPr="007579E2">
        <w:t xml:space="preserve">the </w:t>
      </w:r>
      <w:r w:rsidRPr="007579E2">
        <w:t xml:space="preserve">COMBI-AD </w:t>
      </w:r>
      <w:r w:rsidR="005B4A89" w:rsidRPr="007579E2">
        <w:t>trial population</w:t>
      </w:r>
      <w:r w:rsidR="00382B9C" w:rsidRPr="007579E2">
        <w:t>, when classified using the 7</w:t>
      </w:r>
      <w:r w:rsidR="00382B9C" w:rsidRPr="007579E2">
        <w:rPr>
          <w:vertAlign w:val="superscript"/>
        </w:rPr>
        <w:t>th</w:t>
      </w:r>
      <w:r w:rsidR="00382B9C" w:rsidRPr="007579E2">
        <w:t xml:space="preserve"> edition,</w:t>
      </w:r>
      <w:r w:rsidR="00543746" w:rsidRPr="007579E2">
        <w:t xml:space="preserve"> had Stage IIIB </w:t>
      </w:r>
      <w:r w:rsidR="005B4A89" w:rsidRPr="007579E2">
        <w:t>or</w:t>
      </w:r>
      <w:r w:rsidR="00543746" w:rsidRPr="007579E2">
        <w:t xml:space="preserve"> Stage IIIC disease (80% in the </w:t>
      </w:r>
      <w:proofErr w:type="spellStart"/>
      <w:r w:rsidR="00543746" w:rsidRPr="007579E2">
        <w:t>dabrafenib+trametinib</w:t>
      </w:r>
      <w:proofErr w:type="spellEnd"/>
      <w:r w:rsidR="00543746" w:rsidRPr="007579E2">
        <w:t xml:space="preserve"> arm and 81% in the placebo arm). A </w:t>
      </w:r>
      <w:r w:rsidR="00543746" w:rsidRPr="007579E2">
        <w:rPr>
          <w:i/>
        </w:rPr>
        <w:t>post</w:t>
      </w:r>
      <w:r w:rsidR="00BF08F7" w:rsidRPr="007579E2">
        <w:rPr>
          <w:i/>
        </w:rPr>
        <w:t xml:space="preserve"> </w:t>
      </w:r>
      <w:r w:rsidR="00543746" w:rsidRPr="007579E2">
        <w:rPr>
          <w:i/>
        </w:rPr>
        <w:t xml:space="preserve">hoc </w:t>
      </w:r>
      <w:r w:rsidR="00543746" w:rsidRPr="007579E2">
        <w:t>analysis of COMBI-AD re-stag</w:t>
      </w:r>
      <w:r w:rsidR="005B4A89" w:rsidRPr="007579E2">
        <w:t xml:space="preserve">ed </w:t>
      </w:r>
      <w:r w:rsidR="00543746" w:rsidRPr="007579E2">
        <w:t xml:space="preserve">the patients according to </w:t>
      </w:r>
      <w:r w:rsidR="005B4A89" w:rsidRPr="007579E2">
        <w:t>8</w:t>
      </w:r>
      <w:r w:rsidR="005B4A89" w:rsidRPr="007579E2">
        <w:rPr>
          <w:vertAlign w:val="superscript"/>
        </w:rPr>
        <w:t>th</w:t>
      </w:r>
      <w:r w:rsidR="005B4A89" w:rsidRPr="007579E2">
        <w:t xml:space="preserve"> </w:t>
      </w:r>
      <w:r w:rsidR="00543746" w:rsidRPr="007579E2">
        <w:t>edition</w:t>
      </w:r>
      <w:r w:rsidR="00543746" w:rsidRPr="007579E2">
        <w:rPr>
          <w:rStyle w:val="FootnoteReference"/>
        </w:rPr>
        <w:footnoteReference w:id="6"/>
      </w:r>
      <w:r w:rsidR="003B7C70" w:rsidRPr="007579E2">
        <w:t xml:space="preserve"> </w:t>
      </w:r>
      <w:r w:rsidR="00926650" w:rsidRPr="007579E2">
        <w:t xml:space="preserve">– </w:t>
      </w:r>
      <w:r w:rsidR="003B7C70" w:rsidRPr="007579E2">
        <w:t xml:space="preserve">see </w:t>
      </w:r>
      <w:r w:rsidR="00AC253F" w:rsidRPr="007579E2">
        <w:t>table below</w:t>
      </w:r>
      <w:r w:rsidR="005A2393" w:rsidRPr="007579E2">
        <w:t xml:space="preserve"> – and compared this to the proportions of Stage III disease in Australian population, as reported in </w:t>
      </w:r>
      <w:proofErr w:type="spellStart"/>
      <w:r w:rsidR="005A2393" w:rsidRPr="007579E2">
        <w:t>Haydu</w:t>
      </w:r>
      <w:proofErr w:type="spellEnd"/>
      <w:r w:rsidR="005A2393" w:rsidRPr="007579E2">
        <w:t xml:space="preserve"> (2017)</w:t>
      </w:r>
      <w:r w:rsidR="00543746" w:rsidRPr="007579E2">
        <w:t xml:space="preserve">. </w:t>
      </w:r>
    </w:p>
    <w:p w:rsidR="003B7C70" w:rsidRPr="007579E2" w:rsidRDefault="003B7C70" w:rsidP="007E6F21">
      <w:pPr>
        <w:pStyle w:val="TableHead"/>
        <w:widowControl/>
      </w:pPr>
      <w:r w:rsidRPr="007579E2">
        <w:t xml:space="preserve">Table </w:t>
      </w:r>
      <w:r w:rsidR="00BC1636" w:rsidRPr="007579E2">
        <w:t>4</w:t>
      </w:r>
      <w:r w:rsidRPr="007579E2">
        <w:t>: Comparison of disease stage at baseline in COMBI-AD using the 7</w:t>
      </w:r>
      <w:r w:rsidRPr="007579E2">
        <w:rPr>
          <w:vertAlign w:val="superscript"/>
        </w:rPr>
        <w:t>th</w:t>
      </w:r>
      <w:r w:rsidRPr="007579E2">
        <w:t xml:space="preserve"> and 8</w:t>
      </w:r>
      <w:r w:rsidRPr="007579E2">
        <w:rPr>
          <w:vertAlign w:val="superscript"/>
        </w:rPr>
        <w:t>th</w:t>
      </w:r>
      <w:r w:rsidRPr="007579E2">
        <w:t xml:space="preserve"> editions </w:t>
      </w:r>
      <w:r w:rsidR="00784E87" w:rsidRPr="007579E2">
        <w:t>and the Australian population using the 8</w:t>
      </w:r>
      <w:r w:rsidR="00784E87" w:rsidRPr="007579E2">
        <w:rPr>
          <w:vertAlign w:val="superscript"/>
        </w:rPr>
        <w:t>th</w:t>
      </w:r>
      <w:r w:rsidR="00784E87" w:rsidRPr="007579E2">
        <w:t xml:space="preserve"> edition </w:t>
      </w:r>
      <w:r w:rsidRPr="007579E2">
        <w:t xml:space="preserve">of the AJCC </w:t>
      </w:r>
      <w:r w:rsidR="002B7F94" w:rsidRPr="007579E2">
        <w:t>melanoma staging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Comparison of disease stage at baseline in COMBI-AD using the 7th and 8th editions and the Australian population using the 8th edition of the AJCC melanoma staging system"/>
      </w:tblPr>
      <w:tblGrid>
        <w:gridCol w:w="2013"/>
        <w:gridCol w:w="1276"/>
        <w:gridCol w:w="1275"/>
        <w:gridCol w:w="1276"/>
        <w:gridCol w:w="1276"/>
        <w:gridCol w:w="1901"/>
      </w:tblGrid>
      <w:tr w:rsidR="00891BC3" w:rsidRPr="007579E2" w:rsidTr="004266AE">
        <w:trPr>
          <w:trHeight w:val="249"/>
        </w:trPr>
        <w:tc>
          <w:tcPr>
            <w:tcW w:w="2013" w:type="dxa"/>
            <w:vMerge w:val="restart"/>
            <w:tcMar>
              <w:left w:w="28" w:type="dxa"/>
              <w:right w:w="28" w:type="dxa"/>
            </w:tcMar>
            <w:vAlign w:val="center"/>
          </w:tcPr>
          <w:p w:rsidR="00891BC3" w:rsidRPr="007579E2" w:rsidRDefault="00891BC3" w:rsidP="007E6F21">
            <w:pPr>
              <w:pStyle w:val="Tabletext"/>
              <w:rPr>
                <w:rFonts w:eastAsia="Calibri"/>
                <w:szCs w:val="20"/>
              </w:rPr>
            </w:pPr>
          </w:p>
        </w:tc>
        <w:tc>
          <w:tcPr>
            <w:tcW w:w="2551" w:type="dxa"/>
            <w:gridSpan w:val="2"/>
            <w:tcMar>
              <w:left w:w="28" w:type="dxa"/>
              <w:right w:w="28" w:type="dxa"/>
            </w:tcMar>
          </w:tcPr>
          <w:p w:rsidR="00891BC3" w:rsidRPr="007579E2" w:rsidRDefault="00891BC3" w:rsidP="007E6F21">
            <w:pPr>
              <w:pStyle w:val="Tabletext"/>
              <w:jc w:val="center"/>
              <w:rPr>
                <w:rFonts w:eastAsia="Calibri"/>
                <w:b/>
                <w:szCs w:val="20"/>
              </w:rPr>
            </w:pPr>
            <w:r w:rsidRPr="007579E2">
              <w:rPr>
                <w:rFonts w:eastAsia="Calibri"/>
                <w:b/>
                <w:szCs w:val="20"/>
              </w:rPr>
              <w:t>Stage at baseline – 7</w:t>
            </w:r>
            <w:r w:rsidRPr="007579E2">
              <w:rPr>
                <w:rFonts w:eastAsia="Calibri"/>
                <w:b/>
                <w:szCs w:val="20"/>
                <w:vertAlign w:val="superscript"/>
              </w:rPr>
              <w:t>th</w:t>
            </w:r>
            <w:r w:rsidRPr="007579E2">
              <w:rPr>
                <w:rFonts w:eastAsia="Calibri"/>
                <w:b/>
                <w:szCs w:val="20"/>
              </w:rPr>
              <w:t xml:space="preserve"> edition</w:t>
            </w:r>
          </w:p>
        </w:tc>
        <w:tc>
          <w:tcPr>
            <w:tcW w:w="4453" w:type="dxa"/>
            <w:gridSpan w:val="3"/>
            <w:tcMar>
              <w:left w:w="28" w:type="dxa"/>
              <w:right w:w="28" w:type="dxa"/>
            </w:tcMar>
          </w:tcPr>
          <w:p w:rsidR="00891BC3" w:rsidRPr="007579E2" w:rsidRDefault="00891BC3" w:rsidP="007E6F21">
            <w:pPr>
              <w:pStyle w:val="Tabletext"/>
              <w:jc w:val="center"/>
              <w:rPr>
                <w:rFonts w:eastAsia="Calibri"/>
                <w:b/>
                <w:szCs w:val="20"/>
              </w:rPr>
            </w:pPr>
            <w:r w:rsidRPr="007579E2">
              <w:rPr>
                <w:rFonts w:eastAsia="Calibri"/>
                <w:b/>
                <w:szCs w:val="20"/>
              </w:rPr>
              <w:t>Stage at baseline – 8</w:t>
            </w:r>
            <w:r w:rsidRPr="007579E2">
              <w:rPr>
                <w:rFonts w:eastAsia="Calibri"/>
                <w:b/>
                <w:szCs w:val="20"/>
                <w:vertAlign w:val="superscript"/>
              </w:rPr>
              <w:t>th</w:t>
            </w:r>
            <w:r w:rsidRPr="007579E2">
              <w:rPr>
                <w:rFonts w:eastAsia="Calibri"/>
                <w:b/>
                <w:szCs w:val="20"/>
              </w:rPr>
              <w:t xml:space="preserve"> edition</w:t>
            </w:r>
          </w:p>
        </w:tc>
      </w:tr>
      <w:tr w:rsidR="00E33A35" w:rsidRPr="007579E2" w:rsidTr="004266AE">
        <w:trPr>
          <w:trHeight w:val="249"/>
        </w:trPr>
        <w:tc>
          <w:tcPr>
            <w:tcW w:w="2013" w:type="dxa"/>
            <w:vMerge/>
            <w:tcMar>
              <w:left w:w="28" w:type="dxa"/>
              <w:right w:w="28" w:type="dxa"/>
            </w:tcMar>
            <w:vAlign w:val="center"/>
          </w:tcPr>
          <w:p w:rsidR="00E33A35" w:rsidRPr="007579E2" w:rsidRDefault="00E33A35" w:rsidP="007E6F21">
            <w:pPr>
              <w:pStyle w:val="Tabletext"/>
              <w:rPr>
                <w:rFonts w:eastAsia="Calibri"/>
                <w:szCs w:val="20"/>
              </w:rPr>
            </w:pPr>
          </w:p>
        </w:tc>
        <w:tc>
          <w:tcPr>
            <w:tcW w:w="1276" w:type="dxa"/>
            <w:tcMar>
              <w:left w:w="28" w:type="dxa"/>
              <w:right w:w="28" w:type="dxa"/>
            </w:tcMar>
            <w:vAlign w:val="center"/>
          </w:tcPr>
          <w:p w:rsidR="00E33A35" w:rsidRPr="007579E2" w:rsidRDefault="00483980" w:rsidP="007E6F21">
            <w:pPr>
              <w:pStyle w:val="Tabletext"/>
              <w:jc w:val="center"/>
              <w:rPr>
                <w:rFonts w:eastAsia="Calibri"/>
                <w:b/>
                <w:szCs w:val="20"/>
              </w:rPr>
            </w:pPr>
            <w:r w:rsidRPr="007579E2">
              <w:rPr>
                <w:rFonts w:eastAsia="Calibri"/>
                <w:b/>
                <w:szCs w:val="20"/>
              </w:rPr>
              <w:t>DAB+TRAM</w:t>
            </w:r>
          </w:p>
        </w:tc>
        <w:tc>
          <w:tcPr>
            <w:tcW w:w="1275" w:type="dxa"/>
            <w:tcMar>
              <w:left w:w="28" w:type="dxa"/>
              <w:right w:w="28" w:type="dxa"/>
            </w:tcMar>
            <w:vAlign w:val="center"/>
          </w:tcPr>
          <w:p w:rsidR="00E33A35" w:rsidRPr="007579E2" w:rsidRDefault="00E33A35" w:rsidP="007E6F21">
            <w:pPr>
              <w:pStyle w:val="Tabletext"/>
              <w:jc w:val="center"/>
              <w:rPr>
                <w:rFonts w:eastAsia="Calibri"/>
                <w:b/>
                <w:szCs w:val="20"/>
              </w:rPr>
            </w:pPr>
            <w:r w:rsidRPr="007579E2">
              <w:rPr>
                <w:rFonts w:eastAsia="Calibri"/>
                <w:b/>
                <w:szCs w:val="20"/>
              </w:rPr>
              <w:t>Placebo</w:t>
            </w:r>
          </w:p>
        </w:tc>
        <w:tc>
          <w:tcPr>
            <w:tcW w:w="1276" w:type="dxa"/>
            <w:tcMar>
              <w:left w:w="28" w:type="dxa"/>
              <w:right w:w="28" w:type="dxa"/>
            </w:tcMar>
            <w:vAlign w:val="center"/>
          </w:tcPr>
          <w:p w:rsidR="00E33A35" w:rsidRPr="007579E2" w:rsidRDefault="00483980" w:rsidP="007E6F21">
            <w:pPr>
              <w:pStyle w:val="Tabletext"/>
              <w:jc w:val="center"/>
              <w:rPr>
                <w:rFonts w:eastAsia="Calibri"/>
                <w:b/>
                <w:szCs w:val="20"/>
              </w:rPr>
            </w:pPr>
            <w:r w:rsidRPr="007579E2">
              <w:rPr>
                <w:rFonts w:eastAsia="Calibri"/>
                <w:b/>
                <w:szCs w:val="20"/>
              </w:rPr>
              <w:t>DAB+TRAM</w:t>
            </w:r>
          </w:p>
        </w:tc>
        <w:tc>
          <w:tcPr>
            <w:tcW w:w="1276" w:type="dxa"/>
            <w:tcMar>
              <w:left w:w="28" w:type="dxa"/>
              <w:right w:w="28" w:type="dxa"/>
            </w:tcMar>
            <w:vAlign w:val="center"/>
          </w:tcPr>
          <w:p w:rsidR="00E33A35" w:rsidRPr="007579E2" w:rsidRDefault="00E33A35" w:rsidP="007E6F21">
            <w:pPr>
              <w:pStyle w:val="Tabletext"/>
              <w:jc w:val="center"/>
              <w:rPr>
                <w:rFonts w:eastAsia="Calibri"/>
                <w:b/>
                <w:szCs w:val="20"/>
              </w:rPr>
            </w:pPr>
            <w:r w:rsidRPr="007579E2">
              <w:rPr>
                <w:rFonts w:eastAsia="Calibri"/>
                <w:b/>
                <w:szCs w:val="20"/>
              </w:rPr>
              <w:t>Placebo</w:t>
            </w:r>
          </w:p>
        </w:tc>
        <w:tc>
          <w:tcPr>
            <w:tcW w:w="1901" w:type="dxa"/>
            <w:tcMar>
              <w:left w:w="28" w:type="dxa"/>
              <w:right w:w="28" w:type="dxa"/>
            </w:tcMar>
          </w:tcPr>
          <w:p w:rsidR="00E33A35" w:rsidRPr="007579E2" w:rsidRDefault="00891BC3" w:rsidP="007E6F21">
            <w:pPr>
              <w:pStyle w:val="Tabletext"/>
              <w:jc w:val="center"/>
              <w:rPr>
                <w:rFonts w:eastAsia="Calibri"/>
                <w:b/>
                <w:szCs w:val="20"/>
              </w:rPr>
            </w:pPr>
            <w:r w:rsidRPr="007579E2">
              <w:rPr>
                <w:rFonts w:eastAsia="Calibri"/>
                <w:b/>
                <w:szCs w:val="20"/>
              </w:rPr>
              <w:t xml:space="preserve">Australian </w:t>
            </w:r>
            <w:r w:rsidR="004266AE" w:rsidRPr="007579E2">
              <w:rPr>
                <w:rFonts w:eastAsia="Calibri"/>
                <w:b/>
                <w:szCs w:val="20"/>
              </w:rPr>
              <w:t>p</w:t>
            </w:r>
            <w:r w:rsidRPr="007579E2">
              <w:rPr>
                <w:rFonts w:eastAsia="Calibri"/>
                <w:b/>
                <w:szCs w:val="20"/>
              </w:rPr>
              <w:t xml:space="preserve">opulation </w:t>
            </w:r>
            <w:proofErr w:type="spellStart"/>
            <w:r w:rsidRPr="007579E2">
              <w:rPr>
                <w:rFonts w:eastAsia="Calibri"/>
                <w:b/>
                <w:szCs w:val="20"/>
              </w:rPr>
              <w:t>Haydu</w:t>
            </w:r>
            <w:proofErr w:type="spellEnd"/>
            <w:r w:rsidRPr="007579E2">
              <w:rPr>
                <w:rFonts w:eastAsia="Calibri"/>
                <w:b/>
                <w:szCs w:val="20"/>
              </w:rPr>
              <w:t xml:space="preserve"> (2017)</w:t>
            </w:r>
            <w:r w:rsidR="00BD260A" w:rsidRPr="007579E2">
              <w:rPr>
                <w:rFonts w:eastAsia="Calibri"/>
                <w:b/>
                <w:szCs w:val="20"/>
                <w:vertAlign w:val="superscript"/>
              </w:rPr>
              <w:t>a</w:t>
            </w:r>
          </w:p>
        </w:tc>
      </w:tr>
      <w:tr w:rsidR="00E33A35" w:rsidRPr="007579E2" w:rsidTr="004266AE">
        <w:trPr>
          <w:trHeight w:val="249"/>
        </w:trPr>
        <w:tc>
          <w:tcPr>
            <w:tcW w:w="2013" w:type="dxa"/>
            <w:tcMar>
              <w:left w:w="28" w:type="dxa"/>
              <w:right w:w="28" w:type="dxa"/>
            </w:tcMar>
            <w:vAlign w:val="center"/>
          </w:tcPr>
          <w:p w:rsidR="00E33A35" w:rsidRPr="007579E2" w:rsidRDefault="00E33A35" w:rsidP="007E6F21">
            <w:pPr>
              <w:pStyle w:val="Tabletext"/>
              <w:rPr>
                <w:rFonts w:eastAsia="Calibri"/>
                <w:szCs w:val="20"/>
              </w:rPr>
            </w:pPr>
            <w:r w:rsidRPr="007579E2">
              <w:rPr>
                <w:rFonts w:eastAsia="Calibri"/>
                <w:szCs w:val="20"/>
              </w:rPr>
              <w:t>IIIA (metastases &gt; 1 mm)</w:t>
            </w:r>
          </w:p>
        </w:tc>
        <w:tc>
          <w:tcPr>
            <w:tcW w:w="1276"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83 (19%)</w:t>
            </w:r>
          </w:p>
        </w:tc>
        <w:tc>
          <w:tcPr>
            <w:tcW w:w="1275"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71 (16%)</w:t>
            </w:r>
          </w:p>
        </w:tc>
        <w:tc>
          <w:tcPr>
            <w:tcW w:w="1276"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50 (11%)</w:t>
            </w:r>
          </w:p>
        </w:tc>
        <w:tc>
          <w:tcPr>
            <w:tcW w:w="1276"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39 (9%)</w:t>
            </w:r>
          </w:p>
        </w:tc>
        <w:tc>
          <w:tcPr>
            <w:tcW w:w="1901" w:type="dxa"/>
            <w:tcMar>
              <w:left w:w="28" w:type="dxa"/>
              <w:right w:w="28" w:type="dxa"/>
            </w:tcMar>
          </w:tcPr>
          <w:p w:rsidR="00E33A35" w:rsidRPr="007579E2" w:rsidRDefault="00891BC3" w:rsidP="007E6F21">
            <w:pPr>
              <w:pStyle w:val="Tabletext"/>
              <w:jc w:val="center"/>
              <w:rPr>
                <w:rFonts w:eastAsia="Calibri"/>
                <w:szCs w:val="20"/>
              </w:rPr>
            </w:pPr>
            <w:r w:rsidRPr="007579E2">
              <w:rPr>
                <w:rFonts w:eastAsia="Calibri"/>
                <w:szCs w:val="20"/>
              </w:rPr>
              <w:t>220 (</w:t>
            </w:r>
            <w:r w:rsidR="00483980" w:rsidRPr="007579E2">
              <w:rPr>
                <w:rFonts w:eastAsia="Calibri"/>
                <w:szCs w:val="20"/>
              </w:rPr>
              <w:t>5%</w:t>
            </w:r>
            <w:r w:rsidRPr="007579E2">
              <w:rPr>
                <w:rFonts w:eastAsia="Calibri"/>
                <w:szCs w:val="20"/>
              </w:rPr>
              <w:t>)</w:t>
            </w:r>
            <w:r w:rsidR="00BD260A" w:rsidRPr="007579E2">
              <w:rPr>
                <w:rFonts w:eastAsia="Calibri"/>
                <w:szCs w:val="20"/>
                <w:vertAlign w:val="superscript"/>
              </w:rPr>
              <w:t>b</w:t>
            </w:r>
          </w:p>
        </w:tc>
      </w:tr>
      <w:tr w:rsidR="00E33A35" w:rsidRPr="007579E2" w:rsidTr="004266AE">
        <w:trPr>
          <w:trHeight w:val="249"/>
        </w:trPr>
        <w:tc>
          <w:tcPr>
            <w:tcW w:w="2013" w:type="dxa"/>
            <w:tcMar>
              <w:left w:w="28" w:type="dxa"/>
              <w:right w:w="28" w:type="dxa"/>
            </w:tcMar>
            <w:vAlign w:val="center"/>
          </w:tcPr>
          <w:p w:rsidR="00E33A35" w:rsidRPr="007579E2" w:rsidRDefault="00E33A35" w:rsidP="007E6F21">
            <w:pPr>
              <w:pStyle w:val="Tabletext"/>
              <w:rPr>
                <w:rFonts w:eastAsia="Calibri"/>
                <w:szCs w:val="20"/>
              </w:rPr>
            </w:pPr>
            <w:r w:rsidRPr="007579E2">
              <w:rPr>
                <w:rFonts w:eastAsia="Calibri"/>
                <w:szCs w:val="20"/>
              </w:rPr>
              <w:t>IIIB</w:t>
            </w:r>
          </w:p>
        </w:tc>
        <w:tc>
          <w:tcPr>
            <w:tcW w:w="1276"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169 (39%)</w:t>
            </w:r>
          </w:p>
        </w:tc>
        <w:tc>
          <w:tcPr>
            <w:tcW w:w="1275"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187 (43%)</w:t>
            </w:r>
          </w:p>
        </w:tc>
        <w:tc>
          <w:tcPr>
            <w:tcW w:w="1276"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145 (33%)</w:t>
            </w:r>
          </w:p>
        </w:tc>
        <w:tc>
          <w:tcPr>
            <w:tcW w:w="1276"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154 (36%)</w:t>
            </w:r>
          </w:p>
        </w:tc>
        <w:tc>
          <w:tcPr>
            <w:tcW w:w="1901" w:type="dxa"/>
            <w:tcMar>
              <w:left w:w="28" w:type="dxa"/>
              <w:right w:w="28" w:type="dxa"/>
            </w:tcMar>
          </w:tcPr>
          <w:p w:rsidR="00E33A35" w:rsidRPr="007579E2" w:rsidRDefault="00A67865" w:rsidP="007E6F21">
            <w:pPr>
              <w:pStyle w:val="Tabletext"/>
              <w:jc w:val="center"/>
              <w:rPr>
                <w:rFonts w:eastAsia="Calibri"/>
                <w:szCs w:val="20"/>
              </w:rPr>
            </w:pPr>
            <w:r w:rsidRPr="007579E2">
              <w:rPr>
                <w:rFonts w:eastAsia="Calibri"/>
                <w:szCs w:val="20"/>
              </w:rPr>
              <w:t>2</w:t>
            </w:r>
            <w:r w:rsidR="00696BA9" w:rsidRPr="007579E2">
              <w:rPr>
                <w:rFonts w:eastAsia="Calibri"/>
                <w:szCs w:val="20"/>
              </w:rPr>
              <w:t>,</w:t>
            </w:r>
            <w:r w:rsidRPr="007579E2">
              <w:rPr>
                <w:rFonts w:eastAsia="Calibri"/>
                <w:szCs w:val="20"/>
              </w:rPr>
              <w:t>007 (44%)</w:t>
            </w:r>
          </w:p>
        </w:tc>
      </w:tr>
      <w:tr w:rsidR="00E33A35" w:rsidRPr="007579E2" w:rsidTr="004266AE">
        <w:trPr>
          <w:trHeight w:val="234"/>
        </w:trPr>
        <w:tc>
          <w:tcPr>
            <w:tcW w:w="2013" w:type="dxa"/>
            <w:tcMar>
              <w:left w:w="28" w:type="dxa"/>
              <w:right w:w="28" w:type="dxa"/>
            </w:tcMar>
            <w:vAlign w:val="center"/>
          </w:tcPr>
          <w:p w:rsidR="00E33A35" w:rsidRPr="007579E2" w:rsidRDefault="00E33A35" w:rsidP="007E6F21">
            <w:pPr>
              <w:pStyle w:val="Tabletext"/>
              <w:rPr>
                <w:rFonts w:eastAsia="Calibri"/>
                <w:szCs w:val="20"/>
              </w:rPr>
            </w:pPr>
            <w:r w:rsidRPr="007579E2">
              <w:rPr>
                <w:rFonts w:eastAsia="Calibri"/>
                <w:szCs w:val="20"/>
              </w:rPr>
              <w:t>IIIC</w:t>
            </w:r>
          </w:p>
        </w:tc>
        <w:tc>
          <w:tcPr>
            <w:tcW w:w="1276"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181 (41%)</w:t>
            </w:r>
          </w:p>
        </w:tc>
        <w:tc>
          <w:tcPr>
            <w:tcW w:w="1275"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166 (38%)</w:t>
            </w:r>
          </w:p>
        </w:tc>
        <w:tc>
          <w:tcPr>
            <w:tcW w:w="1276"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217 (50%)</w:t>
            </w:r>
          </w:p>
        </w:tc>
        <w:tc>
          <w:tcPr>
            <w:tcW w:w="1276"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214 (50%)</w:t>
            </w:r>
          </w:p>
        </w:tc>
        <w:tc>
          <w:tcPr>
            <w:tcW w:w="1901" w:type="dxa"/>
            <w:tcMar>
              <w:left w:w="28" w:type="dxa"/>
              <w:right w:w="28" w:type="dxa"/>
            </w:tcMar>
          </w:tcPr>
          <w:p w:rsidR="00E33A35" w:rsidRPr="007579E2" w:rsidRDefault="00A67865" w:rsidP="007E6F21">
            <w:pPr>
              <w:pStyle w:val="Tabletext"/>
              <w:jc w:val="center"/>
              <w:rPr>
                <w:rFonts w:eastAsia="Calibri"/>
                <w:szCs w:val="20"/>
              </w:rPr>
            </w:pPr>
            <w:r w:rsidRPr="007579E2">
              <w:rPr>
                <w:rFonts w:eastAsia="Calibri"/>
                <w:szCs w:val="20"/>
              </w:rPr>
              <w:t>1</w:t>
            </w:r>
            <w:r w:rsidR="00696BA9" w:rsidRPr="007579E2">
              <w:rPr>
                <w:rFonts w:eastAsia="Calibri"/>
                <w:szCs w:val="20"/>
              </w:rPr>
              <w:t>,</w:t>
            </w:r>
            <w:r w:rsidRPr="007579E2">
              <w:rPr>
                <w:rFonts w:eastAsia="Calibri"/>
                <w:szCs w:val="20"/>
              </w:rPr>
              <w:t>709 (3</w:t>
            </w:r>
            <w:r w:rsidR="00483980" w:rsidRPr="007579E2">
              <w:rPr>
                <w:rFonts w:eastAsia="Calibri"/>
                <w:szCs w:val="20"/>
              </w:rPr>
              <w:t>8</w:t>
            </w:r>
            <w:r w:rsidRPr="007579E2">
              <w:rPr>
                <w:rFonts w:eastAsia="Calibri"/>
                <w:szCs w:val="20"/>
              </w:rPr>
              <w:t>%)</w:t>
            </w:r>
          </w:p>
        </w:tc>
      </w:tr>
      <w:tr w:rsidR="00E33A35" w:rsidRPr="007579E2" w:rsidTr="004266AE">
        <w:trPr>
          <w:trHeight w:val="249"/>
        </w:trPr>
        <w:tc>
          <w:tcPr>
            <w:tcW w:w="2013" w:type="dxa"/>
            <w:tcMar>
              <w:left w:w="28" w:type="dxa"/>
              <w:right w:w="28" w:type="dxa"/>
            </w:tcMar>
            <w:vAlign w:val="center"/>
          </w:tcPr>
          <w:p w:rsidR="00E33A35" w:rsidRPr="007579E2" w:rsidRDefault="00E33A35" w:rsidP="007E6F21">
            <w:pPr>
              <w:pStyle w:val="Tabletext"/>
              <w:rPr>
                <w:rFonts w:eastAsia="Calibri"/>
                <w:szCs w:val="20"/>
              </w:rPr>
            </w:pPr>
            <w:r w:rsidRPr="007579E2">
              <w:rPr>
                <w:rFonts w:eastAsia="Calibri"/>
                <w:szCs w:val="20"/>
              </w:rPr>
              <w:t>IIID</w:t>
            </w:r>
          </w:p>
        </w:tc>
        <w:tc>
          <w:tcPr>
            <w:tcW w:w="1276"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w:t>
            </w:r>
          </w:p>
        </w:tc>
        <w:tc>
          <w:tcPr>
            <w:tcW w:w="1275"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w:t>
            </w:r>
          </w:p>
        </w:tc>
        <w:tc>
          <w:tcPr>
            <w:tcW w:w="1276"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22 (5%)</w:t>
            </w:r>
          </w:p>
        </w:tc>
        <w:tc>
          <w:tcPr>
            <w:tcW w:w="1276"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17 (4%)</w:t>
            </w:r>
          </w:p>
        </w:tc>
        <w:tc>
          <w:tcPr>
            <w:tcW w:w="1901" w:type="dxa"/>
            <w:tcMar>
              <w:left w:w="28" w:type="dxa"/>
              <w:right w:w="28" w:type="dxa"/>
            </w:tcMar>
          </w:tcPr>
          <w:p w:rsidR="00E33A35" w:rsidRPr="007579E2" w:rsidRDefault="003A42AA" w:rsidP="007E6F21">
            <w:pPr>
              <w:pStyle w:val="Tabletext"/>
              <w:jc w:val="center"/>
              <w:rPr>
                <w:rFonts w:eastAsia="Calibri"/>
                <w:szCs w:val="20"/>
              </w:rPr>
            </w:pPr>
            <w:r w:rsidRPr="007579E2">
              <w:rPr>
                <w:rFonts w:eastAsia="Calibri"/>
                <w:szCs w:val="20"/>
              </w:rPr>
              <w:t>104</w:t>
            </w:r>
            <w:r w:rsidR="00A67865" w:rsidRPr="007579E2">
              <w:rPr>
                <w:rFonts w:eastAsia="Calibri"/>
                <w:szCs w:val="20"/>
              </w:rPr>
              <w:t xml:space="preserve"> (</w:t>
            </w:r>
            <w:r w:rsidR="00483980" w:rsidRPr="007579E2">
              <w:rPr>
                <w:rFonts w:eastAsia="Calibri"/>
                <w:szCs w:val="20"/>
              </w:rPr>
              <w:t>2</w:t>
            </w:r>
            <w:r w:rsidRPr="007579E2">
              <w:rPr>
                <w:rFonts w:eastAsia="Calibri"/>
                <w:szCs w:val="20"/>
              </w:rPr>
              <w:t>3</w:t>
            </w:r>
            <w:r w:rsidR="00A67865" w:rsidRPr="007579E2">
              <w:rPr>
                <w:rFonts w:eastAsia="Calibri"/>
                <w:szCs w:val="20"/>
              </w:rPr>
              <w:t>%)</w:t>
            </w:r>
          </w:p>
        </w:tc>
      </w:tr>
      <w:tr w:rsidR="00E33A35" w:rsidRPr="007579E2" w:rsidTr="004266AE">
        <w:trPr>
          <w:trHeight w:val="249"/>
        </w:trPr>
        <w:tc>
          <w:tcPr>
            <w:tcW w:w="2013" w:type="dxa"/>
            <w:tcMar>
              <w:left w:w="28" w:type="dxa"/>
              <w:right w:w="28" w:type="dxa"/>
            </w:tcMar>
            <w:vAlign w:val="center"/>
          </w:tcPr>
          <w:p w:rsidR="00E33A35" w:rsidRPr="007579E2" w:rsidRDefault="00E33A35" w:rsidP="007E6F21">
            <w:pPr>
              <w:pStyle w:val="Tabletext"/>
              <w:rPr>
                <w:rFonts w:eastAsia="Calibri"/>
                <w:szCs w:val="20"/>
              </w:rPr>
            </w:pPr>
            <w:r w:rsidRPr="007579E2">
              <w:rPr>
                <w:rFonts w:eastAsia="Calibri"/>
                <w:szCs w:val="20"/>
              </w:rPr>
              <w:t>III unspecified/missing</w:t>
            </w:r>
          </w:p>
        </w:tc>
        <w:tc>
          <w:tcPr>
            <w:tcW w:w="1276"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5 (1%)</w:t>
            </w:r>
          </w:p>
        </w:tc>
        <w:tc>
          <w:tcPr>
            <w:tcW w:w="1275"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8 (2%)</w:t>
            </w:r>
          </w:p>
        </w:tc>
        <w:tc>
          <w:tcPr>
            <w:tcW w:w="1276"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4 (&lt; 1%)</w:t>
            </w:r>
          </w:p>
        </w:tc>
        <w:tc>
          <w:tcPr>
            <w:tcW w:w="1276" w:type="dxa"/>
            <w:tcMar>
              <w:left w:w="28" w:type="dxa"/>
              <w:right w:w="28" w:type="dxa"/>
            </w:tcMar>
          </w:tcPr>
          <w:p w:rsidR="00E33A35" w:rsidRPr="007579E2" w:rsidRDefault="00E33A35" w:rsidP="007E6F21">
            <w:pPr>
              <w:pStyle w:val="Tabletext"/>
              <w:jc w:val="center"/>
              <w:rPr>
                <w:rFonts w:eastAsia="Calibri"/>
                <w:szCs w:val="20"/>
              </w:rPr>
            </w:pPr>
            <w:r w:rsidRPr="007579E2">
              <w:rPr>
                <w:rFonts w:eastAsia="Calibri"/>
                <w:szCs w:val="20"/>
              </w:rPr>
              <w:t>8 (2%)</w:t>
            </w:r>
          </w:p>
        </w:tc>
        <w:tc>
          <w:tcPr>
            <w:tcW w:w="1901" w:type="dxa"/>
            <w:tcMar>
              <w:left w:w="28" w:type="dxa"/>
              <w:right w:w="28" w:type="dxa"/>
            </w:tcMar>
          </w:tcPr>
          <w:p w:rsidR="00E33A35" w:rsidRPr="007579E2" w:rsidRDefault="00483980" w:rsidP="007E6F21">
            <w:pPr>
              <w:pStyle w:val="Tabletext"/>
              <w:jc w:val="center"/>
              <w:rPr>
                <w:rFonts w:eastAsia="Calibri"/>
                <w:szCs w:val="20"/>
              </w:rPr>
            </w:pPr>
            <w:r w:rsidRPr="007579E2">
              <w:rPr>
                <w:rFonts w:eastAsia="Calibri"/>
                <w:szCs w:val="20"/>
              </w:rPr>
              <w:t>-</w:t>
            </w:r>
          </w:p>
        </w:tc>
      </w:tr>
    </w:tbl>
    <w:p w:rsidR="005015C6" w:rsidRPr="007579E2" w:rsidRDefault="003B7C70" w:rsidP="007E6F21">
      <w:pPr>
        <w:pStyle w:val="TableFooter"/>
        <w:widowControl/>
      </w:pPr>
      <w:r w:rsidRPr="007579E2">
        <w:t>AJCC = American Joint Committee on Cancer</w:t>
      </w:r>
      <w:r w:rsidR="002B7F94" w:rsidRPr="007579E2">
        <w:t xml:space="preserve">; DAB+TRAM = </w:t>
      </w:r>
      <w:proofErr w:type="spellStart"/>
      <w:r w:rsidR="002B7F94" w:rsidRPr="007579E2">
        <w:t>dabrafenib</w:t>
      </w:r>
      <w:proofErr w:type="spellEnd"/>
      <w:r w:rsidR="002B7F94" w:rsidRPr="007579E2">
        <w:t xml:space="preserve"> plus </w:t>
      </w:r>
      <w:proofErr w:type="spellStart"/>
      <w:r w:rsidR="002B7F94" w:rsidRPr="007579E2">
        <w:t>trametinib</w:t>
      </w:r>
      <w:proofErr w:type="spellEnd"/>
    </w:p>
    <w:p w:rsidR="003B7C70" w:rsidRPr="007579E2" w:rsidRDefault="003B7C70" w:rsidP="007E6F21">
      <w:pPr>
        <w:pStyle w:val="TableFooter"/>
        <w:widowControl/>
        <w:rPr>
          <w:szCs w:val="18"/>
        </w:rPr>
      </w:pPr>
      <w:r w:rsidRPr="007579E2">
        <w:t xml:space="preserve">Source: </w:t>
      </w:r>
      <w:proofErr w:type="spellStart"/>
      <w:r w:rsidRPr="007579E2">
        <w:rPr>
          <w:szCs w:val="18"/>
        </w:rPr>
        <w:t>Hauschild</w:t>
      </w:r>
      <w:proofErr w:type="spellEnd"/>
      <w:r w:rsidRPr="007579E2">
        <w:rPr>
          <w:szCs w:val="18"/>
        </w:rPr>
        <w:t xml:space="preserve"> et al 2018</w:t>
      </w:r>
      <w:r w:rsidR="00891BC3" w:rsidRPr="007579E2">
        <w:rPr>
          <w:szCs w:val="18"/>
        </w:rPr>
        <w:t xml:space="preserve">, </w:t>
      </w:r>
      <w:proofErr w:type="spellStart"/>
      <w:r w:rsidR="00891BC3" w:rsidRPr="007579E2">
        <w:rPr>
          <w:szCs w:val="18"/>
        </w:rPr>
        <w:t>Haydu</w:t>
      </w:r>
      <w:proofErr w:type="spellEnd"/>
      <w:r w:rsidR="00891BC3" w:rsidRPr="007579E2">
        <w:rPr>
          <w:szCs w:val="18"/>
        </w:rPr>
        <w:t xml:space="preserve"> </w:t>
      </w:r>
      <w:r w:rsidR="00483CDF" w:rsidRPr="007579E2">
        <w:rPr>
          <w:szCs w:val="18"/>
        </w:rPr>
        <w:t>et al 2017</w:t>
      </w:r>
    </w:p>
    <w:p w:rsidR="00483980" w:rsidRPr="007579E2" w:rsidRDefault="00BD260A" w:rsidP="007E6F21">
      <w:pPr>
        <w:pStyle w:val="TableFooter"/>
        <w:widowControl/>
        <w:rPr>
          <w:szCs w:val="18"/>
        </w:rPr>
      </w:pPr>
      <w:proofErr w:type="spellStart"/>
      <w:proofErr w:type="gramStart"/>
      <w:r w:rsidRPr="007579E2">
        <w:rPr>
          <w:szCs w:val="18"/>
          <w:vertAlign w:val="superscript"/>
        </w:rPr>
        <w:t>a</w:t>
      </w:r>
      <w:proofErr w:type="spellEnd"/>
      <w:proofErr w:type="gramEnd"/>
      <w:r w:rsidRPr="007579E2">
        <w:rPr>
          <w:szCs w:val="18"/>
          <w:vertAlign w:val="superscript"/>
        </w:rPr>
        <w:t xml:space="preserve"> </w:t>
      </w:r>
      <w:r w:rsidR="00483980" w:rsidRPr="007579E2">
        <w:rPr>
          <w:szCs w:val="18"/>
        </w:rPr>
        <w:t xml:space="preserve">Included patients with Stage III disease regardless of </w:t>
      </w:r>
      <w:proofErr w:type="spellStart"/>
      <w:r w:rsidR="00483980" w:rsidRPr="007579E2">
        <w:rPr>
          <w:szCs w:val="18"/>
        </w:rPr>
        <w:t>resectable</w:t>
      </w:r>
      <w:proofErr w:type="spellEnd"/>
      <w:r w:rsidR="00483980" w:rsidRPr="007579E2">
        <w:rPr>
          <w:szCs w:val="18"/>
        </w:rPr>
        <w:t>/</w:t>
      </w:r>
      <w:proofErr w:type="spellStart"/>
      <w:r w:rsidR="00483980" w:rsidRPr="007579E2">
        <w:rPr>
          <w:szCs w:val="18"/>
        </w:rPr>
        <w:t>unresectable</w:t>
      </w:r>
      <w:proofErr w:type="spellEnd"/>
      <w:r w:rsidR="00483980" w:rsidRPr="007579E2">
        <w:rPr>
          <w:szCs w:val="18"/>
        </w:rPr>
        <w:t xml:space="preserve"> status or BRAF mutation status</w:t>
      </w:r>
    </w:p>
    <w:p w:rsidR="00BD260A" w:rsidRPr="007579E2" w:rsidRDefault="00BD260A" w:rsidP="007E6F21">
      <w:pPr>
        <w:pStyle w:val="TableFooter"/>
        <w:widowControl/>
        <w:rPr>
          <w:szCs w:val="18"/>
        </w:rPr>
      </w:pPr>
      <w:proofErr w:type="gramStart"/>
      <w:r w:rsidRPr="007579E2">
        <w:rPr>
          <w:szCs w:val="18"/>
          <w:vertAlign w:val="superscript"/>
        </w:rPr>
        <w:t>b</w:t>
      </w:r>
      <w:proofErr w:type="gramEnd"/>
      <w:r w:rsidRPr="007579E2">
        <w:rPr>
          <w:szCs w:val="18"/>
          <w:vertAlign w:val="superscript"/>
        </w:rPr>
        <w:t xml:space="preserve"> </w:t>
      </w:r>
      <w:r w:rsidR="00F97EE8" w:rsidRPr="007579E2">
        <w:rPr>
          <w:szCs w:val="18"/>
        </w:rPr>
        <w:t xml:space="preserve">Included patients with Stage IIIA disease metastases </w:t>
      </w:r>
      <w:r w:rsidR="002B7F94" w:rsidRPr="007579E2">
        <w:rPr>
          <w:szCs w:val="18"/>
        </w:rPr>
        <w:t>≤</w:t>
      </w:r>
      <w:r w:rsidR="00F97EE8" w:rsidRPr="007579E2">
        <w:rPr>
          <w:szCs w:val="18"/>
        </w:rPr>
        <w:t xml:space="preserve"> and &gt; 1 mm</w:t>
      </w:r>
    </w:p>
    <w:p w:rsidR="00A57F1C" w:rsidRPr="007579E2" w:rsidRDefault="00A57F1C" w:rsidP="00061E01">
      <w:pPr>
        <w:pStyle w:val="ListParagraph"/>
        <w:widowControl/>
        <w:numPr>
          <w:ilvl w:val="1"/>
          <w:numId w:val="2"/>
        </w:numPr>
        <w:spacing w:before="120"/>
      </w:pPr>
      <w:r w:rsidRPr="007579E2">
        <w:t xml:space="preserve">The PBAC noted that the proportion of patients </w:t>
      </w:r>
      <w:r w:rsidR="00263D1A" w:rsidRPr="007579E2">
        <w:t xml:space="preserve">in the COMBI-AD trial </w:t>
      </w:r>
      <w:r w:rsidRPr="007579E2">
        <w:t>with Stage III</w:t>
      </w:r>
      <w:r w:rsidR="00E054C5" w:rsidRPr="007579E2">
        <w:t>D</w:t>
      </w:r>
      <w:r w:rsidRPr="007579E2">
        <w:t xml:space="preserve"> </w:t>
      </w:r>
      <w:r w:rsidR="00E054C5" w:rsidRPr="007579E2">
        <w:t>disease</w:t>
      </w:r>
      <w:r w:rsidRPr="007579E2">
        <w:t>, classified using the 8</w:t>
      </w:r>
      <w:r w:rsidRPr="007579E2">
        <w:rPr>
          <w:vertAlign w:val="superscript"/>
        </w:rPr>
        <w:t>th</w:t>
      </w:r>
      <w:r w:rsidRPr="007579E2">
        <w:t xml:space="preserve"> edition, was low</w:t>
      </w:r>
      <w:r w:rsidR="00E054C5" w:rsidRPr="007579E2">
        <w:t xml:space="preserve"> </w:t>
      </w:r>
      <w:r w:rsidRPr="007579E2">
        <w:t xml:space="preserve">compared to </w:t>
      </w:r>
      <w:r w:rsidR="00E054C5" w:rsidRPr="007579E2">
        <w:t>the Australian population</w:t>
      </w:r>
      <w:r w:rsidRPr="007579E2">
        <w:t>.</w:t>
      </w:r>
    </w:p>
    <w:p w:rsidR="00992CF1" w:rsidRPr="007579E2" w:rsidRDefault="00AB3273" w:rsidP="00061E01">
      <w:pPr>
        <w:pStyle w:val="ListParagraph"/>
        <w:widowControl/>
        <w:numPr>
          <w:ilvl w:val="1"/>
          <w:numId w:val="2"/>
        </w:numPr>
        <w:spacing w:before="120"/>
      </w:pPr>
      <w:r w:rsidRPr="007579E2">
        <w:t>For p</w:t>
      </w:r>
      <w:r w:rsidR="00992CF1" w:rsidRPr="007579E2">
        <w:t xml:space="preserve">atients </w:t>
      </w:r>
      <w:r w:rsidRPr="007579E2">
        <w:t>in</w:t>
      </w:r>
      <w:r w:rsidR="00992CF1" w:rsidRPr="007579E2">
        <w:t xml:space="preserve"> the </w:t>
      </w:r>
      <w:proofErr w:type="spellStart"/>
      <w:r w:rsidR="00992CF1" w:rsidRPr="007579E2">
        <w:t>dabrafenib+trametinib</w:t>
      </w:r>
      <w:proofErr w:type="spellEnd"/>
      <w:r w:rsidR="00992CF1" w:rsidRPr="007579E2">
        <w:t xml:space="preserve"> </w:t>
      </w:r>
      <w:r w:rsidR="00DE3096" w:rsidRPr="007579E2">
        <w:t xml:space="preserve">and the placebo </w:t>
      </w:r>
      <w:r w:rsidR="00992CF1" w:rsidRPr="007579E2">
        <w:t>treatment arm</w:t>
      </w:r>
      <w:r w:rsidR="00DE3096" w:rsidRPr="007579E2">
        <w:t>s</w:t>
      </w:r>
      <w:r w:rsidR="00992CF1" w:rsidRPr="007579E2">
        <w:t xml:space="preserve"> of COMBI-AD who had a distant recurrence following an initial local recurrence, the distant recurrence </w:t>
      </w:r>
      <w:r w:rsidR="00132482" w:rsidRPr="007579E2">
        <w:t xml:space="preserve">was </w:t>
      </w:r>
      <w:r w:rsidR="00992CF1" w:rsidRPr="007579E2">
        <w:t>not counted in the RFS analysis</w:t>
      </w:r>
      <w:r w:rsidR="005B4A89" w:rsidRPr="007579E2">
        <w:t xml:space="preserve"> as only the first occurrence was counted as an event</w:t>
      </w:r>
      <w:r w:rsidR="0034764C" w:rsidRPr="007579E2">
        <w:t xml:space="preserve">. </w:t>
      </w:r>
      <w:r w:rsidR="00992CF1" w:rsidRPr="007579E2">
        <w:t>Distant relapses have a poor</w:t>
      </w:r>
      <w:r w:rsidR="005B4A89" w:rsidRPr="007579E2">
        <w:t>er</w:t>
      </w:r>
      <w:r w:rsidR="00992CF1" w:rsidRPr="007579E2">
        <w:t xml:space="preserve"> prognosis compared with </w:t>
      </w:r>
      <w:proofErr w:type="spellStart"/>
      <w:r w:rsidR="00992CF1" w:rsidRPr="007579E2">
        <w:lastRenderedPageBreak/>
        <w:t>locoregional</w:t>
      </w:r>
      <w:proofErr w:type="spellEnd"/>
      <w:r w:rsidR="00992CF1" w:rsidRPr="007579E2">
        <w:t xml:space="preserve"> relapse. RFS data </w:t>
      </w:r>
      <w:r w:rsidR="004266AE" w:rsidRPr="007579E2">
        <w:t xml:space="preserve">does not provide a complete picture of the adjuvant treatment benefit of </w:t>
      </w:r>
      <w:proofErr w:type="spellStart"/>
      <w:r w:rsidR="007579E2" w:rsidRPr="007579E2">
        <w:t>dabrafenib+trametinib</w:t>
      </w:r>
      <w:proofErr w:type="spellEnd"/>
      <w:r w:rsidR="007579E2" w:rsidRPr="007579E2">
        <w:t xml:space="preserve"> </w:t>
      </w:r>
      <w:r w:rsidR="004266AE" w:rsidRPr="007579E2">
        <w:t>and is not a good surrogate for OS.</w:t>
      </w:r>
    </w:p>
    <w:p w:rsidR="005A2393" w:rsidRPr="007579E2" w:rsidRDefault="00B60939" w:rsidP="00061E01">
      <w:pPr>
        <w:pStyle w:val="Heading2"/>
        <w:widowControl/>
        <w:spacing w:before="120"/>
      </w:pPr>
      <w:bookmarkStart w:id="8" w:name="_Toc536008000"/>
      <w:r w:rsidRPr="007579E2">
        <w:t>Comparative effectiveness</w:t>
      </w:r>
      <w:bookmarkEnd w:id="8"/>
    </w:p>
    <w:p w:rsidR="00EA6C9E" w:rsidRPr="007579E2" w:rsidRDefault="00EA6C9E" w:rsidP="00061E01">
      <w:pPr>
        <w:pStyle w:val="Heading3"/>
        <w:widowControl/>
        <w:spacing w:before="120" w:after="120"/>
      </w:pPr>
      <w:r w:rsidRPr="007579E2">
        <w:t>Adjuvant treatment</w:t>
      </w:r>
    </w:p>
    <w:p w:rsidR="00A74180" w:rsidRPr="007579E2" w:rsidRDefault="00A74180" w:rsidP="00061E01">
      <w:pPr>
        <w:pStyle w:val="ListParagraph"/>
        <w:widowControl/>
        <w:numPr>
          <w:ilvl w:val="1"/>
          <w:numId w:val="2"/>
        </w:numPr>
        <w:spacing w:before="120"/>
      </w:pPr>
      <w:r w:rsidRPr="007579E2">
        <w:t>The results of RFS at data cut-off (30 June 2017) are presented below.</w:t>
      </w:r>
      <w:r w:rsidR="00382B9C" w:rsidRPr="007579E2">
        <w:t xml:space="preserve"> T</w:t>
      </w:r>
      <w:r w:rsidR="00382B9C" w:rsidRPr="007579E2">
        <w:rPr>
          <w:rFonts w:cs="Calibri"/>
          <w:snapToGrid/>
          <w:szCs w:val="24"/>
          <w:lang w:eastAsia="en-AU"/>
        </w:rPr>
        <w:t xml:space="preserve">he median duration of follow-up was 34 months for the </w:t>
      </w:r>
      <w:proofErr w:type="spellStart"/>
      <w:r w:rsidR="00382B9C" w:rsidRPr="007579E2">
        <w:rPr>
          <w:rFonts w:cs="Calibri"/>
          <w:snapToGrid/>
          <w:szCs w:val="24"/>
          <w:lang w:eastAsia="en-AU"/>
        </w:rPr>
        <w:t>dabrafenib+trametinib</w:t>
      </w:r>
      <w:proofErr w:type="spellEnd"/>
      <w:r w:rsidR="00382B9C" w:rsidRPr="007579E2">
        <w:rPr>
          <w:rFonts w:cs="Calibri"/>
          <w:snapToGrid/>
          <w:szCs w:val="24"/>
          <w:lang w:eastAsia="en-AU"/>
        </w:rPr>
        <w:t xml:space="preserve"> arm and 33 months for the placebo arm.</w:t>
      </w:r>
    </w:p>
    <w:p w:rsidR="00A74180" w:rsidRPr="007579E2" w:rsidRDefault="00A74180" w:rsidP="007E6F21">
      <w:pPr>
        <w:pStyle w:val="Caption"/>
        <w:widowControl/>
      </w:pPr>
      <w:r w:rsidRPr="007579E2">
        <w:t xml:space="preserve">Table </w:t>
      </w:r>
      <w:r w:rsidR="00BC1636" w:rsidRPr="007579E2">
        <w:t>5</w:t>
      </w:r>
      <w:r w:rsidRPr="007579E2">
        <w:t>: Primary analysis of relapse-free survival at data cut-off (30 June 2017); Intention-to-treat population</w:t>
      </w:r>
    </w:p>
    <w:tbl>
      <w:tblPr>
        <w:tblStyle w:val="Summarybox11"/>
        <w:tblW w:w="9016" w:type="dxa"/>
        <w:tblLook w:val="04A0" w:firstRow="1" w:lastRow="0" w:firstColumn="1" w:lastColumn="0" w:noHBand="0" w:noVBand="1"/>
        <w:tblCaption w:val="Table 5: Primary analysis of relapse-free survival at data cut-off (30 June 2017); Intention-to-treat population"/>
      </w:tblPr>
      <w:tblGrid>
        <w:gridCol w:w="2972"/>
        <w:gridCol w:w="3022"/>
        <w:gridCol w:w="3022"/>
      </w:tblGrid>
      <w:tr w:rsidR="006A291F" w:rsidRPr="007579E2" w:rsidTr="004579ED">
        <w:trPr>
          <w:cantSplit/>
          <w:trHeight w:val="244"/>
          <w:tblHeader/>
        </w:trPr>
        <w:tc>
          <w:tcPr>
            <w:tcW w:w="2972" w:type="dxa"/>
            <w:tcBorders>
              <w:bottom w:val="single" w:sz="4" w:space="0" w:color="auto"/>
            </w:tcBorders>
            <w:shd w:val="clear" w:color="auto" w:fill="FFFFFF" w:themeFill="background1"/>
          </w:tcPr>
          <w:p w:rsidR="006A291F" w:rsidRPr="007579E2" w:rsidRDefault="006A291F" w:rsidP="007E6F21">
            <w:pPr>
              <w:pStyle w:val="Tabletext"/>
              <w:keepNext/>
              <w:rPr>
                <w:rFonts w:cstheme="minorBidi"/>
                <w:b/>
                <w:sz w:val="22"/>
                <w:lang w:val="en-AU"/>
              </w:rPr>
            </w:pPr>
          </w:p>
        </w:tc>
        <w:tc>
          <w:tcPr>
            <w:tcW w:w="3022" w:type="dxa"/>
            <w:tcBorders>
              <w:bottom w:val="single" w:sz="4" w:space="0" w:color="auto"/>
            </w:tcBorders>
            <w:shd w:val="clear" w:color="auto" w:fill="FFFFFF" w:themeFill="background1"/>
          </w:tcPr>
          <w:p w:rsidR="006A291F" w:rsidRPr="007579E2" w:rsidRDefault="006A291F" w:rsidP="007E6F21">
            <w:pPr>
              <w:pStyle w:val="Tabletext"/>
              <w:keepNext/>
              <w:jc w:val="center"/>
              <w:rPr>
                <w:b/>
                <w:lang w:val="en-AU"/>
              </w:rPr>
            </w:pPr>
            <w:proofErr w:type="spellStart"/>
            <w:r w:rsidRPr="007579E2">
              <w:rPr>
                <w:b/>
                <w:lang w:val="en-AU"/>
              </w:rPr>
              <w:t>Dabrafenib+trametinib</w:t>
            </w:r>
            <w:proofErr w:type="spellEnd"/>
          </w:p>
          <w:p w:rsidR="006A291F" w:rsidRPr="007579E2" w:rsidRDefault="006A291F" w:rsidP="007E6F21">
            <w:pPr>
              <w:pStyle w:val="Tabletext"/>
              <w:keepNext/>
              <w:jc w:val="center"/>
              <w:rPr>
                <w:b/>
                <w:lang w:val="en-AU"/>
              </w:rPr>
            </w:pPr>
            <w:r w:rsidRPr="007579E2">
              <w:rPr>
                <w:b/>
                <w:lang w:val="en-AU"/>
              </w:rPr>
              <w:t>(N = 438)</w:t>
            </w:r>
          </w:p>
        </w:tc>
        <w:tc>
          <w:tcPr>
            <w:tcW w:w="3022" w:type="dxa"/>
            <w:tcBorders>
              <w:bottom w:val="single" w:sz="4" w:space="0" w:color="auto"/>
            </w:tcBorders>
            <w:shd w:val="clear" w:color="auto" w:fill="FFFFFF" w:themeFill="background1"/>
          </w:tcPr>
          <w:p w:rsidR="006A291F" w:rsidRPr="007579E2" w:rsidRDefault="006A291F" w:rsidP="007E6F21">
            <w:pPr>
              <w:pStyle w:val="Tabletext"/>
              <w:keepNext/>
              <w:jc w:val="center"/>
              <w:rPr>
                <w:b/>
                <w:lang w:val="en-AU"/>
              </w:rPr>
            </w:pPr>
            <w:r w:rsidRPr="007579E2">
              <w:rPr>
                <w:b/>
                <w:lang w:val="en-AU"/>
              </w:rPr>
              <w:t>Placebo</w:t>
            </w:r>
          </w:p>
          <w:p w:rsidR="006A291F" w:rsidRPr="007579E2" w:rsidRDefault="006A291F" w:rsidP="007E6F21">
            <w:pPr>
              <w:pStyle w:val="Tabletext"/>
              <w:keepNext/>
              <w:jc w:val="center"/>
              <w:rPr>
                <w:b/>
                <w:lang w:val="en-AU"/>
              </w:rPr>
            </w:pPr>
            <w:r w:rsidRPr="007579E2">
              <w:rPr>
                <w:b/>
                <w:lang w:val="en-AU"/>
              </w:rPr>
              <w:t>(N = 432)</w:t>
            </w:r>
          </w:p>
        </w:tc>
      </w:tr>
      <w:tr w:rsidR="006A291F" w:rsidRPr="007579E2" w:rsidTr="004579ED">
        <w:trPr>
          <w:cantSplit/>
          <w:trHeight w:val="244"/>
        </w:trPr>
        <w:tc>
          <w:tcPr>
            <w:tcW w:w="2972" w:type="dxa"/>
            <w:tcBorders>
              <w:bottom w:val="single" w:sz="4" w:space="0" w:color="auto"/>
            </w:tcBorders>
            <w:vAlign w:val="center"/>
          </w:tcPr>
          <w:p w:rsidR="006A291F" w:rsidRPr="007579E2" w:rsidRDefault="006A291F" w:rsidP="007E6F21">
            <w:pPr>
              <w:pStyle w:val="Tabletext"/>
              <w:keepNext/>
              <w:rPr>
                <w:lang w:val="en-AU"/>
              </w:rPr>
            </w:pPr>
            <w:r w:rsidRPr="007579E2">
              <w:rPr>
                <w:lang w:val="en-AU"/>
              </w:rPr>
              <w:t xml:space="preserve">Relapse </w:t>
            </w:r>
            <w:proofErr w:type="spellStart"/>
            <w:r w:rsidRPr="007579E2">
              <w:rPr>
                <w:lang w:val="en-AU"/>
              </w:rPr>
              <w:t>events</w:t>
            </w:r>
            <w:r w:rsidRPr="007579E2">
              <w:rPr>
                <w:vertAlign w:val="superscript"/>
                <w:lang w:val="en-AU"/>
              </w:rPr>
              <w:t>a</w:t>
            </w:r>
            <w:proofErr w:type="spellEnd"/>
            <w:r w:rsidR="009E37B9" w:rsidRPr="007579E2">
              <w:rPr>
                <w:lang w:val="en-AU"/>
              </w:rPr>
              <w:t>, n (%)</w:t>
            </w:r>
          </w:p>
        </w:tc>
        <w:tc>
          <w:tcPr>
            <w:tcW w:w="3022" w:type="dxa"/>
            <w:tcBorders>
              <w:bottom w:val="single" w:sz="4" w:space="0" w:color="auto"/>
            </w:tcBorders>
          </w:tcPr>
          <w:p w:rsidR="006A291F" w:rsidRPr="007579E2" w:rsidRDefault="006A291F" w:rsidP="007E6F21">
            <w:pPr>
              <w:pStyle w:val="Tabletext"/>
              <w:keepNext/>
              <w:jc w:val="center"/>
              <w:rPr>
                <w:lang w:val="en-AU"/>
              </w:rPr>
            </w:pPr>
            <w:r w:rsidRPr="007579E2">
              <w:rPr>
                <w:lang w:val="en-AU"/>
              </w:rPr>
              <w:t>163 (37</w:t>
            </w:r>
            <w:r w:rsidR="005B4A89" w:rsidRPr="007579E2">
              <w:rPr>
                <w:lang w:val="en-AU"/>
              </w:rPr>
              <w:t>%</w:t>
            </w:r>
            <w:r w:rsidRPr="007579E2">
              <w:rPr>
                <w:lang w:val="en-AU"/>
              </w:rPr>
              <w:t>)</w:t>
            </w:r>
          </w:p>
        </w:tc>
        <w:tc>
          <w:tcPr>
            <w:tcW w:w="3022" w:type="dxa"/>
            <w:tcBorders>
              <w:bottom w:val="single" w:sz="4" w:space="0" w:color="auto"/>
            </w:tcBorders>
          </w:tcPr>
          <w:p w:rsidR="006A291F" w:rsidRPr="007579E2" w:rsidRDefault="006A291F" w:rsidP="007E6F21">
            <w:pPr>
              <w:pStyle w:val="Tabletext"/>
              <w:keepNext/>
              <w:jc w:val="center"/>
              <w:rPr>
                <w:lang w:val="en-AU"/>
              </w:rPr>
            </w:pPr>
            <w:r w:rsidRPr="007579E2">
              <w:rPr>
                <w:lang w:val="en-AU"/>
              </w:rPr>
              <w:t>247 (57</w:t>
            </w:r>
            <w:r w:rsidR="005B4A89" w:rsidRPr="007579E2">
              <w:rPr>
                <w:lang w:val="en-AU"/>
              </w:rPr>
              <w:t>%</w:t>
            </w:r>
            <w:r w:rsidRPr="007579E2">
              <w:rPr>
                <w:lang w:val="en-AU"/>
              </w:rPr>
              <w:t>)</w:t>
            </w:r>
          </w:p>
        </w:tc>
      </w:tr>
      <w:tr w:rsidR="006A291F" w:rsidRPr="007579E2" w:rsidTr="004579ED">
        <w:trPr>
          <w:cantSplit/>
          <w:trHeight w:val="244"/>
        </w:trPr>
        <w:tc>
          <w:tcPr>
            <w:tcW w:w="2972" w:type="dxa"/>
            <w:tcBorders>
              <w:top w:val="single" w:sz="4" w:space="0" w:color="auto"/>
              <w:bottom w:val="single" w:sz="4" w:space="0" w:color="auto"/>
            </w:tcBorders>
            <w:vAlign w:val="center"/>
          </w:tcPr>
          <w:p w:rsidR="006A291F" w:rsidRPr="007579E2" w:rsidRDefault="006A291F" w:rsidP="007E6F21">
            <w:pPr>
              <w:pStyle w:val="Tabletext"/>
              <w:keepNext/>
              <w:tabs>
                <w:tab w:val="left" w:pos="150"/>
              </w:tabs>
              <w:ind w:left="284"/>
              <w:rPr>
                <w:lang w:val="en-AU"/>
              </w:rPr>
            </w:pPr>
            <w:r w:rsidRPr="007579E2">
              <w:rPr>
                <w:lang w:val="en-AU"/>
              </w:rPr>
              <w:t xml:space="preserve">Local/regional </w:t>
            </w:r>
            <w:proofErr w:type="spellStart"/>
            <w:r w:rsidRPr="007579E2">
              <w:rPr>
                <w:lang w:val="en-AU"/>
              </w:rPr>
              <w:t>recurrence</w:t>
            </w:r>
            <w:r w:rsidRPr="007579E2">
              <w:rPr>
                <w:vertAlign w:val="superscript"/>
                <w:lang w:val="en-AU"/>
              </w:rPr>
              <w:t>b</w:t>
            </w:r>
            <w:proofErr w:type="spellEnd"/>
          </w:p>
        </w:tc>
        <w:tc>
          <w:tcPr>
            <w:tcW w:w="3022" w:type="dxa"/>
            <w:tcBorders>
              <w:top w:val="single" w:sz="4" w:space="0" w:color="auto"/>
              <w:bottom w:val="single" w:sz="4" w:space="0" w:color="auto"/>
            </w:tcBorders>
          </w:tcPr>
          <w:p w:rsidR="006A291F" w:rsidRPr="007579E2" w:rsidRDefault="006A291F" w:rsidP="007E6F21">
            <w:pPr>
              <w:pStyle w:val="Tabletext"/>
              <w:keepNext/>
              <w:jc w:val="center"/>
              <w:rPr>
                <w:lang w:val="en-AU"/>
              </w:rPr>
            </w:pPr>
            <w:r w:rsidRPr="007579E2">
              <w:rPr>
                <w:lang w:val="en-AU"/>
              </w:rPr>
              <w:t>61 (14</w:t>
            </w:r>
            <w:r w:rsidR="005B4A89" w:rsidRPr="007579E2">
              <w:rPr>
                <w:lang w:val="en-AU"/>
              </w:rPr>
              <w:t>%</w:t>
            </w:r>
            <w:r w:rsidRPr="007579E2">
              <w:rPr>
                <w:lang w:val="en-AU"/>
              </w:rPr>
              <w:t xml:space="preserve">) </w:t>
            </w:r>
          </w:p>
        </w:tc>
        <w:tc>
          <w:tcPr>
            <w:tcW w:w="3022" w:type="dxa"/>
            <w:tcBorders>
              <w:top w:val="single" w:sz="4" w:space="0" w:color="auto"/>
              <w:bottom w:val="single" w:sz="4" w:space="0" w:color="auto"/>
            </w:tcBorders>
          </w:tcPr>
          <w:p w:rsidR="006A291F" w:rsidRPr="007579E2" w:rsidRDefault="006A291F" w:rsidP="007E6F21">
            <w:pPr>
              <w:pStyle w:val="Tabletext"/>
              <w:keepNext/>
              <w:jc w:val="center"/>
              <w:rPr>
                <w:lang w:val="en-AU"/>
              </w:rPr>
            </w:pPr>
            <w:r w:rsidRPr="007579E2">
              <w:rPr>
                <w:lang w:val="en-AU"/>
              </w:rPr>
              <w:t>114 (26</w:t>
            </w:r>
            <w:r w:rsidR="005B4A89" w:rsidRPr="007579E2">
              <w:rPr>
                <w:lang w:val="en-AU"/>
              </w:rPr>
              <w:t>%</w:t>
            </w:r>
            <w:r w:rsidRPr="007579E2">
              <w:rPr>
                <w:lang w:val="en-AU"/>
              </w:rPr>
              <w:t>)</w:t>
            </w:r>
          </w:p>
        </w:tc>
      </w:tr>
      <w:tr w:rsidR="006A291F" w:rsidRPr="007579E2" w:rsidTr="004579ED">
        <w:trPr>
          <w:cantSplit/>
          <w:trHeight w:val="244"/>
        </w:trPr>
        <w:tc>
          <w:tcPr>
            <w:tcW w:w="2972" w:type="dxa"/>
            <w:tcBorders>
              <w:top w:val="single" w:sz="4" w:space="0" w:color="auto"/>
              <w:bottom w:val="single" w:sz="4" w:space="0" w:color="auto"/>
            </w:tcBorders>
            <w:vAlign w:val="center"/>
          </w:tcPr>
          <w:p w:rsidR="006A291F" w:rsidRPr="007579E2" w:rsidRDefault="006A291F" w:rsidP="007E6F21">
            <w:pPr>
              <w:pStyle w:val="Tabletext"/>
              <w:keepNext/>
              <w:tabs>
                <w:tab w:val="left" w:pos="150"/>
              </w:tabs>
              <w:ind w:left="284"/>
              <w:rPr>
                <w:lang w:val="en-AU"/>
              </w:rPr>
            </w:pPr>
            <w:r w:rsidRPr="007579E2">
              <w:rPr>
                <w:lang w:val="en-AU"/>
              </w:rPr>
              <w:t xml:space="preserve">Distant </w:t>
            </w:r>
            <w:proofErr w:type="spellStart"/>
            <w:r w:rsidRPr="007579E2">
              <w:rPr>
                <w:lang w:val="en-AU"/>
              </w:rPr>
              <w:t>recurrence</w:t>
            </w:r>
            <w:r w:rsidRPr="007579E2">
              <w:rPr>
                <w:vertAlign w:val="superscript"/>
                <w:lang w:val="en-AU"/>
              </w:rPr>
              <w:t>b</w:t>
            </w:r>
            <w:proofErr w:type="spellEnd"/>
          </w:p>
        </w:tc>
        <w:tc>
          <w:tcPr>
            <w:tcW w:w="3022" w:type="dxa"/>
            <w:tcBorders>
              <w:top w:val="single" w:sz="4" w:space="0" w:color="auto"/>
              <w:bottom w:val="single" w:sz="4" w:space="0" w:color="auto"/>
            </w:tcBorders>
          </w:tcPr>
          <w:p w:rsidR="006A291F" w:rsidRPr="007579E2" w:rsidRDefault="006A291F" w:rsidP="007E6F21">
            <w:pPr>
              <w:pStyle w:val="Tabletext"/>
              <w:keepNext/>
              <w:jc w:val="center"/>
              <w:rPr>
                <w:lang w:val="en-AU"/>
              </w:rPr>
            </w:pPr>
            <w:r w:rsidRPr="007579E2">
              <w:rPr>
                <w:lang w:val="en-AU"/>
              </w:rPr>
              <w:t>103 (24</w:t>
            </w:r>
            <w:r w:rsidR="005B4A89" w:rsidRPr="007579E2">
              <w:rPr>
                <w:lang w:val="en-AU"/>
              </w:rPr>
              <w:t>%</w:t>
            </w:r>
            <w:r w:rsidRPr="007579E2">
              <w:rPr>
                <w:lang w:val="en-AU"/>
              </w:rPr>
              <w:t>)</w:t>
            </w:r>
          </w:p>
        </w:tc>
        <w:tc>
          <w:tcPr>
            <w:tcW w:w="3022" w:type="dxa"/>
            <w:tcBorders>
              <w:top w:val="single" w:sz="4" w:space="0" w:color="auto"/>
              <w:bottom w:val="single" w:sz="4" w:space="0" w:color="auto"/>
            </w:tcBorders>
          </w:tcPr>
          <w:p w:rsidR="006A291F" w:rsidRPr="007579E2" w:rsidRDefault="006A291F" w:rsidP="007E6F21">
            <w:pPr>
              <w:pStyle w:val="Tabletext"/>
              <w:keepNext/>
              <w:jc w:val="center"/>
              <w:rPr>
                <w:lang w:val="en-AU"/>
              </w:rPr>
            </w:pPr>
            <w:r w:rsidRPr="007579E2">
              <w:rPr>
                <w:lang w:val="en-AU"/>
              </w:rPr>
              <w:t>133 (31</w:t>
            </w:r>
            <w:r w:rsidR="005B4A89" w:rsidRPr="007579E2">
              <w:rPr>
                <w:lang w:val="en-AU"/>
              </w:rPr>
              <w:t>%</w:t>
            </w:r>
            <w:r w:rsidRPr="007579E2">
              <w:rPr>
                <w:lang w:val="en-AU"/>
              </w:rPr>
              <w:t>)</w:t>
            </w:r>
          </w:p>
        </w:tc>
      </w:tr>
      <w:tr w:rsidR="006A291F" w:rsidRPr="007579E2" w:rsidTr="004579ED">
        <w:trPr>
          <w:cantSplit/>
          <w:trHeight w:val="244"/>
        </w:trPr>
        <w:tc>
          <w:tcPr>
            <w:tcW w:w="2972" w:type="dxa"/>
            <w:tcBorders>
              <w:top w:val="single" w:sz="4" w:space="0" w:color="auto"/>
            </w:tcBorders>
            <w:vAlign w:val="center"/>
          </w:tcPr>
          <w:p w:rsidR="006A291F" w:rsidRPr="007579E2" w:rsidRDefault="006A291F" w:rsidP="007E6F21">
            <w:pPr>
              <w:pStyle w:val="Tabletext"/>
              <w:keepNext/>
              <w:tabs>
                <w:tab w:val="left" w:pos="150"/>
              </w:tabs>
              <w:ind w:left="284"/>
              <w:rPr>
                <w:lang w:val="en-AU"/>
              </w:rPr>
            </w:pPr>
            <w:r w:rsidRPr="007579E2">
              <w:rPr>
                <w:lang w:val="en-AU"/>
              </w:rPr>
              <w:t xml:space="preserve">Second primary </w:t>
            </w:r>
            <w:proofErr w:type="spellStart"/>
            <w:r w:rsidRPr="007579E2">
              <w:rPr>
                <w:lang w:val="en-AU"/>
              </w:rPr>
              <w:t>melanoma</w:t>
            </w:r>
            <w:r w:rsidRPr="007579E2">
              <w:rPr>
                <w:vertAlign w:val="superscript"/>
                <w:lang w:val="en-AU"/>
              </w:rPr>
              <w:t>c</w:t>
            </w:r>
            <w:proofErr w:type="spellEnd"/>
          </w:p>
        </w:tc>
        <w:tc>
          <w:tcPr>
            <w:tcW w:w="3022" w:type="dxa"/>
            <w:tcBorders>
              <w:top w:val="single" w:sz="4" w:space="0" w:color="auto"/>
            </w:tcBorders>
          </w:tcPr>
          <w:p w:rsidR="006A291F" w:rsidRPr="007579E2" w:rsidRDefault="006A291F" w:rsidP="007E6F21">
            <w:pPr>
              <w:pStyle w:val="Tabletext"/>
              <w:keepNext/>
              <w:jc w:val="center"/>
              <w:rPr>
                <w:lang w:val="en-AU"/>
              </w:rPr>
            </w:pPr>
            <w:r w:rsidRPr="007579E2">
              <w:rPr>
                <w:lang w:val="en-AU"/>
              </w:rPr>
              <w:t>7 (2</w:t>
            </w:r>
            <w:r w:rsidR="005B4A89" w:rsidRPr="007579E2">
              <w:rPr>
                <w:lang w:val="en-AU"/>
              </w:rPr>
              <w:t>%</w:t>
            </w:r>
            <w:r w:rsidRPr="007579E2">
              <w:rPr>
                <w:lang w:val="en-AU"/>
              </w:rPr>
              <w:t>)</w:t>
            </w:r>
          </w:p>
        </w:tc>
        <w:tc>
          <w:tcPr>
            <w:tcW w:w="3022" w:type="dxa"/>
            <w:tcBorders>
              <w:top w:val="single" w:sz="4" w:space="0" w:color="auto"/>
            </w:tcBorders>
          </w:tcPr>
          <w:p w:rsidR="006A291F" w:rsidRPr="007579E2" w:rsidRDefault="006A291F" w:rsidP="007E6F21">
            <w:pPr>
              <w:pStyle w:val="Tabletext"/>
              <w:keepNext/>
              <w:jc w:val="center"/>
              <w:rPr>
                <w:lang w:val="en-AU"/>
              </w:rPr>
            </w:pPr>
            <w:r w:rsidRPr="007579E2">
              <w:rPr>
                <w:lang w:val="en-AU"/>
              </w:rPr>
              <w:t>8 (2</w:t>
            </w:r>
            <w:r w:rsidR="005B4A89" w:rsidRPr="007579E2">
              <w:rPr>
                <w:lang w:val="en-AU"/>
              </w:rPr>
              <w:t>%</w:t>
            </w:r>
            <w:r w:rsidRPr="007579E2">
              <w:rPr>
                <w:lang w:val="en-AU"/>
              </w:rPr>
              <w:t>)</w:t>
            </w:r>
          </w:p>
        </w:tc>
      </w:tr>
      <w:tr w:rsidR="006A291F" w:rsidRPr="007579E2" w:rsidTr="004579ED">
        <w:trPr>
          <w:cantSplit/>
          <w:trHeight w:val="244"/>
        </w:trPr>
        <w:tc>
          <w:tcPr>
            <w:tcW w:w="2972" w:type="dxa"/>
            <w:tcBorders>
              <w:bottom w:val="single" w:sz="4" w:space="0" w:color="auto"/>
            </w:tcBorders>
            <w:vAlign w:val="center"/>
          </w:tcPr>
          <w:p w:rsidR="006A291F" w:rsidRPr="007579E2" w:rsidRDefault="006A291F" w:rsidP="007E6F21">
            <w:pPr>
              <w:pStyle w:val="Tabletext"/>
              <w:keepNext/>
              <w:rPr>
                <w:lang w:val="en-AU"/>
              </w:rPr>
            </w:pPr>
            <w:proofErr w:type="spellStart"/>
            <w:r w:rsidRPr="007579E2">
              <w:rPr>
                <w:lang w:val="en-AU"/>
              </w:rPr>
              <w:t>Deaths</w:t>
            </w:r>
            <w:r w:rsidRPr="007579E2">
              <w:rPr>
                <w:vertAlign w:val="superscript"/>
                <w:lang w:val="en-AU"/>
              </w:rPr>
              <w:t>d</w:t>
            </w:r>
            <w:proofErr w:type="spellEnd"/>
            <w:r w:rsidRPr="007579E2">
              <w:rPr>
                <w:lang w:val="en-AU"/>
              </w:rPr>
              <w:t>, n (%)</w:t>
            </w:r>
          </w:p>
        </w:tc>
        <w:tc>
          <w:tcPr>
            <w:tcW w:w="3022" w:type="dxa"/>
            <w:tcBorders>
              <w:bottom w:val="single" w:sz="4" w:space="0" w:color="auto"/>
            </w:tcBorders>
          </w:tcPr>
          <w:p w:rsidR="006A291F" w:rsidRPr="007579E2" w:rsidRDefault="006A291F" w:rsidP="007E6F21">
            <w:pPr>
              <w:pStyle w:val="Tabletext"/>
              <w:keepNext/>
              <w:jc w:val="center"/>
              <w:rPr>
                <w:lang w:val="en-AU"/>
              </w:rPr>
            </w:pPr>
            <w:r w:rsidRPr="007579E2">
              <w:rPr>
                <w:lang w:val="en-AU"/>
              </w:rPr>
              <w:t>3 (&lt; 1</w:t>
            </w:r>
            <w:r w:rsidR="005B4A89" w:rsidRPr="007579E2">
              <w:rPr>
                <w:lang w:val="en-AU"/>
              </w:rPr>
              <w:t>%</w:t>
            </w:r>
            <w:r w:rsidRPr="007579E2">
              <w:rPr>
                <w:lang w:val="en-AU"/>
              </w:rPr>
              <w:t>)</w:t>
            </w:r>
          </w:p>
        </w:tc>
        <w:tc>
          <w:tcPr>
            <w:tcW w:w="3022" w:type="dxa"/>
            <w:tcBorders>
              <w:bottom w:val="single" w:sz="4" w:space="0" w:color="auto"/>
            </w:tcBorders>
          </w:tcPr>
          <w:p w:rsidR="006A291F" w:rsidRPr="007579E2" w:rsidRDefault="006A291F" w:rsidP="007E6F21">
            <w:pPr>
              <w:pStyle w:val="Tabletext"/>
              <w:keepNext/>
              <w:jc w:val="center"/>
              <w:rPr>
                <w:lang w:val="en-AU"/>
              </w:rPr>
            </w:pPr>
            <w:r w:rsidRPr="007579E2">
              <w:rPr>
                <w:lang w:val="en-AU"/>
              </w:rPr>
              <w:t>1 (&lt; 1</w:t>
            </w:r>
            <w:r w:rsidR="005B4A89" w:rsidRPr="007579E2">
              <w:rPr>
                <w:lang w:val="en-AU"/>
              </w:rPr>
              <w:t>%</w:t>
            </w:r>
            <w:r w:rsidRPr="007579E2">
              <w:rPr>
                <w:lang w:val="en-AU"/>
              </w:rPr>
              <w:t>)</w:t>
            </w:r>
          </w:p>
        </w:tc>
      </w:tr>
      <w:tr w:rsidR="006A291F" w:rsidRPr="007579E2" w:rsidTr="004579ED">
        <w:trPr>
          <w:cantSplit/>
          <w:trHeight w:val="244"/>
        </w:trPr>
        <w:tc>
          <w:tcPr>
            <w:tcW w:w="2972" w:type="dxa"/>
            <w:tcBorders>
              <w:bottom w:val="nil"/>
            </w:tcBorders>
            <w:vAlign w:val="center"/>
          </w:tcPr>
          <w:p w:rsidR="006A291F" w:rsidRPr="007579E2" w:rsidRDefault="006A291F" w:rsidP="007E6F21">
            <w:pPr>
              <w:pStyle w:val="Tabletext"/>
              <w:keepNext/>
              <w:rPr>
                <w:lang w:val="en-AU"/>
              </w:rPr>
            </w:pPr>
            <w:r w:rsidRPr="007579E2">
              <w:rPr>
                <w:lang w:val="en-AU"/>
              </w:rPr>
              <w:t xml:space="preserve">Censored </w:t>
            </w:r>
            <w:proofErr w:type="spellStart"/>
            <w:r w:rsidRPr="007579E2">
              <w:rPr>
                <w:lang w:val="en-AU"/>
              </w:rPr>
              <w:t>patients</w:t>
            </w:r>
            <w:r w:rsidRPr="007579E2">
              <w:rPr>
                <w:vertAlign w:val="superscript"/>
                <w:lang w:val="en-AU"/>
              </w:rPr>
              <w:t>e</w:t>
            </w:r>
            <w:proofErr w:type="spellEnd"/>
            <w:r w:rsidR="009E37B9" w:rsidRPr="007579E2">
              <w:rPr>
                <w:lang w:val="en-AU"/>
              </w:rPr>
              <w:t>, n (%)</w:t>
            </w:r>
          </w:p>
        </w:tc>
        <w:tc>
          <w:tcPr>
            <w:tcW w:w="3022" w:type="dxa"/>
            <w:tcBorders>
              <w:bottom w:val="nil"/>
            </w:tcBorders>
          </w:tcPr>
          <w:p w:rsidR="006A291F" w:rsidRPr="007579E2" w:rsidRDefault="006A291F" w:rsidP="007E6F21">
            <w:pPr>
              <w:pStyle w:val="Tabletext"/>
              <w:keepNext/>
              <w:jc w:val="center"/>
              <w:rPr>
                <w:lang w:val="en-AU"/>
              </w:rPr>
            </w:pPr>
            <w:r w:rsidRPr="007579E2">
              <w:rPr>
                <w:lang w:val="en-AU"/>
              </w:rPr>
              <w:t>272 (62</w:t>
            </w:r>
            <w:r w:rsidR="005B4A89" w:rsidRPr="007579E2">
              <w:rPr>
                <w:lang w:val="en-AU"/>
              </w:rPr>
              <w:t>%</w:t>
            </w:r>
            <w:r w:rsidRPr="007579E2">
              <w:rPr>
                <w:lang w:val="en-AU"/>
              </w:rPr>
              <w:t>)</w:t>
            </w:r>
          </w:p>
        </w:tc>
        <w:tc>
          <w:tcPr>
            <w:tcW w:w="3022" w:type="dxa"/>
            <w:tcBorders>
              <w:bottom w:val="nil"/>
            </w:tcBorders>
          </w:tcPr>
          <w:p w:rsidR="006A291F" w:rsidRPr="007579E2" w:rsidRDefault="006A291F" w:rsidP="007E6F21">
            <w:pPr>
              <w:pStyle w:val="Tabletext"/>
              <w:keepNext/>
              <w:jc w:val="center"/>
              <w:rPr>
                <w:lang w:val="en-AU"/>
              </w:rPr>
            </w:pPr>
            <w:r w:rsidRPr="007579E2">
              <w:rPr>
                <w:lang w:val="en-AU"/>
              </w:rPr>
              <w:t>184 (43</w:t>
            </w:r>
            <w:r w:rsidR="005B4A89" w:rsidRPr="007579E2">
              <w:rPr>
                <w:lang w:val="en-AU"/>
              </w:rPr>
              <w:t>%</w:t>
            </w:r>
            <w:r w:rsidRPr="007579E2">
              <w:rPr>
                <w:lang w:val="en-AU"/>
              </w:rPr>
              <w:t>)</w:t>
            </w:r>
          </w:p>
        </w:tc>
      </w:tr>
      <w:tr w:rsidR="006A291F" w:rsidRPr="007579E2" w:rsidTr="004579ED">
        <w:trPr>
          <w:cantSplit/>
          <w:trHeight w:val="244"/>
        </w:trPr>
        <w:tc>
          <w:tcPr>
            <w:tcW w:w="2972" w:type="dxa"/>
            <w:tcBorders>
              <w:top w:val="nil"/>
              <w:bottom w:val="nil"/>
            </w:tcBorders>
            <w:vAlign w:val="center"/>
          </w:tcPr>
          <w:p w:rsidR="006A291F" w:rsidRPr="007579E2" w:rsidDel="00680128" w:rsidRDefault="006A291F" w:rsidP="007E6F21">
            <w:pPr>
              <w:pStyle w:val="Tabletext"/>
              <w:keepNext/>
              <w:ind w:left="284"/>
              <w:rPr>
                <w:lang w:val="en-AU"/>
              </w:rPr>
            </w:pPr>
            <w:r w:rsidRPr="007579E2">
              <w:rPr>
                <w:lang w:val="en-AU"/>
              </w:rPr>
              <w:t xml:space="preserve">Follow-up ended </w:t>
            </w:r>
          </w:p>
        </w:tc>
        <w:tc>
          <w:tcPr>
            <w:tcW w:w="3022" w:type="dxa"/>
            <w:tcBorders>
              <w:top w:val="nil"/>
              <w:bottom w:val="nil"/>
            </w:tcBorders>
          </w:tcPr>
          <w:p w:rsidR="006A291F" w:rsidRPr="007579E2" w:rsidRDefault="006A291F" w:rsidP="007E6F21">
            <w:pPr>
              <w:pStyle w:val="Tabletext"/>
              <w:keepNext/>
              <w:jc w:val="center"/>
              <w:rPr>
                <w:lang w:val="en-AU"/>
              </w:rPr>
            </w:pPr>
            <w:r w:rsidRPr="007579E2">
              <w:rPr>
                <w:lang w:val="en-AU"/>
              </w:rPr>
              <w:t>43 (10</w:t>
            </w:r>
            <w:r w:rsidR="005B4A89" w:rsidRPr="007579E2">
              <w:rPr>
                <w:lang w:val="en-AU"/>
              </w:rPr>
              <w:t>%</w:t>
            </w:r>
            <w:r w:rsidRPr="007579E2">
              <w:rPr>
                <w:lang w:val="en-AU"/>
              </w:rPr>
              <w:t>)</w:t>
            </w:r>
          </w:p>
        </w:tc>
        <w:tc>
          <w:tcPr>
            <w:tcW w:w="3022" w:type="dxa"/>
            <w:tcBorders>
              <w:top w:val="nil"/>
              <w:bottom w:val="nil"/>
            </w:tcBorders>
          </w:tcPr>
          <w:p w:rsidR="006A291F" w:rsidRPr="007579E2" w:rsidRDefault="006A291F" w:rsidP="007E6F21">
            <w:pPr>
              <w:pStyle w:val="Tabletext"/>
              <w:keepNext/>
              <w:jc w:val="center"/>
              <w:rPr>
                <w:lang w:val="en-AU"/>
              </w:rPr>
            </w:pPr>
            <w:r w:rsidRPr="007579E2">
              <w:rPr>
                <w:lang w:val="en-AU"/>
              </w:rPr>
              <w:t>35 (8</w:t>
            </w:r>
            <w:r w:rsidR="005B4A89" w:rsidRPr="007579E2">
              <w:rPr>
                <w:lang w:val="en-AU"/>
              </w:rPr>
              <w:t>%</w:t>
            </w:r>
            <w:r w:rsidRPr="007579E2">
              <w:rPr>
                <w:lang w:val="en-AU"/>
              </w:rPr>
              <w:t>)</w:t>
            </w:r>
          </w:p>
        </w:tc>
      </w:tr>
      <w:tr w:rsidR="006A291F" w:rsidRPr="007579E2" w:rsidTr="004579ED">
        <w:trPr>
          <w:cantSplit/>
          <w:trHeight w:val="244"/>
        </w:trPr>
        <w:tc>
          <w:tcPr>
            <w:tcW w:w="2972" w:type="dxa"/>
            <w:tcBorders>
              <w:top w:val="nil"/>
              <w:bottom w:val="single" w:sz="4" w:space="0" w:color="auto"/>
            </w:tcBorders>
            <w:vAlign w:val="center"/>
          </w:tcPr>
          <w:p w:rsidR="006A291F" w:rsidRPr="007579E2" w:rsidRDefault="006A291F" w:rsidP="007E6F21">
            <w:pPr>
              <w:pStyle w:val="Tabletext"/>
              <w:keepNext/>
              <w:ind w:left="284"/>
              <w:rPr>
                <w:lang w:val="en-AU"/>
              </w:rPr>
            </w:pPr>
            <w:r w:rsidRPr="007579E2">
              <w:rPr>
                <w:lang w:val="en-AU"/>
              </w:rPr>
              <w:t xml:space="preserve">Follow-up ongoing </w:t>
            </w:r>
          </w:p>
        </w:tc>
        <w:tc>
          <w:tcPr>
            <w:tcW w:w="3022" w:type="dxa"/>
            <w:tcBorders>
              <w:top w:val="nil"/>
              <w:bottom w:val="nil"/>
            </w:tcBorders>
          </w:tcPr>
          <w:p w:rsidR="006A291F" w:rsidRPr="007579E2" w:rsidRDefault="006A291F" w:rsidP="007E6F21">
            <w:pPr>
              <w:pStyle w:val="Tabletext"/>
              <w:keepNext/>
              <w:jc w:val="center"/>
              <w:rPr>
                <w:lang w:val="en-AU"/>
              </w:rPr>
            </w:pPr>
            <w:r w:rsidRPr="007579E2">
              <w:rPr>
                <w:lang w:val="en-AU"/>
              </w:rPr>
              <w:t>229 (52</w:t>
            </w:r>
            <w:r w:rsidR="005B4A89" w:rsidRPr="007579E2">
              <w:rPr>
                <w:lang w:val="en-AU"/>
              </w:rPr>
              <w:t>%</w:t>
            </w:r>
            <w:r w:rsidRPr="007579E2">
              <w:rPr>
                <w:lang w:val="en-AU"/>
              </w:rPr>
              <w:t>)</w:t>
            </w:r>
          </w:p>
        </w:tc>
        <w:tc>
          <w:tcPr>
            <w:tcW w:w="3022" w:type="dxa"/>
            <w:tcBorders>
              <w:top w:val="nil"/>
              <w:bottom w:val="single" w:sz="4" w:space="0" w:color="auto"/>
            </w:tcBorders>
          </w:tcPr>
          <w:p w:rsidR="006A291F" w:rsidRPr="007579E2" w:rsidRDefault="006A291F" w:rsidP="007E6F21">
            <w:pPr>
              <w:pStyle w:val="Tabletext"/>
              <w:keepNext/>
              <w:jc w:val="center"/>
              <w:rPr>
                <w:lang w:val="en-AU"/>
              </w:rPr>
            </w:pPr>
            <w:r w:rsidRPr="007579E2">
              <w:rPr>
                <w:lang w:val="en-AU"/>
              </w:rPr>
              <w:t>149 (34</w:t>
            </w:r>
            <w:r w:rsidR="005B4A89" w:rsidRPr="007579E2">
              <w:rPr>
                <w:lang w:val="en-AU"/>
              </w:rPr>
              <w:t>%</w:t>
            </w:r>
            <w:r w:rsidRPr="007579E2">
              <w:rPr>
                <w:lang w:val="en-AU"/>
              </w:rPr>
              <w:t>)</w:t>
            </w:r>
          </w:p>
        </w:tc>
      </w:tr>
      <w:tr w:rsidR="006A291F" w:rsidRPr="007579E2" w:rsidTr="004579ED">
        <w:trPr>
          <w:cantSplit/>
          <w:trHeight w:val="244"/>
        </w:trPr>
        <w:tc>
          <w:tcPr>
            <w:tcW w:w="9016" w:type="dxa"/>
            <w:gridSpan w:val="3"/>
            <w:tcBorders>
              <w:top w:val="single" w:sz="4" w:space="0" w:color="auto"/>
              <w:bottom w:val="single" w:sz="4" w:space="0" w:color="auto"/>
            </w:tcBorders>
            <w:vAlign w:val="center"/>
          </w:tcPr>
          <w:p w:rsidR="006A291F" w:rsidRPr="007579E2" w:rsidRDefault="006A291F" w:rsidP="007E6F21">
            <w:pPr>
              <w:pStyle w:val="Tabletext"/>
              <w:keepNext/>
              <w:rPr>
                <w:lang w:val="en-AU"/>
              </w:rPr>
            </w:pPr>
            <w:r w:rsidRPr="007579E2">
              <w:rPr>
                <w:lang w:val="en-AU"/>
              </w:rPr>
              <w:t xml:space="preserve">RFS percentiles, </w:t>
            </w:r>
            <w:r w:rsidR="00E054C5" w:rsidRPr="007579E2">
              <w:rPr>
                <w:lang w:val="en-AU"/>
              </w:rPr>
              <w:t>months (</w:t>
            </w:r>
            <w:r w:rsidRPr="007579E2">
              <w:rPr>
                <w:lang w:val="en-AU"/>
              </w:rPr>
              <w:t>95% CI</w:t>
            </w:r>
            <w:r w:rsidR="00E054C5" w:rsidRPr="007579E2">
              <w:rPr>
                <w:lang w:val="en-AU"/>
              </w:rPr>
              <w:t>)</w:t>
            </w:r>
          </w:p>
        </w:tc>
      </w:tr>
      <w:tr w:rsidR="006A291F" w:rsidRPr="007579E2" w:rsidTr="004579ED">
        <w:trPr>
          <w:cantSplit/>
          <w:trHeight w:val="244"/>
        </w:trPr>
        <w:tc>
          <w:tcPr>
            <w:tcW w:w="2972" w:type="dxa"/>
            <w:tcBorders>
              <w:top w:val="single" w:sz="4" w:space="0" w:color="auto"/>
              <w:bottom w:val="nil"/>
            </w:tcBorders>
            <w:vAlign w:val="center"/>
          </w:tcPr>
          <w:p w:rsidR="006A291F" w:rsidRPr="007579E2" w:rsidRDefault="006A291F" w:rsidP="007E6F21">
            <w:pPr>
              <w:pStyle w:val="Tabletext"/>
              <w:keepNext/>
              <w:rPr>
                <w:lang w:val="en-AU"/>
              </w:rPr>
            </w:pPr>
            <w:r w:rsidRPr="007579E2">
              <w:rPr>
                <w:lang w:val="en-AU"/>
              </w:rPr>
              <w:t>25th percentile</w:t>
            </w:r>
          </w:p>
        </w:tc>
        <w:tc>
          <w:tcPr>
            <w:tcW w:w="3022" w:type="dxa"/>
            <w:tcBorders>
              <w:top w:val="single" w:sz="4" w:space="0" w:color="auto"/>
              <w:bottom w:val="nil"/>
            </w:tcBorders>
          </w:tcPr>
          <w:p w:rsidR="006A291F" w:rsidRPr="007579E2" w:rsidRDefault="006A291F" w:rsidP="007E6F21">
            <w:pPr>
              <w:pStyle w:val="Tabletext"/>
              <w:keepNext/>
              <w:jc w:val="center"/>
              <w:rPr>
                <w:lang w:val="en-AU"/>
              </w:rPr>
            </w:pPr>
            <w:r w:rsidRPr="007579E2">
              <w:rPr>
                <w:lang w:val="en-AU"/>
              </w:rPr>
              <w:t>17.9 (16.6, 21.4)</w:t>
            </w:r>
          </w:p>
        </w:tc>
        <w:tc>
          <w:tcPr>
            <w:tcW w:w="3022" w:type="dxa"/>
            <w:tcBorders>
              <w:top w:val="single" w:sz="4" w:space="0" w:color="auto"/>
              <w:bottom w:val="nil"/>
            </w:tcBorders>
          </w:tcPr>
          <w:p w:rsidR="006A291F" w:rsidRPr="007579E2" w:rsidRDefault="006A291F" w:rsidP="007E6F21">
            <w:pPr>
              <w:pStyle w:val="Tabletext"/>
              <w:keepNext/>
              <w:jc w:val="center"/>
              <w:rPr>
                <w:lang w:val="en-AU"/>
              </w:rPr>
            </w:pPr>
            <w:r w:rsidRPr="007579E2">
              <w:rPr>
                <w:lang w:val="en-AU"/>
              </w:rPr>
              <w:t>5.3 (3.3, 5.6)</w:t>
            </w:r>
          </w:p>
        </w:tc>
      </w:tr>
      <w:tr w:rsidR="006A291F" w:rsidRPr="007579E2" w:rsidTr="004579ED">
        <w:trPr>
          <w:cantSplit/>
          <w:trHeight w:val="244"/>
        </w:trPr>
        <w:tc>
          <w:tcPr>
            <w:tcW w:w="2972" w:type="dxa"/>
            <w:tcBorders>
              <w:top w:val="nil"/>
              <w:bottom w:val="nil"/>
            </w:tcBorders>
            <w:vAlign w:val="center"/>
          </w:tcPr>
          <w:p w:rsidR="006A291F" w:rsidRPr="007579E2" w:rsidRDefault="006A291F" w:rsidP="007E6F21">
            <w:pPr>
              <w:pStyle w:val="Tabletext"/>
              <w:keepNext/>
              <w:rPr>
                <w:lang w:val="en-AU"/>
              </w:rPr>
            </w:pPr>
            <w:r w:rsidRPr="007579E2">
              <w:rPr>
                <w:lang w:val="en-AU"/>
              </w:rPr>
              <w:t>Median time</w:t>
            </w:r>
          </w:p>
        </w:tc>
        <w:tc>
          <w:tcPr>
            <w:tcW w:w="3022" w:type="dxa"/>
            <w:tcBorders>
              <w:top w:val="nil"/>
              <w:bottom w:val="nil"/>
            </w:tcBorders>
          </w:tcPr>
          <w:p w:rsidR="006A291F" w:rsidRPr="007579E2" w:rsidRDefault="006A291F" w:rsidP="007E6F21">
            <w:pPr>
              <w:pStyle w:val="Tabletext"/>
              <w:keepNext/>
              <w:jc w:val="center"/>
              <w:rPr>
                <w:lang w:val="en-AU"/>
              </w:rPr>
            </w:pPr>
            <w:r w:rsidRPr="007579E2">
              <w:rPr>
                <w:lang w:val="en-AU"/>
              </w:rPr>
              <w:t>NE (44.5, NE)</w:t>
            </w:r>
          </w:p>
        </w:tc>
        <w:tc>
          <w:tcPr>
            <w:tcW w:w="3022" w:type="dxa"/>
            <w:tcBorders>
              <w:top w:val="nil"/>
              <w:bottom w:val="nil"/>
            </w:tcBorders>
          </w:tcPr>
          <w:p w:rsidR="006A291F" w:rsidRPr="007579E2" w:rsidRDefault="006A291F" w:rsidP="007E6F21">
            <w:pPr>
              <w:pStyle w:val="Tabletext"/>
              <w:keepNext/>
              <w:jc w:val="center"/>
              <w:rPr>
                <w:lang w:val="en-AU"/>
              </w:rPr>
            </w:pPr>
            <w:r w:rsidRPr="007579E2">
              <w:rPr>
                <w:lang w:val="en-AU"/>
              </w:rPr>
              <w:t>16.6 (12.7, 22.1)</w:t>
            </w:r>
          </w:p>
        </w:tc>
      </w:tr>
      <w:tr w:rsidR="006A291F" w:rsidRPr="007579E2" w:rsidTr="004579ED">
        <w:trPr>
          <w:cantSplit/>
          <w:trHeight w:val="244"/>
        </w:trPr>
        <w:tc>
          <w:tcPr>
            <w:tcW w:w="2972" w:type="dxa"/>
            <w:tcBorders>
              <w:top w:val="nil"/>
              <w:bottom w:val="single" w:sz="4" w:space="0" w:color="auto"/>
            </w:tcBorders>
            <w:vAlign w:val="center"/>
          </w:tcPr>
          <w:p w:rsidR="006A291F" w:rsidRPr="007579E2" w:rsidRDefault="006A291F" w:rsidP="007E6F21">
            <w:pPr>
              <w:pStyle w:val="Tabletext"/>
              <w:keepNext/>
              <w:rPr>
                <w:lang w:val="en-AU"/>
              </w:rPr>
            </w:pPr>
            <w:r w:rsidRPr="007579E2">
              <w:rPr>
                <w:lang w:val="en-AU"/>
              </w:rPr>
              <w:t>75th percentile</w:t>
            </w:r>
          </w:p>
        </w:tc>
        <w:tc>
          <w:tcPr>
            <w:tcW w:w="3022" w:type="dxa"/>
            <w:tcBorders>
              <w:top w:val="nil"/>
              <w:bottom w:val="single" w:sz="4" w:space="0" w:color="auto"/>
            </w:tcBorders>
          </w:tcPr>
          <w:p w:rsidR="006A291F" w:rsidRPr="007579E2" w:rsidRDefault="006A291F" w:rsidP="007E6F21">
            <w:pPr>
              <w:pStyle w:val="Tabletext"/>
              <w:keepNext/>
              <w:jc w:val="center"/>
              <w:rPr>
                <w:lang w:val="en-AU"/>
              </w:rPr>
            </w:pPr>
            <w:r w:rsidRPr="007579E2">
              <w:rPr>
                <w:lang w:val="en-AU"/>
              </w:rPr>
              <w:t>NE</w:t>
            </w:r>
          </w:p>
        </w:tc>
        <w:tc>
          <w:tcPr>
            <w:tcW w:w="3022" w:type="dxa"/>
            <w:tcBorders>
              <w:top w:val="nil"/>
              <w:bottom w:val="single" w:sz="4" w:space="0" w:color="auto"/>
            </w:tcBorders>
          </w:tcPr>
          <w:p w:rsidR="006A291F" w:rsidRPr="007579E2" w:rsidRDefault="006A291F" w:rsidP="007E6F21">
            <w:pPr>
              <w:pStyle w:val="Tabletext"/>
              <w:keepNext/>
              <w:jc w:val="center"/>
              <w:rPr>
                <w:lang w:val="en-AU"/>
              </w:rPr>
            </w:pPr>
            <w:r w:rsidRPr="007579E2">
              <w:rPr>
                <w:lang w:val="en-AU"/>
              </w:rPr>
              <w:t>NE</w:t>
            </w:r>
          </w:p>
        </w:tc>
      </w:tr>
      <w:tr w:rsidR="006A291F" w:rsidRPr="007579E2" w:rsidTr="004579ED">
        <w:trPr>
          <w:cantSplit/>
          <w:trHeight w:val="244"/>
        </w:trPr>
        <w:tc>
          <w:tcPr>
            <w:tcW w:w="2972" w:type="dxa"/>
            <w:tcBorders>
              <w:bottom w:val="single" w:sz="4" w:space="0" w:color="auto"/>
            </w:tcBorders>
            <w:vAlign w:val="center"/>
          </w:tcPr>
          <w:p w:rsidR="006A291F" w:rsidRPr="007579E2" w:rsidRDefault="006A291F" w:rsidP="007E6F21">
            <w:pPr>
              <w:pStyle w:val="Tabletext"/>
              <w:keepNext/>
              <w:rPr>
                <w:lang w:val="en-AU"/>
              </w:rPr>
            </w:pPr>
            <w:r w:rsidRPr="007579E2">
              <w:rPr>
                <w:lang w:val="en-AU"/>
              </w:rPr>
              <w:t xml:space="preserve">Hazard ratio vs. placebo </w:t>
            </w:r>
            <w:r w:rsidR="00E054C5" w:rsidRPr="007579E2">
              <w:rPr>
                <w:lang w:val="en-AU"/>
              </w:rPr>
              <w:t>(</w:t>
            </w:r>
            <w:r w:rsidRPr="007579E2">
              <w:rPr>
                <w:lang w:val="en-AU"/>
              </w:rPr>
              <w:t>95% CI</w:t>
            </w:r>
            <w:r w:rsidR="00E054C5" w:rsidRPr="007579E2">
              <w:rPr>
                <w:lang w:val="en-AU"/>
              </w:rPr>
              <w:t>);</w:t>
            </w:r>
          </w:p>
          <w:p w:rsidR="006A291F" w:rsidRPr="007579E2" w:rsidRDefault="006A291F" w:rsidP="007E6F21">
            <w:pPr>
              <w:pStyle w:val="Tabletext"/>
              <w:keepNext/>
              <w:rPr>
                <w:lang w:val="en-AU"/>
              </w:rPr>
            </w:pPr>
            <w:r w:rsidRPr="007579E2">
              <w:rPr>
                <w:lang w:val="en-AU"/>
              </w:rPr>
              <w:t>p-value</w:t>
            </w:r>
          </w:p>
        </w:tc>
        <w:tc>
          <w:tcPr>
            <w:tcW w:w="6044" w:type="dxa"/>
            <w:gridSpan w:val="2"/>
            <w:tcBorders>
              <w:bottom w:val="single" w:sz="4" w:space="0" w:color="auto"/>
            </w:tcBorders>
          </w:tcPr>
          <w:p w:rsidR="006A291F" w:rsidRPr="007579E2" w:rsidRDefault="006A291F" w:rsidP="007E6F21">
            <w:pPr>
              <w:pStyle w:val="Tabletext"/>
              <w:keepNext/>
              <w:jc w:val="center"/>
              <w:rPr>
                <w:lang w:val="en-AU"/>
              </w:rPr>
            </w:pPr>
            <w:r w:rsidRPr="007579E2">
              <w:rPr>
                <w:lang w:val="en-AU"/>
              </w:rPr>
              <w:t>0.47 (0.39, 0.58)</w:t>
            </w:r>
            <w:r w:rsidRPr="007579E2">
              <w:rPr>
                <w:lang w:val="en-AU"/>
              </w:rPr>
              <w:br/>
              <w:t>p &lt; 0.001</w:t>
            </w:r>
          </w:p>
        </w:tc>
      </w:tr>
      <w:tr w:rsidR="006A291F" w:rsidRPr="007579E2" w:rsidTr="004579ED">
        <w:trPr>
          <w:cantSplit/>
          <w:trHeight w:val="244"/>
        </w:trPr>
        <w:tc>
          <w:tcPr>
            <w:tcW w:w="9016" w:type="dxa"/>
            <w:gridSpan w:val="3"/>
            <w:tcBorders>
              <w:bottom w:val="single" w:sz="4" w:space="0" w:color="auto"/>
            </w:tcBorders>
            <w:vAlign w:val="center"/>
          </w:tcPr>
          <w:p w:rsidR="006A291F" w:rsidRPr="007579E2" w:rsidRDefault="006A291F" w:rsidP="007E6F21">
            <w:pPr>
              <w:pStyle w:val="Tabletext"/>
              <w:keepNext/>
              <w:rPr>
                <w:lang w:val="en-AU"/>
              </w:rPr>
            </w:pPr>
            <w:r w:rsidRPr="007579E2">
              <w:rPr>
                <w:lang w:val="en-AU"/>
              </w:rPr>
              <w:t>Kaplan-Meier estimates</w:t>
            </w:r>
            <w:r w:rsidR="00E054C5" w:rsidRPr="007579E2">
              <w:rPr>
                <w:lang w:val="en-AU"/>
              </w:rPr>
              <w:t>, % (</w:t>
            </w:r>
            <w:r w:rsidRPr="007579E2">
              <w:rPr>
                <w:lang w:val="en-AU"/>
              </w:rPr>
              <w:t>95% CI</w:t>
            </w:r>
            <w:r w:rsidR="00E054C5" w:rsidRPr="007579E2">
              <w:rPr>
                <w:lang w:val="en-AU"/>
              </w:rPr>
              <w:t>)</w:t>
            </w:r>
            <w:r w:rsidRPr="007579E2">
              <w:rPr>
                <w:lang w:val="en-AU"/>
              </w:rPr>
              <w:t xml:space="preserve"> </w:t>
            </w:r>
          </w:p>
        </w:tc>
      </w:tr>
      <w:tr w:rsidR="006A291F" w:rsidRPr="007579E2" w:rsidTr="004579ED">
        <w:trPr>
          <w:cantSplit/>
          <w:trHeight w:val="244"/>
        </w:trPr>
        <w:tc>
          <w:tcPr>
            <w:tcW w:w="2972" w:type="dxa"/>
            <w:tcBorders>
              <w:top w:val="single" w:sz="4" w:space="0" w:color="auto"/>
              <w:bottom w:val="nil"/>
            </w:tcBorders>
            <w:vAlign w:val="center"/>
          </w:tcPr>
          <w:p w:rsidR="006A291F" w:rsidRPr="007579E2" w:rsidRDefault="006A291F" w:rsidP="006B2C1C">
            <w:pPr>
              <w:pStyle w:val="Tabletext"/>
              <w:keepNext/>
              <w:ind w:left="720" w:hanging="720"/>
              <w:rPr>
                <w:lang w:val="en-AU"/>
              </w:rPr>
            </w:pPr>
            <w:r w:rsidRPr="007579E2">
              <w:rPr>
                <w:lang w:val="en-AU"/>
              </w:rPr>
              <w:t>1-year RFS rate</w:t>
            </w:r>
            <w:r w:rsidR="005B4A89" w:rsidRPr="007579E2">
              <w:rPr>
                <w:lang w:val="en-AU"/>
              </w:rPr>
              <w:t xml:space="preserve"> </w:t>
            </w:r>
          </w:p>
        </w:tc>
        <w:tc>
          <w:tcPr>
            <w:tcW w:w="3022" w:type="dxa"/>
            <w:tcBorders>
              <w:top w:val="single" w:sz="4" w:space="0" w:color="auto"/>
              <w:bottom w:val="nil"/>
            </w:tcBorders>
          </w:tcPr>
          <w:p w:rsidR="006A291F" w:rsidRPr="007579E2" w:rsidRDefault="006A291F" w:rsidP="007E6F21">
            <w:pPr>
              <w:pStyle w:val="Tabletext"/>
              <w:keepNext/>
              <w:jc w:val="center"/>
              <w:rPr>
                <w:lang w:val="en-AU"/>
              </w:rPr>
            </w:pPr>
            <w:r w:rsidRPr="007579E2">
              <w:rPr>
                <w:lang w:val="en-AU"/>
              </w:rPr>
              <w:t>88</w:t>
            </w:r>
            <w:r w:rsidR="005B4A89" w:rsidRPr="007579E2">
              <w:rPr>
                <w:lang w:val="en-AU"/>
              </w:rPr>
              <w:t>%</w:t>
            </w:r>
            <w:r w:rsidRPr="007579E2">
              <w:rPr>
                <w:lang w:val="en-AU"/>
              </w:rPr>
              <w:t xml:space="preserve"> (85, 91)</w:t>
            </w:r>
          </w:p>
        </w:tc>
        <w:tc>
          <w:tcPr>
            <w:tcW w:w="3022" w:type="dxa"/>
            <w:tcBorders>
              <w:top w:val="single" w:sz="4" w:space="0" w:color="auto"/>
              <w:bottom w:val="nil"/>
            </w:tcBorders>
          </w:tcPr>
          <w:p w:rsidR="006A291F" w:rsidRPr="007579E2" w:rsidRDefault="006A291F" w:rsidP="007E6F21">
            <w:pPr>
              <w:pStyle w:val="Tabletext"/>
              <w:keepNext/>
              <w:jc w:val="center"/>
              <w:rPr>
                <w:lang w:val="en-AU"/>
              </w:rPr>
            </w:pPr>
            <w:r w:rsidRPr="007579E2">
              <w:rPr>
                <w:lang w:val="en-AU"/>
              </w:rPr>
              <w:t>56</w:t>
            </w:r>
            <w:r w:rsidR="005B4A89" w:rsidRPr="007579E2">
              <w:rPr>
                <w:lang w:val="en-AU"/>
              </w:rPr>
              <w:t>%</w:t>
            </w:r>
            <w:r w:rsidRPr="007579E2">
              <w:rPr>
                <w:lang w:val="en-AU"/>
              </w:rPr>
              <w:t xml:space="preserve"> (51, 61)</w:t>
            </w:r>
          </w:p>
        </w:tc>
      </w:tr>
      <w:tr w:rsidR="006A291F" w:rsidRPr="007579E2" w:rsidTr="004579ED">
        <w:trPr>
          <w:cantSplit/>
          <w:trHeight w:val="244"/>
        </w:trPr>
        <w:tc>
          <w:tcPr>
            <w:tcW w:w="2972" w:type="dxa"/>
            <w:tcBorders>
              <w:top w:val="nil"/>
              <w:bottom w:val="nil"/>
            </w:tcBorders>
            <w:vAlign w:val="center"/>
          </w:tcPr>
          <w:p w:rsidR="006A291F" w:rsidRPr="007579E2" w:rsidRDefault="006A291F" w:rsidP="007E6F21">
            <w:pPr>
              <w:pStyle w:val="Tabletext"/>
              <w:keepNext/>
              <w:rPr>
                <w:lang w:val="en-AU"/>
              </w:rPr>
            </w:pPr>
            <w:r w:rsidRPr="007579E2">
              <w:rPr>
                <w:lang w:val="en-AU"/>
              </w:rPr>
              <w:t xml:space="preserve">2-year RFS rate </w:t>
            </w:r>
          </w:p>
        </w:tc>
        <w:tc>
          <w:tcPr>
            <w:tcW w:w="3022" w:type="dxa"/>
            <w:tcBorders>
              <w:top w:val="nil"/>
              <w:bottom w:val="nil"/>
            </w:tcBorders>
          </w:tcPr>
          <w:p w:rsidR="006A291F" w:rsidRPr="007579E2" w:rsidRDefault="006A291F" w:rsidP="007E6F21">
            <w:pPr>
              <w:pStyle w:val="Tabletext"/>
              <w:keepNext/>
              <w:jc w:val="center"/>
              <w:rPr>
                <w:lang w:val="en-AU"/>
              </w:rPr>
            </w:pPr>
            <w:r w:rsidRPr="007579E2">
              <w:rPr>
                <w:lang w:val="en-AU"/>
              </w:rPr>
              <w:t>67</w:t>
            </w:r>
            <w:r w:rsidR="005B4A89" w:rsidRPr="007579E2">
              <w:rPr>
                <w:lang w:val="en-AU"/>
              </w:rPr>
              <w:t>%</w:t>
            </w:r>
            <w:r w:rsidRPr="007579E2">
              <w:rPr>
                <w:lang w:val="en-AU"/>
              </w:rPr>
              <w:t xml:space="preserve"> (63, 72)</w:t>
            </w:r>
          </w:p>
        </w:tc>
        <w:tc>
          <w:tcPr>
            <w:tcW w:w="3022" w:type="dxa"/>
            <w:tcBorders>
              <w:top w:val="nil"/>
              <w:bottom w:val="nil"/>
            </w:tcBorders>
          </w:tcPr>
          <w:p w:rsidR="006A291F" w:rsidRPr="007579E2" w:rsidRDefault="006A291F" w:rsidP="007E6F21">
            <w:pPr>
              <w:pStyle w:val="Tabletext"/>
              <w:keepNext/>
              <w:jc w:val="center"/>
              <w:rPr>
                <w:lang w:val="en-AU"/>
              </w:rPr>
            </w:pPr>
            <w:r w:rsidRPr="007579E2">
              <w:rPr>
                <w:lang w:val="en-AU"/>
              </w:rPr>
              <w:t>44</w:t>
            </w:r>
            <w:r w:rsidR="005B4A89" w:rsidRPr="007579E2">
              <w:rPr>
                <w:lang w:val="en-AU"/>
              </w:rPr>
              <w:t>%</w:t>
            </w:r>
            <w:r w:rsidRPr="007579E2">
              <w:rPr>
                <w:lang w:val="en-AU"/>
              </w:rPr>
              <w:t xml:space="preserve"> (40, 49)</w:t>
            </w:r>
          </w:p>
        </w:tc>
      </w:tr>
      <w:tr w:rsidR="006A291F" w:rsidRPr="007579E2" w:rsidTr="004579ED">
        <w:trPr>
          <w:cantSplit/>
          <w:trHeight w:val="244"/>
        </w:trPr>
        <w:tc>
          <w:tcPr>
            <w:tcW w:w="2972" w:type="dxa"/>
            <w:tcBorders>
              <w:top w:val="nil"/>
              <w:bottom w:val="single" w:sz="4" w:space="0" w:color="auto"/>
            </w:tcBorders>
            <w:vAlign w:val="center"/>
          </w:tcPr>
          <w:p w:rsidR="006A291F" w:rsidRPr="007579E2" w:rsidRDefault="006A291F" w:rsidP="007E6F21">
            <w:pPr>
              <w:pStyle w:val="Tabletext"/>
              <w:keepNext/>
              <w:rPr>
                <w:lang w:val="en-AU"/>
              </w:rPr>
            </w:pPr>
            <w:r w:rsidRPr="007579E2">
              <w:rPr>
                <w:lang w:val="en-AU"/>
              </w:rPr>
              <w:t xml:space="preserve">3-year RFS rate </w:t>
            </w:r>
          </w:p>
        </w:tc>
        <w:tc>
          <w:tcPr>
            <w:tcW w:w="3022" w:type="dxa"/>
            <w:tcBorders>
              <w:top w:val="nil"/>
              <w:bottom w:val="single" w:sz="4" w:space="0" w:color="auto"/>
            </w:tcBorders>
          </w:tcPr>
          <w:p w:rsidR="006A291F" w:rsidRPr="007579E2" w:rsidRDefault="006A291F" w:rsidP="007E6F21">
            <w:pPr>
              <w:pStyle w:val="Tabletext"/>
              <w:keepNext/>
              <w:jc w:val="center"/>
              <w:rPr>
                <w:lang w:val="en-AU"/>
              </w:rPr>
            </w:pPr>
            <w:r w:rsidRPr="007579E2">
              <w:rPr>
                <w:lang w:val="en-AU"/>
              </w:rPr>
              <w:t>58</w:t>
            </w:r>
            <w:r w:rsidR="005B4A89" w:rsidRPr="007579E2">
              <w:rPr>
                <w:lang w:val="en-AU"/>
              </w:rPr>
              <w:t>%</w:t>
            </w:r>
            <w:r w:rsidRPr="007579E2">
              <w:rPr>
                <w:lang w:val="en-AU"/>
              </w:rPr>
              <w:t xml:space="preserve"> (54, 64)</w:t>
            </w:r>
          </w:p>
        </w:tc>
        <w:tc>
          <w:tcPr>
            <w:tcW w:w="3022" w:type="dxa"/>
            <w:tcBorders>
              <w:top w:val="nil"/>
              <w:bottom w:val="single" w:sz="4" w:space="0" w:color="auto"/>
            </w:tcBorders>
          </w:tcPr>
          <w:p w:rsidR="006A291F" w:rsidRPr="007579E2" w:rsidRDefault="006A291F" w:rsidP="007E6F21">
            <w:pPr>
              <w:pStyle w:val="Tabletext"/>
              <w:keepNext/>
              <w:jc w:val="center"/>
              <w:rPr>
                <w:lang w:val="en-AU"/>
              </w:rPr>
            </w:pPr>
            <w:r w:rsidRPr="007579E2">
              <w:rPr>
                <w:lang w:val="en-AU"/>
              </w:rPr>
              <w:t>39</w:t>
            </w:r>
            <w:r w:rsidR="005B4A89" w:rsidRPr="007579E2">
              <w:rPr>
                <w:lang w:val="en-AU"/>
              </w:rPr>
              <w:t>%</w:t>
            </w:r>
            <w:r w:rsidRPr="007579E2">
              <w:rPr>
                <w:lang w:val="en-AU"/>
              </w:rPr>
              <w:t xml:space="preserve"> (35, 44)</w:t>
            </w:r>
          </w:p>
        </w:tc>
      </w:tr>
    </w:tbl>
    <w:p w:rsidR="00E054C5" w:rsidRPr="007579E2" w:rsidRDefault="00E054C5" w:rsidP="007E6F21">
      <w:pPr>
        <w:widowControl/>
        <w:rPr>
          <w:rFonts w:ascii="Arial Narrow" w:hAnsi="Arial Narrow"/>
          <w:sz w:val="18"/>
          <w:szCs w:val="18"/>
        </w:rPr>
      </w:pPr>
      <w:r w:rsidRPr="007579E2">
        <w:rPr>
          <w:rFonts w:ascii="Arial Narrow" w:hAnsi="Arial Narrow"/>
          <w:sz w:val="18"/>
          <w:szCs w:val="18"/>
        </w:rPr>
        <w:t>CI = confidence interval; NE = not estimable; RFS = relapse-free survival</w:t>
      </w:r>
    </w:p>
    <w:p w:rsidR="00BD1056" w:rsidRPr="007579E2" w:rsidRDefault="00E054C5" w:rsidP="007E6F21">
      <w:pPr>
        <w:keepNext/>
        <w:widowControl/>
        <w:rPr>
          <w:rFonts w:ascii="Arial Narrow" w:hAnsi="Arial Narrow"/>
          <w:sz w:val="18"/>
          <w:szCs w:val="18"/>
        </w:rPr>
      </w:pPr>
      <w:r w:rsidRPr="007579E2">
        <w:rPr>
          <w:rFonts w:ascii="Arial Narrow" w:hAnsi="Arial Narrow"/>
          <w:sz w:val="18"/>
          <w:szCs w:val="18"/>
        </w:rPr>
        <w:t>Note</w:t>
      </w:r>
      <w:r w:rsidR="00BD1056" w:rsidRPr="007579E2">
        <w:rPr>
          <w:rFonts w:ascii="Arial Narrow" w:hAnsi="Arial Narrow"/>
          <w:sz w:val="18"/>
          <w:szCs w:val="18"/>
        </w:rPr>
        <w:t xml:space="preserve">: only the first occurrence is counted as an event. </w:t>
      </w:r>
      <w:proofErr w:type="gramStart"/>
      <w:r w:rsidR="00BD1056" w:rsidRPr="007579E2">
        <w:rPr>
          <w:rFonts w:ascii="Arial Narrow" w:hAnsi="Arial Narrow"/>
          <w:sz w:val="18"/>
          <w:szCs w:val="18"/>
        </w:rPr>
        <w:t>i.e</w:t>
      </w:r>
      <w:proofErr w:type="gramEnd"/>
      <w:r w:rsidR="00BD1056" w:rsidRPr="007579E2">
        <w:rPr>
          <w:rFonts w:ascii="Arial Narrow" w:hAnsi="Arial Narrow"/>
          <w:sz w:val="18"/>
          <w:szCs w:val="18"/>
        </w:rPr>
        <w:t>. if a patient experienced a local recurrence first followed by a distant recurrence at a later time point, only the former one is counted as an event.</w:t>
      </w:r>
    </w:p>
    <w:p w:rsidR="00BD1056" w:rsidRPr="007579E2" w:rsidRDefault="00BD1056" w:rsidP="007E6F21">
      <w:pPr>
        <w:widowControl/>
        <w:rPr>
          <w:rFonts w:ascii="Arial Narrow" w:hAnsi="Arial Narrow"/>
          <w:sz w:val="18"/>
          <w:szCs w:val="18"/>
        </w:rPr>
      </w:pPr>
      <w:proofErr w:type="gramStart"/>
      <w:r w:rsidRPr="007579E2">
        <w:rPr>
          <w:rFonts w:ascii="Arial Narrow" w:hAnsi="Arial Narrow"/>
          <w:sz w:val="18"/>
          <w:szCs w:val="18"/>
          <w:vertAlign w:val="superscript"/>
        </w:rPr>
        <w:t>a</w:t>
      </w:r>
      <w:proofErr w:type="gramEnd"/>
      <w:r w:rsidRPr="007579E2">
        <w:rPr>
          <w:rFonts w:ascii="Arial Narrow" w:hAnsi="Arial Narrow"/>
          <w:sz w:val="18"/>
          <w:szCs w:val="18"/>
          <w:vertAlign w:val="superscript"/>
        </w:rPr>
        <w:t xml:space="preserve"> </w:t>
      </w:r>
      <w:r w:rsidR="005B4A89" w:rsidRPr="007579E2">
        <w:rPr>
          <w:rFonts w:ascii="Arial Narrow" w:hAnsi="Arial Narrow"/>
          <w:sz w:val="18"/>
          <w:szCs w:val="18"/>
        </w:rPr>
        <w:t>R</w:t>
      </w:r>
      <w:r w:rsidRPr="007579E2">
        <w:rPr>
          <w:rFonts w:ascii="Arial Narrow" w:hAnsi="Arial Narrow"/>
          <w:sz w:val="18"/>
          <w:szCs w:val="18"/>
        </w:rPr>
        <w:t>elapse events (local recurrence, distant recurrence, second primary melanoma) are not mutually exclusive</w:t>
      </w:r>
    </w:p>
    <w:p w:rsidR="00BD1056" w:rsidRPr="007579E2" w:rsidRDefault="00BD1056" w:rsidP="007E6F21">
      <w:pPr>
        <w:widowControl/>
        <w:rPr>
          <w:rFonts w:ascii="Arial Narrow" w:hAnsi="Arial Narrow"/>
          <w:sz w:val="18"/>
          <w:szCs w:val="18"/>
          <w:vertAlign w:val="superscript"/>
        </w:rPr>
      </w:pPr>
      <w:proofErr w:type="gramStart"/>
      <w:r w:rsidRPr="007579E2">
        <w:rPr>
          <w:rFonts w:ascii="Arial Narrow" w:hAnsi="Arial Narrow"/>
          <w:sz w:val="18"/>
          <w:szCs w:val="18"/>
          <w:vertAlign w:val="superscript"/>
        </w:rPr>
        <w:t>b</w:t>
      </w:r>
      <w:proofErr w:type="gramEnd"/>
      <w:r w:rsidRPr="007579E2">
        <w:rPr>
          <w:rFonts w:ascii="Arial Narrow" w:hAnsi="Arial Narrow"/>
          <w:sz w:val="18"/>
          <w:szCs w:val="18"/>
          <w:vertAlign w:val="superscript"/>
        </w:rPr>
        <w:t xml:space="preserve"> </w:t>
      </w:r>
      <w:r w:rsidRPr="007579E2">
        <w:rPr>
          <w:rFonts w:ascii="Arial Narrow" w:hAnsi="Arial Narrow"/>
          <w:sz w:val="18"/>
          <w:szCs w:val="18"/>
        </w:rPr>
        <w:t>7 patients in each arm had both local/regional and distant recurrence observed on the same day.</w:t>
      </w:r>
    </w:p>
    <w:p w:rsidR="00BD1056" w:rsidRPr="007579E2" w:rsidRDefault="00BD1056" w:rsidP="007E6F21">
      <w:pPr>
        <w:widowControl/>
        <w:rPr>
          <w:rFonts w:ascii="Arial Narrow" w:hAnsi="Arial Narrow"/>
          <w:sz w:val="18"/>
          <w:szCs w:val="18"/>
          <w:vertAlign w:val="superscript"/>
        </w:rPr>
      </w:pPr>
      <w:proofErr w:type="gramStart"/>
      <w:r w:rsidRPr="007579E2">
        <w:rPr>
          <w:rFonts w:ascii="Arial Narrow" w:hAnsi="Arial Narrow"/>
          <w:sz w:val="18"/>
          <w:szCs w:val="18"/>
          <w:vertAlign w:val="superscript"/>
        </w:rPr>
        <w:t>c</w:t>
      </w:r>
      <w:proofErr w:type="gramEnd"/>
      <w:r w:rsidRPr="007579E2">
        <w:rPr>
          <w:rFonts w:ascii="Arial Narrow" w:hAnsi="Arial Narrow"/>
          <w:sz w:val="18"/>
          <w:szCs w:val="18"/>
          <w:vertAlign w:val="superscript"/>
        </w:rPr>
        <w:t xml:space="preserve"> </w:t>
      </w:r>
      <w:r w:rsidRPr="007579E2">
        <w:rPr>
          <w:rFonts w:ascii="Arial Narrow" w:hAnsi="Arial Narrow"/>
          <w:sz w:val="18"/>
          <w:szCs w:val="18"/>
        </w:rPr>
        <w:t xml:space="preserve">1 patient in the </w:t>
      </w:r>
      <w:proofErr w:type="spellStart"/>
      <w:r w:rsidRPr="007579E2">
        <w:rPr>
          <w:rFonts w:ascii="Arial Narrow" w:hAnsi="Arial Narrow"/>
          <w:sz w:val="18"/>
          <w:szCs w:val="18"/>
        </w:rPr>
        <w:t>dabrafenib+trametinib</w:t>
      </w:r>
      <w:proofErr w:type="spellEnd"/>
      <w:r w:rsidRPr="007579E2">
        <w:rPr>
          <w:rFonts w:ascii="Arial Narrow" w:hAnsi="Arial Narrow"/>
          <w:sz w:val="18"/>
          <w:szCs w:val="18"/>
        </w:rPr>
        <w:t xml:space="preserve"> arm and 1 patient in the placebo arm had both disease recurrence and secondary primary melanoma observed on the same</w:t>
      </w:r>
    </w:p>
    <w:p w:rsidR="00BD1056" w:rsidRPr="007579E2" w:rsidRDefault="00BD1056" w:rsidP="007E6F21">
      <w:pPr>
        <w:widowControl/>
        <w:rPr>
          <w:rFonts w:ascii="Arial Narrow" w:hAnsi="Arial Narrow"/>
          <w:sz w:val="18"/>
          <w:szCs w:val="18"/>
        </w:rPr>
      </w:pPr>
      <w:proofErr w:type="gramStart"/>
      <w:r w:rsidRPr="007579E2">
        <w:rPr>
          <w:rFonts w:ascii="Arial Narrow" w:hAnsi="Arial Narrow"/>
          <w:sz w:val="18"/>
          <w:szCs w:val="18"/>
          <w:vertAlign w:val="superscript"/>
        </w:rPr>
        <w:t>d</w:t>
      </w:r>
      <w:proofErr w:type="gramEnd"/>
      <w:r w:rsidRPr="007579E2">
        <w:rPr>
          <w:rFonts w:ascii="Arial Narrow" w:hAnsi="Arial Narrow"/>
          <w:sz w:val="18"/>
          <w:szCs w:val="18"/>
          <w:vertAlign w:val="superscript"/>
        </w:rPr>
        <w:t xml:space="preserve"> </w:t>
      </w:r>
      <w:r w:rsidR="005B4A89" w:rsidRPr="007579E2">
        <w:rPr>
          <w:rFonts w:ascii="Arial Narrow" w:hAnsi="Arial Narrow"/>
          <w:sz w:val="18"/>
          <w:szCs w:val="18"/>
        </w:rPr>
        <w:t>I</w:t>
      </w:r>
      <w:r w:rsidRPr="007579E2">
        <w:rPr>
          <w:rFonts w:ascii="Arial Narrow" w:hAnsi="Arial Narrow"/>
          <w:sz w:val="18"/>
          <w:szCs w:val="18"/>
        </w:rPr>
        <w:t>ncluded in relapse events</w:t>
      </w:r>
    </w:p>
    <w:p w:rsidR="00BD1056" w:rsidRPr="007579E2" w:rsidRDefault="00BD1056" w:rsidP="007E6F21">
      <w:pPr>
        <w:widowControl/>
        <w:rPr>
          <w:rFonts w:ascii="Arial Narrow" w:hAnsi="Arial Narrow"/>
          <w:sz w:val="18"/>
          <w:szCs w:val="18"/>
        </w:rPr>
      </w:pPr>
      <w:proofErr w:type="gramStart"/>
      <w:r w:rsidRPr="007579E2">
        <w:rPr>
          <w:rFonts w:ascii="Arial Narrow" w:hAnsi="Arial Narrow"/>
          <w:sz w:val="18"/>
          <w:szCs w:val="18"/>
          <w:vertAlign w:val="superscript"/>
        </w:rPr>
        <w:t>e</w:t>
      </w:r>
      <w:proofErr w:type="gramEnd"/>
      <w:r w:rsidRPr="007579E2">
        <w:rPr>
          <w:rFonts w:ascii="Arial Narrow" w:hAnsi="Arial Narrow"/>
          <w:sz w:val="18"/>
          <w:szCs w:val="18"/>
        </w:rPr>
        <w:t xml:space="preserve"> Patients censored with follow-up ongoing are those who were alive, did not take any anti-cancer therapy and did not withdraw from study by the time of data cut-off. Patients censored with follow-up ended are the remaining censored patients</w:t>
      </w:r>
    </w:p>
    <w:p w:rsidR="006A291F" w:rsidRPr="007579E2" w:rsidRDefault="00BD1056" w:rsidP="007E6F21">
      <w:pPr>
        <w:widowControl/>
        <w:rPr>
          <w:rFonts w:ascii="Arial Narrow" w:hAnsi="Arial Narrow"/>
          <w:sz w:val="18"/>
          <w:szCs w:val="18"/>
        </w:rPr>
      </w:pPr>
      <w:r w:rsidRPr="007579E2">
        <w:rPr>
          <w:rFonts w:ascii="Arial Narrow" w:hAnsi="Arial Narrow"/>
          <w:sz w:val="18"/>
          <w:szCs w:val="18"/>
        </w:rPr>
        <w:t>Source: Table 2.5-1, p58 of the submission, Table 11-3, p108 of CSR of COMBI-AD trial</w:t>
      </w:r>
    </w:p>
    <w:p w:rsidR="00A6242F" w:rsidRPr="007579E2" w:rsidRDefault="00D91FEF" w:rsidP="00061E01">
      <w:pPr>
        <w:pStyle w:val="ListParagraph"/>
        <w:widowControl/>
        <w:numPr>
          <w:ilvl w:val="1"/>
          <w:numId w:val="2"/>
        </w:numPr>
        <w:spacing w:before="120"/>
      </w:pPr>
      <w:r w:rsidRPr="007579E2">
        <w:rPr>
          <w:rFonts w:cs="Calibri"/>
          <w:snapToGrid/>
          <w:szCs w:val="24"/>
          <w:lang w:eastAsia="en-AU"/>
        </w:rPr>
        <w:t xml:space="preserve">The risk of recurrence was significantly reduced in the patients treated with </w:t>
      </w:r>
      <w:proofErr w:type="spellStart"/>
      <w:r w:rsidRPr="007579E2">
        <w:rPr>
          <w:rFonts w:cs="Calibri"/>
          <w:snapToGrid/>
          <w:szCs w:val="24"/>
          <w:lang w:eastAsia="en-AU"/>
        </w:rPr>
        <w:t>dabrafenib+trametinib</w:t>
      </w:r>
      <w:proofErr w:type="spellEnd"/>
      <w:r w:rsidRPr="007579E2">
        <w:rPr>
          <w:rFonts w:cs="Calibri"/>
          <w:snapToGrid/>
          <w:szCs w:val="24"/>
          <w:lang w:eastAsia="en-AU"/>
        </w:rPr>
        <w:t xml:space="preserve"> compared with those treated with placebo (</w:t>
      </w:r>
      <w:r w:rsidR="00E054C5" w:rsidRPr="007579E2">
        <w:rPr>
          <w:rFonts w:cs="Calibri"/>
          <w:snapToGrid/>
          <w:szCs w:val="24"/>
          <w:lang w:eastAsia="en-AU"/>
        </w:rPr>
        <w:t>HR</w:t>
      </w:r>
      <w:r w:rsidRPr="007579E2">
        <w:rPr>
          <w:rFonts w:cs="Calibri"/>
          <w:snapToGrid/>
          <w:szCs w:val="24"/>
          <w:lang w:eastAsia="en-AU"/>
        </w:rPr>
        <w:t xml:space="preserve"> </w:t>
      </w:r>
      <w:r w:rsidR="009F4490" w:rsidRPr="007579E2">
        <w:rPr>
          <w:rFonts w:cs="Calibri"/>
          <w:snapToGrid/>
          <w:szCs w:val="24"/>
          <w:lang w:eastAsia="en-AU"/>
        </w:rPr>
        <w:t>= 0.47;</w:t>
      </w:r>
      <w:r w:rsidRPr="007579E2">
        <w:rPr>
          <w:rFonts w:cs="Calibri"/>
          <w:snapToGrid/>
          <w:szCs w:val="24"/>
          <w:lang w:eastAsia="en-AU"/>
        </w:rPr>
        <w:t xml:space="preserve"> 95% CI</w:t>
      </w:r>
      <w:r w:rsidR="009F4490" w:rsidRPr="007579E2">
        <w:rPr>
          <w:rFonts w:cs="Calibri"/>
          <w:snapToGrid/>
          <w:szCs w:val="24"/>
          <w:lang w:eastAsia="en-AU"/>
        </w:rPr>
        <w:t>:</w:t>
      </w:r>
      <w:r w:rsidRPr="007579E2">
        <w:rPr>
          <w:rFonts w:cs="Calibri"/>
          <w:snapToGrid/>
          <w:szCs w:val="24"/>
          <w:lang w:eastAsia="en-AU"/>
        </w:rPr>
        <w:t xml:space="preserve"> </w:t>
      </w:r>
      <w:r w:rsidR="009F4490" w:rsidRPr="007579E2">
        <w:rPr>
          <w:rFonts w:cs="Calibri"/>
          <w:snapToGrid/>
          <w:szCs w:val="24"/>
          <w:lang w:eastAsia="en-AU"/>
        </w:rPr>
        <w:t>0.39, 0.58</w:t>
      </w:r>
      <w:r w:rsidRPr="007579E2">
        <w:rPr>
          <w:rFonts w:cs="Calibri"/>
          <w:snapToGrid/>
          <w:szCs w:val="24"/>
          <w:lang w:eastAsia="en-AU"/>
        </w:rPr>
        <w:t xml:space="preserve">). </w:t>
      </w:r>
    </w:p>
    <w:p w:rsidR="00D91FEF" w:rsidRPr="007579E2" w:rsidRDefault="00D91FEF" w:rsidP="00061E01">
      <w:pPr>
        <w:pStyle w:val="ListParagraph"/>
        <w:widowControl/>
        <w:numPr>
          <w:ilvl w:val="1"/>
          <w:numId w:val="2"/>
        </w:numPr>
        <w:spacing w:before="120"/>
      </w:pPr>
      <w:r w:rsidRPr="007579E2">
        <w:rPr>
          <w:rFonts w:cs="Calibri"/>
          <w:snapToGrid/>
          <w:szCs w:val="24"/>
          <w:lang w:eastAsia="en-AU"/>
        </w:rPr>
        <w:t>The submission also presented an updated RFS analysis at a median follow-up of 44 months</w:t>
      </w:r>
      <w:r w:rsidR="005E4767" w:rsidRPr="007579E2">
        <w:rPr>
          <w:rFonts w:cs="Calibri"/>
          <w:snapToGrid/>
          <w:szCs w:val="24"/>
          <w:lang w:eastAsia="en-AU"/>
        </w:rPr>
        <w:t xml:space="preserve"> for the </w:t>
      </w:r>
      <w:proofErr w:type="spellStart"/>
      <w:r w:rsidR="005E4767" w:rsidRPr="007579E2">
        <w:rPr>
          <w:rFonts w:cs="Calibri"/>
          <w:snapToGrid/>
          <w:szCs w:val="24"/>
          <w:lang w:eastAsia="en-AU"/>
        </w:rPr>
        <w:t>dabrafenib+trametinib</w:t>
      </w:r>
      <w:proofErr w:type="spellEnd"/>
      <w:r w:rsidR="005E4767" w:rsidRPr="007579E2">
        <w:rPr>
          <w:rFonts w:cs="Calibri"/>
          <w:snapToGrid/>
          <w:szCs w:val="24"/>
          <w:lang w:eastAsia="en-AU"/>
        </w:rPr>
        <w:t xml:space="preserve"> arm and 42 months for the placebo arm</w:t>
      </w:r>
      <w:r w:rsidRPr="007579E2">
        <w:rPr>
          <w:rFonts w:cs="Calibri"/>
          <w:snapToGrid/>
          <w:szCs w:val="24"/>
          <w:lang w:eastAsia="en-AU"/>
        </w:rPr>
        <w:t xml:space="preserve">. The updated RFS results were similar to those presented above. The Kaplan-Meier estimates </w:t>
      </w:r>
      <w:r w:rsidR="00E054C5" w:rsidRPr="007579E2">
        <w:rPr>
          <w:rFonts w:cs="Calibri"/>
          <w:snapToGrid/>
          <w:szCs w:val="24"/>
          <w:lang w:eastAsia="en-AU"/>
        </w:rPr>
        <w:t>for</w:t>
      </w:r>
      <w:r w:rsidRPr="007579E2">
        <w:rPr>
          <w:rFonts w:cs="Calibri"/>
          <w:snapToGrid/>
          <w:szCs w:val="24"/>
          <w:lang w:eastAsia="en-AU"/>
        </w:rPr>
        <w:t xml:space="preserve"> RFS from the updated analysis are presented below.</w:t>
      </w:r>
    </w:p>
    <w:p w:rsidR="000353F0" w:rsidRPr="007579E2" w:rsidRDefault="000353F0" w:rsidP="007E6F21">
      <w:pPr>
        <w:pStyle w:val="Caption"/>
        <w:widowControl/>
        <w:rPr>
          <w:szCs w:val="22"/>
        </w:rPr>
      </w:pPr>
      <w:r w:rsidRPr="007579E2">
        <w:lastRenderedPageBreak/>
        <w:t xml:space="preserve">Figure </w:t>
      </w:r>
      <w:r w:rsidR="00BC1636" w:rsidRPr="007579E2">
        <w:t>2</w:t>
      </w:r>
      <w:r w:rsidRPr="007579E2">
        <w:t>: Kaplan-Meier estimates of relapse-free survival (30 April 2018 data-cut-off)</w:t>
      </w:r>
    </w:p>
    <w:p w:rsidR="00D91FEF" w:rsidRPr="007579E2" w:rsidRDefault="000353F0" w:rsidP="007E6F21">
      <w:pPr>
        <w:widowControl/>
      </w:pPr>
      <w:r w:rsidRPr="007579E2">
        <w:rPr>
          <w:noProof/>
          <w:lang w:eastAsia="en-AU"/>
        </w:rPr>
        <w:drawing>
          <wp:inline distT="0" distB="0" distL="0" distR="0" wp14:anchorId="060E0A7B" wp14:editId="2F20194E">
            <wp:extent cx="5509509" cy="2678768"/>
            <wp:effectExtent l="19050" t="19050" r="15240" b="26670"/>
            <wp:docPr id="2" name="Picture 2" title="Figure 2: Kaplan-Meier estimates of relapse-free survival (30 April 2018 data-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24585" cy="2686098"/>
                    </a:xfrm>
                    <a:prstGeom prst="rect">
                      <a:avLst/>
                    </a:prstGeom>
                    <a:ln>
                      <a:solidFill>
                        <a:sysClr val="window" lastClr="FFFFFF">
                          <a:lumMod val="65000"/>
                        </a:sysClr>
                      </a:solidFill>
                    </a:ln>
                  </pic:spPr>
                </pic:pic>
              </a:graphicData>
            </a:graphic>
          </wp:inline>
        </w:drawing>
      </w:r>
    </w:p>
    <w:p w:rsidR="000353F0" w:rsidRPr="007579E2" w:rsidRDefault="000353F0" w:rsidP="007E6F21">
      <w:pPr>
        <w:widowControl/>
        <w:rPr>
          <w:rFonts w:ascii="Arial Narrow" w:hAnsi="Arial Narrow"/>
          <w:sz w:val="18"/>
          <w:szCs w:val="18"/>
        </w:rPr>
      </w:pPr>
      <w:r w:rsidRPr="007579E2">
        <w:rPr>
          <w:rFonts w:ascii="Arial Narrow" w:hAnsi="Arial Narrow"/>
          <w:sz w:val="18"/>
          <w:szCs w:val="18"/>
        </w:rPr>
        <w:t>CI</w:t>
      </w:r>
      <w:r w:rsidR="000B1BDB" w:rsidRPr="007579E2">
        <w:rPr>
          <w:rFonts w:ascii="Arial Narrow" w:hAnsi="Arial Narrow"/>
          <w:sz w:val="18"/>
          <w:szCs w:val="18"/>
        </w:rPr>
        <w:t xml:space="preserve"> </w:t>
      </w:r>
      <w:r w:rsidRPr="007579E2">
        <w:rPr>
          <w:rFonts w:ascii="Arial Narrow" w:hAnsi="Arial Narrow"/>
          <w:sz w:val="18"/>
          <w:szCs w:val="18"/>
        </w:rPr>
        <w:t>=</w:t>
      </w:r>
      <w:r w:rsidR="000B1BDB" w:rsidRPr="007579E2">
        <w:rPr>
          <w:rFonts w:ascii="Arial Narrow" w:hAnsi="Arial Narrow"/>
          <w:sz w:val="18"/>
          <w:szCs w:val="18"/>
        </w:rPr>
        <w:t xml:space="preserve"> </w:t>
      </w:r>
      <w:r w:rsidRPr="007579E2">
        <w:rPr>
          <w:rFonts w:ascii="Arial Narrow" w:hAnsi="Arial Narrow"/>
          <w:sz w:val="18"/>
          <w:szCs w:val="18"/>
        </w:rPr>
        <w:t>confidence interval</w:t>
      </w:r>
    </w:p>
    <w:p w:rsidR="000353F0" w:rsidRPr="007579E2" w:rsidRDefault="000353F0" w:rsidP="007E6F21">
      <w:pPr>
        <w:widowControl/>
        <w:rPr>
          <w:rFonts w:ascii="Arial Narrow" w:hAnsi="Arial Narrow"/>
          <w:sz w:val="18"/>
          <w:szCs w:val="18"/>
        </w:rPr>
      </w:pPr>
      <w:r w:rsidRPr="007579E2">
        <w:rPr>
          <w:rFonts w:ascii="Arial Narrow" w:hAnsi="Arial Narrow"/>
          <w:sz w:val="18"/>
          <w:szCs w:val="18"/>
        </w:rPr>
        <w:t>Source: Figure 2.5-2, p59 of the submission</w:t>
      </w:r>
    </w:p>
    <w:p w:rsidR="0087172F" w:rsidRPr="007579E2" w:rsidRDefault="000B7C2C" w:rsidP="00061E01">
      <w:pPr>
        <w:pStyle w:val="ListParagraph"/>
        <w:widowControl/>
        <w:numPr>
          <w:ilvl w:val="1"/>
          <w:numId w:val="2"/>
        </w:numPr>
        <w:spacing w:before="120"/>
      </w:pPr>
      <w:r w:rsidRPr="007579E2">
        <w:t xml:space="preserve">The Pre-Sub-Committee Response (PSCR) argued </w:t>
      </w:r>
      <w:r w:rsidR="00E054C5" w:rsidRPr="007579E2">
        <w:t xml:space="preserve">that at a </w:t>
      </w:r>
      <w:r w:rsidRPr="007579E2">
        <w:t>median follow-up of 42</w:t>
      </w:r>
      <w:r w:rsidR="00E054C5" w:rsidRPr="007579E2">
        <w:t xml:space="preserve"> to </w:t>
      </w:r>
      <w:r w:rsidRPr="007579E2">
        <w:t xml:space="preserve">44 months the Kaplan-Meier RFS curves for both arms had flattened out with estimated cure rates (i.e. patients who will remain relapse-free long term) of 54% (95% CI: 49%, 59%) for </w:t>
      </w:r>
      <w:proofErr w:type="spellStart"/>
      <w:r w:rsidRPr="007579E2">
        <w:t>dabrafenib+trametinib</w:t>
      </w:r>
      <w:proofErr w:type="spellEnd"/>
      <w:r w:rsidRPr="007579E2">
        <w:t xml:space="preserve"> and 37%</w:t>
      </w:r>
      <w:r w:rsidRPr="007579E2">
        <w:rPr>
          <w:rFonts w:ascii="Arial" w:hAnsi="Arial"/>
          <w:color w:val="000000"/>
          <w:sz w:val="20"/>
          <w:szCs w:val="20"/>
          <w:shd w:val="clear" w:color="auto" w:fill="FFFFFF"/>
        </w:rPr>
        <w:t xml:space="preserve"> (</w:t>
      </w:r>
      <w:r w:rsidRPr="007579E2">
        <w:t>95% CI: 32%, 42%) for placebo</w:t>
      </w:r>
      <w:r w:rsidR="00924939" w:rsidRPr="007579E2">
        <w:t xml:space="preserve"> (from </w:t>
      </w:r>
      <w:proofErr w:type="spellStart"/>
      <w:r w:rsidR="00924939" w:rsidRPr="007579E2">
        <w:t>Hauschild</w:t>
      </w:r>
      <w:proofErr w:type="spellEnd"/>
      <w:r w:rsidR="00924939" w:rsidRPr="007579E2">
        <w:t>, 2018)</w:t>
      </w:r>
      <w:r w:rsidRPr="007579E2">
        <w:t xml:space="preserve">. On </w:t>
      </w:r>
      <w:r w:rsidR="00924939" w:rsidRPr="007579E2">
        <w:t xml:space="preserve">this </w:t>
      </w:r>
      <w:r w:rsidRPr="007579E2">
        <w:t>basis</w:t>
      </w:r>
      <w:r w:rsidR="00924939" w:rsidRPr="007579E2">
        <w:t>, the PSCR</w:t>
      </w:r>
      <w:r w:rsidRPr="007579E2">
        <w:t xml:space="preserve"> considered</w:t>
      </w:r>
      <w:r w:rsidR="00924939" w:rsidRPr="007579E2">
        <w:t xml:space="preserve"> that</w:t>
      </w:r>
      <w:r w:rsidRPr="007579E2">
        <w:t xml:space="preserve"> a median time for relapse may not be reached. The ESC considered</w:t>
      </w:r>
      <w:r w:rsidR="000E4FCB" w:rsidRPr="007579E2">
        <w:t xml:space="preserve">, given the immaturity of the OS data, </w:t>
      </w:r>
      <w:r w:rsidRPr="007579E2">
        <w:t xml:space="preserve">there </w:t>
      </w:r>
      <w:r w:rsidR="000E4FCB" w:rsidRPr="007579E2">
        <w:t xml:space="preserve">are </w:t>
      </w:r>
      <w:r w:rsidRPr="007579E2">
        <w:t xml:space="preserve">currently insufficient data to conclude that </w:t>
      </w:r>
      <w:proofErr w:type="spellStart"/>
      <w:r w:rsidRPr="007579E2">
        <w:t>dabrafenib+trametinib</w:t>
      </w:r>
      <w:proofErr w:type="spellEnd"/>
      <w:r w:rsidRPr="007579E2">
        <w:t xml:space="preserve"> cures patients</w:t>
      </w:r>
      <w:r w:rsidR="00924939" w:rsidRPr="007579E2">
        <w:t>,</w:t>
      </w:r>
      <w:r w:rsidRPr="007579E2">
        <w:t xml:space="preserve"> as opposed to delaying recurrence</w:t>
      </w:r>
      <w:r w:rsidR="007579E2">
        <w:t xml:space="preserve">. </w:t>
      </w:r>
    </w:p>
    <w:p w:rsidR="0087172F" w:rsidRPr="007579E2" w:rsidRDefault="000B7C2C" w:rsidP="00061E01">
      <w:pPr>
        <w:pStyle w:val="ListParagraph"/>
        <w:widowControl/>
        <w:numPr>
          <w:ilvl w:val="1"/>
          <w:numId w:val="2"/>
        </w:numPr>
        <w:spacing w:before="120"/>
      </w:pPr>
      <w:r w:rsidRPr="00E73ED2">
        <w:t xml:space="preserve">Of the relapse events observed in COMBI-AD, a higher proportion in the </w:t>
      </w:r>
      <w:proofErr w:type="spellStart"/>
      <w:r w:rsidRPr="00E73ED2">
        <w:t>dabrafenib+trametinib</w:t>
      </w:r>
      <w:proofErr w:type="spellEnd"/>
      <w:r w:rsidRPr="00E73ED2">
        <w:t xml:space="preserve"> treatment arm were a distant relapse </w:t>
      </w:r>
      <w:r w:rsidR="00FC41AD" w:rsidRPr="00E73ED2">
        <w:t xml:space="preserve">111/174; 63.7%) </w:t>
      </w:r>
      <w:r w:rsidRPr="00E73ED2">
        <w:t xml:space="preserve">compared with the placebo arm </w:t>
      </w:r>
      <w:r w:rsidR="00FC41AD" w:rsidRPr="00E73ED2">
        <w:t xml:space="preserve">136/253; 53.8%). </w:t>
      </w:r>
      <w:r w:rsidRPr="00E73ED2">
        <w:t xml:space="preserve"> Distant relapses have a poorer prognosis compared with </w:t>
      </w:r>
      <w:proofErr w:type="spellStart"/>
      <w:r w:rsidRPr="00E73ED2">
        <w:t>locoregional</w:t>
      </w:r>
      <w:proofErr w:type="spellEnd"/>
      <w:r w:rsidRPr="00E73ED2">
        <w:t xml:space="preserve"> relapse. The ESC considered this could have</w:t>
      </w:r>
      <w:r w:rsidRPr="007579E2">
        <w:t xml:space="preserve"> implications for the expected OS and noted that this difference was not accounted for in the </w:t>
      </w:r>
      <w:r w:rsidR="00F63830" w:rsidRPr="007579E2">
        <w:t xml:space="preserve">economic </w:t>
      </w:r>
      <w:r w:rsidRPr="007579E2">
        <w:t>model.</w:t>
      </w:r>
      <w:r w:rsidR="00263D1A" w:rsidRPr="007579E2">
        <w:t xml:space="preserve"> The pre-PBAC response noted that there were few patients with relapse events in the </w:t>
      </w:r>
      <w:proofErr w:type="spellStart"/>
      <w:r w:rsidR="00263D1A" w:rsidRPr="007579E2">
        <w:t>dabrafenib+trametinib</w:t>
      </w:r>
      <w:proofErr w:type="spellEnd"/>
      <w:r w:rsidR="00263D1A" w:rsidRPr="007579E2">
        <w:t xml:space="preserve"> arm, and that as a proportion of all randomised patients, 25.3% of patients in the </w:t>
      </w:r>
      <w:proofErr w:type="spellStart"/>
      <w:r w:rsidR="00263D1A" w:rsidRPr="007579E2">
        <w:t>dabrafenib+trametinib</w:t>
      </w:r>
      <w:proofErr w:type="spellEnd"/>
      <w:r w:rsidR="00263D1A" w:rsidRPr="007579E2">
        <w:t xml:space="preserve"> arm and 31.5% of patients in the placebo arm experienced a distant relapse.</w:t>
      </w:r>
    </w:p>
    <w:p w:rsidR="00792CA1" w:rsidRPr="007579E2" w:rsidRDefault="00792CA1" w:rsidP="00061E01">
      <w:pPr>
        <w:widowControl/>
        <w:numPr>
          <w:ilvl w:val="1"/>
          <w:numId w:val="2"/>
        </w:numPr>
        <w:spacing w:before="120" w:after="120"/>
      </w:pPr>
      <w:r w:rsidRPr="007579E2">
        <w:rPr>
          <w:szCs w:val="24"/>
        </w:rPr>
        <w:t>A publication of the COMBI-AD trial</w:t>
      </w:r>
      <w:r w:rsidR="00D019C0" w:rsidRPr="007579E2">
        <w:rPr>
          <w:szCs w:val="24"/>
        </w:rPr>
        <w:t xml:space="preserve"> (</w:t>
      </w:r>
      <w:proofErr w:type="spellStart"/>
      <w:r w:rsidR="00D019C0" w:rsidRPr="007579E2">
        <w:rPr>
          <w:szCs w:val="24"/>
        </w:rPr>
        <w:t>Hauschild</w:t>
      </w:r>
      <w:proofErr w:type="spellEnd"/>
      <w:r w:rsidR="00D019C0" w:rsidRPr="007579E2">
        <w:rPr>
          <w:szCs w:val="24"/>
        </w:rPr>
        <w:t>, 2018)</w:t>
      </w:r>
      <w:r w:rsidRPr="007579E2">
        <w:rPr>
          <w:szCs w:val="24"/>
        </w:rPr>
        <w:t xml:space="preserve"> reported a </w:t>
      </w:r>
      <w:r w:rsidRPr="007579E2">
        <w:rPr>
          <w:i/>
          <w:szCs w:val="24"/>
        </w:rPr>
        <w:t xml:space="preserve">post hoc </w:t>
      </w:r>
      <w:r w:rsidRPr="007579E2">
        <w:rPr>
          <w:szCs w:val="24"/>
        </w:rPr>
        <w:t xml:space="preserve">subgroup analysis of </w:t>
      </w:r>
      <w:r w:rsidR="006D1B61" w:rsidRPr="007579E2">
        <w:rPr>
          <w:szCs w:val="24"/>
        </w:rPr>
        <w:t xml:space="preserve">the updated </w:t>
      </w:r>
      <w:r w:rsidRPr="007579E2">
        <w:rPr>
          <w:szCs w:val="24"/>
        </w:rPr>
        <w:t xml:space="preserve">RFS </w:t>
      </w:r>
      <w:r w:rsidR="006D1B61" w:rsidRPr="007579E2">
        <w:rPr>
          <w:szCs w:val="24"/>
        </w:rPr>
        <w:t xml:space="preserve">data </w:t>
      </w:r>
      <w:r w:rsidRPr="007579E2">
        <w:rPr>
          <w:szCs w:val="24"/>
        </w:rPr>
        <w:t>conducted on the basis of baseline disease stage according to the AJCC 8</w:t>
      </w:r>
      <w:r w:rsidRPr="007579E2">
        <w:rPr>
          <w:szCs w:val="24"/>
          <w:vertAlign w:val="superscript"/>
        </w:rPr>
        <w:t>th</w:t>
      </w:r>
      <w:r w:rsidRPr="007579E2">
        <w:rPr>
          <w:szCs w:val="24"/>
        </w:rPr>
        <w:t xml:space="preserve"> edition. </w:t>
      </w:r>
      <w:r w:rsidR="00B605EB" w:rsidRPr="007579E2">
        <w:rPr>
          <w:szCs w:val="24"/>
        </w:rPr>
        <w:t xml:space="preserve">The results are presented below. </w:t>
      </w:r>
    </w:p>
    <w:p w:rsidR="00792CA1" w:rsidRPr="007579E2" w:rsidRDefault="00BC1636" w:rsidP="007E6F21">
      <w:pPr>
        <w:pStyle w:val="Caption"/>
        <w:widowControl/>
        <w:rPr>
          <w:sz w:val="18"/>
        </w:rPr>
      </w:pPr>
      <w:r w:rsidRPr="007579E2">
        <w:lastRenderedPageBreak/>
        <w:t>Table 6</w:t>
      </w:r>
      <w:r w:rsidR="00792CA1" w:rsidRPr="007579E2">
        <w:t xml:space="preserve">: Comparison of an analysis of </w:t>
      </w:r>
      <w:r w:rsidR="00115C72" w:rsidRPr="007579E2">
        <w:t>RFS</w:t>
      </w:r>
      <w:r w:rsidR="00792CA1" w:rsidRPr="007579E2">
        <w:t xml:space="preserve"> from the COMBI-AD trial results, on the basis of baseline disease staging using 7</w:t>
      </w:r>
      <w:r w:rsidR="00792CA1" w:rsidRPr="007579E2">
        <w:rPr>
          <w:vertAlign w:val="superscript"/>
        </w:rPr>
        <w:t>th</w:t>
      </w:r>
      <w:r w:rsidR="00792CA1" w:rsidRPr="007579E2">
        <w:t xml:space="preserve"> and 8</w:t>
      </w:r>
      <w:r w:rsidR="00792CA1" w:rsidRPr="007579E2">
        <w:rPr>
          <w:vertAlign w:val="superscript"/>
        </w:rPr>
        <w:t>th</w:t>
      </w:r>
      <w:r w:rsidR="00792CA1" w:rsidRPr="007579E2">
        <w:t xml:space="preserve"> edition</w:t>
      </w:r>
      <w:r w:rsidR="009E37B9" w:rsidRPr="007579E2">
        <w:t xml:space="preserve">s of the AJCC melanoma staging </w:t>
      </w:r>
      <w:proofErr w:type="spellStart"/>
      <w:r w:rsidR="009E37B9" w:rsidRPr="007579E2">
        <w:t>system</w:t>
      </w:r>
      <w:r w:rsidR="009E37B9" w:rsidRPr="007579E2">
        <w:rPr>
          <w:vertAlign w:val="superscript"/>
        </w:rPr>
        <w:t>a</w:t>
      </w:r>
      <w:proofErr w:type="spellEnd"/>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Comparison of an analysis of RFS from the COMBI-AD trial results, on the basis of baseline disease staging using 7th and 8th editions of the AJCC melanoma staging systema"/>
      </w:tblPr>
      <w:tblGrid>
        <w:gridCol w:w="1271"/>
        <w:gridCol w:w="1559"/>
        <w:gridCol w:w="851"/>
        <w:gridCol w:w="1559"/>
        <w:gridCol w:w="1418"/>
        <w:gridCol w:w="1418"/>
        <w:gridCol w:w="881"/>
      </w:tblGrid>
      <w:tr w:rsidR="009E37B9" w:rsidRPr="007579E2" w:rsidTr="009E37B9">
        <w:tc>
          <w:tcPr>
            <w:tcW w:w="1271" w:type="dxa"/>
            <w:vMerge w:val="restart"/>
            <w:tcMar>
              <w:left w:w="28" w:type="dxa"/>
              <w:right w:w="28" w:type="dxa"/>
            </w:tcMar>
            <w:vAlign w:val="center"/>
          </w:tcPr>
          <w:p w:rsidR="009E37B9" w:rsidRPr="007579E2" w:rsidRDefault="009E37B9" w:rsidP="007E6F21">
            <w:pPr>
              <w:pStyle w:val="Tabletext"/>
              <w:keepNext/>
              <w:jc w:val="center"/>
              <w:rPr>
                <w:b/>
                <w:szCs w:val="20"/>
              </w:rPr>
            </w:pPr>
            <w:r w:rsidRPr="007579E2">
              <w:rPr>
                <w:b/>
                <w:szCs w:val="20"/>
              </w:rPr>
              <w:t xml:space="preserve">Stage III </w:t>
            </w:r>
            <w:r w:rsidRPr="007579E2">
              <w:rPr>
                <w:b/>
                <w:szCs w:val="20"/>
              </w:rPr>
              <w:br/>
              <w:t>sub-stage</w:t>
            </w:r>
          </w:p>
        </w:tc>
        <w:tc>
          <w:tcPr>
            <w:tcW w:w="2410" w:type="dxa"/>
            <w:gridSpan w:val="2"/>
            <w:tcMar>
              <w:left w:w="28" w:type="dxa"/>
              <w:right w:w="28" w:type="dxa"/>
            </w:tcMar>
          </w:tcPr>
          <w:p w:rsidR="009E37B9" w:rsidRPr="007579E2" w:rsidRDefault="009E37B9" w:rsidP="007E6F21">
            <w:pPr>
              <w:pStyle w:val="Tabletext"/>
              <w:keepNext/>
              <w:jc w:val="center"/>
              <w:rPr>
                <w:b/>
                <w:szCs w:val="20"/>
              </w:rPr>
            </w:pPr>
            <w:r w:rsidRPr="007579E2">
              <w:rPr>
                <w:b/>
                <w:szCs w:val="20"/>
              </w:rPr>
              <w:t>7</w:t>
            </w:r>
            <w:r w:rsidRPr="007579E2">
              <w:rPr>
                <w:b/>
                <w:szCs w:val="20"/>
                <w:vertAlign w:val="superscript"/>
              </w:rPr>
              <w:t>th</w:t>
            </w:r>
            <w:r w:rsidRPr="007579E2">
              <w:rPr>
                <w:b/>
                <w:szCs w:val="20"/>
              </w:rPr>
              <w:t xml:space="preserve"> edition</w:t>
            </w:r>
          </w:p>
        </w:tc>
        <w:tc>
          <w:tcPr>
            <w:tcW w:w="5276" w:type="dxa"/>
            <w:gridSpan w:val="4"/>
            <w:tcMar>
              <w:left w:w="28" w:type="dxa"/>
              <w:right w:w="28" w:type="dxa"/>
            </w:tcMar>
          </w:tcPr>
          <w:p w:rsidR="009E37B9" w:rsidRPr="007579E2" w:rsidRDefault="009E37B9" w:rsidP="007E6F21">
            <w:pPr>
              <w:pStyle w:val="Tabletext"/>
              <w:keepNext/>
              <w:jc w:val="center"/>
              <w:rPr>
                <w:b/>
                <w:szCs w:val="20"/>
              </w:rPr>
            </w:pPr>
            <w:r w:rsidRPr="007579E2">
              <w:rPr>
                <w:b/>
                <w:szCs w:val="20"/>
              </w:rPr>
              <w:t>8</w:t>
            </w:r>
            <w:r w:rsidRPr="007579E2">
              <w:rPr>
                <w:b/>
                <w:szCs w:val="20"/>
                <w:vertAlign w:val="superscript"/>
              </w:rPr>
              <w:t>th</w:t>
            </w:r>
            <w:r w:rsidRPr="007579E2">
              <w:rPr>
                <w:b/>
                <w:szCs w:val="20"/>
              </w:rPr>
              <w:t xml:space="preserve"> edition</w:t>
            </w:r>
          </w:p>
        </w:tc>
      </w:tr>
      <w:tr w:rsidR="009E37B9" w:rsidRPr="007579E2" w:rsidTr="009E37B9">
        <w:tc>
          <w:tcPr>
            <w:tcW w:w="1271" w:type="dxa"/>
            <w:vMerge/>
            <w:tcMar>
              <w:left w:w="28" w:type="dxa"/>
              <w:right w:w="28" w:type="dxa"/>
            </w:tcMar>
          </w:tcPr>
          <w:p w:rsidR="009E37B9" w:rsidRPr="007579E2" w:rsidRDefault="009E37B9" w:rsidP="007E6F21">
            <w:pPr>
              <w:pStyle w:val="Tabletext"/>
              <w:keepNext/>
              <w:jc w:val="center"/>
              <w:rPr>
                <w:szCs w:val="20"/>
              </w:rPr>
            </w:pPr>
          </w:p>
        </w:tc>
        <w:tc>
          <w:tcPr>
            <w:tcW w:w="1559" w:type="dxa"/>
            <w:tcMar>
              <w:left w:w="28" w:type="dxa"/>
              <w:right w:w="28" w:type="dxa"/>
            </w:tcMar>
            <w:vAlign w:val="center"/>
          </w:tcPr>
          <w:p w:rsidR="009E37B9" w:rsidRPr="007579E2" w:rsidRDefault="009E37B9" w:rsidP="007E6F21">
            <w:pPr>
              <w:pStyle w:val="Tabletext"/>
              <w:keepNext/>
              <w:jc w:val="center"/>
              <w:rPr>
                <w:b/>
                <w:szCs w:val="20"/>
              </w:rPr>
            </w:pPr>
            <w:r w:rsidRPr="007579E2">
              <w:rPr>
                <w:b/>
                <w:szCs w:val="20"/>
              </w:rPr>
              <w:t xml:space="preserve">HR </w:t>
            </w:r>
            <w:r w:rsidRPr="007579E2">
              <w:rPr>
                <w:b/>
                <w:szCs w:val="20"/>
              </w:rPr>
              <w:br/>
              <w:t>(95% CI)</w:t>
            </w:r>
          </w:p>
        </w:tc>
        <w:tc>
          <w:tcPr>
            <w:tcW w:w="851" w:type="dxa"/>
            <w:tcMar>
              <w:left w:w="28" w:type="dxa"/>
              <w:right w:w="28" w:type="dxa"/>
            </w:tcMar>
            <w:vAlign w:val="center"/>
          </w:tcPr>
          <w:p w:rsidR="009E37B9" w:rsidRPr="007579E2" w:rsidRDefault="009E37B9" w:rsidP="007E6F21">
            <w:pPr>
              <w:pStyle w:val="Tabletext"/>
              <w:keepNext/>
              <w:jc w:val="center"/>
              <w:rPr>
                <w:b/>
                <w:szCs w:val="20"/>
              </w:rPr>
            </w:pPr>
            <w:r w:rsidRPr="007579E2">
              <w:rPr>
                <w:b/>
                <w:szCs w:val="20"/>
              </w:rPr>
              <w:t>AD at Year 3</w:t>
            </w:r>
          </w:p>
        </w:tc>
        <w:tc>
          <w:tcPr>
            <w:tcW w:w="1559" w:type="dxa"/>
            <w:tcMar>
              <w:left w:w="28" w:type="dxa"/>
              <w:right w:w="28" w:type="dxa"/>
            </w:tcMar>
            <w:vAlign w:val="center"/>
          </w:tcPr>
          <w:p w:rsidR="009E37B9" w:rsidRPr="007579E2" w:rsidRDefault="009E37B9" w:rsidP="007E6F21">
            <w:pPr>
              <w:pStyle w:val="Tabletext"/>
              <w:keepNext/>
              <w:jc w:val="center"/>
              <w:rPr>
                <w:b/>
                <w:szCs w:val="20"/>
              </w:rPr>
            </w:pPr>
            <w:r w:rsidRPr="007579E2">
              <w:rPr>
                <w:b/>
                <w:szCs w:val="20"/>
              </w:rPr>
              <w:t xml:space="preserve">HR </w:t>
            </w:r>
            <w:r w:rsidRPr="007579E2">
              <w:rPr>
                <w:b/>
                <w:szCs w:val="20"/>
              </w:rPr>
              <w:br/>
              <w:t>(95% CI)</w:t>
            </w:r>
          </w:p>
        </w:tc>
        <w:tc>
          <w:tcPr>
            <w:tcW w:w="1418" w:type="dxa"/>
            <w:tcMar>
              <w:left w:w="28" w:type="dxa"/>
              <w:right w:w="28" w:type="dxa"/>
            </w:tcMar>
            <w:vAlign w:val="center"/>
          </w:tcPr>
          <w:p w:rsidR="009E37B9" w:rsidRPr="007579E2" w:rsidRDefault="009E37B9" w:rsidP="007E6F21">
            <w:pPr>
              <w:pStyle w:val="Tabletext"/>
              <w:keepNext/>
              <w:jc w:val="center"/>
              <w:rPr>
                <w:b/>
                <w:szCs w:val="20"/>
              </w:rPr>
            </w:pPr>
            <w:r w:rsidRPr="007579E2">
              <w:rPr>
                <w:b/>
                <w:szCs w:val="20"/>
              </w:rPr>
              <w:t xml:space="preserve">DAB+TRAM </w:t>
            </w:r>
            <w:r w:rsidRPr="007579E2">
              <w:rPr>
                <w:b/>
                <w:szCs w:val="20"/>
              </w:rPr>
              <w:br/>
              <w:t xml:space="preserve">RFS at Year 3 </w:t>
            </w:r>
            <w:r w:rsidRPr="007579E2">
              <w:rPr>
                <w:b/>
                <w:szCs w:val="20"/>
              </w:rPr>
              <w:br/>
              <w:t>(95% CI)</w:t>
            </w:r>
          </w:p>
        </w:tc>
        <w:tc>
          <w:tcPr>
            <w:tcW w:w="1418" w:type="dxa"/>
            <w:tcMar>
              <w:left w:w="28" w:type="dxa"/>
              <w:right w:w="28" w:type="dxa"/>
            </w:tcMar>
            <w:vAlign w:val="center"/>
          </w:tcPr>
          <w:p w:rsidR="009E37B9" w:rsidRPr="007579E2" w:rsidRDefault="009E37B9" w:rsidP="007E6F21">
            <w:pPr>
              <w:pStyle w:val="Tabletext"/>
              <w:keepNext/>
              <w:jc w:val="center"/>
              <w:rPr>
                <w:b/>
                <w:szCs w:val="20"/>
              </w:rPr>
            </w:pPr>
            <w:r w:rsidRPr="007579E2">
              <w:rPr>
                <w:b/>
                <w:szCs w:val="20"/>
              </w:rPr>
              <w:t xml:space="preserve">PBO </w:t>
            </w:r>
          </w:p>
          <w:p w:rsidR="009E37B9" w:rsidRPr="007579E2" w:rsidRDefault="009E37B9" w:rsidP="007E6F21">
            <w:pPr>
              <w:pStyle w:val="Tabletext"/>
              <w:keepNext/>
              <w:jc w:val="center"/>
              <w:rPr>
                <w:b/>
                <w:szCs w:val="20"/>
              </w:rPr>
            </w:pPr>
            <w:r w:rsidRPr="007579E2">
              <w:rPr>
                <w:b/>
                <w:szCs w:val="20"/>
              </w:rPr>
              <w:t xml:space="preserve">RFS at Year 3 </w:t>
            </w:r>
            <w:r w:rsidRPr="007579E2">
              <w:rPr>
                <w:b/>
                <w:szCs w:val="20"/>
              </w:rPr>
              <w:br/>
              <w:t>(95% CI)</w:t>
            </w:r>
          </w:p>
        </w:tc>
        <w:tc>
          <w:tcPr>
            <w:tcW w:w="881" w:type="dxa"/>
            <w:tcMar>
              <w:left w:w="28" w:type="dxa"/>
              <w:right w:w="28" w:type="dxa"/>
            </w:tcMar>
            <w:vAlign w:val="center"/>
          </w:tcPr>
          <w:p w:rsidR="009E37B9" w:rsidRPr="007579E2" w:rsidRDefault="009E37B9" w:rsidP="007E6F21">
            <w:pPr>
              <w:pStyle w:val="Tabletext"/>
              <w:keepNext/>
              <w:jc w:val="center"/>
              <w:rPr>
                <w:b/>
                <w:szCs w:val="20"/>
              </w:rPr>
            </w:pPr>
            <w:r w:rsidRPr="007579E2">
              <w:rPr>
                <w:b/>
                <w:szCs w:val="20"/>
              </w:rPr>
              <w:t>AD at Year 3</w:t>
            </w:r>
          </w:p>
        </w:tc>
      </w:tr>
      <w:tr w:rsidR="009E37B9" w:rsidRPr="007579E2" w:rsidTr="009E37B9">
        <w:tc>
          <w:tcPr>
            <w:tcW w:w="1271"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A</w:t>
            </w:r>
            <w:r w:rsidRPr="007579E2">
              <w:rPr>
                <w:szCs w:val="20"/>
                <w:vertAlign w:val="superscript"/>
              </w:rPr>
              <w:t>b</w:t>
            </w:r>
          </w:p>
        </w:tc>
        <w:tc>
          <w:tcPr>
            <w:tcW w:w="1559"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 xml:space="preserve">0.44 (0.23,0.84) </w:t>
            </w:r>
            <w:r w:rsidRPr="007579E2">
              <w:rPr>
                <w:szCs w:val="20"/>
              </w:rPr>
              <w:br/>
              <w:t>(N = 154)</w:t>
            </w:r>
          </w:p>
        </w:tc>
        <w:tc>
          <w:tcPr>
            <w:tcW w:w="851"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18%</w:t>
            </w:r>
          </w:p>
        </w:tc>
        <w:tc>
          <w:tcPr>
            <w:tcW w:w="1559"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 xml:space="preserve">0.63 (0.26, 1.56) </w:t>
            </w:r>
            <w:r w:rsidRPr="007579E2">
              <w:rPr>
                <w:szCs w:val="20"/>
              </w:rPr>
              <w:br/>
              <w:t>(N = 89)</w:t>
            </w:r>
          </w:p>
        </w:tc>
        <w:tc>
          <w:tcPr>
            <w:tcW w:w="1418"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84%</w:t>
            </w:r>
          </w:p>
          <w:p w:rsidR="009E37B9" w:rsidRPr="007579E2" w:rsidRDefault="009E37B9" w:rsidP="007E6F21">
            <w:pPr>
              <w:pStyle w:val="Tabletext"/>
              <w:keepNext/>
              <w:jc w:val="center"/>
              <w:rPr>
                <w:szCs w:val="20"/>
              </w:rPr>
            </w:pPr>
            <w:r w:rsidRPr="007579E2">
              <w:rPr>
                <w:szCs w:val="20"/>
              </w:rPr>
              <w:t xml:space="preserve"> (74% to 96%)</w:t>
            </w:r>
          </w:p>
        </w:tc>
        <w:tc>
          <w:tcPr>
            <w:tcW w:w="1418"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71%</w:t>
            </w:r>
          </w:p>
          <w:p w:rsidR="009E37B9" w:rsidRPr="007579E2" w:rsidRDefault="009E37B9" w:rsidP="007E6F21">
            <w:pPr>
              <w:pStyle w:val="Tabletext"/>
              <w:keepNext/>
              <w:jc w:val="center"/>
              <w:rPr>
                <w:szCs w:val="20"/>
              </w:rPr>
            </w:pPr>
            <w:r w:rsidRPr="007579E2">
              <w:rPr>
                <w:szCs w:val="20"/>
              </w:rPr>
              <w:t>(58% to 88%)</w:t>
            </w:r>
          </w:p>
        </w:tc>
        <w:tc>
          <w:tcPr>
            <w:tcW w:w="881"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13%</w:t>
            </w:r>
          </w:p>
        </w:tc>
      </w:tr>
      <w:tr w:rsidR="009E37B9" w:rsidRPr="007579E2" w:rsidTr="009E37B9">
        <w:tc>
          <w:tcPr>
            <w:tcW w:w="1271"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B</w:t>
            </w:r>
          </w:p>
        </w:tc>
        <w:tc>
          <w:tcPr>
            <w:tcW w:w="1559"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 xml:space="preserve">0.50 (0.37, 0.67) </w:t>
            </w:r>
            <w:r w:rsidRPr="007579E2">
              <w:rPr>
                <w:szCs w:val="20"/>
              </w:rPr>
              <w:br/>
              <w:t>(N = 356)</w:t>
            </w:r>
          </w:p>
        </w:tc>
        <w:tc>
          <w:tcPr>
            <w:tcW w:w="851"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19%</w:t>
            </w:r>
          </w:p>
        </w:tc>
        <w:tc>
          <w:tcPr>
            <w:tcW w:w="1559"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 xml:space="preserve">0.48 (0.34, 0.67) </w:t>
            </w:r>
            <w:r w:rsidRPr="007579E2">
              <w:rPr>
                <w:szCs w:val="20"/>
              </w:rPr>
              <w:br/>
              <w:t>(N = 299)</w:t>
            </w:r>
          </w:p>
        </w:tc>
        <w:tc>
          <w:tcPr>
            <w:tcW w:w="1418" w:type="dxa"/>
            <w:tcMar>
              <w:left w:w="28" w:type="dxa"/>
              <w:right w:w="28" w:type="dxa"/>
            </w:tcMar>
            <w:vAlign w:val="center"/>
          </w:tcPr>
          <w:p w:rsidR="009E37B9" w:rsidRPr="007579E2" w:rsidRDefault="009E37B9" w:rsidP="007E6F21">
            <w:pPr>
              <w:keepNext/>
              <w:widowControl/>
              <w:autoSpaceDE w:val="0"/>
              <w:autoSpaceDN w:val="0"/>
              <w:adjustRightInd w:val="0"/>
              <w:jc w:val="center"/>
              <w:rPr>
                <w:rFonts w:ascii="Arial Narrow" w:hAnsi="Arial Narrow" w:cs="Univers"/>
                <w:snapToGrid/>
                <w:sz w:val="20"/>
                <w:szCs w:val="20"/>
                <w:lang w:eastAsia="en-AU"/>
              </w:rPr>
            </w:pPr>
            <w:r w:rsidRPr="007579E2">
              <w:rPr>
                <w:rFonts w:ascii="Arial Narrow" w:hAnsi="Arial Narrow" w:cs="Univers"/>
                <w:snapToGrid/>
                <w:sz w:val="20"/>
                <w:szCs w:val="20"/>
                <w:lang w:eastAsia="en-AU"/>
              </w:rPr>
              <w:t>64%</w:t>
            </w:r>
          </w:p>
          <w:p w:rsidR="009E37B9" w:rsidRPr="007579E2" w:rsidRDefault="009E37B9" w:rsidP="007E6F21">
            <w:pPr>
              <w:keepNext/>
              <w:widowControl/>
              <w:jc w:val="center"/>
              <w:rPr>
                <w:rFonts w:ascii="Arial Narrow" w:hAnsi="Arial Narrow"/>
                <w:sz w:val="20"/>
                <w:szCs w:val="20"/>
              </w:rPr>
            </w:pPr>
            <w:r w:rsidRPr="007579E2">
              <w:rPr>
                <w:rFonts w:ascii="Arial Narrow" w:hAnsi="Arial Narrow" w:cs="Univers"/>
                <w:snapToGrid/>
                <w:sz w:val="20"/>
                <w:szCs w:val="20"/>
                <w:lang w:eastAsia="en-AU"/>
              </w:rPr>
              <w:t>(56% to 72%)</w:t>
            </w:r>
          </w:p>
        </w:tc>
        <w:tc>
          <w:tcPr>
            <w:tcW w:w="1418"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43%</w:t>
            </w:r>
          </w:p>
          <w:p w:rsidR="009E37B9" w:rsidRPr="007579E2" w:rsidRDefault="009E37B9" w:rsidP="007E6F21">
            <w:pPr>
              <w:pStyle w:val="Tabletext"/>
              <w:keepNext/>
              <w:jc w:val="center"/>
              <w:rPr>
                <w:szCs w:val="20"/>
              </w:rPr>
            </w:pPr>
            <w:r w:rsidRPr="007579E2">
              <w:rPr>
                <w:szCs w:val="20"/>
              </w:rPr>
              <w:t>(35% to 52%)</w:t>
            </w:r>
          </w:p>
        </w:tc>
        <w:tc>
          <w:tcPr>
            <w:tcW w:w="881"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21%</w:t>
            </w:r>
          </w:p>
        </w:tc>
      </w:tr>
      <w:tr w:rsidR="009E37B9" w:rsidRPr="007579E2" w:rsidTr="009E37B9">
        <w:tc>
          <w:tcPr>
            <w:tcW w:w="1271"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C</w:t>
            </w:r>
          </w:p>
        </w:tc>
        <w:tc>
          <w:tcPr>
            <w:tcW w:w="1559"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 xml:space="preserve">0.45 (0.33, 0.60) </w:t>
            </w:r>
            <w:r w:rsidRPr="007579E2">
              <w:rPr>
                <w:szCs w:val="20"/>
              </w:rPr>
              <w:br/>
              <w:t>(N = 347)</w:t>
            </w:r>
          </w:p>
        </w:tc>
        <w:tc>
          <w:tcPr>
            <w:tcW w:w="851"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20%</w:t>
            </w:r>
          </w:p>
        </w:tc>
        <w:tc>
          <w:tcPr>
            <w:tcW w:w="1559"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 xml:space="preserve">0.50 (0.38, 0.64) </w:t>
            </w:r>
            <w:r w:rsidRPr="007579E2">
              <w:rPr>
                <w:szCs w:val="20"/>
              </w:rPr>
              <w:br/>
              <w:t>(N = 431)</w:t>
            </w:r>
          </w:p>
        </w:tc>
        <w:tc>
          <w:tcPr>
            <w:tcW w:w="1418"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52%</w:t>
            </w:r>
          </w:p>
          <w:p w:rsidR="009E37B9" w:rsidRPr="007579E2" w:rsidRDefault="009E37B9" w:rsidP="007E6F21">
            <w:pPr>
              <w:pStyle w:val="Tabletext"/>
              <w:keepNext/>
              <w:jc w:val="center"/>
              <w:rPr>
                <w:szCs w:val="20"/>
              </w:rPr>
            </w:pPr>
            <w:r w:rsidRPr="007579E2">
              <w:rPr>
                <w:szCs w:val="20"/>
              </w:rPr>
              <w:t>(46% to 60%)</w:t>
            </w:r>
          </w:p>
        </w:tc>
        <w:tc>
          <w:tcPr>
            <w:tcW w:w="1418" w:type="dxa"/>
            <w:tcMar>
              <w:left w:w="28" w:type="dxa"/>
              <w:right w:w="28" w:type="dxa"/>
            </w:tcMar>
            <w:vAlign w:val="center"/>
          </w:tcPr>
          <w:p w:rsidR="009E37B9" w:rsidRPr="007579E2" w:rsidRDefault="009E37B9" w:rsidP="007E6F21">
            <w:pPr>
              <w:keepNext/>
              <w:widowControl/>
              <w:autoSpaceDE w:val="0"/>
              <w:autoSpaceDN w:val="0"/>
              <w:adjustRightInd w:val="0"/>
              <w:jc w:val="center"/>
              <w:rPr>
                <w:rFonts w:ascii="Arial Narrow" w:hAnsi="Arial Narrow" w:cs="Univers"/>
                <w:snapToGrid/>
                <w:sz w:val="20"/>
                <w:szCs w:val="20"/>
                <w:lang w:eastAsia="en-AU"/>
              </w:rPr>
            </w:pPr>
            <w:r w:rsidRPr="007579E2">
              <w:rPr>
                <w:rFonts w:ascii="Arial Narrow" w:hAnsi="Arial Narrow" w:cs="Univers"/>
                <w:snapToGrid/>
                <w:sz w:val="20"/>
                <w:szCs w:val="20"/>
                <w:lang w:eastAsia="en-AU"/>
              </w:rPr>
              <w:t>33%</w:t>
            </w:r>
          </w:p>
          <w:p w:rsidR="009E37B9" w:rsidRPr="007579E2" w:rsidRDefault="009E37B9" w:rsidP="007E6F21">
            <w:pPr>
              <w:pStyle w:val="Tabletext"/>
              <w:keepNext/>
              <w:jc w:val="center"/>
              <w:rPr>
                <w:szCs w:val="20"/>
              </w:rPr>
            </w:pPr>
            <w:r w:rsidRPr="007579E2">
              <w:rPr>
                <w:rFonts w:cs="Univers"/>
                <w:szCs w:val="20"/>
                <w:lang w:eastAsia="en-AU"/>
              </w:rPr>
              <w:t>(27% to 40%)</w:t>
            </w:r>
          </w:p>
        </w:tc>
        <w:tc>
          <w:tcPr>
            <w:tcW w:w="881"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19%</w:t>
            </w:r>
          </w:p>
        </w:tc>
      </w:tr>
      <w:tr w:rsidR="009E37B9" w:rsidRPr="007579E2" w:rsidTr="009E37B9">
        <w:tc>
          <w:tcPr>
            <w:tcW w:w="1271"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D</w:t>
            </w:r>
          </w:p>
        </w:tc>
        <w:tc>
          <w:tcPr>
            <w:tcW w:w="1559"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NA</w:t>
            </w:r>
          </w:p>
        </w:tc>
        <w:tc>
          <w:tcPr>
            <w:tcW w:w="851"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NA</w:t>
            </w:r>
          </w:p>
        </w:tc>
        <w:tc>
          <w:tcPr>
            <w:tcW w:w="1559"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 xml:space="preserve">0.34 (0.14, 0.79) </w:t>
            </w:r>
            <w:r w:rsidRPr="007579E2">
              <w:rPr>
                <w:szCs w:val="20"/>
              </w:rPr>
              <w:br/>
              <w:t>(N = 39)</w:t>
            </w:r>
          </w:p>
        </w:tc>
        <w:tc>
          <w:tcPr>
            <w:tcW w:w="1418"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43%</w:t>
            </w:r>
          </w:p>
          <w:p w:rsidR="009E37B9" w:rsidRPr="007579E2" w:rsidRDefault="009E37B9" w:rsidP="007E6F21">
            <w:pPr>
              <w:pStyle w:val="Tabletext"/>
              <w:keepNext/>
              <w:jc w:val="center"/>
              <w:rPr>
                <w:szCs w:val="20"/>
              </w:rPr>
            </w:pPr>
            <w:r w:rsidRPr="007579E2">
              <w:rPr>
                <w:szCs w:val="20"/>
              </w:rPr>
              <w:t>(26% to 70%)</w:t>
            </w:r>
          </w:p>
        </w:tc>
        <w:tc>
          <w:tcPr>
            <w:tcW w:w="1418"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18%</w:t>
            </w:r>
          </w:p>
          <w:p w:rsidR="009E37B9" w:rsidRPr="007579E2" w:rsidRDefault="009E37B9" w:rsidP="007E6F21">
            <w:pPr>
              <w:keepNext/>
              <w:widowControl/>
              <w:tabs>
                <w:tab w:val="left" w:pos="770"/>
              </w:tabs>
              <w:jc w:val="center"/>
              <w:rPr>
                <w:rFonts w:ascii="Arial Narrow" w:hAnsi="Arial Narrow"/>
                <w:sz w:val="20"/>
                <w:szCs w:val="20"/>
              </w:rPr>
            </w:pPr>
            <w:r w:rsidRPr="007579E2">
              <w:rPr>
                <w:rFonts w:ascii="Arial Narrow" w:hAnsi="Arial Narrow"/>
                <w:sz w:val="20"/>
                <w:szCs w:val="20"/>
              </w:rPr>
              <w:t>(6% to 49%)</w:t>
            </w:r>
          </w:p>
        </w:tc>
        <w:tc>
          <w:tcPr>
            <w:tcW w:w="881" w:type="dxa"/>
            <w:tcMar>
              <w:left w:w="28" w:type="dxa"/>
              <w:right w:w="28" w:type="dxa"/>
            </w:tcMar>
            <w:vAlign w:val="center"/>
          </w:tcPr>
          <w:p w:rsidR="009E37B9" w:rsidRPr="007579E2" w:rsidRDefault="009E37B9" w:rsidP="007E6F21">
            <w:pPr>
              <w:pStyle w:val="Tabletext"/>
              <w:keepNext/>
              <w:jc w:val="center"/>
              <w:rPr>
                <w:szCs w:val="20"/>
              </w:rPr>
            </w:pPr>
            <w:r w:rsidRPr="007579E2">
              <w:rPr>
                <w:szCs w:val="20"/>
              </w:rPr>
              <w:t>25%</w:t>
            </w:r>
          </w:p>
        </w:tc>
      </w:tr>
      <w:tr w:rsidR="009E37B9" w:rsidRPr="007579E2" w:rsidTr="009E37B9">
        <w:tc>
          <w:tcPr>
            <w:tcW w:w="1271" w:type="dxa"/>
            <w:tcMar>
              <w:left w:w="28" w:type="dxa"/>
              <w:right w:w="28" w:type="dxa"/>
            </w:tcMar>
          </w:tcPr>
          <w:p w:rsidR="009E37B9" w:rsidRPr="007579E2" w:rsidRDefault="009E37B9" w:rsidP="007E6F21">
            <w:pPr>
              <w:pStyle w:val="Tabletext"/>
              <w:keepNext/>
              <w:jc w:val="center"/>
              <w:rPr>
                <w:szCs w:val="20"/>
              </w:rPr>
            </w:pPr>
            <w:r w:rsidRPr="007579E2">
              <w:rPr>
                <w:szCs w:val="20"/>
              </w:rPr>
              <w:t>Missing</w:t>
            </w:r>
          </w:p>
        </w:tc>
        <w:tc>
          <w:tcPr>
            <w:tcW w:w="1559" w:type="dxa"/>
            <w:tcMar>
              <w:left w:w="28" w:type="dxa"/>
              <w:right w:w="28" w:type="dxa"/>
            </w:tcMar>
          </w:tcPr>
          <w:p w:rsidR="009E37B9" w:rsidRPr="007579E2" w:rsidRDefault="009E37B9" w:rsidP="007E6F21">
            <w:pPr>
              <w:pStyle w:val="Tabletext"/>
              <w:keepNext/>
              <w:jc w:val="center"/>
              <w:rPr>
                <w:szCs w:val="20"/>
              </w:rPr>
            </w:pPr>
            <w:r w:rsidRPr="007579E2">
              <w:rPr>
                <w:szCs w:val="20"/>
              </w:rPr>
              <w:t>N = 13</w:t>
            </w:r>
          </w:p>
        </w:tc>
        <w:tc>
          <w:tcPr>
            <w:tcW w:w="851" w:type="dxa"/>
            <w:tcMar>
              <w:left w:w="28" w:type="dxa"/>
              <w:right w:w="28" w:type="dxa"/>
            </w:tcMar>
          </w:tcPr>
          <w:p w:rsidR="009E37B9" w:rsidRPr="007579E2" w:rsidRDefault="009E37B9" w:rsidP="007E6F21">
            <w:pPr>
              <w:pStyle w:val="Tabletext"/>
              <w:keepNext/>
              <w:jc w:val="center"/>
              <w:rPr>
                <w:szCs w:val="20"/>
              </w:rPr>
            </w:pPr>
            <w:r w:rsidRPr="007579E2">
              <w:rPr>
                <w:szCs w:val="20"/>
              </w:rPr>
              <w:t>–</w:t>
            </w:r>
          </w:p>
        </w:tc>
        <w:tc>
          <w:tcPr>
            <w:tcW w:w="1559" w:type="dxa"/>
            <w:tcMar>
              <w:left w:w="28" w:type="dxa"/>
              <w:right w:w="28" w:type="dxa"/>
            </w:tcMar>
          </w:tcPr>
          <w:p w:rsidR="009E37B9" w:rsidRPr="007579E2" w:rsidRDefault="009E37B9" w:rsidP="007E6F21">
            <w:pPr>
              <w:pStyle w:val="Tabletext"/>
              <w:keepNext/>
              <w:jc w:val="center"/>
              <w:rPr>
                <w:szCs w:val="20"/>
              </w:rPr>
            </w:pPr>
            <w:r w:rsidRPr="007579E2">
              <w:rPr>
                <w:szCs w:val="20"/>
              </w:rPr>
              <w:t>N = 12</w:t>
            </w:r>
          </w:p>
        </w:tc>
        <w:tc>
          <w:tcPr>
            <w:tcW w:w="1418" w:type="dxa"/>
            <w:tcMar>
              <w:left w:w="28" w:type="dxa"/>
              <w:right w:w="28" w:type="dxa"/>
            </w:tcMar>
          </w:tcPr>
          <w:p w:rsidR="009E37B9" w:rsidRPr="007579E2" w:rsidRDefault="009E37B9" w:rsidP="007E6F21">
            <w:pPr>
              <w:pStyle w:val="Tabletext"/>
              <w:keepNext/>
              <w:jc w:val="center"/>
              <w:rPr>
                <w:szCs w:val="20"/>
              </w:rPr>
            </w:pPr>
            <w:r w:rsidRPr="007579E2">
              <w:rPr>
                <w:szCs w:val="20"/>
              </w:rPr>
              <w:t>–</w:t>
            </w:r>
          </w:p>
        </w:tc>
        <w:tc>
          <w:tcPr>
            <w:tcW w:w="1418" w:type="dxa"/>
            <w:tcMar>
              <w:left w:w="28" w:type="dxa"/>
              <w:right w:w="28" w:type="dxa"/>
            </w:tcMar>
          </w:tcPr>
          <w:p w:rsidR="009E37B9" w:rsidRPr="007579E2" w:rsidRDefault="009E37B9" w:rsidP="007E6F21">
            <w:pPr>
              <w:pStyle w:val="Tabletext"/>
              <w:keepNext/>
              <w:jc w:val="center"/>
              <w:rPr>
                <w:szCs w:val="20"/>
              </w:rPr>
            </w:pPr>
            <w:r w:rsidRPr="007579E2">
              <w:rPr>
                <w:szCs w:val="20"/>
              </w:rPr>
              <w:t>–</w:t>
            </w:r>
          </w:p>
        </w:tc>
        <w:tc>
          <w:tcPr>
            <w:tcW w:w="881" w:type="dxa"/>
            <w:tcMar>
              <w:left w:w="28" w:type="dxa"/>
              <w:right w:w="28" w:type="dxa"/>
            </w:tcMar>
          </w:tcPr>
          <w:p w:rsidR="009E37B9" w:rsidRPr="007579E2" w:rsidRDefault="009E37B9" w:rsidP="007E6F21">
            <w:pPr>
              <w:pStyle w:val="Tabletext"/>
              <w:keepNext/>
              <w:jc w:val="center"/>
              <w:rPr>
                <w:szCs w:val="20"/>
              </w:rPr>
            </w:pPr>
            <w:r w:rsidRPr="007579E2">
              <w:rPr>
                <w:szCs w:val="20"/>
              </w:rPr>
              <w:t>–</w:t>
            </w:r>
          </w:p>
        </w:tc>
      </w:tr>
    </w:tbl>
    <w:p w:rsidR="00792CA1" w:rsidRPr="007579E2" w:rsidRDefault="00772149" w:rsidP="007E6F21">
      <w:pPr>
        <w:keepNext/>
        <w:widowControl/>
        <w:rPr>
          <w:rFonts w:ascii="Arial Narrow" w:hAnsi="Arial Narrow"/>
          <w:sz w:val="18"/>
          <w:szCs w:val="18"/>
        </w:rPr>
      </w:pPr>
      <w:r w:rsidRPr="007579E2">
        <w:rPr>
          <w:rFonts w:ascii="Arial Narrow" w:hAnsi="Arial Narrow"/>
          <w:sz w:val="18"/>
          <w:szCs w:val="18"/>
        </w:rPr>
        <w:t>A</w:t>
      </w:r>
      <w:r w:rsidR="002B2E15" w:rsidRPr="007579E2">
        <w:rPr>
          <w:rFonts w:ascii="Arial Narrow" w:hAnsi="Arial Narrow"/>
          <w:sz w:val="18"/>
          <w:szCs w:val="18"/>
        </w:rPr>
        <w:t xml:space="preserve">D = </w:t>
      </w:r>
      <w:r w:rsidRPr="007579E2">
        <w:rPr>
          <w:rFonts w:ascii="Arial Narrow" w:hAnsi="Arial Narrow"/>
          <w:sz w:val="18"/>
          <w:szCs w:val="18"/>
        </w:rPr>
        <w:t>absolute</w:t>
      </w:r>
      <w:r w:rsidR="002B2E15" w:rsidRPr="007579E2">
        <w:rPr>
          <w:rFonts w:ascii="Arial Narrow" w:hAnsi="Arial Narrow"/>
          <w:sz w:val="18"/>
          <w:szCs w:val="18"/>
        </w:rPr>
        <w:t xml:space="preserve"> difference; </w:t>
      </w:r>
      <w:r w:rsidR="00792CA1" w:rsidRPr="007579E2">
        <w:rPr>
          <w:rFonts w:ascii="Arial Narrow" w:hAnsi="Arial Narrow"/>
          <w:sz w:val="18"/>
          <w:szCs w:val="18"/>
        </w:rPr>
        <w:t xml:space="preserve">AJCC = American Joint Committee on Cancer; CI = </w:t>
      </w:r>
      <w:r w:rsidR="009E37B9" w:rsidRPr="007579E2">
        <w:rPr>
          <w:rFonts w:ascii="Arial Narrow" w:hAnsi="Arial Narrow"/>
          <w:sz w:val="18"/>
          <w:szCs w:val="18"/>
        </w:rPr>
        <w:t>c</w:t>
      </w:r>
      <w:r w:rsidR="00792CA1" w:rsidRPr="007579E2">
        <w:rPr>
          <w:rFonts w:ascii="Arial Narrow" w:hAnsi="Arial Narrow"/>
          <w:sz w:val="18"/>
          <w:szCs w:val="18"/>
        </w:rPr>
        <w:t xml:space="preserve">onfidence </w:t>
      </w:r>
      <w:r w:rsidR="009E37B9" w:rsidRPr="007579E2">
        <w:rPr>
          <w:rFonts w:ascii="Arial Narrow" w:hAnsi="Arial Narrow"/>
          <w:sz w:val="18"/>
          <w:szCs w:val="18"/>
        </w:rPr>
        <w:t>i</w:t>
      </w:r>
      <w:r w:rsidR="00201455" w:rsidRPr="007579E2">
        <w:rPr>
          <w:rFonts w:ascii="Arial Narrow" w:hAnsi="Arial Narrow"/>
          <w:sz w:val="18"/>
          <w:szCs w:val="18"/>
        </w:rPr>
        <w:t xml:space="preserve">nterval; </w:t>
      </w:r>
      <w:r w:rsidR="00985D78" w:rsidRPr="007579E2">
        <w:rPr>
          <w:rFonts w:ascii="Arial Narrow" w:hAnsi="Arial Narrow"/>
          <w:sz w:val="18"/>
          <w:szCs w:val="18"/>
        </w:rPr>
        <w:t xml:space="preserve">DAB+TRAM = </w:t>
      </w:r>
      <w:proofErr w:type="spellStart"/>
      <w:r w:rsidR="00985D78" w:rsidRPr="007579E2">
        <w:rPr>
          <w:rFonts w:ascii="Arial Narrow" w:hAnsi="Arial Narrow"/>
          <w:sz w:val="18"/>
          <w:szCs w:val="18"/>
        </w:rPr>
        <w:t>dabr</w:t>
      </w:r>
      <w:r w:rsidR="00315506" w:rsidRPr="007579E2">
        <w:rPr>
          <w:rFonts w:ascii="Arial Narrow" w:hAnsi="Arial Narrow"/>
          <w:sz w:val="18"/>
          <w:szCs w:val="18"/>
        </w:rPr>
        <w:t>afe</w:t>
      </w:r>
      <w:r w:rsidR="00985D78" w:rsidRPr="007579E2">
        <w:rPr>
          <w:rFonts w:ascii="Arial Narrow" w:hAnsi="Arial Narrow"/>
          <w:sz w:val="18"/>
          <w:szCs w:val="18"/>
        </w:rPr>
        <w:t>nib+trametinib</w:t>
      </w:r>
      <w:proofErr w:type="spellEnd"/>
      <w:r w:rsidR="00985D78" w:rsidRPr="007579E2">
        <w:rPr>
          <w:rFonts w:ascii="Arial Narrow" w:hAnsi="Arial Narrow"/>
          <w:sz w:val="18"/>
          <w:szCs w:val="18"/>
        </w:rPr>
        <w:t xml:space="preserve">; </w:t>
      </w:r>
      <w:r w:rsidR="00201455" w:rsidRPr="007579E2">
        <w:rPr>
          <w:rFonts w:ascii="Arial Narrow" w:hAnsi="Arial Narrow"/>
          <w:sz w:val="18"/>
          <w:szCs w:val="18"/>
        </w:rPr>
        <w:t>HR = h</w:t>
      </w:r>
      <w:r w:rsidR="00792CA1" w:rsidRPr="007579E2">
        <w:rPr>
          <w:rFonts w:ascii="Arial Narrow" w:hAnsi="Arial Narrow"/>
          <w:sz w:val="18"/>
          <w:szCs w:val="18"/>
        </w:rPr>
        <w:t>azard ratio; NA = not applicable;</w:t>
      </w:r>
      <w:r w:rsidR="00985D78" w:rsidRPr="007579E2">
        <w:rPr>
          <w:rFonts w:ascii="Arial Narrow" w:hAnsi="Arial Narrow"/>
          <w:sz w:val="18"/>
          <w:szCs w:val="18"/>
        </w:rPr>
        <w:t xml:space="preserve"> PBO = placebo;</w:t>
      </w:r>
      <w:r w:rsidR="00792CA1" w:rsidRPr="007579E2">
        <w:rPr>
          <w:rFonts w:ascii="Arial Narrow" w:hAnsi="Arial Narrow"/>
          <w:sz w:val="18"/>
          <w:szCs w:val="18"/>
        </w:rPr>
        <w:t xml:space="preserve"> </w:t>
      </w:r>
      <w:r w:rsidR="00201455" w:rsidRPr="007579E2">
        <w:rPr>
          <w:rFonts w:ascii="Arial Narrow" w:hAnsi="Arial Narrow"/>
          <w:sz w:val="18"/>
          <w:szCs w:val="18"/>
        </w:rPr>
        <w:t>RFS = r</w:t>
      </w:r>
      <w:r w:rsidR="00792CA1" w:rsidRPr="007579E2">
        <w:rPr>
          <w:rFonts w:ascii="Arial Narrow" w:hAnsi="Arial Narrow"/>
          <w:sz w:val="18"/>
          <w:szCs w:val="18"/>
        </w:rPr>
        <w:t>elapse-free survival</w:t>
      </w:r>
      <w:r w:rsidR="00985D78" w:rsidRPr="007579E2">
        <w:rPr>
          <w:rFonts w:ascii="Arial Narrow" w:hAnsi="Arial Narrow"/>
          <w:sz w:val="18"/>
          <w:szCs w:val="18"/>
        </w:rPr>
        <w:t xml:space="preserve"> </w:t>
      </w:r>
    </w:p>
    <w:p w:rsidR="006D1B61" w:rsidRPr="007579E2" w:rsidRDefault="006D1B61" w:rsidP="007E6F21">
      <w:pPr>
        <w:widowControl/>
        <w:rPr>
          <w:rFonts w:ascii="Arial Narrow" w:hAnsi="Arial Narrow"/>
          <w:sz w:val="18"/>
          <w:szCs w:val="18"/>
        </w:rPr>
      </w:pPr>
      <w:proofErr w:type="gramStart"/>
      <w:r w:rsidRPr="007579E2">
        <w:rPr>
          <w:rFonts w:ascii="Arial Narrow" w:hAnsi="Arial Narrow"/>
          <w:sz w:val="18"/>
          <w:szCs w:val="18"/>
          <w:vertAlign w:val="superscript"/>
        </w:rPr>
        <w:t>a</w:t>
      </w:r>
      <w:proofErr w:type="gramEnd"/>
      <w:r w:rsidRPr="007579E2">
        <w:rPr>
          <w:rFonts w:ascii="Arial Narrow" w:hAnsi="Arial Narrow"/>
          <w:sz w:val="18"/>
          <w:szCs w:val="18"/>
        </w:rPr>
        <w:t xml:space="preserve"> Median follow-up of 44 months for </w:t>
      </w:r>
      <w:proofErr w:type="spellStart"/>
      <w:r w:rsidRPr="007579E2">
        <w:rPr>
          <w:rFonts w:ascii="Arial Narrow" w:hAnsi="Arial Narrow"/>
          <w:sz w:val="18"/>
          <w:szCs w:val="18"/>
        </w:rPr>
        <w:t>dabrafenib+trametinib</w:t>
      </w:r>
      <w:proofErr w:type="spellEnd"/>
      <w:r w:rsidRPr="007579E2">
        <w:rPr>
          <w:rFonts w:ascii="Arial Narrow" w:hAnsi="Arial Narrow"/>
          <w:sz w:val="18"/>
          <w:szCs w:val="18"/>
        </w:rPr>
        <w:t xml:space="preserve"> patients, 42 months for placebo patients</w:t>
      </w:r>
    </w:p>
    <w:p w:rsidR="00792CA1" w:rsidRPr="007579E2" w:rsidRDefault="006D1B61" w:rsidP="007E6F21">
      <w:pPr>
        <w:widowControl/>
        <w:rPr>
          <w:rFonts w:ascii="Arial Narrow" w:hAnsi="Arial Narrow"/>
          <w:sz w:val="18"/>
          <w:szCs w:val="18"/>
        </w:rPr>
      </w:pPr>
      <w:proofErr w:type="gramStart"/>
      <w:r w:rsidRPr="007579E2">
        <w:rPr>
          <w:rFonts w:ascii="Arial Narrow" w:hAnsi="Arial Narrow"/>
          <w:sz w:val="18"/>
          <w:szCs w:val="18"/>
          <w:vertAlign w:val="superscript"/>
        </w:rPr>
        <w:t>b</w:t>
      </w:r>
      <w:proofErr w:type="gramEnd"/>
      <w:r w:rsidR="00792CA1" w:rsidRPr="007579E2">
        <w:rPr>
          <w:rFonts w:ascii="Arial Narrow" w:hAnsi="Arial Narrow"/>
          <w:sz w:val="18"/>
          <w:szCs w:val="18"/>
          <w:vertAlign w:val="superscript"/>
        </w:rPr>
        <w:t xml:space="preserve"> </w:t>
      </w:r>
      <w:r w:rsidR="00792CA1" w:rsidRPr="007579E2">
        <w:rPr>
          <w:rFonts w:ascii="Arial Narrow" w:hAnsi="Arial Narrow"/>
          <w:sz w:val="18"/>
          <w:szCs w:val="18"/>
        </w:rPr>
        <w:t>Stage A &gt; 1</w:t>
      </w:r>
      <w:r w:rsidR="00201455" w:rsidRPr="007579E2">
        <w:rPr>
          <w:rFonts w:ascii="Arial Narrow" w:hAnsi="Arial Narrow"/>
          <w:sz w:val="18"/>
          <w:szCs w:val="18"/>
        </w:rPr>
        <w:t xml:space="preserve"> </w:t>
      </w:r>
      <w:r w:rsidR="00792CA1" w:rsidRPr="007579E2">
        <w:rPr>
          <w:rFonts w:ascii="Arial Narrow" w:hAnsi="Arial Narrow"/>
          <w:sz w:val="18"/>
          <w:szCs w:val="18"/>
        </w:rPr>
        <w:t>mm lymph node metastasis</w:t>
      </w:r>
    </w:p>
    <w:p w:rsidR="00792CA1" w:rsidRPr="007579E2" w:rsidRDefault="00792CA1" w:rsidP="007E6F21">
      <w:pPr>
        <w:pStyle w:val="Tabletext"/>
      </w:pPr>
      <w:r w:rsidRPr="007579E2">
        <w:rPr>
          <w:sz w:val="18"/>
          <w:szCs w:val="18"/>
        </w:rPr>
        <w:t xml:space="preserve">Source: CSR for COMBI-AD p159; </w:t>
      </w:r>
      <w:proofErr w:type="spellStart"/>
      <w:r w:rsidRPr="007579E2">
        <w:rPr>
          <w:sz w:val="18"/>
          <w:szCs w:val="18"/>
        </w:rPr>
        <w:t>Hauschild</w:t>
      </w:r>
      <w:proofErr w:type="spellEnd"/>
      <w:r w:rsidRPr="007579E2">
        <w:rPr>
          <w:sz w:val="18"/>
          <w:szCs w:val="18"/>
        </w:rPr>
        <w:t xml:space="preserve"> </w:t>
      </w:r>
      <w:r w:rsidR="00B45810" w:rsidRPr="007579E2">
        <w:rPr>
          <w:sz w:val="18"/>
          <w:szCs w:val="18"/>
        </w:rPr>
        <w:t>(</w:t>
      </w:r>
      <w:r w:rsidRPr="007579E2">
        <w:rPr>
          <w:sz w:val="18"/>
          <w:szCs w:val="18"/>
        </w:rPr>
        <w:t>2018</w:t>
      </w:r>
      <w:r w:rsidR="00B45810" w:rsidRPr="007579E2">
        <w:rPr>
          <w:sz w:val="18"/>
          <w:szCs w:val="18"/>
        </w:rPr>
        <w:t>)</w:t>
      </w:r>
    </w:p>
    <w:p w:rsidR="00792CA1" w:rsidRPr="007579E2" w:rsidRDefault="00F66CC1" w:rsidP="00061E01">
      <w:pPr>
        <w:widowControl/>
        <w:numPr>
          <w:ilvl w:val="1"/>
          <w:numId w:val="2"/>
        </w:numPr>
        <w:spacing w:before="120" w:after="120"/>
      </w:pPr>
      <w:r w:rsidRPr="007579E2">
        <w:rPr>
          <w:szCs w:val="24"/>
        </w:rPr>
        <w:t xml:space="preserve">The ESC noted </w:t>
      </w:r>
      <w:r w:rsidR="006E3B46" w:rsidRPr="007579E2">
        <w:rPr>
          <w:szCs w:val="24"/>
        </w:rPr>
        <w:t xml:space="preserve">in the placebo arm </w:t>
      </w:r>
      <w:r w:rsidR="009E37B9" w:rsidRPr="007579E2">
        <w:rPr>
          <w:szCs w:val="24"/>
        </w:rPr>
        <w:t>and using the 8</w:t>
      </w:r>
      <w:r w:rsidR="009E37B9" w:rsidRPr="007579E2">
        <w:rPr>
          <w:szCs w:val="24"/>
          <w:vertAlign w:val="superscript"/>
        </w:rPr>
        <w:t>th</w:t>
      </w:r>
      <w:r w:rsidR="009E37B9" w:rsidRPr="007579E2">
        <w:rPr>
          <w:szCs w:val="24"/>
        </w:rPr>
        <w:t xml:space="preserve"> edition of the staging manual, </w:t>
      </w:r>
      <w:r w:rsidRPr="007579E2">
        <w:rPr>
          <w:szCs w:val="24"/>
        </w:rPr>
        <w:t xml:space="preserve">the RFS rate at 3 years varied from 71% for Stage IIIA to 18% for Stage </w:t>
      </w:r>
      <w:r w:rsidR="00263D1A" w:rsidRPr="007579E2">
        <w:rPr>
          <w:szCs w:val="24"/>
        </w:rPr>
        <w:t>IIID</w:t>
      </w:r>
      <w:r w:rsidR="0004071E" w:rsidRPr="007579E2">
        <w:rPr>
          <w:szCs w:val="24"/>
        </w:rPr>
        <w:t>.</w:t>
      </w:r>
      <w:r w:rsidRPr="007579E2">
        <w:rPr>
          <w:szCs w:val="24"/>
        </w:rPr>
        <w:t xml:space="preserve"> </w:t>
      </w:r>
      <w:proofErr w:type="spellStart"/>
      <w:r w:rsidR="00792CA1" w:rsidRPr="007579E2">
        <w:rPr>
          <w:szCs w:val="24"/>
        </w:rPr>
        <w:t>Dabrafenib+trametinib</w:t>
      </w:r>
      <w:proofErr w:type="spellEnd"/>
      <w:r w:rsidR="00792CA1" w:rsidRPr="007579E2">
        <w:rPr>
          <w:szCs w:val="24"/>
        </w:rPr>
        <w:t xml:space="preserve"> improved RFS, according to the point estimate, across all 8</w:t>
      </w:r>
      <w:r w:rsidR="00792CA1" w:rsidRPr="007579E2">
        <w:rPr>
          <w:szCs w:val="24"/>
          <w:vertAlign w:val="superscript"/>
        </w:rPr>
        <w:t>th</w:t>
      </w:r>
      <w:r w:rsidR="00792CA1" w:rsidRPr="007579E2">
        <w:rPr>
          <w:szCs w:val="24"/>
        </w:rPr>
        <w:t xml:space="preserve"> edition stag</w:t>
      </w:r>
      <w:r w:rsidR="009E37B9" w:rsidRPr="007579E2">
        <w:rPr>
          <w:szCs w:val="24"/>
        </w:rPr>
        <w:t>ing</w:t>
      </w:r>
      <w:r w:rsidR="00792CA1" w:rsidRPr="007579E2">
        <w:rPr>
          <w:szCs w:val="24"/>
        </w:rPr>
        <w:t xml:space="preserve"> subgroups, compared with placebo. The results were not statistically significant for Stage IIIA</w:t>
      </w:r>
      <w:r w:rsidR="00115C72" w:rsidRPr="007579E2">
        <w:rPr>
          <w:szCs w:val="24"/>
        </w:rPr>
        <w:t>; however</w:t>
      </w:r>
      <w:r w:rsidR="006F4A12" w:rsidRPr="007579E2">
        <w:rPr>
          <w:szCs w:val="24"/>
        </w:rPr>
        <w:t>,</w:t>
      </w:r>
      <w:r w:rsidR="00115C72" w:rsidRPr="007579E2">
        <w:rPr>
          <w:szCs w:val="24"/>
        </w:rPr>
        <w:t xml:space="preserve"> the subgroup was not sufficiently powered to detect a true differ</w:t>
      </w:r>
      <w:r w:rsidR="006F4A12" w:rsidRPr="007579E2">
        <w:rPr>
          <w:szCs w:val="24"/>
        </w:rPr>
        <w:t>e</w:t>
      </w:r>
      <w:r w:rsidR="00115C72" w:rsidRPr="007579E2">
        <w:rPr>
          <w:szCs w:val="24"/>
        </w:rPr>
        <w:t>nce</w:t>
      </w:r>
      <w:r w:rsidR="00792CA1" w:rsidRPr="007579E2">
        <w:rPr>
          <w:szCs w:val="24"/>
        </w:rPr>
        <w:t>.</w:t>
      </w:r>
    </w:p>
    <w:p w:rsidR="00F45FB8" w:rsidRPr="007579E2" w:rsidRDefault="00F45FB8" w:rsidP="00061E01">
      <w:pPr>
        <w:widowControl/>
        <w:numPr>
          <w:ilvl w:val="1"/>
          <w:numId w:val="2"/>
        </w:numPr>
        <w:spacing w:before="120" w:after="120"/>
      </w:pPr>
      <w:r w:rsidRPr="007579E2">
        <w:t xml:space="preserve">The results of DMFS at data cut-off (30 June 2017) are presented below. </w:t>
      </w:r>
    </w:p>
    <w:p w:rsidR="00F45FB8" w:rsidRPr="007579E2" w:rsidRDefault="00F45FB8" w:rsidP="007E6F21">
      <w:pPr>
        <w:pStyle w:val="Caption"/>
        <w:widowControl/>
        <w:rPr>
          <w:rFonts w:eastAsiaTheme="minorHAnsi" w:cstheme="minorBidi"/>
          <w:snapToGrid/>
          <w:szCs w:val="20"/>
        </w:rPr>
      </w:pPr>
      <w:bookmarkStart w:id="9" w:name="_Ref511049057"/>
      <w:bookmarkStart w:id="10" w:name="_Toc528658484"/>
      <w:r w:rsidRPr="007579E2">
        <w:rPr>
          <w:rFonts w:eastAsiaTheme="minorHAnsi" w:cstheme="minorBidi"/>
          <w:snapToGrid/>
          <w:szCs w:val="20"/>
        </w:rPr>
        <w:t xml:space="preserve">Table </w:t>
      </w:r>
      <w:bookmarkEnd w:id="9"/>
      <w:r w:rsidR="00DF4C14" w:rsidRPr="007579E2">
        <w:rPr>
          <w:rFonts w:eastAsiaTheme="minorHAnsi" w:cstheme="minorBidi"/>
          <w:snapToGrid/>
          <w:szCs w:val="20"/>
        </w:rPr>
        <w:t>7</w:t>
      </w:r>
      <w:r w:rsidRPr="007579E2">
        <w:rPr>
          <w:rFonts w:eastAsiaTheme="minorHAnsi" w:cstheme="minorBidi"/>
          <w:snapToGrid/>
          <w:szCs w:val="20"/>
        </w:rPr>
        <w:t>: Secondary analysis of DMFS at data cut-off (30 June 2017); ITT population</w:t>
      </w:r>
      <w:bookmarkEnd w:id="10"/>
      <w:r w:rsidRPr="007579E2">
        <w:rPr>
          <w:rFonts w:eastAsiaTheme="minorHAnsi" w:cstheme="minorBidi"/>
          <w:snapToGrid/>
          <w:szCs w:val="20"/>
        </w:rPr>
        <w:t xml:space="preserve"> </w:t>
      </w:r>
    </w:p>
    <w:tbl>
      <w:tblPr>
        <w:tblStyle w:val="Summarybox19"/>
        <w:tblW w:w="0" w:type="auto"/>
        <w:tblLook w:val="04A0" w:firstRow="1" w:lastRow="0" w:firstColumn="1" w:lastColumn="0" w:noHBand="0" w:noVBand="1"/>
        <w:tblCaption w:val="Table 7: Secondary analysis of DMFS at data cut-off (30 June 2017); ITT population "/>
      </w:tblPr>
      <w:tblGrid>
        <w:gridCol w:w="3112"/>
        <w:gridCol w:w="2952"/>
        <w:gridCol w:w="2952"/>
      </w:tblGrid>
      <w:tr w:rsidR="00F45FB8" w:rsidRPr="007579E2" w:rsidTr="00295D25">
        <w:trPr>
          <w:trHeight w:val="244"/>
          <w:tblHeader/>
        </w:trPr>
        <w:tc>
          <w:tcPr>
            <w:tcW w:w="3112" w:type="dxa"/>
            <w:tcBorders>
              <w:bottom w:val="single" w:sz="4" w:space="0" w:color="auto"/>
            </w:tcBorders>
            <w:shd w:val="clear" w:color="auto" w:fill="auto"/>
            <w:vAlign w:val="center"/>
          </w:tcPr>
          <w:p w:rsidR="00F45FB8" w:rsidRPr="007579E2" w:rsidRDefault="00F45FB8" w:rsidP="007E6F21">
            <w:pPr>
              <w:keepNext/>
              <w:widowControl/>
              <w:jc w:val="left"/>
              <w:rPr>
                <w:rFonts w:ascii="Arial Narrow" w:hAnsi="Arial Narrow" w:cstheme="minorBidi"/>
                <w:snapToGrid/>
                <w:sz w:val="20"/>
                <w:szCs w:val="20"/>
              </w:rPr>
            </w:pPr>
          </w:p>
        </w:tc>
        <w:tc>
          <w:tcPr>
            <w:tcW w:w="2952" w:type="dxa"/>
            <w:tcBorders>
              <w:bottom w:val="single" w:sz="4" w:space="0" w:color="auto"/>
            </w:tcBorders>
            <w:shd w:val="clear" w:color="auto" w:fill="auto"/>
            <w:vAlign w:val="center"/>
          </w:tcPr>
          <w:p w:rsidR="00F45FB8" w:rsidRPr="007579E2" w:rsidRDefault="00F45FB8" w:rsidP="007E6F21">
            <w:pPr>
              <w:keepNext/>
              <w:widowControl/>
              <w:jc w:val="center"/>
              <w:rPr>
                <w:rFonts w:ascii="Arial Narrow" w:hAnsi="Arial Narrow" w:cstheme="minorHAnsi"/>
                <w:b/>
                <w:snapToGrid/>
                <w:sz w:val="20"/>
                <w:szCs w:val="20"/>
              </w:rPr>
            </w:pPr>
            <w:proofErr w:type="spellStart"/>
            <w:r w:rsidRPr="007579E2">
              <w:rPr>
                <w:rFonts w:ascii="Arial Narrow" w:hAnsi="Arial Narrow" w:cstheme="minorHAnsi"/>
                <w:b/>
                <w:snapToGrid/>
                <w:sz w:val="20"/>
                <w:szCs w:val="20"/>
              </w:rPr>
              <w:t>Dabrafenib+trametinib</w:t>
            </w:r>
            <w:proofErr w:type="spellEnd"/>
          </w:p>
          <w:p w:rsidR="00F45FB8" w:rsidRPr="007579E2" w:rsidRDefault="00F45FB8" w:rsidP="007E6F21">
            <w:pPr>
              <w:keepNext/>
              <w:widowControl/>
              <w:jc w:val="center"/>
              <w:rPr>
                <w:rFonts w:ascii="Arial Narrow" w:hAnsi="Arial Narrow" w:cstheme="minorHAnsi"/>
                <w:b/>
                <w:snapToGrid/>
                <w:sz w:val="20"/>
                <w:szCs w:val="20"/>
              </w:rPr>
            </w:pPr>
            <w:r w:rsidRPr="007579E2">
              <w:rPr>
                <w:rFonts w:ascii="Arial Narrow" w:hAnsi="Arial Narrow" w:cstheme="minorHAnsi"/>
                <w:b/>
                <w:snapToGrid/>
                <w:sz w:val="20"/>
                <w:szCs w:val="20"/>
              </w:rPr>
              <w:t>(N = 438)</w:t>
            </w:r>
          </w:p>
        </w:tc>
        <w:tc>
          <w:tcPr>
            <w:tcW w:w="2952" w:type="dxa"/>
            <w:tcBorders>
              <w:bottom w:val="single" w:sz="4" w:space="0" w:color="auto"/>
            </w:tcBorders>
            <w:shd w:val="clear" w:color="auto" w:fill="auto"/>
            <w:vAlign w:val="center"/>
          </w:tcPr>
          <w:p w:rsidR="00F45FB8" w:rsidRPr="007579E2" w:rsidRDefault="00F45FB8" w:rsidP="007E6F21">
            <w:pPr>
              <w:keepNext/>
              <w:widowControl/>
              <w:jc w:val="center"/>
              <w:rPr>
                <w:rFonts w:ascii="Arial Narrow" w:hAnsi="Arial Narrow" w:cstheme="minorHAnsi"/>
                <w:b/>
                <w:snapToGrid/>
                <w:sz w:val="20"/>
                <w:szCs w:val="20"/>
              </w:rPr>
            </w:pPr>
            <w:r w:rsidRPr="007579E2">
              <w:rPr>
                <w:rFonts w:ascii="Arial Narrow" w:hAnsi="Arial Narrow" w:cstheme="minorHAnsi"/>
                <w:b/>
                <w:snapToGrid/>
                <w:sz w:val="20"/>
                <w:szCs w:val="20"/>
              </w:rPr>
              <w:t>Placebo</w:t>
            </w:r>
          </w:p>
          <w:p w:rsidR="00F45FB8" w:rsidRPr="007579E2" w:rsidRDefault="00F45FB8" w:rsidP="007E6F21">
            <w:pPr>
              <w:keepNext/>
              <w:widowControl/>
              <w:jc w:val="center"/>
              <w:rPr>
                <w:rFonts w:ascii="Arial Narrow" w:hAnsi="Arial Narrow" w:cstheme="minorHAnsi"/>
                <w:b/>
                <w:snapToGrid/>
                <w:sz w:val="20"/>
                <w:szCs w:val="20"/>
              </w:rPr>
            </w:pPr>
            <w:r w:rsidRPr="007579E2">
              <w:rPr>
                <w:rFonts w:ascii="Arial Narrow" w:hAnsi="Arial Narrow" w:cstheme="minorHAnsi"/>
                <w:b/>
                <w:snapToGrid/>
                <w:sz w:val="20"/>
                <w:szCs w:val="20"/>
              </w:rPr>
              <w:t>(N = 432)</w:t>
            </w:r>
          </w:p>
        </w:tc>
      </w:tr>
      <w:tr w:rsidR="00F45FB8" w:rsidRPr="007579E2" w:rsidTr="009F3B52">
        <w:trPr>
          <w:trHeight w:val="244"/>
        </w:trPr>
        <w:tc>
          <w:tcPr>
            <w:tcW w:w="3112" w:type="dxa"/>
            <w:tcBorders>
              <w:bottom w:val="nil"/>
            </w:tcBorders>
            <w:vAlign w:val="center"/>
          </w:tcPr>
          <w:p w:rsidR="00F45FB8" w:rsidRPr="007579E2" w:rsidRDefault="00F45FB8" w:rsidP="007E6F21">
            <w:pPr>
              <w:keepNext/>
              <w:widowControl/>
              <w:jc w:val="left"/>
              <w:rPr>
                <w:rFonts w:ascii="Arial Narrow" w:hAnsi="Arial Narrow" w:cstheme="minorHAnsi"/>
                <w:snapToGrid/>
                <w:sz w:val="20"/>
                <w:szCs w:val="20"/>
              </w:rPr>
            </w:pPr>
            <w:r w:rsidRPr="007579E2">
              <w:rPr>
                <w:rFonts w:ascii="Arial Narrow" w:hAnsi="Arial Narrow" w:cstheme="minorHAnsi"/>
                <w:snapToGrid/>
                <w:sz w:val="20"/>
                <w:szCs w:val="20"/>
              </w:rPr>
              <w:t>Relapse events</w:t>
            </w:r>
            <w:r w:rsidR="009E37B9" w:rsidRPr="007579E2">
              <w:rPr>
                <w:rFonts w:ascii="Arial Narrow" w:hAnsi="Arial Narrow" w:cstheme="minorHAnsi"/>
                <w:snapToGrid/>
                <w:sz w:val="20"/>
                <w:szCs w:val="20"/>
              </w:rPr>
              <w:t>, n (%)</w:t>
            </w:r>
          </w:p>
        </w:tc>
        <w:tc>
          <w:tcPr>
            <w:tcW w:w="2952" w:type="dxa"/>
            <w:tcBorders>
              <w:bottom w:val="nil"/>
            </w:tcBorders>
            <w:vAlign w:val="center"/>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106 (24</w:t>
            </w:r>
            <w:r w:rsidR="009E37B9" w:rsidRPr="007579E2">
              <w:rPr>
                <w:rFonts w:ascii="Arial Narrow" w:hAnsi="Arial Narrow" w:cstheme="minorHAnsi"/>
                <w:snapToGrid/>
                <w:sz w:val="20"/>
                <w:szCs w:val="20"/>
              </w:rPr>
              <w:t>%</w:t>
            </w:r>
            <w:r w:rsidRPr="007579E2">
              <w:rPr>
                <w:rFonts w:ascii="Arial Narrow" w:hAnsi="Arial Narrow" w:cstheme="minorHAnsi"/>
                <w:snapToGrid/>
                <w:sz w:val="20"/>
                <w:szCs w:val="20"/>
              </w:rPr>
              <w:t>)</w:t>
            </w:r>
          </w:p>
        </w:tc>
        <w:tc>
          <w:tcPr>
            <w:tcW w:w="2952" w:type="dxa"/>
            <w:tcBorders>
              <w:bottom w:val="nil"/>
            </w:tcBorders>
            <w:vAlign w:val="center"/>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150 (35</w:t>
            </w:r>
            <w:r w:rsidR="009E37B9" w:rsidRPr="007579E2">
              <w:rPr>
                <w:rFonts w:ascii="Arial Narrow" w:hAnsi="Arial Narrow" w:cstheme="minorHAnsi"/>
                <w:snapToGrid/>
                <w:sz w:val="20"/>
                <w:szCs w:val="20"/>
              </w:rPr>
              <w:t>%</w:t>
            </w:r>
            <w:r w:rsidRPr="007579E2">
              <w:rPr>
                <w:rFonts w:ascii="Arial Narrow" w:hAnsi="Arial Narrow" w:cstheme="minorHAnsi"/>
                <w:snapToGrid/>
                <w:sz w:val="20"/>
                <w:szCs w:val="20"/>
              </w:rPr>
              <w:t>)</w:t>
            </w:r>
          </w:p>
        </w:tc>
      </w:tr>
      <w:tr w:rsidR="00F45FB8" w:rsidRPr="007579E2" w:rsidTr="009F3B52">
        <w:trPr>
          <w:trHeight w:val="244"/>
        </w:trPr>
        <w:tc>
          <w:tcPr>
            <w:tcW w:w="3112" w:type="dxa"/>
            <w:tcBorders>
              <w:bottom w:val="single" w:sz="4" w:space="0" w:color="auto"/>
            </w:tcBorders>
            <w:vAlign w:val="center"/>
          </w:tcPr>
          <w:p w:rsidR="00F45FB8" w:rsidRPr="007579E2" w:rsidRDefault="00F45FB8" w:rsidP="007E6F21">
            <w:pPr>
              <w:keepNext/>
              <w:widowControl/>
              <w:jc w:val="left"/>
              <w:rPr>
                <w:rFonts w:ascii="Arial Narrow" w:hAnsi="Arial Narrow" w:cstheme="minorHAnsi"/>
                <w:snapToGrid/>
                <w:sz w:val="20"/>
                <w:szCs w:val="20"/>
              </w:rPr>
            </w:pPr>
            <w:r w:rsidRPr="007579E2">
              <w:rPr>
                <w:rFonts w:ascii="Arial Narrow" w:hAnsi="Arial Narrow" w:cstheme="minorHAnsi"/>
                <w:snapToGrid/>
                <w:sz w:val="20"/>
                <w:szCs w:val="20"/>
              </w:rPr>
              <w:t>Deaths (event)</w:t>
            </w:r>
            <w:r w:rsidR="009E37B9" w:rsidRPr="007579E2">
              <w:rPr>
                <w:rFonts w:ascii="Arial Narrow" w:hAnsi="Arial Narrow" w:cstheme="minorHAnsi"/>
                <w:snapToGrid/>
                <w:sz w:val="20"/>
                <w:szCs w:val="20"/>
              </w:rPr>
              <w:t>, n (%)</w:t>
            </w:r>
          </w:p>
        </w:tc>
        <w:tc>
          <w:tcPr>
            <w:tcW w:w="2952" w:type="dxa"/>
            <w:tcBorders>
              <w:bottom w:val="single" w:sz="4" w:space="0" w:color="auto"/>
            </w:tcBorders>
            <w:vAlign w:val="center"/>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4 (&lt; 1</w:t>
            </w:r>
            <w:r w:rsidR="009E37B9" w:rsidRPr="007579E2">
              <w:rPr>
                <w:rFonts w:ascii="Arial Narrow" w:hAnsi="Arial Narrow" w:cstheme="minorHAnsi"/>
                <w:snapToGrid/>
                <w:sz w:val="20"/>
                <w:szCs w:val="20"/>
              </w:rPr>
              <w:t>%</w:t>
            </w:r>
            <w:r w:rsidRPr="007579E2">
              <w:rPr>
                <w:rFonts w:ascii="Arial Narrow" w:hAnsi="Arial Narrow" w:cstheme="minorHAnsi"/>
                <w:snapToGrid/>
                <w:sz w:val="20"/>
                <w:szCs w:val="20"/>
              </w:rPr>
              <w:t>)</w:t>
            </w:r>
          </w:p>
        </w:tc>
        <w:tc>
          <w:tcPr>
            <w:tcW w:w="2952" w:type="dxa"/>
            <w:tcBorders>
              <w:bottom w:val="single" w:sz="4" w:space="0" w:color="auto"/>
            </w:tcBorders>
            <w:vAlign w:val="center"/>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2 (&lt; 1</w:t>
            </w:r>
            <w:r w:rsidR="009E37B9" w:rsidRPr="007579E2">
              <w:rPr>
                <w:rFonts w:ascii="Arial Narrow" w:hAnsi="Arial Narrow" w:cstheme="minorHAnsi"/>
                <w:snapToGrid/>
                <w:sz w:val="20"/>
                <w:szCs w:val="20"/>
              </w:rPr>
              <w:t>%</w:t>
            </w:r>
            <w:r w:rsidRPr="007579E2">
              <w:rPr>
                <w:rFonts w:ascii="Arial Narrow" w:hAnsi="Arial Narrow" w:cstheme="minorHAnsi"/>
                <w:snapToGrid/>
                <w:sz w:val="20"/>
                <w:szCs w:val="20"/>
              </w:rPr>
              <w:t>)</w:t>
            </w:r>
          </w:p>
        </w:tc>
      </w:tr>
      <w:tr w:rsidR="00F45FB8" w:rsidRPr="007579E2" w:rsidTr="009F3B52">
        <w:trPr>
          <w:trHeight w:val="244"/>
        </w:trPr>
        <w:tc>
          <w:tcPr>
            <w:tcW w:w="3112" w:type="dxa"/>
            <w:tcBorders>
              <w:bottom w:val="nil"/>
            </w:tcBorders>
            <w:vAlign w:val="center"/>
          </w:tcPr>
          <w:p w:rsidR="00F45FB8" w:rsidRPr="007579E2" w:rsidRDefault="00F45FB8" w:rsidP="007E6F21">
            <w:pPr>
              <w:keepNext/>
              <w:widowControl/>
              <w:jc w:val="left"/>
              <w:rPr>
                <w:rFonts w:ascii="Arial Narrow" w:hAnsi="Arial Narrow" w:cstheme="minorHAnsi"/>
                <w:snapToGrid/>
                <w:sz w:val="20"/>
                <w:szCs w:val="20"/>
              </w:rPr>
            </w:pPr>
            <w:r w:rsidRPr="007579E2">
              <w:rPr>
                <w:rFonts w:ascii="Arial Narrow" w:hAnsi="Arial Narrow" w:cstheme="minorHAnsi"/>
                <w:snapToGrid/>
                <w:sz w:val="20"/>
                <w:szCs w:val="20"/>
              </w:rPr>
              <w:t>Censored patients</w:t>
            </w:r>
            <w:r w:rsidR="009E37B9" w:rsidRPr="007579E2">
              <w:rPr>
                <w:rFonts w:ascii="Arial Narrow" w:hAnsi="Arial Narrow" w:cstheme="minorHAnsi"/>
                <w:snapToGrid/>
                <w:sz w:val="20"/>
                <w:szCs w:val="20"/>
              </w:rPr>
              <w:t>, n (%)</w:t>
            </w:r>
          </w:p>
        </w:tc>
        <w:tc>
          <w:tcPr>
            <w:tcW w:w="2952" w:type="dxa"/>
            <w:tcBorders>
              <w:bottom w:val="nil"/>
            </w:tcBorders>
            <w:vAlign w:val="center"/>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328 (75</w:t>
            </w:r>
            <w:r w:rsidR="009E37B9" w:rsidRPr="007579E2">
              <w:rPr>
                <w:rFonts w:ascii="Arial Narrow" w:hAnsi="Arial Narrow" w:cstheme="minorHAnsi"/>
                <w:snapToGrid/>
                <w:sz w:val="20"/>
                <w:szCs w:val="20"/>
              </w:rPr>
              <w:t>%</w:t>
            </w:r>
            <w:r w:rsidRPr="007579E2">
              <w:rPr>
                <w:rFonts w:ascii="Arial Narrow" w:hAnsi="Arial Narrow" w:cstheme="minorHAnsi"/>
                <w:snapToGrid/>
                <w:sz w:val="20"/>
                <w:szCs w:val="20"/>
              </w:rPr>
              <w:t>)</w:t>
            </w:r>
          </w:p>
        </w:tc>
        <w:tc>
          <w:tcPr>
            <w:tcW w:w="2952" w:type="dxa"/>
            <w:tcBorders>
              <w:bottom w:val="nil"/>
            </w:tcBorders>
            <w:vAlign w:val="center"/>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280 (65</w:t>
            </w:r>
            <w:r w:rsidR="009E37B9" w:rsidRPr="007579E2">
              <w:rPr>
                <w:rFonts w:ascii="Arial Narrow" w:hAnsi="Arial Narrow" w:cstheme="minorHAnsi"/>
                <w:snapToGrid/>
                <w:sz w:val="20"/>
                <w:szCs w:val="20"/>
              </w:rPr>
              <w:t>%</w:t>
            </w:r>
            <w:r w:rsidRPr="007579E2">
              <w:rPr>
                <w:rFonts w:ascii="Arial Narrow" w:hAnsi="Arial Narrow" w:cstheme="minorHAnsi"/>
                <w:snapToGrid/>
                <w:sz w:val="20"/>
                <w:szCs w:val="20"/>
              </w:rPr>
              <w:t>)</w:t>
            </w:r>
          </w:p>
        </w:tc>
      </w:tr>
      <w:tr w:rsidR="00F45FB8" w:rsidRPr="007579E2" w:rsidTr="009F3B52">
        <w:trPr>
          <w:trHeight w:val="244"/>
        </w:trPr>
        <w:tc>
          <w:tcPr>
            <w:tcW w:w="3112" w:type="dxa"/>
            <w:tcBorders>
              <w:top w:val="nil"/>
              <w:bottom w:val="nil"/>
            </w:tcBorders>
            <w:vAlign w:val="center"/>
          </w:tcPr>
          <w:p w:rsidR="00F45FB8" w:rsidRPr="007579E2" w:rsidRDefault="00F45FB8" w:rsidP="007E6F21">
            <w:pPr>
              <w:keepNext/>
              <w:widowControl/>
              <w:ind w:left="165"/>
              <w:jc w:val="left"/>
              <w:rPr>
                <w:rFonts w:ascii="Arial Narrow" w:hAnsi="Arial Narrow" w:cstheme="minorHAnsi"/>
                <w:snapToGrid/>
                <w:sz w:val="20"/>
                <w:szCs w:val="20"/>
              </w:rPr>
            </w:pPr>
            <w:r w:rsidRPr="007579E2">
              <w:rPr>
                <w:rFonts w:ascii="Arial Narrow" w:hAnsi="Arial Narrow" w:cstheme="minorHAnsi"/>
                <w:snapToGrid/>
                <w:sz w:val="20"/>
                <w:szCs w:val="20"/>
              </w:rPr>
              <w:t>Follow-up ended</w:t>
            </w:r>
          </w:p>
        </w:tc>
        <w:tc>
          <w:tcPr>
            <w:tcW w:w="2952" w:type="dxa"/>
            <w:tcBorders>
              <w:top w:val="nil"/>
              <w:bottom w:val="nil"/>
            </w:tcBorders>
            <w:vAlign w:val="center"/>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99 (23</w:t>
            </w:r>
            <w:r w:rsidR="009E37B9" w:rsidRPr="007579E2">
              <w:rPr>
                <w:rFonts w:ascii="Arial Narrow" w:hAnsi="Arial Narrow" w:cstheme="minorHAnsi"/>
                <w:snapToGrid/>
                <w:sz w:val="20"/>
                <w:szCs w:val="20"/>
              </w:rPr>
              <w:t>%</w:t>
            </w:r>
            <w:r w:rsidRPr="007579E2">
              <w:rPr>
                <w:rFonts w:ascii="Arial Narrow" w:hAnsi="Arial Narrow" w:cstheme="minorHAnsi"/>
                <w:snapToGrid/>
                <w:sz w:val="20"/>
                <w:szCs w:val="20"/>
              </w:rPr>
              <w:t>)</w:t>
            </w:r>
          </w:p>
        </w:tc>
        <w:tc>
          <w:tcPr>
            <w:tcW w:w="2952" w:type="dxa"/>
            <w:tcBorders>
              <w:top w:val="nil"/>
              <w:bottom w:val="nil"/>
            </w:tcBorders>
            <w:vAlign w:val="center"/>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131 (30</w:t>
            </w:r>
            <w:r w:rsidR="009E37B9" w:rsidRPr="007579E2">
              <w:rPr>
                <w:rFonts w:ascii="Arial Narrow" w:hAnsi="Arial Narrow" w:cstheme="minorHAnsi"/>
                <w:snapToGrid/>
                <w:sz w:val="20"/>
                <w:szCs w:val="20"/>
              </w:rPr>
              <w:t>%</w:t>
            </w:r>
            <w:r w:rsidRPr="007579E2">
              <w:rPr>
                <w:rFonts w:ascii="Arial Narrow" w:hAnsi="Arial Narrow" w:cstheme="minorHAnsi"/>
                <w:snapToGrid/>
                <w:sz w:val="20"/>
                <w:szCs w:val="20"/>
              </w:rPr>
              <w:t>)</w:t>
            </w:r>
          </w:p>
        </w:tc>
      </w:tr>
      <w:tr w:rsidR="00F45FB8" w:rsidRPr="007579E2" w:rsidTr="009F3B52">
        <w:trPr>
          <w:trHeight w:val="244"/>
        </w:trPr>
        <w:tc>
          <w:tcPr>
            <w:tcW w:w="3112" w:type="dxa"/>
            <w:tcBorders>
              <w:top w:val="nil"/>
              <w:bottom w:val="single" w:sz="4" w:space="0" w:color="auto"/>
            </w:tcBorders>
            <w:vAlign w:val="center"/>
          </w:tcPr>
          <w:p w:rsidR="00F45FB8" w:rsidRPr="007579E2" w:rsidRDefault="00F45FB8" w:rsidP="007E6F21">
            <w:pPr>
              <w:keepNext/>
              <w:widowControl/>
              <w:ind w:left="165"/>
              <w:jc w:val="left"/>
              <w:rPr>
                <w:rFonts w:ascii="Arial Narrow" w:hAnsi="Arial Narrow" w:cstheme="minorHAnsi"/>
                <w:snapToGrid/>
                <w:sz w:val="20"/>
                <w:szCs w:val="20"/>
              </w:rPr>
            </w:pPr>
            <w:r w:rsidRPr="007579E2">
              <w:rPr>
                <w:rFonts w:ascii="Arial Narrow" w:hAnsi="Arial Narrow" w:cstheme="minorHAnsi"/>
                <w:snapToGrid/>
                <w:sz w:val="20"/>
                <w:szCs w:val="20"/>
              </w:rPr>
              <w:t>Follow-up ongoing</w:t>
            </w:r>
          </w:p>
        </w:tc>
        <w:tc>
          <w:tcPr>
            <w:tcW w:w="2952" w:type="dxa"/>
            <w:tcBorders>
              <w:top w:val="nil"/>
              <w:bottom w:val="single" w:sz="4" w:space="0" w:color="auto"/>
            </w:tcBorders>
            <w:vAlign w:val="center"/>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229 (52</w:t>
            </w:r>
            <w:r w:rsidR="009E37B9" w:rsidRPr="007579E2">
              <w:rPr>
                <w:rFonts w:ascii="Arial Narrow" w:hAnsi="Arial Narrow" w:cstheme="minorHAnsi"/>
                <w:snapToGrid/>
                <w:sz w:val="20"/>
                <w:szCs w:val="20"/>
              </w:rPr>
              <w:t>%</w:t>
            </w:r>
            <w:r w:rsidRPr="007579E2">
              <w:rPr>
                <w:rFonts w:ascii="Arial Narrow" w:hAnsi="Arial Narrow" w:cstheme="minorHAnsi"/>
                <w:snapToGrid/>
                <w:sz w:val="20"/>
                <w:szCs w:val="20"/>
              </w:rPr>
              <w:t>)</w:t>
            </w:r>
          </w:p>
        </w:tc>
        <w:tc>
          <w:tcPr>
            <w:tcW w:w="2952" w:type="dxa"/>
            <w:tcBorders>
              <w:top w:val="nil"/>
              <w:bottom w:val="single" w:sz="4" w:space="0" w:color="auto"/>
            </w:tcBorders>
            <w:vAlign w:val="center"/>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149 (34</w:t>
            </w:r>
            <w:r w:rsidR="009E37B9" w:rsidRPr="007579E2">
              <w:rPr>
                <w:rFonts w:ascii="Arial Narrow" w:hAnsi="Arial Narrow" w:cstheme="minorHAnsi"/>
                <w:snapToGrid/>
                <w:sz w:val="20"/>
                <w:szCs w:val="20"/>
              </w:rPr>
              <w:t>%</w:t>
            </w:r>
            <w:r w:rsidRPr="007579E2">
              <w:rPr>
                <w:rFonts w:ascii="Arial Narrow" w:hAnsi="Arial Narrow" w:cstheme="minorHAnsi"/>
                <w:snapToGrid/>
                <w:sz w:val="20"/>
                <w:szCs w:val="20"/>
              </w:rPr>
              <w:t>)</w:t>
            </w:r>
          </w:p>
        </w:tc>
      </w:tr>
      <w:tr w:rsidR="00F45FB8" w:rsidRPr="007579E2" w:rsidTr="009F3B52">
        <w:trPr>
          <w:trHeight w:val="244"/>
        </w:trPr>
        <w:tc>
          <w:tcPr>
            <w:tcW w:w="9016" w:type="dxa"/>
            <w:gridSpan w:val="3"/>
            <w:tcBorders>
              <w:bottom w:val="single" w:sz="4" w:space="0" w:color="auto"/>
            </w:tcBorders>
            <w:vAlign w:val="center"/>
          </w:tcPr>
          <w:p w:rsidR="00F45FB8" w:rsidRPr="007579E2" w:rsidRDefault="00F45FB8" w:rsidP="007E6F21">
            <w:pPr>
              <w:keepNext/>
              <w:widowControl/>
              <w:jc w:val="left"/>
              <w:rPr>
                <w:rFonts w:ascii="Arial Narrow" w:hAnsi="Arial Narrow" w:cstheme="minorHAnsi"/>
                <w:snapToGrid/>
                <w:sz w:val="20"/>
                <w:szCs w:val="20"/>
              </w:rPr>
            </w:pPr>
            <w:r w:rsidRPr="007579E2">
              <w:rPr>
                <w:rFonts w:ascii="Arial Narrow" w:hAnsi="Arial Narrow" w:cstheme="minorHAnsi"/>
                <w:snapToGrid/>
                <w:sz w:val="20"/>
                <w:szCs w:val="20"/>
              </w:rPr>
              <w:t xml:space="preserve">DMFS percentiles, </w:t>
            </w:r>
            <w:r w:rsidR="00DA5536" w:rsidRPr="007579E2">
              <w:rPr>
                <w:rFonts w:ascii="Arial Narrow" w:hAnsi="Arial Narrow" w:cstheme="minorHAnsi"/>
                <w:snapToGrid/>
                <w:sz w:val="20"/>
                <w:szCs w:val="20"/>
              </w:rPr>
              <w:t>months (</w:t>
            </w:r>
            <w:r w:rsidRPr="007579E2">
              <w:rPr>
                <w:rFonts w:ascii="Arial Narrow" w:hAnsi="Arial Narrow" w:cstheme="minorHAnsi"/>
                <w:snapToGrid/>
                <w:sz w:val="20"/>
                <w:szCs w:val="20"/>
              </w:rPr>
              <w:t>95% CI</w:t>
            </w:r>
            <w:r w:rsidR="00DA5536" w:rsidRPr="007579E2">
              <w:rPr>
                <w:rFonts w:ascii="Arial Narrow" w:hAnsi="Arial Narrow" w:cstheme="minorHAnsi"/>
                <w:snapToGrid/>
                <w:sz w:val="20"/>
                <w:szCs w:val="20"/>
              </w:rPr>
              <w:t>)</w:t>
            </w:r>
          </w:p>
        </w:tc>
      </w:tr>
      <w:tr w:rsidR="00F45FB8" w:rsidRPr="007579E2" w:rsidTr="009F3B52">
        <w:trPr>
          <w:trHeight w:val="244"/>
        </w:trPr>
        <w:tc>
          <w:tcPr>
            <w:tcW w:w="3112" w:type="dxa"/>
            <w:tcBorders>
              <w:top w:val="single" w:sz="4" w:space="0" w:color="auto"/>
              <w:bottom w:val="nil"/>
            </w:tcBorders>
            <w:vAlign w:val="center"/>
          </w:tcPr>
          <w:p w:rsidR="00F45FB8" w:rsidRPr="007579E2" w:rsidRDefault="00F45FB8" w:rsidP="007E6F21">
            <w:pPr>
              <w:keepNext/>
              <w:widowControl/>
              <w:ind w:left="165"/>
              <w:jc w:val="left"/>
              <w:rPr>
                <w:rFonts w:ascii="Arial Narrow" w:hAnsi="Arial Narrow" w:cstheme="minorHAnsi"/>
                <w:snapToGrid/>
                <w:sz w:val="20"/>
                <w:szCs w:val="20"/>
              </w:rPr>
            </w:pPr>
            <w:r w:rsidRPr="007579E2">
              <w:rPr>
                <w:rFonts w:ascii="Arial Narrow" w:hAnsi="Arial Narrow" w:cstheme="minorHAnsi"/>
                <w:snapToGrid/>
                <w:sz w:val="20"/>
                <w:szCs w:val="20"/>
              </w:rPr>
              <w:t>25th percentile</w:t>
            </w:r>
          </w:p>
        </w:tc>
        <w:tc>
          <w:tcPr>
            <w:tcW w:w="2952" w:type="dxa"/>
            <w:tcBorders>
              <w:top w:val="single" w:sz="4" w:space="0" w:color="auto"/>
              <w:bottom w:val="nil"/>
            </w:tcBorders>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27.4 (21.9, 39.5)</w:t>
            </w:r>
          </w:p>
        </w:tc>
        <w:tc>
          <w:tcPr>
            <w:tcW w:w="2952" w:type="dxa"/>
            <w:tcBorders>
              <w:top w:val="single" w:sz="4" w:space="0" w:color="auto"/>
              <w:bottom w:val="nil"/>
            </w:tcBorders>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8.3 (5.7, 12.0)</w:t>
            </w:r>
          </w:p>
        </w:tc>
      </w:tr>
      <w:tr w:rsidR="00F45FB8" w:rsidRPr="007579E2" w:rsidTr="009F3B52">
        <w:trPr>
          <w:trHeight w:val="244"/>
        </w:trPr>
        <w:tc>
          <w:tcPr>
            <w:tcW w:w="3112" w:type="dxa"/>
            <w:tcBorders>
              <w:top w:val="nil"/>
              <w:bottom w:val="nil"/>
            </w:tcBorders>
            <w:vAlign w:val="center"/>
          </w:tcPr>
          <w:p w:rsidR="00F45FB8" w:rsidRPr="007579E2" w:rsidRDefault="00F45FB8" w:rsidP="007E6F21">
            <w:pPr>
              <w:keepNext/>
              <w:widowControl/>
              <w:ind w:left="165"/>
              <w:jc w:val="left"/>
              <w:rPr>
                <w:rFonts w:ascii="Arial Narrow" w:hAnsi="Arial Narrow" w:cstheme="minorHAnsi"/>
                <w:snapToGrid/>
                <w:sz w:val="20"/>
                <w:szCs w:val="20"/>
              </w:rPr>
            </w:pPr>
            <w:r w:rsidRPr="007579E2">
              <w:rPr>
                <w:rFonts w:ascii="Arial Narrow" w:hAnsi="Arial Narrow" w:cstheme="minorHAnsi"/>
                <w:snapToGrid/>
                <w:sz w:val="20"/>
                <w:szCs w:val="20"/>
              </w:rPr>
              <w:t>Median time</w:t>
            </w:r>
          </w:p>
        </w:tc>
        <w:tc>
          <w:tcPr>
            <w:tcW w:w="2952" w:type="dxa"/>
            <w:tcBorders>
              <w:top w:val="nil"/>
              <w:bottom w:val="nil"/>
            </w:tcBorders>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NE</w:t>
            </w:r>
          </w:p>
        </w:tc>
        <w:tc>
          <w:tcPr>
            <w:tcW w:w="2952" w:type="dxa"/>
            <w:tcBorders>
              <w:top w:val="nil"/>
              <w:bottom w:val="nil"/>
            </w:tcBorders>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NE (41.2, NE)</w:t>
            </w:r>
          </w:p>
        </w:tc>
      </w:tr>
      <w:tr w:rsidR="00F45FB8" w:rsidRPr="007579E2" w:rsidTr="009F3B52">
        <w:trPr>
          <w:trHeight w:val="244"/>
        </w:trPr>
        <w:tc>
          <w:tcPr>
            <w:tcW w:w="3112" w:type="dxa"/>
            <w:tcBorders>
              <w:top w:val="nil"/>
              <w:bottom w:val="single" w:sz="4" w:space="0" w:color="auto"/>
            </w:tcBorders>
            <w:vAlign w:val="center"/>
          </w:tcPr>
          <w:p w:rsidR="00F45FB8" w:rsidRPr="007579E2" w:rsidRDefault="00F45FB8" w:rsidP="007E6F21">
            <w:pPr>
              <w:keepNext/>
              <w:widowControl/>
              <w:ind w:left="165"/>
              <w:jc w:val="left"/>
              <w:rPr>
                <w:rFonts w:ascii="Arial Narrow" w:hAnsi="Arial Narrow" w:cstheme="minorHAnsi"/>
                <w:snapToGrid/>
                <w:sz w:val="20"/>
                <w:szCs w:val="20"/>
              </w:rPr>
            </w:pPr>
            <w:r w:rsidRPr="007579E2">
              <w:rPr>
                <w:rFonts w:ascii="Arial Narrow" w:hAnsi="Arial Narrow" w:cstheme="minorHAnsi"/>
                <w:snapToGrid/>
                <w:sz w:val="20"/>
                <w:szCs w:val="20"/>
              </w:rPr>
              <w:t>75th percentile</w:t>
            </w:r>
          </w:p>
        </w:tc>
        <w:tc>
          <w:tcPr>
            <w:tcW w:w="2952" w:type="dxa"/>
            <w:tcBorders>
              <w:top w:val="nil"/>
              <w:bottom w:val="single" w:sz="4" w:space="0" w:color="auto"/>
            </w:tcBorders>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NE</w:t>
            </w:r>
          </w:p>
        </w:tc>
        <w:tc>
          <w:tcPr>
            <w:tcW w:w="2952" w:type="dxa"/>
            <w:tcBorders>
              <w:top w:val="nil"/>
              <w:bottom w:val="single" w:sz="4" w:space="0" w:color="auto"/>
            </w:tcBorders>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NE</w:t>
            </w:r>
          </w:p>
        </w:tc>
      </w:tr>
      <w:tr w:rsidR="00F45FB8" w:rsidRPr="007579E2" w:rsidTr="009F3B52">
        <w:trPr>
          <w:trHeight w:val="244"/>
        </w:trPr>
        <w:tc>
          <w:tcPr>
            <w:tcW w:w="3112" w:type="dxa"/>
            <w:tcBorders>
              <w:bottom w:val="single" w:sz="4" w:space="0" w:color="auto"/>
            </w:tcBorders>
            <w:vAlign w:val="center"/>
          </w:tcPr>
          <w:p w:rsidR="00F45FB8" w:rsidRPr="007579E2" w:rsidRDefault="00DA5536" w:rsidP="007E6F21">
            <w:pPr>
              <w:keepNext/>
              <w:widowControl/>
              <w:jc w:val="left"/>
              <w:rPr>
                <w:rFonts w:ascii="Arial Narrow" w:hAnsi="Arial Narrow" w:cstheme="minorHAnsi"/>
                <w:snapToGrid/>
                <w:sz w:val="20"/>
                <w:szCs w:val="20"/>
              </w:rPr>
            </w:pPr>
            <w:r w:rsidRPr="007579E2">
              <w:rPr>
                <w:rFonts w:ascii="Arial Narrow" w:hAnsi="Arial Narrow" w:cstheme="minorHAnsi"/>
                <w:snapToGrid/>
                <w:sz w:val="20"/>
                <w:szCs w:val="20"/>
              </w:rPr>
              <w:t>Hazard ratio vs. placebo (</w:t>
            </w:r>
            <w:r w:rsidR="00F45FB8" w:rsidRPr="007579E2">
              <w:rPr>
                <w:rFonts w:ascii="Arial Narrow" w:hAnsi="Arial Narrow" w:cstheme="minorHAnsi"/>
                <w:snapToGrid/>
                <w:sz w:val="20"/>
                <w:szCs w:val="20"/>
              </w:rPr>
              <w:t>95% CI</w:t>
            </w:r>
            <w:r w:rsidRPr="007579E2">
              <w:rPr>
                <w:rFonts w:ascii="Arial Narrow" w:hAnsi="Arial Narrow" w:cstheme="minorHAnsi"/>
                <w:snapToGrid/>
                <w:sz w:val="20"/>
                <w:szCs w:val="20"/>
              </w:rPr>
              <w:t>);</w:t>
            </w:r>
          </w:p>
          <w:p w:rsidR="00F45FB8" w:rsidRPr="007579E2" w:rsidRDefault="00F45FB8" w:rsidP="007E6F21">
            <w:pPr>
              <w:keepNext/>
              <w:widowControl/>
              <w:ind w:left="166"/>
              <w:jc w:val="left"/>
              <w:rPr>
                <w:rFonts w:ascii="Arial Narrow" w:hAnsi="Arial Narrow" w:cstheme="minorHAnsi"/>
                <w:snapToGrid/>
                <w:sz w:val="20"/>
                <w:szCs w:val="20"/>
              </w:rPr>
            </w:pPr>
            <w:r w:rsidRPr="007579E2">
              <w:rPr>
                <w:rFonts w:ascii="Arial Narrow" w:hAnsi="Arial Narrow" w:cstheme="minorHAnsi"/>
                <w:snapToGrid/>
                <w:sz w:val="20"/>
                <w:szCs w:val="20"/>
              </w:rPr>
              <w:t>p-value</w:t>
            </w:r>
          </w:p>
        </w:tc>
        <w:tc>
          <w:tcPr>
            <w:tcW w:w="5904" w:type="dxa"/>
            <w:gridSpan w:val="2"/>
            <w:tcBorders>
              <w:bottom w:val="single" w:sz="4" w:space="0" w:color="auto"/>
            </w:tcBorders>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0.51 (0.40, 0.65)</w:t>
            </w:r>
            <w:r w:rsidRPr="007579E2">
              <w:rPr>
                <w:rFonts w:ascii="Arial Narrow" w:hAnsi="Arial Narrow" w:cstheme="minorHAnsi"/>
                <w:snapToGrid/>
                <w:sz w:val="20"/>
                <w:szCs w:val="20"/>
              </w:rPr>
              <w:br/>
              <w:t>p &lt; 0.001</w:t>
            </w:r>
          </w:p>
        </w:tc>
      </w:tr>
      <w:tr w:rsidR="00F45FB8" w:rsidRPr="007579E2" w:rsidTr="009F3B52">
        <w:trPr>
          <w:trHeight w:val="244"/>
        </w:trPr>
        <w:tc>
          <w:tcPr>
            <w:tcW w:w="9016" w:type="dxa"/>
            <w:gridSpan w:val="3"/>
            <w:tcBorders>
              <w:bottom w:val="single" w:sz="4" w:space="0" w:color="auto"/>
            </w:tcBorders>
            <w:vAlign w:val="center"/>
          </w:tcPr>
          <w:p w:rsidR="00F45FB8" w:rsidRPr="007579E2" w:rsidRDefault="00F45FB8" w:rsidP="007E6F21">
            <w:pPr>
              <w:keepNext/>
              <w:widowControl/>
              <w:jc w:val="left"/>
              <w:rPr>
                <w:rFonts w:ascii="Arial Narrow" w:hAnsi="Arial Narrow" w:cstheme="minorHAnsi"/>
                <w:snapToGrid/>
                <w:sz w:val="20"/>
                <w:szCs w:val="20"/>
              </w:rPr>
            </w:pPr>
            <w:r w:rsidRPr="007579E2">
              <w:rPr>
                <w:rFonts w:ascii="Arial Narrow" w:hAnsi="Arial Narrow" w:cstheme="minorHAnsi"/>
                <w:snapToGrid/>
                <w:sz w:val="20"/>
                <w:szCs w:val="20"/>
              </w:rPr>
              <w:t xml:space="preserve">Kaplan-Meier estimates, </w:t>
            </w:r>
            <w:r w:rsidR="00DA5536" w:rsidRPr="007579E2">
              <w:rPr>
                <w:rFonts w:ascii="Arial Narrow" w:hAnsi="Arial Narrow" w:cstheme="minorHAnsi"/>
                <w:snapToGrid/>
                <w:sz w:val="20"/>
                <w:szCs w:val="20"/>
              </w:rPr>
              <w:t>% (</w:t>
            </w:r>
            <w:r w:rsidRPr="007579E2">
              <w:rPr>
                <w:rFonts w:ascii="Arial Narrow" w:hAnsi="Arial Narrow" w:cstheme="minorHAnsi"/>
                <w:snapToGrid/>
                <w:sz w:val="20"/>
                <w:szCs w:val="20"/>
              </w:rPr>
              <w:t>95% CI</w:t>
            </w:r>
            <w:r w:rsidR="00DA5536" w:rsidRPr="007579E2">
              <w:rPr>
                <w:rFonts w:ascii="Arial Narrow" w:hAnsi="Arial Narrow" w:cstheme="minorHAnsi"/>
                <w:snapToGrid/>
                <w:sz w:val="20"/>
                <w:szCs w:val="20"/>
              </w:rPr>
              <w:t>)</w:t>
            </w:r>
            <w:r w:rsidRPr="007579E2">
              <w:rPr>
                <w:rFonts w:ascii="Arial Narrow" w:hAnsi="Arial Narrow" w:cstheme="minorHAnsi"/>
                <w:snapToGrid/>
                <w:sz w:val="20"/>
                <w:szCs w:val="20"/>
              </w:rPr>
              <w:t xml:space="preserve"> </w:t>
            </w:r>
          </w:p>
        </w:tc>
      </w:tr>
      <w:tr w:rsidR="00F45FB8" w:rsidRPr="007579E2" w:rsidTr="009F3B52">
        <w:trPr>
          <w:trHeight w:val="244"/>
        </w:trPr>
        <w:tc>
          <w:tcPr>
            <w:tcW w:w="3112" w:type="dxa"/>
            <w:tcBorders>
              <w:top w:val="single" w:sz="4" w:space="0" w:color="auto"/>
              <w:bottom w:val="nil"/>
            </w:tcBorders>
            <w:vAlign w:val="center"/>
          </w:tcPr>
          <w:p w:rsidR="00F45FB8" w:rsidRPr="007579E2" w:rsidRDefault="00F45FB8" w:rsidP="007E6F21">
            <w:pPr>
              <w:keepNext/>
              <w:widowControl/>
              <w:ind w:left="165"/>
              <w:jc w:val="left"/>
              <w:rPr>
                <w:rFonts w:ascii="Arial Narrow" w:hAnsi="Arial Narrow" w:cstheme="minorHAnsi"/>
                <w:snapToGrid/>
                <w:sz w:val="20"/>
                <w:szCs w:val="20"/>
              </w:rPr>
            </w:pPr>
            <w:r w:rsidRPr="007579E2">
              <w:rPr>
                <w:rFonts w:ascii="Arial Narrow" w:hAnsi="Arial Narrow" w:cstheme="minorHAnsi"/>
                <w:snapToGrid/>
                <w:sz w:val="20"/>
                <w:szCs w:val="20"/>
              </w:rPr>
              <w:t>1-year DMFS rate</w:t>
            </w:r>
          </w:p>
        </w:tc>
        <w:tc>
          <w:tcPr>
            <w:tcW w:w="2952" w:type="dxa"/>
            <w:tcBorders>
              <w:top w:val="single" w:sz="4" w:space="0" w:color="auto"/>
              <w:bottom w:val="nil"/>
            </w:tcBorders>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91</w:t>
            </w:r>
            <w:r w:rsidR="00DA5536" w:rsidRPr="007579E2">
              <w:rPr>
                <w:rFonts w:ascii="Arial Narrow" w:hAnsi="Arial Narrow" w:cstheme="minorHAnsi"/>
                <w:snapToGrid/>
                <w:sz w:val="20"/>
                <w:szCs w:val="20"/>
              </w:rPr>
              <w:t>%</w:t>
            </w:r>
            <w:r w:rsidRPr="007579E2">
              <w:rPr>
                <w:rFonts w:ascii="Arial Narrow" w:hAnsi="Arial Narrow" w:cstheme="minorHAnsi"/>
                <w:snapToGrid/>
                <w:sz w:val="20"/>
                <w:szCs w:val="20"/>
              </w:rPr>
              <w:t xml:space="preserve"> (88, 94)</w:t>
            </w:r>
          </w:p>
        </w:tc>
        <w:tc>
          <w:tcPr>
            <w:tcW w:w="2952" w:type="dxa"/>
            <w:tcBorders>
              <w:top w:val="single" w:sz="4" w:space="0" w:color="auto"/>
              <w:bottom w:val="nil"/>
            </w:tcBorders>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70</w:t>
            </w:r>
            <w:r w:rsidR="00DA5536" w:rsidRPr="007579E2">
              <w:rPr>
                <w:rFonts w:ascii="Arial Narrow" w:hAnsi="Arial Narrow" w:cstheme="minorHAnsi"/>
                <w:snapToGrid/>
                <w:sz w:val="20"/>
                <w:szCs w:val="20"/>
              </w:rPr>
              <w:t>%</w:t>
            </w:r>
            <w:r w:rsidRPr="007579E2">
              <w:rPr>
                <w:rFonts w:ascii="Arial Narrow" w:hAnsi="Arial Narrow" w:cstheme="minorHAnsi"/>
                <w:snapToGrid/>
                <w:sz w:val="20"/>
                <w:szCs w:val="20"/>
              </w:rPr>
              <w:t xml:space="preserve"> (66, 75)</w:t>
            </w:r>
          </w:p>
        </w:tc>
      </w:tr>
      <w:tr w:rsidR="00F45FB8" w:rsidRPr="007579E2" w:rsidTr="009F3B52">
        <w:trPr>
          <w:trHeight w:val="244"/>
        </w:trPr>
        <w:tc>
          <w:tcPr>
            <w:tcW w:w="3112" w:type="dxa"/>
            <w:tcBorders>
              <w:top w:val="nil"/>
              <w:bottom w:val="nil"/>
            </w:tcBorders>
            <w:vAlign w:val="center"/>
          </w:tcPr>
          <w:p w:rsidR="00F45FB8" w:rsidRPr="007579E2" w:rsidRDefault="00F45FB8" w:rsidP="007E6F21">
            <w:pPr>
              <w:keepNext/>
              <w:widowControl/>
              <w:ind w:left="165"/>
              <w:jc w:val="left"/>
              <w:rPr>
                <w:rFonts w:ascii="Arial Narrow" w:hAnsi="Arial Narrow" w:cstheme="minorHAnsi"/>
                <w:snapToGrid/>
                <w:sz w:val="20"/>
                <w:szCs w:val="20"/>
              </w:rPr>
            </w:pPr>
            <w:r w:rsidRPr="007579E2">
              <w:rPr>
                <w:rFonts w:ascii="Arial Narrow" w:hAnsi="Arial Narrow" w:cstheme="minorHAnsi"/>
                <w:snapToGrid/>
                <w:sz w:val="20"/>
                <w:szCs w:val="20"/>
              </w:rPr>
              <w:t>2-year DMFS rate</w:t>
            </w:r>
          </w:p>
        </w:tc>
        <w:tc>
          <w:tcPr>
            <w:tcW w:w="2952" w:type="dxa"/>
            <w:tcBorders>
              <w:top w:val="nil"/>
              <w:bottom w:val="nil"/>
            </w:tcBorders>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77</w:t>
            </w:r>
            <w:r w:rsidR="00DA5536" w:rsidRPr="007579E2">
              <w:rPr>
                <w:rFonts w:ascii="Arial Narrow" w:hAnsi="Arial Narrow" w:cstheme="minorHAnsi"/>
                <w:snapToGrid/>
                <w:sz w:val="20"/>
                <w:szCs w:val="20"/>
              </w:rPr>
              <w:t>%</w:t>
            </w:r>
            <w:r w:rsidRPr="007579E2">
              <w:rPr>
                <w:rFonts w:ascii="Arial Narrow" w:hAnsi="Arial Narrow" w:cstheme="minorHAnsi"/>
                <w:snapToGrid/>
                <w:sz w:val="20"/>
                <w:szCs w:val="20"/>
              </w:rPr>
              <w:t xml:space="preserve"> (73, 82)</w:t>
            </w:r>
          </w:p>
        </w:tc>
        <w:tc>
          <w:tcPr>
            <w:tcW w:w="2952" w:type="dxa"/>
            <w:tcBorders>
              <w:top w:val="nil"/>
              <w:bottom w:val="nil"/>
            </w:tcBorders>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60</w:t>
            </w:r>
            <w:r w:rsidR="00DA5536" w:rsidRPr="007579E2">
              <w:rPr>
                <w:rFonts w:ascii="Arial Narrow" w:hAnsi="Arial Narrow" w:cstheme="minorHAnsi"/>
                <w:snapToGrid/>
                <w:sz w:val="20"/>
                <w:szCs w:val="20"/>
              </w:rPr>
              <w:t>%</w:t>
            </w:r>
            <w:r w:rsidRPr="007579E2">
              <w:rPr>
                <w:rFonts w:ascii="Arial Narrow" w:hAnsi="Arial Narrow" w:cstheme="minorHAnsi"/>
                <w:snapToGrid/>
                <w:sz w:val="20"/>
                <w:szCs w:val="20"/>
              </w:rPr>
              <w:t xml:space="preserve"> (55, 66)</w:t>
            </w:r>
          </w:p>
        </w:tc>
      </w:tr>
      <w:tr w:rsidR="00F45FB8" w:rsidRPr="007579E2" w:rsidTr="009F3B52">
        <w:trPr>
          <w:trHeight w:val="244"/>
        </w:trPr>
        <w:tc>
          <w:tcPr>
            <w:tcW w:w="3112" w:type="dxa"/>
            <w:tcBorders>
              <w:top w:val="nil"/>
              <w:bottom w:val="single" w:sz="4" w:space="0" w:color="auto"/>
            </w:tcBorders>
            <w:vAlign w:val="center"/>
          </w:tcPr>
          <w:p w:rsidR="00F45FB8" w:rsidRPr="007579E2" w:rsidRDefault="00F45FB8" w:rsidP="007E6F21">
            <w:pPr>
              <w:keepNext/>
              <w:widowControl/>
              <w:ind w:left="165"/>
              <w:jc w:val="left"/>
              <w:rPr>
                <w:rFonts w:ascii="Arial Narrow" w:hAnsi="Arial Narrow" w:cstheme="minorHAnsi"/>
                <w:snapToGrid/>
                <w:sz w:val="20"/>
                <w:szCs w:val="20"/>
              </w:rPr>
            </w:pPr>
            <w:r w:rsidRPr="007579E2">
              <w:rPr>
                <w:rFonts w:ascii="Arial Narrow" w:hAnsi="Arial Narrow" w:cstheme="minorHAnsi"/>
                <w:snapToGrid/>
                <w:sz w:val="20"/>
                <w:szCs w:val="20"/>
              </w:rPr>
              <w:t>3-year DMFS rate</w:t>
            </w:r>
          </w:p>
        </w:tc>
        <w:tc>
          <w:tcPr>
            <w:tcW w:w="2952" w:type="dxa"/>
            <w:tcBorders>
              <w:top w:val="nil"/>
            </w:tcBorders>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71</w:t>
            </w:r>
            <w:r w:rsidR="00DA5536" w:rsidRPr="007579E2">
              <w:rPr>
                <w:rFonts w:ascii="Arial Narrow" w:hAnsi="Arial Narrow" w:cstheme="minorHAnsi"/>
                <w:snapToGrid/>
                <w:sz w:val="20"/>
                <w:szCs w:val="20"/>
              </w:rPr>
              <w:t>%</w:t>
            </w:r>
            <w:r w:rsidRPr="007579E2">
              <w:rPr>
                <w:rFonts w:ascii="Arial Narrow" w:hAnsi="Arial Narrow" w:cstheme="minorHAnsi"/>
                <w:snapToGrid/>
                <w:sz w:val="20"/>
                <w:szCs w:val="20"/>
              </w:rPr>
              <w:t xml:space="preserve"> (66, 76)</w:t>
            </w:r>
          </w:p>
        </w:tc>
        <w:tc>
          <w:tcPr>
            <w:tcW w:w="2952" w:type="dxa"/>
            <w:tcBorders>
              <w:top w:val="nil"/>
            </w:tcBorders>
          </w:tcPr>
          <w:p w:rsidR="00F45FB8" w:rsidRPr="007579E2" w:rsidRDefault="00F45FB8" w:rsidP="007E6F21">
            <w:pPr>
              <w:keepNext/>
              <w:widowControl/>
              <w:jc w:val="center"/>
              <w:rPr>
                <w:rFonts w:ascii="Arial Narrow" w:hAnsi="Arial Narrow" w:cstheme="minorHAnsi"/>
                <w:snapToGrid/>
                <w:sz w:val="20"/>
                <w:szCs w:val="20"/>
              </w:rPr>
            </w:pPr>
            <w:r w:rsidRPr="007579E2">
              <w:rPr>
                <w:rFonts w:ascii="Arial Narrow" w:hAnsi="Arial Narrow" w:cstheme="minorHAnsi"/>
                <w:snapToGrid/>
                <w:sz w:val="20"/>
                <w:szCs w:val="20"/>
              </w:rPr>
              <w:t>57</w:t>
            </w:r>
            <w:r w:rsidR="00DA5536" w:rsidRPr="007579E2">
              <w:rPr>
                <w:rFonts w:ascii="Arial Narrow" w:hAnsi="Arial Narrow" w:cstheme="minorHAnsi"/>
                <w:snapToGrid/>
                <w:sz w:val="20"/>
                <w:szCs w:val="20"/>
              </w:rPr>
              <w:t>%</w:t>
            </w:r>
            <w:r w:rsidRPr="007579E2">
              <w:rPr>
                <w:rFonts w:ascii="Arial Narrow" w:hAnsi="Arial Narrow" w:cstheme="minorHAnsi"/>
                <w:snapToGrid/>
                <w:sz w:val="20"/>
                <w:szCs w:val="20"/>
              </w:rPr>
              <w:t xml:space="preserve"> (52, 63)</w:t>
            </w:r>
          </w:p>
        </w:tc>
      </w:tr>
    </w:tbl>
    <w:p w:rsidR="00DA5536" w:rsidRPr="007579E2" w:rsidRDefault="00DA5536" w:rsidP="007E6F21">
      <w:pPr>
        <w:widowControl/>
        <w:rPr>
          <w:rFonts w:ascii="Arial Narrow" w:eastAsiaTheme="minorHAnsi" w:hAnsi="Arial Narrow" w:cstheme="minorBidi"/>
          <w:snapToGrid/>
          <w:sz w:val="18"/>
          <w:szCs w:val="18"/>
        </w:rPr>
      </w:pPr>
      <w:r w:rsidRPr="007579E2">
        <w:rPr>
          <w:rFonts w:ascii="Arial Narrow" w:eastAsiaTheme="minorHAnsi" w:hAnsi="Arial Narrow" w:cstheme="minorBidi"/>
          <w:snapToGrid/>
          <w:sz w:val="18"/>
          <w:szCs w:val="18"/>
        </w:rPr>
        <w:t>CI = confidence interval, DMFS = distant metastases-free survival, NE = not estimable</w:t>
      </w:r>
    </w:p>
    <w:p w:rsidR="00F45FB8" w:rsidRPr="007579E2" w:rsidRDefault="00F45FB8" w:rsidP="007E6F21">
      <w:pPr>
        <w:widowControl/>
        <w:rPr>
          <w:rFonts w:ascii="Arial Narrow" w:eastAsiaTheme="minorHAnsi" w:hAnsi="Arial Narrow" w:cstheme="minorBidi"/>
          <w:snapToGrid/>
          <w:sz w:val="18"/>
          <w:szCs w:val="18"/>
        </w:rPr>
      </w:pPr>
      <w:r w:rsidRPr="007579E2">
        <w:rPr>
          <w:rFonts w:ascii="Arial Narrow" w:eastAsiaTheme="minorHAnsi" w:hAnsi="Arial Narrow" w:cstheme="minorBidi"/>
          <w:snapToGrid/>
          <w:sz w:val="18"/>
          <w:szCs w:val="18"/>
        </w:rPr>
        <w:t>Source: Table 2.5.4 of the submission (COMBI-AD CSR, Section 11.2.2.3 Table 14.2-2.2 pdf p 289, Table 14.2-2.12 pdf p 304-305)</w:t>
      </w:r>
    </w:p>
    <w:p w:rsidR="000A5A0D" w:rsidRPr="007579E2" w:rsidRDefault="0004071E" w:rsidP="00061E01">
      <w:pPr>
        <w:widowControl/>
        <w:numPr>
          <w:ilvl w:val="1"/>
          <w:numId w:val="2"/>
        </w:numPr>
        <w:spacing w:before="120" w:after="120"/>
        <w:rPr>
          <w:szCs w:val="24"/>
        </w:rPr>
      </w:pPr>
      <w:r w:rsidRPr="007579E2">
        <w:rPr>
          <w:szCs w:val="24"/>
        </w:rPr>
        <w:t>In the updated analysis</w:t>
      </w:r>
      <w:r w:rsidR="00263D1A" w:rsidRPr="007579E2">
        <w:rPr>
          <w:szCs w:val="24"/>
        </w:rPr>
        <w:t xml:space="preserve"> (30 April 2018 data cut)</w:t>
      </w:r>
      <w:r w:rsidRPr="007579E2">
        <w:rPr>
          <w:szCs w:val="24"/>
        </w:rPr>
        <w:t>, t</w:t>
      </w:r>
      <w:r w:rsidR="00F45FB8" w:rsidRPr="007579E2">
        <w:rPr>
          <w:szCs w:val="24"/>
        </w:rPr>
        <w:t xml:space="preserve">he efficacy of </w:t>
      </w:r>
      <w:proofErr w:type="spellStart"/>
      <w:r w:rsidR="00F45FB8" w:rsidRPr="007579E2">
        <w:rPr>
          <w:szCs w:val="24"/>
        </w:rPr>
        <w:t>dabrafenib+trametinib</w:t>
      </w:r>
      <w:proofErr w:type="spellEnd"/>
      <w:r w:rsidR="00F45FB8" w:rsidRPr="007579E2">
        <w:rPr>
          <w:szCs w:val="24"/>
        </w:rPr>
        <w:t xml:space="preserve"> was maintained, with </w:t>
      </w:r>
      <w:r w:rsidR="00566A64" w:rsidRPr="007579E2">
        <w:rPr>
          <w:szCs w:val="24"/>
        </w:rPr>
        <w:t>the</w:t>
      </w:r>
      <w:r w:rsidR="00F45FB8" w:rsidRPr="007579E2">
        <w:rPr>
          <w:szCs w:val="24"/>
        </w:rPr>
        <w:t xml:space="preserve"> risk of developing distant metastasis statistically significantly reduced with </w:t>
      </w:r>
      <w:proofErr w:type="spellStart"/>
      <w:r w:rsidR="00F45FB8" w:rsidRPr="007579E2">
        <w:rPr>
          <w:szCs w:val="24"/>
        </w:rPr>
        <w:t>dabrafenib+trametinib</w:t>
      </w:r>
      <w:proofErr w:type="spellEnd"/>
      <w:r w:rsidR="00F45FB8" w:rsidRPr="007579E2">
        <w:rPr>
          <w:szCs w:val="24"/>
        </w:rPr>
        <w:t xml:space="preserve"> compared with placebo (HR = 0.53; 95% CI: 0.42, </w:t>
      </w:r>
      <w:r w:rsidR="00F45FB8" w:rsidRPr="007579E2">
        <w:rPr>
          <w:szCs w:val="24"/>
        </w:rPr>
        <w:lastRenderedPageBreak/>
        <w:t>0.67). The median DMFS was not reached in either treatment group due to low event rates. The ESC advised that DMFS may be a more reliable predictor of OS than RFS, although subject to similar uncertainty in the absence of mature OS data.</w:t>
      </w:r>
      <w:r w:rsidR="000A5A0D" w:rsidRPr="007579E2">
        <w:rPr>
          <w:szCs w:val="24"/>
        </w:rPr>
        <w:t xml:space="preserve"> </w:t>
      </w:r>
    </w:p>
    <w:p w:rsidR="000A5A0D" w:rsidRPr="007579E2" w:rsidRDefault="000A5A0D" w:rsidP="00061E01">
      <w:pPr>
        <w:widowControl/>
        <w:numPr>
          <w:ilvl w:val="1"/>
          <w:numId w:val="2"/>
        </w:numPr>
        <w:spacing w:before="120" w:after="120"/>
        <w:rPr>
          <w:szCs w:val="24"/>
        </w:rPr>
      </w:pPr>
      <w:r w:rsidRPr="007579E2">
        <w:rPr>
          <w:szCs w:val="24"/>
        </w:rPr>
        <w:t>The Kaplan-Meier estimates of the DMFS from the updated analysis are presented below.</w:t>
      </w:r>
    </w:p>
    <w:p w:rsidR="00E308F8" w:rsidRPr="007579E2" w:rsidRDefault="00E308F8" w:rsidP="007E6F21">
      <w:pPr>
        <w:pStyle w:val="Caption"/>
        <w:widowControl/>
        <w:rPr>
          <w:szCs w:val="20"/>
        </w:rPr>
      </w:pPr>
      <w:r w:rsidRPr="007579E2">
        <w:rPr>
          <w:szCs w:val="20"/>
        </w:rPr>
        <w:t>Figure</w:t>
      </w:r>
      <w:r w:rsidR="00337937" w:rsidRPr="007579E2">
        <w:rPr>
          <w:szCs w:val="20"/>
        </w:rPr>
        <w:t xml:space="preserve"> 3</w:t>
      </w:r>
      <w:r w:rsidRPr="007579E2">
        <w:rPr>
          <w:szCs w:val="20"/>
        </w:rPr>
        <w:t>: Kaplan-Meier estimates of distant metastasis-free survival (30 April 2018 data cut)</w:t>
      </w:r>
    </w:p>
    <w:p w:rsidR="000A5A0D" w:rsidRPr="007579E2" w:rsidRDefault="000A5A0D" w:rsidP="007E6F21">
      <w:pPr>
        <w:widowControl/>
        <w:rPr>
          <w:rFonts w:ascii="Arial Narrow" w:hAnsi="Arial Narrow"/>
          <w:sz w:val="18"/>
          <w:szCs w:val="18"/>
        </w:rPr>
      </w:pPr>
      <w:r w:rsidRPr="007579E2">
        <w:rPr>
          <w:noProof/>
          <w:lang w:eastAsia="en-AU"/>
        </w:rPr>
        <w:drawing>
          <wp:inline distT="0" distB="0" distL="0" distR="0" wp14:anchorId="7BDC18BF" wp14:editId="7BFA5675">
            <wp:extent cx="5522250" cy="2664000"/>
            <wp:effectExtent l="19050" t="19050" r="21590" b="22225"/>
            <wp:docPr id="48" name="Picture 48" title="Figure 3: Kaplan-Meier estimates of distant metastasis-free survival (30 April 2018 data 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22250" cy="2664000"/>
                    </a:xfrm>
                    <a:prstGeom prst="rect">
                      <a:avLst/>
                    </a:prstGeom>
                    <a:ln>
                      <a:solidFill>
                        <a:schemeClr val="bg1">
                          <a:lumMod val="65000"/>
                        </a:schemeClr>
                      </a:solidFill>
                    </a:ln>
                  </pic:spPr>
                </pic:pic>
              </a:graphicData>
            </a:graphic>
          </wp:inline>
        </w:drawing>
      </w:r>
    </w:p>
    <w:p w:rsidR="000A5A0D" w:rsidRPr="007579E2" w:rsidRDefault="000A5A0D" w:rsidP="007E6F21">
      <w:pPr>
        <w:widowControl/>
        <w:rPr>
          <w:rFonts w:ascii="Arial Narrow" w:hAnsi="Arial Narrow"/>
          <w:sz w:val="18"/>
          <w:szCs w:val="18"/>
        </w:rPr>
      </w:pPr>
      <w:r w:rsidRPr="007579E2">
        <w:rPr>
          <w:rFonts w:ascii="Arial Narrow" w:hAnsi="Arial Narrow"/>
          <w:sz w:val="18"/>
          <w:szCs w:val="18"/>
        </w:rPr>
        <w:t>CI = confidence interval</w:t>
      </w:r>
    </w:p>
    <w:p w:rsidR="000A5A0D" w:rsidRPr="007579E2" w:rsidRDefault="000A5A0D" w:rsidP="007E6F21">
      <w:pPr>
        <w:widowControl/>
        <w:rPr>
          <w:rFonts w:ascii="Arial Narrow" w:hAnsi="Arial Narrow"/>
          <w:i/>
          <w:sz w:val="18"/>
          <w:szCs w:val="18"/>
        </w:rPr>
      </w:pPr>
      <w:r w:rsidRPr="007579E2">
        <w:rPr>
          <w:rFonts w:ascii="Arial Narrow" w:hAnsi="Arial Narrow"/>
          <w:sz w:val="18"/>
          <w:szCs w:val="18"/>
        </w:rPr>
        <w:t>Source: Figure 2.5-5 of the submission (</w:t>
      </w:r>
      <w:proofErr w:type="spellStart"/>
      <w:r w:rsidRPr="007579E2">
        <w:rPr>
          <w:rFonts w:ascii="Arial Narrow" w:hAnsi="Arial Narrow"/>
          <w:sz w:val="18"/>
          <w:szCs w:val="18"/>
        </w:rPr>
        <w:t>Hauschild</w:t>
      </w:r>
      <w:proofErr w:type="spellEnd"/>
      <w:r w:rsidRPr="007579E2">
        <w:rPr>
          <w:rFonts w:ascii="Arial Narrow" w:hAnsi="Arial Narrow"/>
          <w:sz w:val="18"/>
          <w:szCs w:val="18"/>
        </w:rPr>
        <w:t xml:space="preserve"> et al, 2018)</w:t>
      </w:r>
    </w:p>
    <w:p w:rsidR="00396102" w:rsidRPr="007579E2" w:rsidRDefault="00396102" w:rsidP="00061E01">
      <w:pPr>
        <w:widowControl/>
        <w:numPr>
          <w:ilvl w:val="1"/>
          <w:numId w:val="2"/>
        </w:numPr>
        <w:spacing w:before="120" w:after="120"/>
      </w:pPr>
      <w:r w:rsidRPr="007579E2">
        <w:t xml:space="preserve">The </w:t>
      </w:r>
      <w:r w:rsidR="00DA5536" w:rsidRPr="007579E2">
        <w:t>OS results</w:t>
      </w:r>
      <w:r w:rsidR="006D1B61" w:rsidRPr="007579E2">
        <w:t>, from the 30</w:t>
      </w:r>
      <w:r w:rsidR="00D019C0" w:rsidRPr="007579E2">
        <w:t xml:space="preserve"> </w:t>
      </w:r>
      <w:r w:rsidR="006D1B61" w:rsidRPr="007579E2">
        <w:t>June 2017 data cut</w:t>
      </w:r>
      <w:r w:rsidR="00D019C0" w:rsidRPr="007579E2">
        <w:t xml:space="preserve"> for the intention-to-treat population in COMBI-AD</w:t>
      </w:r>
      <w:r w:rsidR="006D1B61" w:rsidRPr="007579E2">
        <w:t>,</w:t>
      </w:r>
      <w:r w:rsidRPr="007579E2">
        <w:t xml:space="preserve"> are presented below. </w:t>
      </w:r>
    </w:p>
    <w:p w:rsidR="005D26B4" w:rsidRPr="007579E2" w:rsidRDefault="00396102" w:rsidP="007E6F21">
      <w:pPr>
        <w:pStyle w:val="Caption"/>
        <w:widowControl/>
      </w:pPr>
      <w:r w:rsidRPr="007579E2">
        <w:t xml:space="preserve">Table </w:t>
      </w:r>
      <w:r w:rsidR="00DF4C14" w:rsidRPr="007579E2">
        <w:t>8</w:t>
      </w:r>
      <w:r w:rsidRPr="007579E2">
        <w:t xml:space="preserve">: Interim analysis of </w:t>
      </w:r>
      <w:r w:rsidR="00F24BA4" w:rsidRPr="007579E2">
        <w:t>OS</w:t>
      </w:r>
      <w:r w:rsidRPr="007579E2">
        <w:t xml:space="preserve"> at </w:t>
      </w:r>
      <w:r w:rsidR="00F24BA4" w:rsidRPr="007579E2">
        <w:t xml:space="preserve">30 June 2017 </w:t>
      </w:r>
      <w:r w:rsidRPr="007579E2">
        <w:t xml:space="preserve">data cut; Intention-to-treat population </w:t>
      </w:r>
    </w:p>
    <w:tbl>
      <w:tblPr>
        <w:tblStyle w:val="Summarybox4"/>
        <w:tblW w:w="0" w:type="auto"/>
        <w:tblLook w:val="04A0" w:firstRow="1" w:lastRow="0" w:firstColumn="1" w:lastColumn="0" w:noHBand="0" w:noVBand="1"/>
        <w:tblCaption w:val="Table 8: Interim analysis of OS at 30 June 2017 data cut; Intention-to-treat population "/>
      </w:tblPr>
      <w:tblGrid>
        <w:gridCol w:w="2897"/>
        <w:gridCol w:w="2983"/>
        <w:gridCol w:w="3137"/>
      </w:tblGrid>
      <w:tr w:rsidR="00396102" w:rsidRPr="007579E2" w:rsidTr="00061E01">
        <w:trPr>
          <w:trHeight w:val="244"/>
          <w:tblHeader/>
        </w:trPr>
        <w:tc>
          <w:tcPr>
            <w:tcW w:w="2897" w:type="dxa"/>
            <w:tcBorders>
              <w:bottom w:val="single" w:sz="4" w:space="0" w:color="auto"/>
            </w:tcBorders>
            <w:shd w:val="clear" w:color="auto" w:fill="FFFFFF" w:themeFill="background1"/>
          </w:tcPr>
          <w:p w:rsidR="00396102" w:rsidRPr="007579E2" w:rsidRDefault="00396102" w:rsidP="007E6F21">
            <w:pPr>
              <w:pStyle w:val="Tabletext"/>
              <w:rPr>
                <w:rFonts w:cstheme="minorBidi"/>
                <w:b/>
                <w:sz w:val="22"/>
              </w:rPr>
            </w:pPr>
            <w:r w:rsidRPr="007579E2">
              <w:rPr>
                <w:b/>
              </w:rPr>
              <w:t>COMBI-AD</w:t>
            </w:r>
          </w:p>
        </w:tc>
        <w:tc>
          <w:tcPr>
            <w:tcW w:w="2983" w:type="dxa"/>
            <w:tcBorders>
              <w:bottom w:val="single" w:sz="4" w:space="0" w:color="auto"/>
            </w:tcBorders>
            <w:shd w:val="clear" w:color="auto" w:fill="FFFFFF" w:themeFill="background1"/>
          </w:tcPr>
          <w:p w:rsidR="00396102" w:rsidRPr="007579E2" w:rsidRDefault="00396102" w:rsidP="007E6F21">
            <w:pPr>
              <w:pStyle w:val="Tabletext"/>
              <w:jc w:val="center"/>
              <w:rPr>
                <w:b/>
              </w:rPr>
            </w:pPr>
            <w:proofErr w:type="spellStart"/>
            <w:r w:rsidRPr="007579E2">
              <w:rPr>
                <w:b/>
              </w:rPr>
              <w:t>Dabrafenib+trametinib</w:t>
            </w:r>
            <w:proofErr w:type="spellEnd"/>
          </w:p>
          <w:p w:rsidR="00396102" w:rsidRPr="007579E2" w:rsidRDefault="00396102" w:rsidP="007E6F21">
            <w:pPr>
              <w:pStyle w:val="Tabletext"/>
              <w:jc w:val="center"/>
              <w:rPr>
                <w:b/>
              </w:rPr>
            </w:pPr>
            <w:r w:rsidRPr="007579E2">
              <w:rPr>
                <w:b/>
              </w:rPr>
              <w:t>(N = 438)</w:t>
            </w:r>
          </w:p>
        </w:tc>
        <w:tc>
          <w:tcPr>
            <w:tcW w:w="3137" w:type="dxa"/>
            <w:tcBorders>
              <w:bottom w:val="single" w:sz="4" w:space="0" w:color="auto"/>
            </w:tcBorders>
            <w:shd w:val="clear" w:color="auto" w:fill="FFFFFF" w:themeFill="background1"/>
          </w:tcPr>
          <w:p w:rsidR="00396102" w:rsidRPr="007579E2" w:rsidRDefault="00396102" w:rsidP="007E6F21">
            <w:pPr>
              <w:pStyle w:val="Tabletext"/>
              <w:jc w:val="center"/>
              <w:rPr>
                <w:b/>
              </w:rPr>
            </w:pPr>
            <w:r w:rsidRPr="007579E2">
              <w:rPr>
                <w:b/>
              </w:rPr>
              <w:t>Placebo</w:t>
            </w:r>
          </w:p>
          <w:p w:rsidR="00396102" w:rsidRPr="007579E2" w:rsidRDefault="00396102" w:rsidP="007E6F21">
            <w:pPr>
              <w:pStyle w:val="Tabletext"/>
              <w:jc w:val="center"/>
              <w:rPr>
                <w:b/>
              </w:rPr>
            </w:pPr>
            <w:r w:rsidRPr="007579E2">
              <w:rPr>
                <w:b/>
              </w:rPr>
              <w:t>(N = 432)</w:t>
            </w:r>
          </w:p>
        </w:tc>
      </w:tr>
      <w:tr w:rsidR="00396102" w:rsidRPr="007579E2" w:rsidTr="00061E01">
        <w:trPr>
          <w:trHeight w:val="244"/>
          <w:tblHeader/>
        </w:trPr>
        <w:tc>
          <w:tcPr>
            <w:tcW w:w="2897" w:type="dxa"/>
            <w:tcBorders>
              <w:bottom w:val="single" w:sz="4" w:space="0" w:color="auto"/>
            </w:tcBorders>
            <w:vAlign w:val="center"/>
          </w:tcPr>
          <w:p w:rsidR="00396102" w:rsidRPr="007579E2" w:rsidRDefault="00396102" w:rsidP="007E6F21">
            <w:pPr>
              <w:pStyle w:val="Tabletext"/>
            </w:pPr>
            <w:r w:rsidRPr="007579E2">
              <w:t>Deaths</w:t>
            </w:r>
            <w:r w:rsidR="00DA5536" w:rsidRPr="007579E2">
              <w:t>, n</w:t>
            </w:r>
            <w:r w:rsidR="008021D9" w:rsidRPr="007579E2">
              <w:t xml:space="preserve"> </w:t>
            </w:r>
            <w:r w:rsidR="00DA5536" w:rsidRPr="007579E2">
              <w:t>(%)</w:t>
            </w:r>
          </w:p>
        </w:tc>
        <w:tc>
          <w:tcPr>
            <w:tcW w:w="2983" w:type="dxa"/>
            <w:tcBorders>
              <w:bottom w:val="single" w:sz="4" w:space="0" w:color="auto"/>
            </w:tcBorders>
          </w:tcPr>
          <w:p w:rsidR="00396102" w:rsidRPr="007579E2" w:rsidRDefault="00396102" w:rsidP="007E6F21">
            <w:pPr>
              <w:pStyle w:val="Tabletext"/>
              <w:jc w:val="center"/>
            </w:pPr>
            <w:r w:rsidRPr="007579E2">
              <w:t>60 (14</w:t>
            </w:r>
            <w:r w:rsidR="00DA5536" w:rsidRPr="007579E2">
              <w:t>%</w:t>
            </w:r>
            <w:r w:rsidRPr="007579E2">
              <w:t>)</w:t>
            </w:r>
          </w:p>
        </w:tc>
        <w:tc>
          <w:tcPr>
            <w:tcW w:w="3137" w:type="dxa"/>
            <w:tcBorders>
              <w:bottom w:val="single" w:sz="4" w:space="0" w:color="auto"/>
            </w:tcBorders>
          </w:tcPr>
          <w:p w:rsidR="00396102" w:rsidRPr="007579E2" w:rsidRDefault="00396102" w:rsidP="007E6F21">
            <w:pPr>
              <w:pStyle w:val="Tabletext"/>
              <w:jc w:val="center"/>
            </w:pPr>
            <w:r w:rsidRPr="007579E2">
              <w:t>93 (22</w:t>
            </w:r>
            <w:r w:rsidR="00DA5536" w:rsidRPr="007579E2">
              <w:t>%</w:t>
            </w:r>
            <w:r w:rsidRPr="007579E2">
              <w:t>)</w:t>
            </w:r>
          </w:p>
        </w:tc>
      </w:tr>
      <w:tr w:rsidR="00396102" w:rsidRPr="007579E2" w:rsidTr="00061E01">
        <w:trPr>
          <w:trHeight w:val="244"/>
          <w:tblHeader/>
        </w:trPr>
        <w:tc>
          <w:tcPr>
            <w:tcW w:w="2897" w:type="dxa"/>
            <w:tcBorders>
              <w:bottom w:val="single" w:sz="4" w:space="0" w:color="auto"/>
            </w:tcBorders>
            <w:vAlign w:val="center"/>
          </w:tcPr>
          <w:p w:rsidR="00396102" w:rsidRPr="007579E2" w:rsidRDefault="00396102" w:rsidP="007E6F21">
            <w:pPr>
              <w:pStyle w:val="Tabletext"/>
            </w:pPr>
            <w:r w:rsidRPr="007579E2">
              <w:t>Median OS</w:t>
            </w:r>
            <w:r w:rsidR="00DA5536" w:rsidRPr="007579E2">
              <w:t>, months (95% CI)</w:t>
            </w:r>
          </w:p>
        </w:tc>
        <w:tc>
          <w:tcPr>
            <w:tcW w:w="2983" w:type="dxa"/>
            <w:tcBorders>
              <w:bottom w:val="single" w:sz="4" w:space="0" w:color="auto"/>
            </w:tcBorders>
          </w:tcPr>
          <w:p w:rsidR="00396102" w:rsidRPr="007579E2" w:rsidRDefault="00396102" w:rsidP="007E6F21">
            <w:pPr>
              <w:pStyle w:val="Tabletext"/>
              <w:jc w:val="center"/>
            </w:pPr>
            <w:r w:rsidRPr="007579E2">
              <w:t>NR</w:t>
            </w:r>
          </w:p>
        </w:tc>
        <w:tc>
          <w:tcPr>
            <w:tcW w:w="3137" w:type="dxa"/>
            <w:tcBorders>
              <w:bottom w:val="single" w:sz="4" w:space="0" w:color="auto"/>
            </w:tcBorders>
          </w:tcPr>
          <w:p w:rsidR="00396102" w:rsidRPr="007579E2" w:rsidRDefault="00396102" w:rsidP="007E6F21">
            <w:pPr>
              <w:pStyle w:val="Tabletext"/>
              <w:jc w:val="center"/>
            </w:pPr>
            <w:r w:rsidRPr="007579E2">
              <w:t>NR</w:t>
            </w:r>
          </w:p>
        </w:tc>
      </w:tr>
      <w:tr w:rsidR="00396102" w:rsidRPr="007579E2" w:rsidTr="00061E01">
        <w:trPr>
          <w:trHeight w:val="244"/>
          <w:tblHeader/>
        </w:trPr>
        <w:tc>
          <w:tcPr>
            <w:tcW w:w="2897" w:type="dxa"/>
            <w:tcBorders>
              <w:bottom w:val="single" w:sz="4" w:space="0" w:color="auto"/>
            </w:tcBorders>
            <w:vAlign w:val="center"/>
          </w:tcPr>
          <w:p w:rsidR="00396102" w:rsidRPr="007579E2" w:rsidRDefault="00396102" w:rsidP="007E6F21">
            <w:pPr>
              <w:pStyle w:val="Tabletext"/>
            </w:pPr>
            <w:r w:rsidRPr="007579E2">
              <w:t xml:space="preserve">Hazard ratio vs. placebo </w:t>
            </w:r>
            <w:r w:rsidR="00DA5536" w:rsidRPr="007579E2">
              <w:t>(</w:t>
            </w:r>
            <w:r w:rsidRPr="007579E2">
              <w:t>95% CI</w:t>
            </w:r>
            <w:r w:rsidR="00DA5536" w:rsidRPr="007579E2">
              <w:t>);</w:t>
            </w:r>
          </w:p>
          <w:p w:rsidR="00396102" w:rsidRPr="007579E2" w:rsidRDefault="00396102" w:rsidP="007E6F21">
            <w:pPr>
              <w:pStyle w:val="Tabletext"/>
            </w:pPr>
            <w:r w:rsidRPr="007579E2">
              <w:t>p-value</w:t>
            </w:r>
          </w:p>
        </w:tc>
        <w:tc>
          <w:tcPr>
            <w:tcW w:w="6120" w:type="dxa"/>
            <w:gridSpan w:val="2"/>
            <w:tcBorders>
              <w:bottom w:val="single" w:sz="4" w:space="0" w:color="auto"/>
            </w:tcBorders>
          </w:tcPr>
          <w:p w:rsidR="00396102" w:rsidRPr="007579E2" w:rsidRDefault="00396102" w:rsidP="007E6F21">
            <w:pPr>
              <w:pStyle w:val="Tabletext"/>
              <w:jc w:val="center"/>
            </w:pPr>
            <w:r w:rsidRPr="007579E2">
              <w:t>0.57 (0.42, 0.79)</w:t>
            </w:r>
          </w:p>
          <w:p w:rsidR="00396102" w:rsidRPr="007579E2" w:rsidRDefault="00396102" w:rsidP="007E6F21">
            <w:pPr>
              <w:pStyle w:val="Tabletext"/>
              <w:jc w:val="center"/>
            </w:pPr>
            <w:r w:rsidRPr="007579E2">
              <w:t>p = 0.0006</w:t>
            </w:r>
          </w:p>
        </w:tc>
      </w:tr>
      <w:tr w:rsidR="00396102" w:rsidRPr="007579E2" w:rsidTr="00061E01">
        <w:trPr>
          <w:trHeight w:val="244"/>
          <w:tblHeader/>
        </w:trPr>
        <w:tc>
          <w:tcPr>
            <w:tcW w:w="9017" w:type="dxa"/>
            <w:gridSpan w:val="3"/>
            <w:tcBorders>
              <w:bottom w:val="single" w:sz="4" w:space="0" w:color="auto"/>
            </w:tcBorders>
            <w:vAlign w:val="center"/>
          </w:tcPr>
          <w:p w:rsidR="00396102" w:rsidRPr="007579E2" w:rsidRDefault="00396102" w:rsidP="007E6F21">
            <w:pPr>
              <w:pStyle w:val="Tabletext"/>
            </w:pPr>
            <w:r w:rsidRPr="007579E2">
              <w:t xml:space="preserve">Kaplan-Meier estimates, </w:t>
            </w:r>
            <w:r w:rsidR="00DA5536" w:rsidRPr="007579E2">
              <w:t>% (</w:t>
            </w:r>
            <w:r w:rsidRPr="007579E2">
              <w:t>95% CI</w:t>
            </w:r>
            <w:r w:rsidR="00DA5536" w:rsidRPr="007579E2">
              <w:t>)</w:t>
            </w:r>
            <w:r w:rsidRPr="007579E2">
              <w:t xml:space="preserve"> </w:t>
            </w:r>
          </w:p>
        </w:tc>
      </w:tr>
      <w:tr w:rsidR="00396102" w:rsidRPr="007579E2" w:rsidTr="00061E01">
        <w:trPr>
          <w:trHeight w:val="244"/>
          <w:tblHeader/>
        </w:trPr>
        <w:tc>
          <w:tcPr>
            <w:tcW w:w="2897" w:type="dxa"/>
            <w:tcBorders>
              <w:top w:val="single" w:sz="4" w:space="0" w:color="auto"/>
              <w:bottom w:val="nil"/>
            </w:tcBorders>
            <w:vAlign w:val="center"/>
          </w:tcPr>
          <w:p w:rsidR="00396102" w:rsidRPr="007579E2" w:rsidRDefault="00396102" w:rsidP="007E6F21">
            <w:pPr>
              <w:pStyle w:val="Tabletext"/>
            </w:pPr>
            <w:r w:rsidRPr="007579E2">
              <w:t>1-year OS rate</w:t>
            </w:r>
            <w:r w:rsidR="00DA5536" w:rsidRPr="007579E2">
              <w:t xml:space="preserve"> </w:t>
            </w:r>
          </w:p>
        </w:tc>
        <w:tc>
          <w:tcPr>
            <w:tcW w:w="2983" w:type="dxa"/>
            <w:tcBorders>
              <w:top w:val="single" w:sz="4" w:space="0" w:color="auto"/>
              <w:bottom w:val="nil"/>
            </w:tcBorders>
          </w:tcPr>
          <w:p w:rsidR="00396102" w:rsidRPr="007579E2" w:rsidRDefault="00396102" w:rsidP="007E6F21">
            <w:pPr>
              <w:pStyle w:val="Tabletext"/>
              <w:jc w:val="center"/>
            </w:pPr>
            <w:r w:rsidRPr="007579E2">
              <w:t>97</w:t>
            </w:r>
            <w:r w:rsidR="00DA5536" w:rsidRPr="007579E2">
              <w:t>%</w:t>
            </w:r>
            <w:r w:rsidRPr="007579E2">
              <w:t xml:space="preserve"> (95, 99)</w:t>
            </w:r>
          </w:p>
        </w:tc>
        <w:tc>
          <w:tcPr>
            <w:tcW w:w="3137" w:type="dxa"/>
            <w:tcBorders>
              <w:top w:val="single" w:sz="4" w:space="0" w:color="auto"/>
              <w:bottom w:val="nil"/>
            </w:tcBorders>
          </w:tcPr>
          <w:p w:rsidR="00396102" w:rsidRPr="007579E2" w:rsidRDefault="00396102" w:rsidP="007E6F21">
            <w:pPr>
              <w:pStyle w:val="Tabletext"/>
              <w:jc w:val="center"/>
            </w:pPr>
            <w:r w:rsidRPr="007579E2">
              <w:t>94</w:t>
            </w:r>
            <w:r w:rsidR="00DA5536" w:rsidRPr="007579E2">
              <w:t>%</w:t>
            </w:r>
            <w:r w:rsidRPr="007579E2">
              <w:t xml:space="preserve"> (92, 96)</w:t>
            </w:r>
          </w:p>
        </w:tc>
      </w:tr>
      <w:tr w:rsidR="00396102" w:rsidRPr="007579E2" w:rsidTr="00061E01">
        <w:trPr>
          <w:trHeight w:val="244"/>
          <w:tblHeader/>
        </w:trPr>
        <w:tc>
          <w:tcPr>
            <w:tcW w:w="2897" w:type="dxa"/>
            <w:tcBorders>
              <w:top w:val="nil"/>
              <w:bottom w:val="nil"/>
            </w:tcBorders>
            <w:vAlign w:val="center"/>
          </w:tcPr>
          <w:p w:rsidR="00396102" w:rsidRPr="007579E2" w:rsidRDefault="00396102" w:rsidP="007E6F21">
            <w:pPr>
              <w:pStyle w:val="Tabletext"/>
            </w:pPr>
            <w:r w:rsidRPr="007579E2">
              <w:t>2-year OS rate</w:t>
            </w:r>
            <w:r w:rsidR="00F77F6E" w:rsidRPr="007579E2">
              <w:t xml:space="preserve"> </w:t>
            </w:r>
          </w:p>
        </w:tc>
        <w:tc>
          <w:tcPr>
            <w:tcW w:w="2983" w:type="dxa"/>
            <w:tcBorders>
              <w:top w:val="nil"/>
              <w:bottom w:val="nil"/>
            </w:tcBorders>
          </w:tcPr>
          <w:p w:rsidR="00396102" w:rsidRPr="007579E2" w:rsidRDefault="00396102" w:rsidP="007E6F21">
            <w:pPr>
              <w:pStyle w:val="Tabletext"/>
              <w:jc w:val="center"/>
            </w:pPr>
            <w:r w:rsidRPr="007579E2">
              <w:t>91</w:t>
            </w:r>
            <w:r w:rsidR="00DA5536" w:rsidRPr="007579E2">
              <w:t>%</w:t>
            </w:r>
            <w:r w:rsidRPr="007579E2">
              <w:t xml:space="preserve"> (88, 94)</w:t>
            </w:r>
          </w:p>
        </w:tc>
        <w:tc>
          <w:tcPr>
            <w:tcW w:w="3137" w:type="dxa"/>
            <w:tcBorders>
              <w:top w:val="nil"/>
              <w:bottom w:val="nil"/>
            </w:tcBorders>
          </w:tcPr>
          <w:p w:rsidR="00396102" w:rsidRPr="007579E2" w:rsidRDefault="00396102" w:rsidP="007E6F21">
            <w:pPr>
              <w:pStyle w:val="Tabletext"/>
              <w:jc w:val="center"/>
            </w:pPr>
            <w:r w:rsidRPr="007579E2">
              <w:t>83</w:t>
            </w:r>
            <w:r w:rsidR="00DA5536" w:rsidRPr="007579E2">
              <w:t>%</w:t>
            </w:r>
            <w:r w:rsidRPr="007579E2">
              <w:t xml:space="preserve"> (79, 86)</w:t>
            </w:r>
          </w:p>
        </w:tc>
      </w:tr>
      <w:tr w:rsidR="00396102" w:rsidRPr="007579E2" w:rsidTr="00061E01">
        <w:trPr>
          <w:trHeight w:val="244"/>
          <w:tblHeader/>
        </w:trPr>
        <w:tc>
          <w:tcPr>
            <w:tcW w:w="2897" w:type="dxa"/>
            <w:tcBorders>
              <w:top w:val="nil"/>
              <w:bottom w:val="single" w:sz="4" w:space="0" w:color="auto"/>
            </w:tcBorders>
            <w:vAlign w:val="center"/>
          </w:tcPr>
          <w:p w:rsidR="00396102" w:rsidRPr="007579E2" w:rsidRDefault="00396102" w:rsidP="007E6F21">
            <w:pPr>
              <w:pStyle w:val="Tabletext"/>
            </w:pPr>
            <w:r w:rsidRPr="007579E2">
              <w:t>3-year OS rate</w:t>
            </w:r>
            <w:r w:rsidR="00F77F6E" w:rsidRPr="007579E2">
              <w:t xml:space="preserve"> </w:t>
            </w:r>
          </w:p>
        </w:tc>
        <w:tc>
          <w:tcPr>
            <w:tcW w:w="2983" w:type="dxa"/>
            <w:tcBorders>
              <w:top w:val="nil"/>
              <w:bottom w:val="single" w:sz="4" w:space="0" w:color="auto"/>
            </w:tcBorders>
          </w:tcPr>
          <w:p w:rsidR="00396102" w:rsidRPr="007579E2" w:rsidRDefault="00396102" w:rsidP="007E6F21">
            <w:pPr>
              <w:pStyle w:val="Tabletext"/>
              <w:jc w:val="center"/>
            </w:pPr>
            <w:r w:rsidRPr="007579E2">
              <w:t>86</w:t>
            </w:r>
            <w:r w:rsidR="00DA5536" w:rsidRPr="007579E2">
              <w:t>%</w:t>
            </w:r>
            <w:r w:rsidRPr="007579E2">
              <w:t xml:space="preserve"> (82, 89)</w:t>
            </w:r>
          </w:p>
        </w:tc>
        <w:tc>
          <w:tcPr>
            <w:tcW w:w="3137" w:type="dxa"/>
            <w:tcBorders>
              <w:top w:val="nil"/>
              <w:bottom w:val="single" w:sz="4" w:space="0" w:color="auto"/>
            </w:tcBorders>
          </w:tcPr>
          <w:p w:rsidR="00396102" w:rsidRPr="007579E2" w:rsidRDefault="00396102" w:rsidP="007E6F21">
            <w:pPr>
              <w:pStyle w:val="Tabletext"/>
              <w:jc w:val="center"/>
            </w:pPr>
            <w:r w:rsidRPr="007579E2">
              <w:t>77</w:t>
            </w:r>
            <w:r w:rsidR="00DA5536" w:rsidRPr="007579E2">
              <w:t>%</w:t>
            </w:r>
            <w:r w:rsidRPr="007579E2">
              <w:t xml:space="preserve"> (72, 81)</w:t>
            </w:r>
          </w:p>
        </w:tc>
      </w:tr>
    </w:tbl>
    <w:p w:rsidR="00B605EB" w:rsidRPr="007579E2" w:rsidRDefault="00B605EB" w:rsidP="007E6F21">
      <w:pPr>
        <w:widowControl/>
        <w:rPr>
          <w:rFonts w:ascii="Arial Narrow" w:hAnsi="Arial Narrow"/>
          <w:sz w:val="18"/>
          <w:szCs w:val="18"/>
        </w:rPr>
      </w:pPr>
      <w:r w:rsidRPr="007579E2">
        <w:rPr>
          <w:rFonts w:ascii="Arial Narrow" w:hAnsi="Arial Narrow"/>
          <w:sz w:val="18"/>
          <w:szCs w:val="18"/>
        </w:rPr>
        <w:t>CI = confidence interval; NE = not estimable; OS = overall survival</w:t>
      </w:r>
    </w:p>
    <w:p w:rsidR="00B605EB" w:rsidRPr="007579E2" w:rsidRDefault="00B605EB" w:rsidP="007E6F21">
      <w:pPr>
        <w:widowControl/>
        <w:rPr>
          <w:rFonts w:ascii="Arial Narrow" w:hAnsi="Arial Narrow"/>
          <w:sz w:val="18"/>
          <w:szCs w:val="18"/>
        </w:rPr>
      </w:pPr>
      <w:r w:rsidRPr="007579E2">
        <w:rPr>
          <w:rFonts w:ascii="Arial Narrow" w:hAnsi="Arial Narrow"/>
          <w:sz w:val="18"/>
          <w:szCs w:val="18"/>
        </w:rPr>
        <w:t xml:space="preserve">Source: Table 2.5-3, p61 of the submission </w:t>
      </w:r>
    </w:p>
    <w:p w:rsidR="00760632" w:rsidRPr="007579E2" w:rsidRDefault="00346288" w:rsidP="00061E01">
      <w:pPr>
        <w:pStyle w:val="Bulletpoints"/>
        <w:widowControl/>
        <w:numPr>
          <w:ilvl w:val="1"/>
          <w:numId w:val="2"/>
        </w:numPr>
        <w:spacing w:before="120" w:after="120"/>
        <w:ind w:right="113"/>
      </w:pPr>
      <w:r w:rsidRPr="007579E2">
        <w:t xml:space="preserve">A total of 153 patients had died; 60 (14%) in the </w:t>
      </w:r>
      <w:proofErr w:type="spellStart"/>
      <w:r w:rsidRPr="007579E2">
        <w:t>dabrafenib+trametinib</w:t>
      </w:r>
      <w:proofErr w:type="spellEnd"/>
      <w:r w:rsidRPr="007579E2">
        <w:t xml:space="preserve"> group and 93 (22%) in the placebo group. The total deaths that occurred represented 26% of the 597 deaths required for the final OS analysis. </w:t>
      </w:r>
      <w:r w:rsidR="00201455" w:rsidRPr="007579E2">
        <w:t xml:space="preserve">The risk of death was reduced in patients treated with </w:t>
      </w:r>
      <w:proofErr w:type="spellStart"/>
      <w:r w:rsidR="00201455" w:rsidRPr="007579E2">
        <w:t>dabrafenib+trametinib</w:t>
      </w:r>
      <w:proofErr w:type="spellEnd"/>
      <w:r w:rsidR="00201455" w:rsidRPr="007579E2">
        <w:t xml:space="preserve"> compared with those treated with placebo at a median follow up of </w:t>
      </w:r>
      <w:r w:rsidR="003134EF" w:rsidRPr="007579E2">
        <w:t>3</w:t>
      </w:r>
      <w:r w:rsidR="00316606" w:rsidRPr="007579E2">
        <w:t xml:space="preserve">4 months </w:t>
      </w:r>
      <w:proofErr w:type="spellStart"/>
      <w:r w:rsidR="00316606" w:rsidRPr="007579E2">
        <w:t>dabrafenib+trametinib</w:t>
      </w:r>
      <w:proofErr w:type="spellEnd"/>
      <w:r w:rsidR="00316606" w:rsidRPr="007579E2">
        <w:t xml:space="preserve"> and 33</w:t>
      </w:r>
      <w:r w:rsidR="00201455" w:rsidRPr="007579E2">
        <w:t xml:space="preserve"> months </w:t>
      </w:r>
      <w:r w:rsidR="00316606" w:rsidRPr="007579E2">
        <w:t xml:space="preserve">placebo </w:t>
      </w:r>
      <w:r w:rsidR="00201455" w:rsidRPr="007579E2">
        <w:t>(HR = 0.57; 95% CI: 0.42, 0.79</w:t>
      </w:r>
      <w:r w:rsidRPr="007579E2">
        <w:t>, p</w:t>
      </w:r>
      <w:r w:rsidR="008C2769" w:rsidRPr="007579E2">
        <w:t xml:space="preserve"> </w:t>
      </w:r>
      <w:r w:rsidRPr="007579E2">
        <w:t>=</w:t>
      </w:r>
      <w:r w:rsidR="008C2769" w:rsidRPr="007579E2">
        <w:t xml:space="preserve"> </w:t>
      </w:r>
      <w:r w:rsidRPr="007579E2">
        <w:t>0.0006</w:t>
      </w:r>
      <w:r w:rsidR="00201455" w:rsidRPr="007579E2">
        <w:t>).</w:t>
      </w:r>
      <w:r w:rsidR="0090296C" w:rsidRPr="007579E2">
        <w:t xml:space="preserve"> </w:t>
      </w:r>
      <w:r w:rsidR="008C2769" w:rsidRPr="007579E2">
        <w:t>Although the</w:t>
      </w:r>
      <w:r w:rsidRPr="007579E2">
        <w:t xml:space="preserve"> </w:t>
      </w:r>
      <w:r w:rsidR="008C2769" w:rsidRPr="007579E2">
        <w:t>HR</w:t>
      </w:r>
      <w:r w:rsidRPr="007579E2">
        <w:t xml:space="preserve"> was statistically significant</w:t>
      </w:r>
      <w:r w:rsidR="008C2769" w:rsidRPr="007579E2">
        <w:t>, it did not meet</w:t>
      </w:r>
      <w:r w:rsidRPr="007579E2">
        <w:t xml:space="preserve"> </w:t>
      </w:r>
      <w:r w:rsidR="008C2769" w:rsidRPr="007579E2">
        <w:t>the</w:t>
      </w:r>
      <w:r w:rsidR="0090296C" w:rsidRPr="007579E2">
        <w:t xml:space="preserve"> pre-specified threshold for the first interim analysis (in place because of multiple testing considerations). The significance threshold for </w:t>
      </w:r>
      <w:r w:rsidR="0090296C" w:rsidRPr="007579E2">
        <w:lastRenderedPageBreak/>
        <w:t>the first interim analysis was p = 0.000019</w:t>
      </w:r>
      <w:r w:rsidR="007579E2">
        <w:t xml:space="preserve">. </w:t>
      </w:r>
      <w:r w:rsidR="00760632" w:rsidRPr="007579E2">
        <w:t>A</w:t>
      </w:r>
      <w:r w:rsidR="00201455" w:rsidRPr="007579E2">
        <w:t>s median OS was not reached in either arm, the magnitude of any OS benefit cannot be reliably determined.</w:t>
      </w:r>
      <w:r w:rsidR="00D019C0" w:rsidRPr="007579E2">
        <w:t xml:space="preserve"> </w:t>
      </w:r>
    </w:p>
    <w:p w:rsidR="00F90C0E" w:rsidRPr="007579E2" w:rsidRDefault="00F90C0E" w:rsidP="00061E01">
      <w:pPr>
        <w:pStyle w:val="ListParagraph"/>
        <w:widowControl/>
        <w:numPr>
          <w:ilvl w:val="1"/>
          <w:numId w:val="2"/>
        </w:numPr>
        <w:spacing w:before="120"/>
      </w:pPr>
      <w:r w:rsidRPr="007579E2">
        <w:t xml:space="preserve">The Kaplan-Meier plots </w:t>
      </w:r>
      <w:r w:rsidR="00DA5536" w:rsidRPr="007579E2">
        <w:t xml:space="preserve">for </w:t>
      </w:r>
      <w:r w:rsidRPr="007579E2">
        <w:t xml:space="preserve">OS </w:t>
      </w:r>
      <w:r w:rsidR="00DA5536" w:rsidRPr="007579E2">
        <w:t xml:space="preserve">are </w:t>
      </w:r>
      <w:r w:rsidRPr="007579E2">
        <w:t>presented in the figure below.</w:t>
      </w:r>
    </w:p>
    <w:p w:rsidR="00F90C0E" w:rsidRPr="007579E2" w:rsidRDefault="00F90C0E" w:rsidP="007E6F21">
      <w:pPr>
        <w:pStyle w:val="Caption"/>
        <w:widowControl/>
      </w:pPr>
      <w:r w:rsidRPr="007579E2">
        <w:t xml:space="preserve">Figure </w:t>
      </w:r>
      <w:r w:rsidR="00337937" w:rsidRPr="007579E2">
        <w:t>4</w:t>
      </w:r>
      <w:r w:rsidRPr="007579E2">
        <w:t xml:space="preserve">: Kaplan-Meier estimates of </w:t>
      </w:r>
      <w:r w:rsidR="00201455" w:rsidRPr="007579E2">
        <w:t>OS</w:t>
      </w:r>
      <w:r w:rsidR="00F24BA4" w:rsidRPr="007579E2">
        <w:t>, interim</w:t>
      </w:r>
      <w:r w:rsidR="00E32554" w:rsidRPr="007579E2">
        <w:t xml:space="preserve"> </w:t>
      </w:r>
      <w:r w:rsidR="00F24BA4" w:rsidRPr="007579E2">
        <w:t>analysis at 30 June 2017 data-cut</w:t>
      </w:r>
      <w:r w:rsidR="00201455" w:rsidRPr="007579E2">
        <w:t>; Intention-to-treat population</w:t>
      </w:r>
    </w:p>
    <w:p w:rsidR="00F90C0E" w:rsidRPr="007579E2" w:rsidRDefault="00F90C0E" w:rsidP="007E6F21">
      <w:pPr>
        <w:widowControl/>
      </w:pPr>
      <w:r w:rsidRPr="007579E2">
        <w:rPr>
          <w:noProof/>
          <w:lang w:eastAsia="en-AU"/>
        </w:rPr>
        <w:drawing>
          <wp:inline distT="0" distB="0" distL="0" distR="0" wp14:anchorId="7A933B42" wp14:editId="7D554670">
            <wp:extent cx="5715000" cy="3343776"/>
            <wp:effectExtent l="0" t="0" r="0" b="9525"/>
            <wp:docPr id="3" name="Picture 3" title="Figure 4: Kaplan-Meier estimates of OS, interim analysis at 30 June 2017 data-cut; Intention-to-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0492" cy="3358691"/>
                    </a:xfrm>
                    <a:prstGeom prst="rect">
                      <a:avLst/>
                    </a:prstGeom>
                  </pic:spPr>
                </pic:pic>
              </a:graphicData>
            </a:graphic>
          </wp:inline>
        </w:drawing>
      </w:r>
    </w:p>
    <w:p w:rsidR="00F90C0E" w:rsidRPr="007579E2" w:rsidRDefault="00F90C0E" w:rsidP="007E6F21">
      <w:pPr>
        <w:widowControl/>
        <w:rPr>
          <w:rFonts w:ascii="Arial Narrow" w:hAnsi="Arial Narrow"/>
          <w:sz w:val="18"/>
          <w:szCs w:val="18"/>
        </w:rPr>
      </w:pPr>
      <w:r w:rsidRPr="007579E2">
        <w:rPr>
          <w:rFonts w:ascii="Arial Narrow" w:hAnsi="Arial Narrow"/>
          <w:sz w:val="18"/>
          <w:szCs w:val="18"/>
        </w:rPr>
        <w:t>CI</w:t>
      </w:r>
      <w:r w:rsidR="000B1BDB" w:rsidRPr="007579E2">
        <w:rPr>
          <w:rFonts w:ascii="Arial Narrow" w:hAnsi="Arial Narrow"/>
          <w:sz w:val="18"/>
          <w:szCs w:val="18"/>
        </w:rPr>
        <w:t xml:space="preserve"> </w:t>
      </w:r>
      <w:r w:rsidRPr="007579E2">
        <w:rPr>
          <w:rFonts w:ascii="Arial Narrow" w:hAnsi="Arial Narrow"/>
          <w:sz w:val="18"/>
          <w:szCs w:val="18"/>
        </w:rPr>
        <w:t>=</w:t>
      </w:r>
      <w:r w:rsidR="000B1BDB" w:rsidRPr="007579E2">
        <w:rPr>
          <w:rFonts w:ascii="Arial Narrow" w:hAnsi="Arial Narrow"/>
          <w:sz w:val="18"/>
          <w:szCs w:val="18"/>
        </w:rPr>
        <w:t xml:space="preserve"> </w:t>
      </w:r>
      <w:r w:rsidRPr="007579E2">
        <w:rPr>
          <w:rFonts w:ascii="Arial Narrow" w:hAnsi="Arial Narrow"/>
          <w:sz w:val="18"/>
          <w:szCs w:val="18"/>
        </w:rPr>
        <w:t>confidence interval</w:t>
      </w:r>
    </w:p>
    <w:p w:rsidR="00F90C0E" w:rsidRPr="007579E2" w:rsidRDefault="00F90C0E" w:rsidP="007E6F21">
      <w:pPr>
        <w:widowControl/>
        <w:rPr>
          <w:rFonts w:ascii="Arial Narrow" w:hAnsi="Arial Narrow"/>
          <w:sz w:val="18"/>
          <w:szCs w:val="18"/>
        </w:rPr>
      </w:pPr>
      <w:r w:rsidRPr="007579E2">
        <w:rPr>
          <w:rFonts w:ascii="Arial Narrow" w:hAnsi="Arial Narrow"/>
          <w:sz w:val="18"/>
          <w:szCs w:val="18"/>
        </w:rPr>
        <w:t>Source: Figure 2.5-3, p61 of the submission</w:t>
      </w:r>
    </w:p>
    <w:p w:rsidR="00197CC1" w:rsidRPr="007579E2" w:rsidRDefault="00197CC1" w:rsidP="007E6F21">
      <w:pPr>
        <w:widowControl/>
        <w:rPr>
          <w:rFonts w:ascii="Arial Narrow" w:hAnsi="Arial Narrow"/>
          <w:sz w:val="18"/>
          <w:szCs w:val="18"/>
        </w:rPr>
      </w:pPr>
    </w:p>
    <w:p w:rsidR="000666B1" w:rsidRPr="007579E2" w:rsidRDefault="000666B1" w:rsidP="007E6F21">
      <w:pPr>
        <w:pStyle w:val="ListParagraph"/>
        <w:widowControl/>
        <w:numPr>
          <w:ilvl w:val="1"/>
          <w:numId w:val="2"/>
        </w:numPr>
      </w:pPr>
      <w:r w:rsidRPr="007579E2">
        <w:t xml:space="preserve">The results of utility scores from </w:t>
      </w:r>
      <w:r w:rsidR="00BA6367" w:rsidRPr="007579E2">
        <w:t xml:space="preserve">the </w:t>
      </w:r>
      <w:r w:rsidRPr="007579E2">
        <w:t xml:space="preserve">EQ-5D questionnaire in COMBI-AD are presented in the table below. </w:t>
      </w:r>
    </w:p>
    <w:p w:rsidR="000666B1" w:rsidRPr="007579E2" w:rsidRDefault="002E028E" w:rsidP="007E6F21">
      <w:pPr>
        <w:pStyle w:val="Caption"/>
        <w:widowControl/>
      </w:pPr>
      <w:r w:rsidRPr="007579E2">
        <w:lastRenderedPageBreak/>
        <w:t>Table 9: Quality of Life EuroQoL-5 dimension (EQ-5D) utility scores from COMBI-AD trial</w:t>
      </w:r>
    </w:p>
    <w:tbl>
      <w:tblPr>
        <w:tblStyle w:val="Summarybox5"/>
        <w:tblW w:w="0" w:type="auto"/>
        <w:tblLook w:val="04A0" w:firstRow="1" w:lastRow="0" w:firstColumn="1" w:lastColumn="0" w:noHBand="0" w:noVBand="1"/>
        <w:tblCaption w:val="Table 9: Quality of Life EuroQoL-5 dimension (EQ-5D) utility scores from COMBI-AD trial"/>
      </w:tblPr>
      <w:tblGrid>
        <w:gridCol w:w="1502"/>
        <w:gridCol w:w="1187"/>
        <w:gridCol w:w="1819"/>
        <w:gridCol w:w="1157"/>
        <w:gridCol w:w="1848"/>
        <w:gridCol w:w="1503"/>
      </w:tblGrid>
      <w:tr w:rsidR="000666B1" w:rsidRPr="007579E2" w:rsidTr="00BC1636">
        <w:trPr>
          <w:cantSplit/>
          <w:trHeight w:val="244"/>
          <w:tblHeader/>
        </w:trPr>
        <w:tc>
          <w:tcPr>
            <w:tcW w:w="1502" w:type="dxa"/>
            <w:vMerge w:val="restart"/>
          </w:tcPr>
          <w:p w:rsidR="000666B1" w:rsidRPr="007579E2" w:rsidRDefault="000666B1" w:rsidP="007E6F21">
            <w:pPr>
              <w:pStyle w:val="Tabletext"/>
              <w:keepNext/>
              <w:rPr>
                <w:b/>
              </w:rPr>
            </w:pPr>
          </w:p>
        </w:tc>
        <w:tc>
          <w:tcPr>
            <w:tcW w:w="3006" w:type="dxa"/>
            <w:gridSpan w:val="2"/>
          </w:tcPr>
          <w:p w:rsidR="000666B1" w:rsidRPr="007579E2" w:rsidRDefault="000666B1" w:rsidP="007E6F21">
            <w:pPr>
              <w:pStyle w:val="Tabletext"/>
              <w:keepNext/>
              <w:jc w:val="center"/>
              <w:rPr>
                <w:b/>
              </w:rPr>
            </w:pPr>
            <w:proofErr w:type="spellStart"/>
            <w:r w:rsidRPr="007579E2">
              <w:rPr>
                <w:b/>
              </w:rPr>
              <w:t>Dabrafenib</w:t>
            </w:r>
            <w:proofErr w:type="spellEnd"/>
            <w:r w:rsidRPr="007579E2">
              <w:rPr>
                <w:b/>
              </w:rPr>
              <w:t xml:space="preserve"> + </w:t>
            </w:r>
            <w:proofErr w:type="spellStart"/>
            <w:r w:rsidRPr="007579E2">
              <w:rPr>
                <w:b/>
              </w:rPr>
              <w:t>trametinib</w:t>
            </w:r>
            <w:proofErr w:type="spellEnd"/>
          </w:p>
          <w:p w:rsidR="000666B1" w:rsidRPr="007579E2" w:rsidRDefault="000666B1" w:rsidP="007E6F21">
            <w:pPr>
              <w:pStyle w:val="Tabletext"/>
              <w:keepNext/>
              <w:jc w:val="center"/>
              <w:rPr>
                <w:b/>
              </w:rPr>
            </w:pPr>
            <w:r w:rsidRPr="007579E2">
              <w:rPr>
                <w:b/>
              </w:rPr>
              <w:t>(N = 438)</w:t>
            </w:r>
          </w:p>
        </w:tc>
        <w:tc>
          <w:tcPr>
            <w:tcW w:w="3005" w:type="dxa"/>
            <w:gridSpan w:val="2"/>
          </w:tcPr>
          <w:p w:rsidR="000666B1" w:rsidRPr="007579E2" w:rsidRDefault="000666B1" w:rsidP="007E6F21">
            <w:pPr>
              <w:pStyle w:val="Tabletext"/>
              <w:keepNext/>
              <w:jc w:val="center"/>
              <w:rPr>
                <w:b/>
              </w:rPr>
            </w:pPr>
            <w:r w:rsidRPr="007579E2">
              <w:rPr>
                <w:b/>
              </w:rPr>
              <w:t xml:space="preserve">Placebo </w:t>
            </w:r>
            <w:r w:rsidR="00B605EB" w:rsidRPr="007579E2">
              <w:rPr>
                <w:b/>
              </w:rPr>
              <w:br/>
            </w:r>
            <w:r w:rsidRPr="007579E2">
              <w:rPr>
                <w:b/>
              </w:rPr>
              <w:t>(N = 432)</w:t>
            </w:r>
          </w:p>
        </w:tc>
        <w:tc>
          <w:tcPr>
            <w:tcW w:w="1503" w:type="dxa"/>
            <w:vMerge w:val="restart"/>
            <w:vAlign w:val="center"/>
          </w:tcPr>
          <w:p w:rsidR="000666B1" w:rsidRPr="007579E2" w:rsidRDefault="000666B1" w:rsidP="007E6F21">
            <w:pPr>
              <w:pStyle w:val="Tabletext"/>
              <w:keepNext/>
              <w:jc w:val="center"/>
              <w:rPr>
                <w:b/>
              </w:rPr>
            </w:pPr>
            <w:r w:rsidRPr="007579E2">
              <w:rPr>
                <w:b/>
              </w:rPr>
              <w:t>Mean difference vs placebo</w:t>
            </w:r>
          </w:p>
          <w:p w:rsidR="000666B1" w:rsidRPr="007579E2" w:rsidRDefault="000666B1" w:rsidP="007E6F21">
            <w:pPr>
              <w:pStyle w:val="Tabletext"/>
              <w:keepNext/>
              <w:jc w:val="center"/>
              <w:rPr>
                <w:b/>
              </w:rPr>
            </w:pPr>
            <w:r w:rsidRPr="007579E2">
              <w:rPr>
                <w:b/>
              </w:rPr>
              <w:t>(95% CI)</w:t>
            </w:r>
          </w:p>
        </w:tc>
      </w:tr>
      <w:tr w:rsidR="000666B1" w:rsidRPr="007579E2" w:rsidTr="00BC1636">
        <w:trPr>
          <w:cantSplit/>
          <w:trHeight w:val="244"/>
        </w:trPr>
        <w:tc>
          <w:tcPr>
            <w:tcW w:w="1502" w:type="dxa"/>
            <w:vMerge/>
            <w:vAlign w:val="center"/>
          </w:tcPr>
          <w:p w:rsidR="000666B1" w:rsidRPr="007579E2" w:rsidRDefault="000666B1" w:rsidP="007E6F21">
            <w:pPr>
              <w:pStyle w:val="Tabletext"/>
              <w:keepNext/>
              <w:rPr>
                <w:rFonts w:asciiTheme="minorHAnsi" w:hAnsiTheme="minorHAnsi" w:cstheme="minorHAnsi"/>
              </w:rPr>
            </w:pPr>
          </w:p>
        </w:tc>
        <w:tc>
          <w:tcPr>
            <w:tcW w:w="1187" w:type="dxa"/>
            <w:vAlign w:val="center"/>
          </w:tcPr>
          <w:p w:rsidR="000666B1" w:rsidRPr="007579E2" w:rsidRDefault="000666B1" w:rsidP="007E6F21">
            <w:pPr>
              <w:pStyle w:val="Tabletext"/>
              <w:keepNext/>
              <w:jc w:val="center"/>
              <w:rPr>
                <w:b/>
              </w:rPr>
            </w:pPr>
            <w:r w:rsidRPr="007579E2">
              <w:rPr>
                <w:b/>
              </w:rPr>
              <w:t>Mean (SD)</w:t>
            </w:r>
          </w:p>
        </w:tc>
        <w:tc>
          <w:tcPr>
            <w:tcW w:w="1819" w:type="dxa"/>
            <w:vAlign w:val="center"/>
          </w:tcPr>
          <w:p w:rsidR="000666B1" w:rsidRPr="007579E2" w:rsidRDefault="000666B1" w:rsidP="007E6F21">
            <w:pPr>
              <w:pStyle w:val="Tabletext"/>
              <w:keepNext/>
              <w:jc w:val="center"/>
              <w:rPr>
                <w:b/>
              </w:rPr>
            </w:pPr>
            <w:r w:rsidRPr="007579E2">
              <w:rPr>
                <w:b/>
              </w:rPr>
              <w:t>Change from baseline,</w:t>
            </w:r>
          </w:p>
          <w:p w:rsidR="000666B1" w:rsidRPr="007579E2" w:rsidRDefault="000666B1" w:rsidP="007E6F21">
            <w:pPr>
              <w:pStyle w:val="Tabletext"/>
              <w:keepNext/>
              <w:rPr>
                <w:b/>
              </w:rPr>
            </w:pPr>
            <w:r w:rsidRPr="007579E2">
              <w:rPr>
                <w:b/>
              </w:rPr>
              <w:t>Adjusted mean (SE)</w:t>
            </w:r>
          </w:p>
        </w:tc>
        <w:tc>
          <w:tcPr>
            <w:tcW w:w="1157" w:type="dxa"/>
            <w:vAlign w:val="center"/>
          </w:tcPr>
          <w:p w:rsidR="000666B1" w:rsidRPr="007579E2" w:rsidRDefault="000666B1" w:rsidP="007E6F21">
            <w:pPr>
              <w:pStyle w:val="Tabletext"/>
              <w:keepNext/>
              <w:jc w:val="center"/>
              <w:rPr>
                <w:b/>
              </w:rPr>
            </w:pPr>
            <w:r w:rsidRPr="007579E2">
              <w:rPr>
                <w:b/>
              </w:rPr>
              <w:t>Mean (SD)</w:t>
            </w:r>
          </w:p>
        </w:tc>
        <w:tc>
          <w:tcPr>
            <w:tcW w:w="1848" w:type="dxa"/>
            <w:vAlign w:val="center"/>
          </w:tcPr>
          <w:p w:rsidR="000666B1" w:rsidRPr="007579E2" w:rsidRDefault="000666B1" w:rsidP="007E6F21">
            <w:pPr>
              <w:pStyle w:val="Tabletext"/>
              <w:keepNext/>
              <w:jc w:val="center"/>
              <w:rPr>
                <w:b/>
              </w:rPr>
            </w:pPr>
            <w:r w:rsidRPr="007579E2">
              <w:rPr>
                <w:b/>
              </w:rPr>
              <w:t>Change from baseline,</w:t>
            </w:r>
          </w:p>
          <w:p w:rsidR="000666B1" w:rsidRPr="007579E2" w:rsidRDefault="000666B1" w:rsidP="007E6F21">
            <w:pPr>
              <w:pStyle w:val="Tabletext"/>
              <w:keepNext/>
              <w:jc w:val="center"/>
              <w:rPr>
                <w:b/>
              </w:rPr>
            </w:pPr>
            <w:r w:rsidRPr="007579E2">
              <w:rPr>
                <w:b/>
              </w:rPr>
              <w:t>Adjusted mean (SE)</w:t>
            </w:r>
          </w:p>
        </w:tc>
        <w:tc>
          <w:tcPr>
            <w:tcW w:w="1503" w:type="dxa"/>
            <w:vMerge/>
            <w:vAlign w:val="center"/>
          </w:tcPr>
          <w:p w:rsidR="000666B1" w:rsidRPr="007579E2" w:rsidRDefault="000666B1" w:rsidP="007E6F21">
            <w:pPr>
              <w:pStyle w:val="Tabletext"/>
              <w:keepNext/>
            </w:pPr>
          </w:p>
        </w:tc>
      </w:tr>
      <w:tr w:rsidR="000666B1" w:rsidRPr="007579E2" w:rsidTr="00BC1636">
        <w:trPr>
          <w:cantSplit/>
          <w:trHeight w:val="244"/>
        </w:trPr>
        <w:tc>
          <w:tcPr>
            <w:tcW w:w="1502" w:type="dxa"/>
            <w:vAlign w:val="center"/>
          </w:tcPr>
          <w:p w:rsidR="000666B1" w:rsidRPr="007579E2" w:rsidRDefault="000666B1" w:rsidP="007E6F21">
            <w:pPr>
              <w:pStyle w:val="Tabletext"/>
              <w:keepNext/>
            </w:pPr>
            <w:r w:rsidRPr="007579E2">
              <w:t>Baseline</w:t>
            </w:r>
          </w:p>
        </w:tc>
        <w:tc>
          <w:tcPr>
            <w:tcW w:w="118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19" w:type="dxa"/>
            <w:vAlign w:val="center"/>
          </w:tcPr>
          <w:p w:rsidR="000666B1" w:rsidRPr="007579E2" w:rsidRDefault="000666B1" w:rsidP="007E6F21">
            <w:pPr>
              <w:pStyle w:val="Tabletext"/>
              <w:keepNext/>
              <w:jc w:val="center"/>
            </w:pPr>
            <w:r w:rsidRPr="007579E2">
              <w:t>-</w:t>
            </w:r>
          </w:p>
        </w:tc>
        <w:tc>
          <w:tcPr>
            <w:tcW w:w="115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48" w:type="dxa"/>
            <w:vAlign w:val="center"/>
          </w:tcPr>
          <w:p w:rsidR="000666B1" w:rsidRPr="007579E2" w:rsidRDefault="000666B1" w:rsidP="007E6F21">
            <w:pPr>
              <w:pStyle w:val="Tabletext"/>
              <w:keepNext/>
              <w:jc w:val="center"/>
            </w:pPr>
            <w:r w:rsidRPr="007579E2">
              <w:t>-</w:t>
            </w:r>
          </w:p>
        </w:tc>
        <w:tc>
          <w:tcPr>
            <w:tcW w:w="1503" w:type="dxa"/>
            <w:vAlign w:val="center"/>
          </w:tcPr>
          <w:p w:rsidR="000666B1" w:rsidRPr="007579E2" w:rsidRDefault="000666B1" w:rsidP="007E6F21">
            <w:pPr>
              <w:pStyle w:val="Tabletext"/>
              <w:keepNext/>
              <w:jc w:val="center"/>
            </w:pPr>
            <w:r w:rsidRPr="007579E2">
              <w:t>-</w:t>
            </w:r>
          </w:p>
        </w:tc>
      </w:tr>
      <w:tr w:rsidR="000666B1" w:rsidRPr="007579E2" w:rsidTr="00BC1636">
        <w:trPr>
          <w:cantSplit/>
          <w:trHeight w:val="244"/>
        </w:trPr>
        <w:tc>
          <w:tcPr>
            <w:tcW w:w="1502" w:type="dxa"/>
            <w:vAlign w:val="center"/>
          </w:tcPr>
          <w:p w:rsidR="000666B1" w:rsidRPr="007579E2" w:rsidRDefault="000666B1" w:rsidP="007E6F21">
            <w:pPr>
              <w:pStyle w:val="Tabletext"/>
              <w:keepNext/>
            </w:pPr>
            <w:r w:rsidRPr="007579E2">
              <w:t>Month 3</w:t>
            </w:r>
          </w:p>
        </w:tc>
        <w:tc>
          <w:tcPr>
            <w:tcW w:w="118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19" w:type="dxa"/>
          </w:tcPr>
          <w:p w:rsidR="000666B1" w:rsidRPr="007579E2" w:rsidRDefault="000666B1" w:rsidP="007E6F21">
            <w:pPr>
              <w:pStyle w:val="Tabletext"/>
              <w:keepNext/>
              <w:jc w:val="center"/>
            </w:pPr>
            <w:r w:rsidRPr="007579E2">
              <w:t>n =</w:t>
            </w:r>
            <w:r w:rsidR="0023686E">
              <w:rPr>
                <w:noProof/>
                <w:color w:val="000000"/>
                <w:highlight w:val="black"/>
              </w:rPr>
              <w:t xml:space="preserve"> ''''''''''</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15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48"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 xml:space="preserve">''''''''''''' </w:t>
            </w:r>
            <w:r w:rsidR="000666B1" w:rsidRPr="007579E2">
              <w:t>(</w:t>
            </w:r>
            <w:r>
              <w:rPr>
                <w:noProof/>
                <w:color w:val="000000"/>
                <w:highlight w:val="black"/>
              </w:rPr>
              <w:t>''''''''''''</w:t>
            </w:r>
            <w:r w:rsidR="000666B1" w:rsidRPr="007579E2">
              <w:t>)</w:t>
            </w:r>
          </w:p>
        </w:tc>
        <w:tc>
          <w:tcPr>
            <w:tcW w:w="1503" w:type="dxa"/>
          </w:tcPr>
          <w:p w:rsidR="000666B1" w:rsidRPr="0023686E" w:rsidRDefault="0023686E" w:rsidP="007E6F21">
            <w:pPr>
              <w:pStyle w:val="Tabletext"/>
              <w:keepNext/>
              <w:jc w:val="center"/>
              <w:rPr>
                <w:highlight w:val="black"/>
              </w:rPr>
            </w:pPr>
            <w:r>
              <w:rPr>
                <w:noProof/>
                <w:color w:val="000000"/>
                <w:highlight w:val="black"/>
              </w:rPr>
              <w:t>'''''''''''</w:t>
            </w:r>
          </w:p>
          <w:p w:rsidR="000666B1" w:rsidRPr="007579E2" w:rsidRDefault="000666B1" w:rsidP="007E6F21">
            <w:pPr>
              <w:pStyle w:val="Tabletext"/>
              <w:keepNext/>
              <w:jc w:val="center"/>
            </w:pPr>
            <w:r w:rsidRPr="007579E2">
              <w:t>(</w:t>
            </w:r>
            <w:r w:rsidR="0023686E">
              <w:rPr>
                <w:noProof/>
                <w:color w:val="000000"/>
                <w:highlight w:val="black"/>
              </w:rPr>
              <w:t>'''''''''''''</w:t>
            </w:r>
            <w:r w:rsidRPr="007579E2">
              <w:t xml:space="preserve">, </w:t>
            </w:r>
            <w:r w:rsidR="0023686E">
              <w:rPr>
                <w:noProof/>
                <w:color w:val="000000"/>
                <w:highlight w:val="black"/>
              </w:rPr>
              <w:t>''''''''''</w:t>
            </w:r>
            <w:r w:rsidRPr="007579E2">
              <w:t>)</w:t>
            </w:r>
          </w:p>
        </w:tc>
      </w:tr>
      <w:tr w:rsidR="000666B1" w:rsidRPr="007579E2" w:rsidTr="00BC1636">
        <w:trPr>
          <w:cantSplit/>
          <w:trHeight w:val="244"/>
        </w:trPr>
        <w:tc>
          <w:tcPr>
            <w:tcW w:w="1502" w:type="dxa"/>
            <w:vAlign w:val="center"/>
          </w:tcPr>
          <w:p w:rsidR="000666B1" w:rsidRPr="007579E2" w:rsidRDefault="000666B1" w:rsidP="007E6F21">
            <w:pPr>
              <w:pStyle w:val="Tabletext"/>
              <w:keepNext/>
            </w:pPr>
            <w:r w:rsidRPr="007579E2">
              <w:t>Month 6</w:t>
            </w:r>
          </w:p>
        </w:tc>
        <w:tc>
          <w:tcPr>
            <w:tcW w:w="118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19"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15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48"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 xml:space="preserve">'''''''''''''' </w:t>
            </w:r>
            <w:r w:rsidR="000666B1" w:rsidRPr="007579E2">
              <w:t>(</w:t>
            </w:r>
            <w:r>
              <w:rPr>
                <w:noProof/>
                <w:color w:val="000000"/>
                <w:highlight w:val="black"/>
              </w:rPr>
              <w:t>''''''''''</w:t>
            </w:r>
            <w:r w:rsidR="000666B1" w:rsidRPr="007579E2">
              <w:t>)</w:t>
            </w:r>
          </w:p>
        </w:tc>
        <w:tc>
          <w:tcPr>
            <w:tcW w:w="1503" w:type="dxa"/>
          </w:tcPr>
          <w:p w:rsidR="000666B1" w:rsidRPr="0023686E" w:rsidRDefault="0023686E" w:rsidP="007E6F21">
            <w:pPr>
              <w:pStyle w:val="Tabletext"/>
              <w:keepNext/>
              <w:jc w:val="center"/>
              <w:rPr>
                <w:highlight w:val="black"/>
              </w:rPr>
            </w:pPr>
            <w:r>
              <w:rPr>
                <w:noProof/>
                <w:color w:val="000000"/>
                <w:highlight w:val="black"/>
              </w:rPr>
              <w:t>''''''''''''''</w:t>
            </w:r>
          </w:p>
          <w:p w:rsidR="000666B1" w:rsidRPr="007579E2" w:rsidRDefault="000666B1" w:rsidP="007E6F21">
            <w:pPr>
              <w:pStyle w:val="Tabletext"/>
              <w:keepNext/>
              <w:jc w:val="center"/>
            </w:pPr>
            <w:r w:rsidRPr="007579E2">
              <w:t>(</w:t>
            </w:r>
            <w:r w:rsidR="0023686E">
              <w:rPr>
                <w:noProof/>
                <w:color w:val="000000"/>
                <w:highlight w:val="black"/>
              </w:rPr>
              <w:t>''''''''''''''</w:t>
            </w:r>
            <w:r w:rsidRPr="007579E2">
              <w:t xml:space="preserve">, </w:t>
            </w:r>
            <w:r w:rsidR="0023686E">
              <w:rPr>
                <w:noProof/>
                <w:color w:val="000000"/>
                <w:highlight w:val="black"/>
              </w:rPr>
              <w:t>''''''''''</w:t>
            </w:r>
            <w:r w:rsidRPr="007579E2">
              <w:t>)</w:t>
            </w:r>
          </w:p>
        </w:tc>
      </w:tr>
      <w:tr w:rsidR="000666B1" w:rsidRPr="007579E2" w:rsidTr="00BC1636">
        <w:trPr>
          <w:cantSplit/>
          <w:trHeight w:val="244"/>
        </w:trPr>
        <w:tc>
          <w:tcPr>
            <w:tcW w:w="1502" w:type="dxa"/>
            <w:vAlign w:val="center"/>
          </w:tcPr>
          <w:p w:rsidR="000666B1" w:rsidRPr="007579E2" w:rsidRDefault="000666B1" w:rsidP="007E6F21">
            <w:pPr>
              <w:pStyle w:val="Tabletext"/>
              <w:keepNext/>
            </w:pPr>
            <w:r w:rsidRPr="007579E2">
              <w:t>Month 9</w:t>
            </w:r>
          </w:p>
        </w:tc>
        <w:tc>
          <w:tcPr>
            <w:tcW w:w="1187" w:type="dxa"/>
          </w:tcPr>
          <w:p w:rsidR="000666B1" w:rsidRPr="007579E2" w:rsidRDefault="000666B1" w:rsidP="007E6F21">
            <w:pPr>
              <w:pStyle w:val="Tabletext"/>
              <w:keepNext/>
              <w:jc w:val="center"/>
            </w:pPr>
            <w:r w:rsidRPr="007579E2">
              <w:t xml:space="preserve">N=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19"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15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48"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 xml:space="preserve">'''''''''''' </w:t>
            </w:r>
            <w:r w:rsidR="000666B1" w:rsidRPr="007579E2">
              <w:t>(</w:t>
            </w:r>
            <w:r>
              <w:rPr>
                <w:noProof/>
                <w:color w:val="000000"/>
                <w:highlight w:val="black"/>
              </w:rPr>
              <w:t>''''''''''</w:t>
            </w:r>
            <w:r w:rsidR="000666B1" w:rsidRPr="007579E2">
              <w:t>)</w:t>
            </w:r>
          </w:p>
        </w:tc>
        <w:tc>
          <w:tcPr>
            <w:tcW w:w="1503" w:type="dxa"/>
          </w:tcPr>
          <w:p w:rsidR="000666B1" w:rsidRPr="0023686E" w:rsidRDefault="0023686E" w:rsidP="007E6F21">
            <w:pPr>
              <w:pStyle w:val="Tabletext"/>
              <w:keepNext/>
              <w:jc w:val="center"/>
              <w:rPr>
                <w:highlight w:val="black"/>
              </w:rPr>
            </w:pPr>
            <w:r>
              <w:rPr>
                <w:noProof/>
                <w:color w:val="000000"/>
                <w:highlight w:val="black"/>
              </w:rPr>
              <w:t>''''''''''''</w:t>
            </w:r>
          </w:p>
          <w:p w:rsidR="000666B1" w:rsidRPr="007579E2" w:rsidRDefault="000666B1" w:rsidP="007E6F21">
            <w:pPr>
              <w:pStyle w:val="Tabletext"/>
              <w:keepNext/>
              <w:jc w:val="center"/>
            </w:pPr>
            <w:r w:rsidRPr="007579E2">
              <w:t>(</w:t>
            </w:r>
            <w:r w:rsidR="0023686E">
              <w:rPr>
                <w:noProof/>
                <w:color w:val="000000"/>
                <w:highlight w:val="black"/>
              </w:rPr>
              <w:t>''''''''''''</w:t>
            </w:r>
            <w:r w:rsidRPr="007579E2">
              <w:t xml:space="preserve">, </w:t>
            </w:r>
            <w:r w:rsidR="0023686E">
              <w:rPr>
                <w:noProof/>
                <w:color w:val="000000"/>
                <w:highlight w:val="black"/>
              </w:rPr>
              <w:t>''''''''''</w:t>
            </w:r>
            <w:r w:rsidRPr="007579E2">
              <w:t>)</w:t>
            </w:r>
          </w:p>
        </w:tc>
      </w:tr>
      <w:tr w:rsidR="000666B1" w:rsidRPr="007579E2" w:rsidTr="00BC1636">
        <w:trPr>
          <w:cantSplit/>
          <w:trHeight w:val="244"/>
        </w:trPr>
        <w:tc>
          <w:tcPr>
            <w:tcW w:w="1502" w:type="dxa"/>
            <w:vAlign w:val="center"/>
          </w:tcPr>
          <w:p w:rsidR="000666B1" w:rsidRPr="007579E2" w:rsidRDefault="000666B1" w:rsidP="007E6F21">
            <w:pPr>
              <w:pStyle w:val="Tabletext"/>
              <w:keepNext/>
            </w:pPr>
            <w:r w:rsidRPr="007579E2">
              <w:t>Month 12</w:t>
            </w:r>
          </w:p>
        </w:tc>
        <w:tc>
          <w:tcPr>
            <w:tcW w:w="118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19"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15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48"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 xml:space="preserve">'''''''''' </w:t>
            </w:r>
            <w:r w:rsidR="000666B1" w:rsidRPr="007579E2">
              <w:t>(</w:t>
            </w:r>
            <w:r>
              <w:rPr>
                <w:noProof/>
                <w:color w:val="000000"/>
                <w:highlight w:val="black"/>
              </w:rPr>
              <w:t>''''''''''</w:t>
            </w:r>
            <w:r w:rsidR="000666B1" w:rsidRPr="007579E2">
              <w:t>)</w:t>
            </w:r>
          </w:p>
        </w:tc>
        <w:tc>
          <w:tcPr>
            <w:tcW w:w="1503" w:type="dxa"/>
          </w:tcPr>
          <w:p w:rsidR="000666B1" w:rsidRPr="0023686E" w:rsidRDefault="0023686E" w:rsidP="007E6F21">
            <w:pPr>
              <w:pStyle w:val="Tabletext"/>
              <w:keepNext/>
              <w:jc w:val="center"/>
              <w:rPr>
                <w:highlight w:val="black"/>
              </w:rPr>
            </w:pPr>
            <w:r>
              <w:rPr>
                <w:noProof/>
                <w:color w:val="000000"/>
                <w:highlight w:val="black"/>
              </w:rPr>
              <w:t>''''''''''''</w:t>
            </w:r>
          </w:p>
          <w:p w:rsidR="000666B1" w:rsidRPr="007579E2" w:rsidRDefault="000666B1" w:rsidP="007E6F21">
            <w:pPr>
              <w:pStyle w:val="Tabletext"/>
              <w:keepNext/>
              <w:jc w:val="center"/>
            </w:pPr>
            <w:r w:rsidRPr="007579E2">
              <w:t>(</w:t>
            </w:r>
            <w:r w:rsidR="0023686E">
              <w:rPr>
                <w:noProof/>
                <w:color w:val="000000"/>
                <w:highlight w:val="black"/>
              </w:rPr>
              <w:t>''''''''''''''</w:t>
            </w:r>
            <w:r w:rsidRPr="007579E2">
              <w:t xml:space="preserve">, </w:t>
            </w:r>
            <w:r w:rsidR="0023686E">
              <w:rPr>
                <w:noProof/>
                <w:color w:val="000000"/>
                <w:highlight w:val="black"/>
              </w:rPr>
              <w:t>''''''''''</w:t>
            </w:r>
            <w:r w:rsidRPr="007579E2">
              <w:t>)</w:t>
            </w:r>
          </w:p>
        </w:tc>
      </w:tr>
      <w:tr w:rsidR="000666B1" w:rsidRPr="007579E2" w:rsidTr="00BC1636">
        <w:trPr>
          <w:cantSplit/>
          <w:trHeight w:val="244"/>
        </w:trPr>
        <w:tc>
          <w:tcPr>
            <w:tcW w:w="1502" w:type="dxa"/>
            <w:vAlign w:val="center"/>
          </w:tcPr>
          <w:p w:rsidR="000666B1" w:rsidRPr="007579E2" w:rsidRDefault="000666B1" w:rsidP="007E6F21">
            <w:pPr>
              <w:pStyle w:val="Tabletext"/>
              <w:keepNext/>
            </w:pPr>
            <w:r w:rsidRPr="007579E2">
              <w:t>Month 18</w:t>
            </w:r>
          </w:p>
        </w:tc>
        <w:tc>
          <w:tcPr>
            <w:tcW w:w="118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19"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15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48"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 xml:space="preserve">'''''''''' </w:t>
            </w:r>
            <w:r w:rsidR="000666B1" w:rsidRPr="007579E2">
              <w:t>(</w:t>
            </w:r>
            <w:r>
              <w:rPr>
                <w:noProof/>
                <w:color w:val="000000"/>
                <w:highlight w:val="black"/>
              </w:rPr>
              <w:t>''''''''''</w:t>
            </w:r>
            <w:r w:rsidR="000666B1" w:rsidRPr="007579E2">
              <w:t>)</w:t>
            </w:r>
          </w:p>
        </w:tc>
        <w:tc>
          <w:tcPr>
            <w:tcW w:w="1503" w:type="dxa"/>
          </w:tcPr>
          <w:p w:rsidR="000666B1" w:rsidRPr="0023686E" w:rsidRDefault="0023686E" w:rsidP="007E6F21">
            <w:pPr>
              <w:pStyle w:val="Tabletext"/>
              <w:keepNext/>
              <w:jc w:val="center"/>
              <w:rPr>
                <w:highlight w:val="black"/>
              </w:rPr>
            </w:pPr>
            <w:r>
              <w:rPr>
                <w:noProof/>
                <w:color w:val="000000"/>
                <w:highlight w:val="black"/>
              </w:rPr>
              <w:t>''''''''''''</w:t>
            </w:r>
          </w:p>
          <w:p w:rsidR="000666B1" w:rsidRPr="007579E2" w:rsidRDefault="000666B1" w:rsidP="007E6F21">
            <w:pPr>
              <w:pStyle w:val="Tabletext"/>
              <w:keepNext/>
              <w:jc w:val="center"/>
            </w:pPr>
            <w:r w:rsidRPr="007579E2">
              <w:t>(</w:t>
            </w:r>
            <w:r w:rsidR="0023686E">
              <w:rPr>
                <w:noProof/>
                <w:color w:val="000000"/>
                <w:highlight w:val="black"/>
              </w:rPr>
              <w:t>''''''''''''</w:t>
            </w:r>
            <w:r w:rsidRPr="007579E2">
              <w:t xml:space="preserve">, </w:t>
            </w:r>
            <w:r w:rsidR="0023686E">
              <w:rPr>
                <w:noProof/>
                <w:color w:val="000000"/>
                <w:highlight w:val="black"/>
              </w:rPr>
              <w:t>'''''''''''</w:t>
            </w:r>
            <w:r w:rsidRPr="007579E2">
              <w:t>)</w:t>
            </w:r>
          </w:p>
        </w:tc>
      </w:tr>
      <w:tr w:rsidR="000666B1" w:rsidRPr="007579E2" w:rsidTr="00BC1636">
        <w:trPr>
          <w:cantSplit/>
          <w:trHeight w:val="244"/>
        </w:trPr>
        <w:tc>
          <w:tcPr>
            <w:tcW w:w="1502" w:type="dxa"/>
            <w:vAlign w:val="center"/>
          </w:tcPr>
          <w:p w:rsidR="000666B1" w:rsidRPr="007579E2" w:rsidRDefault="000666B1" w:rsidP="007E6F21">
            <w:pPr>
              <w:pStyle w:val="Tabletext"/>
              <w:keepNext/>
            </w:pPr>
            <w:r w:rsidRPr="007579E2">
              <w:t>Month 24</w:t>
            </w:r>
          </w:p>
        </w:tc>
        <w:tc>
          <w:tcPr>
            <w:tcW w:w="118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19"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15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48"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 xml:space="preserve">''''''''''' </w:t>
            </w:r>
            <w:r w:rsidR="000666B1" w:rsidRPr="007579E2">
              <w:t>(</w:t>
            </w:r>
            <w:r>
              <w:rPr>
                <w:noProof/>
                <w:color w:val="000000"/>
                <w:highlight w:val="black"/>
              </w:rPr>
              <w:t>''''''''''</w:t>
            </w:r>
            <w:r w:rsidR="000666B1" w:rsidRPr="007579E2">
              <w:t>)</w:t>
            </w:r>
          </w:p>
        </w:tc>
        <w:tc>
          <w:tcPr>
            <w:tcW w:w="1503" w:type="dxa"/>
          </w:tcPr>
          <w:p w:rsidR="000666B1" w:rsidRPr="0023686E" w:rsidRDefault="0023686E" w:rsidP="007E6F21">
            <w:pPr>
              <w:pStyle w:val="Tabletext"/>
              <w:keepNext/>
              <w:jc w:val="center"/>
              <w:rPr>
                <w:highlight w:val="black"/>
              </w:rPr>
            </w:pPr>
            <w:r>
              <w:rPr>
                <w:noProof/>
                <w:color w:val="000000"/>
                <w:highlight w:val="black"/>
              </w:rPr>
              <w:t>'''''''''''''</w:t>
            </w:r>
          </w:p>
          <w:p w:rsidR="000666B1" w:rsidRPr="007579E2" w:rsidRDefault="000666B1" w:rsidP="007E6F21">
            <w:pPr>
              <w:pStyle w:val="Tabletext"/>
              <w:keepNext/>
              <w:jc w:val="center"/>
            </w:pPr>
            <w:r w:rsidRPr="007579E2">
              <w:t>(</w:t>
            </w:r>
            <w:r w:rsidR="0023686E">
              <w:rPr>
                <w:noProof/>
                <w:color w:val="000000"/>
                <w:highlight w:val="black"/>
              </w:rPr>
              <w:t>'''''''''''</w:t>
            </w:r>
            <w:r w:rsidRPr="007579E2">
              <w:t xml:space="preserve">, </w:t>
            </w:r>
            <w:r w:rsidR="0023686E">
              <w:rPr>
                <w:noProof/>
                <w:color w:val="000000"/>
                <w:highlight w:val="black"/>
              </w:rPr>
              <w:t>''''''''''</w:t>
            </w:r>
            <w:r w:rsidRPr="007579E2">
              <w:t>)</w:t>
            </w:r>
          </w:p>
        </w:tc>
      </w:tr>
      <w:tr w:rsidR="000666B1" w:rsidRPr="007579E2" w:rsidTr="00BC1636">
        <w:trPr>
          <w:cantSplit/>
          <w:trHeight w:val="244"/>
        </w:trPr>
        <w:tc>
          <w:tcPr>
            <w:tcW w:w="1502" w:type="dxa"/>
            <w:vAlign w:val="center"/>
          </w:tcPr>
          <w:p w:rsidR="000666B1" w:rsidRPr="007579E2" w:rsidRDefault="000666B1" w:rsidP="007E6F21">
            <w:pPr>
              <w:pStyle w:val="Tabletext"/>
              <w:keepNext/>
            </w:pPr>
            <w:r w:rsidRPr="007579E2">
              <w:t>Month 30</w:t>
            </w:r>
          </w:p>
        </w:tc>
        <w:tc>
          <w:tcPr>
            <w:tcW w:w="118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19"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15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48"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 xml:space="preserve">'''''''''' </w:t>
            </w:r>
            <w:r w:rsidR="000666B1" w:rsidRPr="007579E2">
              <w:t>(</w:t>
            </w:r>
            <w:r>
              <w:rPr>
                <w:noProof/>
                <w:color w:val="000000"/>
                <w:highlight w:val="black"/>
              </w:rPr>
              <w:t>'''''''''''</w:t>
            </w:r>
            <w:r w:rsidR="000666B1" w:rsidRPr="007579E2">
              <w:t>)</w:t>
            </w:r>
          </w:p>
        </w:tc>
        <w:tc>
          <w:tcPr>
            <w:tcW w:w="1503" w:type="dxa"/>
          </w:tcPr>
          <w:p w:rsidR="000666B1" w:rsidRPr="0023686E" w:rsidRDefault="0023686E" w:rsidP="007E6F21">
            <w:pPr>
              <w:pStyle w:val="Tabletext"/>
              <w:keepNext/>
              <w:jc w:val="center"/>
              <w:rPr>
                <w:highlight w:val="black"/>
              </w:rPr>
            </w:pPr>
            <w:r>
              <w:rPr>
                <w:noProof/>
                <w:color w:val="000000"/>
                <w:highlight w:val="black"/>
              </w:rPr>
              <w:t>''''''''''</w:t>
            </w:r>
          </w:p>
          <w:p w:rsidR="000666B1" w:rsidRPr="007579E2" w:rsidRDefault="000666B1" w:rsidP="007E6F21">
            <w:pPr>
              <w:pStyle w:val="Tabletext"/>
              <w:keepNext/>
              <w:jc w:val="center"/>
            </w:pPr>
            <w:r w:rsidRPr="007579E2">
              <w:t>(</w:t>
            </w:r>
            <w:r w:rsidR="0023686E">
              <w:rPr>
                <w:noProof/>
                <w:color w:val="000000"/>
                <w:highlight w:val="black"/>
              </w:rPr>
              <w:t>''''''''''''</w:t>
            </w:r>
            <w:r w:rsidRPr="007579E2">
              <w:t xml:space="preserve">, </w:t>
            </w:r>
            <w:r w:rsidR="0023686E">
              <w:rPr>
                <w:noProof/>
                <w:color w:val="000000"/>
                <w:highlight w:val="black"/>
              </w:rPr>
              <w:t>'''''''''''</w:t>
            </w:r>
            <w:r w:rsidRPr="007579E2">
              <w:t>)</w:t>
            </w:r>
          </w:p>
        </w:tc>
      </w:tr>
      <w:tr w:rsidR="000666B1" w:rsidRPr="007579E2" w:rsidTr="00BC1636">
        <w:trPr>
          <w:cantSplit/>
          <w:trHeight w:val="244"/>
        </w:trPr>
        <w:tc>
          <w:tcPr>
            <w:tcW w:w="1502" w:type="dxa"/>
            <w:vAlign w:val="center"/>
          </w:tcPr>
          <w:p w:rsidR="000666B1" w:rsidRPr="007579E2" w:rsidRDefault="000666B1" w:rsidP="007E6F21">
            <w:pPr>
              <w:pStyle w:val="Tabletext"/>
              <w:keepNext/>
            </w:pPr>
            <w:r w:rsidRPr="007579E2">
              <w:t>Month 36</w:t>
            </w:r>
          </w:p>
        </w:tc>
        <w:tc>
          <w:tcPr>
            <w:tcW w:w="118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19"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15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48"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 xml:space="preserve">''''''''''' </w:t>
            </w:r>
            <w:r w:rsidR="000666B1" w:rsidRPr="007579E2">
              <w:t>(</w:t>
            </w:r>
            <w:r>
              <w:rPr>
                <w:noProof/>
                <w:color w:val="000000"/>
                <w:highlight w:val="black"/>
              </w:rPr>
              <w:t>'''''''''''</w:t>
            </w:r>
            <w:r w:rsidR="000666B1" w:rsidRPr="007579E2">
              <w:t>)</w:t>
            </w:r>
          </w:p>
        </w:tc>
        <w:tc>
          <w:tcPr>
            <w:tcW w:w="1503" w:type="dxa"/>
          </w:tcPr>
          <w:p w:rsidR="000666B1" w:rsidRPr="0023686E" w:rsidRDefault="0023686E" w:rsidP="007E6F21">
            <w:pPr>
              <w:pStyle w:val="Tabletext"/>
              <w:keepNext/>
              <w:jc w:val="center"/>
              <w:rPr>
                <w:highlight w:val="black"/>
              </w:rPr>
            </w:pPr>
            <w:r>
              <w:rPr>
                <w:noProof/>
                <w:color w:val="000000"/>
                <w:highlight w:val="black"/>
              </w:rPr>
              <w:t>''''''''''</w:t>
            </w:r>
          </w:p>
          <w:p w:rsidR="000666B1" w:rsidRPr="007579E2" w:rsidRDefault="000666B1" w:rsidP="007E6F21">
            <w:pPr>
              <w:pStyle w:val="Tabletext"/>
              <w:keepNext/>
              <w:jc w:val="center"/>
            </w:pPr>
            <w:r w:rsidRPr="007579E2">
              <w:t>(</w:t>
            </w:r>
            <w:r w:rsidR="0023686E">
              <w:rPr>
                <w:noProof/>
                <w:color w:val="000000"/>
                <w:highlight w:val="black"/>
              </w:rPr>
              <w:t>'''''''''''''</w:t>
            </w:r>
            <w:r w:rsidRPr="007579E2">
              <w:t xml:space="preserve">, </w:t>
            </w:r>
            <w:r w:rsidR="0023686E">
              <w:rPr>
                <w:noProof/>
                <w:color w:val="000000"/>
                <w:highlight w:val="black"/>
              </w:rPr>
              <w:t>''''''''''''</w:t>
            </w:r>
            <w:r w:rsidRPr="007579E2">
              <w:t>)</w:t>
            </w:r>
          </w:p>
        </w:tc>
      </w:tr>
      <w:tr w:rsidR="000666B1" w:rsidRPr="007579E2" w:rsidTr="00BC1636">
        <w:trPr>
          <w:cantSplit/>
          <w:trHeight w:val="244"/>
        </w:trPr>
        <w:tc>
          <w:tcPr>
            <w:tcW w:w="1502" w:type="dxa"/>
            <w:vAlign w:val="center"/>
          </w:tcPr>
          <w:p w:rsidR="000666B1" w:rsidRPr="007579E2" w:rsidRDefault="000666B1" w:rsidP="007E6F21">
            <w:pPr>
              <w:pStyle w:val="Tabletext"/>
              <w:keepNext/>
            </w:pPr>
            <w:r w:rsidRPr="007579E2">
              <w:t>Month 42</w:t>
            </w:r>
          </w:p>
        </w:tc>
        <w:tc>
          <w:tcPr>
            <w:tcW w:w="118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19"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15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48"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 xml:space="preserve">'''''''''' </w:t>
            </w:r>
            <w:r w:rsidR="000666B1" w:rsidRPr="007579E2">
              <w:t>(</w:t>
            </w:r>
            <w:r>
              <w:rPr>
                <w:noProof/>
                <w:color w:val="000000"/>
                <w:highlight w:val="black"/>
              </w:rPr>
              <w:t>''''''''''</w:t>
            </w:r>
            <w:r w:rsidR="000666B1" w:rsidRPr="007579E2">
              <w:t>)</w:t>
            </w:r>
          </w:p>
        </w:tc>
        <w:tc>
          <w:tcPr>
            <w:tcW w:w="1503" w:type="dxa"/>
          </w:tcPr>
          <w:p w:rsidR="000666B1" w:rsidRPr="0023686E" w:rsidRDefault="0023686E" w:rsidP="007E6F21">
            <w:pPr>
              <w:pStyle w:val="Tabletext"/>
              <w:keepNext/>
              <w:jc w:val="center"/>
              <w:rPr>
                <w:highlight w:val="black"/>
              </w:rPr>
            </w:pPr>
            <w:r>
              <w:rPr>
                <w:noProof/>
                <w:color w:val="000000"/>
                <w:highlight w:val="black"/>
              </w:rPr>
              <w:t>'''''''''''''</w:t>
            </w:r>
          </w:p>
          <w:p w:rsidR="000666B1" w:rsidRPr="007579E2" w:rsidRDefault="000666B1" w:rsidP="007E6F21">
            <w:pPr>
              <w:pStyle w:val="Tabletext"/>
              <w:keepNext/>
              <w:jc w:val="center"/>
            </w:pPr>
            <w:r w:rsidRPr="007579E2">
              <w:t>(</w:t>
            </w:r>
            <w:r w:rsidR="0023686E">
              <w:rPr>
                <w:noProof/>
                <w:color w:val="000000"/>
                <w:highlight w:val="black"/>
              </w:rPr>
              <w:t>''''''''''''</w:t>
            </w:r>
            <w:r w:rsidRPr="007579E2">
              <w:t xml:space="preserve">, </w:t>
            </w:r>
            <w:r w:rsidR="0023686E">
              <w:rPr>
                <w:noProof/>
                <w:color w:val="000000"/>
                <w:highlight w:val="black"/>
              </w:rPr>
              <w:t>''''''''''</w:t>
            </w:r>
            <w:r w:rsidRPr="007579E2">
              <w:t>)</w:t>
            </w:r>
          </w:p>
        </w:tc>
      </w:tr>
      <w:tr w:rsidR="000666B1" w:rsidRPr="007579E2" w:rsidTr="00BC1636">
        <w:trPr>
          <w:cantSplit/>
          <w:trHeight w:val="244"/>
        </w:trPr>
        <w:tc>
          <w:tcPr>
            <w:tcW w:w="1502" w:type="dxa"/>
            <w:vAlign w:val="center"/>
          </w:tcPr>
          <w:p w:rsidR="000666B1" w:rsidRPr="007579E2" w:rsidRDefault="000666B1" w:rsidP="007E6F21">
            <w:pPr>
              <w:pStyle w:val="Tabletext"/>
              <w:keepNext/>
            </w:pPr>
            <w:r w:rsidRPr="007579E2">
              <w:t>Month 48</w:t>
            </w:r>
          </w:p>
        </w:tc>
        <w:tc>
          <w:tcPr>
            <w:tcW w:w="118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19"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15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48"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 xml:space="preserve">''''''''''' </w:t>
            </w:r>
            <w:r w:rsidR="000666B1" w:rsidRPr="007579E2">
              <w:t>(</w:t>
            </w:r>
            <w:r>
              <w:rPr>
                <w:noProof/>
                <w:color w:val="000000"/>
                <w:highlight w:val="black"/>
              </w:rPr>
              <w:t>''''''''''</w:t>
            </w:r>
            <w:r w:rsidR="000666B1" w:rsidRPr="007579E2">
              <w:t>)</w:t>
            </w:r>
          </w:p>
        </w:tc>
        <w:tc>
          <w:tcPr>
            <w:tcW w:w="1503" w:type="dxa"/>
          </w:tcPr>
          <w:p w:rsidR="000666B1" w:rsidRPr="0023686E" w:rsidRDefault="0023686E" w:rsidP="007E6F21">
            <w:pPr>
              <w:pStyle w:val="Tabletext"/>
              <w:keepNext/>
              <w:jc w:val="center"/>
              <w:rPr>
                <w:highlight w:val="black"/>
              </w:rPr>
            </w:pPr>
            <w:r>
              <w:rPr>
                <w:noProof/>
                <w:color w:val="000000"/>
                <w:highlight w:val="black"/>
              </w:rPr>
              <w:t>'''''''''''''</w:t>
            </w:r>
          </w:p>
          <w:p w:rsidR="000666B1" w:rsidRPr="007579E2" w:rsidRDefault="000666B1" w:rsidP="007E6F21">
            <w:pPr>
              <w:pStyle w:val="Tabletext"/>
              <w:keepNext/>
              <w:jc w:val="center"/>
            </w:pPr>
            <w:r w:rsidRPr="007579E2">
              <w:t>(</w:t>
            </w:r>
            <w:r w:rsidR="0023686E">
              <w:rPr>
                <w:noProof/>
                <w:color w:val="000000"/>
                <w:highlight w:val="black"/>
              </w:rPr>
              <w:t>'''''''''''''</w:t>
            </w:r>
            <w:r w:rsidRPr="007579E2">
              <w:t xml:space="preserve">, </w:t>
            </w:r>
            <w:r w:rsidR="0023686E">
              <w:rPr>
                <w:noProof/>
                <w:color w:val="000000"/>
                <w:highlight w:val="black"/>
              </w:rPr>
              <w:t>''''''''''</w:t>
            </w:r>
            <w:r w:rsidRPr="007579E2">
              <w:t>)</w:t>
            </w:r>
          </w:p>
        </w:tc>
      </w:tr>
      <w:tr w:rsidR="000666B1" w:rsidRPr="007579E2" w:rsidTr="00BC1636">
        <w:trPr>
          <w:cantSplit/>
          <w:trHeight w:val="244"/>
        </w:trPr>
        <w:tc>
          <w:tcPr>
            <w:tcW w:w="1502" w:type="dxa"/>
            <w:vAlign w:val="center"/>
          </w:tcPr>
          <w:p w:rsidR="000666B1" w:rsidRPr="007579E2" w:rsidRDefault="000666B1" w:rsidP="007E6F21">
            <w:pPr>
              <w:pStyle w:val="Tabletext"/>
              <w:keepNext/>
            </w:pPr>
            <w:r w:rsidRPr="007579E2">
              <w:t>Month 54</w:t>
            </w:r>
          </w:p>
        </w:tc>
        <w:tc>
          <w:tcPr>
            <w:tcW w:w="118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19" w:type="dxa"/>
            <w:vAlign w:val="center"/>
          </w:tcPr>
          <w:p w:rsidR="000666B1" w:rsidRPr="0023686E" w:rsidRDefault="0023686E" w:rsidP="007E6F21">
            <w:pPr>
              <w:pStyle w:val="Tabletext"/>
              <w:keepNext/>
              <w:jc w:val="center"/>
              <w:rPr>
                <w:highlight w:val="black"/>
              </w:rPr>
            </w:pPr>
            <w:r>
              <w:rPr>
                <w:noProof/>
                <w:color w:val="000000"/>
                <w:highlight w:val="black"/>
              </w:rPr>
              <w:t>''''''''</w:t>
            </w:r>
          </w:p>
        </w:tc>
        <w:tc>
          <w:tcPr>
            <w:tcW w:w="1157" w:type="dxa"/>
          </w:tcPr>
          <w:p w:rsidR="000666B1" w:rsidRPr="007579E2" w:rsidRDefault="000666B1" w:rsidP="007E6F21">
            <w:pPr>
              <w:pStyle w:val="Tabletext"/>
              <w:keepNext/>
              <w:jc w:val="center"/>
            </w:pPr>
            <w:r w:rsidRPr="007579E2">
              <w:t xml:space="preserve">N = </w:t>
            </w:r>
            <w:r w:rsidR="0023686E">
              <w:rPr>
                <w:noProof/>
                <w:color w:val="000000"/>
                <w:highlight w:val="black"/>
              </w:rPr>
              <w:t>''''</w:t>
            </w:r>
          </w:p>
          <w:p w:rsidR="000666B1" w:rsidRPr="007579E2" w:rsidRDefault="0023686E" w:rsidP="007E6F21">
            <w:pPr>
              <w:pStyle w:val="Tabletext"/>
              <w:keepNext/>
              <w:jc w:val="center"/>
            </w:pPr>
            <w:r>
              <w:rPr>
                <w:noProof/>
                <w:color w:val="000000"/>
                <w:highlight w:val="black"/>
              </w:rPr>
              <w:t>''''''''''</w:t>
            </w:r>
            <w:r w:rsidR="000666B1" w:rsidRPr="007579E2">
              <w:t xml:space="preserve"> (</w:t>
            </w:r>
            <w:r>
              <w:rPr>
                <w:noProof/>
                <w:color w:val="000000"/>
                <w:highlight w:val="black"/>
              </w:rPr>
              <w:t>'''''''''''</w:t>
            </w:r>
            <w:r w:rsidR="000666B1" w:rsidRPr="007579E2">
              <w:t>)</w:t>
            </w:r>
          </w:p>
        </w:tc>
        <w:tc>
          <w:tcPr>
            <w:tcW w:w="1848" w:type="dxa"/>
            <w:vAlign w:val="center"/>
          </w:tcPr>
          <w:p w:rsidR="000666B1" w:rsidRPr="0023686E" w:rsidRDefault="0023686E" w:rsidP="007E6F21">
            <w:pPr>
              <w:pStyle w:val="Tabletext"/>
              <w:keepNext/>
              <w:jc w:val="center"/>
              <w:rPr>
                <w:highlight w:val="black"/>
              </w:rPr>
            </w:pPr>
            <w:r>
              <w:rPr>
                <w:noProof/>
                <w:color w:val="000000"/>
                <w:highlight w:val="black"/>
              </w:rPr>
              <w:t>'''''''''</w:t>
            </w:r>
          </w:p>
        </w:tc>
        <w:tc>
          <w:tcPr>
            <w:tcW w:w="1503" w:type="dxa"/>
            <w:vAlign w:val="center"/>
          </w:tcPr>
          <w:p w:rsidR="000666B1" w:rsidRPr="007579E2" w:rsidRDefault="000666B1" w:rsidP="007E6F21">
            <w:pPr>
              <w:pStyle w:val="Tabletext"/>
              <w:keepNext/>
              <w:jc w:val="center"/>
            </w:pPr>
            <w:r w:rsidRPr="007579E2">
              <w:t>-</w:t>
            </w:r>
          </w:p>
        </w:tc>
      </w:tr>
    </w:tbl>
    <w:p w:rsidR="00C37E5C" w:rsidRPr="007579E2" w:rsidRDefault="00C37E5C" w:rsidP="007E6F21">
      <w:pPr>
        <w:widowControl/>
        <w:rPr>
          <w:rFonts w:ascii="Arial Narrow" w:hAnsi="Arial Narrow"/>
          <w:sz w:val="18"/>
          <w:szCs w:val="18"/>
        </w:rPr>
      </w:pPr>
      <w:r w:rsidRPr="007579E2">
        <w:rPr>
          <w:rFonts w:ascii="Arial Narrow" w:hAnsi="Arial Narrow"/>
          <w:sz w:val="18"/>
          <w:szCs w:val="18"/>
        </w:rPr>
        <w:t>CI</w:t>
      </w:r>
      <w:r w:rsidR="000B1BDB" w:rsidRPr="007579E2">
        <w:rPr>
          <w:rFonts w:ascii="Arial Narrow" w:hAnsi="Arial Narrow"/>
          <w:sz w:val="18"/>
          <w:szCs w:val="18"/>
        </w:rPr>
        <w:t xml:space="preserve"> </w:t>
      </w:r>
      <w:r w:rsidRPr="007579E2">
        <w:rPr>
          <w:rFonts w:ascii="Arial Narrow" w:hAnsi="Arial Narrow"/>
          <w:sz w:val="18"/>
          <w:szCs w:val="18"/>
        </w:rPr>
        <w:t>=</w:t>
      </w:r>
      <w:r w:rsidR="000B1BDB" w:rsidRPr="007579E2">
        <w:rPr>
          <w:rFonts w:ascii="Arial Narrow" w:hAnsi="Arial Narrow"/>
          <w:sz w:val="18"/>
          <w:szCs w:val="18"/>
        </w:rPr>
        <w:t xml:space="preserve"> </w:t>
      </w:r>
      <w:r w:rsidRPr="007579E2">
        <w:rPr>
          <w:rFonts w:ascii="Arial Narrow" w:hAnsi="Arial Narrow"/>
          <w:sz w:val="18"/>
          <w:szCs w:val="18"/>
        </w:rPr>
        <w:t>confidence interval; NR</w:t>
      </w:r>
      <w:r w:rsidR="000B1BDB" w:rsidRPr="007579E2">
        <w:rPr>
          <w:rFonts w:ascii="Arial Narrow" w:hAnsi="Arial Narrow"/>
          <w:sz w:val="18"/>
          <w:szCs w:val="18"/>
        </w:rPr>
        <w:t xml:space="preserve"> </w:t>
      </w:r>
      <w:r w:rsidRPr="007579E2">
        <w:rPr>
          <w:rFonts w:ascii="Arial Narrow" w:hAnsi="Arial Narrow"/>
          <w:sz w:val="18"/>
          <w:szCs w:val="18"/>
        </w:rPr>
        <w:t>=</w:t>
      </w:r>
      <w:r w:rsidR="000B1BDB" w:rsidRPr="007579E2">
        <w:rPr>
          <w:rFonts w:ascii="Arial Narrow" w:hAnsi="Arial Narrow"/>
          <w:sz w:val="18"/>
          <w:szCs w:val="18"/>
        </w:rPr>
        <w:t xml:space="preserve"> </w:t>
      </w:r>
      <w:r w:rsidRPr="007579E2">
        <w:rPr>
          <w:rFonts w:ascii="Arial Narrow" w:hAnsi="Arial Narrow"/>
          <w:sz w:val="18"/>
          <w:szCs w:val="18"/>
        </w:rPr>
        <w:t xml:space="preserve">not reported; </w:t>
      </w:r>
      <w:r w:rsidRPr="007579E2">
        <w:rPr>
          <w:rFonts w:ascii="Arial Narrow" w:eastAsiaTheme="minorHAnsi" w:hAnsi="Arial Narrow" w:cstheme="minorBidi"/>
          <w:snapToGrid/>
          <w:sz w:val="18"/>
          <w:szCs w:val="18"/>
        </w:rPr>
        <w:t>N</w:t>
      </w:r>
      <w:r w:rsidR="000B1BDB" w:rsidRPr="007579E2">
        <w:rPr>
          <w:rFonts w:ascii="Arial Narrow" w:eastAsiaTheme="minorHAnsi" w:hAnsi="Arial Narrow" w:cstheme="minorBidi"/>
          <w:snapToGrid/>
          <w:sz w:val="18"/>
          <w:szCs w:val="18"/>
        </w:rPr>
        <w:t xml:space="preserve"> </w:t>
      </w:r>
      <w:r w:rsidRPr="007579E2">
        <w:rPr>
          <w:rFonts w:ascii="Arial Narrow" w:eastAsiaTheme="minorHAnsi" w:hAnsi="Arial Narrow" w:cstheme="minorBidi"/>
          <w:snapToGrid/>
          <w:sz w:val="18"/>
          <w:szCs w:val="18"/>
        </w:rPr>
        <w:t>=</w:t>
      </w:r>
      <w:r w:rsidR="000B1BDB" w:rsidRPr="007579E2">
        <w:rPr>
          <w:rFonts w:ascii="Arial Narrow" w:eastAsiaTheme="minorHAnsi" w:hAnsi="Arial Narrow" w:cstheme="minorBidi"/>
          <w:snapToGrid/>
          <w:sz w:val="18"/>
          <w:szCs w:val="18"/>
        </w:rPr>
        <w:t xml:space="preserve"> </w:t>
      </w:r>
      <w:r w:rsidRPr="007579E2">
        <w:rPr>
          <w:rFonts w:ascii="Arial Narrow" w:eastAsiaTheme="minorHAnsi" w:hAnsi="Arial Narrow" w:cstheme="minorBidi"/>
          <w:snapToGrid/>
          <w:sz w:val="18"/>
          <w:szCs w:val="18"/>
        </w:rPr>
        <w:t>represents the corresponding number of subjects with non-missing utility score at each time point</w:t>
      </w:r>
      <w:r w:rsidR="00E27E17" w:rsidRPr="007579E2">
        <w:rPr>
          <w:rFonts w:ascii="Arial Narrow" w:eastAsiaTheme="minorHAnsi" w:hAnsi="Arial Narrow" w:cstheme="minorBidi"/>
          <w:snapToGrid/>
          <w:sz w:val="18"/>
          <w:szCs w:val="18"/>
        </w:rPr>
        <w:t>;</w:t>
      </w:r>
      <w:r w:rsidRPr="007579E2">
        <w:rPr>
          <w:rFonts w:ascii="Arial Narrow" w:eastAsiaTheme="minorHAnsi" w:hAnsi="Arial Narrow" w:cstheme="minorBidi"/>
          <w:snapToGrid/>
          <w:sz w:val="18"/>
          <w:szCs w:val="18"/>
        </w:rPr>
        <w:t xml:space="preserve"> </w:t>
      </w:r>
      <w:r w:rsidR="000B1BDB" w:rsidRPr="007579E2">
        <w:rPr>
          <w:rFonts w:ascii="Arial Narrow" w:eastAsiaTheme="minorHAnsi" w:hAnsi="Arial Narrow" w:cstheme="minorBidi"/>
          <w:snapToGrid/>
          <w:sz w:val="18"/>
          <w:szCs w:val="18"/>
        </w:rPr>
        <w:t xml:space="preserve">n </w:t>
      </w:r>
      <w:r w:rsidRPr="007579E2">
        <w:rPr>
          <w:rFonts w:ascii="Arial Narrow" w:eastAsiaTheme="minorHAnsi" w:hAnsi="Arial Narrow" w:cstheme="minorBidi"/>
          <w:snapToGrid/>
          <w:sz w:val="18"/>
          <w:szCs w:val="18"/>
        </w:rPr>
        <w:t xml:space="preserve">=represents the corresponding number of subjects with all available covariates at each time point; </w:t>
      </w:r>
      <w:r w:rsidRPr="007579E2">
        <w:rPr>
          <w:rFonts w:ascii="Arial Narrow" w:hAnsi="Arial Narrow"/>
          <w:sz w:val="18"/>
          <w:szCs w:val="18"/>
        </w:rPr>
        <w:t>SE</w:t>
      </w:r>
      <w:r w:rsidR="000B1BDB" w:rsidRPr="007579E2">
        <w:rPr>
          <w:rFonts w:ascii="Arial Narrow" w:hAnsi="Arial Narrow"/>
          <w:sz w:val="18"/>
          <w:szCs w:val="18"/>
        </w:rPr>
        <w:t xml:space="preserve"> </w:t>
      </w:r>
      <w:r w:rsidRPr="007579E2">
        <w:rPr>
          <w:rFonts w:ascii="Arial Narrow" w:hAnsi="Arial Narrow"/>
          <w:sz w:val="18"/>
          <w:szCs w:val="18"/>
        </w:rPr>
        <w:t>=</w:t>
      </w:r>
      <w:r w:rsidR="000B1BDB" w:rsidRPr="007579E2">
        <w:rPr>
          <w:rFonts w:ascii="Arial Narrow" w:hAnsi="Arial Narrow"/>
          <w:sz w:val="18"/>
          <w:szCs w:val="18"/>
        </w:rPr>
        <w:t xml:space="preserve"> </w:t>
      </w:r>
      <w:r w:rsidRPr="007579E2">
        <w:rPr>
          <w:rFonts w:ascii="Arial Narrow" w:hAnsi="Arial Narrow"/>
          <w:sz w:val="18"/>
          <w:szCs w:val="18"/>
        </w:rPr>
        <w:t>standard error</w:t>
      </w:r>
    </w:p>
    <w:p w:rsidR="00C37E5C" w:rsidRPr="007579E2" w:rsidRDefault="00F54254" w:rsidP="007E6F21">
      <w:pPr>
        <w:widowControl/>
        <w:rPr>
          <w:rFonts w:ascii="Arial Narrow" w:eastAsiaTheme="minorHAnsi" w:hAnsi="Arial Narrow" w:cstheme="minorBidi"/>
          <w:snapToGrid/>
          <w:sz w:val="18"/>
          <w:szCs w:val="18"/>
        </w:rPr>
      </w:pPr>
      <w:r w:rsidRPr="007579E2">
        <w:rPr>
          <w:rFonts w:ascii="Arial Narrow" w:eastAsiaTheme="minorHAnsi" w:hAnsi="Arial Narrow" w:cstheme="minorBidi"/>
          <w:snapToGrid/>
          <w:sz w:val="18"/>
          <w:szCs w:val="18"/>
        </w:rPr>
        <w:t xml:space="preserve">Note: </w:t>
      </w:r>
      <w:r w:rsidR="00C37E5C" w:rsidRPr="007579E2">
        <w:rPr>
          <w:rFonts w:ascii="Arial Narrow" w:eastAsiaTheme="minorHAnsi" w:hAnsi="Arial Narrow" w:cstheme="minorBidi"/>
          <w:snapToGrid/>
          <w:sz w:val="18"/>
          <w:szCs w:val="18"/>
        </w:rPr>
        <w:t xml:space="preserve">The analysis method was analysis of covariance adjusted for baseline score using mixed-model repeated measures with time, treatment, and baseline score by time interaction, and treatment by time interaction as fixed effects. Time was treated as the repeated variable within subject. An unstructured covariance matrix was used. Time points with n greater than or equal to 20 </w:t>
      </w:r>
      <w:r w:rsidR="00E27E17" w:rsidRPr="007579E2">
        <w:rPr>
          <w:rFonts w:ascii="Arial Narrow" w:eastAsiaTheme="minorHAnsi" w:hAnsi="Arial Narrow" w:cstheme="minorBidi"/>
          <w:snapToGrid/>
          <w:sz w:val="18"/>
          <w:szCs w:val="18"/>
        </w:rPr>
        <w:t xml:space="preserve">were </w:t>
      </w:r>
      <w:r w:rsidR="00C37E5C" w:rsidRPr="007579E2">
        <w:rPr>
          <w:rFonts w:ascii="Arial Narrow" w:eastAsiaTheme="minorHAnsi" w:hAnsi="Arial Narrow" w:cstheme="minorBidi"/>
          <w:snapToGrid/>
          <w:sz w:val="18"/>
          <w:szCs w:val="18"/>
        </w:rPr>
        <w:t xml:space="preserve">included in the model. </w:t>
      </w:r>
    </w:p>
    <w:p w:rsidR="00EF0171" w:rsidRPr="007579E2" w:rsidRDefault="00C37E5C" w:rsidP="007E6F21">
      <w:pPr>
        <w:widowControl/>
        <w:rPr>
          <w:rFonts w:ascii="Arial Narrow" w:hAnsi="Arial Narrow"/>
          <w:b/>
          <w:sz w:val="20"/>
          <w:szCs w:val="16"/>
        </w:rPr>
      </w:pPr>
      <w:r w:rsidRPr="007579E2">
        <w:rPr>
          <w:rFonts w:ascii="Arial Narrow" w:hAnsi="Arial Narrow"/>
          <w:sz w:val="18"/>
          <w:szCs w:val="18"/>
        </w:rPr>
        <w:t>Source: Table 2.5-6, p66 of the submission</w:t>
      </w:r>
    </w:p>
    <w:p w:rsidR="00FE70C3" w:rsidRPr="007579E2" w:rsidRDefault="00FE70C3" w:rsidP="00061E01">
      <w:pPr>
        <w:widowControl/>
        <w:spacing w:before="120" w:after="120"/>
        <w:rPr>
          <w:rStyle w:val="CommentReference"/>
          <w:b w:val="0"/>
        </w:rPr>
      </w:pPr>
    </w:p>
    <w:p w:rsidR="00472495" w:rsidRPr="007579E2" w:rsidRDefault="00472495" w:rsidP="00061E01">
      <w:pPr>
        <w:pStyle w:val="ListParagraph"/>
        <w:widowControl/>
        <w:numPr>
          <w:ilvl w:val="1"/>
          <w:numId w:val="2"/>
        </w:numPr>
        <w:spacing w:before="120"/>
      </w:pPr>
      <w:r w:rsidRPr="007579E2">
        <w:rPr>
          <w:rFonts w:cs="Calibri"/>
          <w:snapToGrid/>
          <w:szCs w:val="24"/>
          <w:lang w:eastAsia="en-AU"/>
        </w:rPr>
        <w:t>Quality of life (</w:t>
      </w:r>
      <w:proofErr w:type="spellStart"/>
      <w:r w:rsidRPr="007579E2">
        <w:rPr>
          <w:rFonts w:cs="Calibri"/>
          <w:snapToGrid/>
          <w:szCs w:val="24"/>
          <w:lang w:eastAsia="en-AU"/>
        </w:rPr>
        <w:t>QoL</w:t>
      </w:r>
      <w:proofErr w:type="spellEnd"/>
      <w:r w:rsidRPr="007579E2">
        <w:rPr>
          <w:rFonts w:cs="Calibri"/>
          <w:snapToGrid/>
          <w:szCs w:val="24"/>
          <w:lang w:eastAsia="en-AU"/>
        </w:rPr>
        <w:t xml:space="preserve">) data were collected from the </w:t>
      </w:r>
      <w:r w:rsidR="00201455" w:rsidRPr="007579E2">
        <w:rPr>
          <w:rFonts w:cs="Calibri"/>
          <w:snapToGrid/>
          <w:szCs w:val="24"/>
          <w:lang w:eastAsia="en-AU"/>
        </w:rPr>
        <w:t>intention-to-treat population</w:t>
      </w:r>
      <w:r w:rsidRPr="007579E2">
        <w:rPr>
          <w:rFonts w:cs="Calibri"/>
          <w:snapToGrid/>
          <w:szCs w:val="24"/>
          <w:lang w:eastAsia="en-AU"/>
        </w:rPr>
        <w:t xml:space="preserve">. </w:t>
      </w:r>
      <w:r w:rsidR="00987D74" w:rsidRPr="007579E2">
        <w:rPr>
          <w:rFonts w:cs="Calibri"/>
          <w:snapToGrid/>
          <w:szCs w:val="24"/>
          <w:lang w:eastAsia="en-AU"/>
        </w:rPr>
        <w:t>The ESC noted the</w:t>
      </w:r>
      <w:r w:rsidR="00DA5536" w:rsidRPr="007579E2">
        <w:rPr>
          <w:rFonts w:cs="Calibri"/>
          <w:snapToGrid/>
          <w:szCs w:val="24"/>
          <w:lang w:eastAsia="en-AU"/>
        </w:rPr>
        <w:t xml:space="preserve"> high </w:t>
      </w:r>
      <w:r w:rsidR="00987D74" w:rsidRPr="007579E2">
        <w:rPr>
          <w:rFonts w:cs="Calibri"/>
          <w:snapToGrid/>
          <w:szCs w:val="24"/>
          <w:lang w:eastAsia="en-AU"/>
        </w:rPr>
        <w:t xml:space="preserve">dropout rate </w:t>
      </w:r>
      <w:r w:rsidR="00AB59D5" w:rsidRPr="007579E2">
        <w:rPr>
          <w:rFonts w:cs="Calibri"/>
          <w:snapToGrid/>
          <w:szCs w:val="24"/>
          <w:lang w:eastAsia="en-AU"/>
        </w:rPr>
        <w:t xml:space="preserve">in both arms </w:t>
      </w:r>
      <w:r w:rsidR="00987D74" w:rsidRPr="007579E2">
        <w:rPr>
          <w:rFonts w:cs="Calibri"/>
          <w:snapToGrid/>
          <w:szCs w:val="24"/>
          <w:lang w:eastAsia="en-AU"/>
        </w:rPr>
        <w:t>(</w:t>
      </w:r>
      <w:r w:rsidR="00AB59D5" w:rsidRPr="007579E2">
        <w:rPr>
          <w:rFonts w:cs="Calibri"/>
          <w:snapToGrid/>
          <w:szCs w:val="24"/>
          <w:lang w:eastAsia="en-AU"/>
        </w:rPr>
        <w:t xml:space="preserve">N = 429 and 422 for the intervention and placebo arms respectively at baseline and </w:t>
      </w:r>
      <w:r w:rsidR="00987D74" w:rsidRPr="007579E2">
        <w:rPr>
          <w:rFonts w:cs="Calibri"/>
          <w:snapToGrid/>
          <w:szCs w:val="24"/>
          <w:lang w:eastAsia="en-AU"/>
        </w:rPr>
        <w:t>N</w:t>
      </w:r>
      <w:r w:rsidR="00AB59D5" w:rsidRPr="007579E2">
        <w:rPr>
          <w:rFonts w:cs="Calibri"/>
          <w:snapToGrid/>
          <w:szCs w:val="24"/>
          <w:lang w:eastAsia="en-AU"/>
        </w:rPr>
        <w:t xml:space="preserve"> </w:t>
      </w:r>
      <w:r w:rsidR="00987D74" w:rsidRPr="007579E2">
        <w:rPr>
          <w:rFonts w:cs="Calibri"/>
          <w:snapToGrid/>
          <w:szCs w:val="24"/>
          <w:lang w:eastAsia="en-AU"/>
        </w:rPr>
        <w:t>=</w:t>
      </w:r>
      <w:r w:rsidR="00AB59D5" w:rsidRPr="007579E2">
        <w:rPr>
          <w:rFonts w:cs="Calibri"/>
          <w:snapToGrid/>
          <w:szCs w:val="24"/>
          <w:lang w:eastAsia="en-AU"/>
        </w:rPr>
        <w:t xml:space="preserve"> </w:t>
      </w:r>
      <w:r w:rsidR="00987D74" w:rsidRPr="007579E2">
        <w:rPr>
          <w:rFonts w:cs="Calibri"/>
          <w:snapToGrid/>
          <w:szCs w:val="24"/>
          <w:lang w:eastAsia="en-AU"/>
        </w:rPr>
        <w:t xml:space="preserve">42 </w:t>
      </w:r>
      <w:r w:rsidR="00AB59D5" w:rsidRPr="007579E2">
        <w:rPr>
          <w:rFonts w:cs="Calibri"/>
          <w:snapToGrid/>
          <w:szCs w:val="24"/>
          <w:lang w:eastAsia="en-AU"/>
        </w:rPr>
        <w:t xml:space="preserve">and 31 for each arm </w:t>
      </w:r>
      <w:r w:rsidR="00987D74" w:rsidRPr="007579E2">
        <w:rPr>
          <w:rFonts w:cs="Calibri"/>
          <w:snapToGrid/>
          <w:szCs w:val="24"/>
          <w:lang w:eastAsia="en-AU"/>
        </w:rPr>
        <w:t>at Month</w:t>
      </w:r>
      <w:r w:rsidR="00D63963" w:rsidRPr="007579E2">
        <w:rPr>
          <w:rFonts w:cs="Calibri"/>
          <w:snapToGrid/>
          <w:szCs w:val="24"/>
          <w:lang w:eastAsia="en-AU"/>
        </w:rPr>
        <w:t xml:space="preserve"> 48</w:t>
      </w:r>
      <w:r w:rsidR="00987D74" w:rsidRPr="007579E2">
        <w:rPr>
          <w:rFonts w:cs="Calibri"/>
          <w:snapToGrid/>
          <w:szCs w:val="24"/>
          <w:lang w:eastAsia="en-AU"/>
        </w:rPr>
        <w:t>)</w:t>
      </w:r>
      <w:r w:rsidR="004D351A" w:rsidRPr="007579E2">
        <w:rPr>
          <w:rFonts w:cs="Calibri"/>
          <w:snapToGrid/>
          <w:szCs w:val="24"/>
          <w:lang w:eastAsia="en-AU"/>
        </w:rPr>
        <w:t>, which was unexplained in the submission</w:t>
      </w:r>
      <w:r w:rsidR="00987D74" w:rsidRPr="007579E2">
        <w:rPr>
          <w:rFonts w:cs="Calibri"/>
          <w:snapToGrid/>
          <w:szCs w:val="24"/>
          <w:lang w:eastAsia="en-AU"/>
        </w:rPr>
        <w:t>.</w:t>
      </w:r>
      <w:r w:rsidR="003802BD" w:rsidRPr="007579E2">
        <w:rPr>
          <w:rFonts w:cs="Calibri"/>
          <w:snapToGrid/>
          <w:szCs w:val="24"/>
          <w:lang w:eastAsia="en-AU"/>
        </w:rPr>
        <w:t xml:space="preserve"> </w:t>
      </w:r>
      <w:r w:rsidR="00987D74" w:rsidRPr="007579E2">
        <w:rPr>
          <w:rFonts w:cs="Calibri"/>
          <w:snapToGrid/>
          <w:szCs w:val="24"/>
          <w:lang w:eastAsia="en-AU"/>
        </w:rPr>
        <w:t>The ESC advised that p</w:t>
      </w:r>
      <w:r w:rsidRPr="007579E2">
        <w:rPr>
          <w:rFonts w:cs="Calibri"/>
          <w:snapToGrid/>
          <w:szCs w:val="24"/>
          <w:lang w:eastAsia="en-AU"/>
        </w:rPr>
        <w:t xml:space="preserve">atients who had a better overall </w:t>
      </w:r>
      <w:proofErr w:type="spellStart"/>
      <w:r w:rsidRPr="007579E2">
        <w:rPr>
          <w:rFonts w:cs="Calibri"/>
          <w:snapToGrid/>
          <w:szCs w:val="24"/>
          <w:lang w:eastAsia="en-AU"/>
        </w:rPr>
        <w:t>QoL</w:t>
      </w:r>
      <w:proofErr w:type="spellEnd"/>
      <w:r w:rsidRPr="007579E2">
        <w:rPr>
          <w:rFonts w:cs="Calibri"/>
          <w:snapToGrid/>
          <w:szCs w:val="24"/>
          <w:lang w:eastAsia="en-AU"/>
        </w:rPr>
        <w:t xml:space="preserve"> m</w:t>
      </w:r>
      <w:r w:rsidR="00201455" w:rsidRPr="007579E2">
        <w:rPr>
          <w:rFonts w:cs="Calibri"/>
          <w:snapToGrid/>
          <w:szCs w:val="24"/>
          <w:lang w:eastAsia="en-AU"/>
        </w:rPr>
        <w:t>ight have been</w:t>
      </w:r>
      <w:r w:rsidRPr="007579E2">
        <w:rPr>
          <w:rFonts w:cs="Calibri"/>
          <w:snapToGrid/>
          <w:szCs w:val="24"/>
          <w:lang w:eastAsia="en-AU"/>
        </w:rPr>
        <w:t xml:space="preserve"> more likely to complete the </w:t>
      </w:r>
      <w:proofErr w:type="spellStart"/>
      <w:r w:rsidRPr="007579E2">
        <w:rPr>
          <w:rFonts w:cs="Calibri"/>
          <w:snapToGrid/>
          <w:szCs w:val="24"/>
          <w:lang w:eastAsia="en-AU"/>
        </w:rPr>
        <w:t>QoL</w:t>
      </w:r>
      <w:proofErr w:type="spellEnd"/>
      <w:r w:rsidRPr="007579E2">
        <w:rPr>
          <w:rFonts w:cs="Calibri"/>
          <w:snapToGrid/>
          <w:szCs w:val="24"/>
          <w:lang w:eastAsia="en-AU"/>
        </w:rPr>
        <w:t xml:space="preserve"> questionnaire than those who did not feel well, which may have resulted in an overestimated utility value for each health state. </w:t>
      </w:r>
      <w:r w:rsidRPr="007579E2">
        <w:rPr>
          <w:szCs w:val="24"/>
        </w:rPr>
        <w:t xml:space="preserve">In addition, the </w:t>
      </w:r>
      <w:r w:rsidR="004D351A" w:rsidRPr="007579E2">
        <w:rPr>
          <w:szCs w:val="24"/>
        </w:rPr>
        <w:t xml:space="preserve">ESC noted that </w:t>
      </w:r>
      <w:r w:rsidR="00DA5536" w:rsidRPr="007579E2">
        <w:rPr>
          <w:szCs w:val="24"/>
        </w:rPr>
        <w:t xml:space="preserve">the </w:t>
      </w:r>
      <w:r w:rsidRPr="007579E2">
        <w:rPr>
          <w:szCs w:val="24"/>
        </w:rPr>
        <w:t xml:space="preserve">first time point for assessment of </w:t>
      </w:r>
      <w:proofErr w:type="spellStart"/>
      <w:r w:rsidRPr="007579E2">
        <w:rPr>
          <w:szCs w:val="24"/>
        </w:rPr>
        <w:t>QoL</w:t>
      </w:r>
      <w:proofErr w:type="spellEnd"/>
      <w:r w:rsidRPr="007579E2">
        <w:rPr>
          <w:szCs w:val="24"/>
        </w:rPr>
        <w:t xml:space="preserve"> post-baseline was Month 3. As adverse events often occur early in treatment, the disutility associated with </w:t>
      </w:r>
      <w:proofErr w:type="spellStart"/>
      <w:r w:rsidRPr="007579E2">
        <w:rPr>
          <w:szCs w:val="24"/>
        </w:rPr>
        <w:t>dabrafenib+trametinib</w:t>
      </w:r>
      <w:proofErr w:type="spellEnd"/>
      <w:r w:rsidRPr="007579E2">
        <w:rPr>
          <w:szCs w:val="24"/>
        </w:rPr>
        <w:t xml:space="preserve"> </w:t>
      </w:r>
      <w:r w:rsidR="004D351A" w:rsidRPr="007579E2">
        <w:rPr>
          <w:szCs w:val="24"/>
        </w:rPr>
        <w:t xml:space="preserve">might not have been </w:t>
      </w:r>
      <w:r w:rsidRPr="007579E2">
        <w:rPr>
          <w:szCs w:val="24"/>
        </w:rPr>
        <w:t xml:space="preserve">fully captured in the trial-based </w:t>
      </w:r>
      <w:proofErr w:type="spellStart"/>
      <w:r w:rsidRPr="007579E2">
        <w:rPr>
          <w:szCs w:val="24"/>
        </w:rPr>
        <w:t>QoL</w:t>
      </w:r>
      <w:proofErr w:type="spellEnd"/>
      <w:r w:rsidRPr="007579E2">
        <w:rPr>
          <w:szCs w:val="24"/>
        </w:rPr>
        <w:t xml:space="preserve"> data.</w:t>
      </w:r>
    </w:p>
    <w:p w:rsidR="00EA6C9E" w:rsidRPr="007579E2" w:rsidRDefault="00EA6C9E" w:rsidP="00061E01">
      <w:pPr>
        <w:pStyle w:val="Heading3"/>
        <w:keepNext/>
        <w:widowControl/>
        <w:spacing w:before="120" w:after="120"/>
      </w:pPr>
      <w:r w:rsidRPr="007579E2">
        <w:t>Retreatment</w:t>
      </w:r>
    </w:p>
    <w:p w:rsidR="007E2775" w:rsidRPr="007579E2" w:rsidRDefault="008204B6" w:rsidP="00061E01">
      <w:pPr>
        <w:pStyle w:val="ListParagraph"/>
        <w:widowControl/>
        <w:numPr>
          <w:ilvl w:val="1"/>
          <w:numId w:val="2"/>
        </w:numPr>
        <w:spacing w:before="120"/>
      </w:pPr>
      <w:r w:rsidRPr="007579E2">
        <w:t xml:space="preserve">It has been reported that in clinical practice, the combination of BRAF and MEK inhibitors is highly active for BRAF mutant melanoma patients, but the duration of </w:t>
      </w:r>
      <w:r w:rsidRPr="007579E2">
        <w:lastRenderedPageBreak/>
        <w:t>response is limited due to the development of an acquired and adaptive resistance mechanism</w:t>
      </w:r>
      <w:r w:rsidRPr="007579E2">
        <w:rPr>
          <w:rStyle w:val="FootnoteReference"/>
        </w:rPr>
        <w:footnoteReference w:id="7"/>
      </w:r>
      <w:r w:rsidRPr="007579E2">
        <w:t xml:space="preserve">. Tumour heterogeneity is a major driver of resistance in melanoma. Therefore, more evidence </w:t>
      </w:r>
      <w:r w:rsidR="00201455" w:rsidRPr="007579E2">
        <w:t>is</w:t>
      </w:r>
      <w:r w:rsidRPr="007579E2">
        <w:t xml:space="preserve"> required to confirm the benefit of retreatment with </w:t>
      </w:r>
      <w:proofErr w:type="spellStart"/>
      <w:r w:rsidRPr="007579E2">
        <w:t>dabrafenib</w:t>
      </w:r>
      <w:r w:rsidR="00E66032" w:rsidRPr="007579E2">
        <w:rPr>
          <w:rFonts w:cs="Calibri"/>
        </w:rPr>
        <w:t>±</w:t>
      </w:r>
      <w:r w:rsidRPr="007579E2">
        <w:t>trametinib</w:t>
      </w:r>
      <w:proofErr w:type="spellEnd"/>
      <w:r w:rsidRPr="007579E2">
        <w:t xml:space="preserve"> for </w:t>
      </w:r>
      <w:proofErr w:type="spellStart"/>
      <w:r w:rsidRPr="007579E2">
        <w:t>unresectable</w:t>
      </w:r>
      <w:proofErr w:type="spellEnd"/>
      <w:r w:rsidRPr="007579E2">
        <w:t xml:space="preserve"> or Stage IV disease after adjuvant treatment with this combination therapy.</w:t>
      </w:r>
      <w:r w:rsidR="00E072B8" w:rsidRPr="007579E2">
        <w:t xml:space="preserve"> </w:t>
      </w:r>
      <w:r w:rsidR="007E2775" w:rsidRPr="007579E2">
        <w:t xml:space="preserve">The PSCR argued that in COMBI-AD only 5% of patients relapsed while on treatment, therefore acquired resistance with adjuvant </w:t>
      </w:r>
      <w:proofErr w:type="spellStart"/>
      <w:r w:rsidR="007E2775" w:rsidRPr="007579E2">
        <w:t>dabrafenib+trametinib</w:t>
      </w:r>
      <w:proofErr w:type="spellEnd"/>
      <w:r w:rsidR="007E2775" w:rsidRPr="007579E2">
        <w:t xml:space="preserve"> </w:t>
      </w:r>
      <w:r w:rsidR="004D351A" w:rsidRPr="007579E2">
        <w:t>was</w:t>
      </w:r>
      <w:r w:rsidR="007E2775" w:rsidRPr="007579E2">
        <w:t xml:space="preserve"> not supported by the evidence. It </w:t>
      </w:r>
      <w:r w:rsidR="007715EC" w:rsidRPr="007579E2">
        <w:t xml:space="preserve">was </w:t>
      </w:r>
      <w:r w:rsidR="007E2775" w:rsidRPr="007579E2">
        <w:t xml:space="preserve">also argued that there was a high clinical need for patients who progress following completion of adjuvant therapy. </w:t>
      </w:r>
    </w:p>
    <w:p w:rsidR="00211205" w:rsidRPr="007579E2" w:rsidRDefault="007E2775" w:rsidP="00061E01">
      <w:pPr>
        <w:pStyle w:val="ListParagraph"/>
        <w:widowControl/>
        <w:numPr>
          <w:ilvl w:val="1"/>
          <w:numId w:val="2"/>
        </w:numPr>
        <w:spacing w:before="120"/>
      </w:pPr>
      <w:r w:rsidRPr="007579E2">
        <w:t xml:space="preserve">The ESC noted that COMBI-AD was not designed to test the efficacy and safety of repeated exposure to </w:t>
      </w:r>
      <w:proofErr w:type="spellStart"/>
      <w:r w:rsidRPr="007579E2">
        <w:t>dabrafenib+trametinib</w:t>
      </w:r>
      <w:proofErr w:type="spellEnd"/>
      <w:r w:rsidRPr="007579E2">
        <w:t xml:space="preserve"> after relapse</w:t>
      </w:r>
      <w:r w:rsidR="007A394D" w:rsidRPr="007579E2">
        <w:t>.</w:t>
      </w:r>
      <w:r w:rsidR="000E65EB" w:rsidRPr="007579E2">
        <w:t xml:space="preserve"> </w:t>
      </w:r>
      <w:r w:rsidR="007A394D" w:rsidRPr="007579E2">
        <w:t>However,</w:t>
      </w:r>
      <w:r w:rsidR="00211205" w:rsidRPr="007579E2">
        <w:t xml:space="preserve"> </w:t>
      </w:r>
      <w:r w:rsidRPr="007579E2">
        <w:t xml:space="preserve">a </w:t>
      </w:r>
      <w:r w:rsidRPr="007579E2">
        <w:rPr>
          <w:i/>
        </w:rPr>
        <w:t>post hoc</w:t>
      </w:r>
      <w:r w:rsidRPr="007579E2">
        <w:t xml:space="preserve"> analysis of </w:t>
      </w:r>
      <w:r w:rsidR="004D351A" w:rsidRPr="007579E2">
        <w:t>evaluable data was presented</w:t>
      </w:r>
      <w:r w:rsidR="007579E2">
        <w:t xml:space="preserve">. </w:t>
      </w:r>
      <w:r w:rsidR="004D351A" w:rsidRPr="007579E2">
        <w:t xml:space="preserve">The choice of post-recurrence therapy (see </w:t>
      </w:r>
      <w:r w:rsidR="00924939" w:rsidRPr="007579E2">
        <w:t>table below</w:t>
      </w:r>
      <w:r w:rsidR="004D351A" w:rsidRPr="007579E2">
        <w:t>) was at the discretion of the treating physician, and it was unclear what criteria were considered when choosing a particular therapy.</w:t>
      </w:r>
    </w:p>
    <w:p w:rsidR="001B2C7A" w:rsidRPr="007579E2" w:rsidRDefault="00211205" w:rsidP="001B2C7A">
      <w:pPr>
        <w:widowControl/>
        <w:rPr>
          <w:rFonts w:ascii="Arial Narrow" w:hAnsi="Arial Narrow"/>
          <w:b/>
          <w:sz w:val="20"/>
          <w:szCs w:val="20"/>
        </w:rPr>
      </w:pPr>
      <w:bookmarkStart w:id="11" w:name="_Ref530566884"/>
      <w:r w:rsidRPr="007579E2">
        <w:rPr>
          <w:rFonts w:ascii="Arial Narrow" w:hAnsi="Arial Narrow"/>
          <w:b/>
          <w:sz w:val="20"/>
          <w:szCs w:val="20"/>
        </w:rPr>
        <w:t>Table</w:t>
      </w:r>
      <w:bookmarkEnd w:id="11"/>
      <w:r w:rsidR="00DF4C14" w:rsidRPr="007579E2">
        <w:rPr>
          <w:rFonts w:ascii="Arial Narrow" w:hAnsi="Arial Narrow"/>
          <w:b/>
          <w:sz w:val="20"/>
          <w:szCs w:val="20"/>
        </w:rPr>
        <w:t xml:space="preserve"> 10</w:t>
      </w:r>
      <w:r w:rsidRPr="007579E2">
        <w:rPr>
          <w:rFonts w:ascii="Arial Narrow" w:hAnsi="Arial Narrow"/>
          <w:b/>
          <w:sz w:val="20"/>
          <w:szCs w:val="20"/>
        </w:rPr>
        <w:t xml:space="preserve">: </w:t>
      </w:r>
      <w:r w:rsidR="001B2C7A" w:rsidRPr="007579E2">
        <w:rPr>
          <w:rFonts w:ascii="Arial Narrow" w:hAnsi="Arial Narrow"/>
          <w:b/>
          <w:sz w:val="20"/>
          <w:szCs w:val="20"/>
        </w:rPr>
        <w:t>Targeted therapies use as post-relapse therapies (</w:t>
      </w:r>
      <w:r w:rsidR="001B2C7A">
        <w:rPr>
          <w:rFonts w:ascii="Arial Narrow" w:hAnsi="Arial Narrow"/>
          <w:b/>
          <w:sz w:val="20"/>
          <w:szCs w:val="20"/>
        </w:rPr>
        <w:t>b</w:t>
      </w:r>
      <w:r w:rsidR="001B2C7A" w:rsidRPr="007579E2">
        <w:rPr>
          <w:rFonts w:ascii="Arial Narrow" w:hAnsi="Arial Narrow"/>
          <w:b/>
          <w:sz w:val="20"/>
          <w:szCs w:val="20"/>
        </w:rPr>
        <w:t>ased on population who had relapsed)</w:t>
      </w:r>
    </w:p>
    <w:tbl>
      <w:tblPr>
        <w:tblStyle w:val="Summarybox9"/>
        <w:tblW w:w="5000" w:type="pct"/>
        <w:tblLook w:val="04A0" w:firstRow="1" w:lastRow="0" w:firstColumn="1" w:lastColumn="0" w:noHBand="0" w:noVBand="1"/>
        <w:tblCaption w:val="Table 10: Targeted therapies use as post-relapse therapies (based on population who had relapsed)"/>
      </w:tblPr>
      <w:tblGrid>
        <w:gridCol w:w="4107"/>
        <w:gridCol w:w="2456"/>
        <w:gridCol w:w="2454"/>
      </w:tblGrid>
      <w:tr w:rsidR="00211205" w:rsidRPr="007579E2" w:rsidTr="00295D25">
        <w:trPr>
          <w:trHeight w:val="244"/>
          <w:tblHeader/>
        </w:trPr>
        <w:tc>
          <w:tcPr>
            <w:tcW w:w="2277" w:type="pct"/>
            <w:tcBorders>
              <w:bottom w:val="single" w:sz="4" w:space="0" w:color="auto"/>
            </w:tcBorders>
            <w:shd w:val="clear" w:color="auto" w:fill="FFFFFF" w:themeFill="background1"/>
            <w:vAlign w:val="center"/>
          </w:tcPr>
          <w:p w:rsidR="00211205" w:rsidRPr="007579E2" w:rsidRDefault="00211205" w:rsidP="007E6F21">
            <w:pPr>
              <w:pStyle w:val="Tabletext"/>
              <w:rPr>
                <w:b/>
                <w:bCs/>
              </w:rPr>
            </w:pPr>
            <w:r w:rsidRPr="007579E2">
              <w:rPr>
                <w:b/>
              </w:rPr>
              <w:t>COMBI-AD</w:t>
            </w:r>
          </w:p>
        </w:tc>
        <w:tc>
          <w:tcPr>
            <w:tcW w:w="1362" w:type="pct"/>
            <w:shd w:val="clear" w:color="auto" w:fill="FFFFFF" w:themeFill="background1"/>
            <w:vAlign w:val="center"/>
          </w:tcPr>
          <w:p w:rsidR="00211205" w:rsidRPr="007579E2" w:rsidRDefault="00211205" w:rsidP="007E6F21">
            <w:pPr>
              <w:pStyle w:val="Tabletext"/>
              <w:jc w:val="center"/>
              <w:rPr>
                <w:b/>
                <w:bCs/>
              </w:rPr>
            </w:pPr>
            <w:proofErr w:type="spellStart"/>
            <w:r w:rsidRPr="007579E2">
              <w:rPr>
                <w:b/>
              </w:rPr>
              <w:t>Dabrafenib+trametinib</w:t>
            </w:r>
            <w:proofErr w:type="spellEnd"/>
            <w:r w:rsidRPr="007579E2">
              <w:rPr>
                <w:b/>
              </w:rPr>
              <w:br/>
              <w:t>(N = 163)</w:t>
            </w:r>
          </w:p>
        </w:tc>
        <w:tc>
          <w:tcPr>
            <w:tcW w:w="1361" w:type="pct"/>
            <w:shd w:val="clear" w:color="auto" w:fill="FFFFFF" w:themeFill="background1"/>
            <w:vAlign w:val="center"/>
          </w:tcPr>
          <w:p w:rsidR="00211205" w:rsidRPr="007579E2" w:rsidRDefault="00211205" w:rsidP="007E6F21">
            <w:pPr>
              <w:pStyle w:val="Tabletext"/>
              <w:jc w:val="center"/>
              <w:rPr>
                <w:b/>
                <w:bCs/>
              </w:rPr>
            </w:pPr>
            <w:r w:rsidRPr="007579E2">
              <w:rPr>
                <w:b/>
              </w:rPr>
              <w:t>Placebo</w:t>
            </w:r>
            <w:r w:rsidRPr="007579E2">
              <w:rPr>
                <w:b/>
              </w:rPr>
              <w:br/>
              <w:t>(N = 247)</w:t>
            </w:r>
          </w:p>
        </w:tc>
      </w:tr>
      <w:tr w:rsidR="00211205" w:rsidRPr="007579E2" w:rsidTr="00211205">
        <w:trPr>
          <w:trHeight w:val="244"/>
        </w:trPr>
        <w:tc>
          <w:tcPr>
            <w:tcW w:w="5000" w:type="pct"/>
            <w:gridSpan w:val="3"/>
            <w:shd w:val="clear" w:color="auto" w:fill="FFFFFF"/>
          </w:tcPr>
          <w:p w:rsidR="00211205" w:rsidRPr="007579E2" w:rsidRDefault="00211205" w:rsidP="007E6F21">
            <w:pPr>
              <w:pStyle w:val="Tabletext"/>
              <w:rPr>
                <w:bCs/>
              </w:rPr>
            </w:pPr>
            <w:r w:rsidRPr="007579E2">
              <w:t xml:space="preserve">Any </w:t>
            </w:r>
            <w:r w:rsidR="003469B0" w:rsidRPr="007579E2">
              <w:t>p</w:t>
            </w:r>
            <w:r w:rsidRPr="007579E2">
              <w:t xml:space="preserve">ost-relapse </w:t>
            </w:r>
            <w:r w:rsidR="003469B0" w:rsidRPr="007579E2">
              <w:t>a</w:t>
            </w:r>
            <w:r w:rsidRPr="007579E2">
              <w:t>nti-</w:t>
            </w:r>
            <w:r w:rsidR="003469B0" w:rsidRPr="007579E2">
              <w:t>cancer t</w:t>
            </w:r>
            <w:r w:rsidRPr="007579E2">
              <w:t>herapy</w:t>
            </w:r>
            <w:r w:rsidR="003469B0" w:rsidRPr="007579E2">
              <w:t>, n (%)</w:t>
            </w:r>
          </w:p>
        </w:tc>
      </w:tr>
      <w:tr w:rsidR="00211205" w:rsidRPr="007579E2" w:rsidTr="00211205">
        <w:trPr>
          <w:trHeight w:val="244"/>
        </w:trPr>
        <w:tc>
          <w:tcPr>
            <w:tcW w:w="2277" w:type="pct"/>
            <w:shd w:val="clear" w:color="auto" w:fill="FFFFFF"/>
          </w:tcPr>
          <w:p w:rsidR="00211205" w:rsidRPr="007579E2" w:rsidRDefault="00C02E50" w:rsidP="007E6F21">
            <w:pPr>
              <w:pStyle w:val="Tabletext"/>
              <w:rPr>
                <w:bCs/>
              </w:rPr>
            </w:pPr>
            <w:r w:rsidRPr="00C02E50">
              <w:rPr>
                <w:color w:val="000000"/>
                <w:spacing w:val="300"/>
                <w:lang w:eastAsia="zh-CN"/>
              </w:rPr>
              <w:t xml:space="preserve"> </w:t>
            </w:r>
            <w:r w:rsidR="00211205" w:rsidRPr="007579E2">
              <w:rPr>
                <w:color w:val="000000"/>
                <w:lang w:eastAsia="zh-CN"/>
              </w:rPr>
              <w:t>Yes</w:t>
            </w:r>
          </w:p>
        </w:tc>
        <w:tc>
          <w:tcPr>
            <w:tcW w:w="1362"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c>
          <w:tcPr>
            <w:tcW w:w="1361" w:type="pct"/>
            <w:shd w:val="clear" w:color="auto" w:fill="FFFFFF"/>
          </w:tcPr>
          <w:p w:rsidR="00211205" w:rsidRPr="007579E2" w:rsidRDefault="0023686E" w:rsidP="007E6F21">
            <w:pPr>
              <w:pStyle w:val="Tabletext"/>
              <w:jc w:val="center"/>
              <w:rPr>
                <w:bCs/>
              </w:rPr>
            </w:pPr>
            <w:r>
              <w:rPr>
                <w:noProof/>
                <w:color w:val="000000"/>
                <w:highlight w:val="black"/>
                <w:lang w:eastAsia="zh-CN"/>
              </w:rPr>
              <w:t xml:space="preserve">'''''''''' </w:t>
            </w:r>
            <w:r w:rsidR="00211205" w:rsidRPr="007579E2">
              <w:rPr>
                <w:color w:val="000000"/>
                <w:lang w:eastAsia="zh-CN"/>
              </w:rPr>
              <w:t>(</w:t>
            </w:r>
            <w:r>
              <w:rPr>
                <w:noProof/>
                <w:color w:val="000000"/>
                <w:highlight w:val="black"/>
                <w:lang w:eastAsia="zh-CN"/>
              </w:rPr>
              <w:t>''''''</w:t>
            </w:r>
            <w:r w:rsidR="00211205" w:rsidRPr="007579E2">
              <w:rPr>
                <w:color w:val="000000"/>
                <w:lang w:eastAsia="zh-CN"/>
              </w:rPr>
              <w:t>%)</w:t>
            </w:r>
          </w:p>
        </w:tc>
      </w:tr>
      <w:tr w:rsidR="00211205" w:rsidRPr="007579E2" w:rsidTr="00211205">
        <w:trPr>
          <w:trHeight w:val="244"/>
        </w:trPr>
        <w:tc>
          <w:tcPr>
            <w:tcW w:w="2277" w:type="pct"/>
            <w:shd w:val="clear" w:color="auto" w:fill="FFFFFF"/>
          </w:tcPr>
          <w:p w:rsidR="00211205" w:rsidRPr="007579E2" w:rsidRDefault="00C02E50" w:rsidP="007E6F21">
            <w:pPr>
              <w:pStyle w:val="Tabletext"/>
              <w:rPr>
                <w:bCs/>
              </w:rPr>
            </w:pPr>
            <w:r w:rsidRPr="00C02E50">
              <w:rPr>
                <w:color w:val="000000"/>
                <w:spacing w:val="300"/>
                <w:lang w:eastAsia="zh-CN"/>
              </w:rPr>
              <w:t xml:space="preserve"> </w:t>
            </w:r>
            <w:r w:rsidR="00211205" w:rsidRPr="007579E2">
              <w:rPr>
                <w:color w:val="000000"/>
                <w:lang w:eastAsia="zh-CN"/>
              </w:rPr>
              <w:t>No</w:t>
            </w:r>
          </w:p>
        </w:tc>
        <w:tc>
          <w:tcPr>
            <w:tcW w:w="1362"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c>
          <w:tcPr>
            <w:tcW w:w="1361"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r>
      <w:tr w:rsidR="00211205" w:rsidRPr="007579E2" w:rsidTr="00211205">
        <w:trPr>
          <w:trHeight w:val="244"/>
        </w:trPr>
        <w:tc>
          <w:tcPr>
            <w:tcW w:w="5000" w:type="pct"/>
            <w:gridSpan w:val="3"/>
            <w:shd w:val="clear" w:color="auto" w:fill="FFFFFF"/>
          </w:tcPr>
          <w:p w:rsidR="00211205" w:rsidRPr="007579E2" w:rsidRDefault="00211205" w:rsidP="007E6F21">
            <w:pPr>
              <w:pStyle w:val="Tabletext"/>
              <w:rPr>
                <w:bCs/>
              </w:rPr>
            </w:pPr>
            <w:r w:rsidRPr="007579E2">
              <w:t xml:space="preserve">Type of </w:t>
            </w:r>
            <w:r w:rsidR="003469B0" w:rsidRPr="007579E2">
              <w:t>post-relapse a</w:t>
            </w:r>
            <w:r w:rsidRPr="007579E2">
              <w:t>nti-</w:t>
            </w:r>
            <w:r w:rsidR="003469B0" w:rsidRPr="007579E2">
              <w:t>cancer t</w:t>
            </w:r>
            <w:r w:rsidRPr="007579E2">
              <w:t>herapy</w:t>
            </w:r>
            <w:r w:rsidR="003469B0" w:rsidRPr="007579E2">
              <w:t>, n (%)</w:t>
            </w:r>
          </w:p>
        </w:tc>
      </w:tr>
      <w:tr w:rsidR="00211205" w:rsidRPr="007579E2" w:rsidTr="00211205">
        <w:trPr>
          <w:trHeight w:val="244"/>
        </w:trPr>
        <w:tc>
          <w:tcPr>
            <w:tcW w:w="2277" w:type="pct"/>
            <w:shd w:val="clear" w:color="auto" w:fill="FFFFFF"/>
          </w:tcPr>
          <w:p w:rsidR="00211205" w:rsidRPr="007579E2" w:rsidRDefault="00C02E50" w:rsidP="007E6F21">
            <w:pPr>
              <w:pStyle w:val="Tabletext"/>
              <w:rPr>
                <w:bCs/>
              </w:rPr>
            </w:pPr>
            <w:r w:rsidRPr="00C02E50">
              <w:rPr>
                <w:color w:val="000000"/>
                <w:spacing w:val="200"/>
                <w:lang w:eastAsia="zh-CN"/>
              </w:rPr>
              <w:t xml:space="preserve"> </w:t>
            </w:r>
            <w:r w:rsidR="00211205" w:rsidRPr="007579E2">
              <w:rPr>
                <w:color w:val="000000"/>
                <w:lang w:eastAsia="zh-CN"/>
              </w:rPr>
              <w:t xml:space="preserve">Any </w:t>
            </w:r>
            <w:r w:rsidR="003469B0" w:rsidRPr="007579E2">
              <w:rPr>
                <w:color w:val="000000"/>
                <w:lang w:eastAsia="zh-CN"/>
              </w:rPr>
              <w:t>s</w:t>
            </w:r>
            <w:r w:rsidR="00211205" w:rsidRPr="007579E2">
              <w:rPr>
                <w:color w:val="000000"/>
                <w:lang w:eastAsia="zh-CN"/>
              </w:rPr>
              <w:t xml:space="preserve">ystemic </w:t>
            </w:r>
            <w:r w:rsidR="003469B0" w:rsidRPr="007579E2">
              <w:rPr>
                <w:color w:val="000000"/>
                <w:lang w:eastAsia="zh-CN"/>
              </w:rPr>
              <w:t>a</w:t>
            </w:r>
            <w:r w:rsidR="00211205" w:rsidRPr="007579E2">
              <w:rPr>
                <w:color w:val="000000"/>
                <w:lang w:eastAsia="zh-CN"/>
              </w:rPr>
              <w:t>nti-</w:t>
            </w:r>
            <w:r w:rsidR="003469B0" w:rsidRPr="007579E2">
              <w:rPr>
                <w:color w:val="000000"/>
                <w:lang w:eastAsia="zh-CN"/>
              </w:rPr>
              <w:t>c</w:t>
            </w:r>
            <w:r w:rsidR="00211205" w:rsidRPr="007579E2">
              <w:rPr>
                <w:color w:val="000000"/>
                <w:lang w:eastAsia="zh-CN"/>
              </w:rPr>
              <w:t xml:space="preserve">ancer </w:t>
            </w:r>
            <w:r w:rsidR="003469B0" w:rsidRPr="007579E2">
              <w:rPr>
                <w:color w:val="000000"/>
                <w:lang w:eastAsia="zh-CN"/>
              </w:rPr>
              <w:t>t</w:t>
            </w:r>
            <w:r w:rsidR="00211205" w:rsidRPr="007579E2">
              <w:rPr>
                <w:color w:val="000000"/>
                <w:lang w:eastAsia="zh-CN"/>
              </w:rPr>
              <w:t>herapy</w:t>
            </w:r>
          </w:p>
        </w:tc>
        <w:tc>
          <w:tcPr>
            <w:tcW w:w="1362" w:type="pct"/>
            <w:shd w:val="clear" w:color="auto" w:fill="FFFFFF"/>
          </w:tcPr>
          <w:p w:rsidR="00211205" w:rsidRPr="007579E2" w:rsidRDefault="0023686E" w:rsidP="007E6F21">
            <w:pPr>
              <w:pStyle w:val="Tabletext"/>
              <w:jc w:val="center"/>
              <w:rPr>
                <w:bCs/>
              </w:rPr>
            </w:pPr>
            <w:r>
              <w:rPr>
                <w:noProof/>
                <w:color w:val="000000"/>
                <w:highlight w:val="black"/>
                <w:lang w:eastAsia="zh-CN"/>
              </w:rPr>
              <w:t xml:space="preserve">''''''''' </w:t>
            </w:r>
            <w:r w:rsidR="00211205" w:rsidRPr="007579E2">
              <w:rPr>
                <w:color w:val="000000"/>
                <w:lang w:eastAsia="zh-CN"/>
              </w:rPr>
              <w:t>(</w:t>
            </w:r>
            <w:r>
              <w:rPr>
                <w:noProof/>
                <w:color w:val="000000"/>
                <w:highlight w:val="black"/>
                <w:lang w:eastAsia="zh-CN"/>
              </w:rPr>
              <w:t>'''''''</w:t>
            </w:r>
            <w:r w:rsidR="00211205" w:rsidRPr="007579E2">
              <w:rPr>
                <w:color w:val="000000"/>
                <w:lang w:eastAsia="zh-CN"/>
              </w:rPr>
              <w:t>%)</w:t>
            </w:r>
          </w:p>
        </w:tc>
        <w:tc>
          <w:tcPr>
            <w:tcW w:w="1361" w:type="pct"/>
            <w:shd w:val="clear" w:color="auto" w:fill="FFFFFF"/>
          </w:tcPr>
          <w:p w:rsidR="00211205" w:rsidRPr="007579E2" w:rsidRDefault="0023686E" w:rsidP="007E6F21">
            <w:pPr>
              <w:pStyle w:val="Tabletext"/>
              <w:jc w:val="center"/>
              <w:rPr>
                <w:bCs/>
              </w:rPr>
            </w:pPr>
            <w:r>
              <w:rPr>
                <w:noProof/>
                <w:color w:val="000000"/>
                <w:highlight w:val="black"/>
                <w:lang w:eastAsia="zh-CN"/>
              </w:rPr>
              <w:t xml:space="preserve">''''''''' </w:t>
            </w:r>
            <w:r w:rsidR="00211205" w:rsidRPr="007579E2">
              <w:rPr>
                <w:color w:val="000000"/>
                <w:lang w:eastAsia="zh-CN"/>
              </w:rPr>
              <w:t>(</w:t>
            </w:r>
            <w:r>
              <w:rPr>
                <w:noProof/>
                <w:color w:val="000000"/>
                <w:highlight w:val="black"/>
                <w:lang w:eastAsia="zh-CN"/>
              </w:rPr>
              <w:t>''''''</w:t>
            </w:r>
            <w:r w:rsidR="00211205" w:rsidRPr="007579E2">
              <w:rPr>
                <w:color w:val="000000"/>
                <w:lang w:eastAsia="zh-CN"/>
              </w:rPr>
              <w:t>%)</w:t>
            </w:r>
          </w:p>
        </w:tc>
      </w:tr>
      <w:tr w:rsidR="00F54937" w:rsidRPr="007579E2" w:rsidTr="00211205">
        <w:trPr>
          <w:trHeight w:val="244"/>
        </w:trPr>
        <w:tc>
          <w:tcPr>
            <w:tcW w:w="2277" w:type="pct"/>
            <w:shd w:val="clear" w:color="auto" w:fill="FFFFFF"/>
          </w:tcPr>
          <w:p w:rsidR="00F54937" w:rsidRPr="007579E2" w:rsidRDefault="00C02E50" w:rsidP="007E6F21">
            <w:pPr>
              <w:pStyle w:val="Tabletext"/>
              <w:rPr>
                <w:color w:val="000000"/>
                <w:lang w:eastAsia="zh-CN"/>
              </w:rPr>
            </w:pPr>
            <w:r w:rsidRPr="00C02E50">
              <w:rPr>
                <w:color w:val="000000"/>
                <w:spacing w:val="400"/>
                <w:lang w:eastAsia="zh-CN"/>
              </w:rPr>
              <w:t xml:space="preserve"> </w:t>
            </w:r>
            <w:r w:rsidR="00F54937" w:rsidRPr="007579E2">
              <w:rPr>
                <w:color w:val="000000"/>
                <w:lang w:eastAsia="zh-CN"/>
              </w:rPr>
              <w:t>PD-1 inhibitor</w:t>
            </w:r>
          </w:p>
        </w:tc>
        <w:tc>
          <w:tcPr>
            <w:tcW w:w="1362" w:type="pct"/>
            <w:shd w:val="clear" w:color="auto" w:fill="FFFFFF"/>
          </w:tcPr>
          <w:p w:rsidR="00F54937" w:rsidRPr="007579E2" w:rsidRDefault="0023686E" w:rsidP="007E6F21">
            <w:pPr>
              <w:pStyle w:val="Tabletext"/>
              <w:jc w:val="center"/>
              <w:rPr>
                <w:color w:val="000000"/>
                <w:lang w:eastAsia="zh-CN"/>
              </w:rPr>
            </w:pPr>
            <w:r>
              <w:rPr>
                <w:noProof/>
                <w:color w:val="000000"/>
                <w:highlight w:val="black"/>
                <w:lang w:eastAsia="zh-CN"/>
              </w:rPr>
              <w:t>'''''''</w:t>
            </w:r>
            <w:r w:rsidR="00F54937" w:rsidRPr="007579E2">
              <w:rPr>
                <w:color w:val="000000"/>
                <w:lang w:eastAsia="zh-CN"/>
              </w:rPr>
              <w:t xml:space="preserve"> (</w:t>
            </w:r>
            <w:r>
              <w:rPr>
                <w:noProof/>
                <w:color w:val="000000"/>
                <w:highlight w:val="black"/>
                <w:lang w:eastAsia="zh-CN"/>
              </w:rPr>
              <w:t>'''''''</w:t>
            </w:r>
            <w:r w:rsidR="00F54937" w:rsidRPr="007579E2">
              <w:rPr>
                <w:color w:val="000000"/>
                <w:lang w:eastAsia="zh-CN"/>
              </w:rPr>
              <w:t>%)</w:t>
            </w:r>
          </w:p>
        </w:tc>
        <w:tc>
          <w:tcPr>
            <w:tcW w:w="1361" w:type="pct"/>
            <w:shd w:val="clear" w:color="auto" w:fill="FFFFFF"/>
          </w:tcPr>
          <w:p w:rsidR="00F54937" w:rsidRPr="007579E2" w:rsidRDefault="0023686E" w:rsidP="007E6F21">
            <w:pPr>
              <w:pStyle w:val="Tabletext"/>
              <w:jc w:val="center"/>
              <w:rPr>
                <w:color w:val="000000"/>
                <w:lang w:eastAsia="zh-CN"/>
              </w:rPr>
            </w:pPr>
            <w:r>
              <w:rPr>
                <w:noProof/>
                <w:color w:val="000000"/>
                <w:highlight w:val="black"/>
                <w:lang w:eastAsia="zh-CN"/>
              </w:rPr>
              <w:t>'''''''</w:t>
            </w:r>
            <w:r w:rsidR="00F54937" w:rsidRPr="007579E2">
              <w:rPr>
                <w:color w:val="000000"/>
                <w:lang w:eastAsia="zh-CN"/>
              </w:rPr>
              <w:t xml:space="preserve"> (</w:t>
            </w:r>
            <w:r>
              <w:rPr>
                <w:noProof/>
                <w:color w:val="000000"/>
                <w:highlight w:val="black"/>
                <w:lang w:eastAsia="zh-CN"/>
              </w:rPr>
              <w:t>'''''''</w:t>
            </w:r>
            <w:r w:rsidR="00F54937" w:rsidRPr="007579E2">
              <w:rPr>
                <w:color w:val="000000"/>
                <w:lang w:eastAsia="zh-CN"/>
              </w:rPr>
              <w:t>%)</w:t>
            </w:r>
          </w:p>
        </w:tc>
      </w:tr>
      <w:tr w:rsidR="00F54937" w:rsidRPr="007579E2" w:rsidTr="00211205">
        <w:trPr>
          <w:trHeight w:val="244"/>
        </w:trPr>
        <w:tc>
          <w:tcPr>
            <w:tcW w:w="2277" w:type="pct"/>
            <w:shd w:val="clear" w:color="auto" w:fill="FFFFFF"/>
          </w:tcPr>
          <w:p w:rsidR="00F54937" w:rsidRPr="007579E2" w:rsidRDefault="00C02E50" w:rsidP="007E6F21">
            <w:pPr>
              <w:pStyle w:val="Tabletext"/>
              <w:rPr>
                <w:color w:val="000000"/>
                <w:lang w:eastAsia="zh-CN"/>
              </w:rPr>
            </w:pPr>
            <w:r w:rsidRPr="00C02E50">
              <w:rPr>
                <w:color w:val="000000"/>
                <w:spacing w:val="400"/>
                <w:lang w:eastAsia="zh-CN"/>
              </w:rPr>
              <w:t xml:space="preserve"> </w:t>
            </w:r>
            <w:r w:rsidR="00F54937" w:rsidRPr="007579E2">
              <w:rPr>
                <w:color w:val="000000"/>
                <w:lang w:eastAsia="zh-CN"/>
              </w:rPr>
              <w:t>PD-L1 inhibitor</w:t>
            </w:r>
          </w:p>
        </w:tc>
        <w:tc>
          <w:tcPr>
            <w:tcW w:w="1362" w:type="pct"/>
            <w:shd w:val="clear" w:color="auto" w:fill="FFFFFF"/>
          </w:tcPr>
          <w:p w:rsidR="00F54937" w:rsidRPr="0023686E" w:rsidRDefault="0023686E" w:rsidP="007E6F21">
            <w:pPr>
              <w:pStyle w:val="Tabletext"/>
              <w:jc w:val="center"/>
              <w:rPr>
                <w:color w:val="000000"/>
                <w:highlight w:val="black"/>
                <w:lang w:eastAsia="zh-CN"/>
              </w:rPr>
            </w:pPr>
            <w:r>
              <w:rPr>
                <w:noProof/>
                <w:color w:val="000000"/>
                <w:highlight w:val="black"/>
                <w:lang w:eastAsia="zh-CN"/>
              </w:rPr>
              <w:t>''''</w:t>
            </w:r>
          </w:p>
        </w:tc>
        <w:tc>
          <w:tcPr>
            <w:tcW w:w="1361" w:type="pct"/>
            <w:shd w:val="clear" w:color="auto" w:fill="FFFFFF"/>
          </w:tcPr>
          <w:p w:rsidR="00F54937" w:rsidRPr="007579E2" w:rsidRDefault="0023686E" w:rsidP="007E6F21">
            <w:pPr>
              <w:pStyle w:val="Tabletext"/>
              <w:jc w:val="center"/>
              <w:rPr>
                <w:color w:val="000000"/>
                <w:lang w:eastAsia="zh-CN"/>
              </w:rPr>
            </w:pPr>
            <w:r>
              <w:rPr>
                <w:noProof/>
                <w:color w:val="000000"/>
                <w:highlight w:val="black"/>
                <w:lang w:eastAsia="zh-CN"/>
              </w:rPr>
              <w:t>''''</w:t>
            </w:r>
            <w:r w:rsidR="00F54937" w:rsidRPr="007579E2">
              <w:rPr>
                <w:color w:val="000000"/>
                <w:lang w:eastAsia="zh-CN"/>
              </w:rPr>
              <w:t xml:space="preserve"> </w:t>
            </w:r>
            <w:r>
              <w:rPr>
                <w:noProof/>
                <w:color w:val="000000"/>
                <w:highlight w:val="black"/>
                <w:lang w:eastAsia="zh-CN"/>
              </w:rPr>
              <w:t>''''' '''</w:t>
            </w:r>
            <w:r w:rsidR="00F54937" w:rsidRPr="007579E2">
              <w:rPr>
                <w:color w:val="000000"/>
                <w:lang w:eastAsia="zh-CN"/>
              </w:rPr>
              <w:t>%)</w:t>
            </w:r>
          </w:p>
        </w:tc>
      </w:tr>
      <w:tr w:rsidR="00F54937" w:rsidRPr="007579E2" w:rsidTr="00211205">
        <w:trPr>
          <w:trHeight w:val="244"/>
        </w:trPr>
        <w:tc>
          <w:tcPr>
            <w:tcW w:w="2277" w:type="pct"/>
            <w:shd w:val="clear" w:color="auto" w:fill="FFFFFF"/>
          </w:tcPr>
          <w:p w:rsidR="00F54937" w:rsidRPr="007579E2" w:rsidRDefault="00C02E50" w:rsidP="007E6F21">
            <w:pPr>
              <w:pStyle w:val="Tabletext"/>
              <w:rPr>
                <w:color w:val="000000"/>
                <w:lang w:eastAsia="zh-CN"/>
              </w:rPr>
            </w:pPr>
            <w:r w:rsidRPr="00C02E50">
              <w:rPr>
                <w:color w:val="000000"/>
                <w:spacing w:val="400"/>
                <w:lang w:eastAsia="zh-CN"/>
              </w:rPr>
              <w:t xml:space="preserve"> </w:t>
            </w:r>
            <w:r w:rsidR="00F54937" w:rsidRPr="007579E2">
              <w:rPr>
                <w:color w:val="000000"/>
                <w:lang w:eastAsia="zh-CN"/>
              </w:rPr>
              <w:t>Chemotherapy</w:t>
            </w:r>
          </w:p>
        </w:tc>
        <w:tc>
          <w:tcPr>
            <w:tcW w:w="1362" w:type="pct"/>
            <w:shd w:val="clear" w:color="auto" w:fill="FFFFFF"/>
          </w:tcPr>
          <w:p w:rsidR="00F54937" w:rsidRPr="007579E2" w:rsidRDefault="0023686E" w:rsidP="007E6F21">
            <w:pPr>
              <w:pStyle w:val="Tabletext"/>
              <w:jc w:val="center"/>
              <w:rPr>
                <w:color w:val="000000"/>
                <w:lang w:eastAsia="zh-CN"/>
              </w:rPr>
            </w:pPr>
            <w:r>
              <w:rPr>
                <w:noProof/>
                <w:color w:val="000000"/>
                <w:highlight w:val="black"/>
                <w:lang w:eastAsia="zh-CN"/>
              </w:rPr>
              <w:t>'''''</w:t>
            </w:r>
            <w:r w:rsidR="00F54937" w:rsidRPr="007579E2">
              <w:rPr>
                <w:color w:val="000000"/>
                <w:lang w:eastAsia="zh-CN"/>
              </w:rPr>
              <w:t xml:space="preserve"> (</w:t>
            </w:r>
            <w:r>
              <w:rPr>
                <w:noProof/>
                <w:color w:val="000000"/>
                <w:highlight w:val="black"/>
                <w:lang w:eastAsia="zh-CN"/>
              </w:rPr>
              <w:t>'''''</w:t>
            </w:r>
            <w:r w:rsidR="00F54937" w:rsidRPr="007579E2">
              <w:rPr>
                <w:color w:val="000000"/>
                <w:lang w:eastAsia="zh-CN"/>
              </w:rPr>
              <w:t>%)</w:t>
            </w:r>
          </w:p>
        </w:tc>
        <w:tc>
          <w:tcPr>
            <w:tcW w:w="1361" w:type="pct"/>
            <w:shd w:val="clear" w:color="auto" w:fill="FFFFFF"/>
          </w:tcPr>
          <w:p w:rsidR="00F54937" w:rsidRPr="007579E2" w:rsidRDefault="0023686E" w:rsidP="007E6F21">
            <w:pPr>
              <w:pStyle w:val="Tabletext"/>
              <w:jc w:val="center"/>
              <w:rPr>
                <w:color w:val="000000"/>
                <w:lang w:eastAsia="zh-CN"/>
              </w:rPr>
            </w:pPr>
            <w:r>
              <w:rPr>
                <w:noProof/>
                <w:color w:val="000000"/>
                <w:highlight w:val="black"/>
                <w:lang w:eastAsia="zh-CN"/>
              </w:rPr>
              <w:t>'''''</w:t>
            </w:r>
            <w:r w:rsidR="00F54937" w:rsidRPr="007579E2">
              <w:rPr>
                <w:color w:val="000000"/>
                <w:lang w:eastAsia="zh-CN"/>
              </w:rPr>
              <w:t xml:space="preserve"> (</w:t>
            </w:r>
            <w:r>
              <w:rPr>
                <w:noProof/>
                <w:color w:val="000000"/>
                <w:highlight w:val="black"/>
                <w:lang w:eastAsia="zh-CN"/>
              </w:rPr>
              <w:t>''''</w:t>
            </w:r>
            <w:r w:rsidR="00F54937" w:rsidRPr="007579E2">
              <w:rPr>
                <w:color w:val="000000"/>
                <w:lang w:eastAsia="zh-CN"/>
              </w:rPr>
              <w:t>%)</w:t>
            </w:r>
          </w:p>
        </w:tc>
      </w:tr>
      <w:tr w:rsidR="00211205" w:rsidRPr="007579E2" w:rsidTr="00211205">
        <w:trPr>
          <w:trHeight w:val="244"/>
        </w:trPr>
        <w:tc>
          <w:tcPr>
            <w:tcW w:w="2277" w:type="pct"/>
            <w:shd w:val="clear" w:color="auto" w:fill="FFFFFF"/>
          </w:tcPr>
          <w:p w:rsidR="00211205" w:rsidRPr="007579E2" w:rsidRDefault="00C02E50" w:rsidP="007E6F21">
            <w:pPr>
              <w:pStyle w:val="Tabletext"/>
              <w:rPr>
                <w:bCs/>
              </w:rPr>
            </w:pPr>
            <w:r>
              <w:rPr>
                <w:color w:val="000000"/>
                <w:lang w:eastAsia="zh-CN"/>
              </w:rPr>
              <w:t xml:space="preserve"> </w:t>
            </w:r>
            <w:r w:rsidR="00211205" w:rsidRPr="007579E2">
              <w:rPr>
                <w:color w:val="000000"/>
                <w:lang w:eastAsia="zh-CN"/>
              </w:rPr>
              <w:t xml:space="preserve">Small </w:t>
            </w:r>
            <w:r w:rsidR="003469B0" w:rsidRPr="007579E2">
              <w:rPr>
                <w:color w:val="000000"/>
                <w:lang w:eastAsia="zh-CN"/>
              </w:rPr>
              <w:t>m</w:t>
            </w:r>
            <w:r w:rsidR="00211205" w:rsidRPr="007579E2">
              <w:rPr>
                <w:color w:val="000000"/>
                <w:lang w:eastAsia="zh-CN"/>
              </w:rPr>
              <w:t xml:space="preserve">olecule </w:t>
            </w:r>
            <w:r w:rsidR="003469B0" w:rsidRPr="007579E2">
              <w:rPr>
                <w:color w:val="000000"/>
                <w:lang w:eastAsia="zh-CN"/>
              </w:rPr>
              <w:t>t</w:t>
            </w:r>
            <w:r w:rsidR="00211205" w:rsidRPr="007579E2">
              <w:rPr>
                <w:color w:val="000000"/>
                <w:lang w:eastAsia="zh-CN"/>
              </w:rPr>
              <w:t xml:space="preserve">argeted </w:t>
            </w:r>
            <w:r w:rsidR="003469B0" w:rsidRPr="007579E2">
              <w:rPr>
                <w:color w:val="000000"/>
                <w:lang w:eastAsia="zh-CN"/>
              </w:rPr>
              <w:t>t</w:t>
            </w:r>
            <w:r w:rsidR="00211205" w:rsidRPr="007579E2">
              <w:rPr>
                <w:color w:val="000000"/>
                <w:lang w:eastAsia="zh-CN"/>
              </w:rPr>
              <w:t>herapy (any)</w:t>
            </w:r>
          </w:p>
        </w:tc>
        <w:tc>
          <w:tcPr>
            <w:tcW w:w="1362"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c>
          <w:tcPr>
            <w:tcW w:w="1361"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r>
      <w:tr w:rsidR="00211205" w:rsidRPr="007579E2" w:rsidTr="00211205">
        <w:trPr>
          <w:trHeight w:val="244"/>
        </w:trPr>
        <w:tc>
          <w:tcPr>
            <w:tcW w:w="2277" w:type="pct"/>
            <w:shd w:val="clear" w:color="auto" w:fill="FFFFFF"/>
          </w:tcPr>
          <w:p w:rsidR="00211205" w:rsidRPr="007579E2" w:rsidRDefault="00C02E50" w:rsidP="007E6F21">
            <w:pPr>
              <w:pStyle w:val="Tabletext"/>
              <w:rPr>
                <w:color w:val="000000"/>
                <w:lang w:eastAsia="zh-CN"/>
              </w:rPr>
            </w:pPr>
            <w:r w:rsidRPr="00C02E50">
              <w:rPr>
                <w:color w:val="000000"/>
                <w:spacing w:val="300"/>
                <w:lang w:eastAsia="zh-CN"/>
              </w:rPr>
              <w:t xml:space="preserve"> </w:t>
            </w:r>
            <w:r w:rsidR="00211205" w:rsidRPr="007579E2">
              <w:rPr>
                <w:color w:val="000000"/>
                <w:lang w:eastAsia="zh-CN"/>
              </w:rPr>
              <w:t>Any BRAF</w:t>
            </w:r>
            <w:r w:rsidR="003469B0" w:rsidRPr="007579E2">
              <w:rPr>
                <w:color w:val="000000"/>
                <w:lang w:eastAsia="zh-CN"/>
              </w:rPr>
              <w:t xml:space="preserve"> </w:t>
            </w:r>
            <w:r w:rsidR="00211205" w:rsidRPr="007579E2">
              <w:rPr>
                <w:color w:val="000000"/>
                <w:lang w:eastAsia="zh-CN"/>
              </w:rPr>
              <w:t>V600</w:t>
            </w:r>
            <w:r w:rsidR="003469B0" w:rsidRPr="007579E2">
              <w:rPr>
                <w:color w:val="000000"/>
                <w:lang w:eastAsia="zh-CN"/>
              </w:rPr>
              <w:t xml:space="preserve"> i</w:t>
            </w:r>
            <w:r w:rsidR="00211205" w:rsidRPr="007579E2">
              <w:rPr>
                <w:color w:val="000000"/>
                <w:lang w:eastAsia="zh-CN"/>
              </w:rPr>
              <w:t>nhibitor</w:t>
            </w:r>
          </w:p>
        </w:tc>
        <w:tc>
          <w:tcPr>
            <w:tcW w:w="1362"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c>
          <w:tcPr>
            <w:tcW w:w="1361"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r>
      <w:tr w:rsidR="00211205" w:rsidRPr="007579E2" w:rsidTr="00211205">
        <w:trPr>
          <w:trHeight w:val="244"/>
        </w:trPr>
        <w:tc>
          <w:tcPr>
            <w:tcW w:w="2277" w:type="pct"/>
            <w:shd w:val="clear" w:color="auto" w:fill="FFFFFF"/>
          </w:tcPr>
          <w:p w:rsidR="00211205" w:rsidRPr="007579E2" w:rsidRDefault="003469B0" w:rsidP="00C02E50">
            <w:pPr>
              <w:pStyle w:val="Tabletext"/>
              <w:tabs>
                <w:tab w:val="left" w:pos="301"/>
              </w:tabs>
              <w:rPr>
                <w:bCs/>
              </w:rPr>
            </w:pPr>
            <w:r w:rsidRPr="00C02E50">
              <w:rPr>
                <w:color w:val="000000"/>
                <w:spacing w:val="400"/>
                <w:lang w:eastAsia="zh-CN"/>
              </w:rPr>
              <w:t xml:space="preserve"> </w:t>
            </w:r>
            <w:proofErr w:type="spellStart"/>
            <w:r w:rsidR="00211205" w:rsidRPr="007579E2">
              <w:rPr>
                <w:color w:val="000000"/>
                <w:lang w:eastAsia="zh-CN"/>
              </w:rPr>
              <w:t>Dabrafenib</w:t>
            </w:r>
            <w:proofErr w:type="spellEnd"/>
          </w:p>
        </w:tc>
        <w:tc>
          <w:tcPr>
            <w:tcW w:w="1362"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c>
          <w:tcPr>
            <w:tcW w:w="1361"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r>
      <w:tr w:rsidR="00211205" w:rsidRPr="007579E2" w:rsidTr="00211205">
        <w:trPr>
          <w:trHeight w:val="244"/>
        </w:trPr>
        <w:tc>
          <w:tcPr>
            <w:tcW w:w="2277" w:type="pct"/>
            <w:shd w:val="clear" w:color="auto" w:fill="FFFFFF"/>
          </w:tcPr>
          <w:p w:rsidR="00211205" w:rsidRPr="007579E2" w:rsidRDefault="00C02E50" w:rsidP="00C02E50">
            <w:pPr>
              <w:pStyle w:val="Tabletext"/>
              <w:tabs>
                <w:tab w:val="left" w:pos="301"/>
              </w:tabs>
              <w:rPr>
                <w:bCs/>
              </w:rPr>
            </w:pPr>
            <w:r w:rsidRPr="00C02E50">
              <w:rPr>
                <w:color w:val="000000"/>
                <w:spacing w:val="400"/>
                <w:lang w:eastAsia="zh-CN"/>
              </w:rPr>
              <w:t xml:space="preserve"> </w:t>
            </w:r>
            <w:proofErr w:type="spellStart"/>
            <w:r w:rsidR="00211205" w:rsidRPr="007579E2">
              <w:rPr>
                <w:color w:val="000000"/>
                <w:lang w:eastAsia="zh-CN"/>
              </w:rPr>
              <w:t>Vemurafenib</w:t>
            </w:r>
            <w:proofErr w:type="spellEnd"/>
          </w:p>
        </w:tc>
        <w:tc>
          <w:tcPr>
            <w:tcW w:w="1362"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c>
          <w:tcPr>
            <w:tcW w:w="1361" w:type="pct"/>
            <w:shd w:val="clear" w:color="auto" w:fill="FFFFFF"/>
          </w:tcPr>
          <w:p w:rsidR="00211205" w:rsidRPr="007579E2" w:rsidRDefault="0023686E" w:rsidP="007E6F21">
            <w:pPr>
              <w:pStyle w:val="Tabletext"/>
              <w:jc w:val="center"/>
              <w:rPr>
                <w:bCs/>
              </w:rPr>
            </w:pPr>
            <w:r>
              <w:rPr>
                <w:noProof/>
                <w:color w:val="000000"/>
                <w:highlight w:val="black"/>
                <w:lang w:eastAsia="zh-CN"/>
              </w:rPr>
              <w:t xml:space="preserve">''''' </w:t>
            </w:r>
            <w:r w:rsidR="00211205" w:rsidRPr="007579E2">
              <w:rPr>
                <w:color w:val="000000"/>
                <w:lang w:eastAsia="zh-CN"/>
              </w:rPr>
              <w:t>(</w:t>
            </w:r>
            <w:r>
              <w:rPr>
                <w:noProof/>
                <w:color w:val="000000"/>
                <w:highlight w:val="black"/>
                <w:lang w:eastAsia="zh-CN"/>
              </w:rPr>
              <w:t>'''''</w:t>
            </w:r>
            <w:r w:rsidR="00211205" w:rsidRPr="007579E2">
              <w:rPr>
                <w:color w:val="000000"/>
                <w:lang w:eastAsia="zh-CN"/>
              </w:rPr>
              <w:t>%)</w:t>
            </w:r>
          </w:p>
        </w:tc>
      </w:tr>
      <w:tr w:rsidR="00211205" w:rsidRPr="007579E2" w:rsidTr="00211205">
        <w:trPr>
          <w:trHeight w:val="244"/>
        </w:trPr>
        <w:tc>
          <w:tcPr>
            <w:tcW w:w="2277" w:type="pct"/>
            <w:shd w:val="clear" w:color="auto" w:fill="FFFFFF"/>
          </w:tcPr>
          <w:p w:rsidR="00211205" w:rsidRPr="007579E2" w:rsidRDefault="00C02E50" w:rsidP="00C02E50">
            <w:pPr>
              <w:pStyle w:val="Tabletext"/>
              <w:tabs>
                <w:tab w:val="left" w:pos="301"/>
              </w:tabs>
              <w:rPr>
                <w:bCs/>
              </w:rPr>
            </w:pPr>
            <w:r w:rsidRPr="00C02E50">
              <w:rPr>
                <w:color w:val="000000"/>
                <w:spacing w:val="400"/>
                <w:lang w:eastAsia="zh-CN"/>
              </w:rPr>
              <w:t xml:space="preserve"> </w:t>
            </w:r>
            <w:proofErr w:type="spellStart"/>
            <w:r w:rsidR="00211205" w:rsidRPr="007579E2">
              <w:rPr>
                <w:color w:val="000000"/>
                <w:lang w:eastAsia="zh-CN"/>
              </w:rPr>
              <w:t>Encorafenib</w:t>
            </w:r>
            <w:proofErr w:type="spellEnd"/>
          </w:p>
        </w:tc>
        <w:tc>
          <w:tcPr>
            <w:tcW w:w="1362" w:type="pct"/>
            <w:shd w:val="clear" w:color="auto" w:fill="FFFFFF"/>
          </w:tcPr>
          <w:p w:rsidR="00211205" w:rsidRPr="0023686E" w:rsidRDefault="0023686E" w:rsidP="007E6F21">
            <w:pPr>
              <w:pStyle w:val="Tabletext"/>
              <w:jc w:val="center"/>
              <w:rPr>
                <w:bCs/>
                <w:highlight w:val="black"/>
              </w:rPr>
            </w:pPr>
            <w:r>
              <w:rPr>
                <w:noProof/>
                <w:color w:val="000000"/>
                <w:highlight w:val="black"/>
                <w:lang w:eastAsia="zh-CN"/>
              </w:rPr>
              <w:t>'''</w:t>
            </w:r>
          </w:p>
        </w:tc>
        <w:tc>
          <w:tcPr>
            <w:tcW w:w="1361"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r>
      <w:tr w:rsidR="00211205" w:rsidRPr="007579E2" w:rsidTr="00211205">
        <w:trPr>
          <w:trHeight w:val="244"/>
        </w:trPr>
        <w:tc>
          <w:tcPr>
            <w:tcW w:w="2277" w:type="pct"/>
            <w:shd w:val="clear" w:color="auto" w:fill="FFFFFF"/>
          </w:tcPr>
          <w:p w:rsidR="00211205" w:rsidRPr="007579E2" w:rsidRDefault="00C02E50" w:rsidP="007E6F21">
            <w:pPr>
              <w:pStyle w:val="Tabletext"/>
              <w:rPr>
                <w:bCs/>
              </w:rPr>
            </w:pPr>
            <w:r w:rsidRPr="00C02E50">
              <w:rPr>
                <w:color w:val="000000"/>
                <w:spacing w:val="300"/>
                <w:lang w:eastAsia="zh-CN"/>
              </w:rPr>
              <w:t xml:space="preserve"> </w:t>
            </w:r>
            <w:r w:rsidR="00211205" w:rsidRPr="007579E2">
              <w:rPr>
                <w:color w:val="000000"/>
                <w:lang w:eastAsia="zh-CN"/>
              </w:rPr>
              <w:t>Any MEK inhibitor</w:t>
            </w:r>
          </w:p>
        </w:tc>
        <w:tc>
          <w:tcPr>
            <w:tcW w:w="1362"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c>
          <w:tcPr>
            <w:tcW w:w="1361"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r>
      <w:tr w:rsidR="00211205" w:rsidRPr="007579E2" w:rsidTr="00211205">
        <w:trPr>
          <w:trHeight w:val="244"/>
        </w:trPr>
        <w:tc>
          <w:tcPr>
            <w:tcW w:w="2277" w:type="pct"/>
            <w:shd w:val="clear" w:color="auto" w:fill="FFFFFF"/>
          </w:tcPr>
          <w:p w:rsidR="00211205" w:rsidRPr="007579E2" w:rsidRDefault="00C02E50" w:rsidP="00C02E50">
            <w:pPr>
              <w:pStyle w:val="Tabletext"/>
              <w:rPr>
                <w:bCs/>
              </w:rPr>
            </w:pPr>
            <w:r w:rsidRPr="00C02E50">
              <w:rPr>
                <w:color w:val="000000"/>
                <w:spacing w:val="400"/>
                <w:lang w:eastAsia="zh-CN"/>
              </w:rPr>
              <w:t xml:space="preserve"> </w:t>
            </w:r>
            <w:proofErr w:type="spellStart"/>
            <w:r w:rsidR="00211205" w:rsidRPr="007579E2">
              <w:rPr>
                <w:color w:val="000000"/>
                <w:lang w:eastAsia="zh-CN"/>
              </w:rPr>
              <w:t>Trametinib</w:t>
            </w:r>
            <w:proofErr w:type="spellEnd"/>
          </w:p>
        </w:tc>
        <w:tc>
          <w:tcPr>
            <w:tcW w:w="1362"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c>
          <w:tcPr>
            <w:tcW w:w="1361"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r>
      <w:tr w:rsidR="00211205" w:rsidRPr="007579E2" w:rsidTr="00211205">
        <w:trPr>
          <w:trHeight w:val="244"/>
        </w:trPr>
        <w:tc>
          <w:tcPr>
            <w:tcW w:w="2277" w:type="pct"/>
            <w:shd w:val="clear" w:color="auto" w:fill="FFFFFF"/>
          </w:tcPr>
          <w:p w:rsidR="00211205" w:rsidRPr="007579E2" w:rsidRDefault="00C02E50" w:rsidP="00C02E50">
            <w:pPr>
              <w:pStyle w:val="Tabletext"/>
              <w:rPr>
                <w:bCs/>
              </w:rPr>
            </w:pPr>
            <w:r w:rsidRPr="00C02E50">
              <w:rPr>
                <w:color w:val="000000"/>
                <w:spacing w:val="400"/>
                <w:lang w:eastAsia="zh-CN"/>
              </w:rPr>
              <w:t xml:space="preserve"> </w:t>
            </w:r>
            <w:proofErr w:type="spellStart"/>
            <w:r w:rsidR="00211205" w:rsidRPr="007579E2">
              <w:rPr>
                <w:color w:val="000000"/>
                <w:lang w:eastAsia="zh-CN"/>
              </w:rPr>
              <w:t>Cobimetinib</w:t>
            </w:r>
            <w:proofErr w:type="spellEnd"/>
          </w:p>
        </w:tc>
        <w:tc>
          <w:tcPr>
            <w:tcW w:w="1362" w:type="pct"/>
            <w:shd w:val="clear" w:color="auto" w:fill="FFFFFF"/>
          </w:tcPr>
          <w:p w:rsidR="00211205" w:rsidRPr="007579E2" w:rsidRDefault="0023686E" w:rsidP="007E6F21">
            <w:pPr>
              <w:pStyle w:val="Tabletext"/>
              <w:jc w:val="center"/>
              <w:rPr>
                <w:bCs/>
              </w:rPr>
            </w:pPr>
            <w:r>
              <w:rPr>
                <w:noProof/>
                <w:color w:val="000000"/>
                <w:highlight w:val="black"/>
                <w:lang w:eastAsia="zh-CN"/>
              </w:rPr>
              <w:t xml:space="preserve">''''''' </w:t>
            </w:r>
            <w:r w:rsidR="00211205" w:rsidRPr="007579E2">
              <w:rPr>
                <w:color w:val="000000"/>
                <w:lang w:eastAsia="zh-CN"/>
              </w:rPr>
              <w:t>(</w:t>
            </w:r>
            <w:r>
              <w:rPr>
                <w:noProof/>
                <w:color w:val="000000"/>
                <w:highlight w:val="black"/>
                <w:lang w:eastAsia="zh-CN"/>
              </w:rPr>
              <w:t>''''''</w:t>
            </w:r>
            <w:r w:rsidR="00211205" w:rsidRPr="007579E2">
              <w:rPr>
                <w:color w:val="000000"/>
                <w:lang w:eastAsia="zh-CN"/>
              </w:rPr>
              <w:t>%)</w:t>
            </w:r>
          </w:p>
        </w:tc>
        <w:tc>
          <w:tcPr>
            <w:tcW w:w="1361"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r>
      <w:tr w:rsidR="00211205" w:rsidRPr="007579E2" w:rsidTr="00211205">
        <w:trPr>
          <w:trHeight w:val="244"/>
        </w:trPr>
        <w:tc>
          <w:tcPr>
            <w:tcW w:w="2277" w:type="pct"/>
            <w:shd w:val="clear" w:color="auto" w:fill="FFFFFF"/>
          </w:tcPr>
          <w:p w:rsidR="00211205" w:rsidRPr="007579E2" w:rsidRDefault="00C02E50" w:rsidP="00C02E50">
            <w:pPr>
              <w:pStyle w:val="Tabletext"/>
              <w:rPr>
                <w:bCs/>
              </w:rPr>
            </w:pPr>
            <w:r w:rsidRPr="00C02E50">
              <w:rPr>
                <w:color w:val="000000"/>
                <w:spacing w:val="400"/>
                <w:lang w:eastAsia="zh-CN"/>
              </w:rPr>
              <w:t xml:space="preserve"> </w:t>
            </w:r>
            <w:proofErr w:type="spellStart"/>
            <w:r w:rsidR="00211205" w:rsidRPr="007579E2">
              <w:rPr>
                <w:color w:val="000000"/>
                <w:lang w:eastAsia="zh-CN"/>
              </w:rPr>
              <w:t>Binimetinib</w:t>
            </w:r>
            <w:proofErr w:type="spellEnd"/>
          </w:p>
        </w:tc>
        <w:tc>
          <w:tcPr>
            <w:tcW w:w="1362"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c>
          <w:tcPr>
            <w:tcW w:w="1361" w:type="pct"/>
            <w:shd w:val="clear" w:color="auto" w:fill="FFFFFF"/>
          </w:tcPr>
          <w:p w:rsidR="00211205" w:rsidRPr="007579E2" w:rsidRDefault="0023686E" w:rsidP="007E6F21">
            <w:pPr>
              <w:pStyle w:val="Tabletext"/>
              <w:jc w:val="center"/>
              <w:rPr>
                <w:bCs/>
              </w:rPr>
            </w:pPr>
            <w:r>
              <w:rPr>
                <w:noProof/>
                <w:color w:val="000000"/>
                <w:highlight w:val="black"/>
                <w:lang w:eastAsia="zh-CN"/>
              </w:rPr>
              <w:t>'''''''</w:t>
            </w:r>
            <w:r w:rsidR="00211205" w:rsidRPr="007579E2">
              <w:rPr>
                <w:color w:val="000000"/>
                <w:lang w:eastAsia="zh-CN"/>
              </w:rPr>
              <w:t xml:space="preserve"> (</w:t>
            </w:r>
            <w:r>
              <w:rPr>
                <w:noProof/>
                <w:color w:val="000000"/>
                <w:highlight w:val="black"/>
                <w:lang w:eastAsia="zh-CN"/>
              </w:rPr>
              <w:t>''''</w:t>
            </w:r>
            <w:r w:rsidR="00211205" w:rsidRPr="007579E2">
              <w:rPr>
                <w:color w:val="000000"/>
                <w:lang w:eastAsia="zh-CN"/>
              </w:rPr>
              <w:t>%)</w:t>
            </w:r>
          </w:p>
        </w:tc>
      </w:tr>
    </w:tbl>
    <w:p w:rsidR="00211205" w:rsidRPr="007579E2" w:rsidRDefault="00211205" w:rsidP="007E6F21">
      <w:pPr>
        <w:widowControl/>
        <w:rPr>
          <w:rFonts w:ascii="Arial Narrow" w:hAnsi="Arial Narrow"/>
          <w:sz w:val="18"/>
          <w:szCs w:val="18"/>
        </w:rPr>
      </w:pPr>
      <w:r w:rsidRPr="007579E2">
        <w:rPr>
          <w:rFonts w:ascii="Arial Narrow" w:hAnsi="Arial Narrow"/>
          <w:sz w:val="18"/>
          <w:szCs w:val="18"/>
        </w:rPr>
        <w:t>MEK = mitogen-activated extracellular signal regulated kinase; N = total patients in the group</w:t>
      </w:r>
    </w:p>
    <w:p w:rsidR="00211205" w:rsidRPr="007579E2" w:rsidRDefault="00211205" w:rsidP="007E6F21">
      <w:pPr>
        <w:widowControl/>
        <w:rPr>
          <w:rFonts w:ascii="Arial Narrow" w:hAnsi="Arial Narrow"/>
          <w:sz w:val="18"/>
          <w:szCs w:val="18"/>
        </w:rPr>
      </w:pPr>
      <w:r w:rsidRPr="007579E2">
        <w:rPr>
          <w:rFonts w:ascii="Arial Narrow" w:hAnsi="Arial Narrow"/>
          <w:sz w:val="18"/>
          <w:szCs w:val="18"/>
        </w:rPr>
        <w:t>Source: Table 2.6-2, p73 of the submission</w:t>
      </w:r>
    </w:p>
    <w:p w:rsidR="007E2775" w:rsidRPr="007579E2" w:rsidRDefault="00211205" w:rsidP="00061E01">
      <w:pPr>
        <w:pStyle w:val="ListParagraph"/>
        <w:widowControl/>
        <w:numPr>
          <w:ilvl w:val="1"/>
          <w:numId w:val="2"/>
        </w:numPr>
        <w:spacing w:before="120"/>
      </w:pPr>
      <w:r w:rsidRPr="007579E2">
        <w:t xml:space="preserve">The best response to targeted therapies after relapse was evaluable </w:t>
      </w:r>
      <w:r w:rsidRPr="004E5C26">
        <w:t xml:space="preserve">in </w:t>
      </w:r>
      <w:r w:rsidR="0023686E">
        <w:rPr>
          <w:noProof/>
          <w:color w:val="000000"/>
          <w:highlight w:val="black"/>
        </w:rPr>
        <w:t>'''''</w:t>
      </w:r>
      <w:r w:rsidR="004E5C26" w:rsidRPr="004E5C26">
        <w:t xml:space="preserve"> </w:t>
      </w:r>
      <w:r w:rsidRPr="004E5C26">
        <w:t>patients</w:t>
      </w:r>
      <w:r w:rsidRPr="007579E2">
        <w:t xml:space="preserve"> who had received </w:t>
      </w:r>
      <w:proofErr w:type="spellStart"/>
      <w:r w:rsidRPr="007579E2">
        <w:t>dabrafenib+trametinib</w:t>
      </w:r>
      <w:proofErr w:type="spellEnd"/>
      <w:r w:rsidRPr="007579E2">
        <w:t xml:space="preserve"> and </w:t>
      </w:r>
      <w:r w:rsidRPr="004E5C26">
        <w:t xml:space="preserve">in </w:t>
      </w:r>
      <w:r w:rsidR="0023686E">
        <w:rPr>
          <w:noProof/>
          <w:color w:val="000000"/>
          <w:highlight w:val="black"/>
        </w:rPr>
        <w:t>'''''''</w:t>
      </w:r>
      <w:r w:rsidR="004E5C26" w:rsidRPr="004E5C26">
        <w:t xml:space="preserve"> </w:t>
      </w:r>
      <w:r w:rsidRPr="004E5C26">
        <w:t>patients</w:t>
      </w:r>
      <w:r w:rsidRPr="007579E2">
        <w:t xml:space="preserve"> who had received placebo – see </w:t>
      </w:r>
      <w:r w:rsidR="00AF5CD0" w:rsidRPr="007579E2">
        <w:t>table below</w:t>
      </w:r>
      <w:r w:rsidRPr="007579E2">
        <w:t>.</w:t>
      </w:r>
      <w:r w:rsidR="007E2775" w:rsidRPr="007579E2">
        <w:t xml:space="preserve"> This analysis was subject to selection bias. </w:t>
      </w:r>
    </w:p>
    <w:p w:rsidR="0023498E" w:rsidRPr="007579E2" w:rsidRDefault="00AF5CD0" w:rsidP="007E6F21">
      <w:pPr>
        <w:pStyle w:val="Caption"/>
        <w:widowControl/>
      </w:pPr>
      <w:bookmarkStart w:id="12" w:name="_Ref530567704"/>
      <w:r w:rsidRPr="007579E2">
        <w:lastRenderedPageBreak/>
        <w:t xml:space="preserve">Table </w:t>
      </w:r>
      <w:r w:rsidR="00DF4C14" w:rsidRPr="007579E2">
        <w:t>11</w:t>
      </w:r>
      <w:r w:rsidRPr="007579E2">
        <w:t>:</w:t>
      </w:r>
      <w:bookmarkEnd w:id="12"/>
      <w:r w:rsidR="0023498E" w:rsidRPr="007579E2">
        <w:t xml:space="preserve"> </w:t>
      </w:r>
      <w:r w:rsidR="004E5C26" w:rsidRPr="007579E2">
        <w:t>Response of relapsed patients in COMBI-AD re-treated with any targeted therapy</w:t>
      </w:r>
    </w:p>
    <w:tbl>
      <w:tblPr>
        <w:tblStyle w:val="Summarybox10"/>
        <w:tblW w:w="0" w:type="auto"/>
        <w:tblLook w:val="04A0" w:firstRow="1" w:lastRow="0" w:firstColumn="1" w:lastColumn="0" w:noHBand="0" w:noVBand="1"/>
        <w:tblCaption w:val="Table 11: Response of relapsed patients in COMBI-AD re-treated with any targeted therapy"/>
      </w:tblPr>
      <w:tblGrid>
        <w:gridCol w:w="4390"/>
        <w:gridCol w:w="2313"/>
        <w:gridCol w:w="2313"/>
      </w:tblGrid>
      <w:tr w:rsidR="0023498E" w:rsidRPr="007579E2" w:rsidTr="00295D25">
        <w:trPr>
          <w:trHeight w:val="244"/>
          <w:tblHeader/>
        </w:trPr>
        <w:tc>
          <w:tcPr>
            <w:tcW w:w="4390" w:type="dxa"/>
            <w:tcBorders>
              <w:bottom w:val="single" w:sz="4" w:space="0" w:color="auto"/>
            </w:tcBorders>
            <w:shd w:val="clear" w:color="auto" w:fill="FFFFFF" w:themeFill="background1"/>
            <w:vAlign w:val="center"/>
          </w:tcPr>
          <w:p w:rsidR="0023498E" w:rsidRPr="007579E2" w:rsidRDefault="0023498E" w:rsidP="007E6F21">
            <w:pPr>
              <w:pStyle w:val="Tabletext"/>
              <w:keepNext/>
              <w:rPr>
                <w:b/>
                <w:bCs/>
                <w:sz w:val="22"/>
              </w:rPr>
            </w:pPr>
            <w:r w:rsidRPr="007579E2">
              <w:rPr>
                <w:b/>
              </w:rPr>
              <w:t>COMBI-AD</w:t>
            </w:r>
          </w:p>
        </w:tc>
        <w:tc>
          <w:tcPr>
            <w:tcW w:w="2313" w:type="dxa"/>
            <w:tcBorders>
              <w:bottom w:val="single" w:sz="4" w:space="0" w:color="auto"/>
            </w:tcBorders>
            <w:shd w:val="clear" w:color="auto" w:fill="FFFFFF" w:themeFill="background1"/>
            <w:vAlign w:val="center"/>
          </w:tcPr>
          <w:p w:rsidR="0023498E" w:rsidRPr="007579E2" w:rsidRDefault="0023498E" w:rsidP="007E6F21">
            <w:pPr>
              <w:pStyle w:val="Tabletext"/>
              <w:keepNext/>
              <w:jc w:val="center"/>
              <w:rPr>
                <w:b/>
                <w:bCs/>
              </w:rPr>
            </w:pPr>
            <w:proofErr w:type="spellStart"/>
            <w:r w:rsidRPr="007579E2">
              <w:rPr>
                <w:b/>
              </w:rPr>
              <w:t>Dabrafenib+trametinib</w:t>
            </w:r>
            <w:proofErr w:type="spellEnd"/>
          </w:p>
        </w:tc>
        <w:tc>
          <w:tcPr>
            <w:tcW w:w="2313" w:type="dxa"/>
            <w:tcBorders>
              <w:bottom w:val="single" w:sz="4" w:space="0" w:color="auto"/>
            </w:tcBorders>
            <w:shd w:val="clear" w:color="auto" w:fill="FFFFFF" w:themeFill="background1"/>
          </w:tcPr>
          <w:p w:rsidR="0023498E" w:rsidRPr="007579E2" w:rsidRDefault="0023498E" w:rsidP="007E6F21">
            <w:pPr>
              <w:pStyle w:val="Tabletext"/>
              <w:keepNext/>
              <w:jc w:val="center"/>
              <w:rPr>
                <w:b/>
                <w:bCs/>
              </w:rPr>
            </w:pPr>
            <w:r w:rsidRPr="007579E2">
              <w:rPr>
                <w:b/>
              </w:rPr>
              <w:t>Placebo</w:t>
            </w:r>
          </w:p>
        </w:tc>
      </w:tr>
      <w:tr w:rsidR="0023498E" w:rsidRPr="007579E2" w:rsidTr="003F0F63">
        <w:trPr>
          <w:trHeight w:val="244"/>
        </w:trPr>
        <w:tc>
          <w:tcPr>
            <w:tcW w:w="4390" w:type="dxa"/>
            <w:hideMark/>
          </w:tcPr>
          <w:p w:rsidR="0023498E" w:rsidRPr="007579E2" w:rsidRDefault="0023498E" w:rsidP="007E6F21">
            <w:pPr>
              <w:pStyle w:val="Tabletext"/>
              <w:keepNext/>
              <w:rPr>
                <w:bCs/>
              </w:rPr>
            </w:pPr>
            <w:r w:rsidRPr="007579E2">
              <w:t>Evaluable for response</w:t>
            </w:r>
            <w:r w:rsidR="00F54937" w:rsidRPr="007579E2">
              <w:t>, n</w:t>
            </w:r>
          </w:p>
        </w:tc>
        <w:tc>
          <w:tcPr>
            <w:tcW w:w="2313" w:type="dxa"/>
            <w:hideMark/>
          </w:tcPr>
          <w:p w:rsidR="0023498E" w:rsidRPr="007579E2" w:rsidRDefault="0023686E" w:rsidP="007E6F21">
            <w:pPr>
              <w:pStyle w:val="Tabletext"/>
              <w:keepNext/>
              <w:jc w:val="center"/>
              <w:rPr>
                <w:bCs/>
              </w:rPr>
            </w:pPr>
            <w:r>
              <w:rPr>
                <w:noProof/>
                <w:color w:val="000000"/>
                <w:highlight w:val="black"/>
              </w:rPr>
              <w:t>''''''</w:t>
            </w:r>
            <w:r w:rsidR="0023498E" w:rsidRPr="007579E2">
              <w:rPr>
                <w:vertAlign w:val="superscript"/>
              </w:rPr>
              <w:t>a</w:t>
            </w:r>
          </w:p>
        </w:tc>
        <w:tc>
          <w:tcPr>
            <w:tcW w:w="2313" w:type="dxa"/>
            <w:hideMark/>
          </w:tcPr>
          <w:p w:rsidR="0023498E" w:rsidRPr="007579E2" w:rsidRDefault="0023686E" w:rsidP="007E6F21">
            <w:pPr>
              <w:pStyle w:val="Tabletext"/>
              <w:keepNext/>
              <w:jc w:val="center"/>
              <w:rPr>
                <w:bCs/>
              </w:rPr>
            </w:pPr>
            <w:r>
              <w:rPr>
                <w:noProof/>
                <w:color w:val="000000"/>
                <w:highlight w:val="black"/>
              </w:rPr>
              <w:t>''''''''''</w:t>
            </w:r>
            <w:r w:rsidR="0023498E" w:rsidRPr="007579E2">
              <w:rPr>
                <w:vertAlign w:val="superscript"/>
              </w:rPr>
              <w:t>a</w:t>
            </w:r>
          </w:p>
        </w:tc>
      </w:tr>
      <w:tr w:rsidR="0023498E" w:rsidRPr="007579E2" w:rsidTr="003F0F63">
        <w:trPr>
          <w:trHeight w:val="244"/>
        </w:trPr>
        <w:tc>
          <w:tcPr>
            <w:tcW w:w="4390" w:type="dxa"/>
          </w:tcPr>
          <w:p w:rsidR="0023498E" w:rsidRPr="007579E2" w:rsidRDefault="0023498E" w:rsidP="007E6F21">
            <w:pPr>
              <w:pStyle w:val="Tabletext"/>
              <w:keepNext/>
              <w:rPr>
                <w:bCs/>
              </w:rPr>
            </w:pPr>
            <w:r w:rsidRPr="007579E2">
              <w:t>Overall response (complete + partial response)</w:t>
            </w:r>
            <w:r w:rsidR="00F54937" w:rsidRPr="007579E2">
              <w:t>, n (%)</w:t>
            </w:r>
          </w:p>
        </w:tc>
        <w:tc>
          <w:tcPr>
            <w:tcW w:w="2313" w:type="dxa"/>
          </w:tcPr>
          <w:p w:rsidR="0023498E" w:rsidRPr="007579E2" w:rsidRDefault="0023686E" w:rsidP="007E6F21">
            <w:pPr>
              <w:pStyle w:val="Tabletext"/>
              <w:keepNext/>
              <w:jc w:val="center"/>
              <w:rPr>
                <w:bCs/>
              </w:rPr>
            </w:pPr>
            <w:r>
              <w:rPr>
                <w:noProof/>
                <w:color w:val="000000"/>
                <w:highlight w:val="black"/>
              </w:rPr>
              <w:t>''''''</w:t>
            </w:r>
            <w:r w:rsidR="0023498E" w:rsidRPr="007579E2">
              <w:t xml:space="preserve"> (</w:t>
            </w:r>
            <w:r>
              <w:rPr>
                <w:noProof/>
                <w:color w:val="000000"/>
                <w:highlight w:val="black"/>
              </w:rPr>
              <w:t>''''''''''</w:t>
            </w:r>
            <w:r w:rsidR="0023498E" w:rsidRPr="007579E2">
              <w:t>%)</w:t>
            </w:r>
          </w:p>
        </w:tc>
        <w:tc>
          <w:tcPr>
            <w:tcW w:w="2313" w:type="dxa"/>
          </w:tcPr>
          <w:p w:rsidR="0023498E" w:rsidRPr="007579E2" w:rsidRDefault="0023686E" w:rsidP="007E6F21">
            <w:pPr>
              <w:pStyle w:val="Tabletext"/>
              <w:keepNext/>
              <w:jc w:val="center"/>
              <w:rPr>
                <w:bCs/>
              </w:rPr>
            </w:pPr>
            <w:r>
              <w:rPr>
                <w:noProof/>
                <w:color w:val="000000"/>
                <w:highlight w:val="black"/>
              </w:rPr>
              <w:t>''''''</w:t>
            </w:r>
            <w:r w:rsidR="0023498E" w:rsidRPr="007579E2">
              <w:t xml:space="preserve"> (</w:t>
            </w:r>
            <w:r>
              <w:rPr>
                <w:noProof/>
                <w:color w:val="000000"/>
                <w:highlight w:val="black"/>
              </w:rPr>
              <w:t>''''''''''</w:t>
            </w:r>
            <w:r w:rsidR="0023498E" w:rsidRPr="007579E2">
              <w:t>%)</w:t>
            </w:r>
          </w:p>
        </w:tc>
      </w:tr>
      <w:tr w:rsidR="0023498E" w:rsidRPr="007579E2" w:rsidTr="003F0F63">
        <w:trPr>
          <w:trHeight w:val="244"/>
        </w:trPr>
        <w:tc>
          <w:tcPr>
            <w:tcW w:w="4390" w:type="dxa"/>
          </w:tcPr>
          <w:p w:rsidR="0023498E" w:rsidRPr="007579E2" w:rsidRDefault="0023498E" w:rsidP="007E6F21">
            <w:pPr>
              <w:pStyle w:val="Tabletext"/>
              <w:keepNext/>
            </w:pPr>
            <w:r w:rsidRPr="007579E2">
              <w:t xml:space="preserve">Disease control </w:t>
            </w:r>
            <w:proofErr w:type="spellStart"/>
            <w:r w:rsidRPr="007579E2">
              <w:t>rate</w:t>
            </w:r>
            <w:r w:rsidRPr="007579E2">
              <w:rPr>
                <w:vertAlign w:val="superscript"/>
              </w:rPr>
              <w:t>b</w:t>
            </w:r>
            <w:proofErr w:type="spellEnd"/>
            <w:r w:rsidR="00F54937" w:rsidRPr="007579E2">
              <w:t>, n (%)</w:t>
            </w:r>
          </w:p>
        </w:tc>
        <w:tc>
          <w:tcPr>
            <w:tcW w:w="2313" w:type="dxa"/>
          </w:tcPr>
          <w:p w:rsidR="0023498E" w:rsidRPr="007579E2" w:rsidRDefault="0023686E" w:rsidP="007E6F21">
            <w:pPr>
              <w:pStyle w:val="Tabletext"/>
              <w:keepNext/>
              <w:jc w:val="center"/>
            </w:pPr>
            <w:r>
              <w:rPr>
                <w:noProof/>
                <w:color w:val="000000"/>
                <w:highlight w:val="black"/>
              </w:rPr>
              <w:t>'''''''</w:t>
            </w:r>
            <w:r w:rsidR="0023498E" w:rsidRPr="007579E2">
              <w:t xml:space="preserve"> (</w:t>
            </w:r>
            <w:r>
              <w:rPr>
                <w:noProof/>
                <w:color w:val="000000"/>
                <w:highlight w:val="black"/>
              </w:rPr>
              <w:t>''''''''''</w:t>
            </w:r>
            <w:r w:rsidR="0023498E" w:rsidRPr="007579E2">
              <w:t>%)</w:t>
            </w:r>
          </w:p>
        </w:tc>
        <w:tc>
          <w:tcPr>
            <w:tcW w:w="2313" w:type="dxa"/>
          </w:tcPr>
          <w:p w:rsidR="0023498E" w:rsidRPr="007579E2" w:rsidRDefault="0023686E" w:rsidP="007E6F21">
            <w:pPr>
              <w:pStyle w:val="Tabletext"/>
              <w:keepNext/>
              <w:jc w:val="center"/>
            </w:pPr>
            <w:r>
              <w:rPr>
                <w:noProof/>
                <w:color w:val="000000"/>
                <w:highlight w:val="black"/>
              </w:rPr>
              <w:t>''''''</w:t>
            </w:r>
            <w:r w:rsidR="0023498E" w:rsidRPr="007579E2">
              <w:t xml:space="preserve"> (</w:t>
            </w:r>
            <w:r>
              <w:rPr>
                <w:noProof/>
                <w:color w:val="000000"/>
                <w:highlight w:val="black"/>
              </w:rPr>
              <w:t>'''''''''''</w:t>
            </w:r>
            <w:r w:rsidR="0023498E" w:rsidRPr="007579E2">
              <w:t>%)</w:t>
            </w:r>
          </w:p>
        </w:tc>
      </w:tr>
      <w:tr w:rsidR="0023498E" w:rsidRPr="007579E2" w:rsidTr="003F0F63">
        <w:trPr>
          <w:trHeight w:val="244"/>
        </w:trPr>
        <w:tc>
          <w:tcPr>
            <w:tcW w:w="4390" w:type="dxa"/>
            <w:hideMark/>
          </w:tcPr>
          <w:p w:rsidR="0023498E" w:rsidRPr="007579E2" w:rsidRDefault="0023498E" w:rsidP="007E6F21">
            <w:pPr>
              <w:pStyle w:val="Tabletext"/>
              <w:keepNext/>
              <w:rPr>
                <w:bCs/>
              </w:rPr>
            </w:pPr>
            <w:r w:rsidRPr="007579E2">
              <w:t>Complete response</w:t>
            </w:r>
            <w:r w:rsidR="00F54937" w:rsidRPr="007579E2">
              <w:t>, n (%)</w:t>
            </w:r>
            <w:r w:rsidRPr="007579E2">
              <w:t xml:space="preserve"> </w:t>
            </w:r>
          </w:p>
        </w:tc>
        <w:tc>
          <w:tcPr>
            <w:tcW w:w="2313" w:type="dxa"/>
            <w:hideMark/>
          </w:tcPr>
          <w:p w:rsidR="0023498E" w:rsidRPr="007579E2" w:rsidRDefault="0023686E" w:rsidP="007E6F21">
            <w:pPr>
              <w:pStyle w:val="Tabletext"/>
              <w:keepNext/>
              <w:jc w:val="center"/>
              <w:rPr>
                <w:bCs/>
              </w:rPr>
            </w:pPr>
            <w:r>
              <w:rPr>
                <w:noProof/>
                <w:color w:val="000000"/>
                <w:highlight w:val="black"/>
              </w:rPr>
              <w:t>'''</w:t>
            </w:r>
            <w:r w:rsidR="0023498E" w:rsidRPr="007579E2">
              <w:t xml:space="preserve"> (</w:t>
            </w:r>
            <w:r>
              <w:rPr>
                <w:noProof/>
                <w:color w:val="000000"/>
                <w:highlight w:val="black"/>
              </w:rPr>
              <w:t>''''''''</w:t>
            </w:r>
            <w:r w:rsidR="0023498E" w:rsidRPr="007579E2">
              <w:t>%)</w:t>
            </w:r>
          </w:p>
        </w:tc>
        <w:tc>
          <w:tcPr>
            <w:tcW w:w="2313" w:type="dxa"/>
            <w:hideMark/>
          </w:tcPr>
          <w:p w:rsidR="0023498E" w:rsidRPr="007579E2" w:rsidRDefault="0023686E" w:rsidP="007E6F21">
            <w:pPr>
              <w:pStyle w:val="Tabletext"/>
              <w:keepNext/>
              <w:jc w:val="center"/>
              <w:rPr>
                <w:bCs/>
              </w:rPr>
            </w:pPr>
            <w:r>
              <w:rPr>
                <w:noProof/>
                <w:color w:val="000000"/>
                <w:highlight w:val="black"/>
              </w:rPr>
              <w:t>'''</w:t>
            </w:r>
            <w:r w:rsidR="0023498E" w:rsidRPr="007579E2">
              <w:t xml:space="preserve"> (</w:t>
            </w:r>
            <w:r>
              <w:rPr>
                <w:noProof/>
                <w:color w:val="000000"/>
                <w:highlight w:val="black"/>
              </w:rPr>
              <w:t>''''''''</w:t>
            </w:r>
            <w:r w:rsidR="0023498E" w:rsidRPr="007579E2">
              <w:t>%)</w:t>
            </w:r>
          </w:p>
        </w:tc>
      </w:tr>
      <w:tr w:rsidR="0023498E" w:rsidRPr="007579E2" w:rsidTr="003F0F63">
        <w:trPr>
          <w:trHeight w:val="244"/>
        </w:trPr>
        <w:tc>
          <w:tcPr>
            <w:tcW w:w="4390" w:type="dxa"/>
            <w:hideMark/>
          </w:tcPr>
          <w:p w:rsidR="0023498E" w:rsidRPr="007579E2" w:rsidRDefault="0023498E" w:rsidP="007E6F21">
            <w:pPr>
              <w:pStyle w:val="Tabletext"/>
              <w:keepNext/>
              <w:rPr>
                <w:bCs/>
              </w:rPr>
            </w:pPr>
            <w:r w:rsidRPr="007579E2">
              <w:t>Partial response</w:t>
            </w:r>
            <w:r w:rsidR="00F54937" w:rsidRPr="007579E2">
              <w:t>, n (%)</w:t>
            </w:r>
            <w:r w:rsidRPr="007579E2">
              <w:t xml:space="preserve"> </w:t>
            </w:r>
          </w:p>
        </w:tc>
        <w:tc>
          <w:tcPr>
            <w:tcW w:w="2313" w:type="dxa"/>
            <w:hideMark/>
          </w:tcPr>
          <w:p w:rsidR="0023498E" w:rsidRPr="007579E2" w:rsidRDefault="0023686E" w:rsidP="007E6F21">
            <w:pPr>
              <w:pStyle w:val="Tabletext"/>
              <w:keepNext/>
              <w:jc w:val="center"/>
              <w:rPr>
                <w:bCs/>
              </w:rPr>
            </w:pPr>
            <w:r>
              <w:rPr>
                <w:noProof/>
                <w:color w:val="000000"/>
                <w:highlight w:val="black"/>
              </w:rPr>
              <w:t>'''''</w:t>
            </w:r>
            <w:r w:rsidR="0023498E" w:rsidRPr="007579E2">
              <w:t xml:space="preserve"> (</w:t>
            </w:r>
            <w:r>
              <w:rPr>
                <w:noProof/>
                <w:color w:val="000000"/>
                <w:highlight w:val="black"/>
              </w:rPr>
              <w:t>''''''''''</w:t>
            </w:r>
            <w:r w:rsidR="0023498E" w:rsidRPr="007579E2">
              <w:t>%)</w:t>
            </w:r>
          </w:p>
        </w:tc>
        <w:tc>
          <w:tcPr>
            <w:tcW w:w="2313" w:type="dxa"/>
            <w:hideMark/>
          </w:tcPr>
          <w:p w:rsidR="0023498E" w:rsidRPr="007579E2" w:rsidRDefault="0023686E" w:rsidP="007E6F21">
            <w:pPr>
              <w:pStyle w:val="Tabletext"/>
              <w:keepNext/>
              <w:jc w:val="center"/>
              <w:rPr>
                <w:bCs/>
              </w:rPr>
            </w:pPr>
            <w:r>
              <w:rPr>
                <w:noProof/>
                <w:color w:val="000000"/>
                <w:highlight w:val="black"/>
              </w:rPr>
              <w:t>'''''''</w:t>
            </w:r>
            <w:r w:rsidR="0023498E" w:rsidRPr="007579E2">
              <w:t xml:space="preserve"> (</w:t>
            </w:r>
            <w:r>
              <w:rPr>
                <w:noProof/>
                <w:color w:val="000000"/>
                <w:highlight w:val="black"/>
              </w:rPr>
              <w:t>''''''''''</w:t>
            </w:r>
            <w:r w:rsidR="0023498E" w:rsidRPr="007579E2">
              <w:t>%)</w:t>
            </w:r>
          </w:p>
        </w:tc>
      </w:tr>
      <w:tr w:rsidR="0023498E" w:rsidRPr="007579E2" w:rsidTr="003F0F63">
        <w:trPr>
          <w:trHeight w:val="244"/>
        </w:trPr>
        <w:tc>
          <w:tcPr>
            <w:tcW w:w="4390" w:type="dxa"/>
            <w:hideMark/>
          </w:tcPr>
          <w:p w:rsidR="0023498E" w:rsidRPr="007579E2" w:rsidRDefault="0023498E" w:rsidP="007E6F21">
            <w:pPr>
              <w:pStyle w:val="Tabletext"/>
              <w:keepNext/>
              <w:rPr>
                <w:bCs/>
              </w:rPr>
            </w:pPr>
            <w:r w:rsidRPr="007579E2">
              <w:t>Stable disease</w:t>
            </w:r>
            <w:r w:rsidR="00F54937" w:rsidRPr="007579E2">
              <w:t>, n (%)</w:t>
            </w:r>
          </w:p>
        </w:tc>
        <w:tc>
          <w:tcPr>
            <w:tcW w:w="2313" w:type="dxa"/>
            <w:hideMark/>
          </w:tcPr>
          <w:p w:rsidR="0023498E" w:rsidRPr="007579E2" w:rsidRDefault="0023686E" w:rsidP="007E6F21">
            <w:pPr>
              <w:pStyle w:val="Tabletext"/>
              <w:keepNext/>
              <w:jc w:val="center"/>
              <w:rPr>
                <w:bCs/>
              </w:rPr>
            </w:pPr>
            <w:r>
              <w:rPr>
                <w:noProof/>
                <w:color w:val="000000"/>
                <w:highlight w:val="black"/>
              </w:rPr>
              <w:t>'''''</w:t>
            </w:r>
            <w:r w:rsidR="0023498E" w:rsidRPr="007579E2">
              <w:t xml:space="preserve"> (</w:t>
            </w:r>
            <w:r>
              <w:rPr>
                <w:noProof/>
                <w:color w:val="000000"/>
                <w:highlight w:val="black"/>
              </w:rPr>
              <w:t>'''''''''''</w:t>
            </w:r>
            <w:r w:rsidR="0023498E" w:rsidRPr="007579E2">
              <w:t>%)</w:t>
            </w:r>
          </w:p>
        </w:tc>
        <w:tc>
          <w:tcPr>
            <w:tcW w:w="2313" w:type="dxa"/>
            <w:hideMark/>
          </w:tcPr>
          <w:p w:rsidR="0023498E" w:rsidRPr="007579E2" w:rsidRDefault="0023686E" w:rsidP="007E6F21">
            <w:pPr>
              <w:pStyle w:val="Tabletext"/>
              <w:keepNext/>
              <w:jc w:val="center"/>
              <w:rPr>
                <w:bCs/>
              </w:rPr>
            </w:pPr>
            <w:r>
              <w:rPr>
                <w:noProof/>
                <w:color w:val="000000"/>
                <w:highlight w:val="black"/>
              </w:rPr>
              <w:t>''''''</w:t>
            </w:r>
            <w:r w:rsidR="0023498E" w:rsidRPr="007579E2">
              <w:t xml:space="preserve"> (</w:t>
            </w:r>
            <w:r>
              <w:rPr>
                <w:noProof/>
                <w:color w:val="000000"/>
                <w:highlight w:val="black"/>
              </w:rPr>
              <w:t>''''''''''</w:t>
            </w:r>
            <w:r w:rsidR="0023498E" w:rsidRPr="007579E2">
              <w:t>%)</w:t>
            </w:r>
          </w:p>
        </w:tc>
      </w:tr>
      <w:tr w:rsidR="0023498E" w:rsidRPr="007579E2" w:rsidTr="003F0F63">
        <w:trPr>
          <w:trHeight w:val="244"/>
        </w:trPr>
        <w:tc>
          <w:tcPr>
            <w:tcW w:w="4390" w:type="dxa"/>
            <w:hideMark/>
          </w:tcPr>
          <w:p w:rsidR="0023498E" w:rsidRPr="007579E2" w:rsidRDefault="0023498E" w:rsidP="007E6F21">
            <w:pPr>
              <w:pStyle w:val="Tabletext"/>
              <w:keepNext/>
              <w:rPr>
                <w:bCs/>
              </w:rPr>
            </w:pPr>
            <w:r w:rsidRPr="007579E2">
              <w:t>Disease progression</w:t>
            </w:r>
            <w:r w:rsidR="00F54937" w:rsidRPr="007579E2">
              <w:t>, n (%)</w:t>
            </w:r>
          </w:p>
        </w:tc>
        <w:tc>
          <w:tcPr>
            <w:tcW w:w="2313" w:type="dxa"/>
            <w:hideMark/>
          </w:tcPr>
          <w:p w:rsidR="0023498E" w:rsidRPr="007579E2" w:rsidRDefault="0023686E" w:rsidP="007E6F21">
            <w:pPr>
              <w:pStyle w:val="Tabletext"/>
              <w:keepNext/>
              <w:jc w:val="center"/>
              <w:rPr>
                <w:bCs/>
              </w:rPr>
            </w:pPr>
            <w:r>
              <w:rPr>
                <w:noProof/>
                <w:color w:val="000000"/>
                <w:highlight w:val="black"/>
              </w:rPr>
              <w:t>'''''''</w:t>
            </w:r>
            <w:r w:rsidR="0023498E" w:rsidRPr="007579E2">
              <w:t xml:space="preserve"> (</w:t>
            </w:r>
            <w:r>
              <w:rPr>
                <w:noProof/>
                <w:color w:val="000000"/>
                <w:highlight w:val="black"/>
              </w:rPr>
              <w:t>''''''''''</w:t>
            </w:r>
            <w:r w:rsidR="0023498E" w:rsidRPr="007579E2">
              <w:t>%)</w:t>
            </w:r>
          </w:p>
        </w:tc>
        <w:tc>
          <w:tcPr>
            <w:tcW w:w="2313" w:type="dxa"/>
            <w:hideMark/>
          </w:tcPr>
          <w:p w:rsidR="0023498E" w:rsidRPr="007579E2" w:rsidRDefault="0023686E" w:rsidP="007E6F21">
            <w:pPr>
              <w:pStyle w:val="Tabletext"/>
              <w:keepNext/>
              <w:jc w:val="center"/>
              <w:rPr>
                <w:bCs/>
              </w:rPr>
            </w:pPr>
            <w:r>
              <w:rPr>
                <w:noProof/>
                <w:color w:val="000000"/>
                <w:highlight w:val="black"/>
              </w:rPr>
              <w:t>'''''</w:t>
            </w:r>
            <w:r w:rsidR="0023498E" w:rsidRPr="007579E2">
              <w:t xml:space="preserve"> (</w:t>
            </w:r>
            <w:r>
              <w:rPr>
                <w:noProof/>
                <w:color w:val="000000"/>
                <w:highlight w:val="black"/>
              </w:rPr>
              <w:t>''''''''''''</w:t>
            </w:r>
            <w:r w:rsidR="0023498E" w:rsidRPr="007579E2">
              <w:t>%)</w:t>
            </w:r>
          </w:p>
        </w:tc>
      </w:tr>
    </w:tbl>
    <w:p w:rsidR="0023498E" w:rsidRPr="007579E2" w:rsidRDefault="0023498E" w:rsidP="007E6F21">
      <w:pPr>
        <w:keepNext/>
        <w:widowControl/>
        <w:rPr>
          <w:rFonts w:ascii="Arial Narrow" w:eastAsiaTheme="minorHAnsi" w:hAnsi="Arial Narrow" w:cstheme="minorBidi"/>
          <w:snapToGrid/>
          <w:sz w:val="18"/>
        </w:rPr>
      </w:pPr>
      <w:proofErr w:type="gramStart"/>
      <w:r w:rsidRPr="007579E2">
        <w:rPr>
          <w:rFonts w:ascii="Arial Narrow" w:eastAsiaTheme="minorHAnsi" w:hAnsi="Arial Narrow" w:cstheme="minorBidi"/>
          <w:snapToGrid/>
          <w:sz w:val="18"/>
          <w:vertAlign w:val="superscript"/>
        </w:rPr>
        <w:t>a</w:t>
      </w:r>
      <w:proofErr w:type="gramEnd"/>
      <w:r w:rsidRPr="007579E2">
        <w:rPr>
          <w:rFonts w:ascii="Arial Narrow" w:eastAsiaTheme="minorHAnsi" w:hAnsi="Arial Narrow" w:cstheme="minorBidi"/>
          <w:snapToGrid/>
          <w:sz w:val="18"/>
        </w:rPr>
        <w:t xml:space="preserve"> Relapsed patients who received any targeted therapy and were evaluable for </w:t>
      </w:r>
      <w:r w:rsidRPr="004E5C26">
        <w:rPr>
          <w:rFonts w:ascii="Arial Narrow" w:eastAsiaTheme="minorHAnsi" w:hAnsi="Arial Narrow" w:cstheme="minorBidi"/>
          <w:snapToGrid/>
          <w:sz w:val="18"/>
        </w:rPr>
        <w:t xml:space="preserve">response (n = </w:t>
      </w:r>
      <w:r w:rsidR="0023686E">
        <w:rPr>
          <w:rFonts w:ascii="Arial Narrow" w:eastAsiaTheme="minorHAnsi" w:hAnsi="Arial Narrow" w:cstheme="minorBidi"/>
          <w:noProof/>
          <w:snapToGrid/>
          <w:color w:val="000000"/>
          <w:sz w:val="18"/>
          <w:highlight w:val="black"/>
        </w:rPr>
        <w:t>'''''''</w:t>
      </w:r>
      <w:r w:rsidR="004E5C26" w:rsidRPr="004E5C26">
        <w:rPr>
          <w:rFonts w:ascii="Arial Narrow" w:eastAsiaTheme="minorHAnsi" w:hAnsi="Arial Narrow" w:cstheme="minorBidi"/>
          <w:snapToGrid/>
          <w:sz w:val="18"/>
        </w:rPr>
        <w:t xml:space="preserve"> </w:t>
      </w:r>
      <w:r w:rsidRPr="004E5C26">
        <w:rPr>
          <w:rFonts w:ascii="Arial Narrow" w:eastAsiaTheme="minorHAnsi" w:hAnsi="Arial Narrow" w:cstheme="minorBidi"/>
          <w:snapToGrid/>
          <w:sz w:val="18"/>
        </w:rPr>
        <w:t xml:space="preserve"> in the</w:t>
      </w:r>
      <w:r w:rsidRPr="007579E2">
        <w:rPr>
          <w:rFonts w:ascii="Arial Narrow" w:eastAsiaTheme="minorHAnsi" w:hAnsi="Arial Narrow" w:cstheme="minorBidi"/>
          <w:snapToGrid/>
          <w:sz w:val="18"/>
        </w:rPr>
        <w:t xml:space="preserve"> </w:t>
      </w:r>
      <w:proofErr w:type="spellStart"/>
      <w:r w:rsidRPr="007579E2">
        <w:rPr>
          <w:rFonts w:ascii="Arial Narrow" w:eastAsiaTheme="minorHAnsi" w:hAnsi="Arial Narrow" w:cstheme="minorBidi"/>
          <w:snapToGrid/>
          <w:sz w:val="18"/>
        </w:rPr>
        <w:t>dab</w:t>
      </w:r>
      <w:r w:rsidR="007E6F21">
        <w:rPr>
          <w:rFonts w:ascii="Arial Narrow" w:eastAsiaTheme="minorHAnsi" w:hAnsi="Arial Narrow" w:cstheme="minorBidi"/>
          <w:snapToGrid/>
          <w:sz w:val="18"/>
        </w:rPr>
        <w:t>rafenib</w:t>
      </w:r>
      <w:proofErr w:type="spellEnd"/>
      <w:r w:rsidR="007E6F21">
        <w:rPr>
          <w:rFonts w:ascii="Arial Narrow" w:eastAsiaTheme="minorHAnsi" w:hAnsi="Arial Narrow" w:cstheme="minorBidi"/>
          <w:snapToGrid/>
          <w:sz w:val="18"/>
        </w:rPr>
        <w:t xml:space="preserve"> + </w:t>
      </w:r>
      <w:proofErr w:type="spellStart"/>
      <w:r w:rsidR="007E6F21">
        <w:rPr>
          <w:rFonts w:ascii="Arial Narrow" w:eastAsiaTheme="minorHAnsi" w:hAnsi="Arial Narrow" w:cstheme="minorBidi"/>
          <w:snapToGrid/>
          <w:sz w:val="18"/>
        </w:rPr>
        <w:t>trametinib</w:t>
      </w:r>
      <w:proofErr w:type="spellEnd"/>
      <w:r w:rsidR="007E6F21">
        <w:rPr>
          <w:rFonts w:ascii="Arial Narrow" w:eastAsiaTheme="minorHAnsi" w:hAnsi="Arial Narrow" w:cstheme="minorBidi"/>
          <w:snapToGrid/>
          <w:sz w:val="18"/>
        </w:rPr>
        <w:t xml:space="preserve"> arm and n </w:t>
      </w:r>
      <w:r w:rsidR="007E6F21" w:rsidRPr="004E5C26">
        <w:rPr>
          <w:rFonts w:ascii="Arial Narrow" w:eastAsiaTheme="minorHAnsi" w:hAnsi="Arial Narrow" w:cstheme="minorBidi"/>
          <w:snapToGrid/>
          <w:sz w:val="18"/>
        </w:rPr>
        <w:t>= </w:t>
      </w:r>
      <w:r w:rsidR="0023686E">
        <w:rPr>
          <w:rFonts w:ascii="Arial Narrow" w:eastAsiaTheme="minorHAnsi" w:hAnsi="Arial Narrow" w:cstheme="minorBidi"/>
          <w:noProof/>
          <w:snapToGrid/>
          <w:color w:val="000000"/>
          <w:sz w:val="18"/>
          <w:highlight w:val="black"/>
        </w:rPr>
        <w:t>''''''</w:t>
      </w:r>
      <w:r w:rsidRPr="004E5C26">
        <w:rPr>
          <w:rFonts w:ascii="Arial Narrow" w:eastAsiaTheme="minorHAnsi" w:hAnsi="Arial Narrow" w:cstheme="minorBidi"/>
          <w:snapToGrid/>
          <w:sz w:val="18"/>
        </w:rPr>
        <w:t xml:space="preserve"> in the</w:t>
      </w:r>
      <w:r w:rsidRPr="007579E2">
        <w:rPr>
          <w:rFonts w:ascii="Arial Narrow" w:eastAsiaTheme="minorHAnsi" w:hAnsi="Arial Narrow" w:cstheme="minorBidi"/>
          <w:snapToGrid/>
          <w:sz w:val="18"/>
        </w:rPr>
        <w:t xml:space="preserve"> placebo arm were non-evaluable for response due to local relapses followed by complete resection or responses were non-applicable or unknown).</w:t>
      </w:r>
    </w:p>
    <w:p w:rsidR="0023498E" w:rsidRPr="007579E2" w:rsidRDefault="0023498E" w:rsidP="007E6F21">
      <w:pPr>
        <w:keepNext/>
        <w:widowControl/>
        <w:rPr>
          <w:rFonts w:ascii="Arial Narrow" w:eastAsiaTheme="minorHAnsi" w:hAnsi="Arial Narrow" w:cstheme="minorBidi"/>
          <w:snapToGrid/>
          <w:sz w:val="18"/>
          <w:szCs w:val="18"/>
        </w:rPr>
      </w:pPr>
      <w:proofErr w:type="gramStart"/>
      <w:r w:rsidRPr="007579E2">
        <w:rPr>
          <w:rFonts w:ascii="Arial Narrow" w:eastAsiaTheme="minorHAnsi" w:hAnsi="Arial Narrow" w:cstheme="minorBidi"/>
          <w:snapToGrid/>
          <w:sz w:val="18"/>
          <w:szCs w:val="18"/>
          <w:vertAlign w:val="superscript"/>
        </w:rPr>
        <w:t>b</w:t>
      </w:r>
      <w:proofErr w:type="gramEnd"/>
      <w:r w:rsidRPr="007579E2">
        <w:rPr>
          <w:rFonts w:ascii="Arial Narrow" w:eastAsiaTheme="minorHAnsi" w:hAnsi="Arial Narrow" w:cstheme="minorBidi"/>
          <w:snapToGrid/>
          <w:sz w:val="18"/>
          <w:szCs w:val="18"/>
        </w:rPr>
        <w:t xml:space="preserve"> Calculated from the sum of patients with complete response, partial response and stable disease</w:t>
      </w:r>
    </w:p>
    <w:p w:rsidR="0023498E" w:rsidRPr="007579E2" w:rsidRDefault="0023498E" w:rsidP="007E6F21">
      <w:pPr>
        <w:keepNext/>
        <w:widowControl/>
        <w:rPr>
          <w:rFonts w:ascii="Arial Narrow" w:eastAsiaTheme="minorHAnsi" w:hAnsi="Arial Narrow" w:cstheme="minorBidi"/>
          <w:snapToGrid/>
          <w:sz w:val="18"/>
          <w:szCs w:val="18"/>
        </w:rPr>
      </w:pPr>
      <w:r w:rsidRPr="007579E2">
        <w:rPr>
          <w:rFonts w:ascii="Arial Narrow" w:eastAsiaTheme="minorHAnsi" w:hAnsi="Arial Narrow" w:cstheme="minorBidi"/>
          <w:snapToGrid/>
          <w:sz w:val="18"/>
          <w:szCs w:val="18"/>
        </w:rPr>
        <w:t>Note: Data cut-off June 2017</w:t>
      </w:r>
    </w:p>
    <w:p w:rsidR="0023498E" w:rsidRPr="007579E2" w:rsidRDefault="0023498E" w:rsidP="007E6F21">
      <w:pPr>
        <w:widowControl/>
        <w:rPr>
          <w:rFonts w:ascii="Arial Narrow" w:hAnsi="Arial Narrow"/>
          <w:sz w:val="18"/>
          <w:szCs w:val="18"/>
        </w:rPr>
      </w:pPr>
      <w:r w:rsidRPr="007579E2">
        <w:rPr>
          <w:rFonts w:ascii="Arial Narrow" w:hAnsi="Arial Narrow"/>
          <w:sz w:val="18"/>
          <w:szCs w:val="18"/>
        </w:rPr>
        <w:t>Source: Table 2.6-3, p74 of the submission</w:t>
      </w:r>
    </w:p>
    <w:p w:rsidR="00B60939" w:rsidRPr="007579E2" w:rsidRDefault="00B60939" w:rsidP="00061E01">
      <w:pPr>
        <w:pStyle w:val="Heading2"/>
        <w:widowControl/>
        <w:spacing w:before="120"/>
      </w:pPr>
      <w:bookmarkStart w:id="13" w:name="_Toc536008001"/>
      <w:r w:rsidRPr="007579E2">
        <w:t>Comparative harms</w:t>
      </w:r>
      <w:bookmarkEnd w:id="13"/>
    </w:p>
    <w:p w:rsidR="00711087" w:rsidRPr="007579E2" w:rsidRDefault="00711087" w:rsidP="00061E01">
      <w:pPr>
        <w:pStyle w:val="ListParagraph"/>
        <w:widowControl/>
        <w:numPr>
          <w:ilvl w:val="1"/>
          <w:numId w:val="2"/>
        </w:numPr>
        <w:spacing w:before="120"/>
      </w:pPr>
      <w:r w:rsidRPr="007579E2">
        <w:t xml:space="preserve">The results of adverse events from COMBI-AD are summarised below. Patients treated with </w:t>
      </w:r>
      <w:proofErr w:type="spellStart"/>
      <w:r w:rsidRPr="007579E2">
        <w:t>dabrafenib+trametinib</w:t>
      </w:r>
      <w:proofErr w:type="spellEnd"/>
      <w:r w:rsidRPr="007579E2">
        <w:t xml:space="preserve"> were nearly three time more likely to experience Grade 3 or 4 </w:t>
      </w:r>
      <w:r w:rsidR="00D124D0" w:rsidRPr="007579E2">
        <w:t>adverse events</w:t>
      </w:r>
      <w:r w:rsidRPr="007579E2">
        <w:t xml:space="preserve">, nine times more likely to have </w:t>
      </w:r>
      <w:r w:rsidR="00D124D0" w:rsidRPr="007579E2">
        <w:t xml:space="preserve">adverse events </w:t>
      </w:r>
      <w:r w:rsidRPr="007579E2">
        <w:t xml:space="preserve">leading to treatment discontinuation, and nearly seven times more likely to experience serious </w:t>
      </w:r>
      <w:r w:rsidR="00D124D0" w:rsidRPr="007579E2">
        <w:t xml:space="preserve">adverse events </w:t>
      </w:r>
      <w:r w:rsidRPr="007579E2">
        <w:t xml:space="preserve">related to study treatment, compared with those treated with placebo. The safety risks with </w:t>
      </w:r>
      <w:proofErr w:type="spellStart"/>
      <w:r w:rsidRPr="007579E2">
        <w:t>dabrafenib+trametinib</w:t>
      </w:r>
      <w:proofErr w:type="spellEnd"/>
      <w:r w:rsidRPr="007579E2">
        <w:t xml:space="preserve"> were significantly higher than placebo for all </w:t>
      </w:r>
      <w:r w:rsidR="00D124D0" w:rsidRPr="007579E2">
        <w:t>adverse event</w:t>
      </w:r>
      <w:r w:rsidRPr="007579E2">
        <w:t xml:space="preserve"> outcomes except fatal </w:t>
      </w:r>
      <w:r w:rsidR="00D124D0" w:rsidRPr="007579E2">
        <w:t>serious adverse events</w:t>
      </w:r>
      <w:r w:rsidRPr="007579E2">
        <w:t>.</w:t>
      </w:r>
      <w:r w:rsidR="00D63963" w:rsidRPr="007579E2">
        <w:t xml:space="preserve"> The ESC noted </w:t>
      </w:r>
      <w:proofErr w:type="spellStart"/>
      <w:r w:rsidR="00D63963" w:rsidRPr="007579E2">
        <w:t>dabrafenib+trametinib</w:t>
      </w:r>
      <w:proofErr w:type="spellEnd"/>
      <w:r w:rsidR="00D63963" w:rsidRPr="007579E2">
        <w:t xml:space="preserve"> was commonly associated with fever, fatigue and gastrointestinal events.</w:t>
      </w:r>
    </w:p>
    <w:p w:rsidR="00DE2F35" w:rsidRPr="007579E2" w:rsidRDefault="00DE2F35" w:rsidP="007E6F21">
      <w:pPr>
        <w:keepNext/>
        <w:widowControl/>
        <w:rPr>
          <w:rFonts w:ascii="Arial Narrow" w:hAnsi="Arial Narrow"/>
          <w:b/>
          <w:bCs/>
          <w:sz w:val="20"/>
          <w:szCs w:val="18"/>
        </w:rPr>
      </w:pPr>
      <w:r w:rsidRPr="007579E2">
        <w:rPr>
          <w:rFonts w:ascii="Arial Narrow" w:hAnsi="Arial Narrow"/>
          <w:b/>
          <w:bCs/>
          <w:sz w:val="20"/>
          <w:szCs w:val="18"/>
        </w:rPr>
        <w:t xml:space="preserve">Table </w:t>
      </w:r>
      <w:r w:rsidR="00DF4C14" w:rsidRPr="007579E2">
        <w:rPr>
          <w:rFonts w:ascii="Arial Narrow" w:hAnsi="Arial Narrow"/>
          <w:b/>
          <w:bCs/>
          <w:sz w:val="20"/>
          <w:szCs w:val="18"/>
        </w:rPr>
        <w:t>12</w:t>
      </w:r>
      <w:r w:rsidRPr="007579E2">
        <w:rPr>
          <w:rFonts w:ascii="Arial Narrow" w:hAnsi="Arial Narrow"/>
          <w:b/>
          <w:bCs/>
          <w:sz w:val="20"/>
          <w:szCs w:val="18"/>
        </w:rPr>
        <w:t>: Summary of adverse events for COMBI-AD trial; Safety population</w:t>
      </w:r>
    </w:p>
    <w:tbl>
      <w:tblPr>
        <w:tblStyle w:val="Summarybox7"/>
        <w:tblW w:w="0" w:type="auto"/>
        <w:tblInd w:w="-5" w:type="dxa"/>
        <w:tblLook w:val="04A0" w:firstRow="1" w:lastRow="0" w:firstColumn="1" w:lastColumn="0" w:noHBand="0" w:noVBand="1"/>
        <w:tblCaption w:val="Table 12: Summary of adverse events for COMBI-AD trial; Safety population"/>
      </w:tblPr>
      <w:tblGrid>
        <w:gridCol w:w="2783"/>
        <w:gridCol w:w="1408"/>
        <w:gridCol w:w="1260"/>
        <w:gridCol w:w="1775"/>
        <w:gridCol w:w="1796"/>
      </w:tblGrid>
      <w:tr w:rsidR="004E5C26" w:rsidRPr="007579E2" w:rsidTr="00DF4C14">
        <w:trPr>
          <w:trHeight w:val="244"/>
          <w:tblHeader/>
        </w:trPr>
        <w:tc>
          <w:tcPr>
            <w:tcW w:w="2783" w:type="dxa"/>
            <w:shd w:val="clear" w:color="auto" w:fill="FFFFFF" w:themeFill="background1"/>
            <w:vAlign w:val="center"/>
          </w:tcPr>
          <w:p w:rsidR="004E5C26" w:rsidRPr="007579E2" w:rsidRDefault="004E5C26" w:rsidP="004E5C26">
            <w:pPr>
              <w:pStyle w:val="Tabletext"/>
              <w:rPr>
                <w:b/>
              </w:rPr>
            </w:pPr>
            <w:r w:rsidRPr="007579E2">
              <w:rPr>
                <w:b/>
              </w:rPr>
              <w:t>Adverse events, n (%)</w:t>
            </w:r>
          </w:p>
        </w:tc>
        <w:tc>
          <w:tcPr>
            <w:tcW w:w="1408" w:type="dxa"/>
            <w:shd w:val="clear" w:color="auto" w:fill="FFFFFF" w:themeFill="background1"/>
          </w:tcPr>
          <w:p w:rsidR="004E5C26" w:rsidRPr="007579E2" w:rsidRDefault="004E5C26" w:rsidP="004E5C26">
            <w:pPr>
              <w:pStyle w:val="Tabletext"/>
              <w:jc w:val="center"/>
              <w:rPr>
                <w:b/>
              </w:rPr>
            </w:pPr>
            <w:r w:rsidRPr="007579E2">
              <w:rPr>
                <w:b/>
              </w:rPr>
              <w:t>DAB+TRAM</w:t>
            </w:r>
          </w:p>
          <w:p w:rsidR="004E5C26" w:rsidRPr="007579E2" w:rsidRDefault="004E5C26" w:rsidP="004E5C26">
            <w:pPr>
              <w:pStyle w:val="Tabletext"/>
              <w:jc w:val="center"/>
              <w:rPr>
                <w:b/>
              </w:rPr>
            </w:pPr>
            <w:r w:rsidRPr="007579E2">
              <w:rPr>
                <w:b/>
              </w:rPr>
              <w:t>(N = 435)</w:t>
            </w:r>
          </w:p>
        </w:tc>
        <w:tc>
          <w:tcPr>
            <w:tcW w:w="1260" w:type="dxa"/>
            <w:shd w:val="clear" w:color="auto" w:fill="FFFFFF" w:themeFill="background1"/>
          </w:tcPr>
          <w:p w:rsidR="004E5C26" w:rsidRPr="007579E2" w:rsidRDefault="004E5C26" w:rsidP="004E5C26">
            <w:pPr>
              <w:pStyle w:val="Tabletext"/>
              <w:jc w:val="center"/>
              <w:rPr>
                <w:b/>
              </w:rPr>
            </w:pPr>
            <w:r w:rsidRPr="007579E2">
              <w:rPr>
                <w:b/>
              </w:rPr>
              <w:t>Placebo</w:t>
            </w:r>
          </w:p>
          <w:p w:rsidR="004E5C26" w:rsidRPr="007579E2" w:rsidRDefault="004E5C26" w:rsidP="004E5C26">
            <w:pPr>
              <w:pStyle w:val="Tabletext"/>
              <w:jc w:val="center"/>
              <w:rPr>
                <w:b/>
              </w:rPr>
            </w:pPr>
            <w:r w:rsidRPr="007579E2">
              <w:rPr>
                <w:b/>
              </w:rPr>
              <w:t>(N = 432)</w:t>
            </w:r>
          </w:p>
        </w:tc>
        <w:tc>
          <w:tcPr>
            <w:tcW w:w="1775" w:type="dxa"/>
            <w:shd w:val="clear" w:color="auto" w:fill="FFFFFF" w:themeFill="background1"/>
            <w:vAlign w:val="center"/>
          </w:tcPr>
          <w:p w:rsidR="004E5C26" w:rsidRPr="007579E2" w:rsidRDefault="004E5C26" w:rsidP="004E5C26">
            <w:pPr>
              <w:pStyle w:val="Tabletext"/>
              <w:jc w:val="center"/>
              <w:rPr>
                <w:b/>
              </w:rPr>
            </w:pPr>
            <w:r w:rsidRPr="00ED7773">
              <w:t>RR (95% CI)</w:t>
            </w:r>
            <w:r w:rsidRPr="00ED7773">
              <w:rPr>
                <w:vertAlign w:val="superscript"/>
              </w:rPr>
              <w:t>a</w:t>
            </w:r>
          </w:p>
        </w:tc>
        <w:tc>
          <w:tcPr>
            <w:tcW w:w="1796" w:type="dxa"/>
            <w:shd w:val="clear" w:color="auto" w:fill="FFFFFF" w:themeFill="background1"/>
            <w:vAlign w:val="center"/>
          </w:tcPr>
          <w:p w:rsidR="004E5C26" w:rsidRPr="007579E2" w:rsidRDefault="004E5C26" w:rsidP="004E5C26">
            <w:pPr>
              <w:pStyle w:val="Tabletext"/>
              <w:jc w:val="center"/>
              <w:rPr>
                <w:b/>
              </w:rPr>
            </w:pPr>
            <w:r w:rsidRPr="00ED7773">
              <w:t>RD (95% CI)</w:t>
            </w:r>
            <w:r w:rsidRPr="00ED7773">
              <w:rPr>
                <w:vertAlign w:val="superscript"/>
              </w:rPr>
              <w:t>a</w:t>
            </w:r>
          </w:p>
        </w:tc>
      </w:tr>
      <w:tr w:rsidR="00612186" w:rsidRPr="007579E2" w:rsidTr="00DF4C14">
        <w:trPr>
          <w:trHeight w:val="244"/>
          <w:tblHeader/>
        </w:trPr>
        <w:tc>
          <w:tcPr>
            <w:tcW w:w="2783" w:type="dxa"/>
            <w:tcBorders>
              <w:bottom w:val="single" w:sz="4" w:space="0" w:color="auto"/>
            </w:tcBorders>
            <w:vAlign w:val="center"/>
          </w:tcPr>
          <w:p w:rsidR="00612186" w:rsidRPr="007579E2" w:rsidRDefault="00612186" w:rsidP="007E6F21">
            <w:pPr>
              <w:pStyle w:val="Tabletext"/>
            </w:pPr>
            <w:r w:rsidRPr="007579E2">
              <w:t>Any AE (all grades)</w:t>
            </w:r>
          </w:p>
        </w:tc>
        <w:tc>
          <w:tcPr>
            <w:tcW w:w="1408" w:type="dxa"/>
            <w:tcBorders>
              <w:bottom w:val="single" w:sz="4" w:space="0" w:color="auto"/>
            </w:tcBorders>
          </w:tcPr>
          <w:p w:rsidR="00612186" w:rsidRPr="007579E2" w:rsidRDefault="00612186" w:rsidP="007E6F21">
            <w:pPr>
              <w:pStyle w:val="Tabletext"/>
              <w:jc w:val="center"/>
            </w:pPr>
            <w:r w:rsidRPr="007579E2">
              <w:t>422 (97</w:t>
            </w:r>
            <w:r w:rsidR="00777D3B" w:rsidRPr="007579E2">
              <w:t>%</w:t>
            </w:r>
            <w:r w:rsidRPr="007579E2">
              <w:t>)</w:t>
            </w:r>
          </w:p>
        </w:tc>
        <w:tc>
          <w:tcPr>
            <w:tcW w:w="1260" w:type="dxa"/>
            <w:tcBorders>
              <w:bottom w:val="single" w:sz="4" w:space="0" w:color="auto"/>
            </w:tcBorders>
          </w:tcPr>
          <w:p w:rsidR="00612186" w:rsidRPr="007579E2" w:rsidRDefault="00612186" w:rsidP="007E6F21">
            <w:pPr>
              <w:pStyle w:val="Tabletext"/>
              <w:jc w:val="center"/>
            </w:pPr>
            <w:r w:rsidRPr="007579E2">
              <w:t>380 (88</w:t>
            </w:r>
            <w:r w:rsidR="00777D3B" w:rsidRPr="007579E2">
              <w:t>%</w:t>
            </w:r>
            <w:r w:rsidRPr="007579E2">
              <w:t>)</w:t>
            </w:r>
          </w:p>
        </w:tc>
        <w:tc>
          <w:tcPr>
            <w:tcW w:w="1775" w:type="dxa"/>
            <w:tcBorders>
              <w:bottom w:val="single" w:sz="4" w:space="0" w:color="auto"/>
            </w:tcBorders>
          </w:tcPr>
          <w:p w:rsidR="00612186" w:rsidRPr="00077A99" w:rsidRDefault="00612186" w:rsidP="007E6F21">
            <w:pPr>
              <w:pStyle w:val="Tabletext"/>
              <w:jc w:val="center"/>
            </w:pPr>
            <w:r w:rsidRPr="00077A99">
              <w:t>1.10 (1.06, 1.15)</w:t>
            </w:r>
          </w:p>
        </w:tc>
        <w:tc>
          <w:tcPr>
            <w:tcW w:w="1796" w:type="dxa"/>
            <w:tcBorders>
              <w:bottom w:val="single" w:sz="4" w:space="0" w:color="auto"/>
            </w:tcBorders>
          </w:tcPr>
          <w:p w:rsidR="00612186" w:rsidRPr="00077A99" w:rsidRDefault="00612186" w:rsidP="007E6F21">
            <w:pPr>
              <w:pStyle w:val="Tabletext"/>
              <w:jc w:val="center"/>
            </w:pPr>
            <w:r w:rsidRPr="00077A99">
              <w:t>0.09 (0.06, 0.13)</w:t>
            </w:r>
          </w:p>
        </w:tc>
      </w:tr>
      <w:tr w:rsidR="00612186" w:rsidRPr="007579E2" w:rsidTr="00DF4C14">
        <w:trPr>
          <w:trHeight w:val="244"/>
          <w:tblHeader/>
        </w:trPr>
        <w:tc>
          <w:tcPr>
            <w:tcW w:w="2783" w:type="dxa"/>
            <w:tcBorders>
              <w:bottom w:val="single" w:sz="4" w:space="0" w:color="auto"/>
            </w:tcBorders>
            <w:vAlign w:val="center"/>
          </w:tcPr>
          <w:p w:rsidR="00612186" w:rsidRPr="007579E2" w:rsidRDefault="00612186" w:rsidP="007E6F21">
            <w:pPr>
              <w:pStyle w:val="Tabletext"/>
            </w:pPr>
            <w:r w:rsidRPr="007579E2">
              <w:t>Grade 3 or 4</w:t>
            </w:r>
          </w:p>
        </w:tc>
        <w:tc>
          <w:tcPr>
            <w:tcW w:w="1408" w:type="dxa"/>
            <w:tcBorders>
              <w:bottom w:val="single" w:sz="4" w:space="0" w:color="auto"/>
            </w:tcBorders>
          </w:tcPr>
          <w:p w:rsidR="00612186" w:rsidRPr="007579E2" w:rsidRDefault="00612186" w:rsidP="007E6F21">
            <w:pPr>
              <w:pStyle w:val="Tabletext"/>
              <w:jc w:val="center"/>
            </w:pPr>
            <w:r w:rsidRPr="007579E2">
              <w:t>180 (41</w:t>
            </w:r>
            <w:r w:rsidR="00777D3B" w:rsidRPr="007579E2">
              <w:t>%</w:t>
            </w:r>
            <w:r w:rsidRPr="007579E2">
              <w:t>)</w:t>
            </w:r>
          </w:p>
        </w:tc>
        <w:tc>
          <w:tcPr>
            <w:tcW w:w="1260" w:type="dxa"/>
            <w:tcBorders>
              <w:bottom w:val="single" w:sz="4" w:space="0" w:color="auto"/>
            </w:tcBorders>
          </w:tcPr>
          <w:p w:rsidR="00612186" w:rsidRPr="007579E2" w:rsidRDefault="00612186" w:rsidP="007E6F21">
            <w:pPr>
              <w:pStyle w:val="Tabletext"/>
              <w:jc w:val="center"/>
            </w:pPr>
            <w:r w:rsidRPr="007579E2">
              <w:t>61 (14</w:t>
            </w:r>
            <w:r w:rsidR="00777D3B" w:rsidRPr="007579E2">
              <w:t>%</w:t>
            </w:r>
            <w:r w:rsidRPr="007579E2">
              <w:t>)</w:t>
            </w:r>
          </w:p>
        </w:tc>
        <w:tc>
          <w:tcPr>
            <w:tcW w:w="1775" w:type="dxa"/>
            <w:tcBorders>
              <w:bottom w:val="single" w:sz="4" w:space="0" w:color="auto"/>
            </w:tcBorders>
          </w:tcPr>
          <w:p w:rsidR="00612186" w:rsidRPr="00077A99" w:rsidRDefault="00612186" w:rsidP="007E6F21">
            <w:pPr>
              <w:pStyle w:val="Tabletext"/>
              <w:jc w:val="center"/>
            </w:pPr>
            <w:r w:rsidRPr="00077A99">
              <w:t>2.93 (2.26, 3.79)</w:t>
            </w:r>
          </w:p>
        </w:tc>
        <w:tc>
          <w:tcPr>
            <w:tcW w:w="1796" w:type="dxa"/>
            <w:tcBorders>
              <w:bottom w:val="single" w:sz="4" w:space="0" w:color="auto"/>
            </w:tcBorders>
          </w:tcPr>
          <w:p w:rsidR="00612186" w:rsidRPr="00077A99" w:rsidRDefault="00612186" w:rsidP="007E6F21">
            <w:pPr>
              <w:pStyle w:val="Tabletext"/>
              <w:jc w:val="center"/>
            </w:pPr>
            <w:r w:rsidRPr="00077A99">
              <w:t>0.27 (0.22, 0.33)</w:t>
            </w:r>
          </w:p>
        </w:tc>
      </w:tr>
      <w:tr w:rsidR="00612186" w:rsidRPr="007579E2" w:rsidTr="00DF4C14">
        <w:trPr>
          <w:trHeight w:val="244"/>
          <w:tblHeader/>
        </w:trPr>
        <w:tc>
          <w:tcPr>
            <w:tcW w:w="2783" w:type="dxa"/>
            <w:tcBorders>
              <w:top w:val="single" w:sz="4" w:space="0" w:color="auto"/>
            </w:tcBorders>
            <w:vAlign w:val="center"/>
          </w:tcPr>
          <w:p w:rsidR="00612186" w:rsidRPr="007579E2" w:rsidRDefault="00612186" w:rsidP="007E6F21">
            <w:pPr>
              <w:pStyle w:val="Tabletext"/>
            </w:pPr>
            <w:r w:rsidRPr="007579E2">
              <w:t>AEs related to study treatment</w:t>
            </w:r>
          </w:p>
        </w:tc>
        <w:tc>
          <w:tcPr>
            <w:tcW w:w="1408" w:type="dxa"/>
            <w:tcBorders>
              <w:top w:val="single" w:sz="4" w:space="0" w:color="auto"/>
            </w:tcBorders>
          </w:tcPr>
          <w:p w:rsidR="00612186" w:rsidRPr="007579E2" w:rsidRDefault="00612186" w:rsidP="007E6F21">
            <w:pPr>
              <w:pStyle w:val="Tabletext"/>
              <w:jc w:val="center"/>
            </w:pPr>
            <w:r w:rsidRPr="007579E2">
              <w:t>398 (91</w:t>
            </w:r>
            <w:r w:rsidR="00777D3B" w:rsidRPr="007579E2">
              <w:t>%</w:t>
            </w:r>
            <w:r w:rsidRPr="007579E2">
              <w:t>)</w:t>
            </w:r>
          </w:p>
        </w:tc>
        <w:tc>
          <w:tcPr>
            <w:tcW w:w="1260" w:type="dxa"/>
            <w:tcBorders>
              <w:top w:val="single" w:sz="4" w:space="0" w:color="auto"/>
            </w:tcBorders>
          </w:tcPr>
          <w:p w:rsidR="00612186" w:rsidRPr="007579E2" w:rsidRDefault="00612186" w:rsidP="007E6F21">
            <w:pPr>
              <w:pStyle w:val="Tabletext"/>
              <w:jc w:val="center"/>
            </w:pPr>
            <w:r w:rsidRPr="007579E2">
              <w:t>272 (63</w:t>
            </w:r>
            <w:r w:rsidR="00777D3B" w:rsidRPr="007579E2">
              <w:t>%</w:t>
            </w:r>
            <w:r w:rsidRPr="007579E2">
              <w:t>)</w:t>
            </w:r>
          </w:p>
        </w:tc>
        <w:tc>
          <w:tcPr>
            <w:tcW w:w="1775" w:type="dxa"/>
            <w:tcBorders>
              <w:top w:val="single" w:sz="4" w:space="0" w:color="auto"/>
            </w:tcBorders>
          </w:tcPr>
          <w:p w:rsidR="00612186" w:rsidRPr="00077A99" w:rsidRDefault="00612186" w:rsidP="007E6F21">
            <w:pPr>
              <w:pStyle w:val="Tabletext"/>
              <w:jc w:val="center"/>
            </w:pPr>
            <w:r w:rsidRPr="00077A99">
              <w:t>1.45 (1.34, 1.57)</w:t>
            </w:r>
          </w:p>
        </w:tc>
        <w:tc>
          <w:tcPr>
            <w:tcW w:w="1796" w:type="dxa"/>
            <w:tcBorders>
              <w:top w:val="single" w:sz="4" w:space="0" w:color="auto"/>
            </w:tcBorders>
          </w:tcPr>
          <w:p w:rsidR="00612186" w:rsidRPr="00077A99" w:rsidRDefault="00612186" w:rsidP="007E6F21">
            <w:pPr>
              <w:pStyle w:val="Tabletext"/>
              <w:jc w:val="center"/>
            </w:pPr>
            <w:r w:rsidRPr="00077A99">
              <w:t>0.29 (0.23, 0.34)</w:t>
            </w:r>
          </w:p>
        </w:tc>
      </w:tr>
      <w:tr w:rsidR="00612186" w:rsidRPr="007579E2" w:rsidTr="00DF4C14">
        <w:trPr>
          <w:trHeight w:val="244"/>
          <w:tblHeader/>
        </w:trPr>
        <w:tc>
          <w:tcPr>
            <w:tcW w:w="2783" w:type="dxa"/>
            <w:vAlign w:val="center"/>
          </w:tcPr>
          <w:p w:rsidR="00612186" w:rsidRPr="007579E2" w:rsidRDefault="00612186" w:rsidP="007E6F21">
            <w:pPr>
              <w:pStyle w:val="Tabletext"/>
            </w:pPr>
            <w:r w:rsidRPr="007579E2">
              <w:t>AEs leading to permanent discontinuation of study treatment</w:t>
            </w:r>
          </w:p>
        </w:tc>
        <w:tc>
          <w:tcPr>
            <w:tcW w:w="1408" w:type="dxa"/>
            <w:vAlign w:val="center"/>
          </w:tcPr>
          <w:p w:rsidR="00612186" w:rsidRPr="007579E2" w:rsidRDefault="00612186" w:rsidP="007E6F21">
            <w:pPr>
              <w:pStyle w:val="Tabletext"/>
              <w:jc w:val="center"/>
            </w:pPr>
            <w:r w:rsidRPr="007579E2">
              <w:t>114 (26</w:t>
            </w:r>
            <w:r w:rsidR="00777D3B" w:rsidRPr="007579E2">
              <w:t>%</w:t>
            </w:r>
            <w:r w:rsidRPr="007579E2">
              <w:t>)</w:t>
            </w:r>
          </w:p>
        </w:tc>
        <w:tc>
          <w:tcPr>
            <w:tcW w:w="1260" w:type="dxa"/>
            <w:vAlign w:val="center"/>
          </w:tcPr>
          <w:p w:rsidR="00612186" w:rsidRPr="007579E2" w:rsidRDefault="00612186" w:rsidP="007E6F21">
            <w:pPr>
              <w:pStyle w:val="Tabletext"/>
              <w:jc w:val="center"/>
            </w:pPr>
            <w:r w:rsidRPr="007579E2">
              <w:t>12 (3</w:t>
            </w:r>
            <w:r w:rsidR="00777D3B" w:rsidRPr="007579E2">
              <w:t>%</w:t>
            </w:r>
            <w:r w:rsidRPr="007579E2">
              <w:t>)</w:t>
            </w:r>
          </w:p>
        </w:tc>
        <w:tc>
          <w:tcPr>
            <w:tcW w:w="1775" w:type="dxa"/>
            <w:vAlign w:val="center"/>
          </w:tcPr>
          <w:p w:rsidR="00612186" w:rsidRPr="00077A99" w:rsidRDefault="00612186" w:rsidP="007E6F21">
            <w:pPr>
              <w:pStyle w:val="Tabletext"/>
              <w:jc w:val="center"/>
            </w:pPr>
            <w:r w:rsidRPr="00077A99">
              <w:t>9.43 (5.28, 16.85)</w:t>
            </w:r>
          </w:p>
        </w:tc>
        <w:tc>
          <w:tcPr>
            <w:tcW w:w="1796" w:type="dxa"/>
            <w:vAlign w:val="center"/>
          </w:tcPr>
          <w:p w:rsidR="00612186" w:rsidRPr="00077A99" w:rsidRDefault="00612186" w:rsidP="007E6F21">
            <w:pPr>
              <w:pStyle w:val="Tabletext"/>
              <w:jc w:val="center"/>
            </w:pPr>
            <w:r w:rsidRPr="00077A99">
              <w:t>0.23 (0.19, 0.28)</w:t>
            </w:r>
          </w:p>
        </w:tc>
      </w:tr>
      <w:tr w:rsidR="00612186" w:rsidRPr="007579E2" w:rsidTr="00DF4C14">
        <w:trPr>
          <w:trHeight w:val="244"/>
          <w:tblHeader/>
        </w:trPr>
        <w:tc>
          <w:tcPr>
            <w:tcW w:w="2783" w:type="dxa"/>
            <w:vAlign w:val="center"/>
          </w:tcPr>
          <w:p w:rsidR="00612186" w:rsidRPr="007579E2" w:rsidRDefault="00612186" w:rsidP="007E6F21">
            <w:pPr>
              <w:pStyle w:val="Tabletext"/>
            </w:pPr>
            <w:r w:rsidRPr="007579E2">
              <w:t>AEs leading to dose reduction</w:t>
            </w:r>
          </w:p>
        </w:tc>
        <w:tc>
          <w:tcPr>
            <w:tcW w:w="1408" w:type="dxa"/>
          </w:tcPr>
          <w:p w:rsidR="00612186" w:rsidRPr="007579E2" w:rsidRDefault="00612186" w:rsidP="007E6F21">
            <w:pPr>
              <w:pStyle w:val="Tabletext"/>
              <w:jc w:val="center"/>
            </w:pPr>
            <w:r w:rsidRPr="007579E2">
              <w:t>167 (38</w:t>
            </w:r>
            <w:r w:rsidR="00777D3B" w:rsidRPr="007579E2">
              <w:t>%</w:t>
            </w:r>
            <w:r w:rsidRPr="007579E2">
              <w:t>)</w:t>
            </w:r>
          </w:p>
        </w:tc>
        <w:tc>
          <w:tcPr>
            <w:tcW w:w="1260" w:type="dxa"/>
          </w:tcPr>
          <w:p w:rsidR="00612186" w:rsidRPr="007579E2" w:rsidRDefault="00612186" w:rsidP="007E6F21">
            <w:pPr>
              <w:pStyle w:val="Tabletext"/>
              <w:jc w:val="center"/>
            </w:pPr>
            <w:r w:rsidRPr="007579E2">
              <w:t>11 (3</w:t>
            </w:r>
            <w:r w:rsidR="00777D3B" w:rsidRPr="007579E2">
              <w:t>%</w:t>
            </w:r>
            <w:r w:rsidRPr="007579E2">
              <w:t>)</w:t>
            </w:r>
          </w:p>
        </w:tc>
        <w:tc>
          <w:tcPr>
            <w:tcW w:w="1775" w:type="dxa"/>
          </w:tcPr>
          <w:p w:rsidR="00612186" w:rsidRPr="00077A99" w:rsidRDefault="00612186" w:rsidP="007E6F21">
            <w:pPr>
              <w:pStyle w:val="Tabletext"/>
              <w:jc w:val="center"/>
            </w:pPr>
            <w:r w:rsidRPr="00077A99">
              <w:t>15.08 (8.31, 27.35)</w:t>
            </w:r>
          </w:p>
        </w:tc>
        <w:tc>
          <w:tcPr>
            <w:tcW w:w="1796" w:type="dxa"/>
          </w:tcPr>
          <w:p w:rsidR="00612186" w:rsidRPr="00077A99" w:rsidRDefault="00612186" w:rsidP="007E6F21">
            <w:pPr>
              <w:pStyle w:val="Tabletext"/>
              <w:jc w:val="center"/>
            </w:pPr>
            <w:r w:rsidRPr="00077A99">
              <w:t>0.36 (0.31, 0.41)</w:t>
            </w:r>
          </w:p>
        </w:tc>
      </w:tr>
      <w:tr w:rsidR="00612186" w:rsidRPr="007579E2" w:rsidTr="00DF4C14">
        <w:trPr>
          <w:trHeight w:val="244"/>
          <w:tblHeader/>
        </w:trPr>
        <w:tc>
          <w:tcPr>
            <w:tcW w:w="2783" w:type="dxa"/>
            <w:vAlign w:val="center"/>
          </w:tcPr>
          <w:p w:rsidR="00612186" w:rsidRPr="007579E2" w:rsidRDefault="00612186" w:rsidP="007E6F21">
            <w:pPr>
              <w:pStyle w:val="Tabletext"/>
            </w:pPr>
            <w:r w:rsidRPr="007579E2">
              <w:t>AEs leading to interruption</w:t>
            </w:r>
          </w:p>
        </w:tc>
        <w:tc>
          <w:tcPr>
            <w:tcW w:w="1408" w:type="dxa"/>
          </w:tcPr>
          <w:p w:rsidR="00612186" w:rsidRPr="007579E2" w:rsidRDefault="00612186" w:rsidP="007E6F21">
            <w:pPr>
              <w:pStyle w:val="Tabletext"/>
              <w:jc w:val="center"/>
            </w:pPr>
            <w:r w:rsidRPr="007579E2">
              <w:t>289 (66</w:t>
            </w:r>
            <w:r w:rsidR="00777D3B" w:rsidRPr="007579E2">
              <w:t>%</w:t>
            </w:r>
            <w:r w:rsidRPr="007579E2">
              <w:t>)</w:t>
            </w:r>
          </w:p>
        </w:tc>
        <w:tc>
          <w:tcPr>
            <w:tcW w:w="1260" w:type="dxa"/>
          </w:tcPr>
          <w:p w:rsidR="00612186" w:rsidRPr="007579E2" w:rsidRDefault="00612186" w:rsidP="007E6F21">
            <w:pPr>
              <w:pStyle w:val="Tabletext"/>
              <w:jc w:val="center"/>
            </w:pPr>
            <w:r w:rsidRPr="007579E2">
              <w:t>65 (15</w:t>
            </w:r>
            <w:r w:rsidR="00777D3B" w:rsidRPr="007579E2">
              <w:t>%</w:t>
            </w:r>
            <w:r w:rsidRPr="007579E2">
              <w:t>)</w:t>
            </w:r>
          </w:p>
        </w:tc>
        <w:tc>
          <w:tcPr>
            <w:tcW w:w="1775" w:type="dxa"/>
          </w:tcPr>
          <w:p w:rsidR="00612186" w:rsidRPr="00077A99" w:rsidRDefault="00612186" w:rsidP="007E6F21">
            <w:pPr>
              <w:pStyle w:val="Tabletext"/>
              <w:jc w:val="center"/>
            </w:pPr>
            <w:r w:rsidRPr="00077A99">
              <w:t>4.42 (3.49, 5.58)</w:t>
            </w:r>
          </w:p>
        </w:tc>
        <w:tc>
          <w:tcPr>
            <w:tcW w:w="1796" w:type="dxa"/>
          </w:tcPr>
          <w:p w:rsidR="00612186" w:rsidRPr="00077A99" w:rsidRDefault="00612186" w:rsidP="007E6F21">
            <w:pPr>
              <w:pStyle w:val="Tabletext"/>
              <w:jc w:val="center"/>
            </w:pPr>
            <w:r w:rsidRPr="00077A99">
              <w:t>0.51 (0.46, 0.57)</w:t>
            </w:r>
          </w:p>
        </w:tc>
      </w:tr>
      <w:tr w:rsidR="00612186" w:rsidRPr="007579E2" w:rsidTr="00DF4C14">
        <w:trPr>
          <w:trHeight w:val="244"/>
          <w:tblHeader/>
        </w:trPr>
        <w:tc>
          <w:tcPr>
            <w:tcW w:w="2783" w:type="dxa"/>
            <w:vAlign w:val="center"/>
          </w:tcPr>
          <w:p w:rsidR="00612186" w:rsidRPr="007579E2" w:rsidRDefault="00612186" w:rsidP="007E6F21">
            <w:pPr>
              <w:pStyle w:val="Tabletext"/>
            </w:pPr>
            <w:r w:rsidRPr="007579E2">
              <w:t>Any SAE</w:t>
            </w:r>
          </w:p>
        </w:tc>
        <w:tc>
          <w:tcPr>
            <w:tcW w:w="1408" w:type="dxa"/>
          </w:tcPr>
          <w:p w:rsidR="00612186" w:rsidRPr="007579E2" w:rsidRDefault="00612186" w:rsidP="007E6F21">
            <w:pPr>
              <w:pStyle w:val="Tabletext"/>
              <w:jc w:val="center"/>
            </w:pPr>
            <w:r w:rsidRPr="007579E2">
              <w:t>155 (36</w:t>
            </w:r>
            <w:r w:rsidR="00777D3B" w:rsidRPr="007579E2">
              <w:t>%</w:t>
            </w:r>
            <w:r w:rsidRPr="007579E2">
              <w:t>)</w:t>
            </w:r>
          </w:p>
        </w:tc>
        <w:tc>
          <w:tcPr>
            <w:tcW w:w="1260" w:type="dxa"/>
          </w:tcPr>
          <w:p w:rsidR="00612186" w:rsidRPr="007579E2" w:rsidRDefault="00612186" w:rsidP="007E6F21">
            <w:pPr>
              <w:pStyle w:val="Tabletext"/>
              <w:jc w:val="center"/>
            </w:pPr>
            <w:r w:rsidRPr="007579E2">
              <w:t>44 (10</w:t>
            </w:r>
            <w:r w:rsidR="00777D3B" w:rsidRPr="007579E2">
              <w:t>%</w:t>
            </w:r>
            <w:r w:rsidRPr="007579E2">
              <w:t>)</w:t>
            </w:r>
          </w:p>
        </w:tc>
        <w:tc>
          <w:tcPr>
            <w:tcW w:w="1775" w:type="dxa"/>
          </w:tcPr>
          <w:p w:rsidR="00612186" w:rsidRPr="00077A99" w:rsidRDefault="00612186" w:rsidP="007E6F21">
            <w:pPr>
              <w:pStyle w:val="Tabletext"/>
              <w:jc w:val="center"/>
            </w:pPr>
            <w:r w:rsidRPr="00077A99">
              <w:t>3.50 (2.57, 4.76)</w:t>
            </w:r>
          </w:p>
        </w:tc>
        <w:tc>
          <w:tcPr>
            <w:tcW w:w="1796" w:type="dxa"/>
          </w:tcPr>
          <w:p w:rsidR="00612186" w:rsidRPr="00077A99" w:rsidRDefault="00612186" w:rsidP="007E6F21">
            <w:pPr>
              <w:pStyle w:val="Tabletext"/>
              <w:jc w:val="center"/>
            </w:pPr>
            <w:r w:rsidRPr="00077A99">
              <w:t>0.25 (0.20, 0.31)</w:t>
            </w:r>
          </w:p>
        </w:tc>
      </w:tr>
      <w:tr w:rsidR="00612186" w:rsidRPr="007579E2" w:rsidTr="00DF4C14">
        <w:trPr>
          <w:trHeight w:val="244"/>
          <w:tblHeader/>
        </w:trPr>
        <w:tc>
          <w:tcPr>
            <w:tcW w:w="2783" w:type="dxa"/>
            <w:vAlign w:val="center"/>
          </w:tcPr>
          <w:p w:rsidR="00612186" w:rsidRPr="007579E2" w:rsidRDefault="00612186" w:rsidP="007E6F21">
            <w:pPr>
              <w:pStyle w:val="Tabletext"/>
            </w:pPr>
            <w:r w:rsidRPr="007579E2">
              <w:t>SAEs related to study treatment</w:t>
            </w:r>
          </w:p>
        </w:tc>
        <w:tc>
          <w:tcPr>
            <w:tcW w:w="1408" w:type="dxa"/>
          </w:tcPr>
          <w:p w:rsidR="00612186" w:rsidRPr="007579E2" w:rsidRDefault="00612186" w:rsidP="007E6F21">
            <w:pPr>
              <w:pStyle w:val="Tabletext"/>
              <w:jc w:val="center"/>
            </w:pPr>
            <w:r w:rsidRPr="007579E2">
              <w:t>117 (27</w:t>
            </w:r>
            <w:r w:rsidR="00777D3B" w:rsidRPr="007579E2">
              <w:t>%</w:t>
            </w:r>
            <w:r w:rsidRPr="007579E2">
              <w:t>)</w:t>
            </w:r>
          </w:p>
        </w:tc>
        <w:tc>
          <w:tcPr>
            <w:tcW w:w="1260" w:type="dxa"/>
          </w:tcPr>
          <w:p w:rsidR="00612186" w:rsidRPr="007579E2" w:rsidRDefault="00612186" w:rsidP="007E6F21">
            <w:pPr>
              <w:pStyle w:val="Tabletext"/>
              <w:jc w:val="center"/>
            </w:pPr>
            <w:r w:rsidRPr="007579E2">
              <w:t>17 (4</w:t>
            </w:r>
            <w:r w:rsidR="00777D3B" w:rsidRPr="007579E2">
              <w:t>%</w:t>
            </w:r>
            <w:r w:rsidRPr="007579E2">
              <w:t>)</w:t>
            </w:r>
          </w:p>
        </w:tc>
        <w:tc>
          <w:tcPr>
            <w:tcW w:w="1775" w:type="dxa"/>
          </w:tcPr>
          <w:p w:rsidR="00612186" w:rsidRPr="00077A99" w:rsidRDefault="00612186" w:rsidP="007E6F21">
            <w:pPr>
              <w:pStyle w:val="Tabletext"/>
              <w:jc w:val="center"/>
            </w:pPr>
            <w:r w:rsidRPr="00077A99">
              <w:t>6.83 (4.18, 11.17)</w:t>
            </w:r>
          </w:p>
        </w:tc>
        <w:tc>
          <w:tcPr>
            <w:tcW w:w="1796" w:type="dxa"/>
          </w:tcPr>
          <w:p w:rsidR="00612186" w:rsidRPr="00077A99" w:rsidRDefault="00612186" w:rsidP="007E6F21">
            <w:pPr>
              <w:pStyle w:val="Tabletext"/>
              <w:jc w:val="center"/>
            </w:pPr>
            <w:r w:rsidRPr="00077A99">
              <w:t>0.23 (0.18, 0.28)</w:t>
            </w:r>
          </w:p>
        </w:tc>
      </w:tr>
      <w:tr w:rsidR="00612186" w:rsidRPr="007579E2" w:rsidTr="00DF4C14">
        <w:trPr>
          <w:trHeight w:val="244"/>
          <w:tblHeader/>
        </w:trPr>
        <w:tc>
          <w:tcPr>
            <w:tcW w:w="2783" w:type="dxa"/>
            <w:vAlign w:val="center"/>
          </w:tcPr>
          <w:p w:rsidR="00612186" w:rsidRPr="007579E2" w:rsidRDefault="00612186" w:rsidP="007E6F21">
            <w:pPr>
              <w:pStyle w:val="Tabletext"/>
            </w:pPr>
            <w:r w:rsidRPr="007579E2">
              <w:t>Fatal SAEs</w:t>
            </w:r>
          </w:p>
        </w:tc>
        <w:tc>
          <w:tcPr>
            <w:tcW w:w="1408" w:type="dxa"/>
          </w:tcPr>
          <w:p w:rsidR="00612186" w:rsidRPr="007579E2" w:rsidRDefault="00612186" w:rsidP="007E6F21">
            <w:pPr>
              <w:pStyle w:val="Tabletext"/>
              <w:jc w:val="center"/>
            </w:pPr>
            <w:r w:rsidRPr="007579E2">
              <w:t>1 (&lt; 1</w:t>
            </w:r>
            <w:r w:rsidR="00777D3B" w:rsidRPr="007579E2">
              <w:t>%</w:t>
            </w:r>
            <w:r w:rsidRPr="007579E2">
              <w:t>)</w:t>
            </w:r>
          </w:p>
        </w:tc>
        <w:tc>
          <w:tcPr>
            <w:tcW w:w="1260" w:type="dxa"/>
          </w:tcPr>
          <w:p w:rsidR="00612186" w:rsidRPr="007579E2" w:rsidRDefault="00612186" w:rsidP="007E6F21">
            <w:pPr>
              <w:pStyle w:val="Tabletext"/>
              <w:jc w:val="center"/>
            </w:pPr>
            <w:r w:rsidRPr="007579E2">
              <w:t>0</w:t>
            </w:r>
          </w:p>
        </w:tc>
        <w:tc>
          <w:tcPr>
            <w:tcW w:w="1775" w:type="dxa"/>
          </w:tcPr>
          <w:p w:rsidR="00612186" w:rsidRPr="00077A99" w:rsidRDefault="00612186" w:rsidP="007E6F21">
            <w:pPr>
              <w:pStyle w:val="Tabletext"/>
              <w:jc w:val="center"/>
            </w:pPr>
            <w:r w:rsidRPr="00077A99">
              <w:t>2.98 (0.12, 72.93)</w:t>
            </w:r>
          </w:p>
        </w:tc>
        <w:tc>
          <w:tcPr>
            <w:tcW w:w="1796" w:type="dxa"/>
          </w:tcPr>
          <w:p w:rsidR="00612186" w:rsidRPr="00077A99" w:rsidRDefault="00612186" w:rsidP="007E6F21">
            <w:pPr>
              <w:pStyle w:val="Tabletext"/>
              <w:jc w:val="center"/>
            </w:pPr>
            <w:r w:rsidRPr="00077A99">
              <w:t>0.00 (-0.00, 0.01)</w:t>
            </w:r>
          </w:p>
        </w:tc>
      </w:tr>
      <w:tr w:rsidR="00612186" w:rsidRPr="007579E2" w:rsidTr="00DF4C14">
        <w:trPr>
          <w:trHeight w:val="244"/>
          <w:tblHeader/>
        </w:trPr>
        <w:tc>
          <w:tcPr>
            <w:tcW w:w="2783" w:type="dxa"/>
            <w:vAlign w:val="center"/>
          </w:tcPr>
          <w:p w:rsidR="00612186" w:rsidRPr="007579E2" w:rsidRDefault="00612186" w:rsidP="007E6F21">
            <w:pPr>
              <w:pStyle w:val="Tabletext"/>
            </w:pPr>
            <w:r w:rsidRPr="007579E2">
              <w:t xml:space="preserve">Any </w:t>
            </w:r>
            <w:r w:rsidR="00C962DE" w:rsidRPr="007579E2">
              <w:rPr>
                <w:rFonts w:eastAsia="Calibri"/>
              </w:rPr>
              <w:t>Drug-related AEs (G</w:t>
            </w:r>
            <w:r w:rsidRPr="007579E2">
              <w:rPr>
                <w:rFonts w:eastAsia="Calibri"/>
              </w:rPr>
              <w:t>rade ≥ 3)</w:t>
            </w:r>
          </w:p>
        </w:tc>
        <w:tc>
          <w:tcPr>
            <w:tcW w:w="1408" w:type="dxa"/>
            <w:tcBorders>
              <w:bottom w:val="single" w:sz="4" w:space="0" w:color="auto"/>
            </w:tcBorders>
          </w:tcPr>
          <w:p w:rsidR="00612186" w:rsidRPr="007579E2" w:rsidRDefault="00612186" w:rsidP="007E6F21">
            <w:pPr>
              <w:pStyle w:val="Tabletext"/>
              <w:jc w:val="center"/>
            </w:pPr>
            <w:r w:rsidRPr="007579E2">
              <w:t>136 (31</w:t>
            </w:r>
            <w:r w:rsidR="00777D3B" w:rsidRPr="007579E2">
              <w:t>%</w:t>
            </w:r>
            <w:r w:rsidRPr="007579E2">
              <w:t>)</w:t>
            </w:r>
          </w:p>
        </w:tc>
        <w:tc>
          <w:tcPr>
            <w:tcW w:w="1260" w:type="dxa"/>
            <w:tcBorders>
              <w:bottom w:val="single" w:sz="4" w:space="0" w:color="auto"/>
            </w:tcBorders>
          </w:tcPr>
          <w:p w:rsidR="00612186" w:rsidRPr="007579E2" w:rsidRDefault="00612186" w:rsidP="007E6F21">
            <w:pPr>
              <w:pStyle w:val="Tabletext"/>
              <w:jc w:val="center"/>
            </w:pPr>
            <w:r w:rsidRPr="007579E2">
              <w:t>21 (5</w:t>
            </w:r>
            <w:r w:rsidR="00777D3B" w:rsidRPr="007579E2">
              <w:t>%</w:t>
            </w:r>
            <w:r w:rsidRPr="007579E2">
              <w:t>)</w:t>
            </w:r>
          </w:p>
        </w:tc>
        <w:tc>
          <w:tcPr>
            <w:tcW w:w="1775" w:type="dxa"/>
            <w:tcBorders>
              <w:bottom w:val="single" w:sz="4" w:space="0" w:color="auto"/>
            </w:tcBorders>
          </w:tcPr>
          <w:p w:rsidR="00612186" w:rsidRPr="00077A99" w:rsidRDefault="00612186" w:rsidP="007E6F21">
            <w:pPr>
              <w:pStyle w:val="Tabletext"/>
              <w:jc w:val="center"/>
            </w:pPr>
            <w:r w:rsidRPr="00077A99">
              <w:t>6.43 (4.14, 9.98)</w:t>
            </w:r>
          </w:p>
        </w:tc>
        <w:tc>
          <w:tcPr>
            <w:tcW w:w="1796" w:type="dxa"/>
            <w:tcBorders>
              <w:bottom w:val="single" w:sz="4" w:space="0" w:color="auto"/>
            </w:tcBorders>
          </w:tcPr>
          <w:p w:rsidR="00612186" w:rsidRPr="00077A99" w:rsidRDefault="00612186" w:rsidP="007E6F21">
            <w:pPr>
              <w:pStyle w:val="Tabletext"/>
              <w:jc w:val="center"/>
            </w:pPr>
            <w:r w:rsidRPr="00077A99">
              <w:t>0.26 (0.22, 0.31)</w:t>
            </w:r>
          </w:p>
        </w:tc>
      </w:tr>
    </w:tbl>
    <w:p w:rsidR="00612186" w:rsidRPr="007579E2" w:rsidRDefault="00612186" w:rsidP="007E6F21">
      <w:pPr>
        <w:widowControl/>
        <w:rPr>
          <w:rFonts w:ascii="Arial Narrow" w:hAnsi="Arial Narrow"/>
          <w:sz w:val="18"/>
          <w:szCs w:val="18"/>
        </w:rPr>
      </w:pPr>
      <w:r w:rsidRPr="007579E2">
        <w:rPr>
          <w:rFonts w:ascii="Arial Narrow" w:hAnsi="Arial Narrow"/>
          <w:sz w:val="18"/>
          <w:szCs w:val="18"/>
        </w:rPr>
        <w:t>AE</w:t>
      </w:r>
      <w:r w:rsidR="000B1BDB" w:rsidRPr="007579E2">
        <w:rPr>
          <w:rFonts w:ascii="Arial Narrow" w:hAnsi="Arial Narrow"/>
          <w:sz w:val="18"/>
          <w:szCs w:val="18"/>
        </w:rPr>
        <w:t xml:space="preserve"> </w:t>
      </w:r>
      <w:r w:rsidRPr="007579E2">
        <w:rPr>
          <w:rFonts w:ascii="Arial Narrow" w:hAnsi="Arial Narrow"/>
          <w:sz w:val="18"/>
          <w:szCs w:val="18"/>
        </w:rPr>
        <w:t>=</w:t>
      </w:r>
      <w:r w:rsidR="000B1BDB" w:rsidRPr="007579E2">
        <w:rPr>
          <w:rFonts w:ascii="Arial Narrow" w:hAnsi="Arial Narrow"/>
          <w:sz w:val="18"/>
          <w:szCs w:val="18"/>
        </w:rPr>
        <w:t xml:space="preserve"> </w:t>
      </w:r>
      <w:r w:rsidRPr="007579E2">
        <w:rPr>
          <w:rFonts w:ascii="Arial Narrow" w:hAnsi="Arial Narrow"/>
          <w:sz w:val="18"/>
          <w:szCs w:val="18"/>
        </w:rPr>
        <w:t>adverse event; CI</w:t>
      </w:r>
      <w:r w:rsidR="000B1BDB" w:rsidRPr="007579E2">
        <w:rPr>
          <w:rFonts w:ascii="Arial Narrow" w:hAnsi="Arial Narrow"/>
          <w:sz w:val="18"/>
          <w:szCs w:val="18"/>
        </w:rPr>
        <w:t xml:space="preserve"> </w:t>
      </w:r>
      <w:r w:rsidRPr="007579E2">
        <w:rPr>
          <w:rFonts w:ascii="Arial Narrow" w:hAnsi="Arial Narrow"/>
          <w:sz w:val="18"/>
          <w:szCs w:val="18"/>
        </w:rPr>
        <w:t>=</w:t>
      </w:r>
      <w:r w:rsidR="000B1BDB" w:rsidRPr="007579E2">
        <w:rPr>
          <w:rFonts w:ascii="Arial Narrow" w:hAnsi="Arial Narrow"/>
          <w:sz w:val="18"/>
          <w:szCs w:val="18"/>
        </w:rPr>
        <w:t xml:space="preserve"> </w:t>
      </w:r>
      <w:r w:rsidRPr="007579E2">
        <w:rPr>
          <w:rFonts w:ascii="Arial Narrow" w:hAnsi="Arial Narrow"/>
          <w:sz w:val="18"/>
          <w:szCs w:val="18"/>
        </w:rPr>
        <w:t>confidence interval;</w:t>
      </w:r>
      <w:r w:rsidR="00C962DE" w:rsidRPr="007579E2">
        <w:rPr>
          <w:rFonts w:ascii="Arial Narrow" w:hAnsi="Arial Narrow"/>
          <w:sz w:val="18"/>
          <w:szCs w:val="18"/>
        </w:rPr>
        <w:t xml:space="preserve"> DAB+TRAM = </w:t>
      </w:r>
      <w:proofErr w:type="spellStart"/>
      <w:r w:rsidR="00C962DE" w:rsidRPr="007579E2">
        <w:rPr>
          <w:rFonts w:ascii="Arial Narrow" w:hAnsi="Arial Narrow"/>
          <w:sz w:val="18"/>
          <w:szCs w:val="18"/>
        </w:rPr>
        <w:t>dabrafenib+trametinib</w:t>
      </w:r>
      <w:proofErr w:type="spellEnd"/>
      <w:r w:rsidR="00C962DE" w:rsidRPr="007579E2">
        <w:rPr>
          <w:rFonts w:ascii="Arial Narrow" w:hAnsi="Arial Narrow"/>
          <w:sz w:val="18"/>
          <w:szCs w:val="18"/>
        </w:rPr>
        <w:t xml:space="preserve">; </w:t>
      </w:r>
      <w:r w:rsidRPr="007579E2">
        <w:rPr>
          <w:rFonts w:ascii="Arial Narrow" w:hAnsi="Arial Narrow"/>
          <w:sz w:val="18"/>
          <w:szCs w:val="18"/>
        </w:rPr>
        <w:t>RD</w:t>
      </w:r>
      <w:r w:rsidR="000B1BDB" w:rsidRPr="007579E2">
        <w:rPr>
          <w:rFonts w:ascii="Arial Narrow" w:hAnsi="Arial Narrow"/>
          <w:sz w:val="18"/>
          <w:szCs w:val="18"/>
        </w:rPr>
        <w:t xml:space="preserve"> </w:t>
      </w:r>
      <w:r w:rsidRPr="007579E2">
        <w:rPr>
          <w:rFonts w:ascii="Arial Narrow" w:hAnsi="Arial Narrow"/>
          <w:sz w:val="18"/>
          <w:szCs w:val="18"/>
        </w:rPr>
        <w:t>=</w:t>
      </w:r>
      <w:r w:rsidR="000B1BDB" w:rsidRPr="007579E2">
        <w:rPr>
          <w:rFonts w:ascii="Arial Narrow" w:hAnsi="Arial Narrow"/>
          <w:sz w:val="18"/>
          <w:szCs w:val="18"/>
        </w:rPr>
        <w:t xml:space="preserve"> </w:t>
      </w:r>
      <w:r w:rsidRPr="007579E2">
        <w:rPr>
          <w:rFonts w:ascii="Arial Narrow" w:hAnsi="Arial Narrow"/>
          <w:sz w:val="18"/>
          <w:szCs w:val="18"/>
        </w:rPr>
        <w:t>risk difference; RR</w:t>
      </w:r>
      <w:r w:rsidR="000B1BDB" w:rsidRPr="007579E2">
        <w:rPr>
          <w:rFonts w:ascii="Arial Narrow" w:hAnsi="Arial Narrow"/>
          <w:sz w:val="18"/>
          <w:szCs w:val="18"/>
        </w:rPr>
        <w:t xml:space="preserve"> </w:t>
      </w:r>
      <w:r w:rsidRPr="007579E2">
        <w:rPr>
          <w:rFonts w:ascii="Arial Narrow" w:hAnsi="Arial Narrow"/>
          <w:sz w:val="18"/>
          <w:szCs w:val="18"/>
        </w:rPr>
        <w:t>=</w:t>
      </w:r>
      <w:r w:rsidR="000B1BDB" w:rsidRPr="007579E2">
        <w:rPr>
          <w:rFonts w:ascii="Arial Narrow" w:hAnsi="Arial Narrow"/>
          <w:sz w:val="18"/>
          <w:szCs w:val="18"/>
        </w:rPr>
        <w:t xml:space="preserve"> </w:t>
      </w:r>
      <w:r w:rsidRPr="007579E2">
        <w:rPr>
          <w:rFonts w:ascii="Arial Narrow" w:hAnsi="Arial Narrow"/>
          <w:sz w:val="18"/>
          <w:szCs w:val="18"/>
        </w:rPr>
        <w:t>relative risk; SAE</w:t>
      </w:r>
      <w:r w:rsidR="000B1BDB" w:rsidRPr="007579E2">
        <w:rPr>
          <w:rFonts w:ascii="Arial Narrow" w:hAnsi="Arial Narrow"/>
          <w:sz w:val="18"/>
          <w:szCs w:val="18"/>
        </w:rPr>
        <w:t xml:space="preserve"> </w:t>
      </w:r>
      <w:r w:rsidRPr="007579E2">
        <w:rPr>
          <w:rFonts w:ascii="Arial Narrow" w:hAnsi="Arial Narrow"/>
          <w:sz w:val="18"/>
          <w:szCs w:val="18"/>
        </w:rPr>
        <w:t>=</w:t>
      </w:r>
      <w:r w:rsidR="000B1BDB" w:rsidRPr="007579E2">
        <w:rPr>
          <w:rFonts w:ascii="Arial Narrow" w:hAnsi="Arial Narrow"/>
          <w:sz w:val="18"/>
          <w:szCs w:val="18"/>
        </w:rPr>
        <w:t xml:space="preserve"> </w:t>
      </w:r>
      <w:r w:rsidRPr="007579E2">
        <w:rPr>
          <w:rFonts w:ascii="Arial Narrow" w:hAnsi="Arial Narrow"/>
          <w:sz w:val="18"/>
          <w:szCs w:val="18"/>
        </w:rPr>
        <w:t>serious adverse event</w:t>
      </w:r>
    </w:p>
    <w:p w:rsidR="00612186" w:rsidRPr="007579E2" w:rsidRDefault="00612186" w:rsidP="007E6F21">
      <w:pPr>
        <w:widowControl/>
        <w:rPr>
          <w:rFonts w:ascii="Arial Narrow" w:hAnsi="Arial Narrow"/>
          <w:sz w:val="18"/>
          <w:szCs w:val="18"/>
        </w:rPr>
      </w:pPr>
      <w:proofErr w:type="gramStart"/>
      <w:r w:rsidRPr="007579E2">
        <w:rPr>
          <w:rFonts w:ascii="Arial Narrow" w:hAnsi="Arial Narrow"/>
          <w:sz w:val="18"/>
          <w:szCs w:val="18"/>
          <w:vertAlign w:val="superscript"/>
        </w:rPr>
        <w:t>a</w:t>
      </w:r>
      <w:proofErr w:type="gramEnd"/>
      <w:r w:rsidRPr="007579E2">
        <w:rPr>
          <w:rFonts w:ascii="Arial Narrow" w:hAnsi="Arial Narrow"/>
          <w:sz w:val="18"/>
          <w:szCs w:val="18"/>
        </w:rPr>
        <w:t xml:space="preserve"> </w:t>
      </w:r>
      <w:r w:rsidR="00C962DE" w:rsidRPr="007579E2">
        <w:rPr>
          <w:rFonts w:ascii="Arial Narrow" w:hAnsi="Arial Narrow"/>
          <w:sz w:val="18"/>
          <w:szCs w:val="18"/>
        </w:rPr>
        <w:t>C</w:t>
      </w:r>
      <w:r w:rsidRPr="007579E2">
        <w:rPr>
          <w:rFonts w:ascii="Arial Narrow" w:hAnsi="Arial Narrow"/>
          <w:sz w:val="18"/>
          <w:szCs w:val="18"/>
        </w:rPr>
        <w:t>alculated for the purpose of the submission using Review Manager</w:t>
      </w:r>
    </w:p>
    <w:p w:rsidR="005D26B4" w:rsidRPr="007579E2" w:rsidRDefault="00612186" w:rsidP="007E6F21">
      <w:pPr>
        <w:widowControl/>
        <w:rPr>
          <w:rFonts w:ascii="Arial Narrow" w:hAnsi="Arial Narrow"/>
          <w:sz w:val="18"/>
          <w:szCs w:val="18"/>
        </w:rPr>
      </w:pPr>
      <w:r w:rsidRPr="007579E2">
        <w:rPr>
          <w:rFonts w:ascii="Arial Narrow" w:hAnsi="Arial Narrow"/>
          <w:sz w:val="18"/>
          <w:szCs w:val="18"/>
        </w:rPr>
        <w:t>Source: Table 2.5-8, p69 &amp; Table 2.5-9, p71 of the submission</w:t>
      </w:r>
    </w:p>
    <w:p w:rsidR="008A18E0" w:rsidRPr="007579E2" w:rsidRDefault="008A18E0" w:rsidP="007E6F21">
      <w:pPr>
        <w:widowControl/>
        <w:rPr>
          <w:rFonts w:ascii="Arial Narrow" w:hAnsi="Arial Narrow"/>
          <w:sz w:val="18"/>
          <w:szCs w:val="18"/>
        </w:rPr>
      </w:pPr>
    </w:p>
    <w:p w:rsidR="007132C3" w:rsidRPr="007579E2" w:rsidRDefault="00C675E4" w:rsidP="00061E01">
      <w:pPr>
        <w:pStyle w:val="ListParagraph"/>
        <w:widowControl/>
        <w:numPr>
          <w:ilvl w:val="1"/>
          <w:numId w:val="2"/>
        </w:numPr>
      </w:pPr>
      <w:r w:rsidRPr="007579E2">
        <w:t xml:space="preserve">A </w:t>
      </w:r>
      <w:r w:rsidR="007132C3" w:rsidRPr="007579E2">
        <w:t xml:space="preserve">Periodic Safety Update Report (PSUR) for </w:t>
      </w:r>
      <w:proofErr w:type="spellStart"/>
      <w:r w:rsidR="007132C3" w:rsidRPr="007579E2">
        <w:t>trametinib</w:t>
      </w:r>
      <w:proofErr w:type="spellEnd"/>
      <w:r w:rsidR="007132C3" w:rsidRPr="007579E2">
        <w:t xml:space="preserve"> reported that neutropenia was included in the </w:t>
      </w:r>
      <w:proofErr w:type="spellStart"/>
      <w:r w:rsidR="007132C3" w:rsidRPr="007579E2">
        <w:t>trametinib</w:t>
      </w:r>
      <w:proofErr w:type="spellEnd"/>
      <w:r w:rsidR="007132C3" w:rsidRPr="007579E2">
        <w:t xml:space="preserve"> risk management plan as an important identified risk when </w:t>
      </w:r>
      <w:proofErr w:type="spellStart"/>
      <w:r w:rsidR="007132C3" w:rsidRPr="007579E2">
        <w:t>trametinib</w:t>
      </w:r>
      <w:proofErr w:type="spellEnd"/>
      <w:r w:rsidR="007132C3" w:rsidRPr="007579E2">
        <w:t xml:space="preserve"> was used in combination with </w:t>
      </w:r>
      <w:proofErr w:type="spellStart"/>
      <w:r w:rsidR="007132C3" w:rsidRPr="007579E2">
        <w:t>dabrafenib</w:t>
      </w:r>
      <w:proofErr w:type="spellEnd"/>
      <w:r w:rsidR="007132C3" w:rsidRPr="007579E2">
        <w:t xml:space="preserve"> only. In COMBI-AD, neutropenia events were observed in 51 (12%) patients in the </w:t>
      </w:r>
      <w:proofErr w:type="spellStart"/>
      <w:r w:rsidR="007132C3" w:rsidRPr="007579E2">
        <w:t>dabrafenib+trametinib</w:t>
      </w:r>
      <w:proofErr w:type="spellEnd"/>
      <w:r w:rsidR="007132C3" w:rsidRPr="007579E2">
        <w:t xml:space="preserve"> arm, and 6 (1%) patients in the placebo arm. In the </w:t>
      </w:r>
      <w:proofErr w:type="spellStart"/>
      <w:r w:rsidR="007132C3" w:rsidRPr="007579E2">
        <w:t>dabrafenib+tram</w:t>
      </w:r>
      <w:r w:rsidR="00C962DE" w:rsidRPr="007579E2">
        <w:t>etinib</w:t>
      </w:r>
      <w:proofErr w:type="spellEnd"/>
      <w:r w:rsidR="00C962DE" w:rsidRPr="007579E2">
        <w:t xml:space="preserve"> arm, 21/51 patients </w:t>
      </w:r>
      <w:r w:rsidR="00C962DE" w:rsidRPr="007579E2">
        <w:lastRenderedPageBreak/>
        <w:t>had G</w:t>
      </w:r>
      <w:r w:rsidR="007132C3" w:rsidRPr="007579E2">
        <w:t xml:space="preserve">rade 3 </w:t>
      </w:r>
      <w:r w:rsidR="00E50BB0" w:rsidRPr="007579E2">
        <w:t xml:space="preserve">neutropenia </w:t>
      </w:r>
      <w:r w:rsidR="007132C3" w:rsidRPr="007579E2">
        <w:t xml:space="preserve">events; all </w:t>
      </w:r>
      <w:r w:rsidR="00E50BB0" w:rsidRPr="007579E2">
        <w:t xml:space="preserve">neutropenia </w:t>
      </w:r>
      <w:r w:rsidR="00C962DE" w:rsidRPr="007579E2">
        <w:t>events in the placebo arm were G</w:t>
      </w:r>
      <w:r w:rsidR="007132C3" w:rsidRPr="007579E2">
        <w:t>rade 1 or 2.</w:t>
      </w:r>
    </w:p>
    <w:p w:rsidR="007F1017" w:rsidRPr="007579E2" w:rsidRDefault="007F1017" w:rsidP="00061E01">
      <w:pPr>
        <w:pStyle w:val="Heading2"/>
        <w:widowControl/>
      </w:pPr>
      <w:bookmarkStart w:id="14" w:name="_Toc536008002"/>
      <w:r w:rsidRPr="007579E2">
        <w:t>Benefits/harms</w:t>
      </w:r>
      <w:bookmarkEnd w:id="14"/>
    </w:p>
    <w:p w:rsidR="00642C54" w:rsidRPr="007579E2" w:rsidRDefault="00642C54" w:rsidP="00061E01">
      <w:pPr>
        <w:pStyle w:val="ListParagraph"/>
        <w:widowControl/>
        <w:numPr>
          <w:ilvl w:val="1"/>
          <w:numId w:val="2"/>
        </w:numPr>
      </w:pPr>
      <w:r w:rsidRPr="007579E2">
        <w:t xml:space="preserve">A summary of the comparative benefits and harms for </w:t>
      </w:r>
      <w:proofErr w:type="spellStart"/>
      <w:r w:rsidRPr="007579E2">
        <w:t>dabrafenib+trametinib</w:t>
      </w:r>
      <w:proofErr w:type="spellEnd"/>
      <w:r w:rsidRPr="007579E2">
        <w:t xml:space="preserve"> versus placebo is presented in the table below. </w:t>
      </w:r>
    </w:p>
    <w:p w:rsidR="00642C54" w:rsidRPr="007579E2" w:rsidRDefault="00642C54" w:rsidP="007E6F21">
      <w:pPr>
        <w:pStyle w:val="Caption"/>
        <w:widowControl/>
        <w:rPr>
          <w:rStyle w:val="CommentReference"/>
          <w:b/>
          <w:szCs w:val="18"/>
        </w:rPr>
      </w:pPr>
      <w:r w:rsidRPr="007579E2">
        <w:t xml:space="preserve">Table </w:t>
      </w:r>
      <w:r w:rsidR="00DF4C14" w:rsidRPr="007579E2">
        <w:t>13</w:t>
      </w:r>
      <w:r w:rsidRPr="007579E2">
        <w:t xml:space="preserve">: </w:t>
      </w:r>
      <w:r w:rsidRPr="007579E2">
        <w:rPr>
          <w:rStyle w:val="CommentReference"/>
          <w:b/>
          <w:szCs w:val="18"/>
        </w:rPr>
        <w:t xml:space="preserve">Summary of comparative benefits and harms for </w:t>
      </w:r>
      <w:proofErr w:type="spellStart"/>
      <w:r w:rsidRPr="007579E2">
        <w:rPr>
          <w:rStyle w:val="CommentReference"/>
          <w:b/>
          <w:szCs w:val="18"/>
        </w:rPr>
        <w:t>dabrafenib+trametinib</w:t>
      </w:r>
      <w:proofErr w:type="spellEnd"/>
      <w:r w:rsidRPr="007579E2">
        <w:rPr>
          <w:rStyle w:val="CommentReference"/>
          <w:b/>
          <w:szCs w:val="18"/>
        </w:rPr>
        <w:t xml:space="preserve"> and placebo</w:t>
      </w:r>
      <w:r w:rsidR="001F6ADC" w:rsidRPr="007579E2">
        <w:rPr>
          <w:rStyle w:val="CommentReference"/>
          <w:b/>
          <w:szCs w:val="18"/>
        </w:rPr>
        <w:t xml:space="preserve"> from COMBI-</w:t>
      </w:r>
      <w:proofErr w:type="spellStart"/>
      <w:r w:rsidR="001F6ADC" w:rsidRPr="007579E2">
        <w:rPr>
          <w:rStyle w:val="CommentReference"/>
          <w:b/>
          <w:szCs w:val="18"/>
        </w:rPr>
        <w:t>AD</w:t>
      </w:r>
      <w:r w:rsidR="00926650" w:rsidRPr="007579E2">
        <w:rPr>
          <w:rStyle w:val="CommentReference"/>
          <w:b/>
          <w:szCs w:val="18"/>
          <w:vertAlign w:val="superscript"/>
        </w:rPr>
        <w:t>a</w:t>
      </w:r>
      <w:proofErr w:type="spellEnd"/>
    </w:p>
    <w:tbl>
      <w:tblPr>
        <w:tblW w:w="5000" w:type="pct"/>
        <w:tblLayout w:type="fixed"/>
        <w:tblCellMar>
          <w:left w:w="28" w:type="dxa"/>
          <w:right w:w="28" w:type="dxa"/>
        </w:tblCellMar>
        <w:tblLook w:val="04A0" w:firstRow="1" w:lastRow="0" w:firstColumn="1" w:lastColumn="0" w:noHBand="0" w:noVBand="1"/>
        <w:tblCaption w:val="Table 13: Summary of comparative benefits and harms for dabrafenib+trametinib and placebo from COMBI-ADa"/>
      </w:tblPr>
      <w:tblGrid>
        <w:gridCol w:w="2122"/>
        <w:gridCol w:w="422"/>
        <w:gridCol w:w="712"/>
        <w:gridCol w:w="994"/>
        <w:gridCol w:w="1125"/>
        <w:gridCol w:w="575"/>
        <w:gridCol w:w="426"/>
        <w:gridCol w:w="994"/>
        <w:gridCol w:w="1647"/>
      </w:tblGrid>
      <w:tr w:rsidR="00642C54" w:rsidRPr="007579E2" w:rsidTr="00535F24">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642C54" w:rsidRPr="007579E2" w:rsidRDefault="001F6ADC" w:rsidP="007E6F21">
            <w:pPr>
              <w:keepNext/>
              <w:widowControl/>
              <w:rPr>
                <w:rFonts w:ascii="Arial Narrow" w:hAnsi="Arial Narrow"/>
                <w:b/>
                <w:color w:val="000000"/>
                <w:sz w:val="20"/>
                <w:szCs w:val="18"/>
              </w:rPr>
            </w:pPr>
            <w:r w:rsidRPr="007579E2">
              <w:rPr>
                <w:rFonts w:ascii="Arial Narrow" w:hAnsi="Arial Narrow"/>
                <w:b/>
                <w:color w:val="000000"/>
                <w:sz w:val="20"/>
                <w:szCs w:val="18"/>
              </w:rPr>
              <w:t>Benefits</w:t>
            </w:r>
          </w:p>
        </w:tc>
      </w:tr>
      <w:tr w:rsidR="0044408D" w:rsidRPr="007579E2" w:rsidTr="00FB4000">
        <w:tc>
          <w:tcPr>
            <w:tcW w:w="14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4408D" w:rsidRPr="007579E2" w:rsidRDefault="0044408D" w:rsidP="007E6F21">
            <w:pPr>
              <w:keepNext/>
              <w:widowControl/>
              <w:jc w:val="center"/>
              <w:rPr>
                <w:rFonts w:ascii="Arial Narrow" w:hAnsi="Arial Narrow"/>
                <w:color w:val="000000"/>
                <w:sz w:val="20"/>
                <w:szCs w:val="18"/>
              </w:rPr>
            </w:pPr>
          </w:p>
        </w:tc>
        <w:tc>
          <w:tcPr>
            <w:tcW w:w="946" w:type="pct"/>
            <w:gridSpan w:val="2"/>
            <w:tcBorders>
              <w:top w:val="single" w:sz="4" w:space="0" w:color="auto"/>
              <w:left w:val="single" w:sz="4" w:space="0" w:color="auto"/>
              <w:bottom w:val="single" w:sz="4" w:space="0" w:color="auto"/>
              <w:right w:val="single" w:sz="4" w:space="0" w:color="auto"/>
            </w:tcBorders>
            <w:vAlign w:val="center"/>
          </w:tcPr>
          <w:p w:rsidR="0044408D" w:rsidRPr="007579E2" w:rsidRDefault="0044408D" w:rsidP="007E6F21">
            <w:pPr>
              <w:keepNext/>
              <w:widowControl/>
              <w:jc w:val="center"/>
              <w:rPr>
                <w:rFonts w:ascii="Arial Narrow" w:hAnsi="Arial Narrow"/>
                <w:b/>
                <w:color w:val="000000"/>
                <w:sz w:val="20"/>
                <w:szCs w:val="18"/>
              </w:rPr>
            </w:pPr>
            <w:r w:rsidRPr="007579E2">
              <w:rPr>
                <w:rFonts w:ascii="Arial Narrow" w:hAnsi="Arial Narrow"/>
                <w:b/>
                <w:color w:val="000000"/>
                <w:sz w:val="20"/>
                <w:szCs w:val="18"/>
              </w:rPr>
              <w:t>DAB+TRAM</w:t>
            </w:r>
          </w:p>
        </w:tc>
        <w:tc>
          <w:tcPr>
            <w:tcW w:w="943" w:type="pct"/>
            <w:gridSpan w:val="2"/>
            <w:tcBorders>
              <w:top w:val="single" w:sz="4" w:space="0" w:color="auto"/>
              <w:left w:val="single" w:sz="4" w:space="0" w:color="auto"/>
              <w:bottom w:val="single" w:sz="4" w:space="0" w:color="auto"/>
              <w:right w:val="single" w:sz="4" w:space="0" w:color="auto"/>
            </w:tcBorders>
            <w:vAlign w:val="center"/>
          </w:tcPr>
          <w:p w:rsidR="0044408D" w:rsidRPr="007579E2" w:rsidRDefault="0044408D" w:rsidP="007E6F21">
            <w:pPr>
              <w:keepNext/>
              <w:widowControl/>
              <w:jc w:val="center"/>
              <w:rPr>
                <w:rFonts w:ascii="Arial Narrow" w:hAnsi="Arial Narrow"/>
                <w:b/>
                <w:color w:val="000000"/>
                <w:sz w:val="20"/>
                <w:szCs w:val="18"/>
              </w:rPr>
            </w:pPr>
            <w:r w:rsidRPr="007579E2">
              <w:rPr>
                <w:rFonts w:ascii="Arial Narrow" w:hAnsi="Arial Narrow"/>
                <w:b/>
                <w:color w:val="000000"/>
                <w:sz w:val="20"/>
                <w:szCs w:val="18"/>
              </w:rPr>
              <w:t>Placebo</w:t>
            </w:r>
          </w:p>
        </w:tc>
        <w:tc>
          <w:tcPr>
            <w:tcW w:w="787" w:type="pct"/>
            <w:gridSpan w:val="2"/>
            <w:tcBorders>
              <w:top w:val="single" w:sz="4" w:space="0" w:color="auto"/>
              <w:left w:val="single" w:sz="4" w:space="0" w:color="auto"/>
              <w:bottom w:val="single" w:sz="4" w:space="0" w:color="auto"/>
              <w:right w:val="single" w:sz="4" w:space="0" w:color="auto"/>
            </w:tcBorders>
            <w:vAlign w:val="center"/>
          </w:tcPr>
          <w:p w:rsidR="0044408D" w:rsidRPr="007579E2" w:rsidRDefault="0044408D" w:rsidP="007E6F21">
            <w:pPr>
              <w:keepNext/>
              <w:widowControl/>
              <w:jc w:val="center"/>
              <w:rPr>
                <w:rFonts w:ascii="Arial Narrow" w:hAnsi="Arial Narrow"/>
                <w:b/>
                <w:color w:val="000000"/>
                <w:sz w:val="20"/>
                <w:szCs w:val="18"/>
              </w:rPr>
            </w:pPr>
            <w:r w:rsidRPr="007579E2">
              <w:rPr>
                <w:rFonts w:ascii="Arial Narrow" w:hAnsi="Arial Narrow"/>
                <w:b/>
                <w:color w:val="000000"/>
                <w:sz w:val="20"/>
                <w:szCs w:val="18"/>
              </w:rPr>
              <w:t>Absolute difference</w:t>
            </w:r>
          </w:p>
        </w:tc>
        <w:tc>
          <w:tcPr>
            <w:tcW w:w="913" w:type="pct"/>
            <w:tcBorders>
              <w:top w:val="single" w:sz="4" w:space="0" w:color="auto"/>
              <w:left w:val="single" w:sz="4" w:space="0" w:color="auto"/>
              <w:bottom w:val="single" w:sz="4" w:space="0" w:color="auto"/>
              <w:right w:val="single" w:sz="4" w:space="0" w:color="auto"/>
            </w:tcBorders>
            <w:vAlign w:val="center"/>
          </w:tcPr>
          <w:p w:rsidR="0044408D" w:rsidRPr="007579E2" w:rsidRDefault="0044408D" w:rsidP="007E6F21">
            <w:pPr>
              <w:keepNext/>
              <w:widowControl/>
              <w:jc w:val="center"/>
              <w:rPr>
                <w:rFonts w:ascii="Arial Narrow" w:hAnsi="Arial Narrow"/>
                <w:b/>
                <w:color w:val="000000"/>
                <w:sz w:val="20"/>
                <w:szCs w:val="18"/>
              </w:rPr>
            </w:pPr>
            <w:r w:rsidRPr="007579E2">
              <w:rPr>
                <w:rFonts w:ascii="Arial Narrow" w:hAnsi="Arial Narrow"/>
                <w:b/>
                <w:color w:val="000000"/>
                <w:sz w:val="20"/>
                <w:szCs w:val="18"/>
              </w:rPr>
              <w:t xml:space="preserve">HR </w:t>
            </w:r>
            <w:r w:rsidRPr="007579E2">
              <w:rPr>
                <w:rFonts w:ascii="Arial Narrow" w:hAnsi="Arial Narrow"/>
                <w:b/>
                <w:color w:val="000000"/>
                <w:sz w:val="20"/>
                <w:szCs w:val="18"/>
              </w:rPr>
              <w:br/>
              <w:t>(98.4% CI)</w:t>
            </w:r>
          </w:p>
        </w:tc>
      </w:tr>
      <w:tr w:rsidR="00100989" w:rsidRPr="007579E2" w:rsidTr="00535F24">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100989" w:rsidRPr="007579E2" w:rsidRDefault="00100989" w:rsidP="007E6F21">
            <w:pPr>
              <w:keepNext/>
              <w:widowControl/>
              <w:jc w:val="left"/>
              <w:rPr>
                <w:rFonts w:ascii="Arial Narrow" w:hAnsi="Arial Narrow"/>
                <w:b/>
                <w:sz w:val="20"/>
              </w:rPr>
            </w:pPr>
            <w:r w:rsidRPr="007579E2">
              <w:rPr>
                <w:rFonts w:ascii="Arial Narrow" w:hAnsi="Arial Narrow"/>
                <w:b/>
                <w:color w:val="000000"/>
                <w:sz w:val="20"/>
                <w:szCs w:val="18"/>
              </w:rPr>
              <w:t>Relapse-free survival</w:t>
            </w:r>
          </w:p>
        </w:tc>
      </w:tr>
      <w:tr w:rsidR="00E66485" w:rsidRPr="007579E2" w:rsidTr="00FB4000">
        <w:tc>
          <w:tcPr>
            <w:tcW w:w="14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66485" w:rsidRPr="007579E2" w:rsidRDefault="00E66485" w:rsidP="007E6F21">
            <w:pPr>
              <w:keepNext/>
              <w:widowControl/>
              <w:jc w:val="left"/>
              <w:rPr>
                <w:rFonts w:ascii="Arial Narrow" w:hAnsi="Arial Narrow"/>
                <w:color w:val="000000"/>
                <w:sz w:val="20"/>
                <w:szCs w:val="18"/>
              </w:rPr>
            </w:pPr>
            <w:r w:rsidRPr="007579E2">
              <w:rPr>
                <w:rFonts w:ascii="Arial Narrow" w:hAnsi="Arial Narrow"/>
                <w:color w:val="000000"/>
                <w:sz w:val="20"/>
                <w:szCs w:val="18"/>
              </w:rPr>
              <w:t>Relapse events, n/N (%)</w:t>
            </w:r>
          </w:p>
        </w:tc>
        <w:tc>
          <w:tcPr>
            <w:tcW w:w="946"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163/438 (37%)</w:t>
            </w:r>
          </w:p>
        </w:tc>
        <w:tc>
          <w:tcPr>
            <w:tcW w:w="943"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247/432 (57%)</w:t>
            </w:r>
          </w:p>
        </w:tc>
        <w:tc>
          <w:tcPr>
            <w:tcW w:w="787"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w:t>
            </w:r>
          </w:p>
        </w:tc>
        <w:tc>
          <w:tcPr>
            <w:tcW w:w="913" w:type="pct"/>
            <w:vMerge w:val="restart"/>
            <w:tcBorders>
              <w:top w:val="single" w:sz="4" w:space="0" w:color="auto"/>
              <w:left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color w:val="000000"/>
                <w:sz w:val="20"/>
                <w:szCs w:val="18"/>
              </w:rPr>
            </w:pPr>
            <w:r w:rsidRPr="007579E2">
              <w:rPr>
                <w:rFonts w:ascii="Arial Narrow" w:hAnsi="Arial Narrow"/>
                <w:sz w:val="20"/>
              </w:rPr>
              <w:t xml:space="preserve">0.47 </w:t>
            </w:r>
            <w:r w:rsidRPr="007579E2">
              <w:rPr>
                <w:rFonts w:ascii="Arial Narrow" w:hAnsi="Arial Narrow"/>
                <w:sz w:val="20"/>
              </w:rPr>
              <w:br/>
              <w:t>(0.39, 0.58)</w:t>
            </w:r>
          </w:p>
        </w:tc>
      </w:tr>
      <w:tr w:rsidR="00E66485" w:rsidRPr="007579E2" w:rsidTr="00FB4000">
        <w:tc>
          <w:tcPr>
            <w:tcW w:w="14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66485" w:rsidRPr="007579E2" w:rsidRDefault="00E66485" w:rsidP="007E6F21">
            <w:pPr>
              <w:keepNext/>
              <w:widowControl/>
              <w:jc w:val="left"/>
              <w:rPr>
                <w:rFonts w:ascii="Arial Narrow" w:hAnsi="Arial Narrow"/>
                <w:color w:val="000000"/>
                <w:sz w:val="20"/>
                <w:szCs w:val="18"/>
              </w:rPr>
            </w:pPr>
            <w:r w:rsidRPr="007579E2">
              <w:rPr>
                <w:rFonts w:ascii="Arial Narrow" w:hAnsi="Arial Narrow"/>
                <w:color w:val="000000"/>
                <w:sz w:val="20"/>
                <w:szCs w:val="18"/>
              </w:rPr>
              <w:t>Median RFS, months</w:t>
            </w:r>
            <w:r w:rsidR="00FB4000" w:rsidRPr="007579E2">
              <w:rPr>
                <w:rFonts w:ascii="Arial Narrow" w:hAnsi="Arial Narrow"/>
                <w:color w:val="000000"/>
                <w:sz w:val="20"/>
                <w:szCs w:val="18"/>
              </w:rPr>
              <w:t xml:space="preserve"> (95% CI)</w:t>
            </w:r>
          </w:p>
        </w:tc>
        <w:tc>
          <w:tcPr>
            <w:tcW w:w="946"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NR (44.5, NR)</w:t>
            </w:r>
          </w:p>
        </w:tc>
        <w:tc>
          <w:tcPr>
            <w:tcW w:w="943"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16.6 (12.7, 22.1)</w:t>
            </w:r>
          </w:p>
        </w:tc>
        <w:tc>
          <w:tcPr>
            <w:tcW w:w="787"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24138F" w:rsidP="007E6F21">
            <w:pPr>
              <w:keepNext/>
              <w:widowControl/>
              <w:jc w:val="center"/>
              <w:rPr>
                <w:rFonts w:ascii="Arial Narrow" w:hAnsi="Arial Narrow"/>
                <w:color w:val="000000"/>
                <w:sz w:val="20"/>
                <w:szCs w:val="18"/>
              </w:rPr>
            </w:pPr>
            <w:r w:rsidRPr="007579E2">
              <w:rPr>
                <w:rFonts w:ascii="Arial Narrow" w:hAnsi="Arial Narrow"/>
                <w:sz w:val="20"/>
              </w:rPr>
              <w:t>-</w:t>
            </w:r>
          </w:p>
        </w:tc>
        <w:tc>
          <w:tcPr>
            <w:tcW w:w="913" w:type="pct"/>
            <w:vMerge/>
            <w:tcBorders>
              <w:left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color w:val="000000"/>
                <w:sz w:val="20"/>
                <w:szCs w:val="18"/>
              </w:rPr>
            </w:pPr>
          </w:p>
        </w:tc>
      </w:tr>
      <w:tr w:rsidR="00E66485" w:rsidRPr="007579E2" w:rsidTr="00FB4000">
        <w:tc>
          <w:tcPr>
            <w:tcW w:w="14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66485" w:rsidRPr="007579E2" w:rsidRDefault="00E66485" w:rsidP="007E6F21">
            <w:pPr>
              <w:keepNext/>
              <w:widowControl/>
              <w:jc w:val="left"/>
              <w:rPr>
                <w:rFonts w:ascii="Arial Narrow" w:hAnsi="Arial Narrow"/>
                <w:color w:val="000000"/>
                <w:sz w:val="20"/>
                <w:szCs w:val="18"/>
              </w:rPr>
            </w:pPr>
            <w:r w:rsidRPr="007579E2">
              <w:rPr>
                <w:rFonts w:ascii="Arial Narrow" w:hAnsi="Arial Narrow"/>
                <w:color w:val="000000"/>
                <w:sz w:val="20"/>
                <w:szCs w:val="18"/>
              </w:rPr>
              <w:t>3-year RFS rate</w:t>
            </w:r>
            <w:r w:rsidR="00FB4000" w:rsidRPr="007579E2">
              <w:rPr>
                <w:rFonts w:ascii="Arial Narrow" w:hAnsi="Arial Narrow"/>
                <w:color w:val="000000"/>
                <w:sz w:val="20"/>
                <w:szCs w:val="18"/>
              </w:rPr>
              <w:t>, %</w:t>
            </w:r>
          </w:p>
        </w:tc>
        <w:tc>
          <w:tcPr>
            <w:tcW w:w="946"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58%</w:t>
            </w:r>
          </w:p>
        </w:tc>
        <w:tc>
          <w:tcPr>
            <w:tcW w:w="943"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39%</w:t>
            </w:r>
          </w:p>
        </w:tc>
        <w:tc>
          <w:tcPr>
            <w:tcW w:w="787"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19%</w:t>
            </w:r>
          </w:p>
        </w:tc>
        <w:tc>
          <w:tcPr>
            <w:tcW w:w="913" w:type="pct"/>
            <w:vMerge/>
            <w:tcBorders>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p>
        </w:tc>
      </w:tr>
      <w:tr w:rsidR="00100989" w:rsidRPr="007579E2" w:rsidTr="00535F24">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100989" w:rsidRPr="007579E2" w:rsidRDefault="00100989" w:rsidP="007E6F21">
            <w:pPr>
              <w:keepNext/>
              <w:widowControl/>
              <w:jc w:val="left"/>
              <w:rPr>
                <w:rFonts w:ascii="Arial Narrow" w:hAnsi="Arial Narrow"/>
                <w:sz w:val="20"/>
              </w:rPr>
            </w:pPr>
            <w:r w:rsidRPr="007579E2">
              <w:rPr>
                <w:rFonts w:ascii="Arial Narrow" w:hAnsi="Arial Narrow"/>
                <w:b/>
                <w:color w:val="000000"/>
                <w:sz w:val="20"/>
                <w:szCs w:val="18"/>
              </w:rPr>
              <w:t>Distant metastases-free survival</w:t>
            </w:r>
          </w:p>
        </w:tc>
      </w:tr>
      <w:tr w:rsidR="00E66485" w:rsidRPr="007579E2" w:rsidTr="00FB4000">
        <w:tc>
          <w:tcPr>
            <w:tcW w:w="14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66485" w:rsidRPr="007579E2" w:rsidRDefault="00E66485" w:rsidP="007E6F21">
            <w:pPr>
              <w:keepNext/>
              <w:widowControl/>
              <w:jc w:val="left"/>
              <w:rPr>
                <w:rFonts w:ascii="Arial Narrow" w:hAnsi="Arial Narrow"/>
                <w:color w:val="000000"/>
                <w:sz w:val="20"/>
                <w:szCs w:val="18"/>
              </w:rPr>
            </w:pPr>
            <w:r w:rsidRPr="007579E2">
              <w:rPr>
                <w:rFonts w:ascii="Arial Narrow" w:hAnsi="Arial Narrow"/>
                <w:color w:val="000000"/>
                <w:sz w:val="20"/>
                <w:szCs w:val="18"/>
              </w:rPr>
              <w:t>Events, n/N (%)</w:t>
            </w:r>
          </w:p>
        </w:tc>
        <w:tc>
          <w:tcPr>
            <w:tcW w:w="946"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106/438 (24%)</w:t>
            </w:r>
          </w:p>
        </w:tc>
        <w:tc>
          <w:tcPr>
            <w:tcW w:w="943"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150/423 (35%)</w:t>
            </w:r>
          </w:p>
        </w:tc>
        <w:tc>
          <w:tcPr>
            <w:tcW w:w="787" w:type="pct"/>
            <w:gridSpan w:val="2"/>
            <w:tcBorders>
              <w:top w:val="single" w:sz="4" w:space="0" w:color="auto"/>
              <w:left w:val="single" w:sz="4" w:space="0" w:color="auto"/>
              <w:bottom w:val="single" w:sz="4" w:space="0" w:color="auto"/>
              <w:right w:val="single" w:sz="4" w:space="0" w:color="auto"/>
            </w:tcBorders>
            <w:vAlign w:val="center"/>
          </w:tcPr>
          <w:p w:rsidR="00E66485" w:rsidRPr="007579E2" w:rsidDel="00100989" w:rsidRDefault="00E66485"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w:t>
            </w:r>
          </w:p>
        </w:tc>
        <w:tc>
          <w:tcPr>
            <w:tcW w:w="913" w:type="pct"/>
            <w:vMerge w:val="restart"/>
            <w:tcBorders>
              <w:top w:val="single" w:sz="4" w:space="0" w:color="auto"/>
              <w:left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0.51</w:t>
            </w:r>
          </w:p>
          <w:p w:rsidR="00E66485" w:rsidRPr="007579E2" w:rsidRDefault="00E66485" w:rsidP="007E6F21">
            <w:pPr>
              <w:keepNext/>
              <w:widowControl/>
              <w:jc w:val="center"/>
              <w:rPr>
                <w:rFonts w:ascii="Arial Narrow" w:hAnsi="Arial Narrow"/>
                <w:sz w:val="20"/>
              </w:rPr>
            </w:pPr>
            <w:r w:rsidRPr="007579E2">
              <w:rPr>
                <w:rFonts w:ascii="Arial Narrow" w:hAnsi="Arial Narrow"/>
                <w:sz w:val="20"/>
              </w:rPr>
              <w:t>(0.40, 0.65)</w:t>
            </w:r>
          </w:p>
        </w:tc>
      </w:tr>
      <w:tr w:rsidR="00E66485" w:rsidRPr="007579E2" w:rsidTr="00FB4000">
        <w:tc>
          <w:tcPr>
            <w:tcW w:w="14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66485" w:rsidRPr="007579E2" w:rsidRDefault="00E66485" w:rsidP="007E6F21">
            <w:pPr>
              <w:keepNext/>
              <w:widowControl/>
              <w:jc w:val="left"/>
              <w:rPr>
                <w:rFonts w:ascii="Arial Narrow" w:hAnsi="Arial Narrow"/>
                <w:color w:val="000000"/>
                <w:sz w:val="20"/>
                <w:szCs w:val="18"/>
              </w:rPr>
            </w:pPr>
            <w:r w:rsidRPr="007579E2">
              <w:rPr>
                <w:rFonts w:ascii="Arial Narrow" w:hAnsi="Arial Narrow"/>
                <w:color w:val="000000"/>
                <w:sz w:val="20"/>
                <w:szCs w:val="18"/>
              </w:rPr>
              <w:t>Median DMFS, months</w:t>
            </w:r>
            <w:r w:rsidR="00FB4000" w:rsidRPr="007579E2">
              <w:rPr>
                <w:rFonts w:ascii="Arial Narrow" w:hAnsi="Arial Narrow"/>
                <w:color w:val="000000"/>
                <w:sz w:val="20"/>
                <w:szCs w:val="18"/>
              </w:rPr>
              <w:t xml:space="preserve"> (95% CI)</w:t>
            </w:r>
          </w:p>
        </w:tc>
        <w:tc>
          <w:tcPr>
            <w:tcW w:w="946"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NE</w:t>
            </w:r>
          </w:p>
        </w:tc>
        <w:tc>
          <w:tcPr>
            <w:tcW w:w="943"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NE (41.2, NE)</w:t>
            </w:r>
          </w:p>
        </w:tc>
        <w:tc>
          <w:tcPr>
            <w:tcW w:w="787" w:type="pct"/>
            <w:gridSpan w:val="2"/>
            <w:tcBorders>
              <w:top w:val="single" w:sz="4" w:space="0" w:color="auto"/>
              <w:left w:val="single" w:sz="4" w:space="0" w:color="auto"/>
              <w:bottom w:val="single" w:sz="4" w:space="0" w:color="auto"/>
              <w:right w:val="single" w:sz="4" w:space="0" w:color="auto"/>
            </w:tcBorders>
            <w:vAlign w:val="center"/>
          </w:tcPr>
          <w:p w:rsidR="00E66485" w:rsidRPr="007579E2" w:rsidDel="00100989" w:rsidRDefault="00E66485"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w:t>
            </w:r>
          </w:p>
        </w:tc>
        <w:tc>
          <w:tcPr>
            <w:tcW w:w="913" w:type="pct"/>
            <w:vMerge/>
            <w:tcBorders>
              <w:left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p>
        </w:tc>
      </w:tr>
      <w:tr w:rsidR="00E66485" w:rsidRPr="007579E2" w:rsidTr="00FB4000">
        <w:tc>
          <w:tcPr>
            <w:tcW w:w="14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66485" w:rsidRPr="007579E2" w:rsidRDefault="00E66485" w:rsidP="007E6F21">
            <w:pPr>
              <w:keepNext/>
              <w:widowControl/>
              <w:jc w:val="left"/>
              <w:rPr>
                <w:rFonts w:ascii="Arial Narrow" w:hAnsi="Arial Narrow"/>
                <w:color w:val="000000"/>
                <w:sz w:val="20"/>
                <w:szCs w:val="18"/>
              </w:rPr>
            </w:pPr>
            <w:r w:rsidRPr="007579E2">
              <w:rPr>
                <w:rFonts w:ascii="Arial Narrow" w:hAnsi="Arial Narrow"/>
                <w:color w:val="000000"/>
                <w:sz w:val="20"/>
                <w:szCs w:val="18"/>
              </w:rPr>
              <w:t>3-year DMFS rate</w:t>
            </w:r>
            <w:r w:rsidR="00FB4000" w:rsidRPr="007579E2">
              <w:rPr>
                <w:rFonts w:ascii="Arial Narrow" w:hAnsi="Arial Narrow"/>
                <w:color w:val="000000"/>
                <w:sz w:val="20"/>
                <w:szCs w:val="18"/>
              </w:rPr>
              <w:t>, %</w:t>
            </w:r>
          </w:p>
        </w:tc>
        <w:tc>
          <w:tcPr>
            <w:tcW w:w="946"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71%</w:t>
            </w:r>
          </w:p>
        </w:tc>
        <w:tc>
          <w:tcPr>
            <w:tcW w:w="943"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57%</w:t>
            </w:r>
          </w:p>
        </w:tc>
        <w:tc>
          <w:tcPr>
            <w:tcW w:w="787" w:type="pct"/>
            <w:gridSpan w:val="2"/>
            <w:tcBorders>
              <w:top w:val="single" w:sz="4" w:space="0" w:color="auto"/>
              <w:left w:val="single" w:sz="4" w:space="0" w:color="auto"/>
              <w:bottom w:val="single" w:sz="4" w:space="0" w:color="auto"/>
              <w:right w:val="single" w:sz="4" w:space="0" w:color="auto"/>
            </w:tcBorders>
            <w:vAlign w:val="center"/>
          </w:tcPr>
          <w:p w:rsidR="00E66485" w:rsidRPr="007579E2" w:rsidDel="00100989" w:rsidRDefault="00E66485"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14%</w:t>
            </w:r>
          </w:p>
        </w:tc>
        <w:tc>
          <w:tcPr>
            <w:tcW w:w="913" w:type="pct"/>
            <w:vMerge/>
            <w:tcBorders>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p>
        </w:tc>
      </w:tr>
      <w:tr w:rsidR="007121F9" w:rsidRPr="007579E2" w:rsidTr="00535F24">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7121F9" w:rsidRPr="007579E2" w:rsidRDefault="007121F9" w:rsidP="007E6F21">
            <w:pPr>
              <w:keepNext/>
              <w:widowControl/>
              <w:jc w:val="left"/>
              <w:rPr>
                <w:rFonts w:ascii="Arial Narrow" w:hAnsi="Arial Narrow"/>
                <w:sz w:val="20"/>
              </w:rPr>
            </w:pPr>
            <w:r w:rsidRPr="007579E2">
              <w:rPr>
                <w:rFonts w:ascii="Arial Narrow" w:hAnsi="Arial Narrow"/>
                <w:b/>
                <w:color w:val="000000"/>
                <w:sz w:val="20"/>
                <w:szCs w:val="18"/>
              </w:rPr>
              <w:t>Overall survival</w:t>
            </w:r>
          </w:p>
        </w:tc>
      </w:tr>
      <w:tr w:rsidR="00E66485" w:rsidRPr="007579E2" w:rsidTr="00FB4000">
        <w:tc>
          <w:tcPr>
            <w:tcW w:w="14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66485" w:rsidRPr="007579E2" w:rsidRDefault="00E66485" w:rsidP="007E6F21">
            <w:pPr>
              <w:keepNext/>
              <w:widowControl/>
              <w:jc w:val="left"/>
              <w:rPr>
                <w:rFonts w:ascii="Arial Narrow" w:hAnsi="Arial Narrow"/>
                <w:color w:val="000000"/>
                <w:sz w:val="20"/>
                <w:szCs w:val="18"/>
              </w:rPr>
            </w:pPr>
            <w:r w:rsidRPr="007579E2">
              <w:rPr>
                <w:rFonts w:ascii="Arial Narrow" w:hAnsi="Arial Narrow"/>
                <w:color w:val="000000"/>
                <w:sz w:val="20"/>
                <w:szCs w:val="18"/>
              </w:rPr>
              <w:t>Death, n/N (%)</w:t>
            </w:r>
          </w:p>
        </w:tc>
        <w:tc>
          <w:tcPr>
            <w:tcW w:w="946"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60/438 (14%)</w:t>
            </w:r>
          </w:p>
        </w:tc>
        <w:tc>
          <w:tcPr>
            <w:tcW w:w="943"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93/432 (22%)</w:t>
            </w:r>
          </w:p>
        </w:tc>
        <w:tc>
          <w:tcPr>
            <w:tcW w:w="787"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w:t>
            </w:r>
          </w:p>
        </w:tc>
        <w:tc>
          <w:tcPr>
            <w:tcW w:w="913" w:type="pct"/>
            <w:vMerge w:val="restart"/>
            <w:tcBorders>
              <w:top w:val="single" w:sz="4" w:space="0" w:color="auto"/>
              <w:left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 xml:space="preserve">0.57 </w:t>
            </w:r>
            <w:r w:rsidRPr="007579E2">
              <w:rPr>
                <w:rFonts w:ascii="Arial Narrow" w:hAnsi="Arial Narrow"/>
                <w:color w:val="000000"/>
                <w:sz w:val="20"/>
                <w:szCs w:val="18"/>
              </w:rPr>
              <w:br/>
              <w:t>(0.42, 0.79)</w:t>
            </w:r>
          </w:p>
        </w:tc>
      </w:tr>
      <w:tr w:rsidR="00E66485" w:rsidRPr="007579E2" w:rsidTr="00FB4000">
        <w:tc>
          <w:tcPr>
            <w:tcW w:w="14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66485" w:rsidRPr="007579E2" w:rsidRDefault="00E66485" w:rsidP="007E6F21">
            <w:pPr>
              <w:keepNext/>
              <w:widowControl/>
              <w:rPr>
                <w:rFonts w:ascii="Arial Narrow" w:hAnsi="Arial Narrow"/>
                <w:color w:val="000000"/>
                <w:sz w:val="20"/>
                <w:szCs w:val="18"/>
              </w:rPr>
            </w:pPr>
            <w:r w:rsidRPr="007579E2">
              <w:rPr>
                <w:rFonts w:ascii="Arial Narrow" w:hAnsi="Arial Narrow"/>
                <w:color w:val="000000"/>
                <w:sz w:val="20"/>
                <w:szCs w:val="18"/>
              </w:rPr>
              <w:t>Median OS</w:t>
            </w:r>
            <w:r w:rsidR="00FB4000" w:rsidRPr="007579E2">
              <w:rPr>
                <w:rFonts w:ascii="Arial Narrow" w:hAnsi="Arial Narrow"/>
                <w:color w:val="000000"/>
                <w:sz w:val="20"/>
                <w:szCs w:val="18"/>
              </w:rPr>
              <w:t>, months (95% CI)</w:t>
            </w:r>
          </w:p>
        </w:tc>
        <w:tc>
          <w:tcPr>
            <w:tcW w:w="946"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NR</w:t>
            </w:r>
          </w:p>
        </w:tc>
        <w:tc>
          <w:tcPr>
            <w:tcW w:w="943"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NR</w:t>
            </w:r>
          </w:p>
        </w:tc>
        <w:tc>
          <w:tcPr>
            <w:tcW w:w="787" w:type="pct"/>
            <w:gridSpan w:val="2"/>
            <w:tcBorders>
              <w:top w:val="single" w:sz="4" w:space="0" w:color="auto"/>
              <w:left w:val="single" w:sz="4" w:space="0" w:color="auto"/>
              <w:bottom w:val="single" w:sz="4" w:space="0" w:color="auto"/>
              <w:right w:val="single" w:sz="4" w:space="0" w:color="auto"/>
            </w:tcBorders>
            <w:vAlign w:val="center"/>
          </w:tcPr>
          <w:p w:rsidR="00E66485" w:rsidRPr="007579E2" w:rsidRDefault="0024138F" w:rsidP="007E6F21">
            <w:pPr>
              <w:keepNext/>
              <w:widowControl/>
              <w:jc w:val="center"/>
              <w:rPr>
                <w:rFonts w:ascii="Arial Narrow" w:hAnsi="Arial Narrow"/>
                <w:color w:val="000000"/>
                <w:sz w:val="20"/>
                <w:szCs w:val="18"/>
              </w:rPr>
            </w:pPr>
            <w:r w:rsidRPr="007579E2">
              <w:rPr>
                <w:rFonts w:ascii="Arial Narrow" w:hAnsi="Arial Narrow"/>
                <w:sz w:val="20"/>
              </w:rPr>
              <w:t>-</w:t>
            </w:r>
          </w:p>
        </w:tc>
        <w:tc>
          <w:tcPr>
            <w:tcW w:w="913" w:type="pct"/>
            <w:vMerge/>
            <w:tcBorders>
              <w:left w:val="single" w:sz="4" w:space="0" w:color="auto"/>
              <w:right w:val="single" w:sz="4" w:space="0" w:color="auto"/>
            </w:tcBorders>
            <w:vAlign w:val="center"/>
          </w:tcPr>
          <w:p w:rsidR="00E66485" w:rsidRPr="007579E2" w:rsidRDefault="00E66485" w:rsidP="007E6F21">
            <w:pPr>
              <w:keepNext/>
              <w:widowControl/>
              <w:jc w:val="center"/>
              <w:rPr>
                <w:rFonts w:ascii="Arial Narrow" w:hAnsi="Arial Narrow"/>
                <w:color w:val="000000"/>
                <w:sz w:val="20"/>
                <w:szCs w:val="18"/>
              </w:rPr>
            </w:pPr>
          </w:p>
        </w:tc>
      </w:tr>
      <w:tr w:rsidR="00E66485" w:rsidRPr="007579E2" w:rsidTr="00FB4000">
        <w:tc>
          <w:tcPr>
            <w:tcW w:w="1411"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E66485" w:rsidRPr="007579E2" w:rsidRDefault="00E66485" w:rsidP="007E6F21">
            <w:pPr>
              <w:keepNext/>
              <w:widowControl/>
              <w:rPr>
                <w:rFonts w:ascii="Arial Narrow" w:hAnsi="Arial Narrow"/>
                <w:color w:val="000000"/>
                <w:sz w:val="20"/>
                <w:szCs w:val="18"/>
              </w:rPr>
            </w:pPr>
            <w:r w:rsidRPr="007579E2">
              <w:rPr>
                <w:rFonts w:ascii="Arial Narrow" w:hAnsi="Arial Narrow"/>
                <w:color w:val="000000"/>
                <w:sz w:val="20"/>
                <w:szCs w:val="18"/>
              </w:rPr>
              <w:t>3-year OS rate</w:t>
            </w:r>
            <w:r w:rsidR="00FB4000" w:rsidRPr="007579E2">
              <w:rPr>
                <w:rFonts w:ascii="Arial Narrow" w:hAnsi="Arial Narrow"/>
                <w:color w:val="000000"/>
                <w:sz w:val="20"/>
                <w:szCs w:val="18"/>
              </w:rPr>
              <w:t>, %</w:t>
            </w:r>
          </w:p>
        </w:tc>
        <w:tc>
          <w:tcPr>
            <w:tcW w:w="946" w:type="pct"/>
            <w:gridSpan w:val="2"/>
            <w:tcBorders>
              <w:top w:val="single" w:sz="4" w:space="0" w:color="auto"/>
              <w:left w:val="single" w:sz="4" w:space="0" w:color="auto"/>
              <w:bottom w:val="doub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86%</w:t>
            </w:r>
          </w:p>
        </w:tc>
        <w:tc>
          <w:tcPr>
            <w:tcW w:w="943" w:type="pct"/>
            <w:gridSpan w:val="2"/>
            <w:tcBorders>
              <w:top w:val="single" w:sz="4" w:space="0" w:color="auto"/>
              <w:left w:val="single" w:sz="4" w:space="0" w:color="auto"/>
              <w:bottom w:val="doub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77%</w:t>
            </w:r>
          </w:p>
        </w:tc>
        <w:tc>
          <w:tcPr>
            <w:tcW w:w="787" w:type="pct"/>
            <w:gridSpan w:val="2"/>
            <w:tcBorders>
              <w:top w:val="single" w:sz="4" w:space="0" w:color="auto"/>
              <w:left w:val="single" w:sz="4" w:space="0" w:color="auto"/>
              <w:bottom w:val="double" w:sz="4" w:space="0" w:color="auto"/>
              <w:right w:val="single" w:sz="4" w:space="0" w:color="auto"/>
            </w:tcBorders>
            <w:vAlign w:val="center"/>
          </w:tcPr>
          <w:p w:rsidR="00E66485" w:rsidRPr="007579E2" w:rsidRDefault="00E66485" w:rsidP="007E6F21">
            <w:pPr>
              <w:keepNext/>
              <w:widowControl/>
              <w:jc w:val="center"/>
              <w:rPr>
                <w:rFonts w:ascii="Arial Narrow" w:hAnsi="Arial Narrow"/>
                <w:sz w:val="20"/>
              </w:rPr>
            </w:pPr>
            <w:r w:rsidRPr="007579E2">
              <w:rPr>
                <w:rFonts w:ascii="Arial Narrow" w:hAnsi="Arial Narrow"/>
                <w:sz w:val="20"/>
              </w:rPr>
              <w:t>9%</w:t>
            </w:r>
          </w:p>
        </w:tc>
        <w:tc>
          <w:tcPr>
            <w:tcW w:w="913" w:type="pct"/>
            <w:vMerge/>
            <w:tcBorders>
              <w:left w:val="single" w:sz="4" w:space="0" w:color="auto"/>
              <w:bottom w:val="double" w:sz="4" w:space="0" w:color="auto"/>
              <w:right w:val="single" w:sz="4" w:space="0" w:color="auto"/>
            </w:tcBorders>
            <w:vAlign w:val="center"/>
          </w:tcPr>
          <w:p w:rsidR="00E66485" w:rsidRPr="007579E2" w:rsidRDefault="00E66485" w:rsidP="007E6F21">
            <w:pPr>
              <w:keepNext/>
              <w:widowControl/>
              <w:jc w:val="center"/>
              <w:rPr>
                <w:rFonts w:ascii="Arial Narrow" w:hAnsi="Arial Narrow"/>
                <w:color w:val="000000"/>
                <w:sz w:val="20"/>
                <w:szCs w:val="18"/>
              </w:rPr>
            </w:pPr>
          </w:p>
        </w:tc>
      </w:tr>
      <w:tr w:rsidR="00642C54" w:rsidRPr="007579E2" w:rsidTr="00535F24">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rsidR="00642C54" w:rsidRPr="007579E2" w:rsidRDefault="001F6ADC" w:rsidP="007E6F21">
            <w:pPr>
              <w:keepNext/>
              <w:widowControl/>
              <w:rPr>
                <w:rFonts w:ascii="Arial Narrow" w:hAnsi="Arial Narrow"/>
                <w:b/>
                <w:color w:val="000000"/>
                <w:sz w:val="20"/>
                <w:szCs w:val="18"/>
              </w:rPr>
            </w:pPr>
            <w:r w:rsidRPr="007579E2">
              <w:rPr>
                <w:rFonts w:ascii="Arial Narrow" w:hAnsi="Arial Narrow"/>
                <w:b/>
                <w:color w:val="000000"/>
                <w:sz w:val="20"/>
                <w:szCs w:val="18"/>
              </w:rPr>
              <w:t>Harms</w:t>
            </w:r>
          </w:p>
        </w:tc>
      </w:tr>
      <w:tr w:rsidR="00642C54" w:rsidRPr="007579E2" w:rsidTr="00FB4000">
        <w:trPr>
          <w:trHeight w:val="70"/>
        </w:trPr>
        <w:tc>
          <w:tcPr>
            <w:tcW w:w="11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2C54" w:rsidRPr="007579E2" w:rsidRDefault="00642C54" w:rsidP="007E6F21">
            <w:pPr>
              <w:keepNext/>
              <w:widowControl/>
              <w:rPr>
                <w:rFonts w:ascii="Arial Narrow" w:hAnsi="Arial Narrow"/>
                <w:b/>
                <w:color w:val="000000"/>
                <w:sz w:val="20"/>
                <w:szCs w:val="18"/>
              </w:rPr>
            </w:pPr>
          </w:p>
        </w:tc>
        <w:tc>
          <w:tcPr>
            <w:tcW w:w="629" w:type="pct"/>
            <w:gridSpan w:val="2"/>
            <w:vMerge w:val="restart"/>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b/>
                <w:color w:val="000000"/>
                <w:sz w:val="20"/>
                <w:szCs w:val="18"/>
              </w:rPr>
            </w:pPr>
            <w:r w:rsidRPr="007579E2">
              <w:rPr>
                <w:rFonts w:ascii="Arial Narrow" w:hAnsi="Arial Narrow"/>
                <w:b/>
                <w:color w:val="000000"/>
                <w:sz w:val="20"/>
                <w:szCs w:val="18"/>
              </w:rPr>
              <w:t>D</w:t>
            </w:r>
            <w:r w:rsidR="00165158" w:rsidRPr="007579E2">
              <w:rPr>
                <w:rFonts w:ascii="Arial Narrow" w:hAnsi="Arial Narrow"/>
                <w:b/>
                <w:color w:val="000000"/>
                <w:sz w:val="20"/>
                <w:szCs w:val="18"/>
              </w:rPr>
              <w:t>AB</w:t>
            </w:r>
            <w:r w:rsidRPr="007579E2">
              <w:rPr>
                <w:rFonts w:ascii="Arial Narrow" w:hAnsi="Arial Narrow"/>
                <w:b/>
                <w:color w:val="000000"/>
                <w:sz w:val="20"/>
                <w:szCs w:val="18"/>
              </w:rPr>
              <w:t>+</w:t>
            </w:r>
            <w:r w:rsidR="00165158" w:rsidRPr="007579E2">
              <w:rPr>
                <w:rFonts w:ascii="Arial Narrow" w:hAnsi="Arial Narrow"/>
                <w:b/>
                <w:color w:val="000000"/>
                <w:sz w:val="20"/>
                <w:szCs w:val="18"/>
              </w:rPr>
              <w:t>TRAM</w:t>
            </w:r>
          </w:p>
        </w:tc>
        <w:tc>
          <w:tcPr>
            <w:tcW w:w="551" w:type="pct"/>
            <w:vMerge w:val="restart"/>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b/>
                <w:color w:val="000000"/>
                <w:sz w:val="20"/>
                <w:szCs w:val="18"/>
              </w:rPr>
            </w:pPr>
            <w:r w:rsidRPr="007579E2">
              <w:rPr>
                <w:rFonts w:ascii="Arial Narrow" w:hAnsi="Arial Narrow"/>
                <w:b/>
                <w:color w:val="000000"/>
                <w:sz w:val="20"/>
                <w:szCs w:val="18"/>
              </w:rPr>
              <w:t>Placebo</w:t>
            </w:r>
          </w:p>
        </w:tc>
        <w:tc>
          <w:tcPr>
            <w:tcW w:w="624" w:type="pct"/>
            <w:vMerge w:val="restart"/>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b/>
                <w:color w:val="000000"/>
                <w:sz w:val="20"/>
                <w:szCs w:val="18"/>
              </w:rPr>
            </w:pPr>
            <w:r w:rsidRPr="007579E2">
              <w:rPr>
                <w:rFonts w:ascii="Arial Narrow" w:hAnsi="Arial Narrow"/>
                <w:b/>
                <w:color w:val="000000"/>
                <w:sz w:val="20"/>
                <w:szCs w:val="18"/>
              </w:rPr>
              <w:t>R</w:t>
            </w:r>
            <w:r w:rsidR="00C962DE" w:rsidRPr="007579E2">
              <w:rPr>
                <w:rFonts w:ascii="Arial Narrow" w:hAnsi="Arial Narrow"/>
                <w:b/>
                <w:color w:val="000000"/>
                <w:sz w:val="20"/>
                <w:szCs w:val="18"/>
              </w:rPr>
              <w:t>elative risk</w:t>
            </w:r>
          </w:p>
          <w:p w:rsidR="00642C54" w:rsidRPr="007579E2" w:rsidRDefault="00642C54" w:rsidP="007E6F21">
            <w:pPr>
              <w:keepNext/>
              <w:widowControl/>
              <w:jc w:val="center"/>
              <w:rPr>
                <w:rFonts w:ascii="Arial Narrow" w:hAnsi="Arial Narrow"/>
                <w:b/>
                <w:color w:val="000000"/>
                <w:sz w:val="20"/>
                <w:szCs w:val="18"/>
              </w:rPr>
            </w:pPr>
            <w:r w:rsidRPr="007579E2">
              <w:rPr>
                <w:rFonts w:ascii="Arial Narrow" w:hAnsi="Arial Narrow"/>
                <w:b/>
                <w:color w:val="000000"/>
                <w:sz w:val="20"/>
                <w:szCs w:val="18"/>
              </w:rPr>
              <w:t>(95% CI)</w:t>
            </w:r>
          </w:p>
        </w:tc>
        <w:tc>
          <w:tcPr>
            <w:tcW w:w="1106" w:type="pct"/>
            <w:gridSpan w:val="3"/>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b/>
                <w:color w:val="000000"/>
                <w:sz w:val="20"/>
                <w:szCs w:val="18"/>
              </w:rPr>
            </w:pPr>
            <w:r w:rsidRPr="007579E2">
              <w:rPr>
                <w:rFonts w:ascii="Arial Narrow" w:hAnsi="Arial Narrow"/>
                <w:b/>
                <w:color w:val="000000"/>
                <w:sz w:val="20"/>
                <w:szCs w:val="18"/>
              </w:rPr>
              <w:t xml:space="preserve">Event rate/100 patients </w:t>
            </w:r>
          </w:p>
        </w:tc>
        <w:tc>
          <w:tcPr>
            <w:tcW w:w="913" w:type="pct"/>
            <w:vMerge w:val="restart"/>
            <w:tcBorders>
              <w:top w:val="single" w:sz="4" w:space="0" w:color="auto"/>
              <w:left w:val="single" w:sz="4" w:space="0" w:color="auto"/>
              <w:bottom w:val="single" w:sz="4" w:space="0" w:color="auto"/>
              <w:right w:val="single" w:sz="4" w:space="0" w:color="auto"/>
            </w:tcBorders>
            <w:vAlign w:val="center"/>
          </w:tcPr>
          <w:p w:rsidR="004E52CD" w:rsidRPr="007579E2" w:rsidRDefault="004E52CD" w:rsidP="004E52CD">
            <w:pPr>
              <w:keepNext/>
              <w:widowControl/>
              <w:jc w:val="center"/>
              <w:rPr>
                <w:rFonts w:ascii="Arial Narrow" w:hAnsi="Arial Narrow"/>
                <w:b/>
                <w:color w:val="000000"/>
                <w:sz w:val="20"/>
                <w:szCs w:val="18"/>
              </w:rPr>
            </w:pPr>
            <w:r w:rsidRPr="007579E2">
              <w:rPr>
                <w:rFonts w:ascii="Arial Narrow" w:hAnsi="Arial Narrow"/>
                <w:b/>
                <w:color w:val="000000"/>
                <w:sz w:val="20"/>
                <w:szCs w:val="18"/>
              </w:rPr>
              <w:t>RD</w:t>
            </w:r>
          </w:p>
          <w:p w:rsidR="00642C54" w:rsidRPr="007579E2" w:rsidRDefault="004E52CD" w:rsidP="004E52CD">
            <w:pPr>
              <w:keepNext/>
              <w:widowControl/>
              <w:jc w:val="center"/>
              <w:rPr>
                <w:rFonts w:ascii="Arial Narrow" w:hAnsi="Arial Narrow"/>
                <w:b/>
                <w:color w:val="000000"/>
                <w:sz w:val="20"/>
                <w:szCs w:val="18"/>
              </w:rPr>
            </w:pPr>
            <w:r w:rsidRPr="007579E2">
              <w:rPr>
                <w:rFonts w:ascii="Arial Narrow" w:hAnsi="Arial Narrow"/>
                <w:b/>
                <w:color w:val="000000"/>
                <w:sz w:val="20"/>
                <w:szCs w:val="18"/>
              </w:rPr>
              <w:t>(95% CI)</w:t>
            </w:r>
          </w:p>
        </w:tc>
      </w:tr>
      <w:tr w:rsidR="00C962DE" w:rsidRPr="007579E2" w:rsidTr="00FB4000">
        <w:trPr>
          <w:trHeight w:val="50"/>
        </w:trPr>
        <w:tc>
          <w:tcPr>
            <w:tcW w:w="11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642C54" w:rsidRPr="007579E2" w:rsidRDefault="00642C54" w:rsidP="007E6F21">
            <w:pPr>
              <w:keepNext/>
              <w:widowControl/>
              <w:rPr>
                <w:rFonts w:ascii="Arial Narrow" w:hAnsi="Arial Narrow"/>
                <w:b/>
                <w:color w:val="000000"/>
                <w:sz w:val="20"/>
                <w:szCs w:val="18"/>
              </w:rPr>
            </w:pPr>
          </w:p>
        </w:tc>
        <w:tc>
          <w:tcPr>
            <w:tcW w:w="629" w:type="pct"/>
            <w:gridSpan w:val="2"/>
            <w:vMerge/>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b/>
                <w:color w:val="000000"/>
                <w:sz w:val="20"/>
                <w:szCs w:val="18"/>
              </w:rPr>
            </w:pPr>
          </w:p>
        </w:tc>
        <w:tc>
          <w:tcPr>
            <w:tcW w:w="551" w:type="pct"/>
            <w:vMerge/>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b/>
                <w:color w:val="000000"/>
                <w:sz w:val="20"/>
                <w:szCs w:val="18"/>
              </w:rPr>
            </w:pPr>
          </w:p>
        </w:tc>
        <w:tc>
          <w:tcPr>
            <w:tcW w:w="624" w:type="pct"/>
            <w:vMerge/>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b/>
                <w:color w:val="000000"/>
                <w:sz w:val="20"/>
                <w:szCs w:val="18"/>
              </w:rPr>
            </w:pPr>
          </w:p>
        </w:tc>
        <w:tc>
          <w:tcPr>
            <w:tcW w:w="555" w:type="pct"/>
            <w:gridSpan w:val="2"/>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b/>
                <w:color w:val="000000"/>
                <w:sz w:val="20"/>
                <w:szCs w:val="18"/>
              </w:rPr>
            </w:pPr>
            <w:r w:rsidRPr="007579E2">
              <w:rPr>
                <w:rFonts w:ascii="Arial Narrow" w:hAnsi="Arial Narrow"/>
                <w:b/>
                <w:color w:val="000000"/>
                <w:sz w:val="20"/>
                <w:szCs w:val="18"/>
              </w:rPr>
              <w:t>D</w:t>
            </w:r>
            <w:r w:rsidR="00165158" w:rsidRPr="007579E2">
              <w:rPr>
                <w:rFonts w:ascii="Arial Narrow" w:hAnsi="Arial Narrow"/>
                <w:b/>
                <w:color w:val="000000"/>
                <w:sz w:val="20"/>
                <w:szCs w:val="18"/>
              </w:rPr>
              <w:t>AB</w:t>
            </w:r>
            <w:r w:rsidRPr="007579E2">
              <w:rPr>
                <w:rFonts w:ascii="Arial Narrow" w:hAnsi="Arial Narrow"/>
                <w:b/>
                <w:color w:val="000000"/>
                <w:sz w:val="20"/>
                <w:szCs w:val="18"/>
              </w:rPr>
              <w:t>+</w:t>
            </w:r>
            <w:r w:rsidR="00165158" w:rsidRPr="007579E2">
              <w:rPr>
                <w:rFonts w:ascii="Arial Narrow" w:hAnsi="Arial Narrow"/>
                <w:b/>
                <w:color w:val="000000"/>
                <w:sz w:val="20"/>
                <w:szCs w:val="18"/>
              </w:rPr>
              <w:t>TRAM</w:t>
            </w:r>
          </w:p>
        </w:tc>
        <w:tc>
          <w:tcPr>
            <w:tcW w:w="551" w:type="pct"/>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b/>
                <w:color w:val="000000"/>
                <w:sz w:val="20"/>
                <w:szCs w:val="18"/>
              </w:rPr>
            </w:pPr>
            <w:r w:rsidRPr="007579E2">
              <w:rPr>
                <w:rFonts w:ascii="Arial Narrow" w:hAnsi="Arial Narrow"/>
                <w:b/>
                <w:color w:val="000000"/>
                <w:sz w:val="20"/>
                <w:szCs w:val="18"/>
              </w:rPr>
              <w:t xml:space="preserve">Placebo </w:t>
            </w:r>
          </w:p>
        </w:tc>
        <w:tc>
          <w:tcPr>
            <w:tcW w:w="913" w:type="pct"/>
            <w:vMerge/>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b/>
                <w:color w:val="000000"/>
                <w:sz w:val="20"/>
                <w:szCs w:val="18"/>
              </w:rPr>
            </w:pPr>
          </w:p>
        </w:tc>
      </w:tr>
      <w:tr w:rsidR="00C962DE" w:rsidRPr="007579E2" w:rsidTr="00FB4000">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642C54" w:rsidRPr="007579E2" w:rsidRDefault="00642C54" w:rsidP="007E6F21">
            <w:pPr>
              <w:keepNext/>
              <w:widowControl/>
              <w:jc w:val="left"/>
              <w:rPr>
                <w:rFonts w:ascii="Arial Narrow" w:hAnsi="Arial Narrow"/>
                <w:color w:val="000000"/>
                <w:sz w:val="20"/>
                <w:szCs w:val="18"/>
              </w:rPr>
            </w:pPr>
            <w:r w:rsidRPr="007579E2">
              <w:rPr>
                <w:rFonts w:ascii="Arial Narrow" w:hAnsi="Arial Narrow"/>
                <w:color w:val="000000"/>
                <w:sz w:val="20"/>
                <w:szCs w:val="18"/>
              </w:rPr>
              <w:t>Grade 3-4 AEs</w:t>
            </w:r>
          </w:p>
        </w:tc>
        <w:tc>
          <w:tcPr>
            <w:tcW w:w="629" w:type="pct"/>
            <w:gridSpan w:val="2"/>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 xml:space="preserve">180/435 </w:t>
            </w:r>
          </w:p>
        </w:tc>
        <w:tc>
          <w:tcPr>
            <w:tcW w:w="551" w:type="pct"/>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 xml:space="preserve">61/432 </w:t>
            </w:r>
          </w:p>
        </w:tc>
        <w:tc>
          <w:tcPr>
            <w:tcW w:w="624" w:type="pct"/>
            <w:tcBorders>
              <w:top w:val="single" w:sz="4" w:space="0" w:color="auto"/>
              <w:left w:val="single" w:sz="4" w:space="0" w:color="auto"/>
              <w:bottom w:val="single" w:sz="4" w:space="0" w:color="auto"/>
              <w:right w:val="single" w:sz="4" w:space="0" w:color="auto"/>
            </w:tcBorders>
            <w:vAlign w:val="center"/>
          </w:tcPr>
          <w:p w:rsidR="00642C54" w:rsidRPr="00077A99" w:rsidRDefault="00642C54" w:rsidP="007E6F21">
            <w:pPr>
              <w:keepNext/>
              <w:widowControl/>
              <w:jc w:val="center"/>
              <w:rPr>
                <w:rFonts w:ascii="Arial Narrow" w:hAnsi="Arial Narrow"/>
                <w:color w:val="000000"/>
                <w:sz w:val="20"/>
                <w:szCs w:val="18"/>
              </w:rPr>
            </w:pPr>
            <w:r w:rsidRPr="00077A99">
              <w:rPr>
                <w:rFonts w:ascii="Arial Narrow" w:hAnsi="Arial Narrow"/>
                <w:color w:val="000000"/>
                <w:sz w:val="20"/>
                <w:szCs w:val="18"/>
              </w:rPr>
              <w:t xml:space="preserve">2.93 </w:t>
            </w:r>
            <w:r w:rsidRPr="00077A99">
              <w:rPr>
                <w:rFonts w:ascii="Arial Narrow" w:hAnsi="Arial Narrow"/>
                <w:color w:val="000000"/>
                <w:sz w:val="20"/>
                <w:szCs w:val="18"/>
              </w:rPr>
              <w:br/>
              <w:t>(2.26, 3.79)</w:t>
            </w:r>
          </w:p>
        </w:tc>
        <w:tc>
          <w:tcPr>
            <w:tcW w:w="555" w:type="pct"/>
            <w:gridSpan w:val="2"/>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41</w:t>
            </w:r>
          </w:p>
        </w:tc>
        <w:tc>
          <w:tcPr>
            <w:tcW w:w="551" w:type="pct"/>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14</w:t>
            </w:r>
          </w:p>
        </w:tc>
        <w:tc>
          <w:tcPr>
            <w:tcW w:w="913" w:type="pct"/>
            <w:tcBorders>
              <w:top w:val="single" w:sz="4" w:space="0" w:color="auto"/>
              <w:left w:val="single" w:sz="4" w:space="0" w:color="auto"/>
              <w:bottom w:val="single" w:sz="4" w:space="0" w:color="auto"/>
              <w:right w:val="single" w:sz="4" w:space="0" w:color="auto"/>
            </w:tcBorders>
            <w:vAlign w:val="center"/>
          </w:tcPr>
          <w:p w:rsidR="00642C54" w:rsidRPr="00077A99" w:rsidRDefault="00642C54" w:rsidP="007E6F21">
            <w:pPr>
              <w:keepNext/>
              <w:widowControl/>
              <w:jc w:val="center"/>
              <w:rPr>
                <w:rFonts w:ascii="Arial Narrow" w:hAnsi="Arial Narrow"/>
                <w:color w:val="000000"/>
                <w:sz w:val="20"/>
                <w:szCs w:val="18"/>
              </w:rPr>
            </w:pPr>
            <w:r w:rsidRPr="00077A99">
              <w:rPr>
                <w:rFonts w:ascii="Arial Narrow" w:hAnsi="Arial Narrow"/>
                <w:color w:val="000000"/>
                <w:sz w:val="20"/>
                <w:szCs w:val="18"/>
              </w:rPr>
              <w:t xml:space="preserve">0.27 </w:t>
            </w:r>
            <w:r w:rsidRPr="00077A99">
              <w:rPr>
                <w:rFonts w:ascii="Arial Narrow" w:hAnsi="Arial Narrow"/>
                <w:color w:val="000000"/>
                <w:sz w:val="20"/>
                <w:szCs w:val="18"/>
              </w:rPr>
              <w:br/>
              <w:t>(0.22, 0.33)</w:t>
            </w:r>
          </w:p>
        </w:tc>
      </w:tr>
      <w:tr w:rsidR="00C962DE" w:rsidRPr="007579E2" w:rsidTr="00FB4000">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642C54" w:rsidRPr="007579E2" w:rsidRDefault="00642C54" w:rsidP="007E6F21">
            <w:pPr>
              <w:keepNext/>
              <w:widowControl/>
              <w:jc w:val="left"/>
              <w:rPr>
                <w:rFonts w:ascii="Arial Narrow" w:hAnsi="Arial Narrow"/>
                <w:color w:val="000000"/>
                <w:sz w:val="20"/>
                <w:szCs w:val="18"/>
              </w:rPr>
            </w:pPr>
            <w:r w:rsidRPr="007579E2">
              <w:rPr>
                <w:rFonts w:ascii="Arial Narrow" w:hAnsi="Arial Narrow"/>
                <w:color w:val="000000"/>
                <w:sz w:val="20"/>
                <w:szCs w:val="18"/>
              </w:rPr>
              <w:t>AEs leading to treatment discontinuation</w:t>
            </w:r>
          </w:p>
        </w:tc>
        <w:tc>
          <w:tcPr>
            <w:tcW w:w="629" w:type="pct"/>
            <w:gridSpan w:val="2"/>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 xml:space="preserve">114/435 </w:t>
            </w:r>
          </w:p>
        </w:tc>
        <w:tc>
          <w:tcPr>
            <w:tcW w:w="551" w:type="pct"/>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 xml:space="preserve">12/432 </w:t>
            </w:r>
          </w:p>
        </w:tc>
        <w:tc>
          <w:tcPr>
            <w:tcW w:w="624" w:type="pct"/>
            <w:tcBorders>
              <w:top w:val="single" w:sz="4" w:space="0" w:color="auto"/>
              <w:left w:val="single" w:sz="4" w:space="0" w:color="auto"/>
              <w:bottom w:val="single" w:sz="4" w:space="0" w:color="auto"/>
              <w:right w:val="single" w:sz="4" w:space="0" w:color="auto"/>
            </w:tcBorders>
            <w:vAlign w:val="center"/>
          </w:tcPr>
          <w:p w:rsidR="00642C54" w:rsidRPr="00077A99" w:rsidRDefault="00642C54" w:rsidP="007E6F21">
            <w:pPr>
              <w:keepNext/>
              <w:widowControl/>
              <w:jc w:val="center"/>
              <w:rPr>
                <w:rFonts w:ascii="Arial Narrow" w:hAnsi="Arial Narrow"/>
                <w:color w:val="000000"/>
                <w:sz w:val="20"/>
                <w:szCs w:val="18"/>
              </w:rPr>
            </w:pPr>
            <w:r w:rsidRPr="00077A99">
              <w:rPr>
                <w:rFonts w:ascii="Arial Narrow" w:hAnsi="Arial Narrow"/>
                <w:color w:val="000000"/>
                <w:sz w:val="20"/>
                <w:szCs w:val="18"/>
              </w:rPr>
              <w:t>9.43</w:t>
            </w:r>
            <w:r w:rsidRPr="00077A99">
              <w:rPr>
                <w:rFonts w:ascii="Arial Narrow" w:hAnsi="Arial Narrow"/>
                <w:color w:val="000000"/>
                <w:sz w:val="20"/>
                <w:szCs w:val="18"/>
              </w:rPr>
              <w:br/>
              <w:t>(5.28, 16.85)</w:t>
            </w:r>
          </w:p>
        </w:tc>
        <w:tc>
          <w:tcPr>
            <w:tcW w:w="555" w:type="pct"/>
            <w:gridSpan w:val="2"/>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26</w:t>
            </w:r>
          </w:p>
        </w:tc>
        <w:tc>
          <w:tcPr>
            <w:tcW w:w="551" w:type="pct"/>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3</w:t>
            </w:r>
          </w:p>
        </w:tc>
        <w:tc>
          <w:tcPr>
            <w:tcW w:w="913" w:type="pct"/>
            <w:tcBorders>
              <w:top w:val="single" w:sz="4" w:space="0" w:color="auto"/>
              <w:left w:val="single" w:sz="4" w:space="0" w:color="auto"/>
              <w:bottom w:val="single" w:sz="4" w:space="0" w:color="auto"/>
              <w:right w:val="single" w:sz="4" w:space="0" w:color="auto"/>
            </w:tcBorders>
            <w:vAlign w:val="center"/>
          </w:tcPr>
          <w:p w:rsidR="00642C54" w:rsidRPr="00077A99" w:rsidRDefault="00642C54" w:rsidP="007E6F21">
            <w:pPr>
              <w:keepNext/>
              <w:widowControl/>
              <w:jc w:val="center"/>
              <w:rPr>
                <w:rFonts w:ascii="Arial Narrow" w:hAnsi="Arial Narrow"/>
                <w:color w:val="000000"/>
                <w:sz w:val="20"/>
                <w:szCs w:val="18"/>
              </w:rPr>
            </w:pPr>
            <w:r w:rsidRPr="00077A99">
              <w:rPr>
                <w:rFonts w:ascii="Arial Narrow" w:hAnsi="Arial Narrow"/>
                <w:color w:val="000000"/>
                <w:sz w:val="20"/>
                <w:szCs w:val="18"/>
              </w:rPr>
              <w:t>0.23</w:t>
            </w:r>
            <w:r w:rsidRPr="00077A99">
              <w:rPr>
                <w:rFonts w:ascii="Arial Narrow" w:hAnsi="Arial Narrow"/>
                <w:color w:val="000000"/>
                <w:sz w:val="20"/>
                <w:szCs w:val="18"/>
              </w:rPr>
              <w:br/>
              <w:t>(0.19, 0.28)</w:t>
            </w:r>
          </w:p>
        </w:tc>
      </w:tr>
      <w:tr w:rsidR="00C962DE" w:rsidRPr="007579E2" w:rsidTr="00FB4000">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642C54" w:rsidRPr="007579E2" w:rsidRDefault="00642C54" w:rsidP="007E6F21">
            <w:pPr>
              <w:keepNext/>
              <w:widowControl/>
              <w:jc w:val="left"/>
              <w:rPr>
                <w:rFonts w:ascii="Arial Narrow" w:hAnsi="Arial Narrow"/>
                <w:color w:val="000000"/>
                <w:sz w:val="20"/>
                <w:szCs w:val="18"/>
              </w:rPr>
            </w:pPr>
            <w:r w:rsidRPr="007579E2">
              <w:rPr>
                <w:rFonts w:ascii="Arial Narrow" w:hAnsi="Arial Narrow"/>
                <w:color w:val="000000"/>
                <w:sz w:val="20"/>
                <w:szCs w:val="18"/>
              </w:rPr>
              <w:t>Serious AEs</w:t>
            </w:r>
          </w:p>
        </w:tc>
        <w:tc>
          <w:tcPr>
            <w:tcW w:w="629" w:type="pct"/>
            <w:gridSpan w:val="2"/>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 xml:space="preserve">155/435 </w:t>
            </w:r>
          </w:p>
        </w:tc>
        <w:tc>
          <w:tcPr>
            <w:tcW w:w="551" w:type="pct"/>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 xml:space="preserve">44/432 </w:t>
            </w:r>
          </w:p>
        </w:tc>
        <w:tc>
          <w:tcPr>
            <w:tcW w:w="624" w:type="pct"/>
            <w:tcBorders>
              <w:top w:val="single" w:sz="4" w:space="0" w:color="auto"/>
              <w:left w:val="single" w:sz="4" w:space="0" w:color="auto"/>
              <w:bottom w:val="single" w:sz="4" w:space="0" w:color="auto"/>
              <w:right w:val="single" w:sz="4" w:space="0" w:color="auto"/>
            </w:tcBorders>
            <w:vAlign w:val="center"/>
          </w:tcPr>
          <w:p w:rsidR="00642C54" w:rsidRPr="00077A99" w:rsidRDefault="00642C54" w:rsidP="007E6F21">
            <w:pPr>
              <w:keepNext/>
              <w:widowControl/>
              <w:jc w:val="center"/>
              <w:rPr>
                <w:rFonts w:ascii="Arial Narrow" w:hAnsi="Arial Narrow"/>
                <w:color w:val="000000"/>
                <w:sz w:val="20"/>
                <w:szCs w:val="18"/>
              </w:rPr>
            </w:pPr>
            <w:r w:rsidRPr="00077A99">
              <w:rPr>
                <w:rFonts w:ascii="Arial Narrow" w:hAnsi="Arial Narrow"/>
                <w:color w:val="000000"/>
                <w:sz w:val="20"/>
                <w:szCs w:val="18"/>
              </w:rPr>
              <w:t>3.50</w:t>
            </w:r>
            <w:r w:rsidRPr="00077A99">
              <w:rPr>
                <w:rFonts w:ascii="Arial Narrow" w:hAnsi="Arial Narrow"/>
                <w:color w:val="000000"/>
                <w:sz w:val="20"/>
                <w:szCs w:val="18"/>
              </w:rPr>
              <w:br/>
              <w:t>(2.57, 4.76)</w:t>
            </w:r>
          </w:p>
        </w:tc>
        <w:tc>
          <w:tcPr>
            <w:tcW w:w="555" w:type="pct"/>
            <w:gridSpan w:val="2"/>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36</w:t>
            </w:r>
          </w:p>
        </w:tc>
        <w:tc>
          <w:tcPr>
            <w:tcW w:w="551" w:type="pct"/>
            <w:tcBorders>
              <w:top w:val="single" w:sz="4" w:space="0" w:color="auto"/>
              <w:left w:val="single" w:sz="4" w:space="0" w:color="auto"/>
              <w:bottom w:val="single" w:sz="4" w:space="0" w:color="auto"/>
              <w:right w:val="single" w:sz="4" w:space="0" w:color="auto"/>
            </w:tcBorders>
            <w:vAlign w:val="center"/>
          </w:tcPr>
          <w:p w:rsidR="00642C54" w:rsidRPr="007579E2" w:rsidRDefault="00642C54" w:rsidP="007E6F21">
            <w:pPr>
              <w:keepNext/>
              <w:widowControl/>
              <w:jc w:val="center"/>
              <w:rPr>
                <w:rFonts w:ascii="Arial Narrow" w:hAnsi="Arial Narrow"/>
                <w:color w:val="000000"/>
                <w:sz w:val="20"/>
                <w:szCs w:val="18"/>
              </w:rPr>
            </w:pPr>
            <w:r w:rsidRPr="007579E2">
              <w:rPr>
                <w:rFonts w:ascii="Arial Narrow" w:hAnsi="Arial Narrow"/>
                <w:color w:val="000000"/>
                <w:sz w:val="20"/>
                <w:szCs w:val="18"/>
              </w:rPr>
              <w:t>10</w:t>
            </w:r>
          </w:p>
        </w:tc>
        <w:tc>
          <w:tcPr>
            <w:tcW w:w="913" w:type="pct"/>
            <w:tcBorders>
              <w:top w:val="single" w:sz="4" w:space="0" w:color="auto"/>
              <w:left w:val="single" w:sz="4" w:space="0" w:color="auto"/>
              <w:bottom w:val="single" w:sz="4" w:space="0" w:color="auto"/>
              <w:right w:val="single" w:sz="4" w:space="0" w:color="auto"/>
            </w:tcBorders>
            <w:vAlign w:val="center"/>
          </w:tcPr>
          <w:p w:rsidR="00642C54" w:rsidRPr="00077A99" w:rsidRDefault="00642C54" w:rsidP="007E6F21">
            <w:pPr>
              <w:keepNext/>
              <w:widowControl/>
              <w:jc w:val="center"/>
              <w:rPr>
                <w:rFonts w:ascii="Arial Narrow" w:hAnsi="Arial Narrow"/>
                <w:color w:val="000000"/>
                <w:sz w:val="20"/>
                <w:szCs w:val="18"/>
              </w:rPr>
            </w:pPr>
            <w:r w:rsidRPr="00077A99">
              <w:rPr>
                <w:rFonts w:ascii="Arial Narrow" w:hAnsi="Arial Narrow"/>
                <w:color w:val="000000"/>
                <w:sz w:val="20"/>
                <w:szCs w:val="18"/>
              </w:rPr>
              <w:t>0.25</w:t>
            </w:r>
            <w:r w:rsidRPr="00077A99">
              <w:rPr>
                <w:rFonts w:ascii="Arial Narrow" w:hAnsi="Arial Narrow"/>
                <w:color w:val="000000"/>
                <w:sz w:val="20"/>
                <w:szCs w:val="18"/>
              </w:rPr>
              <w:br/>
              <w:t>(0.20, 0.31)</w:t>
            </w:r>
          </w:p>
        </w:tc>
      </w:tr>
    </w:tbl>
    <w:p w:rsidR="00CC6559" w:rsidRPr="007579E2" w:rsidRDefault="00C962DE" w:rsidP="007E6F21">
      <w:pPr>
        <w:pStyle w:val="TableFooter"/>
        <w:widowControl/>
      </w:pPr>
      <w:r w:rsidRPr="007579E2">
        <w:t xml:space="preserve">AE = adverse event; CI = confidence interval; </w:t>
      </w:r>
      <w:r w:rsidR="00CC6559" w:rsidRPr="007579E2">
        <w:t>D</w:t>
      </w:r>
      <w:r w:rsidR="00165158" w:rsidRPr="007579E2">
        <w:t>AB</w:t>
      </w:r>
      <w:r w:rsidR="00CC6559" w:rsidRPr="007579E2">
        <w:t>+</w:t>
      </w:r>
      <w:r w:rsidR="00165158" w:rsidRPr="007579E2">
        <w:t>TRAM</w:t>
      </w:r>
      <w:r w:rsidR="00CC6559" w:rsidRPr="007579E2">
        <w:t xml:space="preserve"> = </w:t>
      </w:r>
      <w:proofErr w:type="spellStart"/>
      <w:r w:rsidR="00CC6559" w:rsidRPr="007579E2">
        <w:t>dabrafenib+trametinib</w:t>
      </w:r>
      <w:proofErr w:type="spellEnd"/>
      <w:r w:rsidR="00CC6559" w:rsidRPr="007579E2">
        <w:t xml:space="preserve">; </w:t>
      </w:r>
      <w:r w:rsidR="004761DC" w:rsidRPr="007579E2">
        <w:t xml:space="preserve">DMFS = distant metastases free survival; </w:t>
      </w:r>
      <w:r w:rsidR="00CC6559" w:rsidRPr="007579E2">
        <w:t xml:space="preserve">HR = hazard ratio; NR = not reached; </w:t>
      </w:r>
      <w:r w:rsidRPr="007579E2">
        <w:t xml:space="preserve">OS = overall survival; </w:t>
      </w:r>
      <w:r w:rsidR="00CC6559" w:rsidRPr="007579E2">
        <w:t xml:space="preserve">RD = risk difference; RFS = relapse-free survival </w:t>
      </w:r>
    </w:p>
    <w:p w:rsidR="00CC6559" w:rsidRPr="007579E2" w:rsidRDefault="00CC6559" w:rsidP="007E6F21">
      <w:pPr>
        <w:pStyle w:val="TableFooter"/>
        <w:widowControl/>
      </w:pPr>
      <w:proofErr w:type="gramStart"/>
      <w:r w:rsidRPr="007579E2">
        <w:rPr>
          <w:vertAlign w:val="superscript"/>
        </w:rPr>
        <w:t>a</w:t>
      </w:r>
      <w:proofErr w:type="gramEnd"/>
      <w:r w:rsidRPr="007579E2">
        <w:t xml:space="preserve"> Median duration of follow-up </w:t>
      </w:r>
      <w:r w:rsidR="009F1F36" w:rsidRPr="007579E2">
        <w:t xml:space="preserve">34 months </w:t>
      </w:r>
      <w:proofErr w:type="spellStart"/>
      <w:r w:rsidR="009F1F36" w:rsidRPr="007579E2">
        <w:t>dabrafenib+trametinib</w:t>
      </w:r>
      <w:proofErr w:type="spellEnd"/>
      <w:r w:rsidR="009F1F36" w:rsidRPr="007579E2">
        <w:t xml:space="preserve"> and </w:t>
      </w:r>
      <w:r w:rsidRPr="007579E2">
        <w:t>33 months</w:t>
      </w:r>
      <w:r w:rsidR="009F1F36" w:rsidRPr="007579E2">
        <w:t xml:space="preserve"> placebo</w:t>
      </w:r>
    </w:p>
    <w:p w:rsidR="00642C54" w:rsidRPr="007579E2" w:rsidRDefault="00CC6559" w:rsidP="007E6F21">
      <w:pPr>
        <w:pStyle w:val="TableFooter"/>
        <w:widowControl/>
        <w:rPr>
          <w:szCs w:val="18"/>
        </w:rPr>
      </w:pPr>
      <w:r w:rsidRPr="007579E2">
        <w:t xml:space="preserve">Source: Table </w:t>
      </w:r>
      <w:r w:rsidRPr="007579E2">
        <w:rPr>
          <w:szCs w:val="18"/>
        </w:rPr>
        <w:t xml:space="preserve">2.5-1, p58, Table 2.5-3, p61, </w:t>
      </w:r>
      <w:r w:rsidR="0044408D" w:rsidRPr="007579E2">
        <w:rPr>
          <w:szCs w:val="18"/>
        </w:rPr>
        <w:t xml:space="preserve">Table 2.5-4, p63, </w:t>
      </w:r>
      <w:r w:rsidRPr="007579E2">
        <w:rPr>
          <w:szCs w:val="18"/>
        </w:rPr>
        <w:t>Table 2.5-8, p69 &amp; Table 2.5-9, p71 of the submission</w:t>
      </w:r>
    </w:p>
    <w:p w:rsidR="008A18E0" w:rsidRPr="007579E2" w:rsidRDefault="008A18E0" w:rsidP="007E6F21">
      <w:pPr>
        <w:pStyle w:val="TableFooter"/>
        <w:widowControl/>
      </w:pPr>
    </w:p>
    <w:p w:rsidR="00CC6559" w:rsidRPr="007579E2" w:rsidRDefault="00CC6559" w:rsidP="007E6F21">
      <w:pPr>
        <w:widowControl/>
        <w:numPr>
          <w:ilvl w:val="1"/>
          <w:numId w:val="2"/>
        </w:numPr>
        <w:spacing w:after="160"/>
      </w:pPr>
      <w:r w:rsidRPr="007579E2">
        <w:t xml:space="preserve">On the basis of evidence presented by the submission, for every 100 patients treated with </w:t>
      </w:r>
      <w:proofErr w:type="spellStart"/>
      <w:r w:rsidRPr="007579E2">
        <w:t>dabrafenib+trametinib</w:t>
      </w:r>
      <w:proofErr w:type="spellEnd"/>
      <w:r w:rsidRPr="007579E2">
        <w:t xml:space="preserve"> in comparison to placebo:</w:t>
      </w:r>
    </w:p>
    <w:p w:rsidR="007121F9" w:rsidRPr="007579E2" w:rsidRDefault="00CC6559" w:rsidP="007E6F21">
      <w:pPr>
        <w:widowControl/>
        <w:numPr>
          <w:ilvl w:val="0"/>
          <w:numId w:val="1"/>
        </w:numPr>
        <w:ind w:left="1077" w:hanging="357"/>
      </w:pPr>
      <w:r w:rsidRPr="007579E2">
        <w:rPr>
          <w:rFonts w:cs="Calibri"/>
          <w:snapToGrid/>
          <w:szCs w:val="24"/>
          <w:lang w:eastAsia="en-AU"/>
        </w:rPr>
        <w:t xml:space="preserve">Approximately </w:t>
      </w:r>
      <w:r w:rsidR="007121F9" w:rsidRPr="007579E2">
        <w:rPr>
          <w:rFonts w:cs="Calibri"/>
          <w:snapToGrid/>
          <w:szCs w:val="24"/>
          <w:lang w:eastAsia="en-AU"/>
        </w:rPr>
        <w:t>19</w:t>
      </w:r>
      <w:r w:rsidRPr="007579E2">
        <w:rPr>
          <w:rFonts w:cs="Calibri"/>
          <w:snapToGrid/>
          <w:szCs w:val="24"/>
          <w:lang w:eastAsia="en-AU"/>
        </w:rPr>
        <w:t xml:space="preserve"> </w:t>
      </w:r>
      <w:r w:rsidR="007121F9" w:rsidRPr="007579E2">
        <w:rPr>
          <w:rFonts w:cs="Calibri"/>
          <w:snapToGrid/>
          <w:szCs w:val="24"/>
          <w:lang w:eastAsia="en-AU"/>
        </w:rPr>
        <w:t xml:space="preserve">fewer </w:t>
      </w:r>
      <w:r w:rsidRPr="007579E2">
        <w:rPr>
          <w:rFonts w:cs="Calibri"/>
          <w:snapToGrid/>
          <w:szCs w:val="24"/>
          <w:lang w:eastAsia="en-AU"/>
        </w:rPr>
        <w:t xml:space="preserve">patients </w:t>
      </w:r>
      <w:r w:rsidR="00C675E4" w:rsidRPr="007579E2">
        <w:rPr>
          <w:rFonts w:cs="Calibri"/>
          <w:snapToGrid/>
          <w:szCs w:val="24"/>
          <w:lang w:eastAsia="en-AU"/>
        </w:rPr>
        <w:t xml:space="preserve">would </w:t>
      </w:r>
      <w:r w:rsidR="007121F9" w:rsidRPr="007579E2">
        <w:rPr>
          <w:rFonts w:cs="Calibri"/>
          <w:snapToGrid/>
          <w:szCs w:val="24"/>
          <w:lang w:eastAsia="en-AU"/>
        </w:rPr>
        <w:t xml:space="preserve">have a </w:t>
      </w:r>
      <w:r w:rsidRPr="007579E2">
        <w:rPr>
          <w:rFonts w:cs="Calibri"/>
          <w:snapToGrid/>
          <w:szCs w:val="24"/>
          <w:lang w:eastAsia="en-AU"/>
        </w:rPr>
        <w:t>relapse</w:t>
      </w:r>
      <w:r w:rsidR="007121F9" w:rsidRPr="007579E2">
        <w:rPr>
          <w:rFonts w:cs="Calibri"/>
          <w:snapToGrid/>
          <w:szCs w:val="24"/>
          <w:lang w:eastAsia="en-AU"/>
        </w:rPr>
        <w:t xml:space="preserve"> at 3 years</w:t>
      </w:r>
      <w:r w:rsidRPr="007579E2">
        <w:rPr>
          <w:rFonts w:cs="Calibri"/>
          <w:snapToGrid/>
          <w:szCs w:val="24"/>
          <w:lang w:eastAsia="en-AU"/>
        </w:rPr>
        <w:t>;</w:t>
      </w:r>
    </w:p>
    <w:p w:rsidR="00CC6559" w:rsidRPr="007579E2" w:rsidRDefault="007121F9" w:rsidP="007E6F21">
      <w:pPr>
        <w:widowControl/>
        <w:numPr>
          <w:ilvl w:val="0"/>
          <w:numId w:val="1"/>
        </w:numPr>
        <w:ind w:left="1077" w:hanging="357"/>
      </w:pPr>
      <w:r w:rsidRPr="007579E2">
        <w:rPr>
          <w:rFonts w:cs="Calibri"/>
          <w:snapToGrid/>
          <w:szCs w:val="24"/>
          <w:lang w:eastAsia="en-AU"/>
        </w:rPr>
        <w:t xml:space="preserve">Approximately 14 fewer patients would have a distant </w:t>
      </w:r>
      <w:r w:rsidR="00E64684" w:rsidRPr="007579E2">
        <w:rPr>
          <w:rFonts w:cs="Calibri"/>
          <w:snapToGrid/>
          <w:szCs w:val="24"/>
          <w:lang w:eastAsia="en-AU"/>
        </w:rPr>
        <w:t>relapse</w:t>
      </w:r>
      <w:r w:rsidRPr="007579E2">
        <w:rPr>
          <w:rFonts w:cs="Calibri"/>
          <w:snapToGrid/>
          <w:szCs w:val="24"/>
          <w:lang w:eastAsia="en-AU"/>
        </w:rPr>
        <w:t xml:space="preserve"> at 3 years;</w:t>
      </w:r>
    </w:p>
    <w:p w:rsidR="00CC6559" w:rsidRPr="007579E2" w:rsidRDefault="00CC6559" w:rsidP="007E6F21">
      <w:pPr>
        <w:widowControl/>
        <w:numPr>
          <w:ilvl w:val="0"/>
          <w:numId w:val="1"/>
        </w:numPr>
        <w:ind w:left="1077" w:hanging="357"/>
      </w:pPr>
      <w:r w:rsidRPr="007579E2">
        <w:rPr>
          <w:rFonts w:cs="Calibri"/>
          <w:snapToGrid/>
          <w:szCs w:val="24"/>
          <w:lang w:eastAsia="en-AU"/>
        </w:rPr>
        <w:t xml:space="preserve">Approximately </w:t>
      </w:r>
      <w:r w:rsidR="00D124D0" w:rsidRPr="007579E2">
        <w:rPr>
          <w:rFonts w:cs="Calibri"/>
          <w:snapToGrid/>
          <w:szCs w:val="24"/>
          <w:lang w:eastAsia="en-AU"/>
        </w:rPr>
        <w:t>9</w:t>
      </w:r>
      <w:r w:rsidRPr="007579E2">
        <w:rPr>
          <w:rFonts w:cs="Calibri"/>
          <w:snapToGrid/>
          <w:szCs w:val="24"/>
          <w:lang w:eastAsia="en-AU"/>
        </w:rPr>
        <w:t xml:space="preserve"> more patients </w:t>
      </w:r>
      <w:r w:rsidR="00FB4000" w:rsidRPr="007579E2">
        <w:rPr>
          <w:rFonts w:cs="Calibri"/>
          <w:snapToGrid/>
          <w:szCs w:val="24"/>
          <w:lang w:eastAsia="en-AU"/>
        </w:rPr>
        <w:t>may</w:t>
      </w:r>
      <w:r w:rsidR="00C675E4" w:rsidRPr="007579E2">
        <w:rPr>
          <w:rFonts w:cs="Calibri"/>
          <w:snapToGrid/>
          <w:szCs w:val="24"/>
          <w:lang w:eastAsia="en-AU"/>
        </w:rPr>
        <w:t xml:space="preserve"> </w:t>
      </w:r>
      <w:r w:rsidRPr="007579E2">
        <w:rPr>
          <w:rFonts w:cs="Calibri"/>
          <w:snapToGrid/>
          <w:szCs w:val="24"/>
          <w:lang w:eastAsia="en-AU"/>
        </w:rPr>
        <w:t>remain alive</w:t>
      </w:r>
      <w:r w:rsidR="00E15039" w:rsidRPr="007579E2">
        <w:rPr>
          <w:rFonts w:cs="Calibri"/>
          <w:snapToGrid/>
          <w:szCs w:val="24"/>
          <w:lang w:eastAsia="en-AU"/>
        </w:rPr>
        <w:t xml:space="preserve"> at 3 years</w:t>
      </w:r>
      <w:r w:rsidR="00FB4000" w:rsidRPr="007579E2">
        <w:rPr>
          <w:rFonts w:cs="Calibri"/>
          <w:snapToGrid/>
          <w:szCs w:val="24"/>
          <w:lang w:eastAsia="en-AU"/>
        </w:rPr>
        <w:t xml:space="preserve"> (</w:t>
      </w:r>
      <w:r w:rsidR="00974BCC" w:rsidRPr="007579E2">
        <w:rPr>
          <w:rFonts w:cs="Calibri"/>
          <w:snapToGrid/>
          <w:szCs w:val="24"/>
          <w:lang w:eastAsia="en-AU"/>
        </w:rPr>
        <w:t xml:space="preserve">although </w:t>
      </w:r>
      <w:r w:rsidR="00FB4000" w:rsidRPr="007579E2">
        <w:rPr>
          <w:rFonts w:cs="Calibri"/>
          <w:snapToGrid/>
          <w:szCs w:val="24"/>
          <w:lang w:eastAsia="en-AU"/>
        </w:rPr>
        <w:t xml:space="preserve">this result did not meet the pre-specified threshold for significance) </w:t>
      </w:r>
      <w:r w:rsidRPr="007579E2">
        <w:rPr>
          <w:rFonts w:cs="Calibri"/>
          <w:snapToGrid/>
          <w:szCs w:val="24"/>
          <w:lang w:eastAsia="en-AU"/>
        </w:rPr>
        <w:t>;</w:t>
      </w:r>
    </w:p>
    <w:p w:rsidR="00CC6559" w:rsidRPr="007579E2" w:rsidRDefault="00CC6559" w:rsidP="007E6F21">
      <w:pPr>
        <w:widowControl/>
        <w:numPr>
          <w:ilvl w:val="0"/>
          <w:numId w:val="1"/>
        </w:numPr>
        <w:ind w:left="1077" w:hanging="357"/>
      </w:pPr>
      <w:r w:rsidRPr="007579E2">
        <w:t xml:space="preserve">Approximately 27 additional patients would experience a Grade 3-4 </w:t>
      </w:r>
      <w:r w:rsidR="000E65EB" w:rsidRPr="007579E2">
        <w:t>adverse event</w:t>
      </w:r>
      <w:r w:rsidR="00C962DE" w:rsidRPr="007579E2">
        <w:t>;</w:t>
      </w:r>
    </w:p>
    <w:p w:rsidR="00CC6559" w:rsidRPr="007579E2" w:rsidRDefault="00CC6559" w:rsidP="007E6F21">
      <w:pPr>
        <w:widowControl/>
        <w:numPr>
          <w:ilvl w:val="0"/>
          <w:numId w:val="1"/>
        </w:numPr>
        <w:ind w:left="1077" w:hanging="357"/>
      </w:pPr>
      <w:r w:rsidRPr="007579E2">
        <w:t xml:space="preserve">Approximately 23 additional patients would experience an </w:t>
      </w:r>
      <w:r w:rsidR="000E65EB" w:rsidRPr="007579E2">
        <w:t>adverse event</w:t>
      </w:r>
      <w:r w:rsidRPr="007579E2">
        <w:t xml:space="preserve"> leading to treatment discontinuation</w:t>
      </w:r>
      <w:r w:rsidR="00C962DE" w:rsidRPr="007579E2">
        <w:t>; and</w:t>
      </w:r>
    </w:p>
    <w:p w:rsidR="00CC6559" w:rsidRPr="007579E2" w:rsidRDefault="00CC6559" w:rsidP="007E6F21">
      <w:pPr>
        <w:widowControl/>
        <w:numPr>
          <w:ilvl w:val="0"/>
          <w:numId w:val="1"/>
        </w:numPr>
        <w:ind w:left="1077" w:hanging="357"/>
      </w:pPr>
      <w:r w:rsidRPr="007579E2">
        <w:t xml:space="preserve">Approximately 25 additional patients would experience a serious </w:t>
      </w:r>
      <w:r w:rsidR="000E65EB" w:rsidRPr="007579E2">
        <w:t>adverse event</w:t>
      </w:r>
      <w:r w:rsidRPr="007579E2">
        <w:t>.</w:t>
      </w:r>
    </w:p>
    <w:p w:rsidR="00C675E4" w:rsidRPr="007579E2" w:rsidRDefault="00C675E4" w:rsidP="007E6F21">
      <w:pPr>
        <w:widowControl/>
      </w:pPr>
    </w:p>
    <w:p w:rsidR="00777D3B" w:rsidRPr="007579E2" w:rsidRDefault="00777D3B" w:rsidP="007E6F21">
      <w:pPr>
        <w:pStyle w:val="ListParagraph"/>
        <w:widowControl/>
        <w:numPr>
          <w:ilvl w:val="1"/>
          <w:numId w:val="2"/>
        </w:numPr>
      </w:pPr>
      <w:r w:rsidRPr="007579E2">
        <w:lastRenderedPageBreak/>
        <w:t xml:space="preserve">For patients with Stage IIIA melanoma with lymph node metastasis ≤ 1 mm (not included in the COMBI-AD trial), the benefit to risk ratio for the use of </w:t>
      </w:r>
      <w:proofErr w:type="spellStart"/>
      <w:r w:rsidRPr="007579E2">
        <w:t>dabrafenib+trametinib</w:t>
      </w:r>
      <w:proofErr w:type="spellEnd"/>
      <w:r w:rsidRPr="007579E2">
        <w:t xml:space="preserve"> was unknown.</w:t>
      </w:r>
    </w:p>
    <w:p w:rsidR="00777D3B" w:rsidRPr="007579E2" w:rsidRDefault="00777D3B" w:rsidP="00061E01">
      <w:pPr>
        <w:pStyle w:val="Heading2"/>
        <w:widowControl/>
      </w:pPr>
      <w:bookmarkStart w:id="15" w:name="_Toc536008003"/>
      <w:r w:rsidRPr="007579E2">
        <w:t>Clinical claim</w:t>
      </w:r>
      <w:bookmarkEnd w:id="15"/>
    </w:p>
    <w:p w:rsidR="00C36741" w:rsidRPr="007579E2" w:rsidRDefault="00C36741" w:rsidP="00061E01">
      <w:pPr>
        <w:pStyle w:val="ListParagraph"/>
        <w:widowControl/>
        <w:numPr>
          <w:ilvl w:val="1"/>
          <w:numId w:val="2"/>
        </w:numPr>
      </w:pPr>
      <w:r w:rsidRPr="007579E2">
        <w:t xml:space="preserve">The submission described </w:t>
      </w:r>
      <w:proofErr w:type="spellStart"/>
      <w:r w:rsidRPr="007579E2">
        <w:t>dabrafenib+trametinib</w:t>
      </w:r>
      <w:proofErr w:type="spellEnd"/>
      <w:r w:rsidRPr="007579E2">
        <w:t xml:space="preserve"> as superior in terms of RFS and OS, but inferior in terms of safety to placebo.</w:t>
      </w:r>
    </w:p>
    <w:p w:rsidR="000C2D31" w:rsidRPr="007579E2" w:rsidRDefault="00721BC7" w:rsidP="00061E01">
      <w:pPr>
        <w:pStyle w:val="ListParagraph"/>
        <w:widowControl/>
        <w:numPr>
          <w:ilvl w:val="1"/>
          <w:numId w:val="2"/>
        </w:numPr>
      </w:pPr>
      <w:r w:rsidRPr="007579E2">
        <w:t>The</w:t>
      </w:r>
      <w:r w:rsidR="000C2D31" w:rsidRPr="007579E2">
        <w:t xml:space="preserve"> submission’s claim that </w:t>
      </w:r>
      <w:proofErr w:type="spellStart"/>
      <w:r w:rsidR="000C2D31" w:rsidRPr="007579E2">
        <w:t>dabrafenib+trametinib</w:t>
      </w:r>
      <w:proofErr w:type="spellEnd"/>
      <w:r w:rsidR="000C2D31" w:rsidRPr="007579E2">
        <w:t xml:space="preserve"> was superior to placebo in terms of RFS for adjuvant treatment of completely resected Stage III, BRAF V600 mutation positive melanoma, was reasonable, based on the evidence presented in COMBI-AD. A </w:t>
      </w:r>
      <w:r w:rsidR="00654D8F" w:rsidRPr="007579E2">
        <w:t>RFS benefit wa</w:t>
      </w:r>
      <w:r w:rsidR="000C2D31" w:rsidRPr="007579E2">
        <w:t xml:space="preserve">s apparent for the intervention arm in the key COMBI-AD trial, although </w:t>
      </w:r>
      <w:r w:rsidR="00654D8F" w:rsidRPr="007579E2">
        <w:t xml:space="preserve">the magnitude was uncertain as the </w:t>
      </w:r>
      <w:r w:rsidR="000C2D31" w:rsidRPr="007579E2">
        <w:t xml:space="preserve">median RFS </w:t>
      </w:r>
      <w:r w:rsidR="00654D8F" w:rsidRPr="007579E2">
        <w:t xml:space="preserve">had </w:t>
      </w:r>
      <w:r w:rsidR="000C2D31" w:rsidRPr="007579E2">
        <w:t xml:space="preserve">not </w:t>
      </w:r>
      <w:r w:rsidR="00654D8F" w:rsidRPr="007579E2">
        <w:t xml:space="preserve">yet been </w:t>
      </w:r>
      <w:r w:rsidR="000C2D31" w:rsidRPr="007579E2">
        <w:t xml:space="preserve">reached for the intervention arm. </w:t>
      </w:r>
    </w:p>
    <w:p w:rsidR="00BC1636" w:rsidRPr="007579E2" w:rsidRDefault="00BC1636" w:rsidP="00061E01">
      <w:pPr>
        <w:pStyle w:val="ListParagraph"/>
        <w:widowControl/>
        <w:numPr>
          <w:ilvl w:val="1"/>
          <w:numId w:val="2"/>
        </w:numPr>
      </w:pPr>
      <w:r w:rsidRPr="007579E2">
        <w:t xml:space="preserve">The </w:t>
      </w:r>
      <w:r w:rsidR="00E15039" w:rsidRPr="007579E2">
        <w:t xml:space="preserve">ESC considered the </w:t>
      </w:r>
      <w:r w:rsidRPr="007579E2">
        <w:t>magnitude of RFS benefit for patients with Stage IIIA (metastasis &gt; 1 mm) was uncertain due to the small proportion of patients with this sub</w:t>
      </w:r>
      <w:r w:rsidR="001F6ADC" w:rsidRPr="007579E2">
        <w:t>-</w:t>
      </w:r>
      <w:r w:rsidRPr="007579E2">
        <w:t xml:space="preserve">stage of disease recruited into the trial. The </w:t>
      </w:r>
      <w:r w:rsidR="00721BC7" w:rsidRPr="007579E2">
        <w:t xml:space="preserve">ESC </w:t>
      </w:r>
      <w:r w:rsidR="00E15039" w:rsidRPr="007579E2">
        <w:t xml:space="preserve">noted </w:t>
      </w:r>
      <w:r w:rsidR="00721BC7" w:rsidRPr="007579E2">
        <w:t xml:space="preserve">that the </w:t>
      </w:r>
      <w:r w:rsidRPr="007579E2">
        <w:t xml:space="preserve">effectiveness of </w:t>
      </w:r>
      <w:proofErr w:type="spellStart"/>
      <w:r w:rsidRPr="007579E2">
        <w:t>dabrafenib+trametinib</w:t>
      </w:r>
      <w:proofErr w:type="spellEnd"/>
      <w:r w:rsidRPr="007579E2">
        <w:t xml:space="preserve"> in patients with Stage IIIA (metastasis </w:t>
      </w:r>
      <w:r w:rsidRPr="007579E2">
        <w:rPr>
          <w:rFonts w:cs="Calibri"/>
        </w:rPr>
        <w:t>≤</w:t>
      </w:r>
      <w:r w:rsidRPr="007579E2">
        <w:t xml:space="preserve"> 1 mm) was unknown</w:t>
      </w:r>
      <w:r w:rsidR="0023498E" w:rsidRPr="007579E2">
        <w:t xml:space="preserve"> as these patients were not included in the trial population</w:t>
      </w:r>
      <w:r w:rsidRPr="007579E2">
        <w:t>.</w:t>
      </w:r>
    </w:p>
    <w:p w:rsidR="00654D8F" w:rsidRPr="007579E2" w:rsidRDefault="00F24BA4" w:rsidP="00061E01">
      <w:pPr>
        <w:pStyle w:val="ListParagraph"/>
        <w:widowControl/>
        <w:numPr>
          <w:ilvl w:val="1"/>
          <w:numId w:val="2"/>
        </w:numPr>
      </w:pPr>
      <w:r w:rsidRPr="007579E2">
        <w:t>Due to the immaturity of the OS data (</w:t>
      </w:r>
      <w:r w:rsidR="000C2D31" w:rsidRPr="007579E2">
        <w:t xml:space="preserve">only a </w:t>
      </w:r>
      <w:r w:rsidR="00654D8F" w:rsidRPr="007579E2">
        <w:t xml:space="preserve">small number of </w:t>
      </w:r>
      <w:r w:rsidR="00AF5CD0" w:rsidRPr="007579E2">
        <w:t xml:space="preserve">deaths, </w:t>
      </w:r>
      <w:r w:rsidR="00331868" w:rsidRPr="007579E2">
        <w:t>(</w:t>
      </w:r>
      <w:r w:rsidR="000C2D31" w:rsidRPr="007579E2">
        <w:t>n=</w:t>
      </w:r>
      <w:r w:rsidR="00E15039" w:rsidRPr="007579E2">
        <w:t>153</w:t>
      </w:r>
      <w:r w:rsidR="00D124D0" w:rsidRPr="007579E2">
        <w:t>, 26%</w:t>
      </w:r>
      <w:r w:rsidR="000C2D31" w:rsidRPr="007579E2">
        <w:t xml:space="preserve">) </w:t>
      </w:r>
      <w:r w:rsidR="00654D8F" w:rsidRPr="007579E2">
        <w:t xml:space="preserve">had </w:t>
      </w:r>
      <w:r w:rsidR="000C2D31" w:rsidRPr="007579E2">
        <w:t xml:space="preserve">occurred </w:t>
      </w:r>
      <w:r w:rsidR="00654D8F" w:rsidRPr="007579E2">
        <w:t>at the first interim analysis cut-off</w:t>
      </w:r>
      <w:r w:rsidRPr="007579E2">
        <w:t xml:space="preserve">) the magnitude of the effectiveness of </w:t>
      </w:r>
      <w:proofErr w:type="spellStart"/>
      <w:r w:rsidRPr="007579E2">
        <w:t>dabrafenib+trametinib</w:t>
      </w:r>
      <w:proofErr w:type="spellEnd"/>
      <w:r w:rsidRPr="007579E2">
        <w:t xml:space="preserve"> remained uncertain</w:t>
      </w:r>
      <w:r w:rsidR="000C2D31" w:rsidRPr="007579E2">
        <w:t>.</w:t>
      </w:r>
      <w:r w:rsidR="00654D8F" w:rsidRPr="007579E2">
        <w:t xml:space="preserve"> A second interim analysis of OS will be available by </w:t>
      </w:r>
      <w:r w:rsidR="0023686E">
        <w:rPr>
          <w:noProof/>
          <w:color w:val="000000"/>
          <w:highlight w:val="black"/>
        </w:rPr>
        <w:t>''''''''' '''''''''</w:t>
      </w:r>
      <w:r w:rsidR="00654D8F" w:rsidRPr="007579E2">
        <w:t xml:space="preserve">, when approximately 50% of OS events are expected to have occurred. </w:t>
      </w:r>
      <w:r w:rsidR="00E15039" w:rsidRPr="007579E2">
        <w:t xml:space="preserve">The ESC noted, if recommended, the PBAC may wish to consider whether the cost-effectiveness of </w:t>
      </w:r>
      <w:proofErr w:type="spellStart"/>
      <w:r w:rsidR="00E15039" w:rsidRPr="007579E2">
        <w:t>dabrafenib+trameti</w:t>
      </w:r>
      <w:r w:rsidR="00045DDF" w:rsidRPr="007579E2">
        <w:t>nib</w:t>
      </w:r>
      <w:proofErr w:type="spellEnd"/>
      <w:r w:rsidR="00045DDF" w:rsidRPr="007579E2">
        <w:t xml:space="preserve"> should be reviewed when additional OS data are available</w:t>
      </w:r>
      <w:r w:rsidR="00E15039" w:rsidRPr="007579E2">
        <w:t xml:space="preserve">. </w:t>
      </w:r>
    </w:p>
    <w:p w:rsidR="00D124D0" w:rsidRPr="007579E2" w:rsidRDefault="00654D8F" w:rsidP="00061E01">
      <w:pPr>
        <w:pStyle w:val="ListParagraph"/>
        <w:widowControl/>
        <w:numPr>
          <w:ilvl w:val="1"/>
          <w:numId w:val="2"/>
        </w:numPr>
      </w:pPr>
      <w:r w:rsidRPr="007579E2">
        <w:t>The incidence of G</w:t>
      </w:r>
      <w:r w:rsidR="000C2D31" w:rsidRPr="007579E2">
        <w:t xml:space="preserve">rade 3 or 4 </w:t>
      </w:r>
      <w:r w:rsidR="00D124D0" w:rsidRPr="007579E2">
        <w:t>adverse events</w:t>
      </w:r>
      <w:r w:rsidR="000C2D31" w:rsidRPr="007579E2">
        <w:t xml:space="preserve">, serious </w:t>
      </w:r>
      <w:r w:rsidR="00D124D0" w:rsidRPr="007579E2">
        <w:t>adverse events</w:t>
      </w:r>
      <w:r w:rsidR="000C2D31" w:rsidRPr="007579E2">
        <w:t xml:space="preserve"> and discontinuation due to </w:t>
      </w:r>
      <w:r w:rsidR="00D124D0" w:rsidRPr="007579E2">
        <w:t>adverse events</w:t>
      </w:r>
      <w:r w:rsidR="000C2D31" w:rsidRPr="007579E2">
        <w:t xml:space="preserve"> were all higher for </w:t>
      </w:r>
      <w:proofErr w:type="spellStart"/>
      <w:r w:rsidR="000C2D31" w:rsidRPr="007579E2">
        <w:t>dabrafenib+trametinib</w:t>
      </w:r>
      <w:proofErr w:type="spellEnd"/>
      <w:r w:rsidR="000C2D31" w:rsidRPr="007579E2">
        <w:t xml:space="preserve"> compared to placebo. The </w:t>
      </w:r>
      <w:r w:rsidR="00D124D0" w:rsidRPr="007579E2">
        <w:t>adverse events</w:t>
      </w:r>
      <w:r w:rsidR="000C2D31" w:rsidRPr="007579E2">
        <w:t xml:space="preserve"> for </w:t>
      </w:r>
      <w:proofErr w:type="spellStart"/>
      <w:r w:rsidR="000C2D31" w:rsidRPr="007579E2">
        <w:t>dabrafenib+trametinib</w:t>
      </w:r>
      <w:proofErr w:type="spellEnd"/>
      <w:r w:rsidR="000C2D31" w:rsidRPr="007579E2">
        <w:t xml:space="preserve"> in the melanoma adjuvant setting were consistent with those previously observed in the </w:t>
      </w:r>
      <w:proofErr w:type="spellStart"/>
      <w:r w:rsidR="003532CB" w:rsidRPr="007579E2">
        <w:t>unresectable</w:t>
      </w:r>
      <w:proofErr w:type="spellEnd"/>
      <w:r w:rsidR="003532CB" w:rsidRPr="007579E2">
        <w:t xml:space="preserve"> or </w:t>
      </w:r>
      <w:r w:rsidR="000C2D31" w:rsidRPr="007579E2">
        <w:t xml:space="preserve">metastatic melanoma setting. </w:t>
      </w:r>
    </w:p>
    <w:p w:rsidR="00D124D0" w:rsidRPr="007579E2" w:rsidRDefault="00D124D0" w:rsidP="00061E01">
      <w:pPr>
        <w:pStyle w:val="ListParagraph"/>
        <w:widowControl/>
        <w:numPr>
          <w:ilvl w:val="1"/>
          <w:numId w:val="2"/>
        </w:numPr>
      </w:pPr>
      <w:r w:rsidRPr="007579E2">
        <w:rPr>
          <w:rFonts w:asciiTheme="minorHAnsi" w:hAnsiTheme="minorHAnsi"/>
          <w:szCs w:val="20"/>
        </w:rPr>
        <w:t xml:space="preserve">The PBAC considered that the claim of superior comparative effectiveness was reasonable based on the RFS data for patients with Stage IIIB, IIIC and IIID disease. However, the immature OS data meant that the magnitude of the clinical benefit of adjuvant </w:t>
      </w:r>
      <w:proofErr w:type="spellStart"/>
      <w:r w:rsidRPr="007579E2">
        <w:rPr>
          <w:rFonts w:asciiTheme="minorHAnsi" w:hAnsiTheme="minorHAnsi"/>
          <w:szCs w:val="20"/>
        </w:rPr>
        <w:t>dabrafenib+trametinib</w:t>
      </w:r>
      <w:proofErr w:type="spellEnd"/>
      <w:r w:rsidRPr="007579E2">
        <w:rPr>
          <w:rFonts w:asciiTheme="minorHAnsi" w:hAnsiTheme="minorHAnsi"/>
          <w:szCs w:val="20"/>
        </w:rPr>
        <w:t xml:space="preserve"> therapy was uncertain. The PBAC considered that the </w:t>
      </w:r>
      <w:r w:rsidR="00B93E97">
        <w:rPr>
          <w:rFonts w:asciiTheme="minorHAnsi" w:hAnsiTheme="minorHAnsi"/>
          <w:szCs w:val="20"/>
        </w:rPr>
        <w:t>incremental effectiveness</w:t>
      </w:r>
      <w:r w:rsidRPr="007579E2">
        <w:rPr>
          <w:rFonts w:asciiTheme="minorHAnsi" w:hAnsiTheme="minorHAnsi"/>
          <w:szCs w:val="20"/>
        </w:rPr>
        <w:t xml:space="preserve"> of </w:t>
      </w:r>
      <w:proofErr w:type="spellStart"/>
      <w:r w:rsidRPr="007579E2">
        <w:rPr>
          <w:rFonts w:asciiTheme="minorHAnsi" w:hAnsiTheme="minorHAnsi"/>
          <w:szCs w:val="20"/>
        </w:rPr>
        <w:t>dabrafenib+trametinib</w:t>
      </w:r>
      <w:proofErr w:type="spellEnd"/>
      <w:r w:rsidRPr="007579E2">
        <w:rPr>
          <w:rFonts w:asciiTheme="minorHAnsi" w:hAnsiTheme="minorHAnsi"/>
          <w:szCs w:val="20"/>
        </w:rPr>
        <w:t xml:space="preserve"> in </w:t>
      </w:r>
      <w:r w:rsidR="0035082C" w:rsidRPr="007579E2">
        <w:rPr>
          <w:rFonts w:asciiTheme="minorHAnsi" w:hAnsiTheme="minorHAnsi"/>
          <w:szCs w:val="20"/>
        </w:rPr>
        <w:t>Stage IIIA</w:t>
      </w:r>
      <w:r w:rsidRPr="007579E2">
        <w:rPr>
          <w:rFonts w:asciiTheme="minorHAnsi" w:hAnsiTheme="minorHAnsi"/>
          <w:szCs w:val="20"/>
        </w:rPr>
        <w:t xml:space="preserve"> patients</w:t>
      </w:r>
      <w:r w:rsidR="00FB4000" w:rsidRPr="007579E2">
        <w:rPr>
          <w:rFonts w:asciiTheme="minorHAnsi" w:hAnsiTheme="minorHAnsi"/>
          <w:szCs w:val="20"/>
        </w:rPr>
        <w:t xml:space="preserve"> </w:t>
      </w:r>
      <w:r w:rsidR="00602EAA">
        <w:rPr>
          <w:rFonts w:asciiTheme="minorHAnsi" w:hAnsiTheme="minorHAnsi"/>
          <w:szCs w:val="20"/>
        </w:rPr>
        <w:t xml:space="preserve">was particularly uncertain </w:t>
      </w:r>
      <w:r w:rsidR="00FB4000" w:rsidRPr="007579E2">
        <w:rPr>
          <w:rFonts w:asciiTheme="minorHAnsi" w:hAnsiTheme="minorHAnsi"/>
          <w:szCs w:val="20"/>
        </w:rPr>
        <w:t xml:space="preserve">(see paragraph </w:t>
      </w:r>
      <w:r w:rsidR="00FB4000" w:rsidRPr="0040483C">
        <w:rPr>
          <w:rFonts w:asciiTheme="minorHAnsi" w:hAnsiTheme="minorHAnsi"/>
          <w:szCs w:val="20"/>
        </w:rPr>
        <w:t>2.8)</w:t>
      </w:r>
      <w:r w:rsidR="00B93E97" w:rsidRPr="0040483C">
        <w:rPr>
          <w:rFonts w:asciiTheme="minorHAnsi" w:hAnsiTheme="minorHAnsi"/>
          <w:szCs w:val="20"/>
        </w:rPr>
        <w:t>,</w:t>
      </w:r>
      <w:r w:rsidR="00B93E97">
        <w:rPr>
          <w:rFonts w:asciiTheme="minorHAnsi" w:hAnsiTheme="minorHAnsi"/>
          <w:szCs w:val="20"/>
        </w:rPr>
        <w:t xml:space="preserve"> but it was likely to be </w:t>
      </w:r>
      <w:r w:rsidR="00CC49A2">
        <w:rPr>
          <w:rFonts w:asciiTheme="minorHAnsi" w:hAnsiTheme="minorHAnsi"/>
          <w:szCs w:val="20"/>
        </w:rPr>
        <w:t>modest</w:t>
      </w:r>
      <w:r w:rsidR="00B93E97">
        <w:rPr>
          <w:rFonts w:asciiTheme="minorHAnsi" w:hAnsiTheme="minorHAnsi"/>
          <w:szCs w:val="20"/>
        </w:rPr>
        <w:t xml:space="preserve"> (see </w:t>
      </w:r>
      <w:r w:rsidR="00B93E97" w:rsidRPr="0040483C">
        <w:rPr>
          <w:rFonts w:asciiTheme="minorHAnsi" w:hAnsiTheme="minorHAnsi"/>
          <w:szCs w:val="20"/>
        </w:rPr>
        <w:t>paragraphs 6.8 to 6.10 and Figure 1</w:t>
      </w:r>
      <w:r w:rsidR="00B93E97">
        <w:rPr>
          <w:rFonts w:asciiTheme="minorHAnsi" w:hAnsiTheme="minorHAnsi"/>
          <w:szCs w:val="20"/>
        </w:rPr>
        <w:t>)</w:t>
      </w:r>
      <w:r w:rsidRPr="007579E2">
        <w:rPr>
          <w:rFonts w:asciiTheme="minorHAnsi" w:hAnsiTheme="minorHAnsi"/>
          <w:szCs w:val="20"/>
        </w:rPr>
        <w:t>.</w:t>
      </w:r>
    </w:p>
    <w:p w:rsidR="000C2D31" w:rsidRPr="007579E2" w:rsidRDefault="00D124D0" w:rsidP="00061E01">
      <w:pPr>
        <w:pStyle w:val="ListParagraph"/>
        <w:widowControl/>
        <w:numPr>
          <w:ilvl w:val="1"/>
          <w:numId w:val="2"/>
        </w:numPr>
      </w:pPr>
      <w:r w:rsidRPr="007579E2">
        <w:t>T</w:t>
      </w:r>
      <w:r w:rsidR="00EB08EC" w:rsidRPr="007579E2">
        <w:t xml:space="preserve">he PBAC considered that the claim of inferior comparative safety was reasonable. </w:t>
      </w:r>
    </w:p>
    <w:p w:rsidR="00263D6C" w:rsidRPr="007579E2" w:rsidRDefault="00263D6C" w:rsidP="00061E01">
      <w:pPr>
        <w:pStyle w:val="Heading2"/>
        <w:widowControl/>
      </w:pPr>
      <w:bookmarkStart w:id="16" w:name="_Toc536008004"/>
      <w:r w:rsidRPr="007579E2">
        <w:t>Economic analysis</w:t>
      </w:r>
      <w:bookmarkEnd w:id="16"/>
      <w:r w:rsidRPr="007579E2">
        <w:t xml:space="preserve"> </w:t>
      </w:r>
    </w:p>
    <w:p w:rsidR="006A651C" w:rsidRPr="007579E2" w:rsidRDefault="006A651C" w:rsidP="00061E01">
      <w:pPr>
        <w:pStyle w:val="ListParagraph"/>
        <w:widowControl/>
        <w:numPr>
          <w:ilvl w:val="1"/>
          <w:numId w:val="2"/>
        </w:numPr>
      </w:pPr>
      <w:bookmarkStart w:id="17" w:name="_Toc532217401"/>
      <w:r w:rsidRPr="007579E2">
        <w:t xml:space="preserve">The submission presented a modelled economic evaluation, based on the COMBI-AD trial. The type of economic evaluation presented was a cost-effectiveness analysis and </w:t>
      </w:r>
      <w:r w:rsidRPr="007579E2">
        <w:lastRenderedPageBreak/>
        <w:t xml:space="preserve">a cost-utility analysis, measuring outcomes in terms of life-years (LY) gained and quality-adjusted life years (QALY) gained, respectively. The key components of the economic evaluation are summarised below. </w:t>
      </w:r>
    </w:p>
    <w:p w:rsidR="006A651C" w:rsidRPr="007579E2" w:rsidRDefault="006A651C" w:rsidP="007E6F21">
      <w:pPr>
        <w:pStyle w:val="Caption"/>
        <w:widowControl/>
        <w:rPr>
          <w:rStyle w:val="CommentReference"/>
        </w:rPr>
      </w:pPr>
      <w:r w:rsidRPr="007579E2">
        <w:t xml:space="preserve">Table </w:t>
      </w:r>
      <w:r w:rsidR="00017C59" w:rsidRPr="007579E2">
        <w:t>1</w:t>
      </w:r>
      <w:r w:rsidR="00DF4C14" w:rsidRPr="007579E2">
        <w:t>4</w:t>
      </w:r>
      <w:r w:rsidRPr="007579E2">
        <w:t xml:space="preserve">: </w:t>
      </w:r>
      <w:r w:rsidRPr="007579E2">
        <w:rPr>
          <w:rStyle w:val="CommentReference"/>
          <w:b/>
        </w:rPr>
        <w:t>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Summary of model structure and rationale"/>
      </w:tblPr>
      <w:tblGrid>
        <w:gridCol w:w="1555"/>
        <w:gridCol w:w="7462"/>
      </w:tblGrid>
      <w:tr w:rsidR="006A651C" w:rsidRPr="007579E2" w:rsidTr="00645204">
        <w:trPr>
          <w:tblHeader/>
        </w:trPr>
        <w:tc>
          <w:tcPr>
            <w:tcW w:w="862" w:type="pct"/>
            <w:shd w:val="clear" w:color="auto" w:fill="auto"/>
            <w:vAlign w:val="center"/>
          </w:tcPr>
          <w:p w:rsidR="006A651C" w:rsidRPr="007579E2" w:rsidRDefault="006A651C" w:rsidP="007E6F21">
            <w:pPr>
              <w:pStyle w:val="Tabletext"/>
              <w:keepNext/>
              <w:rPr>
                <w:b/>
              </w:rPr>
            </w:pPr>
            <w:r w:rsidRPr="007579E2">
              <w:rPr>
                <w:b/>
              </w:rPr>
              <w:t>Component</w:t>
            </w:r>
          </w:p>
        </w:tc>
        <w:tc>
          <w:tcPr>
            <w:tcW w:w="4138" w:type="pct"/>
            <w:shd w:val="clear" w:color="auto" w:fill="auto"/>
            <w:vAlign w:val="center"/>
          </w:tcPr>
          <w:p w:rsidR="006A651C" w:rsidRPr="007579E2" w:rsidRDefault="006A651C" w:rsidP="007E6F21">
            <w:pPr>
              <w:pStyle w:val="Tabletext"/>
              <w:keepNext/>
              <w:jc w:val="center"/>
              <w:rPr>
                <w:b/>
              </w:rPr>
            </w:pPr>
            <w:r w:rsidRPr="007579E2">
              <w:rPr>
                <w:b/>
              </w:rPr>
              <w:t>Summary</w:t>
            </w:r>
          </w:p>
        </w:tc>
      </w:tr>
      <w:tr w:rsidR="006A651C" w:rsidRPr="007579E2" w:rsidTr="00645204">
        <w:tc>
          <w:tcPr>
            <w:tcW w:w="862" w:type="pct"/>
            <w:shd w:val="clear" w:color="auto" w:fill="auto"/>
            <w:vAlign w:val="center"/>
          </w:tcPr>
          <w:p w:rsidR="006A651C" w:rsidRPr="004E52CD" w:rsidRDefault="006A651C" w:rsidP="007E6F21">
            <w:pPr>
              <w:pStyle w:val="Tabletext"/>
              <w:keepNext/>
            </w:pPr>
            <w:r w:rsidRPr="004E52CD">
              <w:t>Time horizon</w:t>
            </w:r>
          </w:p>
        </w:tc>
        <w:tc>
          <w:tcPr>
            <w:tcW w:w="4138" w:type="pct"/>
            <w:shd w:val="clear" w:color="auto" w:fill="auto"/>
            <w:vAlign w:val="center"/>
          </w:tcPr>
          <w:p w:rsidR="006A651C" w:rsidRPr="004E52CD" w:rsidRDefault="0023686E" w:rsidP="007E6F21">
            <w:pPr>
              <w:pStyle w:val="Tabletext"/>
              <w:keepNext/>
            </w:pPr>
            <w:r>
              <w:rPr>
                <w:noProof/>
                <w:color w:val="000000"/>
                <w:highlight w:val="black"/>
              </w:rPr>
              <w:t xml:space="preserve">'''''' </w:t>
            </w:r>
            <w:r w:rsidR="006A651C" w:rsidRPr="004E52CD">
              <w:t>years in the model versus</w:t>
            </w:r>
            <w:r w:rsidR="006A651C" w:rsidRPr="004E52CD">
              <w:rPr>
                <w:i/>
              </w:rPr>
              <w:t xml:space="preserve"> </w:t>
            </w:r>
            <w:r w:rsidR="006A651C" w:rsidRPr="004E52CD">
              <w:t xml:space="preserve">52 </w:t>
            </w:r>
            <w:proofErr w:type="spellStart"/>
            <w:r w:rsidR="006A651C" w:rsidRPr="004E52CD">
              <w:t>months</w:t>
            </w:r>
            <w:r w:rsidR="006A651C" w:rsidRPr="004E52CD">
              <w:rPr>
                <w:vertAlign w:val="superscript"/>
              </w:rPr>
              <w:t>a</w:t>
            </w:r>
            <w:proofErr w:type="spellEnd"/>
            <w:r w:rsidR="006A651C" w:rsidRPr="004E52CD">
              <w:t xml:space="preserve"> in the COMBI-AD clinical trial</w:t>
            </w:r>
          </w:p>
        </w:tc>
      </w:tr>
      <w:tr w:rsidR="006A651C" w:rsidRPr="007579E2" w:rsidTr="00645204">
        <w:tc>
          <w:tcPr>
            <w:tcW w:w="862" w:type="pct"/>
            <w:shd w:val="clear" w:color="auto" w:fill="auto"/>
            <w:vAlign w:val="center"/>
          </w:tcPr>
          <w:p w:rsidR="006A651C" w:rsidRPr="007579E2" w:rsidRDefault="006A651C" w:rsidP="007E6F21">
            <w:pPr>
              <w:pStyle w:val="Tabletext"/>
              <w:keepNext/>
            </w:pPr>
            <w:r w:rsidRPr="007579E2">
              <w:t>Outcomes</w:t>
            </w:r>
          </w:p>
        </w:tc>
        <w:tc>
          <w:tcPr>
            <w:tcW w:w="4138" w:type="pct"/>
            <w:shd w:val="clear" w:color="auto" w:fill="auto"/>
            <w:vAlign w:val="center"/>
          </w:tcPr>
          <w:p w:rsidR="006A651C" w:rsidRPr="007579E2" w:rsidRDefault="006A651C" w:rsidP="007E6F21">
            <w:pPr>
              <w:pStyle w:val="Tabletext"/>
              <w:keepNext/>
            </w:pPr>
            <w:r w:rsidRPr="007579E2">
              <w:t>LYs and QALYs</w:t>
            </w:r>
          </w:p>
        </w:tc>
      </w:tr>
      <w:tr w:rsidR="006A651C" w:rsidRPr="007579E2" w:rsidTr="00645204">
        <w:tc>
          <w:tcPr>
            <w:tcW w:w="862" w:type="pct"/>
            <w:shd w:val="clear" w:color="auto" w:fill="auto"/>
            <w:vAlign w:val="center"/>
          </w:tcPr>
          <w:p w:rsidR="006A651C" w:rsidRPr="007579E2" w:rsidRDefault="006A651C" w:rsidP="007E6F21">
            <w:pPr>
              <w:pStyle w:val="Tabletext"/>
              <w:keepNext/>
            </w:pPr>
            <w:r w:rsidRPr="007579E2">
              <w:t>Methods used to generate results</w:t>
            </w:r>
          </w:p>
        </w:tc>
        <w:tc>
          <w:tcPr>
            <w:tcW w:w="4138" w:type="pct"/>
            <w:shd w:val="clear" w:color="auto" w:fill="auto"/>
            <w:vAlign w:val="center"/>
          </w:tcPr>
          <w:p w:rsidR="006A651C" w:rsidRPr="007579E2" w:rsidRDefault="006A651C" w:rsidP="007E6F21">
            <w:pPr>
              <w:pStyle w:val="Tabletext"/>
              <w:keepNext/>
            </w:pPr>
            <w:r w:rsidRPr="007579E2">
              <w:t>Cohort analysis using a partitioned survival approach</w:t>
            </w:r>
          </w:p>
        </w:tc>
      </w:tr>
      <w:tr w:rsidR="006A651C" w:rsidRPr="007579E2" w:rsidTr="00645204">
        <w:tc>
          <w:tcPr>
            <w:tcW w:w="862" w:type="pct"/>
            <w:shd w:val="clear" w:color="auto" w:fill="auto"/>
            <w:vAlign w:val="center"/>
          </w:tcPr>
          <w:p w:rsidR="006A651C" w:rsidRPr="007579E2" w:rsidRDefault="006A651C" w:rsidP="007E6F21">
            <w:pPr>
              <w:pStyle w:val="Tabletext"/>
              <w:keepNext/>
            </w:pPr>
            <w:r w:rsidRPr="007579E2">
              <w:t>Health states</w:t>
            </w:r>
          </w:p>
        </w:tc>
        <w:tc>
          <w:tcPr>
            <w:tcW w:w="4138" w:type="pct"/>
            <w:shd w:val="clear" w:color="auto" w:fill="auto"/>
            <w:vAlign w:val="center"/>
          </w:tcPr>
          <w:p w:rsidR="006A651C" w:rsidRPr="007579E2" w:rsidRDefault="006A651C" w:rsidP="007E6F21">
            <w:pPr>
              <w:pStyle w:val="Tabletext"/>
              <w:keepNext/>
            </w:pPr>
            <w:r w:rsidRPr="007579E2">
              <w:t>Three health states: RFS, recurrent disease and death</w:t>
            </w:r>
          </w:p>
        </w:tc>
      </w:tr>
      <w:tr w:rsidR="006A651C" w:rsidRPr="007579E2" w:rsidTr="00645204">
        <w:tc>
          <w:tcPr>
            <w:tcW w:w="862" w:type="pct"/>
            <w:shd w:val="clear" w:color="auto" w:fill="auto"/>
            <w:vAlign w:val="center"/>
          </w:tcPr>
          <w:p w:rsidR="006A651C" w:rsidRPr="007579E2" w:rsidRDefault="006A651C" w:rsidP="007E6F21">
            <w:pPr>
              <w:pStyle w:val="Tabletext"/>
              <w:keepNext/>
            </w:pPr>
            <w:r w:rsidRPr="007579E2">
              <w:t>Cycle length</w:t>
            </w:r>
          </w:p>
        </w:tc>
        <w:tc>
          <w:tcPr>
            <w:tcW w:w="4138" w:type="pct"/>
            <w:shd w:val="clear" w:color="auto" w:fill="auto"/>
            <w:vAlign w:val="center"/>
          </w:tcPr>
          <w:p w:rsidR="006A651C" w:rsidRPr="007579E2" w:rsidRDefault="006A651C" w:rsidP="007E6F21">
            <w:pPr>
              <w:pStyle w:val="Tabletext"/>
              <w:keepNext/>
            </w:pPr>
            <w:r w:rsidRPr="007579E2">
              <w:t>1 month</w:t>
            </w:r>
          </w:p>
        </w:tc>
      </w:tr>
      <w:tr w:rsidR="006A651C" w:rsidRPr="007579E2" w:rsidTr="00645204">
        <w:tc>
          <w:tcPr>
            <w:tcW w:w="862" w:type="pct"/>
            <w:shd w:val="clear" w:color="auto" w:fill="auto"/>
            <w:vAlign w:val="center"/>
          </w:tcPr>
          <w:p w:rsidR="006A651C" w:rsidRPr="007579E2" w:rsidRDefault="006A651C" w:rsidP="007E6F21">
            <w:pPr>
              <w:pStyle w:val="Tabletext"/>
              <w:keepNext/>
            </w:pPr>
            <w:r w:rsidRPr="007579E2">
              <w:t>Health state allocation</w:t>
            </w:r>
          </w:p>
        </w:tc>
        <w:tc>
          <w:tcPr>
            <w:tcW w:w="4138" w:type="pct"/>
            <w:shd w:val="clear" w:color="auto" w:fill="auto"/>
            <w:vAlign w:val="center"/>
          </w:tcPr>
          <w:p w:rsidR="006A651C" w:rsidRPr="007579E2" w:rsidRDefault="006A651C" w:rsidP="007E6F21">
            <w:pPr>
              <w:pStyle w:val="Tabletext"/>
              <w:keepNext/>
            </w:pPr>
            <w:r w:rsidRPr="007579E2">
              <w:t>The proportion of patients in each health state was determined from the RFS and OS curves. The Kaplan-Meier estimates for RFS and OS from COMBI-AD were applied to the economic model up to the extrapolation time point. Thereafter, parametric distributions fitted to the observed Kaplan-Meier survival estimates were used to extrapolate RFS and OS beyond the follow-up of COMBI-AD to the end of the time horizon of the model.</w:t>
            </w:r>
          </w:p>
        </w:tc>
      </w:tr>
    </w:tbl>
    <w:p w:rsidR="006A651C" w:rsidRPr="007579E2" w:rsidRDefault="006A651C" w:rsidP="007E6F21">
      <w:pPr>
        <w:pStyle w:val="TableFooter"/>
        <w:widowControl/>
      </w:pPr>
      <w:r w:rsidRPr="007579E2">
        <w:t>LY = life year; OS = overall survival; QALY = quality-adjusted life year; RFS = relapse-free survival</w:t>
      </w:r>
    </w:p>
    <w:p w:rsidR="006A651C" w:rsidRPr="007579E2" w:rsidRDefault="006A651C" w:rsidP="007E6F21">
      <w:pPr>
        <w:pStyle w:val="TableFooter"/>
        <w:widowControl/>
      </w:pPr>
      <w:proofErr w:type="spellStart"/>
      <w:proofErr w:type="gramStart"/>
      <w:r w:rsidRPr="007579E2">
        <w:rPr>
          <w:vertAlign w:val="superscript"/>
        </w:rPr>
        <w:t>a</w:t>
      </w:r>
      <w:proofErr w:type="spellEnd"/>
      <w:proofErr w:type="gramEnd"/>
      <w:r w:rsidRPr="007579E2">
        <w:t xml:space="preserve"> The median follow-up in COMBI-AD was 42</w:t>
      </w:r>
      <w:r w:rsidR="00BF2627" w:rsidRPr="007579E2">
        <w:t>-44</w:t>
      </w:r>
      <w:r w:rsidRPr="007579E2">
        <w:t xml:space="preserve"> months. 52 months corresponds the latest available OS data for </w:t>
      </w:r>
      <w:proofErr w:type="spellStart"/>
      <w:r w:rsidRPr="007579E2">
        <w:t>dabrafenib+trametinib</w:t>
      </w:r>
      <w:proofErr w:type="spellEnd"/>
      <w:r w:rsidRPr="007579E2">
        <w:t xml:space="preserve"> and placebo from COMBI-AD.</w:t>
      </w:r>
    </w:p>
    <w:p w:rsidR="006A651C" w:rsidRPr="007579E2" w:rsidRDefault="006A651C" w:rsidP="007E6F21">
      <w:pPr>
        <w:pStyle w:val="TableFooter"/>
        <w:widowControl/>
      </w:pPr>
      <w:r w:rsidRPr="007579E2">
        <w:t>Source: Table 3.1-1, p95 of the submission.</w:t>
      </w:r>
    </w:p>
    <w:p w:rsidR="00326B13" w:rsidRPr="007579E2" w:rsidRDefault="00326B13" w:rsidP="00061E01">
      <w:pPr>
        <w:pStyle w:val="ListParagraph"/>
        <w:widowControl/>
        <w:numPr>
          <w:ilvl w:val="1"/>
          <w:numId w:val="2"/>
        </w:numPr>
        <w:spacing w:before="120"/>
      </w:pPr>
      <w:r w:rsidRPr="007579E2">
        <w:t xml:space="preserve">The trial data did not provide a reliable basis for extrapolation as median RFS was not reached in the </w:t>
      </w:r>
      <w:proofErr w:type="spellStart"/>
      <w:r w:rsidRPr="007579E2">
        <w:t>dabrafenib+trametinib</w:t>
      </w:r>
      <w:proofErr w:type="spellEnd"/>
      <w:r w:rsidRPr="007579E2">
        <w:t xml:space="preserve"> arm and median OS was not reached in either arm. The data were particularly unreliable for OS, as only 14% of patients in the </w:t>
      </w:r>
      <w:proofErr w:type="spellStart"/>
      <w:r w:rsidRPr="007579E2">
        <w:t>dabrafenib+trametinib</w:t>
      </w:r>
      <w:proofErr w:type="spellEnd"/>
      <w:r w:rsidRPr="007579E2">
        <w:t xml:space="preserve"> arm and 22% of patients in the placebo arm died during the trial observation period. </w:t>
      </w:r>
    </w:p>
    <w:p w:rsidR="00DE7BC9" w:rsidRPr="007579E2" w:rsidRDefault="00DE7BC9" w:rsidP="00061E01">
      <w:pPr>
        <w:pStyle w:val="ListParagraph"/>
        <w:widowControl/>
        <w:numPr>
          <w:ilvl w:val="1"/>
          <w:numId w:val="2"/>
        </w:numPr>
        <w:spacing w:before="120"/>
      </w:pPr>
      <w:r w:rsidRPr="007579E2">
        <w:t>The ESC advised that the extent of extrapolation required with the use of a partitioned survival model rendered the results of the economic analysis highly uncertain. In addition, interpretation of the model results was hindered because recurrence events</w:t>
      </w:r>
      <w:r w:rsidR="0035082C" w:rsidRPr="007579E2">
        <w:t>, i</w:t>
      </w:r>
      <w:r w:rsidR="001420C5" w:rsidRPr="007579E2">
        <w:t>ncluding treatment and outcomes for each of these events,</w:t>
      </w:r>
      <w:r w:rsidRPr="007579E2">
        <w:t xml:space="preserve"> were not tracked separately. A Markov model would allow for the use of both observed data and external evidence to estimate the implications of a recurrence event</w:t>
      </w:r>
      <w:r w:rsidR="00E4787E" w:rsidRPr="007579E2">
        <w:t>, as traditionally used to evaluate therapies in the adjuvant setting</w:t>
      </w:r>
      <w:r w:rsidRPr="007579E2">
        <w:t xml:space="preserve">. </w:t>
      </w:r>
      <w:r w:rsidR="00E4787E" w:rsidRPr="007579E2">
        <w:t xml:space="preserve">Substantial uncertainty in the cost-effectiveness ratios would remain due to </w:t>
      </w:r>
      <w:r w:rsidR="00E64684" w:rsidRPr="007579E2">
        <w:t xml:space="preserve">immature </w:t>
      </w:r>
      <w:r w:rsidRPr="007579E2">
        <w:t>OS data</w:t>
      </w:r>
      <w:r w:rsidR="00E4787E" w:rsidRPr="007579E2">
        <w:t xml:space="preserve">, but a Markov model would facilitate more detailed investigation of the effects of specific components of the pathway, e.g. transitions from </w:t>
      </w:r>
      <w:r w:rsidR="006414BE" w:rsidRPr="007579E2">
        <w:t>local to metastatic recurrence, from metastatic recurrence to dead, and background mortality in the recurrence-free and local recurrence states</w:t>
      </w:r>
      <w:r w:rsidRPr="007579E2">
        <w:t xml:space="preserve">. </w:t>
      </w:r>
    </w:p>
    <w:p w:rsidR="006A651C" w:rsidRPr="007579E2" w:rsidRDefault="006A651C" w:rsidP="00061E01">
      <w:pPr>
        <w:pStyle w:val="ListParagraph"/>
        <w:widowControl/>
        <w:numPr>
          <w:ilvl w:val="1"/>
          <w:numId w:val="2"/>
        </w:numPr>
        <w:spacing w:before="120"/>
      </w:pPr>
      <w:r w:rsidRPr="007579E2">
        <w:t xml:space="preserve">The model included three health states: RFS, recurrent disease and death. A similar three-health state model structure was used in the July 2018 submission of </w:t>
      </w:r>
      <w:proofErr w:type="spellStart"/>
      <w:r w:rsidRPr="007579E2">
        <w:t>nivolumab</w:t>
      </w:r>
      <w:proofErr w:type="spellEnd"/>
      <w:r w:rsidRPr="007579E2">
        <w:t xml:space="preserve"> for the adjuvant treatment of completely resected Stages III and IV melanoma</w:t>
      </w:r>
      <w:r w:rsidR="00C072DF" w:rsidRPr="007579E2">
        <w:t xml:space="preserve">, over which the PBAC raised a number of concerns (paragraph 7.6, </w:t>
      </w:r>
      <w:proofErr w:type="spellStart"/>
      <w:r w:rsidR="00466A96" w:rsidRPr="007579E2">
        <w:t>N</w:t>
      </w:r>
      <w:r w:rsidR="00F12BDE" w:rsidRPr="007579E2">
        <w:t>ivolumab</w:t>
      </w:r>
      <w:proofErr w:type="spellEnd"/>
      <w:r w:rsidR="00F12BDE" w:rsidRPr="007579E2">
        <w:t xml:space="preserve"> </w:t>
      </w:r>
      <w:r w:rsidR="00D644F7">
        <w:t>Public Summary Document (</w:t>
      </w:r>
      <w:r w:rsidR="00F12BDE" w:rsidRPr="007579E2">
        <w:t>PSD</w:t>
      </w:r>
      <w:r w:rsidR="00D644F7">
        <w:t>)</w:t>
      </w:r>
      <w:r w:rsidR="00F12BDE" w:rsidRPr="007579E2">
        <w:t>,</w:t>
      </w:r>
      <w:r w:rsidR="00C072DF" w:rsidRPr="007579E2">
        <w:t xml:space="preserve"> July 2018)</w:t>
      </w:r>
      <w:r w:rsidRPr="007579E2">
        <w:t xml:space="preserve">. Like the </w:t>
      </w:r>
      <w:proofErr w:type="spellStart"/>
      <w:r w:rsidRPr="007579E2">
        <w:t>nivolumab</w:t>
      </w:r>
      <w:proofErr w:type="spellEnd"/>
      <w:r w:rsidRPr="007579E2">
        <w:t xml:space="preserve"> model, the recurrence after adjuvant treatment health state could consist of a heterogeneous population (e.g. recurrence with local and/or distant metastases) with different final health outcomes. In addition, the application of static costs and utilities to each health state in the model may not accurately reflect the outcomes of patients treated in the adjuvant setting </w:t>
      </w:r>
      <w:r w:rsidRPr="004E52CD">
        <w:lastRenderedPageBreak/>
        <w:t xml:space="preserve">over the </w:t>
      </w:r>
      <w:r w:rsidR="0023686E">
        <w:rPr>
          <w:noProof/>
          <w:color w:val="000000"/>
          <w:highlight w:val="black"/>
        </w:rPr>
        <w:t>'''''</w:t>
      </w:r>
      <w:r w:rsidRPr="004E52CD">
        <w:t xml:space="preserve"> year time horizon of the model.</w:t>
      </w:r>
      <w:r w:rsidR="00045DDF" w:rsidRPr="004E52CD">
        <w:t xml:space="preserve"> The ESC noted</w:t>
      </w:r>
      <w:r w:rsidR="00EE0DD0" w:rsidRPr="004E52CD">
        <w:t xml:space="preserve"> the data presented in the PSCR which suggested a higher proportion of relapse events </w:t>
      </w:r>
      <w:r w:rsidR="0058038A" w:rsidRPr="004E52CD">
        <w:t>were</w:t>
      </w:r>
      <w:r w:rsidR="00EE0DD0" w:rsidRPr="004E52CD">
        <w:t xml:space="preserve"> </w:t>
      </w:r>
      <w:r w:rsidR="0058038A" w:rsidRPr="004E52CD">
        <w:t xml:space="preserve">due to distant metastases in the </w:t>
      </w:r>
      <w:proofErr w:type="spellStart"/>
      <w:r w:rsidR="0058038A" w:rsidRPr="004E52CD">
        <w:t>dabrafenib+trametinib</w:t>
      </w:r>
      <w:proofErr w:type="spellEnd"/>
      <w:r w:rsidR="0058038A" w:rsidRPr="004E52CD">
        <w:t xml:space="preserve"> arm of COMBI-AD </w:t>
      </w:r>
      <w:r w:rsidR="004E52CD" w:rsidRPr="004E52CD">
        <w:t xml:space="preserve">(62%) </w:t>
      </w:r>
      <w:r w:rsidR="0058038A" w:rsidRPr="004E52CD">
        <w:t xml:space="preserve">compared with the placebo arm </w:t>
      </w:r>
      <w:r w:rsidR="004E52CD" w:rsidRPr="004E52CD">
        <w:t xml:space="preserve">(53%), </w:t>
      </w:r>
      <w:r w:rsidR="0058038A" w:rsidRPr="004E52CD">
        <w:t xml:space="preserve">and that this difference was not accounted for with a three health state model. </w:t>
      </w:r>
      <w:r w:rsidR="00E75788" w:rsidRPr="004E52CD">
        <w:t>The pre-PBAC response stated that as the prognosis</w:t>
      </w:r>
      <w:r w:rsidR="00E75788" w:rsidRPr="007579E2">
        <w:t xml:space="preserve"> for patients with distant metastases is worse than for those with </w:t>
      </w:r>
      <w:proofErr w:type="spellStart"/>
      <w:r w:rsidR="00E75788" w:rsidRPr="007579E2">
        <w:t>locoregional</w:t>
      </w:r>
      <w:proofErr w:type="spellEnd"/>
      <w:r w:rsidR="00E75788" w:rsidRPr="007579E2">
        <w:t xml:space="preserve"> metastases, the early parts of the Kaplan-Meier OS curves are likely to represent deaths due to distant metastases. The pre-PBAC response agreed that the modelled OS for both treatment arms may be biased towards the survival for patients with distant metastases.</w:t>
      </w:r>
    </w:p>
    <w:p w:rsidR="006A651C" w:rsidRPr="007579E2" w:rsidRDefault="006A651C" w:rsidP="00061E01">
      <w:pPr>
        <w:pStyle w:val="ListParagraph"/>
        <w:widowControl/>
        <w:numPr>
          <w:ilvl w:val="1"/>
          <w:numId w:val="2"/>
        </w:numPr>
        <w:spacing w:before="120"/>
      </w:pPr>
      <w:r w:rsidRPr="007579E2">
        <w:t xml:space="preserve">The population in the model was assumed to be the same as that in the key trial, COMBI-AD, as the trial data were used as the basis for modelling the RFS and OS benefits associated with adjuvant </w:t>
      </w:r>
      <w:proofErr w:type="spellStart"/>
      <w:r w:rsidRPr="007579E2">
        <w:t>dabrafenib+trametinib</w:t>
      </w:r>
      <w:proofErr w:type="spellEnd"/>
      <w:r w:rsidRPr="007579E2">
        <w:t xml:space="preserve"> compared with observation, without any adjustment. The submission did not adequately address the applicability of the trial population to the proposed PBS population in terms of age and disease stage. </w:t>
      </w:r>
    </w:p>
    <w:p w:rsidR="006A651C" w:rsidRPr="007579E2" w:rsidRDefault="006A651C" w:rsidP="00061E01">
      <w:pPr>
        <w:pStyle w:val="ListParagraph"/>
        <w:widowControl/>
        <w:numPr>
          <w:ilvl w:val="1"/>
          <w:numId w:val="2"/>
        </w:numPr>
        <w:spacing w:before="120"/>
      </w:pPr>
      <w:r w:rsidRPr="007579E2">
        <w:t>The mean patient age in COMBI-AD (50.4 years), and hence the economic mode</w:t>
      </w:r>
      <w:r w:rsidR="004227CA" w:rsidRPr="007579E2">
        <w:t>l</w:t>
      </w:r>
      <w:r w:rsidRPr="007579E2">
        <w:t xml:space="preserve"> was considerably younger than that reported in the Cancer in Australia 2017 Report</w:t>
      </w:r>
      <w:r w:rsidRPr="007579E2">
        <w:rPr>
          <w:rStyle w:val="FootnoteReference"/>
        </w:rPr>
        <w:footnoteReference w:id="8"/>
      </w:r>
      <w:r w:rsidRPr="007579E2">
        <w:t xml:space="preserve"> for newly diagnosed melanoma, regardless of disease stage (</w:t>
      </w:r>
      <w:r w:rsidR="006F4A12" w:rsidRPr="007579E2">
        <w:t xml:space="preserve">57.7 to </w:t>
      </w:r>
      <w:r w:rsidRPr="007579E2">
        <w:t>63</w:t>
      </w:r>
      <w:r w:rsidR="006F4A12" w:rsidRPr="007579E2">
        <w:t>.0</w:t>
      </w:r>
      <w:r w:rsidRPr="007579E2">
        <w:t xml:space="preserve"> years). Although the economic model allowed variation of the age input, the variation only affected the age-related background mortality. Given the increasing competing risk of death from other causes in patients with advanced age, the application of a survival result from the younger patients in COMBI-AD to older patients was likely to favour </w:t>
      </w:r>
      <w:proofErr w:type="spellStart"/>
      <w:r w:rsidRPr="007579E2">
        <w:t>dabrafenib+trametinib</w:t>
      </w:r>
      <w:proofErr w:type="spellEnd"/>
      <w:r w:rsidRPr="007579E2">
        <w:t xml:space="preserve">. </w:t>
      </w:r>
      <w:r w:rsidR="00AC53B9" w:rsidRPr="007579E2">
        <w:t xml:space="preserve">The PSCR </w:t>
      </w:r>
      <w:r w:rsidR="00B52EE2" w:rsidRPr="007579E2">
        <w:t>stated</w:t>
      </w:r>
      <w:r w:rsidR="00AC53B9" w:rsidRPr="007579E2">
        <w:t xml:space="preserve"> that </w:t>
      </w:r>
      <w:r w:rsidR="00B25C5A" w:rsidRPr="007579E2">
        <w:t>Menzies et al (2012)</w:t>
      </w:r>
      <w:r w:rsidR="00B52EE2" w:rsidRPr="007579E2">
        <w:t xml:space="preserve"> </w:t>
      </w:r>
      <w:r w:rsidR="00B25C5A" w:rsidRPr="007579E2">
        <w:t>showed BRAF mutation status to be associated with significantly younger age at diagnosis of first distant metastasis compared with BRAF wild-type melanoma (mean, 53.9 v</w:t>
      </w:r>
      <w:r w:rsidR="00205D3C" w:rsidRPr="007579E2">
        <w:t>ersu</w:t>
      </w:r>
      <w:r w:rsidR="00B25C5A" w:rsidRPr="007579E2">
        <w:t>s 62.7 years</w:t>
      </w:r>
      <w:r w:rsidR="00B52EE2" w:rsidRPr="007579E2">
        <w:t xml:space="preserve"> respectively</w:t>
      </w:r>
      <w:r w:rsidR="00B25C5A" w:rsidRPr="007579E2">
        <w:t>)</w:t>
      </w:r>
      <w:r w:rsidR="00B52EE2" w:rsidRPr="007579E2">
        <w:t>. In addition</w:t>
      </w:r>
      <w:r w:rsidR="00B25C5A" w:rsidRPr="007579E2">
        <w:t>, a pre-defined sub-group analysis of COMBI-AD RFS data by age (&lt;</w:t>
      </w:r>
      <w:r w:rsidR="00205D3C" w:rsidRPr="007579E2">
        <w:t xml:space="preserve"> </w:t>
      </w:r>
      <w:r w:rsidR="00B25C5A" w:rsidRPr="007579E2">
        <w:t xml:space="preserve">65 years and ≥ 65 years) showed that a meaningful and consistent clinical benefit across both age groups. The ESC </w:t>
      </w:r>
      <w:r w:rsidR="00B52EE2" w:rsidRPr="007579E2">
        <w:t>considered the mean age</w:t>
      </w:r>
      <w:r w:rsidR="00B52EE2" w:rsidRPr="007579E2">
        <w:rPr>
          <w:i/>
        </w:rPr>
        <w:t xml:space="preserve"> </w:t>
      </w:r>
      <w:r w:rsidR="00B52EE2" w:rsidRPr="007579E2">
        <w:t>of the trial population would be</w:t>
      </w:r>
      <w:r w:rsidR="0058038A" w:rsidRPr="007579E2">
        <w:t xml:space="preserve"> broadly</w:t>
      </w:r>
      <w:r w:rsidR="00B52EE2" w:rsidRPr="007579E2">
        <w:t xml:space="preserve"> representative of the proposed PBS population.</w:t>
      </w:r>
      <w:r w:rsidR="00B52EE2" w:rsidRPr="007579E2">
        <w:rPr>
          <w:i/>
          <w:highlight w:val="yellow"/>
        </w:rPr>
        <w:t xml:space="preserve"> </w:t>
      </w:r>
    </w:p>
    <w:p w:rsidR="006A651C" w:rsidRPr="007579E2" w:rsidRDefault="006A651C" w:rsidP="00061E01">
      <w:pPr>
        <w:pStyle w:val="ListParagraph"/>
        <w:widowControl/>
        <w:numPr>
          <w:ilvl w:val="1"/>
          <w:numId w:val="2"/>
        </w:numPr>
        <w:spacing w:before="120"/>
      </w:pPr>
      <w:r w:rsidRPr="007579E2">
        <w:t xml:space="preserve">As presented in Table 4, </w:t>
      </w:r>
      <w:r w:rsidR="00205D3C" w:rsidRPr="007579E2">
        <w:t>approximately 18</w:t>
      </w:r>
      <w:r w:rsidRPr="007579E2">
        <w:t>% of patients in the COMBI-AD trial had Stage IIIA (with &gt; 1 mm metastasis) melanoma, as defined by the 7</w:t>
      </w:r>
      <w:r w:rsidRPr="007579E2">
        <w:rPr>
          <w:vertAlign w:val="superscript"/>
        </w:rPr>
        <w:t>th</w:t>
      </w:r>
      <w:r w:rsidRPr="007579E2">
        <w:t xml:space="preserve"> edition of the AJCC staging system</w:t>
      </w:r>
      <w:r w:rsidR="00205D3C" w:rsidRPr="007579E2">
        <w:t>,</w:t>
      </w:r>
      <w:r w:rsidR="00115C72" w:rsidRPr="007579E2">
        <w:t xml:space="preserve"> </w:t>
      </w:r>
      <w:r w:rsidR="00205D3C" w:rsidRPr="007579E2">
        <w:t xml:space="preserve">and </w:t>
      </w:r>
      <w:r w:rsidR="00115C72" w:rsidRPr="007579E2">
        <w:t>approximately 10% of patients had Stage IIIA (with &gt; 1 mm metastasis) melanoma, as defined by the 8</w:t>
      </w:r>
      <w:r w:rsidR="00115C72" w:rsidRPr="007579E2">
        <w:rPr>
          <w:vertAlign w:val="superscript"/>
        </w:rPr>
        <w:t>th</w:t>
      </w:r>
      <w:r w:rsidR="00115C72" w:rsidRPr="007579E2">
        <w:t xml:space="preserve"> edition</w:t>
      </w:r>
      <w:r w:rsidRPr="007579E2">
        <w:t>. Patients with less severe Stage IIIA (with ≤ 1 mm metastasis) were not recruited for the trial</w:t>
      </w:r>
      <w:r w:rsidR="008F020E" w:rsidRPr="007579E2">
        <w:t>.</w:t>
      </w:r>
      <w:r w:rsidRPr="007579E2">
        <w:t xml:space="preserve"> </w:t>
      </w:r>
      <w:r w:rsidR="00E27365">
        <w:t>T</w:t>
      </w:r>
      <w:r w:rsidR="00007CFA" w:rsidRPr="007579E2">
        <w:t xml:space="preserve">he PBAC </w:t>
      </w:r>
      <w:r w:rsidR="00B93E97">
        <w:t>foreshadowed</w:t>
      </w:r>
      <w:r w:rsidR="00007CFA" w:rsidRPr="007579E2">
        <w:t xml:space="preserve"> a listing in patients with Stage IIIB</w:t>
      </w:r>
      <w:r w:rsidR="00FB4000" w:rsidRPr="007579E2">
        <w:t xml:space="preserve">, IIIC and </w:t>
      </w:r>
      <w:r w:rsidR="00007CFA" w:rsidRPr="007579E2">
        <w:t>IIID disease</w:t>
      </w:r>
      <w:r w:rsidR="00E27365">
        <w:t xml:space="preserve"> to be appropriate</w:t>
      </w:r>
      <w:r w:rsidR="00FB4000" w:rsidRPr="007579E2">
        <w:t>,</w:t>
      </w:r>
      <w:r w:rsidR="00007CFA" w:rsidRPr="007579E2">
        <w:t xml:space="preserve"> </w:t>
      </w:r>
      <w:r w:rsidR="00E27365">
        <w:t xml:space="preserve">although </w:t>
      </w:r>
      <w:r w:rsidR="00007CFA" w:rsidRPr="007579E2">
        <w:t>it was noted that the cost-effectiveness was assessed</w:t>
      </w:r>
      <w:r w:rsidR="003920A8" w:rsidRPr="007579E2">
        <w:t xml:space="preserve"> in patients with Stage IIIA</w:t>
      </w:r>
      <w:r w:rsidR="00FB4000" w:rsidRPr="007579E2">
        <w:t xml:space="preserve"> to </w:t>
      </w:r>
      <w:r w:rsidR="003920A8" w:rsidRPr="007579E2">
        <w:t>IIID disease</w:t>
      </w:r>
      <w:r w:rsidR="00FB4000" w:rsidRPr="007579E2">
        <w:t xml:space="preserve">; however, </w:t>
      </w:r>
      <w:r w:rsidR="003920A8" w:rsidRPr="007579E2">
        <w:t xml:space="preserve">only 10% of </w:t>
      </w:r>
      <w:r w:rsidR="00424E93" w:rsidRPr="007579E2">
        <w:t xml:space="preserve">trial </w:t>
      </w:r>
      <w:r w:rsidR="003920A8" w:rsidRPr="007579E2">
        <w:t>patients had Stage IIIA disease. It was further noted that patients with Stage IIID disease may have be</w:t>
      </w:r>
      <w:r w:rsidR="00E27365">
        <w:t>en</w:t>
      </w:r>
      <w:r w:rsidR="003920A8" w:rsidRPr="007579E2">
        <w:t xml:space="preserve"> underrepresented given the low proportion of such patients in the COMBI-AD trial versus the Australian population (Table 4).</w:t>
      </w:r>
      <w:r w:rsidRPr="007579E2">
        <w:t xml:space="preserve"> </w:t>
      </w:r>
    </w:p>
    <w:p w:rsidR="006A651C" w:rsidRPr="007579E2" w:rsidRDefault="006A651C" w:rsidP="00061E01">
      <w:pPr>
        <w:pStyle w:val="ListParagraph"/>
        <w:widowControl/>
        <w:numPr>
          <w:ilvl w:val="1"/>
          <w:numId w:val="2"/>
        </w:numPr>
        <w:spacing w:before="120"/>
      </w:pPr>
      <w:r w:rsidRPr="007579E2">
        <w:lastRenderedPageBreak/>
        <w:t>The key drivers of the model are summarised below.</w:t>
      </w:r>
    </w:p>
    <w:p w:rsidR="006A651C" w:rsidRPr="007579E2" w:rsidRDefault="006A651C" w:rsidP="007E6F21">
      <w:pPr>
        <w:keepNext/>
        <w:widowControl/>
        <w:rPr>
          <w:rStyle w:val="CommentReference"/>
        </w:rPr>
      </w:pPr>
      <w:r w:rsidRPr="007579E2">
        <w:rPr>
          <w:rStyle w:val="CommentReference"/>
        </w:rPr>
        <w:t>Table 1</w:t>
      </w:r>
      <w:r w:rsidR="00DF4C14" w:rsidRPr="007579E2">
        <w:rPr>
          <w:rStyle w:val="CommentReference"/>
        </w:rPr>
        <w:t>5</w:t>
      </w:r>
      <w:r w:rsidRPr="007579E2">
        <w:rPr>
          <w:rStyle w:val="CommentReference"/>
        </w:rPr>
        <w:t>:</w:t>
      </w:r>
      <w:r w:rsidRPr="007579E2">
        <w:t xml:space="preserve"> </w:t>
      </w:r>
      <w:r w:rsidRPr="007579E2">
        <w:rPr>
          <w:rStyle w:val="CommentReference"/>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Key drivers of the model"/>
      </w:tblPr>
      <w:tblGrid>
        <w:gridCol w:w="1980"/>
        <w:gridCol w:w="5104"/>
        <w:gridCol w:w="1933"/>
      </w:tblGrid>
      <w:tr w:rsidR="006A651C" w:rsidRPr="007579E2" w:rsidTr="00645204">
        <w:trPr>
          <w:tblHeader/>
        </w:trPr>
        <w:tc>
          <w:tcPr>
            <w:tcW w:w="1098" w:type="pct"/>
            <w:shd w:val="clear" w:color="auto" w:fill="auto"/>
            <w:vAlign w:val="center"/>
          </w:tcPr>
          <w:p w:rsidR="006A651C" w:rsidRPr="007579E2" w:rsidRDefault="006A651C" w:rsidP="007E6F21">
            <w:pPr>
              <w:pStyle w:val="Tabletext"/>
              <w:keepNext/>
              <w:rPr>
                <w:b/>
              </w:rPr>
            </w:pPr>
            <w:r w:rsidRPr="007579E2">
              <w:rPr>
                <w:b/>
              </w:rPr>
              <w:t>Description</w:t>
            </w:r>
          </w:p>
        </w:tc>
        <w:tc>
          <w:tcPr>
            <w:tcW w:w="2830" w:type="pct"/>
            <w:shd w:val="clear" w:color="auto" w:fill="auto"/>
            <w:vAlign w:val="center"/>
          </w:tcPr>
          <w:p w:rsidR="006A651C" w:rsidRPr="007579E2" w:rsidRDefault="006A651C" w:rsidP="007E6F21">
            <w:pPr>
              <w:pStyle w:val="Tabletext"/>
              <w:keepNext/>
              <w:jc w:val="center"/>
              <w:rPr>
                <w:b/>
              </w:rPr>
            </w:pPr>
            <w:r w:rsidRPr="007579E2">
              <w:rPr>
                <w:b/>
              </w:rPr>
              <w:t>Method/Value</w:t>
            </w:r>
          </w:p>
        </w:tc>
        <w:tc>
          <w:tcPr>
            <w:tcW w:w="1072" w:type="pct"/>
            <w:shd w:val="clear" w:color="auto" w:fill="auto"/>
            <w:vAlign w:val="center"/>
          </w:tcPr>
          <w:p w:rsidR="006A651C" w:rsidRPr="007579E2" w:rsidRDefault="006A651C" w:rsidP="007E6F21">
            <w:pPr>
              <w:pStyle w:val="Tabletext"/>
              <w:keepNext/>
              <w:jc w:val="center"/>
              <w:rPr>
                <w:b/>
              </w:rPr>
            </w:pPr>
            <w:r w:rsidRPr="007579E2">
              <w:rPr>
                <w:b/>
              </w:rPr>
              <w:t>Impact</w:t>
            </w:r>
          </w:p>
        </w:tc>
      </w:tr>
      <w:tr w:rsidR="006A651C" w:rsidRPr="007579E2" w:rsidTr="00061E01">
        <w:trPr>
          <w:trHeight w:val="70"/>
        </w:trPr>
        <w:tc>
          <w:tcPr>
            <w:tcW w:w="1098" w:type="pct"/>
            <w:shd w:val="clear" w:color="auto" w:fill="auto"/>
            <w:vAlign w:val="center"/>
          </w:tcPr>
          <w:p w:rsidR="006A651C" w:rsidRPr="007579E2" w:rsidRDefault="006A651C" w:rsidP="007E6F21">
            <w:pPr>
              <w:pStyle w:val="Tabletext"/>
              <w:keepNext/>
            </w:pPr>
            <w:r w:rsidRPr="007579E2">
              <w:t>Extrapolation of RFS and OS</w:t>
            </w:r>
          </w:p>
        </w:tc>
        <w:tc>
          <w:tcPr>
            <w:tcW w:w="2830" w:type="pct"/>
            <w:shd w:val="clear" w:color="auto" w:fill="auto"/>
            <w:vAlign w:val="center"/>
          </w:tcPr>
          <w:p w:rsidR="006A651C" w:rsidRPr="007579E2" w:rsidRDefault="006A651C" w:rsidP="007E6F21">
            <w:pPr>
              <w:pStyle w:val="Tabletext"/>
              <w:keepNext/>
            </w:pPr>
            <w:r w:rsidRPr="007579E2">
              <w:t xml:space="preserve">The submission modelled </w:t>
            </w:r>
            <w:r w:rsidR="007E0218" w:rsidRPr="007579E2">
              <w:t xml:space="preserve">an </w:t>
            </w:r>
            <w:r w:rsidRPr="007579E2">
              <w:t xml:space="preserve">ongoing survival benefit associated with </w:t>
            </w:r>
            <w:proofErr w:type="spellStart"/>
            <w:r w:rsidRPr="007579E2">
              <w:t>dabrafenib+trametinib</w:t>
            </w:r>
            <w:proofErr w:type="spellEnd"/>
            <w:r w:rsidRPr="007579E2">
              <w:t xml:space="preserve"> compared with observation beyond the 52-month</w:t>
            </w:r>
            <w:r w:rsidR="0090287A" w:rsidRPr="007579E2">
              <w:rPr>
                <w:vertAlign w:val="superscript"/>
              </w:rPr>
              <w:t>a</w:t>
            </w:r>
            <w:r w:rsidRPr="007579E2">
              <w:t xml:space="preserve"> trial period</w:t>
            </w:r>
            <w:r w:rsidR="007E0218" w:rsidRPr="007579E2">
              <w:t xml:space="preserve">. The model assumes an ongoing survival benefit in </w:t>
            </w:r>
            <w:r w:rsidR="007E0218" w:rsidRPr="00993020">
              <w:t xml:space="preserve">excess of </w:t>
            </w:r>
            <w:r w:rsidR="0023686E">
              <w:rPr>
                <w:noProof/>
                <w:color w:val="000000"/>
                <w:highlight w:val="black"/>
              </w:rPr>
              <w:t>''''' ''''''''''''''</w:t>
            </w:r>
            <w:r w:rsidR="00993020" w:rsidRPr="00993020">
              <w:t xml:space="preserve"> </w:t>
            </w:r>
            <w:r w:rsidR="007E0218" w:rsidRPr="00993020">
              <w:t>after discontinuation</w:t>
            </w:r>
            <w:r w:rsidR="007E0218" w:rsidRPr="007579E2">
              <w:t xml:space="preserve"> of adjuvant treatment</w:t>
            </w:r>
            <w:r w:rsidR="00187DE7" w:rsidRPr="007579E2">
              <w:t>.</w:t>
            </w:r>
            <w:r w:rsidR="007E0218" w:rsidRPr="007579E2">
              <w:t xml:space="preserve"> </w:t>
            </w:r>
          </w:p>
        </w:tc>
        <w:tc>
          <w:tcPr>
            <w:tcW w:w="1072" w:type="pct"/>
            <w:shd w:val="clear" w:color="auto" w:fill="auto"/>
            <w:vAlign w:val="center"/>
          </w:tcPr>
          <w:p w:rsidR="006A651C" w:rsidRPr="007579E2" w:rsidRDefault="006A651C" w:rsidP="007E6F21">
            <w:pPr>
              <w:pStyle w:val="Tabletext"/>
              <w:keepNext/>
            </w:pPr>
            <w:r w:rsidRPr="007579E2">
              <w:t xml:space="preserve">High, favours </w:t>
            </w:r>
            <w:proofErr w:type="spellStart"/>
            <w:r w:rsidRPr="007579E2">
              <w:t>dabrafenib+trametinib</w:t>
            </w:r>
            <w:proofErr w:type="spellEnd"/>
          </w:p>
        </w:tc>
      </w:tr>
      <w:tr w:rsidR="006A651C" w:rsidRPr="007579E2" w:rsidTr="00645204">
        <w:tc>
          <w:tcPr>
            <w:tcW w:w="1098" w:type="pct"/>
            <w:shd w:val="clear" w:color="auto" w:fill="auto"/>
            <w:vAlign w:val="center"/>
          </w:tcPr>
          <w:p w:rsidR="006A651C" w:rsidRPr="007579E2" w:rsidRDefault="006A651C" w:rsidP="007E6F21">
            <w:pPr>
              <w:pStyle w:val="Tabletext"/>
              <w:keepNext/>
            </w:pPr>
            <w:r w:rsidRPr="007579E2">
              <w:t xml:space="preserve">Duration of adjuvant </w:t>
            </w:r>
            <w:proofErr w:type="spellStart"/>
            <w:r w:rsidRPr="007579E2">
              <w:t>dabrafenib+trametinib</w:t>
            </w:r>
            <w:proofErr w:type="spellEnd"/>
          </w:p>
        </w:tc>
        <w:tc>
          <w:tcPr>
            <w:tcW w:w="2830" w:type="pct"/>
            <w:shd w:val="clear" w:color="auto" w:fill="auto"/>
            <w:vAlign w:val="center"/>
          </w:tcPr>
          <w:p w:rsidR="006A651C" w:rsidRPr="007579E2" w:rsidRDefault="006A651C" w:rsidP="007E6F21">
            <w:pPr>
              <w:pStyle w:val="Tabletext"/>
              <w:keepNext/>
            </w:pPr>
            <w:r w:rsidRPr="007579E2">
              <w:t xml:space="preserve">Duration of the </w:t>
            </w:r>
            <w:proofErr w:type="spellStart"/>
            <w:r w:rsidRPr="007579E2">
              <w:t>dabrafenib+trametinib</w:t>
            </w:r>
            <w:proofErr w:type="spellEnd"/>
            <w:r w:rsidRPr="007579E2">
              <w:t xml:space="preserve"> combination therapy was based on the modelled RFS within the first year of the model. </w:t>
            </w:r>
          </w:p>
        </w:tc>
        <w:tc>
          <w:tcPr>
            <w:tcW w:w="1072" w:type="pct"/>
            <w:shd w:val="clear" w:color="auto" w:fill="auto"/>
            <w:vAlign w:val="center"/>
          </w:tcPr>
          <w:p w:rsidR="006A651C" w:rsidRPr="007579E2" w:rsidRDefault="006A651C" w:rsidP="007E6F21">
            <w:pPr>
              <w:pStyle w:val="Tabletext"/>
              <w:keepNext/>
            </w:pPr>
            <w:r w:rsidRPr="007579E2">
              <w:t>Moderate, favours observation</w:t>
            </w:r>
          </w:p>
        </w:tc>
      </w:tr>
    </w:tbl>
    <w:p w:rsidR="006A651C" w:rsidRPr="007579E2" w:rsidRDefault="006A651C" w:rsidP="007E6F21">
      <w:pPr>
        <w:pStyle w:val="TableFooter"/>
        <w:widowControl/>
      </w:pPr>
      <w:r w:rsidRPr="007579E2">
        <w:t>OS = overall survival; RFS = relapse-free survival</w:t>
      </w:r>
    </w:p>
    <w:p w:rsidR="0090287A" w:rsidRPr="007579E2" w:rsidRDefault="006A651C" w:rsidP="00061E01">
      <w:pPr>
        <w:pStyle w:val="TableFooter"/>
        <w:widowControl/>
        <w:spacing w:before="120" w:after="120"/>
      </w:pPr>
      <w:r w:rsidRPr="007579E2">
        <w:t xml:space="preserve">Source: Table compiled </w:t>
      </w:r>
      <w:r w:rsidR="000458E8" w:rsidRPr="007579E2">
        <w:t xml:space="preserve">during </w:t>
      </w:r>
      <w:r w:rsidRPr="007579E2">
        <w:t xml:space="preserve">the evaluation, based on information provided in Section 3 of the </w:t>
      </w:r>
      <w:r w:rsidR="0090287A" w:rsidRPr="007579E2">
        <w:t>submission</w:t>
      </w:r>
    </w:p>
    <w:p w:rsidR="0090287A" w:rsidRPr="007579E2" w:rsidRDefault="0090287A" w:rsidP="00061E01">
      <w:pPr>
        <w:pStyle w:val="TableFooter"/>
        <w:widowControl/>
        <w:spacing w:before="120" w:after="120"/>
      </w:pPr>
      <w:proofErr w:type="spellStart"/>
      <w:proofErr w:type="gramStart"/>
      <w:r w:rsidRPr="007579E2">
        <w:rPr>
          <w:vertAlign w:val="superscript"/>
        </w:rPr>
        <w:t>a</w:t>
      </w:r>
      <w:proofErr w:type="spellEnd"/>
      <w:proofErr w:type="gramEnd"/>
      <w:r w:rsidRPr="007579E2">
        <w:t xml:space="preserve"> The median follow-up in COMBI-AD was 42-44 months. 52 months corresponds the latest available OS data for </w:t>
      </w:r>
      <w:proofErr w:type="spellStart"/>
      <w:r w:rsidRPr="007579E2">
        <w:t>dabrafenib+trametinib</w:t>
      </w:r>
      <w:proofErr w:type="spellEnd"/>
      <w:r w:rsidRPr="007579E2">
        <w:t xml:space="preserve"> and placebo from COMBI-AD.</w:t>
      </w:r>
    </w:p>
    <w:p w:rsidR="006A651C" w:rsidRPr="007579E2" w:rsidRDefault="006A651C" w:rsidP="00061E01">
      <w:pPr>
        <w:pStyle w:val="ListParagraph"/>
        <w:widowControl/>
        <w:numPr>
          <w:ilvl w:val="1"/>
          <w:numId w:val="2"/>
        </w:numPr>
        <w:spacing w:before="120"/>
        <w:rPr>
          <w:i/>
        </w:rPr>
      </w:pPr>
      <w:r w:rsidRPr="007579E2">
        <w:t xml:space="preserve">In the economic evaluation, trial-based RFS data were applied to the model for up to </w:t>
      </w:r>
      <w:r w:rsidR="0023686E">
        <w:rPr>
          <w:noProof/>
          <w:color w:val="000000"/>
          <w:highlight w:val="black"/>
        </w:rPr>
        <w:t>'''''</w:t>
      </w:r>
      <w:r w:rsidRPr="00993020">
        <w:t xml:space="preserve"> months</w:t>
      </w:r>
      <w:r w:rsidRPr="007579E2">
        <w:t xml:space="preserve"> and OS data were applied for </w:t>
      </w:r>
      <w:r w:rsidRPr="00993020">
        <w:t xml:space="preserve">up to </w:t>
      </w:r>
      <w:r w:rsidR="0023686E">
        <w:rPr>
          <w:noProof/>
          <w:color w:val="000000"/>
          <w:highlight w:val="black"/>
        </w:rPr>
        <w:t xml:space="preserve">''''' </w:t>
      </w:r>
      <w:r w:rsidRPr="00993020">
        <w:t>months</w:t>
      </w:r>
      <w:r w:rsidRPr="007579E2">
        <w:t xml:space="preserve">. Thereafter, extrapolation was performed by fitting a parametric distribution to the RFS and OS estimates observed within the clinical trial period. Based on goodness of fit statistics and visual inspection, a dependent generalised gamma function, which incorporated a time-constant treatment effect associated with </w:t>
      </w:r>
      <w:proofErr w:type="spellStart"/>
      <w:r w:rsidRPr="007579E2">
        <w:t>dabrafenib+trametinib</w:t>
      </w:r>
      <w:proofErr w:type="spellEnd"/>
      <w:r w:rsidRPr="007579E2">
        <w:t xml:space="preserve">, was selected for both RFS and OS extrapolation in the base case. Figure </w:t>
      </w:r>
      <w:r w:rsidR="00337937" w:rsidRPr="007579E2">
        <w:t>5</w:t>
      </w:r>
      <w:r w:rsidRPr="007579E2">
        <w:t xml:space="preserve"> illustrates a comparison of the COMBI-AD trial data with the modelled survival curves. </w:t>
      </w:r>
    </w:p>
    <w:p w:rsidR="0011227C" w:rsidRPr="007579E2" w:rsidRDefault="0011227C" w:rsidP="00061E01">
      <w:pPr>
        <w:pStyle w:val="ListParagraph"/>
        <w:widowControl/>
        <w:numPr>
          <w:ilvl w:val="1"/>
          <w:numId w:val="2"/>
        </w:numPr>
        <w:spacing w:before="120"/>
      </w:pPr>
      <w:r w:rsidRPr="007579E2">
        <w:t xml:space="preserve">Both RFS and OS curves were extrapolated using dependent parametric models (i.e. a single parametric function with a covariate for </w:t>
      </w:r>
      <w:proofErr w:type="spellStart"/>
      <w:r w:rsidRPr="007579E2">
        <w:t>dabrafenib+trametinib</w:t>
      </w:r>
      <w:proofErr w:type="spellEnd"/>
      <w:r w:rsidRPr="007579E2">
        <w:t xml:space="preserve">). This choice was informed by an assumption of proportional hazards. The ESC advised that this was not reasonable over the </w:t>
      </w:r>
      <w:r w:rsidR="0023686E">
        <w:rPr>
          <w:noProof/>
          <w:color w:val="000000"/>
          <w:highlight w:val="black"/>
        </w:rPr>
        <w:t xml:space="preserve">''''' </w:t>
      </w:r>
      <w:r w:rsidR="00760632" w:rsidRPr="00077A99">
        <w:t>year</w:t>
      </w:r>
      <w:r w:rsidR="00760632" w:rsidRPr="007579E2">
        <w:t xml:space="preserve"> </w:t>
      </w:r>
      <w:r w:rsidRPr="007579E2">
        <w:t>time horizon of the model</w:t>
      </w:r>
      <w:r w:rsidR="00760632" w:rsidRPr="007579E2">
        <w:t>.</w:t>
      </w:r>
      <w:r w:rsidR="00CE2080" w:rsidRPr="007579E2">
        <w:t xml:space="preserve"> The ESC noted this resulted in large differences in RFS and OS out to </w:t>
      </w:r>
      <w:proofErr w:type="gramStart"/>
      <w:r w:rsidR="0023686E">
        <w:rPr>
          <w:noProof/>
          <w:color w:val="000000"/>
          <w:highlight w:val="black"/>
        </w:rPr>
        <w:t xml:space="preserve">''''' </w:t>
      </w:r>
      <w:r w:rsidR="00CE2080" w:rsidRPr="00077A99">
        <w:t xml:space="preserve"> years</w:t>
      </w:r>
      <w:proofErr w:type="gramEnd"/>
      <w:r w:rsidR="00CE2080" w:rsidRPr="00077A99">
        <w:t xml:space="preserve"> (</w:t>
      </w:r>
      <w:r w:rsidR="0023686E">
        <w:rPr>
          <w:noProof/>
          <w:color w:val="000000"/>
          <w:highlight w:val="black"/>
        </w:rPr>
        <w:t>'''</w:t>
      </w:r>
      <w:r w:rsidR="00993020" w:rsidRPr="00077A99">
        <w:t xml:space="preserve">% difference in proportion alive and </w:t>
      </w:r>
      <w:r w:rsidR="0023686E">
        <w:rPr>
          <w:noProof/>
          <w:color w:val="000000"/>
          <w:highlight w:val="black"/>
        </w:rPr>
        <w:t>''''''</w:t>
      </w:r>
      <w:r w:rsidR="00993020" w:rsidRPr="00077A99">
        <w:t xml:space="preserve">% difference in RFS at </w:t>
      </w:r>
      <w:r w:rsidR="0023686E">
        <w:rPr>
          <w:noProof/>
          <w:color w:val="000000"/>
          <w:highlight w:val="black"/>
        </w:rPr>
        <w:t>'''''</w:t>
      </w:r>
      <w:r w:rsidR="00993020" w:rsidRPr="00077A99">
        <w:t xml:space="preserve"> years</w:t>
      </w:r>
      <w:r w:rsidR="00CE2080" w:rsidRPr="00077A99">
        <w:t>)</w:t>
      </w:r>
      <w:r w:rsidR="00007B04" w:rsidRPr="00077A99">
        <w:t xml:space="preserve"> and a gain in undiscounted overall survival of </w:t>
      </w:r>
      <w:r w:rsidR="0023686E">
        <w:rPr>
          <w:noProof/>
          <w:color w:val="000000"/>
          <w:highlight w:val="black"/>
        </w:rPr>
        <w:t>''''''''</w:t>
      </w:r>
      <w:r w:rsidR="00993020" w:rsidRPr="00077A99">
        <w:t xml:space="preserve"> </w:t>
      </w:r>
      <w:r w:rsidR="00007B04" w:rsidRPr="00077A99">
        <w:t>years which seemed implausibly large</w:t>
      </w:r>
      <w:r w:rsidR="00CE2080" w:rsidRPr="00077A99">
        <w:t>.</w:t>
      </w:r>
      <w:r w:rsidR="00760632" w:rsidRPr="00077A99">
        <w:t xml:space="preserve"> The ESC further</w:t>
      </w:r>
      <w:r w:rsidRPr="00077A99">
        <w:t xml:space="preserve"> noted that the ICER was sensitive to changes in convergence of the curves (see Table 1</w:t>
      </w:r>
      <w:r w:rsidR="00337937" w:rsidRPr="00077A99">
        <w:t>7</w:t>
      </w:r>
      <w:r w:rsidRPr="00077A99">
        <w:t xml:space="preserve">), with convergence at </w:t>
      </w:r>
      <w:r w:rsidR="0023686E">
        <w:rPr>
          <w:noProof/>
          <w:color w:val="000000"/>
          <w:highlight w:val="black"/>
        </w:rPr>
        <w:t xml:space="preserve">'''''' </w:t>
      </w:r>
      <w:r w:rsidRPr="00077A99">
        <w:t>years increasing</w:t>
      </w:r>
      <w:r w:rsidRPr="007579E2">
        <w:t xml:space="preserve"> the ICER to $</w:t>
      </w:r>
      <w:r w:rsidR="0064502B">
        <w:t>105,000/QALY to $200,000/QALY</w:t>
      </w:r>
      <w:r w:rsidRPr="007579E2">
        <w:t xml:space="preserve"> from the base case of $</w:t>
      </w:r>
      <w:r w:rsidR="0064502B">
        <w:t>15,000/QALY to $45,000/QALY</w:t>
      </w:r>
      <w:r w:rsidRPr="007579E2">
        <w:t>.</w:t>
      </w:r>
      <w:r w:rsidR="00DE4BB9" w:rsidRPr="007579E2">
        <w:t xml:space="preserve"> </w:t>
      </w:r>
    </w:p>
    <w:p w:rsidR="00FB69A8" w:rsidRPr="007579E2" w:rsidRDefault="00FB69A8" w:rsidP="00061E01">
      <w:pPr>
        <w:pStyle w:val="ListParagraph"/>
        <w:widowControl/>
        <w:numPr>
          <w:ilvl w:val="1"/>
          <w:numId w:val="2"/>
        </w:numPr>
        <w:spacing w:before="120"/>
      </w:pPr>
      <w:r w:rsidRPr="007579E2">
        <w:t xml:space="preserve">The ESC also noted that the </w:t>
      </w:r>
      <w:r w:rsidR="00CE2080" w:rsidRPr="007579E2">
        <w:t>modelled</w:t>
      </w:r>
      <w:r w:rsidR="009C2104" w:rsidRPr="007579E2">
        <w:t xml:space="preserve"> RFS </w:t>
      </w:r>
      <w:r w:rsidRPr="007579E2">
        <w:t>curve</w:t>
      </w:r>
      <w:r w:rsidR="009C2104" w:rsidRPr="007579E2">
        <w:t>s</w:t>
      </w:r>
      <w:r w:rsidRPr="007579E2">
        <w:t xml:space="preserve"> </w:t>
      </w:r>
      <w:r w:rsidR="009C2104" w:rsidRPr="007579E2">
        <w:t xml:space="preserve">favoured </w:t>
      </w:r>
      <w:proofErr w:type="spellStart"/>
      <w:r w:rsidR="009C2104" w:rsidRPr="007579E2">
        <w:t>dabrafenib+trametinib</w:t>
      </w:r>
      <w:proofErr w:type="spellEnd"/>
      <w:r w:rsidR="009C2104" w:rsidRPr="007579E2">
        <w:t xml:space="preserve"> </w:t>
      </w:r>
      <w:r w:rsidR="00CE2080" w:rsidRPr="007579E2">
        <w:t xml:space="preserve">with </w:t>
      </w:r>
      <w:r w:rsidR="00684F49" w:rsidRPr="007579E2">
        <w:t xml:space="preserve">the </w:t>
      </w:r>
      <w:proofErr w:type="spellStart"/>
      <w:r w:rsidR="00684F49" w:rsidRPr="007579E2">
        <w:t>dab</w:t>
      </w:r>
      <w:r w:rsidR="00CE2080" w:rsidRPr="007579E2">
        <w:t>rafenib+trametinib</w:t>
      </w:r>
      <w:proofErr w:type="spellEnd"/>
      <w:r w:rsidR="00CE2080" w:rsidRPr="007579E2">
        <w:t xml:space="preserve"> modelled curve overestimating RFS</w:t>
      </w:r>
      <w:r w:rsidR="00AE1A35" w:rsidRPr="007579E2">
        <w:t xml:space="preserve"> years and</w:t>
      </w:r>
      <w:r w:rsidR="00684F49" w:rsidRPr="007579E2">
        <w:t xml:space="preserve"> the</w:t>
      </w:r>
      <w:r w:rsidR="00AE1A35" w:rsidRPr="007579E2">
        <w:t xml:space="preserve"> placebo modelled curve underestimating RFS compared with the </w:t>
      </w:r>
      <w:r w:rsidR="00602AE5" w:rsidRPr="007579E2">
        <w:t>Kaplan</w:t>
      </w:r>
      <w:r w:rsidR="00AE1A35" w:rsidRPr="007579E2">
        <w:t>-Meier curves from approximately 2 years.</w:t>
      </w:r>
      <w:r w:rsidR="00CE2080" w:rsidRPr="007579E2">
        <w:t xml:space="preserve"> </w:t>
      </w:r>
      <w:r w:rsidR="000C1C53" w:rsidRPr="007579E2">
        <w:t>The ESC further noted the large variation in the estimated RFS and OS depending on the function used</w:t>
      </w:r>
      <w:r w:rsidR="00B3014F" w:rsidRPr="007579E2">
        <w:t>,</w:t>
      </w:r>
      <w:r w:rsidR="000C1C53" w:rsidRPr="007579E2">
        <w:t xml:space="preserve"> despite similar </w:t>
      </w:r>
      <w:r w:rsidR="000C1C53" w:rsidRPr="007579E2">
        <w:rPr>
          <w:rFonts w:asciiTheme="minorHAnsi" w:hAnsiTheme="minorHAnsi" w:cs="Times New Roman"/>
          <w:szCs w:val="20"/>
        </w:rPr>
        <w:t xml:space="preserve">goodness of fit against the clinical trial data using graphical inspection of fit, </w:t>
      </w:r>
      <w:proofErr w:type="spellStart"/>
      <w:r w:rsidR="000C1C53" w:rsidRPr="007579E2">
        <w:rPr>
          <w:rFonts w:asciiTheme="minorHAnsi" w:hAnsiTheme="minorHAnsi" w:cs="Times New Roman"/>
          <w:szCs w:val="20"/>
        </w:rPr>
        <w:t>Akaike</w:t>
      </w:r>
      <w:proofErr w:type="spellEnd"/>
      <w:r w:rsidR="000C1C53" w:rsidRPr="007579E2">
        <w:rPr>
          <w:rFonts w:asciiTheme="minorHAnsi" w:hAnsiTheme="minorHAnsi" w:cs="Times New Roman"/>
          <w:szCs w:val="20"/>
        </w:rPr>
        <w:t xml:space="preserve"> information criterion (AIC), and Bayesian information criterion (BIC)</w:t>
      </w:r>
      <w:r w:rsidR="000C1C53" w:rsidRPr="007579E2">
        <w:t>.</w:t>
      </w:r>
    </w:p>
    <w:p w:rsidR="0030492C" w:rsidRPr="007579E2" w:rsidRDefault="0030492C" w:rsidP="007E6F21">
      <w:pPr>
        <w:pStyle w:val="Caption"/>
        <w:widowControl/>
        <w:rPr>
          <w:lang w:eastAsia="en-AU"/>
        </w:rPr>
      </w:pPr>
      <w:bookmarkStart w:id="18" w:name="_Ref530481705"/>
      <w:r w:rsidRPr="007579E2">
        <w:lastRenderedPageBreak/>
        <w:t>Figure</w:t>
      </w:r>
      <w:bookmarkEnd w:id="18"/>
      <w:r w:rsidR="00337937" w:rsidRPr="007579E2">
        <w:t xml:space="preserve"> 5</w:t>
      </w:r>
      <w:r w:rsidR="00AF5CD0" w:rsidRPr="007579E2">
        <w:t xml:space="preserve">: </w:t>
      </w:r>
      <w:r w:rsidRPr="007579E2">
        <w:t>Kaplan Meier and modelled curves for RFS and OS</w:t>
      </w:r>
    </w:p>
    <w:p w:rsidR="0030492C" w:rsidRPr="007579E2" w:rsidRDefault="0023686E" w:rsidP="007E6F21">
      <w:pPr>
        <w:pStyle w:val="TableFooter"/>
        <w:widowControl/>
      </w:pPr>
      <w:r>
        <w:rPr>
          <w:noProof/>
          <w:snapToGrid/>
          <w:lang w:eastAsia="en-AU"/>
        </w:rPr>
        <w:drawing>
          <wp:inline distT="0" distB="0" distL="0" distR="0">
            <wp:extent cx="4653915" cy="3206750"/>
            <wp:effectExtent l="0" t="0" r="0" b="0"/>
            <wp:docPr id="1" name="Picture 1" title="Figure 5: Kaplan Meier and modelled curves for RFS and O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653915" cy="3206750"/>
                    </a:xfrm>
                    <a:prstGeom prst="rect">
                      <a:avLst/>
                    </a:prstGeom>
                  </pic:spPr>
                </pic:pic>
              </a:graphicData>
            </a:graphic>
          </wp:inline>
        </w:drawing>
      </w:r>
    </w:p>
    <w:p w:rsidR="0030492C" w:rsidRPr="007579E2" w:rsidRDefault="00424E93" w:rsidP="007E6F21">
      <w:pPr>
        <w:pStyle w:val="TableFooter"/>
        <w:widowControl/>
        <w:rPr>
          <w:snapToGrid/>
          <w:lang w:eastAsia="en-AU"/>
        </w:rPr>
      </w:pPr>
      <w:r w:rsidRPr="007579E2">
        <w:rPr>
          <w:snapToGrid/>
          <w:lang w:eastAsia="en-AU"/>
        </w:rPr>
        <w:t xml:space="preserve">KM = Kaplan-Meier; </w:t>
      </w:r>
      <w:r w:rsidR="0030492C" w:rsidRPr="007579E2">
        <w:rPr>
          <w:snapToGrid/>
          <w:lang w:eastAsia="en-AU"/>
        </w:rPr>
        <w:t>OS = overall survival; RFS = relapse-free survival</w:t>
      </w:r>
    </w:p>
    <w:p w:rsidR="0030492C" w:rsidRPr="007579E2" w:rsidRDefault="0030492C" w:rsidP="007E6F21">
      <w:pPr>
        <w:pStyle w:val="TableFooter"/>
        <w:widowControl/>
        <w:rPr>
          <w:snapToGrid/>
          <w:lang w:eastAsia="en-AU"/>
        </w:rPr>
      </w:pPr>
      <w:r w:rsidRPr="007579E2">
        <w:rPr>
          <w:snapToGrid/>
          <w:lang w:eastAsia="en-AU"/>
        </w:rPr>
        <w:t>Source: Figure constructed during the evaluation, based on the “</w:t>
      </w:r>
      <w:proofErr w:type="spellStart"/>
      <w:r w:rsidRPr="007579E2">
        <w:rPr>
          <w:snapToGrid/>
          <w:lang w:eastAsia="en-AU"/>
        </w:rPr>
        <w:t>Dabrafenib</w:t>
      </w:r>
      <w:proofErr w:type="spellEnd"/>
      <w:r w:rsidRPr="007579E2">
        <w:rPr>
          <w:snapToGrid/>
          <w:lang w:eastAsia="en-AU"/>
        </w:rPr>
        <w:t xml:space="preserve"> and </w:t>
      </w:r>
      <w:proofErr w:type="spellStart"/>
      <w:r w:rsidRPr="007579E2">
        <w:rPr>
          <w:snapToGrid/>
          <w:lang w:eastAsia="en-AU"/>
        </w:rPr>
        <w:t>trametinib</w:t>
      </w:r>
      <w:proofErr w:type="spellEnd"/>
      <w:r w:rsidRPr="007579E2">
        <w:rPr>
          <w:snapToGrid/>
          <w:lang w:eastAsia="en-AU"/>
        </w:rPr>
        <w:t xml:space="preserve"> economic evaluation Nov 2018” excel workbook</w:t>
      </w:r>
    </w:p>
    <w:p w:rsidR="004B4CB1" w:rsidRPr="007579E2" w:rsidRDefault="004B4CB1" w:rsidP="007E6F21">
      <w:pPr>
        <w:pStyle w:val="TableFooter"/>
        <w:widowControl/>
        <w:rPr>
          <w:snapToGrid/>
          <w:lang w:eastAsia="en-AU"/>
        </w:rPr>
      </w:pPr>
      <w:r w:rsidRPr="007579E2">
        <w:rPr>
          <w:snapToGrid/>
          <w:lang w:eastAsia="en-AU"/>
        </w:rPr>
        <w:t xml:space="preserve">Note: median follow up of 42 months for RFS, </w:t>
      </w:r>
      <w:r w:rsidR="00187DE7" w:rsidRPr="007579E2">
        <w:rPr>
          <w:snapToGrid/>
          <w:lang w:eastAsia="en-AU"/>
        </w:rPr>
        <w:t>33-34</w:t>
      </w:r>
      <w:r w:rsidRPr="007579E2">
        <w:rPr>
          <w:snapToGrid/>
          <w:lang w:eastAsia="en-AU"/>
        </w:rPr>
        <w:t xml:space="preserve"> months for OS.</w:t>
      </w:r>
    </w:p>
    <w:p w:rsidR="006A651C" w:rsidRPr="007579E2" w:rsidRDefault="006A651C" w:rsidP="00061E01">
      <w:pPr>
        <w:pStyle w:val="ListParagraph"/>
        <w:widowControl/>
        <w:numPr>
          <w:ilvl w:val="1"/>
          <w:numId w:val="2"/>
        </w:numPr>
        <w:spacing w:before="120"/>
      </w:pPr>
      <w:r w:rsidRPr="007579E2">
        <w:t xml:space="preserve">The time horizon of the base case economic model was considerably longer than the maximum duration of follow-up in the key trial </w:t>
      </w:r>
      <w:r w:rsidRPr="00F01307">
        <w:t>(</w:t>
      </w:r>
      <w:r w:rsidR="0023686E">
        <w:rPr>
          <w:noProof/>
          <w:color w:val="000000"/>
          <w:highlight w:val="black"/>
        </w:rPr>
        <w:t>''''''</w:t>
      </w:r>
      <w:r w:rsidR="00F01307" w:rsidRPr="007579E2">
        <w:t xml:space="preserve"> </w:t>
      </w:r>
      <w:r w:rsidRPr="007579E2">
        <w:t xml:space="preserve">years versus 52 months/4.3 years). </w:t>
      </w:r>
      <w:r w:rsidR="008546CA" w:rsidRPr="007579E2">
        <w:t xml:space="preserve">The ESC </w:t>
      </w:r>
      <w:r w:rsidR="00987D74" w:rsidRPr="007579E2">
        <w:t>noted</w:t>
      </w:r>
      <w:r w:rsidR="008546CA" w:rsidRPr="007579E2">
        <w:t xml:space="preserve"> that a</w:t>
      </w:r>
      <w:r w:rsidRPr="007579E2">
        <w:t xml:space="preserve">lthough it may be reasonable to apply a time horizon of sufficient duration to capture differences in costs and health outcomes of scenarios with and without the availability of adjuvant </w:t>
      </w:r>
      <w:proofErr w:type="spellStart"/>
      <w:r w:rsidRPr="007579E2">
        <w:t>dabrafenib+trametinib</w:t>
      </w:r>
      <w:proofErr w:type="spellEnd"/>
      <w:r w:rsidRPr="007579E2">
        <w:t xml:space="preserve">, an incremental cost-effectiveness ratio (ICER) that is reliant on downstream costs and outcomes far beyond the follow-up duration of the clinical trial is inherently uncertain. </w:t>
      </w:r>
      <w:r w:rsidR="0090112D" w:rsidRPr="007579E2">
        <w:t>Given the extrapolations applied, t</w:t>
      </w:r>
      <w:r w:rsidRPr="007579E2">
        <w:t xml:space="preserve">he </w:t>
      </w:r>
      <w:r w:rsidR="0023686E">
        <w:rPr>
          <w:noProof/>
          <w:color w:val="000000"/>
          <w:highlight w:val="black"/>
        </w:rPr>
        <w:t>'''''</w:t>
      </w:r>
      <w:r w:rsidR="004227CA" w:rsidRPr="007579E2">
        <w:t>-</w:t>
      </w:r>
      <w:r w:rsidRPr="007579E2">
        <w:t xml:space="preserve">year time horizon favoured </w:t>
      </w:r>
      <w:proofErr w:type="spellStart"/>
      <w:r w:rsidRPr="007579E2">
        <w:t>dabrafenib+trametinib</w:t>
      </w:r>
      <w:proofErr w:type="spellEnd"/>
      <w:r w:rsidRPr="007579E2">
        <w:t>.</w:t>
      </w:r>
      <w:r w:rsidR="00DC3574" w:rsidRPr="007579E2">
        <w:t xml:space="preserve"> </w:t>
      </w:r>
    </w:p>
    <w:p w:rsidR="009C2104" w:rsidRPr="007579E2" w:rsidRDefault="00FD781A" w:rsidP="00061E01">
      <w:pPr>
        <w:pStyle w:val="ListParagraph"/>
        <w:widowControl/>
        <w:numPr>
          <w:ilvl w:val="1"/>
          <w:numId w:val="2"/>
        </w:numPr>
        <w:spacing w:before="120"/>
      </w:pPr>
      <w:r w:rsidRPr="007579E2">
        <w:t xml:space="preserve">The PSCR argued that the </w:t>
      </w:r>
      <w:r w:rsidR="0023686E">
        <w:rPr>
          <w:noProof/>
          <w:color w:val="000000"/>
          <w:highlight w:val="black"/>
        </w:rPr>
        <w:t>'''''</w:t>
      </w:r>
      <w:r w:rsidRPr="007579E2">
        <w:t xml:space="preserve"> year time horizon was clinically appropriate as treatment of all patients with Stage III melanoma following complete surgical resection is curative in intent, and thus a proportion of patients who are treated with either </w:t>
      </w:r>
      <w:proofErr w:type="spellStart"/>
      <w:r w:rsidRPr="007579E2">
        <w:t>dabrafenib+trametinib</w:t>
      </w:r>
      <w:proofErr w:type="spellEnd"/>
      <w:r w:rsidRPr="007579E2">
        <w:t xml:space="preserve"> or standard care will remain free of disease recurrence for the remainder of their lives. Furthermore, it argued that the ICER stabilises </w:t>
      </w:r>
      <w:r w:rsidRPr="00077A99">
        <w:t xml:space="preserve">around </w:t>
      </w:r>
      <w:r w:rsidR="0023686E">
        <w:rPr>
          <w:noProof/>
          <w:color w:val="000000"/>
          <w:highlight w:val="black"/>
        </w:rPr>
        <w:t xml:space="preserve">'''''' </w:t>
      </w:r>
      <w:r w:rsidRPr="007579E2">
        <w:t>years and remains reason</w:t>
      </w:r>
      <w:r w:rsidR="00205D3C" w:rsidRPr="007579E2">
        <w:t>ably constant and below $</w:t>
      </w:r>
      <w:r w:rsidR="004036DC">
        <w:t>15,000 to $45,000</w:t>
      </w:r>
      <w:r w:rsidR="00205D3C" w:rsidRPr="007579E2">
        <w:t xml:space="preserve"> per </w:t>
      </w:r>
      <w:r w:rsidRPr="007579E2">
        <w:t xml:space="preserve">QALY until the end of the </w:t>
      </w:r>
      <w:r w:rsidR="0023686E">
        <w:rPr>
          <w:noProof/>
          <w:color w:val="000000"/>
          <w:highlight w:val="black"/>
        </w:rPr>
        <w:t>''''''</w:t>
      </w:r>
      <w:r w:rsidRPr="007579E2">
        <w:t xml:space="preserve">-year time horizon, and that any bias favouring </w:t>
      </w:r>
      <w:proofErr w:type="spellStart"/>
      <w:r w:rsidRPr="007579E2">
        <w:t>dabrafenib+trametinib</w:t>
      </w:r>
      <w:proofErr w:type="spellEnd"/>
      <w:r w:rsidRPr="007579E2">
        <w:t xml:space="preserve"> is therefore minimal. The ESC </w:t>
      </w:r>
      <w:r w:rsidR="007E0218" w:rsidRPr="007579E2">
        <w:t xml:space="preserve">noted that approximately one-third of the total incremental </w:t>
      </w:r>
      <w:r w:rsidR="00522E3F" w:rsidRPr="006375B2">
        <w:t>LYs</w:t>
      </w:r>
      <w:r w:rsidR="007E0218" w:rsidRPr="006375B2">
        <w:t xml:space="preserve"> </w:t>
      </w:r>
      <w:r w:rsidR="006375B2" w:rsidRPr="006375B2">
        <w:t>(</w:t>
      </w:r>
      <w:r w:rsidR="0023686E">
        <w:rPr>
          <w:noProof/>
          <w:color w:val="000000"/>
          <w:highlight w:val="black"/>
        </w:rPr>
        <w:t>''''''''</w:t>
      </w:r>
      <w:r w:rsidR="006375B2" w:rsidRPr="006375B2">
        <w:t xml:space="preserve"> out of </w:t>
      </w:r>
      <w:r w:rsidR="0023686E">
        <w:rPr>
          <w:noProof/>
          <w:color w:val="000000"/>
          <w:highlight w:val="black"/>
        </w:rPr>
        <w:t>'''''''''</w:t>
      </w:r>
      <w:proofErr w:type="gramStart"/>
      <w:r w:rsidR="006375B2" w:rsidRPr="006375B2">
        <w:t xml:space="preserve">) </w:t>
      </w:r>
      <w:r w:rsidR="007E0218" w:rsidRPr="006375B2">
        <w:t xml:space="preserve"> and</w:t>
      </w:r>
      <w:proofErr w:type="gramEnd"/>
      <w:r w:rsidR="007E0218" w:rsidRPr="006375B2">
        <w:t xml:space="preserve"> </w:t>
      </w:r>
      <w:r w:rsidR="00522E3F" w:rsidRPr="006375B2">
        <w:t xml:space="preserve">QALYs </w:t>
      </w:r>
      <w:r w:rsidR="006375B2" w:rsidRPr="006375B2">
        <w:t>(</w:t>
      </w:r>
      <w:r w:rsidR="0023686E">
        <w:rPr>
          <w:noProof/>
          <w:color w:val="000000"/>
          <w:highlight w:val="black"/>
        </w:rPr>
        <w:t>'''''''''</w:t>
      </w:r>
      <w:r w:rsidR="006375B2" w:rsidRPr="006375B2">
        <w:t xml:space="preserve"> out of </w:t>
      </w:r>
      <w:r w:rsidR="0023686E">
        <w:rPr>
          <w:noProof/>
          <w:color w:val="000000"/>
          <w:highlight w:val="black"/>
        </w:rPr>
        <w:t>''''''''</w:t>
      </w:r>
      <w:r w:rsidR="006375B2" w:rsidRPr="006375B2">
        <w:t xml:space="preserve">) </w:t>
      </w:r>
      <w:r w:rsidR="00522E3F" w:rsidRPr="007579E2">
        <w:t xml:space="preserve">gained over the </w:t>
      </w:r>
      <w:r w:rsidR="0023686E">
        <w:rPr>
          <w:noProof/>
          <w:color w:val="000000"/>
          <w:highlight w:val="black"/>
        </w:rPr>
        <w:t>'''''</w:t>
      </w:r>
      <w:r w:rsidR="00522E3F" w:rsidRPr="007579E2">
        <w:t xml:space="preserve"> year time horizon were gained beyond </w:t>
      </w:r>
      <w:r w:rsidR="0023686E">
        <w:rPr>
          <w:noProof/>
          <w:color w:val="000000"/>
          <w:highlight w:val="black"/>
        </w:rPr>
        <w:t>'''''</w:t>
      </w:r>
      <w:r w:rsidR="00522E3F" w:rsidRPr="007579E2">
        <w:t xml:space="preserve"> </w:t>
      </w:r>
      <w:r w:rsidR="009C2104" w:rsidRPr="007579E2">
        <w:t>years</w:t>
      </w:r>
      <w:r w:rsidR="0090112D" w:rsidRPr="007579E2">
        <w:t>. The ESC further noted</w:t>
      </w:r>
      <w:r w:rsidR="00810F1B" w:rsidRPr="007579E2">
        <w:t xml:space="preserve"> that the ICER stabilises due to </w:t>
      </w:r>
      <w:r w:rsidR="0090112D" w:rsidRPr="007579E2">
        <w:t xml:space="preserve">the difference in RFS reducing overtime which resulted in reduced cost offsets </w:t>
      </w:r>
      <w:r w:rsidR="00810F1B" w:rsidRPr="007579E2">
        <w:t>for recurrence treatments</w:t>
      </w:r>
      <w:r w:rsidR="004579ED" w:rsidRPr="007579E2">
        <w:t>,</w:t>
      </w:r>
      <w:r w:rsidR="0090112D" w:rsidRPr="007579E2">
        <w:t xml:space="preserve"> i</w:t>
      </w:r>
      <w:r w:rsidR="004579ED" w:rsidRPr="007579E2">
        <w:t>.</w:t>
      </w:r>
      <w:r w:rsidR="0090112D" w:rsidRPr="007579E2">
        <w:t>e</w:t>
      </w:r>
      <w:r w:rsidR="004579ED" w:rsidRPr="007579E2">
        <w:t>.</w:t>
      </w:r>
      <w:r w:rsidR="0090112D" w:rsidRPr="007579E2">
        <w:t xml:space="preserve"> as the time horizon increases from </w:t>
      </w:r>
      <w:r w:rsidR="0023686E">
        <w:rPr>
          <w:noProof/>
          <w:color w:val="000000"/>
          <w:highlight w:val="black"/>
        </w:rPr>
        <w:t>''''''</w:t>
      </w:r>
      <w:r w:rsidR="0090112D" w:rsidRPr="007579E2">
        <w:t xml:space="preserve"> to </w:t>
      </w:r>
      <w:r w:rsidR="0023686E">
        <w:rPr>
          <w:noProof/>
          <w:color w:val="000000"/>
          <w:highlight w:val="black"/>
        </w:rPr>
        <w:t xml:space="preserve">''''' </w:t>
      </w:r>
      <w:r w:rsidR="0090112D" w:rsidRPr="007579E2">
        <w:t>years the incremental QALYs increase and the incremental costs decrease</w:t>
      </w:r>
      <w:r w:rsidR="009C2104" w:rsidRPr="007579E2">
        <w:t xml:space="preserve">. </w:t>
      </w:r>
      <w:r w:rsidR="008E11D4" w:rsidRPr="007579E2">
        <w:t>The PBAC</w:t>
      </w:r>
      <w:r w:rsidR="00205D3C" w:rsidRPr="007579E2">
        <w:t>, noting the immature OS trial data,</w:t>
      </w:r>
      <w:r w:rsidR="008E11D4" w:rsidRPr="007579E2">
        <w:t xml:space="preserve"> considered that a time horizon of </w:t>
      </w:r>
      <w:r w:rsidR="0023686E">
        <w:rPr>
          <w:noProof/>
          <w:color w:val="000000"/>
          <w:highlight w:val="black"/>
        </w:rPr>
        <w:t>'''''</w:t>
      </w:r>
      <w:r w:rsidR="008E11D4" w:rsidRPr="007579E2">
        <w:t xml:space="preserve"> years would be more reasonable.</w:t>
      </w:r>
    </w:p>
    <w:p w:rsidR="006A651C" w:rsidRPr="007579E2" w:rsidRDefault="009C2104" w:rsidP="00061E01">
      <w:pPr>
        <w:pStyle w:val="ListParagraph"/>
        <w:widowControl/>
        <w:numPr>
          <w:ilvl w:val="1"/>
          <w:numId w:val="2"/>
        </w:numPr>
        <w:spacing w:before="120"/>
      </w:pPr>
      <w:r w:rsidRPr="007579E2">
        <w:lastRenderedPageBreak/>
        <w:t>The</w:t>
      </w:r>
      <w:r w:rsidR="006A651C" w:rsidRPr="007579E2">
        <w:t xml:space="preserve"> daily dose reported in the COMBI-AD trial was used in calculating the drug cost for </w:t>
      </w:r>
      <w:proofErr w:type="spellStart"/>
      <w:r w:rsidR="006A651C" w:rsidRPr="007579E2">
        <w:t>dabrafenib+trametinib</w:t>
      </w:r>
      <w:proofErr w:type="spellEnd"/>
      <w:r w:rsidR="006A651C" w:rsidRPr="007579E2">
        <w:t xml:space="preserve"> in the model, without taking into account any drug wastage. With regard to the treatment duration, the submission assumed that patients would stay on adjuvant </w:t>
      </w:r>
      <w:proofErr w:type="spellStart"/>
      <w:r w:rsidR="006A651C" w:rsidRPr="007579E2">
        <w:t>dabrafenib+trametinib</w:t>
      </w:r>
      <w:proofErr w:type="spellEnd"/>
      <w:r w:rsidR="006A651C" w:rsidRPr="007579E2">
        <w:t xml:space="preserve"> therapy for 12 months or until disease progression. This resulted in an overestimation of the treatment duration and, thus, the drug acquisition costs. The RFS in Year 1 (</w:t>
      </w:r>
      <w:r w:rsidR="0023686E">
        <w:rPr>
          <w:noProof/>
          <w:color w:val="000000"/>
          <w:highlight w:val="black"/>
        </w:rPr>
        <w:t>''''''''</w:t>
      </w:r>
      <w:r w:rsidR="002F74EE" w:rsidRPr="007579E2">
        <w:t xml:space="preserve"> </w:t>
      </w:r>
      <w:r w:rsidR="006A651C" w:rsidRPr="007579E2">
        <w:t>months) was longer than the mean treatment duration reported by COMBI-AD (</w:t>
      </w:r>
      <w:r w:rsidR="002F74EE" w:rsidRPr="007579E2">
        <w:t>8.2-8.3 months</w:t>
      </w:r>
      <w:r w:rsidR="006A651C" w:rsidRPr="007579E2">
        <w:t>).</w:t>
      </w:r>
      <w:r w:rsidR="00810F1B" w:rsidRPr="007579E2">
        <w:t xml:space="preserve"> The ESC noted the shorter mean treatment duration reflected the relatively large proportion of patients who discontinued treatment due to an </w:t>
      </w:r>
      <w:r w:rsidR="00424E93" w:rsidRPr="007579E2">
        <w:t>adverse event</w:t>
      </w:r>
      <w:r w:rsidR="00810F1B" w:rsidRPr="007579E2">
        <w:t xml:space="preserve"> </w:t>
      </w:r>
      <w:r w:rsidR="00FE4CA1" w:rsidRPr="007579E2">
        <w:t>(26%).</w:t>
      </w:r>
    </w:p>
    <w:p w:rsidR="006A651C" w:rsidRPr="007579E2" w:rsidRDefault="006A651C" w:rsidP="00061E01">
      <w:pPr>
        <w:pStyle w:val="ListParagraph"/>
        <w:widowControl/>
        <w:numPr>
          <w:ilvl w:val="1"/>
          <w:numId w:val="2"/>
        </w:numPr>
        <w:spacing w:before="120"/>
      </w:pPr>
      <w:r w:rsidRPr="007579E2">
        <w:t xml:space="preserve">COMBI-AD data on subsequent anti-cancer treatments following disease progression were used in the economic evaluation. The treatment regimen and duration of therapy for post-recurrence treatments were sourced from 10% PBS sample analysis, product information and/or clinical practice guidelines. Overall, the pattern of use of post-recurrence therapies in the COMBI-AD trial appeared to reflect the assumed clinical practice (e.g. higher use of post-recurrence immunotherapy in the </w:t>
      </w:r>
      <w:proofErr w:type="spellStart"/>
      <w:r w:rsidRPr="007579E2">
        <w:t>dabrafenib+trametinib</w:t>
      </w:r>
      <w:proofErr w:type="spellEnd"/>
      <w:r w:rsidRPr="007579E2">
        <w:t xml:space="preserve"> arm and higher use of targeted therapy for treatment of </w:t>
      </w:r>
      <w:proofErr w:type="spellStart"/>
      <w:r w:rsidR="003532CB" w:rsidRPr="007579E2">
        <w:t>unresectable</w:t>
      </w:r>
      <w:proofErr w:type="spellEnd"/>
      <w:r w:rsidR="003532CB" w:rsidRPr="007579E2">
        <w:t xml:space="preserve"> or metastatic </w:t>
      </w:r>
      <w:r w:rsidRPr="007579E2">
        <w:t xml:space="preserve">melanoma in the comparator observation arm). </w:t>
      </w:r>
      <w:proofErr w:type="spellStart"/>
      <w:r w:rsidRPr="007579E2">
        <w:t>Pembrolizumab</w:t>
      </w:r>
      <w:proofErr w:type="spellEnd"/>
      <w:r w:rsidRPr="007579E2">
        <w:t xml:space="preserve">, </w:t>
      </w:r>
      <w:proofErr w:type="spellStart"/>
      <w:r w:rsidRPr="007579E2">
        <w:t>nivolumab</w:t>
      </w:r>
      <w:proofErr w:type="spellEnd"/>
      <w:r w:rsidR="004227CA" w:rsidRPr="007579E2">
        <w:t xml:space="preserve"> and</w:t>
      </w:r>
      <w:r w:rsidRPr="007579E2">
        <w:t xml:space="preserve"> </w:t>
      </w:r>
      <w:proofErr w:type="spellStart"/>
      <w:r w:rsidRPr="007579E2">
        <w:t>ipilimumab</w:t>
      </w:r>
      <w:proofErr w:type="spellEnd"/>
      <w:r w:rsidRPr="007579E2">
        <w:t xml:space="preserve"> in the </w:t>
      </w:r>
      <w:proofErr w:type="spellStart"/>
      <w:r w:rsidR="003532CB" w:rsidRPr="007579E2">
        <w:t>unresectable</w:t>
      </w:r>
      <w:proofErr w:type="spellEnd"/>
      <w:r w:rsidR="003532CB" w:rsidRPr="007579E2">
        <w:t xml:space="preserve"> or metastatic </w:t>
      </w:r>
      <w:r w:rsidRPr="007579E2">
        <w:t>setting are listed under SPA and/or Risk-Sharing Arrangement (RSA). The published prices, therefore, are unlikely to reflect effective pricing.</w:t>
      </w:r>
      <w:r w:rsidR="004227CA" w:rsidRPr="007579E2">
        <w:t xml:space="preserve"> </w:t>
      </w:r>
      <w:r w:rsidR="003920A8" w:rsidRPr="007579E2">
        <w:t>S</w:t>
      </w:r>
      <w:r w:rsidR="004227CA" w:rsidRPr="007579E2">
        <w:t xml:space="preserve">ensitivity analysis </w:t>
      </w:r>
      <w:r w:rsidR="003920A8" w:rsidRPr="007579E2">
        <w:t xml:space="preserve">presented in the submission </w:t>
      </w:r>
      <w:r w:rsidR="004227CA" w:rsidRPr="007579E2">
        <w:t xml:space="preserve">showed that the </w:t>
      </w:r>
      <w:r w:rsidR="00FD7B43" w:rsidRPr="007579E2">
        <w:t xml:space="preserve">base case ICER </w:t>
      </w:r>
      <w:r w:rsidR="004227CA" w:rsidRPr="007579E2">
        <w:t>was not sensitive to the cost of these medicines.</w:t>
      </w:r>
      <w:r w:rsidR="00FD7B43" w:rsidRPr="007579E2">
        <w:t xml:space="preserve"> The PBAC noted for scenarios in which the RFS and OS curves were converged that the ICER was moderately sensitive to cost of medicines for the treatment of recurrent disease. </w:t>
      </w:r>
    </w:p>
    <w:p w:rsidR="006A651C" w:rsidRPr="007579E2" w:rsidRDefault="006A651C" w:rsidP="00061E01">
      <w:pPr>
        <w:pStyle w:val="ListParagraph"/>
        <w:widowControl/>
        <w:numPr>
          <w:ilvl w:val="1"/>
          <w:numId w:val="2"/>
        </w:numPr>
        <w:spacing w:before="120"/>
      </w:pPr>
      <w:r w:rsidRPr="007579E2">
        <w:t>Utilities applied to the economic model were derived from COMBI-AD. As commented previously</w:t>
      </w:r>
      <w:r w:rsidR="003379B7" w:rsidRPr="007579E2">
        <w:t xml:space="preserve"> (</w:t>
      </w:r>
      <w:r w:rsidR="003379B7" w:rsidRPr="00D65F54">
        <w:t>see para</w:t>
      </w:r>
      <w:r w:rsidR="00F54249" w:rsidRPr="00D65F54">
        <w:t>grap</w:t>
      </w:r>
      <w:r w:rsidR="00477FE7" w:rsidRPr="00D65F54">
        <w:t>h</w:t>
      </w:r>
      <w:r w:rsidR="00D65F54" w:rsidRPr="00D65F54">
        <w:t xml:space="preserve"> </w:t>
      </w:r>
      <w:r w:rsidR="00D65F54" w:rsidRPr="0040483C">
        <w:t>6.27</w:t>
      </w:r>
      <w:r w:rsidR="004579ED" w:rsidRPr="00D65F54">
        <w:t>)</w:t>
      </w:r>
      <w:r w:rsidRPr="00D65F54">
        <w:t>,</w:t>
      </w:r>
      <w:r w:rsidRPr="007579E2">
        <w:t xml:space="preserve"> the disutility associated with treatment-related AEs might not be captured in the clinical trial given the late first post-treatment </w:t>
      </w:r>
      <w:proofErr w:type="spellStart"/>
      <w:r w:rsidRPr="007579E2">
        <w:t>QoL</w:t>
      </w:r>
      <w:proofErr w:type="spellEnd"/>
      <w:r w:rsidRPr="007579E2">
        <w:t xml:space="preserve"> assessment (Month 3). This, however, was unlikely to have a </w:t>
      </w:r>
      <w:r w:rsidRPr="002F74EE">
        <w:t xml:space="preserve">large impact on the ICER due to the short on-treatment period versus the overall model time horizon (&lt; 1 year versus </w:t>
      </w:r>
      <w:r w:rsidR="0023686E">
        <w:rPr>
          <w:noProof/>
          <w:color w:val="000000"/>
          <w:highlight w:val="black"/>
        </w:rPr>
        <w:t>''''''</w:t>
      </w:r>
      <w:r w:rsidRPr="002F74EE">
        <w:t xml:space="preserve"> years). The utility weight of the recurrent disease state (</w:t>
      </w:r>
      <w:r w:rsidR="0023686E">
        <w:rPr>
          <w:noProof/>
          <w:color w:val="000000"/>
          <w:highlight w:val="black"/>
        </w:rPr>
        <w:t>''''''''''</w:t>
      </w:r>
      <w:r w:rsidR="002F74EE" w:rsidRPr="002F74EE">
        <w:t>-</w:t>
      </w:r>
      <w:r w:rsidR="0023686E">
        <w:rPr>
          <w:noProof/>
          <w:color w:val="000000"/>
          <w:highlight w:val="black"/>
        </w:rPr>
        <w:t>'''''''''''</w:t>
      </w:r>
      <w:r w:rsidRPr="002F74EE">
        <w:t xml:space="preserve">) was an apparent overestimate, based on the utility values reported in other relevant economic evaluations. This overestimate favoured the observation arm, because of the longer duration of recurrent disease for patients in the observation arm and the slightly higher utility value for these patients compared with patients in the </w:t>
      </w:r>
      <w:proofErr w:type="spellStart"/>
      <w:r w:rsidRPr="002F74EE">
        <w:t>dabrafenib+trametinib</w:t>
      </w:r>
      <w:proofErr w:type="spellEnd"/>
      <w:r w:rsidRPr="002F74EE">
        <w:t xml:space="preserve"> group (</w:t>
      </w:r>
      <w:r w:rsidR="0023686E">
        <w:rPr>
          <w:noProof/>
          <w:color w:val="000000"/>
          <w:highlight w:val="black"/>
        </w:rPr>
        <w:t>'''''''''''</w:t>
      </w:r>
      <w:r w:rsidRPr="002F74EE">
        <w:t xml:space="preserve"> vs </w:t>
      </w:r>
      <w:r w:rsidR="0023686E">
        <w:rPr>
          <w:noProof/>
          <w:color w:val="000000"/>
          <w:highlight w:val="black"/>
        </w:rPr>
        <w:t>''''''''''''</w:t>
      </w:r>
      <w:r w:rsidRPr="002F74EE">
        <w:t xml:space="preserve">). </w:t>
      </w:r>
      <w:r w:rsidR="003802BD" w:rsidRPr="002F74EE">
        <w:t>Moreover, given the dropout rate for</w:t>
      </w:r>
      <w:r w:rsidR="00AF22F1" w:rsidRPr="002F74EE">
        <w:t xml:space="preserve"> the</w:t>
      </w:r>
      <w:r w:rsidR="003802BD" w:rsidRPr="002F74EE">
        <w:t xml:space="preserve"> </w:t>
      </w:r>
      <w:r w:rsidR="00AF22F1" w:rsidRPr="002F74EE">
        <w:t xml:space="preserve">collection of </w:t>
      </w:r>
      <w:proofErr w:type="spellStart"/>
      <w:r w:rsidR="00AF22F1" w:rsidRPr="002F74EE">
        <w:t>QoL</w:t>
      </w:r>
      <w:proofErr w:type="spellEnd"/>
      <w:r w:rsidR="00AF22F1" w:rsidRPr="002F74EE">
        <w:t xml:space="preserve"> measures </w:t>
      </w:r>
      <w:r w:rsidR="003802BD" w:rsidRPr="002F74EE">
        <w:t xml:space="preserve">as reported in Table </w:t>
      </w:r>
      <w:r w:rsidR="00337937" w:rsidRPr="002F74EE">
        <w:t>9</w:t>
      </w:r>
      <w:r w:rsidR="003802BD" w:rsidRPr="002F74EE">
        <w:t>, it was unclear what numbe</w:t>
      </w:r>
      <w:r w:rsidR="003802BD" w:rsidRPr="007579E2">
        <w:t xml:space="preserve">r of patients </w:t>
      </w:r>
      <w:r w:rsidR="00AF22F1" w:rsidRPr="007579E2">
        <w:t xml:space="preserve">had </w:t>
      </w:r>
      <w:r w:rsidR="003802BD" w:rsidRPr="007579E2">
        <w:t xml:space="preserve">informed the utility values used in the model for the recurrent disease states. </w:t>
      </w:r>
      <w:r w:rsidR="00FD7B43" w:rsidRPr="007579E2">
        <w:t xml:space="preserve">Sensitivity analyses presented in the submission showed that the base case ICER </w:t>
      </w:r>
      <w:r w:rsidRPr="007579E2">
        <w:t xml:space="preserve">was not sensitive to the change in the utility input. </w:t>
      </w:r>
      <w:r w:rsidR="00FD7B43" w:rsidRPr="007579E2">
        <w:t xml:space="preserve">The PBAC noted for scenarios in which the RFS and OS curves were converged that the ICER was moderately sensitive to the utility inputs. </w:t>
      </w:r>
      <w:r w:rsidR="007E07C0" w:rsidRPr="007579E2">
        <w:t>Overall</w:t>
      </w:r>
      <w:r w:rsidR="00205D3C" w:rsidRPr="007579E2">
        <w:t>,</w:t>
      </w:r>
      <w:r w:rsidR="007E07C0" w:rsidRPr="007579E2">
        <w:t xml:space="preserve"> the ESC considered the utility values used in the model were conservative.</w:t>
      </w:r>
      <w:r w:rsidR="00A124DB" w:rsidRPr="007579E2">
        <w:t xml:space="preserve"> The PBAC noted the small utility gains assumed for avoiding recurrence and considered that these were likely underestimated in the model.</w:t>
      </w:r>
    </w:p>
    <w:p w:rsidR="006A651C" w:rsidRPr="007579E2" w:rsidRDefault="006A651C" w:rsidP="00061E01">
      <w:pPr>
        <w:pStyle w:val="ListParagraph"/>
        <w:widowControl/>
        <w:numPr>
          <w:ilvl w:val="1"/>
          <w:numId w:val="2"/>
        </w:numPr>
        <w:spacing w:before="120"/>
      </w:pPr>
      <w:r w:rsidRPr="007579E2">
        <w:lastRenderedPageBreak/>
        <w:t>The results of the economic model are summarised in Table 1</w:t>
      </w:r>
      <w:r w:rsidR="00DF4C14" w:rsidRPr="007579E2">
        <w:t>6</w:t>
      </w:r>
      <w:r w:rsidRPr="007579E2">
        <w:t>.</w:t>
      </w:r>
      <w:r w:rsidR="000E2797" w:rsidRPr="007579E2">
        <w:t xml:space="preserve"> The pre-PBAC response provided an updated base case analysis to address the uncertainty associated with the assumption of continued benefit </w:t>
      </w:r>
      <w:r w:rsidR="00205D3C" w:rsidRPr="007579E2">
        <w:t xml:space="preserve">of </w:t>
      </w:r>
      <w:proofErr w:type="spellStart"/>
      <w:r w:rsidR="00205D3C" w:rsidRPr="007579E2">
        <w:t>dabrafenib+trametinib</w:t>
      </w:r>
      <w:proofErr w:type="spellEnd"/>
      <w:r w:rsidR="00205D3C" w:rsidRPr="007579E2">
        <w:t xml:space="preserve"> </w:t>
      </w:r>
      <w:r w:rsidR="000E2797" w:rsidRPr="007579E2">
        <w:t>beyond the time horizon of COMBI-AD and other issues identified by ESC. The model was revised by:</w:t>
      </w:r>
    </w:p>
    <w:p w:rsidR="000E2797" w:rsidRPr="007579E2" w:rsidRDefault="00205D3C" w:rsidP="00061E01">
      <w:pPr>
        <w:pStyle w:val="ListParagraph"/>
        <w:widowControl/>
        <w:numPr>
          <w:ilvl w:val="0"/>
          <w:numId w:val="41"/>
        </w:numPr>
        <w:spacing w:before="120"/>
        <w:ind w:left="1077" w:hanging="357"/>
      </w:pPr>
      <w:r w:rsidRPr="007579E2">
        <w:t xml:space="preserve">Converging the </w:t>
      </w:r>
      <w:r w:rsidR="000E2797" w:rsidRPr="007579E2">
        <w:t xml:space="preserve">RFS and OS curves </w:t>
      </w:r>
      <w:r w:rsidRPr="00077A99">
        <w:t xml:space="preserve">from </w:t>
      </w:r>
      <w:r w:rsidR="0023686E">
        <w:rPr>
          <w:noProof/>
          <w:color w:val="000000"/>
          <w:highlight w:val="black"/>
        </w:rPr>
        <w:t xml:space="preserve">''' </w:t>
      </w:r>
      <w:r w:rsidR="000052A1" w:rsidRPr="00077A99">
        <w:t xml:space="preserve">to </w:t>
      </w:r>
      <w:r w:rsidR="0023686E">
        <w:rPr>
          <w:noProof/>
          <w:color w:val="000000"/>
          <w:highlight w:val="black"/>
        </w:rPr>
        <w:t>'''''</w:t>
      </w:r>
      <w:r w:rsidR="000052A1" w:rsidRPr="00077A99">
        <w:t xml:space="preserve"> years</w:t>
      </w:r>
      <w:r w:rsidR="000E2797" w:rsidRPr="00077A99">
        <w:t>;</w:t>
      </w:r>
    </w:p>
    <w:p w:rsidR="000E2797" w:rsidRPr="007579E2" w:rsidRDefault="000E2797" w:rsidP="00061E01">
      <w:pPr>
        <w:pStyle w:val="ListParagraph"/>
        <w:widowControl/>
        <w:numPr>
          <w:ilvl w:val="0"/>
          <w:numId w:val="41"/>
        </w:numPr>
        <w:spacing w:before="120"/>
        <w:ind w:left="1077" w:hanging="357"/>
      </w:pPr>
      <w:r w:rsidRPr="007579E2">
        <w:t xml:space="preserve">Using the dose regimen for </w:t>
      </w:r>
      <w:proofErr w:type="spellStart"/>
      <w:r w:rsidRPr="007579E2">
        <w:t>dabrafenib+trametinib</w:t>
      </w:r>
      <w:proofErr w:type="spellEnd"/>
      <w:r w:rsidRPr="007579E2">
        <w:t xml:space="preserve"> recommended in the Product Information and the mean duration of treatment from the COMBI-AD trial; and</w:t>
      </w:r>
    </w:p>
    <w:p w:rsidR="000E2797" w:rsidRPr="007579E2" w:rsidRDefault="000E2797" w:rsidP="00061E01">
      <w:pPr>
        <w:pStyle w:val="ListParagraph"/>
        <w:widowControl/>
        <w:numPr>
          <w:ilvl w:val="0"/>
          <w:numId w:val="41"/>
        </w:numPr>
        <w:spacing w:before="120"/>
        <w:ind w:left="1077" w:hanging="357"/>
      </w:pPr>
      <w:r w:rsidRPr="007579E2">
        <w:t>Reducing the proposed price</w:t>
      </w:r>
      <w:r w:rsidR="00FD7B43" w:rsidRPr="007579E2">
        <w:t xml:space="preserve"> (at the ex-manufacturer level)</w:t>
      </w:r>
      <w:r w:rsidRPr="007579E2">
        <w:t xml:space="preserve"> for </w:t>
      </w:r>
      <w:proofErr w:type="spellStart"/>
      <w:r w:rsidRPr="007579E2">
        <w:t>dabrafenib</w:t>
      </w:r>
      <w:proofErr w:type="spellEnd"/>
      <w:r w:rsidRPr="007579E2">
        <w:t xml:space="preserve"> and </w:t>
      </w:r>
      <w:proofErr w:type="spellStart"/>
      <w:r w:rsidRPr="007579E2">
        <w:t>trametinib</w:t>
      </w:r>
      <w:proofErr w:type="spellEnd"/>
      <w:r w:rsidRPr="007579E2">
        <w:t xml:space="preserve"> by </w:t>
      </w:r>
      <w:r w:rsidR="0023686E">
        <w:rPr>
          <w:noProof/>
          <w:color w:val="000000"/>
          <w:highlight w:val="black"/>
        </w:rPr>
        <w:t>'''''</w:t>
      </w:r>
      <w:r w:rsidRPr="007579E2">
        <w:t>%.</w:t>
      </w:r>
    </w:p>
    <w:p w:rsidR="006A651C" w:rsidRPr="007579E2" w:rsidRDefault="000052A1" w:rsidP="007E6F21">
      <w:pPr>
        <w:keepNext/>
        <w:widowControl/>
      </w:pPr>
      <w:bookmarkStart w:id="19" w:name="_Ref531180274"/>
      <w:r w:rsidRPr="007579E2">
        <w:rPr>
          <w:rStyle w:val="CommentReference"/>
        </w:rPr>
        <w:t xml:space="preserve">Table </w:t>
      </w:r>
      <w:bookmarkEnd w:id="19"/>
      <w:r w:rsidRPr="007579E2">
        <w:rPr>
          <w:rStyle w:val="CommentReference"/>
        </w:rPr>
        <w:t>16:</w:t>
      </w:r>
      <w:r w:rsidRPr="007579E2">
        <w:t xml:space="preserve"> </w:t>
      </w:r>
      <w:r w:rsidRPr="007579E2">
        <w:rPr>
          <w:rStyle w:val="CommentReference"/>
        </w:rPr>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6: Results of the stepped economic evaluation"/>
      </w:tblPr>
      <w:tblGrid>
        <w:gridCol w:w="2255"/>
        <w:gridCol w:w="2254"/>
        <w:gridCol w:w="2254"/>
        <w:gridCol w:w="2254"/>
      </w:tblGrid>
      <w:tr w:rsidR="006A651C" w:rsidRPr="007579E2" w:rsidTr="00645204">
        <w:trPr>
          <w:tblHeader/>
        </w:trPr>
        <w:tc>
          <w:tcPr>
            <w:tcW w:w="1250" w:type="pct"/>
            <w:vAlign w:val="center"/>
          </w:tcPr>
          <w:p w:rsidR="006A651C" w:rsidRPr="007579E2" w:rsidRDefault="006A651C" w:rsidP="007E6F21">
            <w:pPr>
              <w:pStyle w:val="Tabletext"/>
              <w:keepNext/>
              <w:rPr>
                <w:b/>
              </w:rPr>
            </w:pPr>
            <w:r w:rsidRPr="007579E2">
              <w:rPr>
                <w:b/>
              </w:rPr>
              <w:t xml:space="preserve">Step </w:t>
            </w:r>
          </w:p>
        </w:tc>
        <w:tc>
          <w:tcPr>
            <w:tcW w:w="1250" w:type="pct"/>
            <w:vAlign w:val="center"/>
          </w:tcPr>
          <w:p w:rsidR="006A651C" w:rsidRPr="007579E2" w:rsidRDefault="006A651C" w:rsidP="007E6F21">
            <w:pPr>
              <w:pStyle w:val="Tabletext"/>
              <w:keepNext/>
              <w:jc w:val="center"/>
              <w:rPr>
                <w:b/>
              </w:rPr>
            </w:pPr>
            <w:proofErr w:type="spellStart"/>
            <w:r w:rsidRPr="007579E2">
              <w:rPr>
                <w:b/>
              </w:rPr>
              <w:t>Dabrafenib+trametinib</w:t>
            </w:r>
            <w:proofErr w:type="spellEnd"/>
          </w:p>
        </w:tc>
        <w:tc>
          <w:tcPr>
            <w:tcW w:w="1250" w:type="pct"/>
            <w:vAlign w:val="center"/>
          </w:tcPr>
          <w:p w:rsidR="006A651C" w:rsidRPr="007579E2" w:rsidRDefault="006A651C" w:rsidP="007E6F21">
            <w:pPr>
              <w:pStyle w:val="Tabletext"/>
              <w:keepNext/>
              <w:jc w:val="center"/>
              <w:rPr>
                <w:b/>
              </w:rPr>
            </w:pPr>
            <w:r w:rsidRPr="007579E2">
              <w:rPr>
                <w:b/>
              </w:rPr>
              <w:t>Observation</w:t>
            </w:r>
          </w:p>
        </w:tc>
        <w:tc>
          <w:tcPr>
            <w:tcW w:w="1250" w:type="pct"/>
            <w:vAlign w:val="center"/>
          </w:tcPr>
          <w:p w:rsidR="006A651C" w:rsidRPr="007579E2" w:rsidRDefault="006A651C" w:rsidP="007E6F21">
            <w:pPr>
              <w:pStyle w:val="Tabletext"/>
              <w:keepNext/>
              <w:jc w:val="center"/>
              <w:rPr>
                <w:b/>
              </w:rPr>
            </w:pPr>
            <w:r w:rsidRPr="007579E2">
              <w:rPr>
                <w:b/>
              </w:rPr>
              <w:t>Increment</w:t>
            </w:r>
          </w:p>
        </w:tc>
      </w:tr>
      <w:tr w:rsidR="006A651C" w:rsidRPr="007579E2" w:rsidTr="00645204">
        <w:tc>
          <w:tcPr>
            <w:tcW w:w="5000" w:type="pct"/>
            <w:gridSpan w:val="4"/>
            <w:vAlign w:val="center"/>
          </w:tcPr>
          <w:p w:rsidR="006A651C" w:rsidRPr="007579E2" w:rsidRDefault="006A651C" w:rsidP="007E6F21">
            <w:pPr>
              <w:pStyle w:val="Tabletext"/>
              <w:keepNext/>
              <w:rPr>
                <w:b/>
                <w:snapToGrid w:val="0"/>
              </w:rPr>
            </w:pPr>
            <w:r w:rsidRPr="007579E2">
              <w:rPr>
                <w:b/>
                <w:snapToGrid w:val="0"/>
              </w:rPr>
              <w:t>Step 1: trial-based, time horizon of 52 months, cost for adjuvant therapy only</w:t>
            </w:r>
          </w:p>
        </w:tc>
      </w:tr>
      <w:tr w:rsidR="006A651C" w:rsidRPr="007579E2" w:rsidTr="00645204">
        <w:tc>
          <w:tcPr>
            <w:tcW w:w="1250" w:type="pct"/>
            <w:vAlign w:val="center"/>
          </w:tcPr>
          <w:p w:rsidR="006A651C" w:rsidRPr="007579E2" w:rsidRDefault="006A651C" w:rsidP="007E6F21">
            <w:pPr>
              <w:pStyle w:val="Tabletext"/>
              <w:keepNext/>
              <w:rPr>
                <w:rFonts w:ascii="Times" w:hAnsi="Times"/>
              </w:rPr>
            </w:pPr>
            <w:r w:rsidRPr="007579E2">
              <w:t>Costs</w:t>
            </w:r>
          </w:p>
        </w:tc>
        <w:tc>
          <w:tcPr>
            <w:tcW w:w="1250" w:type="pct"/>
          </w:tcPr>
          <w:p w:rsidR="006A651C" w:rsidRPr="007579E2" w:rsidRDefault="006A651C" w:rsidP="007E6F21">
            <w:pPr>
              <w:pStyle w:val="Tabletext"/>
              <w:keepNext/>
              <w:jc w:val="center"/>
              <w:rPr>
                <w:rFonts w:ascii="Times" w:hAnsi="Times"/>
              </w:rPr>
            </w:pPr>
            <w:r w:rsidRPr="007579E2">
              <w:t>$</w:t>
            </w:r>
            <w:r w:rsidR="0023686E">
              <w:rPr>
                <w:noProof/>
                <w:color w:val="000000"/>
                <w:highlight w:val="black"/>
              </w:rPr>
              <w:t>''''''''''''''''''</w:t>
            </w:r>
          </w:p>
        </w:tc>
        <w:tc>
          <w:tcPr>
            <w:tcW w:w="1250" w:type="pct"/>
          </w:tcPr>
          <w:p w:rsidR="006A651C" w:rsidRPr="007579E2" w:rsidRDefault="006A651C" w:rsidP="007E6F21">
            <w:pPr>
              <w:pStyle w:val="Tabletext"/>
              <w:keepNext/>
              <w:jc w:val="center"/>
              <w:rPr>
                <w:rFonts w:ascii="Times" w:hAnsi="Times"/>
              </w:rPr>
            </w:pPr>
            <w:r w:rsidRPr="007579E2">
              <w:t>$</w:t>
            </w:r>
            <w:r w:rsidR="0023686E">
              <w:rPr>
                <w:noProof/>
                <w:color w:val="000000"/>
                <w:highlight w:val="black"/>
              </w:rPr>
              <w:t>''''</w:t>
            </w:r>
          </w:p>
        </w:tc>
        <w:tc>
          <w:tcPr>
            <w:tcW w:w="1250" w:type="pct"/>
          </w:tcPr>
          <w:p w:rsidR="006A651C" w:rsidRPr="007579E2" w:rsidRDefault="006A651C" w:rsidP="007E6F21">
            <w:pPr>
              <w:pStyle w:val="Tabletext"/>
              <w:keepNext/>
              <w:jc w:val="center"/>
              <w:rPr>
                <w:rFonts w:ascii="Times" w:hAnsi="Times"/>
              </w:rPr>
            </w:pPr>
            <w:r w:rsidRPr="007579E2">
              <w:t>$</w:t>
            </w:r>
            <w:r w:rsidR="0023686E">
              <w:rPr>
                <w:noProof/>
                <w:color w:val="000000"/>
                <w:highlight w:val="black"/>
              </w:rPr>
              <w:t>'''''''''''''''''</w:t>
            </w:r>
          </w:p>
        </w:tc>
      </w:tr>
      <w:tr w:rsidR="006A651C" w:rsidRPr="007579E2" w:rsidTr="00645204">
        <w:tc>
          <w:tcPr>
            <w:tcW w:w="1250" w:type="pct"/>
            <w:vAlign w:val="center"/>
          </w:tcPr>
          <w:p w:rsidR="006A651C" w:rsidRPr="007579E2" w:rsidRDefault="006A651C" w:rsidP="007E6F21">
            <w:pPr>
              <w:pStyle w:val="Tabletext"/>
              <w:keepNext/>
              <w:rPr>
                <w:rFonts w:ascii="Times" w:hAnsi="Times"/>
              </w:rPr>
            </w:pPr>
            <w:r w:rsidRPr="007579E2">
              <w:t>LYs gained</w:t>
            </w:r>
          </w:p>
        </w:tc>
        <w:tc>
          <w:tcPr>
            <w:tcW w:w="1250" w:type="pct"/>
          </w:tcPr>
          <w:p w:rsidR="006A651C" w:rsidRPr="0023686E" w:rsidRDefault="0023686E" w:rsidP="007E6F21">
            <w:pPr>
              <w:pStyle w:val="Tabletext"/>
              <w:keepNext/>
              <w:jc w:val="center"/>
              <w:rPr>
                <w:rFonts w:ascii="Times" w:hAnsi="Times"/>
                <w:highlight w:val="black"/>
              </w:rPr>
            </w:pPr>
            <w:r>
              <w:rPr>
                <w:noProof/>
                <w:color w:val="000000"/>
                <w:highlight w:val="black"/>
              </w:rPr>
              <w:t>'''''''''''</w:t>
            </w:r>
          </w:p>
        </w:tc>
        <w:tc>
          <w:tcPr>
            <w:tcW w:w="1250" w:type="pct"/>
          </w:tcPr>
          <w:p w:rsidR="006A651C" w:rsidRPr="0023686E" w:rsidRDefault="0023686E" w:rsidP="007E6F21">
            <w:pPr>
              <w:pStyle w:val="Tabletext"/>
              <w:keepNext/>
              <w:jc w:val="center"/>
              <w:rPr>
                <w:rFonts w:ascii="Times" w:hAnsi="Times"/>
                <w:highlight w:val="black"/>
              </w:rPr>
            </w:pPr>
            <w:r>
              <w:rPr>
                <w:noProof/>
                <w:color w:val="000000"/>
                <w:highlight w:val="black"/>
              </w:rPr>
              <w:t>'''''''''''</w:t>
            </w:r>
          </w:p>
        </w:tc>
        <w:tc>
          <w:tcPr>
            <w:tcW w:w="1250" w:type="pct"/>
          </w:tcPr>
          <w:p w:rsidR="006A651C" w:rsidRPr="0023686E" w:rsidRDefault="0023686E" w:rsidP="007E6F21">
            <w:pPr>
              <w:pStyle w:val="Tabletext"/>
              <w:keepNext/>
              <w:jc w:val="center"/>
              <w:rPr>
                <w:highlight w:val="black"/>
              </w:rPr>
            </w:pPr>
            <w:r>
              <w:rPr>
                <w:noProof/>
                <w:color w:val="000000"/>
                <w:highlight w:val="black"/>
              </w:rPr>
              <w:t>''''''''''</w:t>
            </w:r>
          </w:p>
        </w:tc>
      </w:tr>
      <w:tr w:rsidR="006A651C" w:rsidRPr="007579E2" w:rsidTr="00645204">
        <w:tc>
          <w:tcPr>
            <w:tcW w:w="3750" w:type="pct"/>
            <w:gridSpan w:val="3"/>
            <w:vAlign w:val="center"/>
          </w:tcPr>
          <w:p w:rsidR="006A651C" w:rsidRPr="007579E2" w:rsidRDefault="006A651C" w:rsidP="007E6F21">
            <w:pPr>
              <w:pStyle w:val="Tabletext"/>
              <w:keepNext/>
              <w:rPr>
                <w:rFonts w:ascii="Times" w:hAnsi="Times"/>
                <w:snapToGrid w:val="0"/>
              </w:rPr>
            </w:pPr>
            <w:r w:rsidRPr="007579E2">
              <w:t>Incremental cost/extra LY gained</w:t>
            </w:r>
          </w:p>
        </w:tc>
        <w:tc>
          <w:tcPr>
            <w:tcW w:w="1250" w:type="pct"/>
            <w:vAlign w:val="center"/>
          </w:tcPr>
          <w:p w:rsidR="006A651C" w:rsidRPr="007579E2" w:rsidRDefault="006A651C" w:rsidP="007E6F21">
            <w:pPr>
              <w:pStyle w:val="Tabletext"/>
              <w:keepNext/>
              <w:jc w:val="center"/>
              <w:rPr>
                <w:rFonts w:ascii="Times" w:hAnsi="Times"/>
              </w:rPr>
            </w:pPr>
            <w:r w:rsidRPr="007579E2">
              <w:t>$</w:t>
            </w:r>
            <w:r w:rsidR="0023686E">
              <w:rPr>
                <w:noProof/>
                <w:color w:val="000000"/>
                <w:highlight w:val="black"/>
              </w:rPr>
              <w:t>''''''''''''''''''''</w:t>
            </w:r>
          </w:p>
        </w:tc>
      </w:tr>
      <w:tr w:rsidR="006A651C" w:rsidRPr="007579E2" w:rsidTr="00645204">
        <w:tc>
          <w:tcPr>
            <w:tcW w:w="5000" w:type="pct"/>
            <w:gridSpan w:val="4"/>
            <w:vAlign w:val="center"/>
          </w:tcPr>
          <w:p w:rsidR="006A651C" w:rsidRPr="007579E2" w:rsidRDefault="006A651C" w:rsidP="007E6F21">
            <w:pPr>
              <w:pStyle w:val="Tabletext"/>
              <w:keepNext/>
              <w:rPr>
                <w:b/>
                <w:snapToGrid w:val="0"/>
              </w:rPr>
            </w:pPr>
            <w:r w:rsidRPr="007579E2">
              <w:rPr>
                <w:b/>
                <w:snapToGrid w:val="0"/>
              </w:rPr>
              <w:t xml:space="preserve">Step 2: </w:t>
            </w:r>
            <w:r w:rsidRPr="007579E2">
              <w:rPr>
                <w:b/>
              </w:rPr>
              <w:t xml:space="preserve">extrapolation of model </w:t>
            </w:r>
            <w:r w:rsidRPr="000052A1">
              <w:rPr>
                <w:b/>
              </w:rPr>
              <w:t xml:space="preserve">duration to </w:t>
            </w:r>
            <w:r w:rsidR="0023686E">
              <w:rPr>
                <w:b/>
                <w:noProof/>
                <w:color w:val="000000"/>
                <w:highlight w:val="black"/>
              </w:rPr>
              <w:t>''''''</w:t>
            </w:r>
            <w:r w:rsidRPr="000052A1">
              <w:rPr>
                <w:b/>
              </w:rPr>
              <w:t xml:space="preserve"> years</w:t>
            </w:r>
          </w:p>
        </w:tc>
      </w:tr>
      <w:tr w:rsidR="006A651C" w:rsidRPr="007579E2" w:rsidTr="00645204">
        <w:tc>
          <w:tcPr>
            <w:tcW w:w="1250" w:type="pct"/>
            <w:vAlign w:val="center"/>
          </w:tcPr>
          <w:p w:rsidR="006A651C" w:rsidRPr="007579E2" w:rsidRDefault="006A651C" w:rsidP="007E6F21">
            <w:pPr>
              <w:pStyle w:val="Tabletext"/>
              <w:keepNext/>
              <w:rPr>
                <w:rFonts w:ascii="Times" w:hAnsi="Times"/>
              </w:rPr>
            </w:pPr>
            <w:r w:rsidRPr="007579E2">
              <w:t>Costs</w:t>
            </w:r>
          </w:p>
        </w:tc>
        <w:tc>
          <w:tcPr>
            <w:tcW w:w="1250" w:type="pct"/>
          </w:tcPr>
          <w:p w:rsidR="006A651C" w:rsidRPr="007579E2" w:rsidRDefault="006A651C" w:rsidP="007E6F21">
            <w:pPr>
              <w:pStyle w:val="Tabletext"/>
              <w:keepNext/>
              <w:jc w:val="center"/>
              <w:rPr>
                <w:rFonts w:ascii="Times" w:hAnsi="Times"/>
              </w:rPr>
            </w:pPr>
            <w:r w:rsidRPr="007579E2">
              <w:t>$</w:t>
            </w:r>
            <w:r w:rsidR="0023686E">
              <w:rPr>
                <w:noProof/>
                <w:color w:val="000000"/>
                <w:highlight w:val="black"/>
              </w:rPr>
              <w:t>''''''''''''''''''</w:t>
            </w:r>
          </w:p>
        </w:tc>
        <w:tc>
          <w:tcPr>
            <w:tcW w:w="1250" w:type="pct"/>
          </w:tcPr>
          <w:p w:rsidR="006A651C" w:rsidRPr="007579E2" w:rsidRDefault="006A651C" w:rsidP="007E6F21">
            <w:pPr>
              <w:pStyle w:val="Tabletext"/>
              <w:keepNext/>
              <w:jc w:val="center"/>
              <w:rPr>
                <w:rFonts w:ascii="Times" w:hAnsi="Times"/>
              </w:rPr>
            </w:pPr>
            <w:r w:rsidRPr="007579E2">
              <w:t>$</w:t>
            </w:r>
            <w:r w:rsidR="0023686E">
              <w:rPr>
                <w:noProof/>
                <w:color w:val="000000"/>
                <w:highlight w:val="black"/>
              </w:rPr>
              <w:t>'''</w:t>
            </w:r>
          </w:p>
        </w:tc>
        <w:tc>
          <w:tcPr>
            <w:tcW w:w="1250" w:type="pct"/>
          </w:tcPr>
          <w:p w:rsidR="006A651C" w:rsidRPr="007579E2" w:rsidRDefault="006A651C" w:rsidP="007E6F21">
            <w:pPr>
              <w:pStyle w:val="Tabletext"/>
              <w:keepNext/>
              <w:jc w:val="center"/>
              <w:rPr>
                <w:rFonts w:ascii="Times" w:hAnsi="Times"/>
              </w:rPr>
            </w:pPr>
            <w:r w:rsidRPr="007579E2">
              <w:t>$</w:t>
            </w:r>
            <w:r w:rsidR="0023686E">
              <w:rPr>
                <w:noProof/>
                <w:color w:val="000000"/>
                <w:highlight w:val="black"/>
              </w:rPr>
              <w:t>''''''''''''''''</w:t>
            </w:r>
          </w:p>
        </w:tc>
      </w:tr>
      <w:tr w:rsidR="006A651C" w:rsidRPr="007579E2" w:rsidTr="00645204">
        <w:tc>
          <w:tcPr>
            <w:tcW w:w="1250" w:type="pct"/>
            <w:vAlign w:val="center"/>
          </w:tcPr>
          <w:p w:rsidR="006A651C" w:rsidRPr="007579E2" w:rsidRDefault="006A651C" w:rsidP="007E6F21">
            <w:pPr>
              <w:pStyle w:val="Tabletext"/>
              <w:keepNext/>
              <w:rPr>
                <w:rFonts w:ascii="Times" w:hAnsi="Times"/>
              </w:rPr>
            </w:pPr>
            <w:r w:rsidRPr="007579E2">
              <w:t>LYs gained</w:t>
            </w:r>
          </w:p>
        </w:tc>
        <w:tc>
          <w:tcPr>
            <w:tcW w:w="1250" w:type="pct"/>
          </w:tcPr>
          <w:p w:rsidR="006A651C" w:rsidRPr="0023686E" w:rsidRDefault="0023686E" w:rsidP="007E6F21">
            <w:pPr>
              <w:pStyle w:val="Tabletext"/>
              <w:keepNext/>
              <w:jc w:val="center"/>
              <w:rPr>
                <w:rFonts w:ascii="Times" w:hAnsi="Times"/>
                <w:highlight w:val="black"/>
              </w:rPr>
            </w:pPr>
            <w:r>
              <w:rPr>
                <w:noProof/>
                <w:color w:val="000000"/>
                <w:highlight w:val="black"/>
              </w:rPr>
              <w:t>'''''''''''''''</w:t>
            </w:r>
          </w:p>
        </w:tc>
        <w:tc>
          <w:tcPr>
            <w:tcW w:w="1250" w:type="pct"/>
          </w:tcPr>
          <w:p w:rsidR="006A651C" w:rsidRPr="0023686E" w:rsidRDefault="0023686E" w:rsidP="007E6F21">
            <w:pPr>
              <w:pStyle w:val="Tabletext"/>
              <w:keepNext/>
              <w:jc w:val="center"/>
              <w:rPr>
                <w:rFonts w:ascii="Times" w:hAnsi="Times"/>
                <w:highlight w:val="black"/>
              </w:rPr>
            </w:pPr>
            <w:r>
              <w:rPr>
                <w:noProof/>
                <w:color w:val="000000"/>
                <w:highlight w:val="black"/>
              </w:rPr>
              <w:t>'''''''''''</w:t>
            </w:r>
          </w:p>
        </w:tc>
        <w:tc>
          <w:tcPr>
            <w:tcW w:w="1250" w:type="pct"/>
          </w:tcPr>
          <w:p w:rsidR="006A651C" w:rsidRPr="0023686E" w:rsidRDefault="0023686E" w:rsidP="007E6F21">
            <w:pPr>
              <w:pStyle w:val="Tabletext"/>
              <w:keepNext/>
              <w:jc w:val="center"/>
              <w:rPr>
                <w:highlight w:val="black"/>
              </w:rPr>
            </w:pPr>
            <w:r>
              <w:rPr>
                <w:noProof/>
                <w:color w:val="000000"/>
                <w:highlight w:val="black"/>
              </w:rPr>
              <w:t>''''''''''</w:t>
            </w:r>
          </w:p>
        </w:tc>
      </w:tr>
      <w:tr w:rsidR="006A651C" w:rsidRPr="007579E2" w:rsidTr="00645204">
        <w:tc>
          <w:tcPr>
            <w:tcW w:w="3750" w:type="pct"/>
            <w:gridSpan w:val="3"/>
            <w:vAlign w:val="center"/>
          </w:tcPr>
          <w:p w:rsidR="006A651C" w:rsidRPr="007579E2" w:rsidRDefault="006A651C" w:rsidP="007E6F21">
            <w:pPr>
              <w:pStyle w:val="Tabletext"/>
              <w:keepNext/>
              <w:rPr>
                <w:rFonts w:ascii="Times" w:hAnsi="Times"/>
                <w:snapToGrid w:val="0"/>
              </w:rPr>
            </w:pPr>
            <w:r w:rsidRPr="007579E2">
              <w:t>Incremental cost/extra LY gained</w:t>
            </w:r>
          </w:p>
        </w:tc>
        <w:tc>
          <w:tcPr>
            <w:tcW w:w="1250" w:type="pct"/>
            <w:vAlign w:val="center"/>
          </w:tcPr>
          <w:p w:rsidR="006A651C" w:rsidRPr="007579E2" w:rsidRDefault="006A651C" w:rsidP="007E6F21">
            <w:pPr>
              <w:pStyle w:val="Tabletext"/>
              <w:keepNext/>
              <w:jc w:val="center"/>
              <w:rPr>
                <w:rFonts w:ascii="Times" w:hAnsi="Times"/>
              </w:rPr>
            </w:pPr>
            <w:r w:rsidRPr="007579E2">
              <w:t>$</w:t>
            </w:r>
            <w:r w:rsidR="0023686E">
              <w:rPr>
                <w:noProof/>
                <w:color w:val="000000"/>
                <w:highlight w:val="black"/>
              </w:rPr>
              <w:t>''''''''''''''''</w:t>
            </w:r>
          </w:p>
        </w:tc>
      </w:tr>
      <w:tr w:rsidR="006A651C" w:rsidRPr="007579E2" w:rsidTr="00645204">
        <w:tc>
          <w:tcPr>
            <w:tcW w:w="5000" w:type="pct"/>
            <w:gridSpan w:val="4"/>
            <w:vAlign w:val="center"/>
          </w:tcPr>
          <w:p w:rsidR="006A651C" w:rsidRPr="007579E2" w:rsidRDefault="006A651C" w:rsidP="007E6F21">
            <w:pPr>
              <w:pStyle w:val="Tabletext"/>
              <w:keepNext/>
              <w:rPr>
                <w:b/>
                <w:snapToGrid w:val="0"/>
              </w:rPr>
            </w:pPr>
            <w:r w:rsidRPr="007579E2">
              <w:rPr>
                <w:b/>
                <w:snapToGrid w:val="0"/>
              </w:rPr>
              <w:t>Step 3: including all resource use costs</w:t>
            </w:r>
          </w:p>
        </w:tc>
      </w:tr>
      <w:tr w:rsidR="006A651C" w:rsidRPr="007579E2" w:rsidTr="00645204">
        <w:tc>
          <w:tcPr>
            <w:tcW w:w="1250" w:type="pct"/>
            <w:vAlign w:val="center"/>
          </w:tcPr>
          <w:p w:rsidR="006A651C" w:rsidRPr="007579E2" w:rsidRDefault="006A651C" w:rsidP="007E6F21">
            <w:pPr>
              <w:pStyle w:val="Tabletext"/>
              <w:keepNext/>
              <w:rPr>
                <w:rFonts w:ascii="Times" w:hAnsi="Times"/>
              </w:rPr>
            </w:pPr>
            <w:r w:rsidRPr="007579E2">
              <w:t>Costs</w:t>
            </w:r>
          </w:p>
        </w:tc>
        <w:tc>
          <w:tcPr>
            <w:tcW w:w="1250" w:type="pct"/>
          </w:tcPr>
          <w:p w:rsidR="006A651C" w:rsidRPr="007579E2" w:rsidRDefault="006A651C" w:rsidP="007E6F21">
            <w:pPr>
              <w:pStyle w:val="Tabletext"/>
              <w:keepNext/>
              <w:jc w:val="center"/>
              <w:rPr>
                <w:rFonts w:ascii="Times" w:hAnsi="Times"/>
              </w:rPr>
            </w:pPr>
            <w:r w:rsidRPr="007579E2">
              <w:t>$</w:t>
            </w:r>
            <w:r w:rsidR="0023686E">
              <w:rPr>
                <w:noProof/>
                <w:color w:val="000000"/>
                <w:highlight w:val="black"/>
              </w:rPr>
              <w:t>'''''''''''''''''''''</w:t>
            </w:r>
          </w:p>
        </w:tc>
        <w:tc>
          <w:tcPr>
            <w:tcW w:w="1250" w:type="pct"/>
          </w:tcPr>
          <w:p w:rsidR="006A651C" w:rsidRPr="007579E2" w:rsidRDefault="006A651C" w:rsidP="007E6F21">
            <w:pPr>
              <w:pStyle w:val="Tabletext"/>
              <w:keepNext/>
              <w:jc w:val="center"/>
              <w:rPr>
                <w:rFonts w:ascii="Times" w:hAnsi="Times"/>
              </w:rPr>
            </w:pPr>
            <w:r w:rsidRPr="007579E2">
              <w:t>$</w:t>
            </w:r>
            <w:r w:rsidR="0023686E">
              <w:rPr>
                <w:noProof/>
                <w:color w:val="000000"/>
                <w:highlight w:val="black"/>
              </w:rPr>
              <w:t>''''''''''''''''</w:t>
            </w:r>
          </w:p>
        </w:tc>
        <w:tc>
          <w:tcPr>
            <w:tcW w:w="1250" w:type="pct"/>
          </w:tcPr>
          <w:p w:rsidR="006A651C" w:rsidRPr="007579E2" w:rsidRDefault="006A651C" w:rsidP="007E6F21">
            <w:pPr>
              <w:pStyle w:val="Tabletext"/>
              <w:keepNext/>
              <w:jc w:val="center"/>
              <w:rPr>
                <w:rFonts w:ascii="Times" w:hAnsi="Times"/>
              </w:rPr>
            </w:pPr>
            <w:r w:rsidRPr="007579E2">
              <w:t>$</w:t>
            </w:r>
            <w:r w:rsidR="0023686E">
              <w:rPr>
                <w:noProof/>
                <w:color w:val="000000"/>
                <w:highlight w:val="black"/>
              </w:rPr>
              <w:t>'''''''''''''''''</w:t>
            </w:r>
          </w:p>
        </w:tc>
      </w:tr>
      <w:tr w:rsidR="006A651C" w:rsidRPr="007579E2" w:rsidTr="00645204">
        <w:tc>
          <w:tcPr>
            <w:tcW w:w="1250" w:type="pct"/>
            <w:vAlign w:val="center"/>
          </w:tcPr>
          <w:p w:rsidR="006A651C" w:rsidRPr="007579E2" w:rsidRDefault="006A651C" w:rsidP="007E6F21">
            <w:pPr>
              <w:pStyle w:val="Tabletext"/>
              <w:keepNext/>
              <w:rPr>
                <w:rFonts w:ascii="Times" w:hAnsi="Times"/>
              </w:rPr>
            </w:pPr>
            <w:r w:rsidRPr="007579E2">
              <w:t>LYs gained</w:t>
            </w:r>
          </w:p>
        </w:tc>
        <w:tc>
          <w:tcPr>
            <w:tcW w:w="1250" w:type="pct"/>
          </w:tcPr>
          <w:p w:rsidR="006A651C" w:rsidRPr="0023686E" w:rsidRDefault="0023686E" w:rsidP="007E6F21">
            <w:pPr>
              <w:pStyle w:val="Tabletext"/>
              <w:keepNext/>
              <w:jc w:val="center"/>
              <w:rPr>
                <w:rFonts w:ascii="Times" w:hAnsi="Times"/>
                <w:highlight w:val="black"/>
              </w:rPr>
            </w:pPr>
            <w:r>
              <w:rPr>
                <w:noProof/>
                <w:color w:val="000000"/>
                <w:highlight w:val="black"/>
              </w:rPr>
              <w:t>''''''''''''''</w:t>
            </w:r>
          </w:p>
        </w:tc>
        <w:tc>
          <w:tcPr>
            <w:tcW w:w="1250" w:type="pct"/>
          </w:tcPr>
          <w:p w:rsidR="006A651C" w:rsidRPr="0023686E" w:rsidRDefault="0023686E" w:rsidP="007E6F21">
            <w:pPr>
              <w:pStyle w:val="Tabletext"/>
              <w:keepNext/>
              <w:jc w:val="center"/>
              <w:rPr>
                <w:rFonts w:ascii="Times" w:hAnsi="Times"/>
                <w:highlight w:val="black"/>
              </w:rPr>
            </w:pPr>
            <w:r>
              <w:rPr>
                <w:noProof/>
                <w:color w:val="000000"/>
                <w:highlight w:val="black"/>
              </w:rPr>
              <w:t>''''''''''</w:t>
            </w:r>
          </w:p>
        </w:tc>
        <w:tc>
          <w:tcPr>
            <w:tcW w:w="1250" w:type="pct"/>
          </w:tcPr>
          <w:p w:rsidR="006A651C" w:rsidRPr="0023686E" w:rsidRDefault="0023686E" w:rsidP="007E6F21">
            <w:pPr>
              <w:pStyle w:val="Tabletext"/>
              <w:keepNext/>
              <w:jc w:val="center"/>
              <w:rPr>
                <w:highlight w:val="black"/>
              </w:rPr>
            </w:pPr>
            <w:r>
              <w:rPr>
                <w:noProof/>
                <w:color w:val="000000"/>
                <w:highlight w:val="black"/>
              </w:rPr>
              <w:t>''''''''''</w:t>
            </w:r>
          </w:p>
        </w:tc>
      </w:tr>
      <w:tr w:rsidR="006A651C" w:rsidRPr="007579E2" w:rsidTr="00645204">
        <w:tc>
          <w:tcPr>
            <w:tcW w:w="3750" w:type="pct"/>
            <w:gridSpan w:val="3"/>
            <w:vAlign w:val="center"/>
          </w:tcPr>
          <w:p w:rsidR="006A651C" w:rsidRPr="007579E2" w:rsidRDefault="006A651C" w:rsidP="007E6F21">
            <w:pPr>
              <w:pStyle w:val="Tabletext"/>
              <w:keepNext/>
              <w:rPr>
                <w:rFonts w:ascii="Times" w:hAnsi="Times"/>
              </w:rPr>
            </w:pPr>
            <w:r w:rsidRPr="007579E2">
              <w:t>Incremental cost/extra LY gained</w:t>
            </w:r>
          </w:p>
        </w:tc>
        <w:tc>
          <w:tcPr>
            <w:tcW w:w="1250" w:type="pct"/>
            <w:vAlign w:val="center"/>
          </w:tcPr>
          <w:p w:rsidR="006A651C" w:rsidRPr="007579E2" w:rsidRDefault="006A651C" w:rsidP="007E6F21">
            <w:pPr>
              <w:pStyle w:val="Tabletext"/>
              <w:keepNext/>
              <w:jc w:val="center"/>
              <w:rPr>
                <w:rFonts w:ascii="Times" w:hAnsi="Times"/>
              </w:rPr>
            </w:pPr>
            <w:r w:rsidRPr="007579E2">
              <w:t>$</w:t>
            </w:r>
            <w:r w:rsidR="0023686E">
              <w:rPr>
                <w:noProof/>
                <w:color w:val="000000"/>
                <w:highlight w:val="black"/>
              </w:rPr>
              <w:t>''''''''''''''''</w:t>
            </w:r>
          </w:p>
        </w:tc>
      </w:tr>
      <w:tr w:rsidR="006A651C" w:rsidRPr="007579E2" w:rsidTr="00645204">
        <w:tc>
          <w:tcPr>
            <w:tcW w:w="5000" w:type="pct"/>
            <w:gridSpan w:val="4"/>
            <w:vAlign w:val="center"/>
          </w:tcPr>
          <w:p w:rsidR="006A651C" w:rsidRPr="007579E2" w:rsidRDefault="006A651C" w:rsidP="007E6F21">
            <w:pPr>
              <w:pStyle w:val="Tabletext"/>
              <w:keepNext/>
              <w:rPr>
                <w:b/>
                <w:snapToGrid w:val="0"/>
              </w:rPr>
            </w:pPr>
            <w:r w:rsidRPr="007579E2">
              <w:rPr>
                <w:b/>
                <w:snapToGrid w:val="0"/>
              </w:rPr>
              <w:t>Step 4: transformation from LY gained to QALY gained</w:t>
            </w:r>
          </w:p>
        </w:tc>
      </w:tr>
      <w:tr w:rsidR="006A651C" w:rsidRPr="007579E2" w:rsidTr="00645204">
        <w:tc>
          <w:tcPr>
            <w:tcW w:w="1250" w:type="pct"/>
            <w:vAlign w:val="center"/>
          </w:tcPr>
          <w:p w:rsidR="006A651C" w:rsidRPr="007579E2" w:rsidRDefault="006A651C" w:rsidP="007E6F21">
            <w:pPr>
              <w:pStyle w:val="Tabletext"/>
              <w:keepNext/>
              <w:rPr>
                <w:rFonts w:ascii="Times" w:hAnsi="Times"/>
              </w:rPr>
            </w:pPr>
            <w:r w:rsidRPr="007579E2">
              <w:t>Costs</w:t>
            </w:r>
          </w:p>
        </w:tc>
        <w:tc>
          <w:tcPr>
            <w:tcW w:w="1250" w:type="pct"/>
          </w:tcPr>
          <w:p w:rsidR="006A651C" w:rsidRPr="007579E2" w:rsidRDefault="006A651C" w:rsidP="007E6F21">
            <w:pPr>
              <w:pStyle w:val="Tabletext"/>
              <w:keepNext/>
              <w:jc w:val="center"/>
              <w:rPr>
                <w:rFonts w:ascii="Times" w:hAnsi="Times"/>
              </w:rPr>
            </w:pPr>
            <w:r w:rsidRPr="007579E2">
              <w:t>$</w:t>
            </w:r>
            <w:r w:rsidR="0023686E">
              <w:rPr>
                <w:noProof/>
                <w:color w:val="000000"/>
                <w:highlight w:val="black"/>
              </w:rPr>
              <w:t>'''''''''''''''''</w:t>
            </w:r>
          </w:p>
        </w:tc>
        <w:tc>
          <w:tcPr>
            <w:tcW w:w="1250" w:type="pct"/>
          </w:tcPr>
          <w:p w:rsidR="006A651C" w:rsidRPr="007579E2" w:rsidRDefault="006A651C" w:rsidP="007E6F21">
            <w:pPr>
              <w:pStyle w:val="Tabletext"/>
              <w:keepNext/>
              <w:jc w:val="center"/>
              <w:rPr>
                <w:rFonts w:ascii="Times" w:hAnsi="Times"/>
              </w:rPr>
            </w:pPr>
            <w:r w:rsidRPr="007579E2">
              <w:t>$</w:t>
            </w:r>
            <w:r w:rsidR="0023686E">
              <w:rPr>
                <w:noProof/>
                <w:color w:val="000000"/>
                <w:highlight w:val="black"/>
              </w:rPr>
              <w:t>''''''''''''''''''</w:t>
            </w:r>
          </w:p>
        </w:tc>
        <w:tc>
          <w:tcPr>
            <w:tcW w:w="1250" w:type="pct"/>
          </w:tcPr>
          <w:p w:rsidR="006A651C" w:rsidRPr="007579E2" w:rsidRDefault="006A651C" w:rsidP="007E6F21">
            <w:pPr>
              <w:pStyle w:val="Tabletext"/>
              <w:keepNext/>
              <w:jc w:val="center"/>
              <w:rPr>
                <w:rFonts w:ascii="Times" w:hAnsi="Times"/>
              </w:rPr>
            </w:pPr>
            <w:r w:rsidRPr="007579E2">
              <w:t>$</w:t>
            </w:r>
            <w:r w:rsidR="0023686E">
              <w:rPr>
                <w:noProof/>
                <w:color w:val="000000"/>
                <w:highlight w:val="black"/>
              </w:rPr>
              <w:t>'''''''''''''''''</w:t>
            </w:r>
          </w:p>
        </w:tc>
      </w:tr>
      <w:tr w:rsidR="006A651C" w:rsidRPr="007579E2" w:rsidTr="00645204">
        <w:tc>
          <w:tcPr>
            <w:tcW w:w="1250" w:type="pct"/>
            <w:vAlign w:val="center"/>
          </w:tcPr>
          <w:p w:rsidR="006A651C" w:rsidRPr="007579E2" w:rsidRDefault="006A651C" w:rsidP="007E6F21">
            <w:pPr>
              <w:pStyle w:val="Tabletext"/>
              <w:keepNext/>
              <w:rPr>
                <w:rFonts w:ascii="Times" w:hAnsi="Times"/>
              </w:rPr>
            </w:pPr>
            <w:r w:rsidRPr="007579E2">
              <w:t>QALYs gained</w:t>
            </w:r>
          </w:p>
        </w:tc>
        <w:tc>
          <w:tcPr>
            <w:tcW w:w="1250" w:type="pct"/>
          </w:tcPr>
          <w:p w:rsidR="006A651C" w:rsidRPr="0023686E" w:rsidRDefault="0023686E" w:rsidP="007E6F21">
            <w:pPr>
              <w:pStyle w:val="Tabletext"/>
              <w:keepNext/>
              <w:jc w:val="center"/>
              <w:rPr>
                <w:rFonts w:ascii="Times" w:hAnsi="Times"/>
                <w:highlight w:val="black"/>
              </w:rPr>
            </w:pPr>
            <w:r>
              <w:rPr>
                <w:noProof/>
                <w:color w:val="000000"/>
                <w:highlight w:val="black"/>
              </w:rPr>
              <w:t>''''''''''</w:t>
            </w:r>
          </w:p>
        </w:tc>
        <w:tc>
          <w:tcPr>
            <w:tcW w:w="1250" w:type="pct"/>
          </w:tcPr>
          <w:p w:rsidR="006A651C" w:rsidRPr="0023686E" w:rsidRDefault="0023686E" w:rsidP="007E6F21">
            <w:pPr>
              <w:pStyle w:val="Tabletext"/>
              <w:keepNext/>
              <w:jc w:val="center"/>
              <w:rPr>
                <w:rFonts w:ascii="Times" w:hAnsi="Times"/>
                <w:highlight w:val="black"/>
              </w:rPr>
            </w:pPr>
            <w:r>
              <w:rPr>
                <w:noProof/>
                <w:color w:val="000000"/>
                <w:highlight w:val="black"/>
              </w:rPr>
              <w:t>''''''''''</w:t>
            </w:r>
          </w:p>
        </w:tc>
        <w:tc>
          <w:tcPr>
            <w:tcW w:w="1250" w:type="pct"/>
          </w:tcPr>
          <w:p w:rsidR="006A651C" w:rsidRPr="0023686E" w:rsidRDefault="0023686E" w:rsidP="007E6F21">
            <w:pPr>
              <w:pStyle w:val="Tabletext"/>
              <w:keepNext/>
              <w:jc w:val="center"/>
              <w:rPr>
                <w:highlight w:val="black"/>
              </w:rPr>
            </w:pPr>
            <w:r>
              <w:rPr>
                <w:noProof/>
                <w:color w:val="000000"/>
                <w:highlight w:val="black"/>
              </w:rPr>
              <w:t>''''''''''</w:t>
            </w:r>
          </w:p>
        </w:tc>
      </w:tr>
      <w:tr w:rsidR="006A651C" w:rsidRPr="007579E2" w:rsidTr="00645204">
        <w:tc>
          <w:tcPr>
            <w:tcW w:w="3750" w:type="pct"/>
            <w:gridSpan w:val="3"/>
            <w:vAlign w:val="center"/>
          </w:tcPr>
          <w:p w:rsidR="006A651C" w:rsidRPr="007579E2" w:rsidRDefault="006A651C" w:rsidP="007E6F21">
            <w:pPr>
              <w:pStyle w:val="Tabletext"/>
              <w:keepNext/>
              <w:rPr>
                <w:rFonts w:ascii="Times" w:hAnsi="Times"/>
                <w:b/>
              </w:rPr>
            </w:pPr>
            <w:r w:rsidRPr="007579E2">
              <w:rPr>
                <w:b/>
              </w:rPr>
              <w:t>Incremental cost/extra QALY gained</w:t>
            </w:r>
          </w:p>
        </w:tc>
        <w:tc>
          <w:tcPr>
            <w:tcW w:w="1250" w:type="pct"/>
            <w:vAlign w:val="center"/>
          </w:tcPr>
          <w:p w:rsidR="006A651C" w:rsidRPr="007579E2" w:rsidRDefault="006A651C" w:rsidP="007E6F21">
            <w:pPr>
              <w:pStyle w:val="Tabletext"/>
              <w:keepNext/>
              <w:jc w:val="center"/>
              <w:rPr>
                <w:rFonts w:ascii="Times" w:hAnsi="Times"/>
                <w:b/>
              </w:rPr>
            </w:pPr>
            <w:r w:rsidRPr="007579E2">
              <w:rPr>
                <w:b/>
              </w:rPr>
              <w:t>$</w:t>
            </w:r>
            <w:r w:rsidR="0023686E">
              <w:rPr>
                <w:b/>
                <w:noProof/>
                <w:color w:val="000000"/>
                <w:highlight w:val="black"/>
              </w:rPr>
              <w:t>'''''''''''''''</w:t>
            </w:r>
          </w:p>
        </w:tc>
      </w:tr>
      <w:tr w:rsidR="000E2797" w:rsidRPr="007579E2" w:rsidTr="00645204">
        <w:tc>
          <w:tcPr>
            <w:tcW w:w="3750" w:type="pct"/>
            <w:gridSpan w:val="3"/>
            <w:vAlign w:val="center"/>
          </w:tcPr>
          <w:p w:rsidR="000E2797" w:rsidRPr="007579E2" w:rsidRDefault="000E2797" w:rsidP="007E6F21">
            <w:pPr>
              <w:pStyle w:val="Tabletext"/>
              <w:keepNext/>
            </w:pPr>
            <w:r w:rsidRPr="007579E2">
              <w:t>Pre-PBAC response cost/extra QALY gained</w:t>
            </w:r>
          </w:p>
        </w:tc>
        <w:tc>
          <w:tcPr>
            <w:tcW w:w="1250" w:type="pct"/>
            <w:vAlign w:val="center"/>
          </w:tcPr>
          <w:p w:rsidR="000E2797" w:rsidRPr="007579E2" w:rsidRDefault="000E2797" w:rsidP="007E6F21">
            <w:pPr>
              <w:pStyle w:val="Tabletext"/>
              <w:keepNext/>
              <w:jc w:val="center"/>
            </w:pPr>
            <w:r w:rsidRPr="007579E2">
              <w:t>$</w:t>
            </w:r>
            <w:r w:rsidR="0023686E">
              <w:rPr>
                <w:noProof/>
                <w:color w:val="000000"/>
                <w:highlight w:val="black"/>
              </w:rPr>
              <w:t>''''''''''''''''</w:t>
            </w:r>
          </w:p>
        </w:tc>
      </w:tr>
    </w:tbl>
    <w:p w:rsidR="006A651C" w:rsidRPr="007579E2" w:rsidRDefault="006A651C" w:rsidP="007E6F21">
      <w:pPr>
        <w:pStyle w:val="TableFooter"/>
        <w:widowControl/>
      </w:pPr>
      <w:r w:rsidRPr="007579E2">
        <w:t xml:space="preserve">LY = life-year; </w:t>
      </w:r>
      <w:r w:rsidR="00424E93" w:rsidRPr="007579E2">
        <w:t xml:space="preserve">PBAC = Pharmaceutical Benefits Advisory Committee; </w:t>
      </w:r>
      <w:r w:rsidRPr="007579E2">
        <w:t>QALY = quality-adjusted life-year</w:t>
      </w:r>
    </w:p>
    <w:p w:rsidR="006A651C" w:rsidRPr="007579E2" w:rsidRDefault="006A651C" w:rsidP="007E6F21">
      <w:pPr>
        <w:pStyle w:val="TableFooter"/>
        <w:widowControl/>
      </w:pPr>
      <w:r w:rsidRPr="007579E2">
        <w:t>Source: Table 3.8-1, p177 of the submission</w:t>
      </w:r>
    </w:p>
    <w:p w:rsidR="006A651C" w:rsidRPr="007579E2" w:rsidRDefault="006A651C" w:rsidP="00061E01">
      <w:pPr>
        <w:pStyle w:val="ListParagraph"/>
        <w:widowControl/>
        <w:numPr>
          <w:ilvl w:val="1"/>
          <w:numId w:val="2"/>
        </w:numPr>
        <w:snapToGrid w:val="0"/>
        <w:spacing w:before="120"/>
      </w:pPr>
      <w:r w:rsidRPr="007579E2">
        <w:t xml:space="preserve">The above table indicated that the extrapolation from trial observation period </w:t>
      </w:r>
      <w:r w:rsidR="00CC576B">
        <w:t>to</w:t>
      </w:r>
      <w:r w:rsidR="000052A1" w:rsidRPr="00CC576B">
        <w:t xml:space="preserve"> </w:t>
      </w:r>
      <w:r w:rsidR="0023686E">
        <w:rPr>
          <w:noProof/>
          <w:color w:val="000000"/>
          <w:highlight w:val="black"/>
        </w:rPr>
        <w:t>'''''</w:t>
      </w:r>
      <w:r w:rsidR="000052A1" w:rsidRPr="00CC576B">
        <w:t xml:space="preserve"> </w:t>
      </w:r>
      <w:r w:rsidRPr="007579E2">
        <w:t xml:space="preserve">years had a substantial impact on the final result of the economic model. </w:t>
      </w:r>
      <w:r w:rsidR="00DC7003">
        <w:t>T</w:t>
      </w:r>
      <w:r w:rsidRPr="007579E2">
        <w:t xml:space="preserve">he modelled continuous and more favourable survival associated with adjuvant </w:t>
      </w:r>
      <w:proofErr w:type="spellStart"/>
      <w:r w:rsidRPr="007579E2">
        <w:t>dabrafenib+trametinib</w:t>
      </w:r>
      <w:proofErr w:type="spellEnd"/>
      <w:r w:rsidRPr="007579E2">
        <w:t xml:space="preserve"> over the time horizon was optimistic. </w:t>
      </w:r>
    </w:p>
    <w:p w:rsidR="00D07366" w:rsidRPr="007579E2" w:rsidRDefault="00D07366" w:rsidP="00061E01">
      <w:pPr>
        <w:pStyle w:val="ListParagraph"/>
        <w:widowControl/>
        <w:numPr>
          <w:ilvl w:val="1"/>
          <w:numId w:val="2"/>
        </w:numPr>
        <w:snapToGrid w:val="0"/>
        <w:spacing w:before="120"/>
      </w:pPr>
      <w:r w:rsidRPr="007579E2">
        <w:t xml:space="preserve">Overall, the ESC considered that the ICER was likely to be underestimated due to the </w:t>
      </w:r>
      <w:r w:rsidR="007B0F25" w:rsidRPr="007579E2">
        <w:t xml:space="preserve">assumed </w:t>
      </w:r>
      <w:r w:rsidRPr="007579E2">
        <w:t xml:space="preserve">ongoing RFS and OS survival benefit associated with </w:t>
      </w:r>
      <w:proofErr w:type="spellStart"/>
      <w:r w:rsidRPr="007579E2">
        <w:t>dabrafenib+trametinib</w:t>
      </w:r>
      <w:proofErr w:type="spellEnd"/>
      <w:r w:rsidRPr="007579E2">
        <w:t>.</w:t>
      </w:r>
      <w:r w:rsidR="008F1C2A" w:rsidRPr="007579E2">
        <w:t xml:space="preserve"> In addition, the model structure did not allow the cost and consequences of local/regional versus distant relapse to be assessed.</w:t>
      </w:r>
    </w:p>
    <w:p w:rsidR="006A651C" w:rsidRPr="007579E2" w:rsidRDefault="006A651C" w:rsidP="00061E01">
      <w:pPr>
        <w:pStyle w:val="ListParagraph"/>
        <w:widowControl/>
        <w:numPr>
          <w:ilvl w:val="1"/>
          <w:numId w:val="2"/>
        </w:numPr>
        <w:snapToGrid w:val="0"/>
        <w:spacing w:before="120"/>
        <w:rPr>
          <w:i/>
        </w:rPr>
      </w:pPr>
      <w:r w:rsidRPr="007579E2">
        <w:t xml:space="preserve">Key sensitivity analyses are presented </w:t>
      </w:r>
      <w:r w:rsidR="008A18E0" w:rsidRPr="007579E2">
        <w:t>in Table 1</w:t>
      </w:r>
      <w:r w:rsidR="00DF4C14" w:rsidRPr="007579E2">
        <w:t>7</w:t>
      </w:r>
      <w:r w:rsidRPr="007579E2">
        <w:rPr>
          <w:i/>
        </w:rPr>
        <w:t>.</w:t>
      </w:r>
    </w:p>
    <w:p w:rsidR="006A651C" w:rsidRPr="007579E2" w:rsidRDefault="00376CEF" w:rsidP="007E6F21">
      <w:pPr>
        <w:keepNext/>
        <w:widowControl/>
        <w:jc w:val="left"/>
        <w:rPr>
          <w:rStyle w:val="CommentReference"/>
          <w:b w:val="0"/>
        </w:rPr>
      </w:pPr>
      <w:r w:rsidRPr="007579E2">
        <w:rPr>
          <w:rFonts w:ascii="Arial Narrow" w:hAnsi="Arial Narrow"/>
          <w:b/>
          <w:sz w:val="20"/>
          <w:szCs w:val="20"/>
        </w:rPr>
        <w:lastRenderedPageBreak/>
        <w:t>Table 17</w:t>
      </w:r>
      <w:r w:rsidRPr="007579E2">
        <w:rPr>
          <w:rStyle w:val="CommentReference"/>
          <w:b w:val="0"/>
          <w:szCs w:val="20"/>
        </w:rPr>
        <w:t>:</w:t>
      </w:r>
      <w:r w:rsidRPr="007579E2">
        <w:rPr>
          <w:rStyle w:val="CommentReference"/>
          <w:szCs w:val="20"/>
        </w:rPr>
        <w:t xml:space="preserve"> Results</w:t>
      </w:r>
      <w:r w:rsidRPr="007579E2">
        <w:rPr>
          <w:rStyle w:val="CommentReference"/>
        </w:rPr>
        <w:t xml:space="preserve"> of key sensitivity analyses</w:t>
      </w:r>
    </w:p>
    <w:tbl>
      <w:tblPr>
        <w:tblStyle w:val="Summarybox2"/>
        <w:tblW w:w="9351" w:type="dxa"/>
        <w:shd w:val="clear" w:color="auto" w:fill="FFFFFF" w:themeFill="background1"/>
        <w:tblLayout w:type="fixed"/>
        <w:tblLook w:val="04A0" w:firstRow="1" w:lastRow="0" w:firstColumn="1" w:lastColumn="0" w:noHBand="0" w:noVBand="1"/>
        <w:tblCaption w:val="Table 17: Results of key sensitivity analyses"/>
      </w:tblPr>
      <w:tblGrid>
        <w:gridCol w:w="2972"/>
        <w:gridCol w:w="992"/>
        <w:gridCol w:w="851"/>
        <w:gridCol w:w="992"/>
        <w:gridCol w:w="851"/>
        <w:gridCol w:w="850"/>
        <w:gridCol w:w="992"/>
        <w:gridCol w:w="851"/>
      </w:tblGrid>
      <w:tr w:rsidR="006A651C" w:rsidRPr="007579E2" w:rsidTr="00295D25">
        <w:trPr>
          <w:tblHeader/>
        </w:trPr>
        <w:tc>
          <w:tcPr>
            <w:tcW w:w="2972" w:type="dxa"/>
            <w:vMerge w:val="restart"/>
            <w:shd w:val="clear" w:color="auto" w:fill="FFFFFF" w:themeFill="background1"/>
            <w:vAlign w:val="center"/>
          </w:tcPr>
          <w:p w:rsidR="006A651C" w:rsidRPr="007579E2" w:rsidRDefault="006A651C" w:rsidP="007E6F21">
            <w:pPr>
              <w:pStyle w:val="Tabletext"/>
              <w:keepNext/>
              <w:ind w:right="-57"/>
            </w:pPr>
          </w:p>
        </w:tc>
        <w:tc>
          <w:tcPr>
            <w:tcW w:w="2835" w:type="dxa"/>
            <w:gridSpan w:val="3"/>
            <w:shd w:val="clear" w:color="auto" w:fill="FFFFFF" w:themeFill="background1"/>
            <w:vAlign w:val="center"/>
          </w:tcPr>
          <w:p w:rsidR="006A651C" w:rsidRPr="007579E2" w:rsidRDefault="006A651C" w:rsidP="007E6F21">
            <w:pPr>
              <w:pStyle w:val="Tabletext"/>
              <w:keepNext/>
              <w:ind w:left="-57" w:right="-57"/>
              <w:jc w:val="center"/>
              <w:rPr>
                <w:b/>
              </w:rPr>
            </w:pPr>
            <w:r w:rsidRPr="007579E2">
              <w:rPr>
                <w:b/>
              </w:rPr>
              <w:t>Costs</w:t>
            </w:r>
          </w:p>
        </w:tc>
        <w:tc>
          <w:tcPr>
            <w:tcW w:w="2693" w:type="dxa"/>
            <w:gridSpan w:val="3"/>
            <w:shd w:val="clear" w:color="auto" w:fill="FFFFFF" w:themeFill="background1"/>
            <w:vAlign w:val="center"/>
          </w:tcPr>
          <w:p w:rsidR="006A651C" w:rsidRPr="007579E2" w:rsidRDefault="006A651C" w:rsidP="007E6F21">
            <w:pPr>
              <w:pStyle w:val="Tabletext"/>
              <w:keepNext/>
              <w:ind w:left="-57" w:right="-57"/>
              <w:jc w:val="center"/>
              <w:rPr>
                <w:b/>
              </w:rPr>
            </w:pPr>
            <w:r w:rsidRPr="007579E2">
              <w:rPr>
                <w:b/>
              </w:rPr>
              <w:t>Outcomes</w:t>
            </w:r>
          </w:p>
        </w:tc>
        <w:tc>
          <w:tcPr>
            <w:tcW w:w="851" w:type="dxa"/>
            <w:vMerge w:val="restart"/>
            <w:shd w:val="clear" w:color="auto" w:fill="FFFFFF" w:themeFill="background1"/>
            <w:vAlign w:val="center"/>
          </w:tcPr>
          <w:p w:rsidR="006A651C" w:rsidRPr="007579E2" w:rsidRDefault="006A651C" w:rsidP="007E6F21">
            <w:pPr>
              <w:pStyle w:val="Tabletext"/>
              <w:keepNext/>
              <w:ind w:left="-57" w:right="-57"/>
              <w:jc w:val="center"/>
              <w:rPr>
                <w:b/>
              </w:rPr>
            </w:pPr>
            <w:r w:rsidRPr="007579E2">
              <w:rPr>
                <w:b/>
              </w:rPr>
              <w:t>ICER</w:t>
            </w:r>
          </w:p>
        </w:tc>
      </w:tr>
      <w:tr w:rsidR="006A651C" w:rsidRPr="007579E2" w:rsidTr="00295D25">
        <w:trPr>
          <w:tblHeader/>
        </w:trPr>
        <w:tc>
          <w:tcPr>
            <w:tcW w:w="2972" w:type="dxa"/>
            <w:vMerge/>
            <w:shd w:val="clear" w:color="auto" w:fill="FFFFFF" w:themeFill="background1"/>
            <w:vAlign w:val="center"/>
          </w:tcPr>
          <w:p w:rsidR="006A651C" w:rsidRPr="007579E2" w:rsidRDefault="006A651C" w:rsidP="007E6F21">
            <w:pPr>
              <w:pStyle w:val="Tabletext"/>
              <w:keepNext/>
              <w:ind w:right="-57"/>
            </w:pPr>
          </w:p>
        </w:tc>
        <w:tc>
          <w:tcPr>
            <w:tcW w:w="992" w:type="dxa"/>
            <w:shd w:val="clear" w:color="auto" w:fill="FFFFFF" w:themeFill="background1"/>
            <w:vAlign w:val="center"/>
          </w:tcPr>
          <w:p w:rsidR="006A651C" w:rsidRPr="007579E2" w:rsidRDefault="006A651C" w:rsidP="007E6F21">
            <w:pPr>
              <w:pStyle w:val="Tabletext"/>
              <w:keepNext/>
              <w:ind w:left="-57" w:right="-57"/>
              <w:jc w:val="center"/>
              <w:rPr>
                <w:b/>
              </w:rPr>
            </w:pPr>
            <w:r w:rsidRPr="007579E2">
              <w:rPr>
                <w:b/>
              </w:rPr>
              <w:t>DAB+</w:t>
            </w:r>
            <w:r w:rsidRPr="007579E2">
              <w:rPr>
                <w:b/>
              </w:rPr>
              <w:br/>
              <w:t>TRAM</w:t>
            </w:r>
          </w:p>
        </w:tc>
        <w:tc>
          <w:tcPr>
            <w:tcW w:w="851" w:type="dxa"/>
            <w:shd w:val="clear" w:color="auto" w:fill="FFFFFF" w:themeFill="background1"/>
            <w:vAlign w:val="center"/>
          </w:tcPr>
          <w:p w:rsidR="006A651C" w:rsidRPr="007579E2" w:rsidRDefault="006A651C" w:rsidP="007E6F21">
            <w:pPr>
              <w:pStyle w:val="Tabletext"/>
              <w:keepNext/>
              <w:ind w:left="-57" w:right="-57"/>
              <w:jc w:val="center"/>
              <w:rPr>
                <w:b/>
              </w:rPr>
            </w:pPr>
            <w:r w:rsidRPr="007579E2">
              <w:rPr>
                <w:b/>
              </w:rPr>
              <w:t>OBS</w:t>
            </w:r>
          </w:p>
        </w:tc>
        <w:tc>
          <w:tcPr>
            <w:tcW w:w="992" w:type="dxa"/>
            <w:shd w:val="clear" w:color="auto" w:fill="FFFFFF" w:themeFill="background1"/>
            <w:vAlign w:val="center"/>
          </w:tcPr>
          <w:p w:rsidR="006A651C" w:rsidRPr="007579E2" w:rsidRDefault="006A651C" w:rsidP="007E6F21">
            <w:pPr>
              <w:pStyle w:val="Tabletext"/>
              <w:keepNext/>
              <w:ind w:left="-57" w:right="-57"/>
              <w:jc w:val="center"/>
              <w:rPr>
                <w:b/>
              </w:rPr>
            </w:pPr>
            <w:r w:rsidRPr="007579E2">
              <w:rPr>
                <w:b/>
              </w:rPr>
              <w:t>Increment</w:t>
            </w:r>
          </w:p>
        </w:tc>
        <w:tc>
          <w:tcPr>
            <w:tcW w:w="851" w:type="dxa"/>
            <w:shd w:val="clear" w:color="auto" w:fill="FFFFFF" w:themeFill="background1"/>
            <w:vAlign w:val="center"/>
          </w:tcPr>
          <w:p w:rsidR="006A651C" w:rsidRPr="007579E2" w:rsidRDefault="006A651C" w:rsidP="007E6F21">
            <w:pPr>
              <w:pStyle w:val="Tabletext"/>
              <w:keepNext/>
              <w:ind w:left="-57" w:right="-57"/>
              <w:jc w:val="center"/>
              <w:rPr>
                <w:b/>
              </w:rPr>
            </w:pPr>
            <w:r w:rsidRPr="007579E2">
              <w:rPr>
                <w:b/>
              </w:rPr>
              <w:t>DAB+</w:t>
            </w:r>
            <w:r w:rsidRPr="007579E2">
              <w:rPr>
                <w:b/>
              </w:rPr>
              <w:br/>
              <w:t>TRAM</w:t>
            </w:r>
          </w:p>
        </w:tc>
        <w:tc>
          <w:tcPr>
            <w:tcW w:w="850" w:type="dxa"/>
            <w:shd w:val="clear" w:color="auto" w:fill="FFFFFF" w:themeFill="background1"/>
            <w:vAlign w:val="center"/>
          </w:tcPr>
          <w:p w:rsidR="006A651C" w:rsidRPr="007579E2" w:rsidRDefault="006A651C" w:rsidP="007E6F21">
            <w:pPr>
              <w:pStyle w:val="Tabletext"/>
              <w:keepNext/>
              <w:ind w:left="-57" w:right="-57"/>
              <w:jc w:val="center"/>
              <w:rPr>
                <w:b/>
              </w:rPr>
            </w:pPr>
            <w:r w:rsidRPr="007579E2">
              <w:rPr>
                <w:b/>
              </w:rPr>
              <w:t>OBS</w:t>
            </w:r>
          </w:p>
        </w:tc>
        <w:tc>
          <w:tcPr>
            <w:tcW w:w="992" w:type="dxa"/>
            <w:shd w:val="clear" w:color="auto" w:fill="FFFFFF" w:themeFill="background1"/>
            <w:vAlign w:val="center"/>
          </w:tcPr>
          <w:p w:rsidR="006A651C" w:rsidRPr="007579E2" w:rsidRDefault="006A651C" w:rsidP="007E6F21">
            <w:pPr>
              <w:pStyle w:val="Tabletext"/>
              <w:keepNext/>
              <w:ind w:left="-57" w:right="-57"/>
              <w:jc w:val="center"/>
              <w:rPr>
                <w:b/>
              </w:rPr>
            </w:pPr>
            <w:r w:rsidRPr="007579E2">
              <w:rPr>
                <w:b/>
              </w:rPr>
              <w:t>Increment</w:t>
            </w:r>
          </w:p>
        </w:tc>
        <w:tc>
          <w:tcPr>
            <w:tcW w:w="851" w:type="dxa"/>
            <w:vMerge/>
            <w:shd w:val="clear" w:color="auto" w:fill="FFFFFF" w:themeFill="background1"/>
            <w:vAlign w:val="center"/>
          </w:tcPr>
          <w:p w:rsidR="006A651C" w:rsidRPr="007579E2" w:rsidRDefault="006A651C" w:rsidP="007E6F21">
            <w:pPr>
              <w:pStyle w:val="Tabletext"/>
              <w:keepNext/>
              <w:ind w:left="-57" w:right="-57"/>
              <w:jc w:val="center"/>
            </w:pPr>
          </w:p>
        </w:tc>
      </w:tr>
      <w:tr w:rsidR="006A651C" w:rsidRPr="007579E2" w:rsidTr="00645204">
        <w:tc>
          <w:tcPr>
            <w:tcW w:w="2972" w:type="dxa"/>
            <w:shd w:val="clear" w:color="auto" w:fill="FFFFFF" w:themeFill="background1"/>
            <w:vAlign w:val="center"/>
          </w:tcPr>
          <w:p w:rsidR="006A651C" w:rsidRPr="007579E2" w:rsidRDefault="006A651C" w:rsidP="007E6F21">
            <w:pPr>
              <w:pStyle w:val="Tabletext"/>
              <w:keepNext/>
              <w:ind w:right="-57"/>
              <w:rPr>
                <w:b/>
              </w:rPr>
            </w:pPr>
            <w:r w:rsidRPr="007579E2">
              <w:rPr>
                <w:b/>
              </w:rPr>
              <w:t>Base case</w:t>
            </w:r>
          </w:p>
        </w:tc>
        <w:tc>
          <w:tcPr>
            <w:tcW w:w="992" w:type="dxa"/>
            <w:shd w:val="clear" w:color="auto" w:fill="FFFFFF" w:themeFill="background1"/>
            <w:vAlign w:val="center"/>
          </w:tcPr>
          <w:p w:rsidR="006A651C" w:rsidRPr="007579E2" w:rsidRDefault="006A651C" w:rsidP="007E6F21">
            <w:pPr>
              <w:pStyle w:val="Tabletext"/>
              <w:keepNext/>
              <w:ind w:left="-57" w:right="-28"/>
              <w:jc w:val="right"/>
              <w:rPr>
                <w:b/>
              </w:rPr>
            </w:pPr>
            <w:r w:rsidRPr="007579E2">
              <w:rPr>
                <w:rFonts w:cs="Calibri"/>
                <w:b/>
                <w:color w:val="000000"/>
              </w:rPr>
              <w:t>$</w:t>
            </w:r>
            <w:r w:rsidR="0023686E">
              <w:rPr>
                <w:rFonts w:cs="Calibri"/>
                <w:b/>
                <w:noProof/>
                <w:color w:val="000000"/>
                <w:highlight w:val="black"/>
              </w:rPr>
              <w:t>''''''''''''''''</w:t>
            </w:r>
          </w:p>
        </w:tc>
        <w:tc>
          <w:tcPr>
            <w:tcW w:w="851" w:type="dxa"/>
            <w:shd w:val="clear" w:color="auto" w:fill="FFFFFF" w:themeFill="background1"/>
            <w:vAlign w:val="center"/>
          </w:tcPr>
          <w:p w:rsidR="006A651C" w:rsidRPr="007579E2" w:rsidRDefault="006A651C" w:rsidP="007E6F21">
            <w:pPr>
              <w:pStyle w:val="Tabletext"/>
              <w:keepNext/>
              <w:jc w:val="right"/>
              <w:rPr>
                <w:b/>
              </w:rPr>
            </w:pPr>
            <w:r w:rsidRPr="007579E2">
              <w:rPr>
                <w:rFonts w:cs="Calibri"/>
                <w:b/>
                <w:color w:val="000000"/>
              </w:rPr>
              <w:t>$</w:t>
            </w:r>
            <w:r w:rsidR="0023686E">
              <w:rPr>
                <w:rFonts w:cs="Calibri"/>
                <w:b/>
                <w:noProof/>
                <w:color w:val="000000"/>
                <w:highlight w:val="black"/>
              </w:rPr>
              <w:t>'''''''''''''</w:t>
            </w:r>
          </w:p>
        </w:tc>
        <w:tc>
          <w:tcPr>
            <w:tcW w:w="992" w:type="dxa"/>
            <w:shd w:val="clear" w:color="auto" w:fill="FFFFFF" w:themeFill="background1"/>
            <w:vAlign w:val="center"/>
          </w:tcPr>
          <w:p w:rsidR="006A651C" w:rsidRPr="007579E2" w:rsidRDefault="006A651C" w:rsidP="007E6F21">
            <w:pPr>
              <w:pStyle w:val="Tabletext"/>
              <w:keepNext/>
              <w:jc w:val="right"/>
              <w:rPr>
                <w:b/>
              </w:rPr>
            </w:pPr>
            <w:r w:rsidRPr="007579E2">
              <w:rPr>
                <w:rFonts w:cs="Calibri"/>
                <w:b/>
                <w:color w:val="000000"/>
              </w:rPr>
              <w:t>$</w:t>
            </w:r>
            <w:r w:rsidR="0023686E">
              <w:rPr>
                <w:rFonts w:cs="Calibri"/>
                <w:b/>
                <w:noProof/>
                <w:color w:val="000000"/>
                <w:highlight w:val="black"/>
              </w:rPr>
              <w:t>'''''''''''''</w:t>
            </w:r>
          </w:p>
        </w:tc>
        <w:tc>
          <w:tcPr>
            <w:tcW w:w="851" w:type="dxa"/>
            <w:shd w:val="clear" w:color="auto" w:fill="FFFFFF" w:themeFill="background1"/>
            <w:vAlign w:val="center"/>
          </w:tcPr>
          <w:p w:rsidR="006A651C" w:rsidRPr="007579E2" w:rsidRDefault="006A651C" w:rsidP="007E6F21">
            <w:pPr>
              <w:pStyle w:val="Tabletext"/>
              <w:keepNext/>
              <w:jc w:val="center"/>
              <w:rPr>
                <w:b/>
              </w:rPr>
            </w:pPr>
            <w:r w:rsidRPr="007579E2">
              <w:rPr>
                <w:rFonts w:cs="Calibri"/>
                <w:b/>
                <w:color w:val="000000"/>
              </w:rPr>
              <w:t>8.97</w:t>
            </w:r>
          </w:p>
        </w:tc>
        <w:tc>
          <w:tcPr>
            <w:tcW w:w="850" w:type="dxa"/>
            <w:shd w:val="clear" w:color="auto" w:fill="FFFFFF" w:themeFill="background1"/>
            <w:vAlign w:val="center"/>
          </w:tcPr>
          <w:p w:rsidR="006A651C" w:rsidRPr="007579E2" w:rsidRDefault="006A651C" w:rsidP="007E6F21">
            <w:pPr>
              <w:pStyle w:val="Tabletext"/>
              <w:keepNext/>
              <w:jc w:val="center"/>
              <w:rPr>
                <w:b/>
              </w:rPr>
            </w:pPr>
            <w:r w:rsidRPr="007579E2">
              <w:rPr>
                <w:rFonts w:cs="Calibri"/>
                <w:b/>
                <w:color w:val="000000"/>
              </w:rPr>
              <w:t>7.72</w:t>
            </w:r>
          </w:p>
        </w:tc>
        <w:tc>
          <w:tcPr>
            <w:tcW w:w="992" w:type="dxa"/>
            <w:shd w:val="clear" w:color="auto" w:fill="FFFFFF" w:themeFill="background1"/>
            <w:vAlign w:val="center"/>
          </w:tcPr>
          <w:p w:rsidR="006A651C" w:rsidRPr="007579E2" w:rsidRDefault="006A651C" w:rsidP="007E6F21">
            <w:pPr>
              <w:pStyle w:val="Tabletext"/>
              <w:keepNext/>
              <w:jc w:val="center"/>
              <w:rPr>
                <w:b/>
              </w:rPr>
            </w:pPr>
            <w:r w:rsidRPr="007579E2">
              <w:rPr>
                <w:rFonts w:cs="Calibri"/>
                <w:b/>
                <w:color w:val="000000"/>
              </w:rPr>
              <w:t>1.25</w:t>
            </w:r>
          </w:p>
        </w:tc>
        <w:tc>
          <w:tcPr>
            <w:tcW w:w="851" w:type="dxa"/>
            <w:shd w:val="clear" w:color="auto" w:fill="FFFFFF" w:themeFill="background1"/>
            <w:vAlign w:val="center"/>
          </w:tcPr>
          <w:p w:rsidR="006A651C" w:rsidRPr="007579E2" w:rsidRDefault="006A651C" w:rsidP="007E6F21">
            <w:pPr>
              <w:pStyle w:val="Tabletext"/>
              <w:keepNext/>
              <w:jc w:val="right"/>
              <w:rPr>
                <w:b/>
              </w:rPr>
            </w:pPr>
            <w:r w:rsidRPr="007579E2">
              <w:rPr>
                <w:rFonts w:cs="Calibri"/>
                <w:b/>
                <w:color w:val="000000"/>
              </w:rPr>
              <w:t>$</w:t>
            </w:r>
            <w:r w:rsidR="0023686E">
              <w:rPr>
                <w:rFonts w:cs="Calibri"/>
                <w:b/>
                <w:noProof/>
                <w:color w:val="000000"/>
                <w:highlight w:val="black"/>
              </w:rPr>
              <w:t>''''''''''''''</w:t>
            </w:r>
          </w:p>
        </w:tc>
      </w:tr>
      <w:tr w:rsidR="006A651C" w:rsidRPr="007579E2" w:rsidTr="00645204">
        <w:tc>
          <w:tcPr>
            <w:tcW w:w="9351" w:type="dxa"/>
            <w:gridSpan w:val="8"/>
            <w:shd w:val="clear" w:color="auto" w:fill="FFFFFF" w:themeFill="background1"/>
            <w:vAlign w:val="center"/>
          </w:tcPr>
          <w:p w:rsidR="006A651C" w:rsidRPr="007579E2" w:rsidRDefault="006A651C" w:rsidP="007E6F21">
            <w:pPr>
              <w:pStyle w:val="Tabletext"/>
              <w:keepNext/>
              <w:ind w:right="-57"/>
            </w:pPr>
            <w:r w:rsidRPr="007579E2">
              <w:t>Convergence of survival curves (base case: no)</w:t>
            </w:r>
          </w:p>
        </w:tc>
      </w:tr>
      <w:tr w:rsidR="006A651C" w:rsidRPr="007579E2" w:rsidTr="00645204">
        <w:tc>
          <w:tcPr>
            <w:tcW w:w="2972" w:type="dxa"/>
            <w:shd w:val="clear" w:color="auto" w:fill="FFFFFF" w:themeFill="background1"/>
            <w:vAlign w:val="center"/>
          </w:tcPr>
          <w:p w:rsidR="006A651C" w:rsidRPr="007579E2" w:rsidRDefault="006A651C" w:rsidP="007E6F21">
            <w:pPr>
              <w:pStyle w:val="Tabletext"/>
              <w:keepNext/>
              <w:ind w:left="171" w:right="-57"/>
            </w:pPr>
            <w:r w:rsidRPr="007579E2">
              <w:t xml:space="preserve">RFS and OS start to converge at Year </w:t>
            </w:r>
            <w:r w:rsidR="0023686E">
              <w:rPr>
                <w:noProof/>
                <w:color w:val="000000"/>
                <w:highlight w:val="black"/>
              </w:rPr>
              <w:t>'''</w:t>
            </w:r>
            <w:r w:rsidRPr="007579E2">
              <w:t xml:space="preserve">, converge at Year </w:t>
            </w:r>
            <w:r w:rsidR="0023686E">
              <w:rPr>
                <w:noProof/>
                <w:color w:val="000000"/>
                <w:highlight w:val="black"/>
              </w:rPr>
              <w:t>''''''</w:t>
            </w:r>
            <w:r w:rsidRPr="007579E2">
              <w:rPr>
                <w:vertAlign w:val="superscript"/>
              </w:rPr>
              <w:t>a</w:t>
            </w:r>
          </w:p>
        </w:tc>
        <w:tc>
          <w:tcPr>
            <w:tcW w:w="992" w:type="dxa"/>
            <w:shd w:val="clear" w:color="auto" w:fill="FFFFFF" w:themeFill="background1"/>
            <w:vAlign w:val="center"/>
          </w:tcPr>
          <w:p w:rsidR="006A651C" w:rsidRPr="007579E2" w:rsidRDefault="006A651C" w:rsidP="007E6F21">
            <w:pPr>
              <w:pStyle w:val="Tabletext"/>
              <w:keepNext/>
              <w:ind w:left="-57" w:right="-28"/>
              <w:jc w:val="right"/>
            </w:pPr>
            <w:r w:rsidRPr="007579E2">
              <w:t>$</w:t>
            </w:r>
            <w:r w:rsidR="0023686E">
              <w:rPr>
                <w:noProof/>
                <w:color w:val="000000"/>
                <w:highlight w:val="black"/>
              </w:rPr>
              <w:t>'''''''''''''''''''''</w:t>
            </w:r>
            <w:r w:rsidRPr="007579E2">
              <w:t xml:space="preserve"> </w:t>
            </w:r>
          </w:p>
        </w:tc>
        <w:tc>
          <w:tcPr>
            <w:tcW w:w="851" w:type="dxa"/>
            <w:shd w:val="clear" w:color="auto" w:fill="FFFFFF" w:themeFill="background1"/>
            <w:vAlign w:val="center"/>
          </w:tcPr>
          <w:p w:rsidR="006A651C" w:rsidRPr="007579E2" w:rsidRDefault="006A651C" w:rsidP="007E6F21">
            <w:pPr>
              <w:pStyle w:val="Tabletext"/>
              <w:keepNext/>
              <w:jc w:val="right"/>
            </w:pPr>
            <w:r w:rsidRPr="007579E2">
              <w:t>$</w:t>
            </w:r>
            <w:r w:rsidR="0023686E">
              <w:rPr>
                <w:noProof/>
                <w:color w:val="000000"/>
                <w:highlight w:val="black"/>
              </w:rPr>
              <w:t>''''''''''''''''</w:t>
            </w:r>
            <w:r w:rsidRPr="007579E2">
              <w:t xml:space="preserve"> </w:t>
            </w:r>
          </w:p>
        </w:tc>
        <w:tc>
          <w:tcPr>
            <w:tcW w:w="992" w:type="dxa"/>
            <w:shd w:val="clear" w:color="auto" w:fill="FFFFFF" w:themeFill="background1"/>
            <w:vAlign w:val="center"/>
          </w:tcPr>
          <w:p w:rsidR="006A651C" w:rsidRPr="007579E2" w:rsidRDefault="006A651C" w:rsidP="007E6F21">
            <w:pPr>
              <w:pStyle w:val="Tabletext"/>
              <w:keepNext/>
              <w:jc w:val="right"/>
            </w:pPr>
            <w:r w:rsidRPr="007579E2">
              <w:t>$</w:t>
            </w:r>
            <w:r w:rsidR="0023686E">
              <w:rPr>
                <w:noProof/>
                <w:color w:val="000000"/>
                <w:highlight w:val="black"/>
              </w:rPr>
              <w:t>''''''''''''''''</w:t>
            </w:r>
            <w:r w:rsidRPr="007579E2">
              <w:t xml:space="preserve"> </w:t>
            </w:r>
          </w:p>
        </w:tc>
        <w:tc>
          <w:tcPr>
            <w:tcW w:w="851" w:type="dxa"/>
            <w:shd w:val="clear" w:color="auto" w:fill="FFFFFF" w:themeFill="background1"/>
            <w:vAlign w:val="center"/>
          </w:tcPr>
          <w:p w:rsidR="006A651C" w:rsidRPr="0023686E" w:rsidRDefault="0023686E" w:rsidP="007E6F21">
            <w:pPr>
              <w:pStyle w:val="Tabletext"/>
              <w:keepNext/>
              <w:jc w:val="center"/>
              <w:rPr>
                <w:highlight w:val="black"/>
              </w:rPr>
            </w:pPr>
            <w:r>
              <w:rPr>
                <w:noProof/>
                <w:color w:val="000000"/>
                <w:highlight w:val="black"/>
              </w:rPr>
              <w:t>''''''''''</w:t>
            </w:r>
          </w:p>
        </w:tc>
        <w:tc>
          <w:tcPr>
            <w:tcW w:w="850" w:type="dxa"/>
            <w:shd w:val="clear" w:color="auto" w:fill="FFFFFF" w:themeFill="background1"/>
            <w:vAlign w:val="center"/>
          </w:tcPr>
          <w:p w:rsidR="006A651C" w:rsidRPr="0023686E" w:rsidRDefault="0023686E" w:rsidP="007E6F21">
            <w:pPr>
              <w:pStyle w:val="Tabletext"/>
              <w:keepNext/>
              <w:jc w:val="center"/>
              <w:rPr>
                <w:highlight w:val="black"/>
              </w:rPr>
            </w:pPr>
            <w:r>
              <w:rPr>
                <w:noProof/>
                <w:color w:val="000000"/>
                <w:highlight w:val="black"/>
              </w:rPr>
              <w:t>''''''''''</w:t>
            </w:r>
          </w:p>
        </w:tc>
        <w:tc>
          <w:tcPr>
            <w:tcW w:w="992" w:type="dxa"/>
            <w:shd w:val="clear" w:color="auto" w:fill="FFFFFF" w:themeFill="background1"/>
            <w:vAlign w:val="center"/>
          </w:tcPr>
          <w:p w:rsidR="006A651C" w:rsidRPr="0023686E" w:rsidRDefault="0023686E" w:rsidP="007E6F21">
            <w:pPr>
              <w:pStyle w:val="Tabletext"/>
              <w:keepNext/>
              <w:jc w:val="center"/>
              <w:rPr>
                <w:highlight w:val="black"/>
              </w:rPr>
            </w:pPr>
            <w:r>
              <w:rPr>
                <w:noProof/>
                <w:color w:val="000000"/>
                <w:highlight w:val="black"/>
              </w:rPr>
              <w:t>'''''''''''</w:t>
            </w:r>
          </w:p>
        </w:tc>
        <w:tc>
          <w:tcPr>
            <w:tcW w:w="851" w:type="dxa"/>
            <w:shd w:val="clear" w:color="auto" w:fill="FFFFFF" w:themeFill="background1"/>
            <w:vAlign w:val="center"/>
          </w:tcPr>
          <w:p w:rsidR="006A651C" w:rsidRPr="007579E2" w:rsidRDefault="006A651C" w:rsidP="007E6F21">
            <w:pPr>
              <w:pStyle w:val="Tabletext"/>
              <w:keepNext/>
              <w:ind w:left="-57"/>
              <w:jc w:val="right"/>
            </w:pPr>
            <w:r w:rsidRPr="007579E2">
              <w:t>$</w:t>
            </w:r>
            <w:r w:rsidR="0023686E">
              <w:rPr>
                <w:noProof/>
                <w:color w:val="000000"/>
                <w:highlight w:val="black"/>
              </w:rPr>
              <w:t>''''''''''''''''''''</w:t>
            </w:r>
            <w:r w:rsidRPr="007579E2">
              <w:t xml:space="preserve"> </w:t>
            </w:r>
          </w:p>
        </w:tc>
      </w:tr>
      <w:tr w:rsidR="0039358B" w:rsidRPr="007579E2" w:rsidTr="00645204">
        <w:tc>
          <w:tcPr>
            <w:tcW w:w="2972" w:type="dxa"/>
            <w:shd w:val="clear" w:color="auto" w:fill="FFFFFF" w:themeFill="background1"/>
            <w:vAlign w:val="center"/>
          </w:tcPr>
          <w:p w:rsidR="0039358B" w:rsidRPr="007579E2" w:rsidRDefault="0039358B" w:rsidP="007E6F21">
            <w:pPr>
              <w:pStyle w:val="Tabletext"/>
              <w:keepNext/>
              <w:ind w:left="171" w:right="-57"/>
            </w:pPr>
            <w:r w:rsidRPr="007579E2">
              <w:t>RFS and OS start to conver</w:t>
            </w:r>
            <w:r>
              <w:t xml:space="preserve">ge at Year </w:t>
            </w:r>
            <w:r w:rsidR="0023686E">
              <w:rPr>
                <w:noProof/>
                <w:color w:val="000000"/>
                <w:highlight w:val="black"/>
              </w:rPr>
              <w:t>''''</w:t>
            </w:r>
            <w:r>
              <w:t xml:space="preserve">, converge at Year </w:t>
            </w:r>
            <w:r w:rsidR="0023686E">
              <w:rPr>
                <w:noProof/>
                <w:color w:val="000000"/>
                <w:highlight w:val="black"/>
              </w:rPr>
              <w:t>'''''''</w:t>
            </w:r>
            <w:r w:rsidRPr="007579E2">
              <w:rPr>
                <w:vertAlign w:val="superscript"/>
              </w:rPr>
              <w:t>a</w:t>
            </w:r>
          </w:p>
        </w:tc>
        <w:tc>
          <w:tcPr>
            <w:tcW w:w="992" w:type="dxa"/>
            <w:shd w:val="clear" w:color="auto" w:fill="FFFFFF" w:themeFill="background1"/>
            <w:vAlign w:val="center"/>
          </w:tcPr>
          <w:p w:rsidR="0039358B" w:rsidRPr="007579E2" w:rsidRDefault="00C13DBC" w:rsidP="007E6F21">
            <w:pPr>
              <w:pStyle w:val="Tabletext"/>
              <w:keepNext/>
              <w:ind w:left="-57" w:right="-28"/>
              <w:jc w:val="right"/>
            </w:pPr>
            <w:r>
              <w:t>$</w:t>
            </w:r>
            <w:r w:rsidR="0023686E">
              <w:rPr>
                <w:noProof/>
                <w:color w:val="000000"/>
                <w:highlight w:val="black"/>
              </w:rPr>
              <w:t>'''''''''''''''''''''</w:t>
            </w:r>
          </w:p>
        </w:tc>
        <w:tc>
          <w:tcPr>
            <w:tcW w:w="851" w:type="dxa"/>
            <w:shd w:val="clear" w:color="auto" w:fill="FFFFFF" w:themeFill="background1"/>
            <w:vAlign w:val="center"/>
          </w:tcPr>
          <w:p w:rsidR="0039358B" w:rsidRPr="007579E2" w:rsidRDefault="00C13DBC" w:rsidP="007E6F21">
            <w:pPr>
              <w:pStyle w:val="Tabletext"/>
              <w:keepNext/>
              <w:jc w:val="right"/>
            </w:pPr>
            <w:r>
              <w:t>$</w:t>
            </w:r>
            <w:r w:rsidR="0023686E">
              <w:rPr>
                <w:noProof/>
                <w:color w:val="000000"/>
                <w:highlight w:val="black"/>
              </w:rPr>
              <w:t>''''''''''''''''</w:t>
            </w:r>
          </w:p>
        </w:tc>
        <w:tc>
          <w:tcPr>
            <w:tcW w:w="992" w:type="dxa"/>
            <w:shd w:val="clear" w:color="auto" w:fill="FFFFFF" w:themeFill="background1"/>
            <w:vAlign w:val="center"/>
          </w:tcPr>
          <w:p w:rsidR="0039358B" w:rsidRPr="007579E2" w:rsidRDefault="00C13DBC" w:rsidP="007E6F21">
            <w:pPr>
              <w:pStyle w:val="Tabletext"/>
              <w:keepNext/>
              <w:jc w:val="right"/>
            </w:pPr>
            <w:r>
              <w:t>$</w:t>
            </w:r>
            <w:r w:rsidR="0023686E">
              <w:rPr>
                <w:noProof/>
                <w:color w:val="000000"/>
                <w:highlight w:val="black"/>
              </w:rPr>
              <w:t>''''''''''''''''</w:t>
            </w:r>
          </w:p>
        </w:tc>
        <w:tc>
          <w:tcPr>
            <w:tcW w:w="851" w:type="dxa"/>
            <w:shd w:val="clear" w:color="auto" w:fill="FFFFFF" w:themeFill="background1"/>
            <w:vAlign w:val="center"/>
          </w:tcPr>
          <w:p w:rsidR="0039358B" w:rsidRPr="0023686E" w:rsidRDefault="0023686E" w:rsidP="007E6F21">
            <w:pPr>
              <w:pStyle w:val="Tabletext"/>
              <w:keepNext/>
              <w:jc w:val="center"/>
              <w:rPr>
                <w:highlight w:val="black"/>
              </w:rPr>
            </w:pPr>
            <w:r>
              <w:rPr>
                <w:noProof/>
                <w:color w:val="000000"/>
                <w:highlight w:val="black"/>
              </w:rPr>
              <w:t>''''''''''</w:t>
            </w:r>
          </w:p>
        </w:tc>
        <w:tc>
          <w:tcPr>
            <w:tcW w:w="850" w:type="dxa"/>
            <w:shd w:val="clear" w:color="auto" w:fill="FFFFFF" w:themeFill="background1"/>
            <w:vAlign w:val="center"/>
          </w:tcPr>
          <w:p w:rsidR="0039358B" w:rsidRPr="0023686E" w:rsidRDefault="0023686E" w:rsidP="007E6F21">
            <w:pPr>
              <w:pStyle w:val="Tabletext"/>
              <w:keepNext/>
              <w:jc w:val="center"/>
              <w:rPr>
                <w:highlight w:val="black"/>
              </w:rPr>
            </w:pPr>
            <w:r>
              <w:rPr>
                <w:noProof/>
                <w:color w:val="000000"/>
                <w:highlight w:val="black"/>
              </w:rPr>
              <w:t>'''''''''''</w:t>
            </w:r>
          </w:p>
        </w:tc>
        <w:tc>
          <w:tcPr>
            <w:tcW w:w="992" w:type="dxa"/>
            <w:shd w:val="clear" w:color="auto" w:fill="FFFFFF" w:themeFill="background1"/>
            <w:vAlign w:val="center"/>
          </w:tcPr>
          <w:p w:rsidR="0039358B" w:rsidRPr="0023686E" w:rsidRDefault="0023686E" w:rsidP="007E6F21">
            <w:pPr>
              <w:pStyle w:val="Tabletext"/>
              <w:keepNext/>
              <w:jc w:val="center"/>
              <w:rPr>
                <w:highlight w:val="black"/>
              </w:rPr>
            </w:pPr>
            <w:r>
              <w:rPr>
                <w:noProof/>
                <w:color w:val="000000"/>
                <w:highlight w:val="black"/>
              </w:rPr>
              <w:t>'''''''''''</w:t>
            </w:r>
          </w:p>
        </w:tc>
        <w:tc>
          <w:tcPr>
            <w:tcW w:w="851" w:type="dxa"/>
            <w:shd w:val="clear" w:color="auto" w:fill="FFFFFF" w:themeFill="background1"/>
            <w:vAlign w:val="center"/>
          </w:tcPr>
          <w:p w:rsidR="0039358B" w:rsidRPr="007579E2" w:rsidRDefault="00C13DBC" w:rsidP="007E6F21">
            <w:pPr>
              <w:pStyle w:val="Tabletext"/>
              <w:keepNext/>
              <w:ind w:left="-57"/>
              <w:jc w:val="right"/>
            </w:pPr>
            <w:r>
              <w:t>$</w:t>
            </w:r>
            <w:r w:rsidR="0023686E">
              <w:rPr>
                <w:noProof/>
                <w:color w:val="000000"/>
                <w:highlight w:val="black"/>
              </w:rPr>
              <w:t>''''''''''''''''</w:t>
            </w:r>
          </w:p>
        </w:tc>
      </w:tr>
      <w:tr w:rsidR="006A651C" w:rsidRPr="007579E2" w:rsidTr="00645204">
        <w:tc>
          <w:tcPr>
            <w:tcW w:w="2972" w:type="dxa"/>
            <w:shd w:val="clear" w:color="auto" w:fill="FFFFFF" w:themeFill="background1"/>
            <w:vAlign w:val="center"/>
          </w:tcPr>
          <w:p w:rsidR="006A651C" w:rsidRPr="007579E2" w:rsidRDefault="006A651C" w:rsidP="007E6F21">
            <w:pPr>
              <w:pStyle w:val="Tabletext"/>
              <w:keepNext/>
              <w:ind w:left="171" w:right="-57"/>
            </w:pPr>
            <w:r w:rsidRPr="007579E2">
              <w:t xml:space="preserve">RFS and OS start to converge at Year </w:t>
            </w:r>
            <w:r w:rsidR="0023686E">
              <w:rPr>
                <w:noProof/>
                <w:color w:val="000000"/>
                <w:highlight w:val="black"/>
              </w:rPr>
              <w:t>'''</w:t>
            </w:r>
            <w:r w:rsidRPr="007579E2">
              <w:t xml:space="preserve">, converge at Year </w:t>
            </w:r>
            <w:r w:rsidR="0023686E">
              <w:rPr>
                <w:noProof/>
                <w:color w:val="000000"/>
                <w:highlight w:val="black"/>
              </w:rPr>
              <w:t>''''''</w:t>
            </w:r>
            <w:r w:rsidRPr="007579E2">
              <w:rPr>
                <w:vertAlign w:val="superscript"/>
              </w:rPr>
              <w:t>a</w:t>
            </w:r>
          </w:p>
        </w:tc>
        <w:tc>
          <w:tcPr>
            <w:tcW w:w="992" w:type="dxa"/>
            <w:shd w:val="clear" w:color="auto" w:fill="FFFFFF" w:themeFill="background1"/>
            <w:vAlign w:val="center"/>
          </w:tcPr>
          <w:p w:rsidR="006A651C" w:rsidRPr="007579E2" w:rsidRDefault="006A651C" w:rsidP="007E6F21">
            <w:pPr>
              <w:pStyle w:val="Tabletext"/>
              <w:keepNext/>
              <w:ind w:left="-57" w:right="-28"/>
              <w:jc w:val="right"/>
              <w:rPr>
                <w:rFonts w:cs="Calibri"/>
                <w:color w:val="000000"/>
              </w:rPr>
            </w:pPr>
            <w:r w:rsidRPr="007579E2">
              <w:t>$</w:t>
            </w:r>
            <w:r w:rsidR="0023686E">
              <w:rPr>
                <w:noProof/>
                <w:color w:val="000000"/>
                <w:highlight w:val="black"/>
              </w:rPr>
              <w:t>'''''''''''''''''''''</w:t>
            </w:r>
            <w:r w:rsidRPr="007579E2">
              <w:t xml:space="preserve"> </w:t>
            </w:r>
          </w:p>
        </w:tc>
        <w:tc>
          <w:tcPr>
            <w:tcW w:w="851" w:type="dxa"/>
            <w:shd w:val="clear" w:color="auto" w:fill="FFFFFF" w:themeFill="background1"/>
            <w:vAlign w:val="center"/>
          </w:tcPr>
          <w:p w:rsidR="006A651C" w:rsidRPr="007579E2" w:rsidRDefault="006A651C" w:rsidP="007E6F21">
            <w:pPr>
              <w:pStyle w:val="Tabletext"/>
              <w:keepNext/>
              <w:jc w:val="right"/>
              <w:rPr>
                <w:rFonts w:cs="Calibri"/>
                <w:color w:val="000000"/>
              </w:rPr>
            </w:pPr>
            <w:r w:rsidRPr="007579E2">
              <w:t>$</w:t>
            </w:r>
            <w:r w:rsidR="0023686E">
              <w:rPr>
                <w:noProof/>
                <w:color w:val="000000"/>
                <w:highlight w:val="black"/>
              </w:rPr>
              <w:t>''''''''''''''''''</w:t>
            </w:r>
            <w:r w:rsidRPr="007579E2">
              <w:t xml:space="preserve"> </w:t>
            </w:r>
          </w:p>
        </w:tc>
        <w:tc>
          <w:tcPr>
            <w:tcW w:w="992" w:type="dxa"/>
            <w:shd w:val="clear" w:color="auto" w:fill="FFFFFF" w:themeFill="background1"/>
            <w:vAlign w:val="center"/>
          </w:tcPr>
          <w:p w:rsidR="006A651C" w:rsidRPr="007579E2" w:rsidRDefault="006A651C" w:rsidP="007E6F21">
            <w:pPr>
              <w:pStyle w:val="Tabletext"/>
              <w:keepNext/>
              <w:jc w:val="right"/>
              <w:rPr>
                <w:rFonts w:cs="Calibri"/>
                <w:color w:val="000000"/>
              </w:rPr>
            </w:pPr>
            <w:r w:rsidRPr="007579E2">
              <w:t>$</w:t>
            </w:r>
            <w:r w:rsidR="0023686E">
              <w:rPr>
                <w:noProof/>
                <w:color w:val="000000"/>
                <w:highlight w:val="black"/>
              </w:rPr>
              <w:t>'''''''''''''''</w:t>
            </w:r>
            <w:r w:rsidRPr="007579E2">
              <w:t xml:space="preserve"> </w:t>
            </w:r>
          </w:p>
        </w:tc>
        <w:tc>
          <w:tcPr>
            <w:tcW w:w="851" w:type="dxa"/>
            <w:shd w:val="clear" w:color="auto" w:fill="FFFFFF" w:themeFill="background1"/>
            <w:vAlign w:val="center"/>
          </w:tcPr>
          <w:p w:rsidR="006A651C" w:rsidRPr="0023686E" w:rsidRDefault="0023686E" w:rsidP="007E6F21">
            <w:pPr>
              <w:pStyle w:val="Tabletext"/>
              <w:keepNext/>
              <w:jc w:val="center"/>
              <w:rPr>
                <w:rFonts w:cs="Calibri"/>
                <w:color w:val="000000"/>
                <w:highlight w:val="black"/>
              </w:rPr>
            </w:pPr>
            <w:r>
              <w:rPr>
                <w:noProof/>
                <w:color w:val="000000"/>
                <w:highlight w:val="black"/>
              </w:rPr>
              <w:t>''''''''''</w:t>
            </w:r>
          </w:p>
        </w:tc>
        <w:tc>
          <w:tcPr>
            <w:tcW w:w="850" w:type="dxa"/>
            <w:shd w:val="clear" w:color="auto" w:fill="FFFFFF" w:themeFill="background1"/>
            <w:vAlign w:val="center"/>
          </w:tcPr>
          <w:p w:rsidR="006A651C" w:rsidRPr="0023686E" w:rsidRDefault="0023686E" w:rsidP="007E6F21">
            <w:pPr>
              <w:pStyle w:val="Tabletext"/>
              <w:keepNext/>
              <w:jc w:val="center"/>
              <w:rPr>
                <w:rFonts w:cs="Calibri"/>
                <w:color w:val="000000"/>
                <w:highlight w:val="black"/>
              </w:rPr>
            </w:pPr>
            <w:r>
              <w:rPr>
                <w:noProof/>
                <w:color w:val="000000"/>
                <w:highlight w:val="black"/>
              </w:rPr>
              <w:t>''''''''''</w:t>
            </w:r>
          </w:p>
        </w:tc>
        <w:tc>
          <w:tcPr>
            <w:tcW w:w="992" w:type="dxa"/>
            <w:shd w:val="clear" w:color="auto" w:fill="FFFFFF" w:themeFill="background1"/>
            <w:vAlign w:val="center"/>
          </w:tcPr>
          <w:p w:rsidR="006A651C" w:rsidRPr="0023686E" w:rsidRDefault="0023686E" w:rsidP="007E6F21">
            <w:pPr>
              <w:pStyle w:val="Tabletext"/>
              <w:keepNext/>
              <w:jc w:val="center"/>
              <w:rPr>
                <w:rFonts w:cs="Calibri"/>
                <w:color w:val="000000"/>
                <w:highlight w:val="black"/>
              </w:rPr>
            </w:pPr>
            <w:r>
              <w:rPr>
                <w:noProof/>
                <w:color w:val="000000"/>
                <w:highlight w:val="black"/>
              </w:rPr>
              <w:t>''''''''''</w:t>
            </w:r>
          </w:p>
        </w:tc>
        <w:tc>
          <w:tcPr>
            <w:tcW w:w="851" w:type="dxa"/>
            <w:shd w:val="clear" w:color="auto" w:fill="FFFFFF" w:themeFill="background1"/>
            <w:vAlign w:val="center"/>
          </w:tcPr>
          <w:p w:rsidR="006A651C" w:rsidRPr="007579E2" w:rsidRDefault="006A651C" w:rsidP="007E6F21">
            <w:pPr>
              <w:pStyle w:val="Tabletext"/>
              <w:keepNext/>
              <w:jc w:val="right"/>
              <w:rPr>
                <w:rFonts w:cs="Calibri"/>
                <w:color w:val="000000"/>
              </w:rPr>
            </w:pPr>
            <w:r w:rsidRPr="007579E2">
              <w:t>$</w:t>
            </w:r>
            <w:r w:rsidR="0023686E">
              <w:rPr>
                <w:noProof/>
                <w:color w:val="000000"/>
                <w:highlight w:val="black"/>
              </w:rPr>
              <w:t>'''''''''''''''</w:t>
            </w:r>
            <w:r w:rsidRPr="007579E2">
              <w:t xml:space="preserve"> </w:t>
            </w:r>
          </w:p>
        </w:tc>
      </w:tr>
      <w:tr w:rsidR="006A651C" w:rsidRPr="007579E2" w:rsidTr="00645204">
        <w:tc>
          <w:tcPr>
            <w:tcW w:w="9351" w:type="dxa"/>
            <w:gridSpan w:val="8"/>
            <w:shd w:val="clear" w:color="auto" w:fill="FFFFFF" w:themeFill="background1"/>
            <w:vAlign w:val="center"/>
          </w:tcPr>
          <w:p w:rsidR="006A651C" w:rsidRPr="007579E2" w:rsidRDefault="006A651C" w:rsidP="007E6F21">
            <w:pPr>
              <w:pStyle w:val="Tabletext"/>
              <w:ind w:left="-57" w:right="-57"/>
              <w:rPr>
                <w:rFonts w:cs="Calibri"/>
                <w:color w:val="000000"/>
              </w:rPr>
            </w:pPr>
            <w:r w:rsidRPr="007579E2">
              <w:rPr>
                <w:rFonts w:cs="Calibri"/>
                <w:color w:val="000000"/>
              </w:rPr>
              <w:t xml:space="preserve">Extrapolation time point for RFS (base case: </w:t>
            </w:r>
            <w:r w:rsidR="0023686E">
              <w:rPr>
                <w:rFonts w:cs="Calibri"/>
                <w:noProof/>
                <w:color w:val="000000"/>
                <w:highlight w:val="black"/>
              </w:rPr>
              <w:t>''''''</w:t>
            </w:r>
            <w:r w:rsidRPr="007579E2">
              <w:rPr>
                <w:rFonts w:cs="Calibri"/>
                <w:color w:val="000000"/>
              </w:rPr>
              <w:t xml:space="preserve"> months) </w:t>
            </w:r>
          </w:p>
        </w:tc>
      </w:tr>
      <w:tr w:rsidR="006A651C" w:rsidRPr="007579E2" w:rsidTr="00645204">
        <w:tc>
          <w:tcPr>
            <w:tcW w:w="2972" w:type="dxa"/>
            <w:shd w:val="clear" w:color="auto" w:fill="FFFFFF" w:themeFill="background1"/>
            <w:vAlign w:val="center"/>
          </w:tcPr>
          <w:p w:rsidR="006A651C" w:rsidRPr="007579E2" w:rsidRDefault="0023686E" w:rsidP="007E6F21">
            <w:pPr>
              <w:pStyle w:val="Tabletext"/>
              <w:ind w:left="171" w:right="-57"/>
            </w:pPr>
            <w:r>
              <w:rPr>
                <w:noProof/>
                <w:color w:val="000000"/>
                <w:highlight w:val="black"/>
              </w:rPr>
              <w:t>'''''</w:t>
            </w:r>
            <w:r w:rsidR="006A651C" w:rsidRPr="007579E2">
              <w:t xml:space="preserve"> months</w:t>
            </w:r>
          </w:p>
        </w:tc>
        <w:tc>
          <w:tcPr>
            <w:tcW w:w="992" w:type="dxa"/>
            <w:shd w:val="clear" w:color="auto" w:fill="FFFFFF" w:themeFill="background1"/>
          </w:tcPr>
          <w:p w:rsidR="006A651C" w:rsidRPr="007579E2" w:rsidRDefault="006A651C" w:rsidP="007E6F21">
            <w:pPr>
              <w:pStyle w:val="Tabletext"/>
              <w:ind w:left="-57" w:right="-28"/>
              <w:jc w:val="right"/>
              <w:rPr>
                <w:rFonts w:cs="Calibri"/>
                <w:color w:val="000000"/>
              </w:rPr>
            </w:pPr>
            <w:r w:rsidRPr="007579E2">
              <w:t>$</w:t>
            </w:r>
            <w:r w:rsidR="0023686E">
              <w:rPr>
                <w:noProof/>
                <w:color w:val="000000"/>
                <w:highlight w:val="black"/>
              </w:rPr>
              <w:t>''''''''''''''''''''</w:t>
            </w:r>
            <w:r w:rsidRPr="007579E2">
              <w:t xml:space="preserve"> </w:t>
            </w:r>
          </w:p>
        </w:tc>
        <w:tc>
          <w:tcPr>
            <w:tcW w:w="851" w:type="dxa"/>
            <w:shd w:val="clear" w:color="auto" w:fill="FFFFFF" w:themeFill="background1"/>
          </w:tcPr>
          <w:p w:rsidR="006A651C" w:rsidRPr="007579E2" w:rsidRDefault="006A651C" w:rsidP="007E6F21">
            <w:pPr>
              <w:pStyle w:val="Tabletext"/>
              <w:jc w:val="right"/>
              <w:rPr>
                <w:rFonts w:cs="Calibri"/>
                <w:color w:val="000000"/>
              </w:rPr>
            </w:pPr>
            <w:r w:rsidRPr="007579E2">
              <w:t>$</w:t>
            </w:r>
            <w:r w:rsidR="0023686E">
              <w:rPr>
                <w:noProof/>
                <w:color w:val="000000"/>
                <w:highlight w:val="black"/>
              </w:rPr>
              <w:t>'''''''''''''''</w:t>
            </w:r>
            <w:r w:rsidRPr="007579E2">
              <w:t xml:space="preserve"> </w:t>
            </w:r>
          </w:p>
        </w:tc>
        <w:tc>
          <w:tcPr>
            <w:tcW w:w="992" w:type="dxa"/>
            <w:shd w:val="clear" w:color="auto" w:fill="FFFFFF" w:themeFill="background1"/>
          </w:tcPr>
          <w:p w:rsidR="006A651C" w:rsidRPr="007579E2" w:rsidRDefault="006A651C" w:rsidP="007E6F21">
            <w:pPr>
              <w:pStyle w:val="Tabletext"/>
              <w:jc w:val="right"/>
              <w:rPr>
                <w:rFonts w:cs="Calibri"/>
                <w:color w:val="000000"/>
              </w:rPr>
            </w:pPr>
            <w:r w:rsidRPr="007579E2">
              <w:t>$</w:t>
            </w:r>
            <w:r w:rsidR="0023686E">
              <w:rPr>
                <w:noProof/>
                <w:color w:val="000000"/>
                <w:highlight w:val="black"/>
              </w:rPr>
              <w:t>'''''''''''''''</w:t>
            </w:r>
            <w:r w:rsidRPr="007579E2">
              <w:t xml:space="preserve"> </w:t>
            </w:r>
          </w:p>
        </w:tc>
        <w:tc>
          <w:tcPr>
            <w:tcW w:w="851" w:type="dxa"/>
            <w:shd w:val="clear" w:color="auto" w:fill="FFFFFF" w:themeFill="background1"/>
          </w:tcPr>
          <w:p w:rsidR="006A651C" w:rsidRPr="0023686E" w:rsidRDefault="0023686E" w:rsidP="007E6F21">
            <w:pPr>
              <w:pStyle w:val="Tabletext"/>
              <w:jc w:val="center"/>
              <w:rPr>
                <w:rFonts w:cs="Calibri"/>
                <w:color w:val="000000"/>
                <w:highlight w:val="black"/>
              </w:rPr>
            </w:pPr>
            <w:r>
              <w:rPr>
                <w:noProof/>
                <w:color w:val="000000"/>
                <w:highlight w:val="black"/>
              </w:rPr>
              <w:t>''''''''''</w:t>
            </w:r>
          </w:p>
        </w:tc>
        <w:tc>
          <w:tcPr>
            <w:tcW w:w="850" w:type="dxa"/>
            <w:shd w:val="clear" w:color="auto" w:fill="FFFFFF" w:themeFill="background1"/>
          </w:tcPr>
          <w:p w:rsidR="006A651C" w:rsidRPr="0023686E" w:rsidRDefault="0023686E" w:rsidP="007E6F21">
            <w:pPr>
              <w:pStyle w:val="Tabletext"/>
              <w:jc w:val="center"/>
              <w:rPr>
                <w:rFonts w:cs="Calibri"/>
                <w:color w:val="000000"/>
                <w:highlight w:val="black"/>
              </w:rPr>
            </w:pPr>
            <w:r>
              <w:rPr>
                <w:noProof/>
                <w:color w:val="000000"/>
                <w:highlight w:val="black"/>
              </w:rPr>
              <w:t>''''''''''</w:t>
            </w:r>
          </w:p>
        </w:tc>
        <w:tc>
          <w:tcPr>
            <w:tcW w:w="992" w:type="dxa"/>
            <w:shd w:val="clear" w:color="auto" w:fill="FFFFFF" w:themeFill="background1"/>
          </w:tcPr>
          <w:p w:rsidR="006A651C" w:rsidRPr="0023686E" w:rsidRDefault="0023686E" w:rsidP="007E6F21">
            <w:pPr>
              <w:pStyle w:val="Tabletext"/>
              <w:jc w:val="center"/>
              <w:rPr>
                <w:rFonts w:cs="Calibri"/>
                <w:color w:val="000000"/>
                <w:highlight w:val="black"/>
              </w:rPr>
            </w:pPr>
            <w:r>
              <w:rPr>
                <w:noProof/>
                <w:color w:val="000000"/>
                <w:highlight w:val="black"/>
              </w:rPr>
              <w:t>''''''''''</w:t>
            </w:r>
          </w:p>
        </w:tc>
        <w:tc>
          <w:tcPr>
            <w:tcW w:w="851" w:type="dxa"/>
            <w:shd w:val="clear" w:color="auto" w:fill="FFFFFF" w:themeFill="background1"/>
          </w:tcPr>
          <w:p w:rsidR="006A651C" w:rsidRPr="007579E2" w:rsidRDefault="006A651C" w:rsidP="007E6F21">
            <w:pPr>
              <w:pStyle w:val="Tabletext"/>
              <w:jc w:val="right"/>
              <w:rPr>
                <w:rFonts w:cs="Calibri"/>
                <w:color w:val="000000"/>
              </w:rPr>
            </w:pPr>
            <w:r w:rsidRPr="007579E2">
              <w:t>$</w:t>
            </w:r>
            <w:r w:rsidR="0023686E">
              <w:rPr>
                <w:noProof/>
                <w:color w:val="000000"/>
                <w:highlight w:val="black"/>
              </w:rPr>
              <w:t>'''''''''''''''</w:t>
            </w:r>
            <w:r w:rsidRPr="007579E2">
              <w:t xml:space="preserve"> </w:t>
            </w:r>
          </w:p>
        </w:tc>
      </w:tr>
      <w:tr w:rsidR="006A651C" w:rsidRPr="007579E2" w:rsidTr="00645204">
        <w:tc>
          <w:tcPr>
            <w:tcW w:w="9351" w:type="dxa"/>
            <w:gridSpan w:val="8"/>
            <w:shd w:val="clear" w:color="auto" w:fill="FFFFFF" w:themeFill="background1"/>
            <w:vAlign w:val="center"/>
          </w:tcPr>
          <w:p w:rsidR="006A651C" w:rsidRPr="007579E2" w:rsidRDefault="006A651C" w:rsidP="007E6F21">
            <w:pPr>
              <w:pStyle w:val="Tabletext"/>
              <w:ind w:left="-57" w:right="-57"/>
              <w:rPr>
                <w:rFonts w:cs="Calibri"/>
                <w:color w:val="000000"/>
              </w:rPr>
            </w:pPr>
            <w:r w:rsidRPr="007579E2">
              <w:rPr>
                <w:rFonts w:cs="Calibri"/>
                <w:color w:val="000000"/>
              </w:rPr>
              <w:t>Extrapolation time point for OS (</w:t>
            </w:r>
            <w:r w:rsidR="0023686E">
              <w:rPr>
                <w:rFonts w:cs="Calibri"/>
                <w:noProof/>
                <w:color w:val="000000"/>
                <w:highlight w:val="black"/>
              </w:rPr>
              <w:t>''''''</w:t>
            </w:r>
            <w:r w:rsidRPr="007579E2">
              <w:rPr>
                <w:rFonts w:cs="Calibri"/>
                <w:color w:val="000000"/>
              </w:rPr>
              <w:t xml:space="preserve"> months)</w:t>
            </w:r>
          </w:p>
        </w:tc>
      </w:tr>
      <w:tr w:rsidR="006A651C" w:rsidRPr="007579E2" w:rsidTr="00645204">
        <w:tc>
          <w:tcPr>
            <w:tcW w:w="2972" w:type="dxa"/>
            <w:shd w:val="clear" w:color="auto" w:fill="FFFFFF" w:themeFill="background1"/>
            <w:vAlign w:val="center"/>
          </w:tcPr>
          <w:p w:rsidR="006A651C" w:rsidRPr="007579E2" w:rsidRDefault="0023686E" w:rsidP="007E6F21">
            <w:pPr>
              <w:pStyle w:val="Tabletext"/>
              <w:ind w:left="171" w:right="-57"/>
            </w:pPr>
            <w:r>
              <w:rPr>
                <w:noProof/>
                <w:color w:val="000000"/>
                <w:highlight w:val="black"/>
              </w:rPr>
              <w:t>''''''</w:t>
            </w:r>
            <w:r w:rsidR="006A651C" w:rsidRPr="007579E2">
              <w:t xml:space="preserve"> months</w:t>
            </w:r>
          </w:p>
        </w:tc>
        <w:tc>
          <w:tcPr>
            <w:tcW w:w="992" w:type="dxa"/>
            <w:shd w:val="clear" w:color="auto" w:fill="FFFFFF" w:themeFill="background1"/>
          </w:tcPr>
          <w:p w:rsidR="006A651C" w:rsidRPr="007579E2" w:rsidRDefault="006A651C" w:rsidP="007E6F21">
            <w:pPr>
              <w:pStyle w:val="Tabletext"/>
              <w:ind w:left="-57" w:right="-28"/>
              <w:jc w:val="right"/>
            </w:pPr>
            <w:r w:rsidRPr="007579E2">
              <w:t>$</w:t>
            </w:r>
            <w:r w:rsidR="0023686E">
              <w:rPr>
                <w:noProof/>
                <w:color w:val="000000"/>
                <w:highlight w:val="black"/>
              </w:rPr>
              <w:t>'''''''''''''''''</w:t>
            </w:r>
            <w:r w:rsidRPr="007579E2">
              <w:t xml:space="preserve"> </w:t>
            </w:r>
          </w:p>
        </w:tc>
        <w:tc>
          <w:tcPr>
            <w:tcW w:w="851" w:type="dxa"/>
            <w:shd w:val="clear" w:color="auto" w:fill="FFFFFF" w:themeFill="background1"/>
          </w:tcPr>
          <w:p w:rsidR="006A651C" w:rsidRPr="007579E2" w:rsidRDefault="006A651C" w:rsidP="007E6F21">
            <w:pPr>
              <w:pStyle w:val="Tabletext"/>
              <w:jc w:val="right"/>
            </w:pPr>
            <w:r w:rsidRPr="007579E2">
              <w:t>$</w:t>
            </w:r>
            <w:r w:rsidR="0023686E">
              <w:rPr>
                <w:noProof/>
                <w:color w:val="000000"/>
                <w:highlight w:val="black"/>
              </w:rPr>
              <w:t>''''''''''''''''</w:t>
            </w:r>
            <w:r w:rsidRPr="007579E2">
              <w:t xml:space="preserve"> </w:t>
            </w:r>
          </w:p>
        </w:tc>
        <w:tc>
          <w:tcPr>
            <w:tcW w:w="992" w:type="dxa"/>
            <w:shd w:val="clear" w:color="auto" w:fill="FFFFFF" w:themeFill="background1"/>
          </w:tcPr>
          <w:p w:rsidR="006A651C" w:rsidRPr="007579E2" w:rsidRDefault="006A651C" w:rsidP="007E6F21">
            <w:pPr>
              <w:pStyle w:val="Tabletext"/>
              <w:jc w:val="right"/>
            </w:pPr>
            <w:r w:rsidRPr="007579E2">
              <w:t>$</w:t>
            </w:r>
            <w:r w:rsidR="0023686E">
              <w:rPr>
                <w:noProof/>
                <w:color w:val="000000"/>
                <w:highlight w:val="black"/>
              </w:rPr>
              <w:t>''''''''''''''''</w:t>
            </w:r>
            <w:r w:rsidRPr="007579E2">
              <w:t xml:space="preserve"> </w:t>
            </w:r>
          </w:p>
        </w:tc>
        <w:tc>
          <w:tcPr>
            <w:tcW w:w="851" w:type="dxa"/>
            <w:shd w:val="clear" w:color="auto" w:fill="FFFFFF" w:themeFill="background1"/>
          </w:tcPr>
          <w:p w:rsidR="006A651C" w:rsidRPr="0023686E" w:rsidRDefault="0023686E" w:rsidP="007E6F21">
            <w:pPr>
              <w:pStyle w:val="Tabletext"/>
              <w:jc w:val="center"/>
              <w:rPr>
                <w:highlight w:val="black"/>
              </w:rPr>
            </w:pPr>
            <w:r>
              <w:rPr>
                <w:noProof/>
                <w:color w:val="000000"/>
                <w:highlight w:val="black"/>
              </w:rPr>
              <w:t>'''''''''''</w:t>
            </w:r>
          </w:p>
        </w:tc>
        <w:tc>
          <w:tcPr>
            <w:tcW w:w="850" w:type="dxa"/>
            <w:shd w:val="clear" w:color="auto" w:fill="FFFFFF" w:themeFill="background1"/>
          </w:tcPr>
          <w:p w:rsidR="006A651C" w:rsidRPr="0023686E" w:rsidRDefault="0023686E" w:rsidP="007E6F21">
            <w:pPr>
              <w:pStyle w:val="Tabletext"/>
              <w:jc w:val="center"/>
              <w:rPr>
                <w:highlight w:val="black"/>
              </w:rPr>
            </w:pPr>
            <w:r>
              <w:rPr>
                <w:noProof/>
                <w:color w:val="000000"/>
                <w:highlight w:val="black"/>
              </w:rPr>
              <w:t>''''''''''''</w:t>
            </w:r>
          </w:p>
        </w:tc>
        <w:tc>
          <w:tcPr>
            <w:tcW w:w="992" w:type="dxa"/>
            <w:shd w:val="clear" w:color="auto" w:fill="FFFFFF" w:themeFill="background1"/>
          </w:tcPr>
          <w:p w:rsidR="006A651C" w:rsidRPr="0023686E" w:rsidRDefault="0023686E" w:rsidP="007E6F21">
            <w:pPr>
              <w:pStyle w:val="Tabletext"/>
              <w:jc w:val="center"/>
              <w:rPr>
                <w:highlight w:val="black"/>
              </w:rPr>
            </w:pPr>
            <w:r>
              <w:rPr>
                <w:noProof/>
                <w:color w:val="000000"/>
                <w:highlight w:val="black"/>
              </w:rPr>
              <w:t>'''''''''''</w:t>
            </w:r>
          </w:p>
        </w:tc>
        <w:tc>
          <w:tcPr>
            <w:tcW w:w="851" w:type="dxa"/>
            <w:shd w:val="clear" w:color="auto" w:fill="FFFFFF" w:themeFill="background1"/>
          </w:tcPr>
          <w:p w:rsidR="006A651C" w:rsidRPr="007579E2" w:rsidRDefault="006A651C" w:rsidP="007E6F21">
            <w:pPr>
              <w:pStyle w:val="Tabletext"/>
              <w:jc w:val="right"/>
            </w:pPr>
            <w:r w:rsidRPr="007579E2">
              <w:t>$</w:t>
            </w:r>
            <w:r w:rsidR="0023686E">
              <w:rPr>
                <w:noProof/>
                <w:color w:val="000000"/>
                <w:highlight w:val="black"/>
              </w:rPr>
              <w:t>''''''''''''''''</w:t>
            </w:r>
            <w:r w:rsidRPr="007579E2">
              <w:t xml:space="preserve"> </w:t>
            </w:r>
          </w:p>
        </w:tc>
      </w:tr>
      <w:tr w:rsidR="006A651C" w:rsidRPr="007579E2" w:rsidTr="00645204">
        <w:tc>
          <w:tcPr>
            <w:tcW w:w="9351" w:type="dxa"/>
            <w:gridSpan w:val="8"/>
            <w:shd w:val="clear" w:color="auto" w:fill="FFFFFF" w:themeFill="background1"/>
            <w:vAlign w:val="center"/>
          </w:tcPr>
          <w:p w:rsidR="006A651C" w:rsidRPr="007579E2" w:rsidRDefault="006A651C" w:rsidP="007E6F21">
            <w:pPr>
              <w:pStyle w:val="Tabletext"/>
              <w:ind w:left="-57" w:right="-57"/>
              <w:rPr>
                <w:rFonts w:cs="Calibri"/>
                <w:color w:val="000000"/>
              </w:rPr>
            </w:pPr>
            <w:r w:rsidRPr="007579E2">
              <w:t xml:space="preserve">Cost for DAB+TRAM (base case: DAB+TRAM daily dose as observed in Trial COMBI-AD (no drug wastage), RFS in Year 1 as proxy for time on treatment with DAB+TRAM) </w:t>
            </w:r>
          </w:p>
        </w:tc>
      </w:tr>
      <w:tr w:rsidR="006A651C" w:rsidRPr="007579E2" w:rsidTr="00645204">
        <w:tc>
          <w:tcPr>
            <w:tcW w:w="2972" w:type="dxa"/>
            <w:shd w:val="clear" w:color="auto" w:fill="FFFFFF" w:themeFill="background1"/>
            <w:vAlign w:val="center"/>
          </w:tcPr>
          <w:p w:rsidR="006A651C" w:rsidRPr="007579E2" w:rsidRDefault="00E245DB" w:rsidP="007E6F21">
            <w:pPr>
              <w:pStyle w:val="Tabletext"/>
              <w:ind w:left="171" w:right="-57"/>
            </w:pPr>
            <w:r w:rsidRPr="007579E2">
              <w:t>PI r</w:t>
            </w:r>
            <w:r w:rsidR="006A651C" w:rsidRPr="007579E2">
              <w:t xml:space="preserve">ecommended dose for </w:t>
            </w:r>
            <w:proofErr w:type="spellStart"/>
            <w:r w:rsidR="006A651C" w:rsidRPr="007579E2">
              <w:t>DAB+TRAM</w:t>
            </w:r>
            <w:r w:rsidRPr="007579E2">
              <w:rPr>
                <w:vertAlign w:val="superscript"/>
              </w:rPr>
              <w:t>b</w:t>
            </w:r>
            <w:proofErr w:type="spellEnd"/>
          </w:p>
        </w:tc>
        <w:tc>
          <w:tcPr>
            <w:tcW w:w="992" w:type="dxa"/>
            <w:shd w:val="clear" w:color="auto" w:fill="FFFFFF" w:themeFill="background1"/>
            <w:vAlign w:val="center"/>
          </w:tcPr>
          <w:p w:rsidR="006A651C" w:rsidRPr="007579E2" w:rsidRDefault="006A651C" w:rsidP="007E6F21">
            <w:pPr>
              <w:pStyle w:val="Tabletext"/>
              <w:ind w:left="-57" w:right="-28"/>
              <w:jc w:val="right"/>
            </w:pPr>
            <w:r w:rsidRPr="007579E2">
              <w:t>$</w:t>
            </w:r>
            <w:r w:rsidR="0023686E">
              <w:rPr>
                <w:noProof/>
                <w:color w:val="000000"/>
                <w:highlight w:val="black"/>
              </w:rPr>
              <w:t>'''''''''''''''''''</w:t>
            </w:r>
            <w:r w:rsidRPr="007579E2">
              <w:t xml:space="preserve"> </w:t>
            </w:r>
          </w:p>
        </w:tc>
        <w:tc>
          <w:tcPr>
            <w:tcW w:w="851" w:type="dxa"/>
            <w:shd w:val="clear" w:color="auto" w:fill="FFFFFF" w:themeFill="background1"/>
            <w:vAlign w:val="center"/>
          </w:tcPr>
          <w:p w:rsidR="006A651C" w:rsidRPr="007579E2" w:rsidRDefault="006A651C" w:rsidP="007E6F21">
            <w:pPr>
              <w:pStyle w:val="Tabletext"/>
              <w:jc w:val="right"/>
            </w:pPr>
            <w:r w:rsidRPr="007579E2">
              <w:t>$</w:t>
            </w:r>
            <w:r w:rsidR="0023686E">
              <w:rPr>
                <w:noProof/>
                <w:color w:val="000000"/>
                <w:highlight w:val="black"/>
              </w:rPr>
              <w:t>''''''''''''''''''</w:t>
            </w:r>
            <w:r w:rsidRPr="007579E2">
              <w:t xml:space="preserve"> </w:t>
            </w:r>
          </w:p>
        </w:tc>
        <w:tc>
          <w:tcPr>
            <w:tcW w:w="992" w:type="dxa"/>
            <w:shd w:val="clear" w:color="auto" w:fill="FFFFFF" w:themeFill="background1"/>
            <w:vAlign w:val="center"/>
          </w:tcPr>
          <w:p w:rsidR="006A651C" w:rsidRPr="007579E2" w:rsidRDefault="006A651C" w:rsidP="007E6F21">
            <w:pPr>
              <w:pStyle w:val="Tabletext"/>
              <w:jc w:val="right"/>
            </w:pPr>
            <w:r w:rsidRPr="007579E2">
              <w:t>$</w:t>
            </w:r>
            <w:r w:rsidR="0023686E">
              <w:rPr>
                <w:noProof/>
                <w:color w:val="000000"/>
                <w:highlight w:val="black"/>
              </w:rPr>
              <w:t>''''''''''''''''''</w:t>
            </w:r>
            <w:r w:rsidRPr="007579E2">
              <w:t xml:space="preserve"> </w:t>
            </w:r>
          </w:p>
        </w:tc>
        <w:tc>
          <w:tcPr>
            <w:tcW w:w="851" w:type="dxa"/>
            <w:shd w:val="clear" w:color="auto" w:fill="FFFFFF" w:themeFill="background1"/>
            <w:vAlign w:val="center"/>
          </w:tcPr>
          <w:p w:rsidR="006A651C" w:rsidRPr="0023686E" w:rsidRDefault="0023686E" w:rsidP="007E6F21">
            <w:pPr>
              <w:pStyle w:val="Tabletext"/>
              <w:jc w:val="center"/>
              <w:rPr>
                <w:highlight w:val="black"/>
              </w:rPr>
            </w:pPr>
            <w:r>
              <w:rPr>
                <w:noProof/>
                <w:color w:val="000000"/>
                <w:highlight w:val="black"/>
              </w:rPr>
              <w:t>'''''''''''</w:t>
            </w:r>
          </w:p>
        </w:tc>
        <w:tc>
          <w:tcPr>
            <w:tcW w:w="850" w:type="dxa"/>
            <w:shd w:val="clear" w:color="auto" w:fill="FFFFFF" w:themeFill="background1"/>
            <w:vAlign w:val="center"/>
          </w:tcPr>
          <w:p w:rsidR="006A651C" w:rsidRPr="0023686E" w:rsidRDefault="0023686E" w:rsidP="007E6F21">
            <w:pPr>
              <w:pStyle w:val="Tabletext"/>
              <w:jc w:val="center"/>
              <w:rPr>
                <w:highlight w:val="black"/>
              </w:rPr>
            </w:pPr>
            <w:r>
              <w:rPr>
                <w:noProof/>
                <w:color w:val="000000"/>
                <w:highlight w:val="black"/>
              </w:rPr>
              <w:t>''''''''''''</w:t>
            </w:r>
          </w:p>
        </w:tc>
        <w:tc>
          <w:tcPr>
            <w:tcW w:w="992" w:type="dxa"/>
            <w:shd w:val="clear" w:color="auto" w:fill="FFFFFF" w:themeFill="background1"/>
            <w:vAlign w:val="center"/>
          </w:tcPr>
          <w:p w:rsidR="006A651C" w:rsidRPr="0023686E" w:rsidRDefault="0023686E" w:rsidP="007E6F21">
            <w:pPr>
              <w:pStyle w:val="Tabletext"/>
              <w:jc w:val="center"/>
              <w:rPr>
                <w:highlight w:val="black"/>
              </w:rPr>
            </w:pPr>
            <w:r>
              <w:rPr>
                <w:noProof/>
                <w:color w:val="000000"/>
                <w:highlight w:val="black"/>
              </w:rPr>
              <w:t>'''''''''''</w:t>
            </w:r>
          </w:p>
        </w:tc>
        <w:tc>
          <w:tcPr>
            <w:tcW w:w="851" w:type="dxa"/>
            <w:shd w:val="clear" w:color="auto" w:fill="FFFFFF" w:themeFill="background1"/>
            <w:vAlign w:val="center"/>
          </w:tcPr>
          <w:p w:rsidR="006A651C" w:rsidRPr="007579E2" w:rsidRDefault="006A651C" w:rsidP="007E6F21">
            <w:pPr>
              <w:pStyle w:val="Tabletext"/>
              <w:jc w:val="right"/>
            </w:pPr>
            <w:r w:rsidRPr="007579E2">
              <w:t>$</w:t>
            </w:r>
            <w:r w:rsidR="0023686E">
              <w:rPr>
                <w:noProof/>
                <w:color w:val="000000"/>
                <w:highlight w:val="black"/>
              </w:rPr>
              <w:t>'''''''''''''''</w:t>
            </w:r>
            <w:r w:rsidRPr="007579E2">
              <w:t xml:space="preserve"> </w:t>
            </w:r>
          </w:p>
        </w:tc>
      </w:tr>
      <w:tr w:rsidR="006A651C" w:rsidRPr="007579E2" w:rsidTr="00645204">
        <w:tc>
          <w:tcPr>
            <w:tcW w:w="2972" w:type="dxa"/>
            <w:shd w:val="clear" w:color="auto" w:fill="FFFFFF" w:themeFill="background1"/>
            <w:vAlign w:val="center"/>
          </w:tcPr>
          <w:p w:rsidR="006A651C" w:rsidRPr="007579E2" w:rsidRDefault="00E245DB" w:rsidP="007E6F21">
            <w:pPr>
              <w:pStyle w:val="Tabletext"/>
              <w:ind w:left="171" w:right="-57"/>
            </w:pPr>
            <w:r w:rsidRPr="007579E2">
              <w:t>PI r</w:t>
            </w:r>
            <w:r w:rsidR="006A651C" w:rsidRPr="007579E2">
              <w:t xml:space="preserve">ecommended dose regimen + median treatment </w:t>
            </w:r>
            <w:proofErr w:type="spellStart"/>
            <w:r w:rsidR="006A651C" w:rsidRPr="007579E2">
              <w:t>duration</w:t>
            </w:r>
            <w:r w:rsidRPr="007579E2">
              <w:rPr>
                <w:vertAlign w:val="superscript"/>
              </w:rPr>
              <w:t>c</w:t>
            </w:r>
            <w:proofErr w:type="spellEnd"/>
          </w:p>
        </w:tc>
        <w:tc>
          <w:tcPr>
            <w:tcW w:w="992" w:type="dxa"/>
            <w:shd w:val="clear" w:color="auto" w:fill="FFFFFF" w:themeFill="background1"/>
            <w:vAlign w:val="center"/>
          </w:tcPr>
          <w:p w:rsidR="006A651C" w:rsidRPr="007579E2" w:rsidRDefault="006A651C" w:rsidP="007E6F21">
            <w:pPr>
              <w:pStyle w:val="Tabletext"/>
              <w:ind w:left="-57" w:right="-28"/>
              <w:jc w:val="right"/>
            </w:pPr>
            <w:r w:rsidRPr="007579E2">
              <w:t>$</w:t>
            </w:r>
            <w:r w:rsidR="0023686E">
              <w:rPr>
                <w:noProof/>
                <w:color w:val="000000"/>
                <w:highlight w:val="black"/>
              </w:rPr>
              <w:t>'''''''''''''''''''''</w:t>
            </w:r>
            <w:r w:rsidRPr="007579E2">
              <w:t xml:space="preserve"> </w:t>
            </w:r>
          </w:p>
        </w:tc>
        <w:tc>
          <w:tcPr>
            <w:tcW w:w="851" w:type="dxa"/>
            <w:shd w:val="clear" w:color="auto" w:fill="FFFFFF" w:themeFill="background1"/>
            <w:vAlign w:val="center"/>
          </w:tcPr>
          <w:p w:rsidR="006A651C" w:rsidRPr="007579E2" w:rsidRDefault="006A651C" w:rsidP="007E6F21">
            <w:pPr>
              <w:pStyle w:val="Tabletext"/>
              <w:jc w:val="right"/>
            </w:pPr>
            <w:r w:rsidRPr="007579E2">
              <w:t>$</w:t>
            </w:r>
            <w:r w:rsidR="0023686E">
              <w:rPr>
                <w:noProof/>
                <w:color w:val="000000"/>
                <w:highlight w:val="black"/>
              </w:rPr>
              <w:t>''''''''''''''''</w:t>
            </w:r>
            <w:r w:rsidRPr="007579E2">
              <w:t xml:space="preserve"> </w:t>
            </w:r>
          </w:p>
        </w:tc>
        <w:tc>
          <w:tcPr>
            <w:tcW w:w="992" w:type="dxa"/>
            <w:shd w:val="clear" w:color="auto" w:fill="FFFFFF" w:themeFill="background1"/>
            <w:vAlign w:val="center"/>
          </w:tcPr>
          <w:p w:rsidR="006A651C" w:rsidRPr="007579E2" w:rsidRDefault="006A651C" w:rsidP="007E6F21">
            <w:pPr>
              <w:pStyle w:val="Tabletext"/>
              <w:jc w:val="right"/>
            </w:pPr>
            <w:r w:rsidRPr="007579E2">
              <w:t>$</w:t>
            </w:r>
            <w:r w:rsidR="0023686E">
              <w:rPr>
                <w:noProof/>
                <w:color w:val="000000"/>
                <w:highlight w:val="black"/>
              </w:rPr>
              <w:t>'''''''''''''''''</w:t>
            </w:r>
            <w:r w:rsidRPr="007579E2">
              <w:t xml:space="preserve"> </w:t>
            </w:r>
          </w:p>
        </w:tc>
        <w:tc>
          <w:tcPr>
            <w:tcW w:w="851" w:type="dxa"/>
            <w:shd w:val="clear" w:color="auto" w:fill="FFFFFF" w:themeFill="background1"/>
            <w:vAlign w:val="center"/>
          </w:tcPr>
          <w:p w:rsidR="006A651C" w:rsidRPr="0023686E" w:rsidRDefault="0023686E" w:rsidP="007E6F21">
            <w:pPr>
              <w:pStyle w:val="Tabletext"/>
              <w:jc w:val="center"/>
              <w:rPr>
                <w:highlight w:val="black"/>
              </w:rPr>
            </w:pPr>
            <w:r>
              <w:rPr>
                <w:noProof/>
                <w:color w:val="000000"/>
                <w:highlight w:val="black"/>
              </w:rPr>
              <w:t>''''''''''</w:t>
            </w:r>
          </w:p>
        </w:tc>
        <w:tc>
          <w:tcPr>
            <w:tcW w:w="850" w:type="dxa"/>
            <w:shd w:val="clear" w:color="auto" w:fill="FFFFFF" w:themeFill="background1"/>
            <w:vAlign w:val="center"/>
          </w:tcPr>
          <w:p w:rsidR="006A651C" w:rsidRPr="0023686E" w:rsidRDefault="0023686E" w:rsidP="007E6F21">
            <w:pPr>
              <w:pStyle w:val="Tabletext"/>
              <w:jc w:val="center"/>
              <w:rPr>
                <w:highlight w:val="black"/>
              </w:rPr>
            </w:pPr>
            <w:r>
              <w:rPr>
                <w:noProof/>
                <w:color w:val="000000"/>
                <w:highlight w:val="black"/>
              </w:rPr>
              <w:t>''''''''''''</w:t>
            </w:r>
          </w:p>
        </w:tc>
        <w:tc>
          <w:tcPr>
            <w:tcW w:w="992" w:type="dxa"/>
            <w:shd w:val="clear" w:color="auto" w:fill="FFFFFF" w:themeFill="background1"/>
            <w:vAlign w:val="center"/>
          </w:tcPr>
          <w:p w:rsidR="006A651C" w:rsidRPr="0023686E" w:rsidRDefault="0023686E" w:rsidP="007E6F21">
            <w:pPr>
              <w:pStyle w:val="Tabletext"/>
              <w:jc w:val="center"/>
              <w:rPr>
                <w:highlight w:val="black"/>
              </w:rPr>
            </w:pPr>
            <w:r>
              <w:rPr>
                <w:noProof/>
                <w:color w:val="000000"/>
                <w:highlight w:val="black"/>
              </w:rPr>
              <w:t>''''''''''</w:t>
            </w:r>
          </w:p>
        </w:tc>
        <w:tc>
          <w:tcPr>
            <w:tcW w:w="851" w:type="dxa"/>
            <w:shd w:val="clear" w:color="auto" w:fill="FFFFFF" w:themeFill="background1"/>
            <w:vAlign w:val="center"/>
          </w:tcPr>
          <w:p w:rsidR="006A651C" w:rsidRPr="007579E2" w:rsidRDefault="006A651C" w:rsidP="007E6F21">
            <w:pPr>
              <w:pStyle w:val="Tabletext"/>
              <w:jc w:val="right"/>
            </w:pPr>
            <w:r w:rsidRPr="007579E2">
              <w:t>$</w:t>
            </w:r>
            <w:r w:rsidR="0023686E">
              <w:rPr>
                <w:noProof/>
                <w:color w:val="000000"/>
                <w:highlight w:val="black"/>
              </w:rPr>
              <w:t>''''''''''''''''</w:t>
            </w:r>
            <w:r w:rsidRPr="007579E2">
              <w:t xml:space="preserve"> </w:t>
            </w:r>
          </w:p>
        </w:tc>
      </w:tr>
      <w:tr w:rsidR="006A651C" w:rsidRPr="007579E2" w:rsidTr="00645204">
        <w:tc>
          <w:tcPr>
            <w:tcW w:w="2972" w:type="dxa"/>
            <w:shd w:val="clear" w:color="auto" w:fill="FFFFFF" w:themeFill="background1"/>
            <w:vAlign w:val="center"/>
          </w:tcPr>
          <w:p w:rsidR="006A651C" w:rsidRPr="007579E2" w:rsidRDefault="00E245DB" w:rsidP="007E6F21">
            <w:pPr>
              <w:pStyle w:val="Tabletext"/>
              <w:ind w:left="171" w:right="-57"/>
              <w:rPr>
                <w:vertAlign w:val="superscript"/>
              </w:rPr>
            </w:pPr>
            <w:r w:rsidRPr="007579E2">
              <w:t>PI r</w:t>
            </w:r>
            <w:r w:rsidR="006A651C" w:rsidRPr="007579E2">
              <w:t xml:space="preserve">ecommended dose regimen + mean treatment </w:t>
            </w:r>
            <w:proofErr w:type="spellStart"/>
            <w:r w:rsidR="006A651C" w:rsidRPr="007579E2">
              <w:t>duration</w:t>
            </w:r>
            <w:r w:rsidRPr="007579E2">
              <w:rPr>
                <w:vertAlign w:val="superscript"/>
              </w:rPr>
              <w:t>d</w:t>
            </w:r>
            <w:proofErr w:type="spellEnd"/>
          </w:p>
        </w:tc>
        <w:tc>
          <w:tcPr>
            <w:tcW w:w="992" w:type="dxa"/>
            <w:shd w:val="clear" w:color="auto" w:fill="FFFFFF" w:themeFill="background1"/>
            <w:vAlign w:val="center"/>
          </w:tcPr>
          <w:p w:rsidR="006A651C" w:rsidRPr="007579E2" w:rsidRDefault="006A651C" w:rsidP="007E6F21">
            <w:pPr>
              <w:pStyle w:val="Tabletext"/>
              <w:ind w:left="-57" w:right="-28"/>
              <w:jc w:val="right"/>
            </w:pPr>
            <w:r w:rsidRPr="007579E2">
              <w:t>$</w:t>
            </w:r>
            <w:r w:rsidR="0023686E">
              <w:rPr>
                <w:noProof/>
                <w:color w:val="000000"/>
                <w:highlight w:val="black"/>
              </w:rPr>
              <w:t>''''''''''''''''''</w:t>
            </w:r>
            <w:r w:rsidRPr="007579E2">
              <w:t xml:space="preserve"> </w:t>
            </w:r>
          </w:p>
        </w:tc>
        <w:tc>
          <w:tcPr>
            <w:tcW w:w="851" w:type="dxa"/>
            <w:shd w:val="clear" w:color="auto" w:fill="FFFFFF" w:themeFill="background1"/>
            <w:vAlign w:val="center"/>
          </w:tcPr>
          <w:p w:rsidR="006A651C" w:rsidRPr="007579E2" w:rsidRDefault="006A651C" w:rsidP="007E6F21">
            <w:pPr>
              <w:pStyle w:val="Tabletext"/>
              <w:jc w:val="right"/>
            </w:pPr>
            <w:r w:rsidRPr="007579E2">
              <w:t>$</w:t>
            </w:r>
            <w:r w:rsidR="0023686E">
              <w:rPr>
                <w:noProof/>
                <w:color w:val="000000"/>
                <w:highlight w:val="black"/>
              </w:rPr>
              <w:t>'''''''''''''''</w:t>
            </w:r>
            <w:r w:rsidRPr="007579E2">
              <w:t xml:space="preserve"> </w:t>
            </w:r>
          </w:p>
        </w:tc>
        <w:tc>
          <w:tcPr>
            <w:tcW w:w="992" w:type="dxa"/>
            <w:shd w:val="clear" w:color="auto" w:fill="FFFFFF" w:themeFill="background1"/>
            <w:vAlign w:val="center"/>
          </w:tcPr>
          <w:p w:rsidR="006A651C" w:rsidRPr="007579E2" w:rsidRDefault="006A651C" w:rsidP="007E6F21">
            <w:pPr>
              <w:pStyle w:val="Tabletext"/>
              <w:jc w:val="right"/>
            </w:pPr>
            <w:r w:rsidRPr="007579E2">
              <w:t>$</w:t>
            </w:r>
            <w:r w:rsidR="0023686E">
              <w:rPr>
                <w:noProof/>
                <w:color w:val="000000"/>
                <w:highlight w:val="black"/>
              </w:rPr>
              <w:t>'''''''''''''''</w:t>
            </w:r>
            <w:r w:rsidRPr="007579E2">
              <w:t xml:space="preserve"> </w:t>
            </w:r>
          </w:p>
        </w:tc>
        <w:tc>
          <w:tcPr>
            <w:tcW w:w="851" w:type="dxa"/>
            <w:shd w:val="clear" w:color="auto" w:fill="FFFFFF" w:themeFill="background1"/>
            <w:vAlign w:val="center"/>
          </w:tcPr>
          <w:p w:rsidR="006A651C" w:rsidRPr="0023686E" w:rsidRDefault="0023686E" w:rsidP="007E6F21">
            <w:pPr>
              <w:pStyle w:val="Tabletext"/>
              <w:jc w:val="center"/>
              <w:rPr>
                <w:highlight w:val="black"/>
              </w:rPr>
            </w:pPr>
            <w:r>
              <w:rPr>
                <w:noProof/>
                <w:color w:val="000000"/>
                <w:highlight w:val="black"/>
              </w:rPr>
              <w:t>''''''''''</w:t>
            </w:r>
          </w:p>
        </w:tc>
        <w:tc>
          <w:tcPr>
            <w:tcW w:w="850" w:type="dxa"/>
            <w:shd w:val="clear" w:color="auto" w:fill="FFFFFF" w:themeFill="background1"/>
            <w:vAlign w:val="center"/>
          </w:tcPr>
          <w:p w:rsidR="006A651C" w:rsidRPr="0023686E" w:rsidRDefault="0023686E" w:rsidP="007E6F21">
            <w:pPr>
              <w:pStyle w:val="Tabletext"/>
              <w:jc w:val="center"/>
              <w:rPr>
                <w:highlight w:val="black"/>
              </w:rPr>
            </w:pPr>
            <w:r>
              <w:rPr>
                <w:noProof/>
                <w:color w:val="000000"/>
                <w:highlight w:val="black"/>
              </w:rPr>
              <w:t>''''''''''''</w:t>
            </w:r>
          </w:p>
        </w:tc>
        <w:tc>
          <w:tcPr>
            <w:tcW w:w="992" w:type="dxa"/>
            <w:shd w:val="clear" w:color="auto" w:fill="FFFFFF" w:themeFill="background1"/>
            <w:vAlign w:val="center"/>
          </w:tcPr>
          <w:p w:rsidR="006A651C" w:rsidRPr="0023686E" w:rsidRDefault="0023686E" w:rsidP="007E6F21">
            <w:pPr>
              <w:pStyle w:val="Tabletext"/>
              <w:jc w:val="center"/>
              <w:rPr>
                <w:highlight w:val="black"/>
              </w:rPr>
            </w:pPr>
            <w:r>
              <w:rPr>
                <w:noProof/>
                <w:color w:val="000000"/>
                <w:highlight w:val="black"/>
              </w:rPr>
              <w:t>''''''''''''</w:t>
            </w:r>
          </w:p>
        </w:tc>
        <w:tc>
          <w:tcPr>
            <w:tcW w:w="851" w:type="dxa"/>
            <w:shd w:val="clear" w:color="auto" w:fill="FFFFFF" w:themeFill="background1"/>
            <w:vAlign w:val="center"/>
          </w:tcPr>
          <w:p w:rsidR="006A651C" w:rsidRPr="007579E2" w:rsidRDefault="006A651C" w:rsidP="007E6F21">
            <w:pPr>
              <w:pStyle w:val="Tabletext"/>
              <w:jc w:val="right"/>
            </w:pPr>
            <w:r w:rsidRPr="007579E2">
              <w:t>$</w:t>
            </w:r>
            <w:r w:rsidR="0023686E">
              <w:rPr>
                <w:noProof/>
                <w:color w:val="000000"/>
                <w:highlight w:val="black"/>
              </w:rPr>
              <w:t>'''''''''''''''''</w:t>
            </w:r>
            <w:r w:rsidRPr="007579E2">
              <w:t xml:space="preserve"> </w:t>
            </w:r>
          </w:p>
        </w:tc>
      </w:tr>
      <w:tr w:rsidR="006A651C" w:rsidRPr="007579E2" w:rsidTr="00645204">
        <w:tc>
          <w:tcPr>
            <w:tcW w:w="9351" w:type="dxa"/>
            <w:gridSpan w:val="8"/>
            <w:shd w:val="clear" w:color="auto" w:fill="FFFFFF" w:themeFill="background1"/>
            <w:vAlign w:val="center"/>
          </w:tcPr>
          <w:p w:rsidR="006A651C" w:rsidRPr="007579E2" w:rsidRDefault="006A651C" w:rsidP="007E6F21">
            <w:pPr>
              <w:pStyle w:val="Tabletext"/>
              <w:ind w:left="-57" w:right="-57"/>
            </w:pPr>
            <w:r w:rsidRPr="007579E2">
              <w:t xml:space="preserve">Costs for </w:t>
            </w:r>
            <w:proofErr w:type="spellStart"/>
            <w:r w:rsidRPr="007579E2">
              <w:t>pembrolizumab</w:t>
            </w:r>
            <w:proofErr w:type="spellEnd"/>
            <w:r w:rsidRPr="007579E2">
              <w:t xml:space="preserve">, </w:t>
            </w:r>
            <w:proofErr w:type="spellStart"/>
            <w:r w:rsidRPr="007579E2">
              <w:t>nivolumab</w:t>
            </w:r>
            <w:proofErr w:type="spellEnd"/>
            <w:r w:rsidRPr="007579E2">
              <w:t xml:space="preserve">, </w:t>
            </w:r>
            <w:proofErr w:type="spellStart"/>
            <w:r w:rsidRPr="007579E2">
              <w:t>ipilimumab</w:t>
            </w:r>
            <w:proofErr w:type="spellEnd"/>
            <w:r w:rsidRPr="007579E2">
              <w:t xml:space="preserve"> and </w:t>
            </w:r>
            <w:proofErr w:type="spellStart"/>
            <w:r w:rsidRPr="007579E2">
              <w:t>fotemustine</w:t>
            </w:r>
            <w:proofErr w:type="spellEnd"/>
            <w:r w:rsidRPr="007579E2">
              <w:t xml:space="preserve"> as post-recurrence treatment (base case: PBS-listed prices)</w:t>
            </w:r>
          </w:p>
        </w:tc>
      </w:tr>
      <w:tr w:rsidR="006A651C" w:rsidRPr="007579E2" w:rsidTr="00645204">
        <w:tc>
          <w:tcPr>
            <w:tcW w:w="2972" w:type="dxa"/>
            <w:shd w:val="clear" w:color="auto" w:fill="FFFFFF" w:themeFill="background1"/>
            <w:vAlign w:val="center"/>
          </w:tcPr>
          <w:p w:rsidR="006A651C" w:rsidRPr="007579E2" w:rsidRDefault="006A651C" w:rsidP="007E6F21">
            <w:pPr>
              <w:pStyle w:val="Tabletext"/>
              <w:ind w:left="171" w:right="-57"/>
            </w:pPr>
            <w:r w:rsidRPr="007579E2">
              <w:t>Prices reduced by 50%</w:t>
            </w:r>
          </w:p>
        </w:tc>
        <w:tc>
          <w:tcPr>
            <w:tcW w:w="992" w:type="dxa"/>
            <w:shd w:val="clear" w:color="auto" w:fill="FFFFFF" w:themeFill="background1"/>
          </w:tcPr>
          <w:p w:rsidR="006A651C" w:rsidRPr="007579E2" w:rsidRDefault="006A651C" w:rsidP="007E6F21">
            <w:pPr>
              <w:pStyle w:val="Tabletext"/>
              <w:ind w:left="-57" w:right="-28"/>
              <w:jc w:val="right"/>
              <w:rPr>
                <w:rFonts w:cs="Calibri"/>
                <w:color w:val="000000"/>
              </w:rPr>
            </w:pPr>
            <w:r w:rsidRPr="007579E2">
              <w:t>$</w:t>
            </w:r>
            <w:r w:rsidR="0023686E">
              <w:rPr>
                <w:noProof/>
                <w:color w:val="000000"/>
                <w:highlight w:val="black"/>
              </w:rPr>
              <w:t>''''''''''''''''''''</w:t>
            </w:r>
            <w:r w:rsidRPr="007579E2">
              <w:t xml:space="preserve"> </w:t>
            </w:r>
          </w:p>
        </w:tc>
        <w:tc>
          <w:tcPr>
            <w:tcW w:w="851" w:type="dxa"/>
            <w:shd w:val="clear" w:color="auto" w:fill="FFFFFF" w:themeFill="background1"/>
          </w:tcPr>
          <w:p w:rsidR="006A651C" w:rsidRPr="007579E2" w:rsidRDefault="006A651C" w:rsidP="007E6F21">
            <w:pPr>
              <w:pStyle w:val="Tabletext"/>
              <w:jc w:val="right"/>
              <w:rPr>
                <w:rFonts w:cs="Calibri"/>
                <w:color w:val="000000"/>
              </w:rPr>
            </w:pPr>
            <w:r w:rsidRPr="007579E2">
              <w:t>$</w:t>
            </w:r>
            <w:r w:rsidR="0023686E">
              <w:rPr>
                <w:noProof/>
                <w:color w:val="000000"/>
                <w:highlight w:val="black"/>
              </w:rPr>
              <w:t>''''''''''''''''</w:t>
            </w:r>
            <w:r w:rsidRPr="007579E2">
              <w:t xml:space="preserve"> </w:t>
            </w:r>
          </w:p>
        </w:tc>
        <w:tc>
          <w:tcPr>
            <w:tcW w:w="992" w:type="dxa"/>
            <w:shd w:val="clear" w:color="auto" w:fill="FFFFFF" w:themeFill="background1"/>
          </w:tcPr>
          <w:p w:rsidR="006A651C" w:rsidRPr="007579E2" w:rsidRDefault="006A651C" w:rsidP="007E6F21">
            <w:pPr>
              <w:pStyle w:val="Tabletext"/>
              <w:jc w:val="right"/>
              <w:rPr>
                <w:rFonts w:cs="Calibri"/>
                <w:color w:val="000000"/>
              </w:rPr>
            </w:pPr>
            <w:r w:rsidRPr="007579E2">
              <w:t>$</w:t>
            </w:r>
            <w:r w:rsidR="0023686E">
              <w:rPr>
                <w:noProof/>
                <w:color w:val="000000"/>
                <w:highlight w:val="black"/>
              </w:rPr>
              <w:t>'''''''''''''''''</w:t>
            </w:r>
            <w:r w:rsidRPr="007579E2">
              <w:t xml:space="preserve"> </w:t>
            </w:r>
          </w:p>
        </w:tc>
        <w:tc>
          <w:tcPr>
            <w:tcW w:w="851" w:type="dxa"/>
            <w:shd w:val="clear" w:color="auto" w:fill="FFFFFF" w:themeFill="background1"/>
          </w:tcPr>
          <w:p w:rsidR="006A651C" w:rsidRPr="0023686E" w:rsidRDefault="0023686E" w:rsidP="007E6F21">
            <w:pPr>
              <w:pStyle w:val="Tabletext"/>
              <w:jc w:val="center"/>
              <w:rPr>
                <w:rFonts w:cs="Calibri"/>
                <w:color w:val="000000"/>
                <w:highlight w:val="black"/>
              </w:rPr>
            </w:pPr>
            <w:r>
              <w:rPr>
                <w:noProof/>
                <w:color w:val="000000"/>
                <w:highlight w:val="black"/>
              </w:rPr>
              <w:t>'''''''''''</w:t>
            </w:r>
          </w:p>
        </w:tc>
        <w:tc>
          <w:tcPr>
            <w:tcW w:w="850" w:type="dxa"/>
            <w:shd w:val="clear" w:color="auto" w:fill="FFFFFF" w:themeFill="background1"/>
          </w:tcPr>
          <w:p w:rsidR="006A651C" w:rsidRPr="0023686E" w:rsidRDefault="0023686E" w:rsidP="007E6F21">
            <w:pPr>
              <w:pStyle w:val="Tabletext"/>
              <w:jc w:val="center"/>
              <w:rPr>
                <w:rFonts w:cs="Calibri"/>
                <w:color w:val="000000"/>
                <w:highlight w:val="black"/>
              </w:rPr>
            </w:pPr>
            <w:r>
              <w:rPr>
                <w:noProof/>
                <w:color w:val="000000"/>
                <w:highlight w:val="black"/>
              </w:rPr>
              <w:t>'''''''''''</w:t>
            </w:r>
          </w:p>
        </w:tc>
        <w:tc>
          <w:tcPr>
            <w:tcW w:w="992" w:type="dxa"/>
            <w:shd w:val="clear" w:color="auto" w:fill="FFFFFF" w:themeFill="background1"/>
          </w:tcPr>
          <w:p w:rsidR="006A651C" w:rsidRPr="0023686E" w:rsidRDefault="0023686E" w:rsidP="007E6F21">
            <w:pPr>
              <w:pStyle w:val="Tabletext"/>
              <w:jc w:val="center"/>
              <w:rPr>
                <w:rFonts w:cs="Calibri"/>
                <w:color w:val="000000"/>
                <w:highlight w:val="black"/>
              </w:rPr>
            </w:pPr>
            <w:r>
              <w:rPr>
                <w:noProof/>
                <w:color w:val="000000"/>
                <w:highlight w:val="black"/>
              </w:rPr>
              <w:t>'''''''''''</w:t>
            </w:r>
          </w:p>
        </w:tc>
        <w:tc>
          <w:tcPr>
            <w:tcW w:w="851" w:type="dxa"/>
            <w:shd w:val="clear" w:color="auto" w:fill="FFFFFF" w:themeFill="background1"/>
          </w:tcPr>
          <w:p w:rsidR="006A651C" w:rsidRPr="007579E2" w:rsidRDefault="006A651C" w:rsidP="007E6F21">
            <w:pPr>
              <w:pStyle w:val="Tabletext"/>
              <w:jc w:val="right"/>
              <w:rPr>
                <w:rFonts w:cs="Calibri"/>
                <w:color w:val="000000"/>
              </w:rPr>
            </w:pPr>
            <w:r w:rsidRPr="007579E2">
              <w:t>$</w:t>
            </w:r>
            <w:r w:rsidR="0023686E">
              <w:rPr>
                <w:noProof/>
                <w:color w:val="000000"/>
                <w:highlight w:val="black"/>
              </w:rPr>
              <w:t>''''''''''''''''</w:t>
            </w:r>
            <w:r w:rsidRPr="007579E2">
              <w:t xml:space="preserve"> </w:t>
            </w:r>
          </w:p>
        </w:tc>
      </w:tr>
      <w:tr w:rsidR="006A651C" w:rsidRPr="007579E2" w:rsidTr="00645204">
        <w:tc>
          <w:tcPr>
            <w:tcW w:w="9351" w:type="dxa"/>
            <w:gridSpan w:val="8"/>
            <w:shd w:val="clear" w:color="auto" w:fill="FFFFFF" w:themeFill="background1"/>
            <w:vAlign w:val="center"/>
          </w:tcPr>
          <w:p w:rsidR="006A651C" w:rsidRPr="00376CEF" w:rsidRDefault="006A651C" w:rsidP="007E6F21">
            <w:pPr>
              <w:pStyle w:val="Tabletext"/>
              <w:ind w:left="-57" w:right="-57"/>
              <w:rPr>
                <w:rFonts w:cs="Calibri"/>
                <w:color w:val="000000"/>
              </w:rPr>
            </w:pPr>
            <w:r w:rsidRPr="00376CEF">
              <w:t>Age of modelled population (base case: 50.4 years)</w:t>
            </w:r>
          </w:p>
        </w:tc>
      </w:tr>
      <w:tr w:rsidR="006A651C" w:rsidRPr="007579E2" w:rsidTr="00645204">
        <w:tc>
          <w:tcPr>
            <w:tcW w:w="2972" w:type="dxa"/>
            <w:shd w:val="clear" w:color="auto" w:fill="FFFFFF" w:themeFill="background1"/>
            <w:vAlign w:val="center"/>
          </w:tcPr>
          <w:p w:rsidR="006A651C" w:rsidRPr="007579E2" w:rsidRDefault="006A651C" w:rsidP="007E6F21">
            <w:pPr>
              <w:pStyle w:val="Tabletext"/>
              <w:ind w:left="171" w:right="-57"/>
            </w:pPr>
            <w:r w:rsidRPr="007579E2">
              <w:t>63 years (AIHW 2017)</w:t>
            </w:r>
          </w:p>
        </w:tc>
        <w:tc>
          <w:tcPr>
            <w:tcW w:w="992" w:type="dxa"/>
            <w:shd w:val="clear" w:color="auto" w:fill="FFFFFF" w:themeFill="background1"/>
            <w:vAlign w:val="center"/>
          </w:tcPr>
          <w:p w:rsidR="006A651C" w:rsidRPr="007579E2" w:rsidRDefault="006A651C" w:rsidP="007E6F21">
            <w:pPr>
              <w:pStyle w:val="Tabletext"/>
              <w:ind w:left="-57" w:right="-28"/>
              <w:jc w:val="right"/>
            </w:pPr>
            <w:r w:rsidRPr="007579E2">
              <w:t>$</w:t>
            </w:r>
            <w:r w:rsidR="0023686E">
              <w:rPr>
                <w:noProof/>
                <w:color w:val="000000"/>
                <w:highlight w:val="black"/>
              </w:rPr>
              <w:t>'''''''''''''''''''</w:t>
            </w:r>
            <w:r w:rsidRPr="007579E2">
              <w:t xml:space="preserve"> </w:t>
            </w:r>
          </w:p>
        </w:tc>
        <w:tc>
          <w:tcPr>
            <w:tcW w:w="851" w:type="dxa"/>
            <w:shd w:val="clear" w:color="auto" w:fill="FFFFFF" w:themeFill="background1"/>
            <w:vAlign w:val="center"/>
          </w:tcPr>
          <w:p w:rsidR="006A651C" w:rsidRPr="007579E2" w:rsidRDefault="006A651C" w:rsidP="007E6F21">
            <w:pPr>
              <w:pStyle w:val="Tabletext"/>
              <w:jc w:val="right"/>
            </w:pPr>
            <w:r w:rsidRPr="007579E2">
              <w:t>$</w:t>
            </w:r>
            <w:r w:rsidR="0023686E">
              <w:rPr>
                <w:noProof/>
                <w:color w:val="000000"/>
                <w:highlight w:val="black"/>
              </w:rPr>
              <w:t>'''''''''''''''</w:t>
            </w:r>
            <w:r w:rsidRPr="007579E2">
              <w:t xml:space="preserve"> </w:t>
            </w:r>
          </w:p>
        </w:tc>
        <w:tc>
          <w:tcPr>
            <w:tcW w:w="992" w:type="dxa"/>
            <w:shd w:val="clear" w:color="auto" w:fill="FFFFFF" w:themeFill="background1"/>
            <w:vAlign w:val="center"/>
          </w:tcPr>
          <w:p w:rsidR="006A651C" w:rsidRPr="007579E2" w:rsidRDefault="006A651C" w:rsidP="007E6F21">
            <w:pPr>
              <w:pStyle w:val="Tabletext"/>
              <w:jc w:val="right"/>
            </w:pPr>
            <w:r w:rsidRPr="007579E2">
              <w:t>$</w:t>
            </w:r>
            <w:r w:rsidR="0023686E">
              <w:rPr>
                <w:noProof/>
                <w:color w:val="000000"/>
                <w:highlight w:val="black"/>
              </w:rPr>
              <w:t>'''''''''''''''</w:t>
            </w:r>
            <w:r w:rsidRPr="007579E2">
              <w:t xml:space="preserve"> </w:t>
            </w:r>
          </w:p>
        </w:tc>
        <w:tc>
          <w:tcPr>
            <w:tcW w:w="851" w:type="dxa"/>
            <w:shd w:val="clear" w:color="auto" w:fill="FFFFFF" w:themeFill="background1"/>
            <w:vAlign w:val="center"/>
          </w:tcPr>
          <w:p w:rsidR="006A651C" w:rsidRPr="0023686E" w:rsidRDefault="0023686E" w:rsidP="007E6F21">
            <w:pPr>
              <w:pStyle w:val="Tabletext"/>
              <w:jc w:val="center"/>
              <w:rPr>
                <w:highlight w:val="black"/>
              </w:rPr>
            </w:pPr>
            <w:r>
              <w:rPr>
                <w:noProof/>
                <w:color w:val="000000"/>
                <w:highlight w:val="black"/>
              </w:rPr>
              <w:t>''''''''''</w:t>
            </w:r>
          </w:p>
        </w:tc>
        <w:tc>
          <w:tcPr>
            <w:tcW w:w="850" w:type="dxa"/>
            <w:shd w:val="clear" w:color="auto" w:fill="FFFFFF" w:themeFill="background1"/>
            <w:vAlign w:val="center"/>
          </w:tcPr>
          <w:p w:rsidR="006A651C" w:rsidRPr="0023686E" w:rsidRDefault="0023686E" w:rsidP="007E6F21">
            <w:pPr>
              <w:pStyle w:val="Tabletext"/>
              <w:jc w:val="center"/>
              <w:rPr>
                <w:highlight w:val="black"/>
              </w:rPr>
            </w:pPr>
            <w:r>
              <w:rPr>
                <w:noProof/>
                <w:color w:val="000000"/>
                <w:highlight w:val="black"/>
              </w:rPr>
              <w:t>''''''''''</w:t>
            </w:r>
          </w:p>
        </w:tc>
        <w:tc>
          <w:tcPr>
            <w:tcW w:w="992" w:type="dxa"/>
            <w:shd w:val="clear" w:color="auto" w:fill="FFFFFF" w:themeFill="background1"/>
            <w:vAlign w:val="center"/>
          </w:tcPr>
          <w:p w:rsidR="006A651C" w:rsidRPr="0023686E" w:rsidRDefault="0023686E" w:rsidP="007E6F21">
            <w:pPr>
              <w:pStyle w:val="Tabletext"/>
              <w:jc w:val="center"/>
              <w:rPr>
                <w:highlight w:val="black"/>
              </w:rPr>
            </w:pPr>
            <w:r>
              <w:rPr>
                <w:noProof/>
                <w:color w:val="000000"/>
                <w:highlight w:val="black"/>
              </w:rPr>
              <w:t>'''''''''''</w:t>
            </w:r>
          </w:p>
        </w:tc>
        <w:tc>
          <w:tcPr>
            <w:tcW w:w="851" w:type="dxa"/>
            <w:shd w:val="clear" w:color="auto" w:fill="FFFFFF" w:themeFill="background1"/>
            <w:vAlign w:val="center"/>
          </w:tcPr>
          <w:p w:rsidR="006A651C" w:rsidRPr="007579E2" w:rsidRDefault="006A651C" w:rsidP="007E6F21">
            <w:pPr>
              <w:pStyle w:val="Tabletext"/>
              <w:jc w:val="right"/>
            </w:pPr>
            <w:r w:rsidRPr="007579E2">
              <w:t>$</w:t>
            </w:r>
            <w:r w:rsidR="0023686E">
              <w:rPr>
                <w:noProof/>
                <w:color w:val="000000"/>
                <w:highlight w:val="black"/>
              </w:rPr>
              <w:t>'''''''''''''''''</w:t>
            </w:r>
            <w:r w:rsidRPr="007579E2">
              <w:t xml:space="preserve"> </w:t>
            </w:r>
          </w:p>
        </w:tc>
      </w:tr>
    </w:tbl>
    <w:p w:rsidR="006A651C" w:rsidRPr="007579E2" w:rsidRDefault="006A651C" w:rsidP="007E6F21">
      <w:pPr>
        <w:pStyle w:val="TableFooterPBAC"/>
        <w:widowControl/>
      </w:pPr>
      <w:r w:rsidRPr="007579E2">
        <w:t xml:space="preserve">DAB+TRAM = </w:t>
      </w:r>
      <w:proofErr w:type="spellStart"/>
      <w:r w:rsidRPr="007579E2">
        <w:t>dabrafenib+trametinib</w:t>
      </w:r>
      <w:proofErr w:type="spellEnd"/>
      <w:r w:rsidRPr="007579E2">
        <w:t>; OBS = observation; OS = overall survival; RFS = relapse-free survival</w:t>
      </w:r>
    </w:p>
    <w:p w:rsidR="006A651C" w:rsidRPr="007579E2" w:rsidRDefault="006A651C" w:rsidP="007E6F21">
      <w:pPr>
        <w:pStyle w:val="TableFooterPBAC"/>
        <w:widowControl/>
      </w:pPr>
      <w:proofErr w:type="spellStart"/>
      <w:proofErr w:type="gramStart"/>
      <w:r w:rsidRPr="007579E2">
        <w:rPr>
          <w:vertAlign w:val="superscript"/>
        </w:rPr>
        <w:t>a</w:t>
      </w:r>
      <w:proofErr w:type="spellEnd"/>
      <w:proofErr w:type="gramEnd"/>
      <w:r w:rsidRPr="007579E2">
        <w:t xml:space="preserve"> In the observation, the dependent gamma distribution was used from the extrapolation point to the end of the time horizon. As for DAB+TRAM, the parametric extrapolation was used until the start converging point, then a linear decrease of OS estimates was assumed until the convergence time point.</w:t>
      </w:r>
    </w:p>
    <w:p w:rsidR="00E245DB" w:rsidRPr="007579E2" w:rsidRDefault="006A651C" w:rsidP="007E6F21">
      <w:pPr>
        <w:pStyle w:val="TableFooterPBAC"/>
        <w:widowControl/>
      </w:pPr>
      <w:proofErr w:type="gramStart"/>
      <w:r w:rsidRPr="007579E2">
        <w:rPr>
          <w:vertAlign w:val="superscript"/>
        </w:rPr>
        <w:t>b</w:t>
      </w:r>
      <w:proofErr w:type="gramEnd"/>
      <w:r w:rsidR="00E245DB" w:rsidRPr="007579E2">
        <w:t xml:space="preserve"> PI recommended dose for </w:t>
      </w:r>
      <w:proofErr w:type="spellStart"/>
      <w:r w:rsidR="00E245DB" w:rsidRPr="007579E2">
        <w:t>dabrafenib</w:t>
      </w:r>
      <w:proofErr w:type="spellEnd"/>
      <w:r w:rsidR="00E245DB" w:rsidRPr="007579E2">
        <w:t xml:space="preserve"> was 150 mg daily and 2 mg daily for </w:t>
      </w:r>
      <w:proofErr w:type="spellStart"/>
      <w:r w:rsidR="00E245DB" w:rsidRPr="007579E2">
        <w:t>trametinib</w:t>
      </w:r>
      <w:proofErr w:type="spellEnd"/>
      <w:r w:rsidRPr="007579E2">
        <w:t xml:space="preserve"> </w:t>
      </w:r>
    </w:p>
    <w:p w:rsidR="006A651C" w:rsidRPr="007579E2" w:rsidRDefault="00E245DB" w:rsidP="007E6F21">
      <w:pPr>
        <w:pStyle w:val="TableFooterPBAC"/>
        <w:widowControl/>
      </w:pPr>
      <w:proofErr w:type="gramStart"/>
      <w:r w:rsidRPr="007579E2">
        <w:rPr>
          <w:vertAlign w:val="superscript"/>
        </w:rPr>
        <w:t>c</w:t>
      </w:r>
      <w:proofErr w:type="gramEnd"/>
      <w:r w:rsidRPr="007579E2">
        <w:t xml:space="preserve"> </w:t>
      </w:r>
      <w:r w:rsidR="006A651C" w:rsidRPr="007579E2">
        <w:t>The median treatment duration in COMBI-AD is 11 months for both DAB and TRAM</w:t>
      </w:r>
    </w:p>
    <w:p w:rsidR="006A651C" w:rsidRPr="007579E2" w:rsidRDefault="00E245DB" w:rsidP="007E6F21">
      <w:pPr>
        <w:pStyle w:val="TableFooterPBAC"/>
        <w:widowControl/>
        <w:rPr>
          <w:vertAlign w:val="superscript"/>
        </w:rPr>
      </w:pPr>
      <w:proofErr w:type="gramStart"/>
      <w:r w:rsidRPr="007579E2">
        <w:rPr>
          <w:vertAlign w:val="superscript"/>
        </w:rPr>
        <w:t>d</w:t>
      </w:r>
      <w:proofErr w:type="gramEnd"/>
      <w:r w:rsidR="006A651C" w:rsidRPr="007579E2">
        <w:rPr>
          <w:vertAlign w:val="superscript"/>
        </w:rPr>
        <w:t xml:space="preserve"> </w:t>
      </w:r>
      <w:r w:rsidR="006A651C" w:rsidRPr="007579E2">
        <w:t xml:space="preserve">The mean </w:t>
      </w:r>
      <w:r w:rsidR="006A651C" w:rsidRPr="00077A99">
        <w:t xml:space="preserve">treatment duration in COMBI-AD is </w:t>
      </w:r>
      <w:r w:rsidR="00376CEF" w:rsidRPr="00077A99">
        <w:t xml:space="preserve">8.2 </w:t>
      </w:r>
      <w:r w:rsidR="006A651C" w:rsidRPr="00077A99">
        <w:t xml:space="preserve">months for DAB and </w:t>
      </w:r>
      <w:r w:rsidR="00376CEF" w:rsidRPr="00077A99">
        <w:t xml:space="preserve">8.3 </w:t>
      </w:r>
      <w:r w:rsidR="006A651C" w:rsidRPr="00077A99">
        <w:t>months for TRAM</w:t>
      </w:r>
    </w:p>
    <w:p w:rsidR="006A651C" w:rsidRPr="007579E2" w:rsidRDefault="006A651C" w:rsidP="007E6F21">
      <w:pPr>
        <w:pStyle w:val="TableFooterPBAC"/>
        <w:widowControl/>
      </w:pPr>
      <w:r w:rsidRPr="007579E2">
        <w:t>Source: Table 3.9-1, pp180-181 of the submission</w:t>
      </w:r>
      <w:r w:rsidR="008E11D4" w:rsidRPr="007579E2">
        <w:t xml:space="preserve"> and from </w:t>
      </w:r>
      <w:r w:rsidRPr="007579E2">
        <w:t>additional sensitivity analyses performed during the evaluation.</w:t>
      </w:r>
    </w:p>
    <w:p w:rsidR="00377BDC" w:rsidRPr="00077A99" w:rsidRDefault="00377BDC" w:rsidP="008905FD">
      <w:pPr>
        <w:widowControl/>
        <w:snapToGrid w:val="0"/>
        <w:spacing w:before="120" w:after="120"/>
      </w:pPr>
      <w:r w:rsidRPr="00077A99">
        <w:t xml:space="preserve">The redacted table shows ICERs in the range of $15,000/QALY to $200,000/QALY. </w:t>
      </w:r>
    </w:p>
    <w:p w:rsidR="004579ED" w:rsidRPr="00077A99" w:rsidRDefault="006A651C" w:rsidP="008905FD">
      <w:pPr>
        <w:pStyle w:val="ListParagraph"/>
        <w:widowControl/>
        <w:numPr>
          <w:ilvl w:val="1"/>
          <w:numId w:val="2"/>
        </w:numPr>
        <w:spacing w:before="120"/>
      </w:pPr>
      <w:r w:rsidRPr="00077A99">
        <w:t>Setting the RFS and OS curves of the two treatment arm</w:t>
      </w:r>
      <w:r w:rsidR="00874B96" w:rsidRPr="00077A99">
        <w:t>s</w:t>
      </w:r>
      <w:r w:rsidRPr="00077A99">
        <w:t xml:space="preserve"> to begin converging at Year </w:t>
      </w:r>
      <w:r w:rsidR="0023686E">
        <w:rPr>
          <w:noProof/>
          <w:color w:val="000000"/>
          <w:highlight w:val="black"/>
        </w:rPr>
        <w:t>''</w:t>
      </w:r>
      <w:r w:rsidRPr="00077A99">
        <w:t xml:space="preserve"> </w:t>
      </w:r>
      <w:r w:rsidR="00E27365" w:rsidRPr="00077A99">
        <w:t>with</w:t>
      </w:r>
      <w:r w:rsidRPr="00077A99">
        <w:t xml:space="preserve"> complete converg</w:t>
      </w:r>
      <w:r w:rsidR="00E27365" w:rsidRPr="00077A99">
        <w:t>ence</w:t>
      </w:r>
      <w:r w:rsidRPr="00077A99">
        <w:t xml:space="preserve"> at Year </w:t>
      </w:r>
      <w:r w:rsidR="0023686E">
        <w:rPr>
          <w:noProof/>
          <w:color w:val="000000"/>
          <w:highlight w:val="black"/>
        </w:rPr>
        <w:t>'''''</w:t>
      </w:r>
      <w:r w:rsidRPr="00077A99">
        <w:t xml:space="preserve"> resulted in an ICER of $</w:t>
      </w:r>
      <w:r w:rsidR="004036DC" w:rsidRPr="00077A99">
        <w:t>45,000</w:t>
      </w:r>
      <w:r w:rsidRPr="00077A99">
        <w:t>/QALY</w:t>
      </w:r>
      <w:r w:rsidR="004036DC" w:rsidRPr="00077A99">
        <w:t xml:space="preserve"> - $75,000/QALY</w:t>
      </w:r>
      <w:r w:rsidRPr="00077A99">
        <w:t xml:space="preserve">. Assuming an earlier convergence point </w:t>
      </w:r>
      <w:r w:rsidR="00E27365" w:rsidRPr="00077A99">
        <w:t>at</w:t>
      </w:r>
      <w:r w:rsidRPr="00077A99">
        <w:t xml:space="preserve"> Year </w:t>
      </w:r>
      <w:r w:rsidR="0023686E">
        <w:rPr>
          <w:noProof/>
          <w:color w:val="000000"/>
          <w:highlight w:val="black"/>
        </w:rPr>
        <w:t>'''''</w:t>
      </w:r>
      <w:r w:rsidRPr="00077A99">
        <w:t xml:space="preserve">, the ICER exceeded $100,000/QALY. </w:t>
      </w:r>
    </w:p>
    <w:p w:rsidR="006A651C" w:rsidRPr="007579E2" w:rsidRDefault="006A651C" w:rsidP="008905FD">
      <w:pPr>
        <w:pStyle w:val="ListParagraph"/>
        <w:widowControl/>
        <w:numPr>
          <w:ilvl w:val="1"/>
          <w:numId w:val="2"/>
        </w:numPr>
        <w:spacing w:before="120"/>
      </w:pPr>
      <w:r w:rsidRPr="007579E2">
        <w:t xml:space="preserve">If the </w:t>
      </w:r>
      <w:r w:rsidR="00874B96" w:rsidRPr="007579E2">
        <w:t xml:space="preserve">PI </w:t>
      </w:r>
      <w:r w:rsidRPr="007579E2">
        <w:t xml:space="preserve">recommended dose regimen for adjuvant </w:t>
      </w:r>
      <w:proofErr w:type="spellStart"/>
      <w:r w:rsidRPr="007579E2">
        <w:t>dabrafenib+trametinib</w:t>
      </w:r>
      <w:proofErr w:type="spellEnd"/>
      <w:r w:rsidRPr="007579E2">
        <w:t xml:space="preserve"> and the mean duration of treatment from COMBI-AD were used in the economic evaluation, the ICER reduced to $</w:t>
      </w:r>
      <w:r w:rsidR="004036DC">
        <w:t>15,000</w:t>
      </w:r>
      <w:r w:rsidRPr="007579E2">
        <w:t>/QALY</w:t>
      </w:r>
      <w:r w:rsidR="004036DC">
        <w:t xml:space="preserve"> - $45,000/QALY</w:t>
      </w:r>
      <w:r w:rsidRPr="007579E2">
        <w:t>.</w:t>
      </w:r>
    </w:p>
    <w:p w:rsidR="000F5F3B" w:rsidRPr="007579E2" w:rsidRDefault="000F5F3B" w:rsidP="008905FD">
      <w:pPr>
        <w:pStyle w:val="Heading2"/>
        <w:widowControl/>
        <w:spacing w:before="120"/>
      </w:pPr>
      <w:bookmarkStart w:id="20" w:name="_Toc536008005"/>
      <w:r w:rsidRPr="007579E2">
        <w:t>Drug cost/patient/course: $</w:t>
      </w:r>
      <w:bookmarkEnd w:id="17"/>
      <w:bookmarkEnd w:id="20"/>
      <w:r w:rsidR="0023686E">
        <w:rPr>
          <w:noProof/>
          <w:color w:val="000000"/>
          <w:highlight w:val="black"/>
        </w:rPr>
        <w:t>''''''''''''''</w:t>
      </w:r>
    </w:p>
    <w:p w:rsidR="00335AFD" w:rsidRPr="007579E2" w:rsidRDefault="000F5F3B" w:rsidP="008905FD">
      <w:pPr>
        <w:pStyle w:val="ListParagraph"/>
        <w:widowControl/>
        <w:numPr>
          <w:ilvl w:val="1"/>
          <w:numId w:val="2"/>
        </w:numPr>
        <w:snapToGrid w:val="0"/>
        <w:spacing w:before="120"/>
      </w:pPr>
      <w:r w:rsidRPr="007579E2">
        <w:t>Th</w:t>
      </w:r>
      <w:r w:rsidR="00205D3C" w:rsidRPr="007579E2">
        <w:t xml:space="preserve">e drug cost per patient per course </w:t>
      </w:r>
      <w:r w:rsidRPr="007579E2">
        <w:t xml:space="preserve">was based on: </w:t>
      </w:r>
    </w:p>
    <w:p w:rsidR="00335AFD" w:rsidRPr="007579E2" w:rsidRDefault="000F5F3B" w:rsidP="008905FD">
      <w:pPr>
        <w:pStyle w:val="ListParagraph"/>
        <w:widowControl/>
        <w:numPr>
          <w:ilvl w:val="1"/>
          <w:numId w:val="5"/>
        </w:numPr>
        <w:spacing w:before="120"/>
        <w:ind w:left="1077" w:hanging="357"/>
      </w:pPr>
      <w:r w:rsidRPr="007579E2">
        <w:t xml:space="preserve">daily doses </w:t>
      </w:r>
      <w:r w:rsidRPr="00B01BFD">
        <w:t xml:space="preserve">of </w:t>
      </w:r>
      <w:r w:rsidR="0023686E">
        <w:rPr>
          <w:noProof/>
          <w:color w:val="000000"/>
          <w:highlight w:val="black"/>
        </w:rPr>
        <w:t>''''''''''''</w:t>
      </w:r>
      <w:r w:rsidR="00B01BFD" w:rsidRPr="00B01BFD">
        <w:t xml:space="preserve"> </w:t>
      </w:r>
      <w:r w:rsidRPr="00B01BFD">
        <w:t xml:space="preserve">mg for </w:t>
      </w:r>
      <w:proofErr w:type="spellStart"/>
      <w:r w:rsidRPr="00B01BFD">
        <w:t>dabrafenib</w:t>
      </w:r>
      <w:proofErr w:type="spellEnd"/>
      <w:r w:rsidRPr="00B01BFD">
        <w:t xml:space="preserve"> and </w:t>
      </w:r>
      <w:r w:rsidR="0023686E">
        <w:rPr>
          <w:noProof/>
          <w:color w:val="000000"/>
          <w:highlight w:val="black"/>
        </w:rPr>
        <w:t>''''''''</w:t>
      </w:r>
      <w:r w:rsidR="00335AFD" w:rsidRPr="007579E2">
        <w:t xml:space="preserve"> </w:t>
      </w:r>
      <w:r w:rsidRPr="007579E2">
        <w:t xml:space="preserve">mg for </w:t>
      </w:r>
      <w:proofErr w:type="spellStart"/>
      <w:r w:rsidRPr="007579E2">
        <w:t>trametinib</w:t>
      </w:r>
      <w:proofErr w:type="spellEnd"/>
      <w:r w:rsidRPr="007579E2">
        <w:t xml:space="preserve">, as observed in COMBI-AD; </w:t>
      </w:r>
    </w:p>
    <w:p w:rsidR="00335AFD" w:rsidRPr="007579E2" w:rsidRDefault="000F5F3B" w:rsidP="008905FD">
      <w:pPr>
        <w:pStyle w:val="ListParagraph"/>
        <w:widowControl/>
        <w:numPr>
          <w:ilvl w:val="1"/>
          <w:numId w:val="5"/>
        </w:numPr>
        <w:spacing w:before="120"/>
        <w:ind w:left="1077" w:hanging="357"/>
      </w:pPr>
      <w:r w:rsidRPr="007579E2">
        <w:lastRenderedPageBreak/>
        <w:t xml:space="preserve">the costs per milligram of </w:t>
      </w:r>
      <w:proofErr w:type="spellStart"/>
      <w:r w:rsidRPr="007579E2">
        <w:t>dabrafenib</w:t>
      </w:r>
      <w:proofErr w:type="spellEnd"/>
      <w:r w:rsidRPr="007579E2">
        <w:t xml:space="preserve"> ($</w:t>
      </w:r>
      <w:r w:rsidR="0023686E">
        <w:rPr>
          <w:noProof/>
          <w:color w:val="000000"/>
          <w:highlight w:val="black"/>
        </w:rPr>
        <w:t>''''''''</w:t>
      </w:r>
      <w:r w:rsidRPr="007579E2">
        <w:t xml:space="preserve">) and </w:t>
      </w:r>
      <w:proofErr w:type="spellStart"/>
      <w:r w:rsidRPr="007579E2">
        <w:t>trametinib</w:t>
      </w:r>
      <w:proofErr w:type="spellEnd"/>
      <w:r w:rsidRPr="007579E2">
        <w:t xml:space="preserve"> ($</w:t>
      </w:r>
      <w:r w:rsidR="0023686E">
        <w:rPr>
          <w:noProof/>
          <w:color w:val="000000"/>
          <w:highlight w:val="black"/>
        </w:rPr>
        <w:t>''''''''''</w:t>
      </w:r>
      <w:r w:rsidRPr="007579E2">
        <w:t xml:space="preserve">) calculated </w:t>
      </w:r>
      <w:r w:rsidR="008E53B6" w:rsidRPr="007579E2">
        <w:t>using</w:t>
      </w:r>
      <w:r w:rsidRPr="007579E2">
        <w:t xml:space="preserve"> the proposed effective dispensed prices for maximum quantity (i.e. assuming no drug wastage); and </w:t>
      </w:r>
    </w:p>
    <w:p w:rsidR="00335AFD" w:rsidRPr="007579E2" w:rsidRDefault="000F5F3B" w:rsidP="008905FD">
      <w:pPr>
        <w:pStyle w:val="ListParagraph"/>
        <w:widowControl/>
        <w:numPr>
          <w:ilvl w:val="1"/>
          <w:numId w:val="5"/>
        </w:numPr>
        <w:spacing w:before="120"/>
        <w:ind w:left="1077" w:hanging="357"/>
      </w:pPr>
      <w:proofErr w:type="gramStart"/>
      <w:r w:rsidRPr="007579E2">
        <w:t>a</w:t>
      </w:r>
      <w:proofErr w:type="gramEnd"/>
      <w:r w:rsidRPr="007579E2">
        <w:t xml:space="preserve"> treatment duration of 12 months for the adjuvant combination therapy. </w:t>
      </w:r>
    </w:p>
    <w:p w:rsidR="00335AFD" w:rsidRPr="007579E2" w:rsidRDefault="00335AFD" w:rsidP="008905FD">
      <w:pPr>
        <w:pStyle w:val="ListParagraph"/>
        <w:widowControl/>
        <w:numPr>
          <w:ilvl w:val="1"/>
          <w:numId w:val="2"/>
        </w:numPr>
        <w:snapToGrid w:val="0"/>
        <w:spacing w:before="120"/>
      </w:pPr>
      <w:r w:rsidRPr="007579E2">
        <w:t>The drug cost would be $</w:t>
      </w:r>
      <w:r w:rsidR="0023686E">
        <w:rPr>
          <w:noProof/>
          <w:color w:val="000000"/>
          <w:highlight w:val="black"/>
        </w:rPr>
        <w:t>''''''''''''''</w:t>
      </w:r>
      <w:r w:rsidRPr="007579E2">
        <w:t>, u</w:t>
      </w:r>
      <w:r w:rsidR="000F5F3B" w:rsidRPr="007579E2">
        <w:t xml:space="preserve">sing the </w:t>
      </w:r>
      <w:r w:rsidR="00C76142" w:rsidRPr="007579E2">
        <w:t xml:space="preserve">PI dosing and </w:t>
      </w:r>
      <w:r w:rsidR="000F5F3B" w:rsidRPr="007579E2">
        <w:t>mean dura</w:t>
      </w:r>
      <w:r w:rsidR="008E53B6" w:rsidRPr="007579E2">
        <w:t xml:space="preserve">tion of treatment as </w:t>
      </w:r>
      <w:r w:rsidR="008E53B6" w:rsidRPr="00077A99">
        <w:t xml:space="preserve">observed in </w:t>
      </w:r>
      <w:r w:rsidR="000F5F3B" w:rsidRPr="00077A99">
        <w:t>COMBI-AD (</w:t>
      </w:r>
      <w:r w:rsidR="00B01BFD" w:rsidRPr="00077A99">
        <w:t xml:space="preserve">8.2 months for </w:t>
      </w:r>
      <w:proofErr w:type="spellStart"/>
      <w:r w:rsidR="00B01BFD" w:rsidRPr="00077A99">
        <w:t>dabrafenib</w:t>
      </w:r>
      <w:proofErr w:type="spellEnd"/>
      <w:r w:rsidR="00B01BFD" w:rsidRPr="00077A99">
        <w:t xml:space="preserve"> and 8.3 </w:t>
      </w:r>
      <w:r w:rsidR="000F5F3B" w:rsidRPr="00077A99">
        <w:t xml:space="preserve"> month for </w:t>
      </w:r>
      <w:proofErr w:type="spellStart"/>
      <w:r w:rsidR="000F5F3B" w:rsidRPr="00077A99">
        <w:t>trametinib</w:t>
      </w:r>
      <w:proofErr w:type="spellEnd"/>
      <w:r w:rsidRPr="007579E2">
        <w:t>).</w:t>
      </w:r>
    </w:p>
    <w:p w:rsidR="000F5F3B" w:rsidRPr="007579E2" w:rsidRDefault="00335AFD" w:rsidP="008905FD">
      <w:pPr>
        <w:pStyle w:val="ListParagraph"/>
        <w:widowControl/>
        <w:numPr>
          <w:ilvl w:val="1"/>
          <w:numId w:val="2"/>
        </w:numPr>
        <w:snapToGrid w:val="0"/>
        <w:spacing w:before="120"/>
      </w:pPr>
      <w:r w:rsidRPr="007579E2">
        <w:t>The drug cost in the model base case was</w:t>
      </w:r>
      <w:r w:rsidR="0064502B">
        <w:t xml:space="preserve"> less than</w:t>
      </w:r>
      <w:r w:rsidRPr="007579E2">
        <w:t xml:space="preserve"> $</w:t>
      </w:r>
      <w:r w:rsidR="0064502B">
        <w:t>10 million</w:t>
      </w:r>
      <w:r w:rsidRPr="007579E2">
        <w:t>, based o</w:t>
      </w:r>
      <w:r w:rsidR="00C76142" w:rsidRPr="007579E2">
        <w:t xml:space="preserve">n the drug cost (assuming no drug </w:t>
      </w:r>
      <w:r w:rsidR="00C76142" w:rsidRPr="00077A99">
        <w:t xml:space="preserve">wastage) and the modelled RFS </w:t>
      </w:r>
      <w:r w:rsidR="00C401BA" w:rsidRPr="00077A99">
        <w:t>(</w:t>
      </w:r>
      <w:r w:rsidR="0023686E">
        <w:rPr>
          <w:noProof/>
          <w:color w:val="000000"/>
          <w:highlight w:val="black"/>
        </w:rPr>
        <w:t>''''''''</w:t>
      </w:r>
      <w:r w:rsidR="00A12CBD" w:rsidRPr="00077A99">
        <w:t xml:space="preserve"> </w:t>
      </w:r>
      <w:r w:rsidR="00C401BA" w:rsidRPr="00077A99">
        <w:t>months)</w:t>
      </w:r>
      <w:r w:rsidR="00C76142" w:rsidRPr="00077A99">
        <w:t xml:space="preserve"> as</w:t>
      </w:r>
      <w:r w:rsidR="00C76142" w:rsidRPr="007579E2">
        <w:t xml:space="preserve"> proxy for treatment duration</w:t>
      </w:r>
      <w:r w:rsidR="007579E2">
        <w:t xml:space="preserve">. </w:t>
      </w:r>
    </w:p>
    <w:p w:rsidR="000F5F3B" w:rsidRPr="007579E2" w:rsidRDefault="000F5F3B" w:rsidP="008905FD">
      <w:pPr>
        <w:pStyle w:val="Heading2"/>
        <w:widowControl/>
        <w:spacing w:before="120"/>
      </w:pPr>
      <w:bookmarkStart w:id="21" w:name="_Toc532217402"/>
      <w:bookmarkStart w:id="22" w:name="_Toc536008006"/>
      <w:r w:rsidRPr="007579E2">
        <w:t>Estimated PBS usage &amp; financial implications</w:t>
      </w:r>
      <w:bookmarkEnd w:id="21"/>
      <w:bookmarkEnd w:id="22"/>
    </w:p>
    <w:p w:rsidR="000F5F3B" w:rsidRPr="007579E2" w:rsidRDefault="00616C08" w:rsidP="008905FD">
      <w:pPr>
        <w:pStyle w:val="ListParagraph"/>
        <w:widowControl/>
        <w:numPr>
          <w:ilvl w:val="1"/>
          <w:numId w:val="2"/>
        </w:numPr>
        <w:spacing w:before="120"/>
      </w:pPr>
      <w:r w:rsidRPr="007579E2">
        <w:t xml:space="preserve">This submission </w:t>
      </w:r>
      <w:r w:rsidR="00C05EA6" w:rsidRPr="007579E2">
        <w:t>wa</w:t>
      </w:r>
      <w:r w:rsidR="003379B7" w:rsidRPr="007579E2">
        <w:t xml:space="preserve">s </w:t>
      </w:r>
      <w:r w:rsidR="000F5F3B" w:rsidRPr="007579E2">
        <w:t>not considered by DUSC</w:t>
      </w:r>
      <w:r w:rsidR="007579E2">
        <w:t xml:space="preserve">. </w:t>
      </w:r>
    </w:p>
    <w:p w:rsidR="000F5F3B" w:rsidRPr="007579E2" w:rsidRDefault="000F5F3B" w:rsidP="008905FD">
      <w:pPr>
        <w:pStyle w:val="ListParagraph"/>
        <w:widowControl/>
        <w:numPr>
          <w:ilvl w:val="1"/>
          <w:numId w:val="2"/>
        </w:numPr>
        <w:spacing w:before="120"/>
      </w:pPr>
      <w:r w:rsidRPr="007579E2">
        <w:t xml:space="preserve">The submission used an epidemiological approach to estimate the likely extent of use of adjuvant </w:t>
      </w:r>
      <w:proofErr w:type="spellStart"/>
      <w:r w:rsidRPr="007579E2">
        <w:t>dabrafenib+trametinib</w:t>
      </w:r>
      <w:proofErr w:type="spellEnd"/>
      <w:r w:rsidRPr="007579E2">
        <w:t xml:space="preserve"> and associated financial implications to the PBS/RPBS. The number of eligible patients was based on:</w:t>
      </w:r>
    </w:p>
    <w:p w:rsidR="000F5F3B" w:rsidRPr="007579E2" w:rsidRDefault="000F5F3B" w:rsidP="008905FD">
      <w:pPr>
        <w:pStyle w:val="ListParagraph"/>
        <w:widowControl/>
        <w:numPr>
          <w:ilvl w:val="1"/>
          <w:numId w:val="5"/>
        </w:numPr>
        <w:spacing w:before="120"/>
        <w:ind w:left="1077" w:hanging="357"/>
      </w:pPr>
      <w:r w:rsidRPr="007579E2">
        <w:t xml:space="preserve">An incident population newly diagnosed with melanoma, estimated from a linear extrapolation of the AIHW data on incident rate from 2000 to 2014 (Australian Cancer Incidence and Mortality book: melanoma of the skin) and the Australian Bureau of Statistics data on the projected Australian population. </w:t>
      </w:r>
    </w:p>
    <w:p w:rsidR="000F5F3B" w:rsidRPr="007579E2" w:rsidRDefault="000F5F3B" w:rsidP="008905FD">
      <w:pPr>
        <w:pStyle w:val="ListParagraph"/>
        <w:widowControl/>
        <w:numPr>
          <w:ilvl w:val="1"/>
          <w:numId w:val="5"/>
        </w:numPr>
        <w:spacing w:before="120"/>
        <w:ind w:left="1077" w:hanging="357"/>
      </w:pPr>
      <w:r w:rsidRPr="007579E2">
        <w:t>Incident patients diagnosed with Stage III disease, based on the NSW Cancer registry which involved all cutaneous melanoma cases diagnosed between 2010 and 2014 (Cancer Institute NSW 2018).</w:t>
      </w:r>
    </w:p>
    <w:p w:rsidR="000F5F3B" w:rsidRPr="007579E2" w:rsidRDefault="000F5F3B" w:rsidP="008905FD">
      <w:pPr>
        <w:pStyle w:val="ListParagraph"/>
        <w:widowControl/>
        <w:numPr>
          <w:ilvl w:val="1"/>
          <w:numId w:val="5"/>
        </w:numPr>
        <w:spacing w:before="120"/>
        <w:ind w:left="1077" w:hanging="357"/>
      </w:pPr>
      <w:r w:rsidRPr="007579E2">
        <w:t>Incident patients initially diagnosed with earlier stages of disease that progress to Stage III melanoma, using the truncated (10-year) RFS curves from the Sydney Melanoma Unit database for patients diagnosed with cutaneous melanoma in 1959-2002 with Stage I or II disease</w:t>
      </w:r>
      <w:r w:rsidRPr="007579E2">
        <w:rPr>
          <w:rStyle w:val="FootnoteReference"/>
        </w:rPr>
        <w:footnoteReference w:id="9"/>
      </w:r>
      <w:r w:rsidRPr="007579E2">
        <w:t>. The disease staging system (AJCC 6</w:t>
      </w:r>
      <w:r w:rsidRPr="007579E2">
        <w:rPr>
          <w:vertAlign w:val="superscript"/>
        </w:rPr>
        <w:t>th</w:t>
      </w:r>
      <w:r w:rsidRPr="007579E2">
        <w:t xml:space="preserve"> edition) and melanoma treatments </w:t>
      </w:r>
      <w:r w:rsidR="00616C08" w:rsidRPr="007579E2">
        <w:t xml:space="preserve">in this population </w:t>
      </w:r>
      <w:r w:rsidRPr="007579E2">
        <w:t xml:space="preserve">were outdated. The submission estimated that, in patients with Stage III melanoma, approximately </w:t>
      </w:r>
      <w:r w:rsidR="0023686E">
        <w:rPr>
          <w:noProof/>
          <w:color w:val="000000"/>
          <w:highlight w:val="black"/>
        </w:rPr>
        <w:t>''''''</w:t>
      </w:r>
      <w:proofErr w:type="gramStart"/>
      <w:r w:rsidR="00A12CBD" w:rsidRPr="00A12CBD">
        <w:t xml:space="preserve">% </w:t>
      </w:r>
      <w:r w:rsidRPr="00A12CBD">
        <w:t xml:space="preserve"> presented</w:t>
      </w:r>
      <w:proofErr w:type="gramEnd"/>
      <w:r w:rsidRPr="007579E2">
        <w:t xml:space="preserve"> with Stage III after progression from earlier stage disease. This figure was lower than the Melanoma Institute Australia </w:t>
      </w:r>
      <w:r w:rsidR="00537E7D" w:rsidRPr="007579E2">
        <w:t xml:space="preserve">(MIA) </w:t>
      </w:r>
      <w:r w:rsidRPr="007579E2">
        <w:t xml:space="preserve">data </w:t>
      </w:r>
      <w:r w:rsidR="00332F3F" w:rsidRPr="007579E2">
        <w:t xml:space="preserve">on patients diagnosed between 1970 and 2013 </w:t>
      </w:r>
      <w:r w:rsidRPr="007579E2">
        <w:t>(55%)</w:t>
      </w:r>
      <w:r w:rsidRPr="007579E2">
        <w:rPr>
          <w:rStyle w:val="FootnoteReference"/>
        </w:rPr>
        <w:footnoteReference w:id="10"/>
      </w:r>
      <w:r w:rsidRPr="007579E2">
        <w:t>.</w:t>
      </w:r>
      <w:r w:rsidR="00634755" w:rsidRPr="007579E2">
        <w:t xml:space="preserve"> </w:t>
      </w:r>
      <w:r w:rsidR="00537E7D" w:rsidRPr="007579E2">
        <w:t>The PSCR argued that the 55% refers to the percentage of patients who presented with Stage III recurrent disease, which would include patients previously diagnosed Stage III whose disease has recurred and therefore likely overestimates disease recurrence at an earlier stage. It argued that Kaplan-Meier survival curves from the 8</w:t>
      </w:r>
      <w:r w:rsidR="00537E7D" w:rsidRPr="007579E2">
        <w:rPr>
          <w:vertAlign w:val="superscript"/>
        </w:rPr>
        <w:t>th</w:t>
      </w:r>
      <w:r w:rsidR="00537E7D" w:rsidRPr="007579E2">
        <w:t xml:space="preserve"> Edition International Melanoma Database (</w:t>
      </w:r>
      <w:proofErr w:type="spellStart"/>
      <w:r w:rsidR="00537E7D" w:rsidRPr="007579E2">
        <w:t>Gershenwald</w:t>
      </w:r>
      <w:proofErr w:type="spellEnd"/>
      <w:r w:rsidR="00537E7D" w:rsidRPr="007579E2">
        <w:t xml:space="preserve"> 2017) show relatively high melanoma-specific </w:t>
      </w:r>
      <w:r w:rsidR="00537E7D" w:rsidRPr="007579E2">
        <w:lastRenderedPageBreak/>
        <w:t xml:space="preserve">survival (MSS) rates for Stage I and II melanoma patients. Patients with </w:t>
      </w:r>
      <w:r w:rsidR="00436081" w:rsidRPr="007579E2">
        <w:t xml:space="preserve">Stage </w:t>
      </w:r>
      <w:r w:rsidR="00537E7D" w:rsidRPr="007579E2">
        <w:t>I</w:t>
      </w:r>
      <w:r w:rsidR="00A124DB" w:rsidRPr="007579E2">
        <w:t xml:space="preserve"> and</w:t>
      </w:r>
      <w:r w:rsidR="00537E7D" w:rsidRPr="007579E2">
        <w:t xml:space="preserve"> </w:t>
      </w:r>
      <w:r w:rsidR="00A124DB" w:rsidRPr="007579E2">
        <w:t xml:space="preserve">Stage </w:t>
      </w:r>
      <w:r w:rsidR="00537E7D" w:rsidRPr="007579E2">
        <w:t xml:space="preserve">II </w:t>
      </w:r>
      <w:r w:rsidR="00A124DB" w:rsidRPr="007579E2">
        <w:t xml:space="preserve">disease </w:t>
      </w:r>
      <w:r w:rsidR="00537E7D" w:rsidRPr="007579E2">
        <w:t>had 5-year and 10-year MSS rates of 98% and 95%, 90% and 84%, respectively, which would suggest that progression to Stage III from earlier stages of disease would also be relatively low.</w:t>
      </w:r>
    </w:p>
    <w:p w:rsidR="000F5F3B" w:rsidRPr="007579E2" w:rsidRDefault="00616C08" w:rsidP="008905FD">
      <w:pPr>
        <w:pStyle w:val="ListParagraph"/>
        <w:widowControl/>
        <w:numPr>
          <w:ilvl w:val="1"/>
          <w:numId w:val="5"/>
        </w:numPr>
        <w:spacing w:before="120"/>
        <w:ind w:left="1077" w:hanging="357"/>
      </w:pPr>
      <w:r w:rsidRPr="007579E2">
        <w:t xml:space="preserve">The proportion of patients with </w:t>
      </w:r>
      <w:proofErr w:type="spellStart"/>
      <w:r w:rsidRPr="007579E2">
        <w:t>r</w:t>
      </w:r>
      <w:r w:rsidR="000F5F3B" w:rsidRPr="007579E2">
        <w:t>esectable</w:t>
      </w:r>
      <w:proofErr w:type="spellEnd"/>
      <w:r w:rsidR="000F5F3B" w:rsidRPr="007579E2">
        <w:t xml:space="preserve"> Stage III melanoma</w:t>
      </w:r>
      <w:r w:rsidRPr="007579E2">
        <w:t xml:space="preserve"> was</w:t>
      </w:r>
      <w:r w:rsidR="000F5F3B" w:rsidRPr="007579E2">
        <w:t xml:space="preserve"> sourced from a market research survey which involved 31 medical oncologists. The generalisability of the survey results was of concern given the low response rate (&lt;</w:t>
      </w:r>
      <w:r w:rsidRPr="007579E2">
        <w:t xml:space="preserve"> </w:t>
      </w:r>
      <w:r w:rsidR="000F5F3B" w:rsidRPr="007579E2">
        <w:t xml:space="preserve">10%). </w:t>
      </w:r>
    </w:p>
    <w:p w:rsidR="000F5F3B" w:rsidRPr="007579E2" w:rsidRDefault="00616C08" w:rsidP="008905FD">
      <w:pPr>
        <w:pStyle w:val="ListParagraph"/>
        <w:widowControl/>
        <w:numPr>
          <w:ilvl w:val="1"/>
          <w:numId w:val="5"/>
        </w:numPr>
        <w:spacing w:before="120"/>
        <w:ind w:left="1077" w:hanging="357"/>
      </w:pPr>
      <w:r w:rsidRPr="007579E2">
        <w:t xml:space="preserve">The proportion of patients with </w:t>
      </w:r>
      <w:r w:rsidR="000F5F3B" w:rsidRPr="007579E2">
        <w:t>BRAF V600 positive melanoma</w:t>
      </w:r>
      <w:r w:rsidRPr="007579E2">
        <w:t xml:space="preserve"> was calculated</w:t>
      </w:r>
      <w:r w:rsidR="000F5F3B" w:rsidRPr="007579E2">
        <w:t xml:space="preserve"> using a prevalence rate (44.5%) previously accepted by the MSAC when it considered the funding of BRAF mutation testing in patients with locally advanced or metastatic melanoma for eligibility for </w:t>
      </w:r>
      <w:proofErr w:type="spellStart"/>
      <w:r w:rsidR="000F5F3B" w:rsidRPr="007579E2">
        <w:t>dabrafenib</w:t>
      </w:r>
      <w:proofErr w:type="spellEnd"/>
      <w:r w:rsidR="000F5F3B" w:rsidRPr="007579E2">
        <w:t xml:space="preserve"> treatment (Application 1172 PSD, April 2013 MSAC meeting).</w:t>
      </w:r>
    </w:p>
    <w:p w:rsidR="000F5F3B" w:rsidRPr="007579E2" w:rsidRDefault="000F5F3B" w:rsidP="008905FD">
      <w:pPr>
        <w:pStyle w:val="ListParagraph"/>
        <w:widowControl/>
        <w:numPr>
          <w:ilvl w:val="1"/>
          <w:numId w:val="2"/>
        </w:numPr>
        <w:spacing w:before="120"/>
      </w:pPr>
      <w:r w:rsidRPr="007579E2">
        <w:t xml:space="preserve">The submission assumed an expected uptake </w:t>
      </w:r>
      <w:r w:rsidRPr="00A12CBD">
        <w:t xml:space="preserve">rate of </w:t>
      </w:r>
      <w:r w:rsidR="0023686E">
        <w:rPr>
          <w:noProof/>
          <w:color w:val="000000"/>
          <w:highlight w:val="black"/>
        </w:rPr>
        <w:t>''''''</w:t>
      </w:r>
      <w:r w:rsidRPr="00A12CBD">
        <w:t>%, based on the</w:t>
      </w:r>
      <w:r w:rsidRPr="007579E2">
        <w:t xml:space="preserve"> expert opinion from the market research survey. It is unclear whether this uptake would be realised in practice. The rate of uptake is likely to be lower in some populations, e.g. older patients</w:t>
      </w:r>
      <w:r w:rsidR="00E27365">
        <w:t xml:space="preserve">, those with autoimmune comorbidities, </w:t>
      </w:r>
      <w:r w:rsidRPr="007579E2">
        <w:t>and those with low</w:t>
      </w:r>
      <w:r w:rsidR="00E27365">
        <w:t>er</w:t>
      </w:r>
      <w:r w:rsidRPr="007579E2">
        <w:t xml:space="preserve">-risk melanoma (Stage IIIA). </w:t>
      </w:r>
      <w:r w:rsidR="008F1C2A" w:rsidRPr="007579E2">
        <w:t xml:space="preserve">The PSCR noted a high uptake rate is expected because no effective treatment option currently exists. The ESC noted the toxicity of </w:t>
      </w:r>
      <w:proofErr w:type="spellStart"/>
      <w:r w:rsidR="008F1C2A" w:rsidRPr="007579E2">
        <w:t>dabrafenib+trametinib</w:t>
      </w:r>
      <w:proofErr w:type="spellEnd"/>
      <w:r w:rsidR="008F1C2A" w:rsidRPr="007579E2">
        <w:t xml:space="preserve"> may impact on uptake, especially for patients with a relatively low risk of recurrence.</w:t>
      </w:r>
    </w:p>
    <w:p w:rsidR="000F5F3B" w:rsidRPr="007579E2" w:rsidRDefault="000F5F3B" w:rsidP="008905FD">
      <w:pPr>
        <w:pStyle w:val="ListParagraph"/>
        <w:widowControl/>
        <w:numPr>
          <w:ilvl w:val="1"/>
          <w:numId w:val="2"/>
        </w:numPr>
        <w:spacing w:before="120"/>
      </w:pPr>
      <w:r w:rsidRPr="007579E2">
        <w:t xml:space="preserve">The mean treatment duration of adjuvant therapy with </w:t>
      </w:r>
      <w:proofErr w:type="spellStart"/>
      <w:r w:rsidRPr="007579E2">
        <w:t>dabrafenib+trametinib</w:t>
      </w:r>
      <w:proofErr w:type="spellEnd"/>
      <w:r w:rsidRPr="007579E2">
        <w:t xml:space="preserve"> was derived from Trial </w:t>
      </w:r>
      <w:r w:rsidRPr="00077A99">
        <w:t>COMBI-AD</w:t>
      </w:r>
      <w:r w:rsidR="002946D5" w:rsidRPr="00077A99">
        <w:t xml:space="preserve"> (</w:t>
      </w:r>
      <w:r w:rsidR="00A12CBD" w:rsidRPr="00077A99">
        <w:t xml:space="preserve">8.2 to 8.3 </w:t>
      </w:r>
      <w:r w:rsidR="002946D5" w:rsidRPr="00077A99">
        <w:t>months)</w:t>
      </w:r>
      <w:r w:rsidRPr="00077A99">
        <w:t>. This was appropriate</w:t>
      </w:r>
      <w:r w:rsidR="007579E2">
        <w:t xml:space="preserve">. </w:t>
      </w:r>
    </w:p>
    <w:p w:rsidR="000F5F3B" w:rsidRPr="00BE45C9" w:rsidRDefault="000F5F3B" w:rsidP="008905FD">
      <w:pPr>
        <w:pStyle w:val="ListParagraph"/>
        <w:widowControl/>
        <w:numPr>
          <w:ilvl w:val="1"/>
          <w:numId w:val="2"/>
        </w:numPr>
        <w:spacing w:before="120"/>
      </w:pPr>
      <w:r w:rsidRPr="007579E2">
        <w:t xml:space="preserve">The number of cases of recurrent disease avoided was estimated on the basis of the difference in rates of distant metastasis-free survival (DMFS) at Year 3 between the </w:t>
      </w:r>
      <w:proofErr w:type="spellStart"/>
      <w:r w:rsidRPr="007579E2">
        <w:t>dabrafenib+trametinib</w:t>
      </w:r>
      <w:proofErr w:type="spellEnd"/>
      <w:r w:rsidRPr="007579E2">
        <w:t xml:space="preserve"> and placebo arms reported in the COMBI-AD trial (14%). The absolute difference in DMFS rates between the two treatment groups decreased over time. The selection of Year 3 data was not justified. More importantly, DMFS is not a reasonable proxy for the avoidance of subsequent treatments in the </w:t>
      </w:r>
      <w:proofErr w:type="spellStart"/>
      <w:r w:rsidR="003532CB" w:rsidRPr="007579E2">
        <w:t>unresectable</w:t>
      </w:r>
      <w:proofErr w:type="spellEnd"/>
      <w:r w:rsidR="003532CB" w:rsidRPr="007579E2">
        <w:t xml:space="preserve"> or metastatic </w:t>
      </w:r>
      <w:r w:rsidRPr="007579E2">
        <w:t xml:space="preserve">setting, as patients with </w:t>
      </w:r>
      <w:proofErr w:type="spellStart"/>
      <w:r w:rsidRPr="007579E2">
        <w:t>unresectable</w:t>
      </w:r>
      <w:proofErr w:type="spellEnd"/>
      <w:r w:rsidRPr="007579E2">
        <w:t xml:space="preserve"> regional recurrent disease are also eligible for post-re</w:t>
      </w:r>
      <w:r w:rsidR="00BE45C9">
        <w:t>currence anti-cancer medicines.</w:t>
      </w:r>
    </w:p>
    <w:p w:rsidR="000F5F3B" w:rsidRPr="007579E2" w:rsidRDefault="000F5F3B" w:rsidP="008905FD">
      <w:pPr>
        <w:pStyle w:val="ListParagraph"/>
        <w:widowControl/>
        <w:numPr>
          <w:ilvl w:val="1"/>
          <w:numId w:val="2"/>
        </w:numPr>
        <w:spacing w:before="120"/>
      </w:pPr>
      <w:r w:rsidRPr="007579E2">
        <w:t>The</w:t>
      </w:r>
      <w:r w:rsidR="00A03707" w:rsidRPr="007579E2">
        <w:t xml:space="preserve"> submission indicated that BRAF</w:t>
      </w:r>
      <w:r w:rsidR="00A03707" w:rsidRPr="007579E2">
        <w:rPr>
          <w:rFonts w:cs="Calibri"/>
        </w:rPr>
        <w:t>±</w:t>
      </w:r>
      <w:r w:rsidRPr="007579E2">
        <w:t xml:space="preserve">MEK inhibitors were first-line treatment for </w:t>
      </w:r>
      <w:proofErr w:type="spellStart"/>
      <w:r w:rsidRPr="007579E2">
        <w:t>unresectable</w:t>
      </w:r>
      <w:proofErr w:type="spellEnd"/>
      <w:r w:rsidRPr="007579E2">
        <w:t xml:space="preserve"> BRAF positive melanoma. The cost offsets associated with the proposed listing of adjuvant </w:t>
      </w:r>
      <w:proofErr w:type="spellStart"/>
      <w:r w:rsidRPr="007579E2">
        <w:t>dabrafenib+trametinib</w:t>
      </w:r>
      <w:proofErr w:type="spellEnd"/>
      <w:r w:rsidRPr="007579E2">
        <w:t xml:space="preserve"> were estimated by applying the number of patients avoiding distant metastasis to the costs of </w:t>
      </w:r>
      <w:proofErr w:type="spellStart"/>
      <w:r w:rsidRPr="007579E2">
        <w:t>dabrafenib</w:t>
      </w:r>
      <w:r w:rsidR="00BE45C9" w:rsidRPr="007579E2">
        <w:t>±</w:t>
      </w:r>
      <w:r w:rsidRPr="007579E2">
        <w:t>trametinib</w:t>
      </w:r>
      <w:proofErr w:type="spellEnd"/>
      <w:r w:rsidRPr="007579E2">
        <w:t xml:space="preserve"> in the </w:t>
      </w:r>
      <w:proofErr w:type="spellStart"/>
      <w:r w:rsidR="003532CB" w:rsidRPr="007579E2">
        <w:t>unresectable</w:t>
      </w:r>
      <w:proofErr w:type="spellEnd"/>
      <w:r w:rsidR="003532CB" w:rsidRPr="007579E2">
        <w:t xml:space="preserve"> or metastatic </w:t>
      </w:r>
      <w:r w:rsidRPr="007579E2">
        <w:t xml:space="preserve">setting. The submission only considered the incremental number of patients who experience melanoma recurrence and receive subsequent </w:t>
      </w:r>
      <w:proofErr w:type="spellStart"/>
      <w:r w:rsidRPr="007579E2">
        <w:t>dabrafenib+trametinib</w:t>
      </w:r>
      <w:proofErr w:type="spellEnd"/>
      <w:r w:rsidRPr="007579E2">
        <w:t xml:space="preserve"> between the scenarios with and without adjuvant </w:t>
      </w:r>
      <w:proofErr w:type="spellStart"/>
      <w:r w:rsidRPr="007579E2">
        <w:t>dabrafenib+trametinib</w:t>
      </w:r>
      <w:proofErr w:type="spellEnd"/>
      <w:r w:rsidRPr="007579E2">
        <w:t xml:space="preserve">. This implicitly assumed that the pattern of use of post-recurrence medicines (e.g. targeted therapies, immunotherapies and chemotherapies) in other patients with recurrent disease is the same between the </w:t>
      </w:r>
      <w:r w:rsidRPr="007579E2">
        <w:lastRenderedPageBreak/>
        <w:t>two scenarios. This is unlikely to occur in clinical practice and is inconsistent with the COMBI-AD trial</w:t>
      </w:r>
      <w:r w:rsidR="00FD7B43" w:rsidRPr="007579E2">
        <w:t xml:space="preserve"> and economic model</w:t>
      </w:r>
      <w:r w:rsidRPr="007579E2">
        <w:t xml:space="preserve">. </w:t>
      </w:r>
    </w:p>
    <w:p w:rsidR="000F5F3B" w:rsidRPr="007579E2" w:rsidRDefault="000F5F3B" w:rsidP="007E6F21">
      <w:pPr>
        <w:keepNext/>
        <w:widowControl/>
      </w:pPr>
      <w:r w:rsidRPr="007579E2">
        <w:rPr>
          <w:rStyle w:val="CommentReference"/>
        </w:rPr>
        <w:t xml:space="preserve">Table </w:t>
      </w:r>
      <w:r w:rsidR="00BC1636" w:rsidRPr="007579E2">
        <w:rPr>
          <w:rStyle w:val="CommentReference"/>
        </w:rPr>
        <w:t>1</w:t>
      </w:r>
      <w:r w:rsidR="00DF4C14" w:rsidRPr="007579E2">
        <w:rPr>
          <w:rStyle w:val="CommentReference"/>
        </w:rPr>
        <w:t>8</w:t>
      </w:r>
      <w:r w:rsidRPr="007579E2">
        <w:rPr>
          <w:rStyle w:val="CommentReference"/>
        </w:rPr>
        <w:t>:</w:t>
      </w:r>
      <w:r w:rsidRPr="007579E2">
        <w:t xml:space="preserve"> </w:t>
      </w:r>
      <w:r w:rsidRPr="007579E2">
        <w:rPr>
          <w:rStyle w:val="CommentReference"/>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Estimated use and financial implications"/>
      </w:tblPr>
      <w:tblGrid>
        <w:gridCol w:w="1693"/>
        <w:gridCol w:w="1219"/>
        <w:gridCol w:w="1219"/>
        <w:gridCol w:w="1219"/>
        <w:gridCol w:w="1221"/>
        <w:gridCol w:w="1221"/>
        <w:gridCol w:w="1225"/>
      </w:tblGrid>
      <w:tr w:rsidR="000F5F3B" w:rsidRPr="007579E2" w:rsidTr="008A4A70">
        <w:trPr>
          <w:tblHeader/>
        </w:trPr>
        <w:tc>
          <w:tcPr>
            <w:tcW w:w="939" w:type="pct"/>
            <w:shd w:val="clear" w:color="auto" w:fill="auto"/>
            <w:vAlign w:val="center"/>
          </w:tcPr>
          <w:p w:rsidR="000F5F3B" w:rsidRPr="007579E2" w:rsidRDefault="000F5F3B" w:rsidP="007E6F21">
            <w:pPr>
              <w:pStyle w:val="Tabletext"/>
              <w:keepNext/>
              <w:rPr>
                <w:szCs w:val="20"/>
              </w:rPr>
            </w:pPr>
          </w:p>
        </w:tc>
        <w:tc>
          <w:tcPr>
            <w:tcW w:w="676" w:type="pct"/>
            <w:shd w:val="clear" w:color="auto" w:fill="auto"/>
            <w:vAlign w:val="center"/>
          </w:tcPr>
          <w:p w:rsidR="000F5F3B" w:rsidRPr="007579E2" w:rsidRDefault="000F5F3B" w:rsidP="007E6F21">
            <w:pPr>
              <w:pStyle w:val="Tabletext"/>
              <w:keepNext/>
              <w:jc w:val="center"/>
              <w:rPr>
                <w:b/>
                <w:szCs w:val="20"/>
              </w:rPr>
            </w:pPr>
            <w:r w:rsidRPr="007579E2">
              <w:rPr>
                <w:b/>
                <w:szCs w:val="20"/>
              </w:rPr>
              <w:t>Year 1</w:t>
            </w:r>
          </w:p>
        </w:tc>
        <w:tc>
          <w:tcPr>
            <w:tcW w:w="676" w:type="pct"/>
            <w:shd w:val="clear" w:color="auto" w:fill="auto"/>
            <w:vAlign w:val="center"/>
          </w:tcPr>
          <w:p w:rsidR="000F5F3B" w:rsidRPr="007579E2" w:rsidRDefault="000F5F3B" w:rsidP="007E6F21">
            <w:pPr>
              <w:pStyle w:val="Tabletext"/>
              <w:keepNext/>
              <w:jc w:val="center"/>
              <w:rPr>
                <w:b/>
                <w:szCs w:val="20"/>
              </w:rPr>
            </w:pPr>
            <w:r w:rsidRPr="007579E2">
              <w:rPr>
                <w:b/>
                <w:szCs w:val="20"/>
              </w:rPr>
              <w:t>Year 2</w:t>
            </w:r>
          </w:p>
        </w:tc>
        <w:tc>
          <w:tcPr>
            <w:tcW w:w="676" w:type="pct"/>
            <w:shd w:val="clear" w:color="auto" w:fill="auto"/>
            <w:vAlign w:val="center"/>
          </w:tcPr>
          <w:p w:rsidR="000F5F3B" w:rsidRPr="007579E2" w:rsidRDefault="000F5F3B" w:rsidP="007E6F21">
            <w:pPr>
              <w:pStyle w:val="Tabletext"/>
              <w:keepNext/>
              <w:jc w:val="center"/>
              <w:rPr>
                <w:b/>
                <w:szCs w:val="20"/>
              </w:rPr>
            </w:pPr>
            <w:r w:rsidRPr="007579E2">
              <w:rPr>
                <w:b/>
                <w:szCs w:val="20"/>
              </w:rPr>
              <w:t>Year 3</w:t>
            </w:r>
          </w:p>
        </w:tc>
        <w:tc>
          <w:tcPr>
            <w:tcW w:w="677" w:type="pct"/>
            <w:shd w:val="clear" w:color="auto" w:fill="auto"/>
            <w:vAlign w:val="center"/>
          </w:tcPr>
          <w:p w:rsidR="000F5F3B" w:rsidRPr="007579E2" w:rsidRDefault="000F5F3B" w:rsidP="007E6F21">
            <w:pPr>
              <w:pStyle w:val="Tabletext"/>
              <w:keepNext/>
              <w:jc w:val="center"/>
              <w:rPr>
                <w:b/>
                <w:szCs w:val="20"/>
              </w:rPr>
            </w:pPr>
            <w:r w:rsidRPr="007579E2">
              <w:rPr>
                <w:b/>
                <w:szCs w:val="20"/>
              </w:rPr>
              <w:t>Year 4</w:t>
            </w:r>
          </w:p>
        </w:tc>
        <w:tc>
          <w:tcPr>
            <w:tcW w:w="677" w:type="pct"/>
            <w:shd w:val="clear" w:color="auto" w:fill="auto"/>
            <w:vAlign w:val="center"/>
          </w:tcPr>
          <w:p w:rsidR="000F5F3B" w:rsidRPr="007579E2" w:rsidRDefault="000F5F3B" w:rsidP="007E6F21">
            <w:pPr>
              <w:pStyle w:val="Tabletext"/>
              <w:keepNext/>
              <w:jc w:val="center"/>
              <w:rPr>
                <w:b/>
                <w:szCs w:val="20"/>
              </w:rPr>
            </w:pPr>
            <w:r w:rsidRPr="007579E2">
              <w:rPr>
                <w:b/>
                <w:szCs w:val="20"/>
              </w:rPr>
              <w:t>Year 5</w:t>
            </w:r>
          </w:p>
        </w:tc>
        <w:tc>
          <w:tcPr>
            <w:tcW w:w="679" w:type="pct"/>
          </w:tcPr>
          <w:p w:rsidR="000F5F3B" w:rsidRPr="007579E2" w:rsidRDefault="000F5F3B" w:rsidP="007E6F21">
            <w:pPr>
              <w:pStyle w:val="Tabletext"/>
              <w:keepNext/>
              <w:jc w:val="center"/>
              <w:rPr>
                <w:b/>
                <w:szCs w:val="20"/>
              </w:rPr>
            </w:pPr>
            <w:r w:rsidRPr="007579E2">
              <w:rPr>
                <w:b/>
                <w:szCs w:val="20"/>
              </w:rPr>
              <w:t>Year 6</w:t>
            </w:r>
          </w:p>
        </w:tc>
      </w:tr>
      <w:tr w:rsidR="000F5F3B" w:rsidRPr="007579E2" w:rsidTr="008A4A70">
        <w:tc>
          <w:tcPr>
            <w:tcW w:w="5000" w:type="pct"/>
            <w:gridSpan w:val="7"/>
            <w:shd w:val="clear" w:color="auto" w:fill="auto"/>
            <w:vAlign w:val="center"/>
          </w:tcPr>
          <w:p w:rsidR="000F5F3B" w:rsidRPr="007579E2" w:rsidRDefault="000F5F3B" w:rsidP="007E6F21">
            <w:pPr>
              <w:pStyle w:val="Tabletext"/>
              <w:keepNext/>
              <w:rPr>
                <w:b/>
                <w:bCs/>
                <w:color w:val="000000"/>
                <w:szCs w:val="20"/>
              </w:rPr>
            </w:pPr>
            <w:r w:rsidRPr="007579E2">
              <w:rPr>
                <w:b/>
                <w:bCs/>
                <w:color w:val="000000"/>
                <w:szCs w:val="20"/>
              </w:rPr>
              <w:t>Estimated extent of use</w:t>
            </w:r>
          </w:p>
        </w:tc>
      </w:tr>
      <w:tr w:rsidR="000F5F3B" w:rsidRPr="007579E2" w:rsidTr="008A4A70">
        <w:tc>
          <w:tcPr>
            <w:tcW w:w="939" w:type="pct"/>
            <w:shd w:val="clear" w:color="auto" w:fill="auto"/>
            <w:vAlign w:val="center"/>
          </w:tcPr>
          <w:p w:rsidR="000F5F3B" w:rsidRPr="007579E2" w:rsidRDefault="000F5F3B" w:rsidP="007E6F21">
            <w:pPr>
              <w:pStyle w:val="Tabletext"/>
              <w:keepNext/>
              <w:rPr>
                <w:szCs w:val="20"/>
              </w:rPr>
            </w:pPr>
            <w:r w:rsidRPr="007579E2">
              <w:rPr>
                <w:szCs w:val="20"/>
              </w:rPr>
              <w:t>Number of patients treated</w:t>
            </w:r>
          </w:p>
        </w:tc>
        <w:tc>
          <w:tcPr>
            <w:tcW w:w="676" w:type="pct"/>
            <w:shd w:val="clear" w:color="auto" w:fill="auto"/>
            <w:vAlign w:val="center"/>
          </w:tcPr>
          <w:p w:rsidR="000F5F3B" w:rsidRPr="0023686E" w:rsidRDefault="0023686E" w:rsidP="007E6F21">
            <w:pPr>
              <w:pStyle w:val="Tabletext"/>
              <w:keepN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0F5F3B" w:rsidRPr="0023686E" w:rsidRDefault="0023686E" w:rsidP="007E6F21">
            <w:pPr>
              <w:pStyle w:val="Tabletext"/>
              <w:keepN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0F5F3B" w:rsidRPr="0023686E" w:rsidRDefault="0023686E" w:rsidP="007E6F21">
            <w:pPr>
              <w:pStyle w:val="Tabletext"/>
              <w:keepN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0F5F3B" w:rsidRPr="0023686E" w:rsidRDefault="0023686E" w:rsidP="007E6F21">
            <w:pPr>
              <w:pStyle w:val="Tabletext"/>
              <w:keepN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0F5F3B" w:rsidRPr="0023686E" w:rsidRDefault="0023686E" w:rsidP="007E6F21">
            <w:pPr>
              <w:pStyle w:val="Tabletext"/>
              <w:keepNext/>
              <w:jc w:val="center"/>
              <w:rPr>
                <w:bCs/>
                <w:color w:val="000000"/>
                <w:szCs w:val="20"/>
                <w:highlight w:val="black"/>
              </w:rPr>
            </w:pPr>
            <w:r>
              <w:rPr>
                <w:noProof/>
                <w:color w:val="000000"/>
                <w:szCs w:val="20"/>
                <w:highlight w:val="black"/>
              </w:rPr>
              <w:t>'''''''''</w:t>
            </w:r>
          </w:p>
        </w:tc>
        <w:tc>
          <w:tcPr>
            <w:tcW w:w="679" w:type="pct"/>
            <w:vAlign w:val="center"/>
          </w:tcPr>
          <w:p w:rsidR="000F5F3B" w:rsidRPr="0023686E" w:rsidRDefault="0023686E" w:rsidP="007E6F21">
            <w:pPr>
              <w:pStyle w:val="Tabletext"/>
              <w:keepNext/>
              <w:jc w:val="center"/>
              <w:rPr>
                <w:bCs/>
                <w:color w:val="000000"/>
                <w:szCs w:val="20"/>
                <w:highlight w:val="black"/>
              </w:rPr>
            </w:pPr>
            <w:r>
              <w:rPr>
                <w:noProof/>
                <w:color w:val="000000"/>
                <w:szCs w:val="20"/>
                <w:highlight w:val="black"/>
              </w:rPr>
              <w:t>''''''''</w:t>
            </w:r>
          </w:p>
        </w:tc>
      </w:tr>
      <w:tr w:rsidR="000F5F3B" w:rsidRPr="007579E2" w:rsidTr="008A4A70">
        <w:tc>
          <w:tcPr>
            <w:tcW w:w="939" w:type="pct"/>
            <w:shd w:val="clear" w:color="auto" w:fill="auto"/>
            <w:vAlign w:val="center"/>
          </w:tcPr>
          <w:p w:rsidR="000F5F3B" w:rsidRPr="007579E2" w:rsidRDefault="000F5F3B" w:rsidP="007E6F21">
            <w:pPr>
              <w:pStyle w:val="Tabletext"/>
              <w:keepNext/>
              <w:rPr>
                <w:szCs w:val="20"/>
              </w:rPr>
            </w:pPr>
            <w:r w:rsidRPr="007579E2">
              <w:rPr>
                <w:szCs w:val="20"/>
              </w:rPr>
              <w:t xml:space="preserve">Number of scripts </w:t>
            </w:r>
            <w:proofErr w:type="spellStart"/>
            <w:r w:rsidRPr="007579E2">
              <w:rPr>
                <w:szCs w:val="20"/>
              </w:rPr>
              <w:t>dispensed</w:t>
            </w:r>
            <w:r w:rsidRPr="007579E2">
              <w:rPr>
                <w:szCs w:val="20"/>
                <w:vertAlign w:val="superscript"/>
              </w:rPr>
              <w:t>a</w:t>
            </w:r>
            <w:proofErr w:type="spellEnd"/>
          </w:p>
        </w:tc>
        <w:tc>
          <w:tcPr>
            <w:tcW w:w="676" w:type="pct"/>
            <w:shd w:val="clear" w:color="auto" w:fill="auto"/>
            <w:vAlign w:val="center"/>
          </w:tcPr>
          <w:p w:rsidR="000F5F3B" w:rsidRPr="0023686E" w:rsidRDefault="0023686E" w:rsidP="007E6F21">
            <w:pPr>
              <w:pStyle w:val="Tabletext"/>
              <w:keepN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0F5F3B" w:rsidRPr="0023686E" w:rsidRDefault="0023686E" w:rsidP="007E6F21">
            <w:pPr>
              <w:pStyle w:val="Tabletext"/>
              <w:keepNext/>
              <w:jc w:val="center"/>
              <w:rPr>
                <w:bCs/>
                <w:color w:val="000000"/>
                <w:szCs w:val="20"/>
                <w:highlight w:val="black"/>
              </w:rPr>
            </w:pPr>
            <w:r>
              <w:rPr>
                <w:noProof/>
                <w:color w:val="000000"/>
                <w:szCs w:val="20"/>
                <w:highlight w:val="black"/>
              </w:rPr>
              <w:t>''''''''''''</w:t>
            </w:r>
          </w:p>
        </w:tc>
        <w:tc>
          <w:tcPr>
            <w:tcW w:w="676" w:type="pct"/>
            <w:shd w:val="clear" w:color="auto" w:fill="auto"/>
            <w:vAlign w:val="center"/>
          </w:tcPr>
          <w:p w:rsidR="000F5F3B" w:rsidRPr="0023686E" w:rsidRDefault="0023686E" w:rsidP="007E6F21">
            <w:pPr>
              <w:pStyle w:val="Tabletext"/>
              <w:keepN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0F5F3B" w:rsidRPr="0023686E" w:rsidRDefault="0023686E" w:rsidP="007E6F21">
            <w:pPr>
              <w:pStyle w:val="Tabletext"/>
              <w:keepNext/>
              <w:jc w:val="center"/>
              <w:rPr>
                <w:bCs/>
                <w:color w:val="000000"/>
                <w:szCs w:val="20"/>
                <w:highlight w:val="black"/>
              </w:rPr>
            </w:pPr>
            <w:r>
              <w:rPr>
                <w:noProof/>
                <w:color w:val="000000"/>
                <w:szCs w:val="20"/>
                <w:highlight w:val="black"/>
              </w:rPr>
              <w:t>''''''''''''</w:t>
            </w:r>
          </w:p>
        </w:tc>
        <w:tc>
          <w:tcPr>
            <w:tcW w:w="677" w:type="pct"/>
            <w:shd w:val="clear" w:color="auto" w:fill="auto"/>
            <w:vAlign w:val="center"/>
          </w:tcPr>
          <w:p w:rsidR="000F5F3B" w:rsidRPr="0023686E" w:rsidRDefault="0023686E" w:rsidP="007E6F21">
            <w:pPr>
              <w:pStyle w:val="Tabletext"/>
              <w:keepNext/>
              <w:jc w:val="center"/>
              <w:rPr>
                <w:bCs/>
                <w:color w:val="000000"/>
                <w:szCs w:val="20"/>
                <w:highlight w:val="black"/>
              </w:rPr>
            </w:pPr>
            <w:r>
              <w:rPr>
                <w:noProof/>
                <w:color w:val="000000"/>
                <w:szCs w:val="20"/>
                <w:highlight w:val="black"/>
              </w:rPr>
              <w:t>''''''''''''</w:t>
            </w:r>
          </w:p>
        </w:tc>
        <w:tc>
          <w:tcPr>
            <w:tcW w:w="679" w:type="pct"/>
            <w:vAlign w:val="center"/>
          </w:tcPr>
          <w:p w:rsidR="000F5F3B" w:rsidRPr="0023686E" w:rsidRDefault="0023686E" w:rsidP="007E6F21">
            <w:pPr>
              <w:pStyle w:val="Tabletext"/>
              <w:keepNext/>
              <w:jc w:val="center"/>
              <w:rPr>
                <w:bCs/>
                <w:color w:val="000000"/>
                <w:szCs w:val="20"/>
                <w:highlight w:val="black"/>
              </w:rPr>
            </w:pPr>
            <w:r>
              <w:rPr>
                <w:noProof/>
                <w:color w:val="000000"/>
                <w:szCs w:val="20"/>
                <w:highlight w:val="black"/>
              </w:rPr>
              <w:t>''''''''''''</w:t>
            </w:r>
          </w:p>
        </w:tc>
      </w:tr>
      <w:tr w:rsidR="000F5F3B" w:rsidRPr="007579E2" w:rsidTr="008A4A70">
        <w:tc>
          <w:tcPr>
            <w:tcW w:w="5000" w:type="pct"/>
            <w:gridSpan w:val="7"/>
            <w:shd w:val="clear" w:color="auto" w:fill="auto"/>
            <w:vAlign w:val="center"/>
          </w:tcPr>
          <w:p w:rsidR="000F5F3B" w:rsidRPr="007579E2" w:rsidRDefault="000F5F3B" w:rsidP="007E6F21">
            <w:pPr>
              <w:pStyle w:val="Tabletext"/>
              <w:keepNext/>
              <w:rPr>
                <w:b/>
                <w:bCs/>
                <w:color w:val="000000"/>
                <w:szCs w:val="20"/>
              </w:rPr>
            </w:pPr>
            <w:r w:rsidRPr="007579E2">
              <w:rPr>
                <w:b/>
                <w:bCs/>
                <w:color w:val="000000"/>
                <w:szCs w:val="20"/>
              </w:rPr>
              <w:t xml:space="preserve">Estimated financial implications of </w:t>
            </w:r>
            <w:proofErr w:type="spellStart"/>
            <w:r w:rsidRPr="007579E2">
              <w:rPr>
                <w:b/>
                <w:bCs/>
                <w:color w:val="000000"/>
                <w:szCs w:val="20"/>
              </w:rPr>
              <w:t>dabrafenib+trametinib</w:t>
            </w:r>
            <w:proofErr w:type="spellEnd"/>
            <w:r w:rsidRPr="007579E2">
              <w:rPr>
                <w:b/>
                <w:bCs/>
                <w:color w:val="000000"/>
                <w:szCs w:val="20"/>
              </w:rPr>
              <w:t xml:space="preserve"> in the adjuvant setting</w:t>
            </w:r>
          </w:p>
        </w:tc>
      </w:tr>
      <w:tr w:rsidR="000F5F3B" w:rsidRPr="007579E2" w:rsidTr="00011A78">
        <w:tc>
          <w:tcPr>
            <w:tcW w:w="939" w:type="pct"/>
            <w:shd w:val="clear" w:color="auto" w:fill="auto"/>
            <w:vAlign w:val="center"/>
          </w:tcPr>
          <w:p w:rsidR="000F5F3B" w:rsidRPr="007579E2" w:rsidRDefault="000F5F3B" w:rsidP="007E6F21">
            <w:pPr>
              <w:pStyle w:val="Tabletext"/>
              <w:keepNext/>
              <w:rPr>
                <w:szCs w:val="20"/>
              </w:rPr>
            </w:pPr>
            <w:r w:rsidRPr="007579E2">
              <w:rPr>
                <w:szCs w:val="20"/>
              </w:rPr>
              <w:t>Cost to PBS/RPBS</w:t>
            </w:r>
          </w:p>
        </w:tc>
        <w:tc>
          <w:tcPr>
            <w:tcW w:w="676" w:type="pct"/>
            <w:shd w:val="clear" w:color="auto" w:fill="auto"/>
            <w:vAlign w:val="center"/>
          </w:tcPr>
          <w:p w:rsidR="000F5F3B" w:rsidRPr="007579E2" w:rsidRDefault="00436081" w:rsidP="007E6F21">
            <w:pPr>
              <w:pStyle w:val="Tabletext"/>
              <w:keepNext/>
              <w:jc w:val="right"/>
              <w:rPr>
                <w:bCs/>
                <w:color w:val="000000"/>
                <w:szCs w:val="20"/>
              </w:rPr>
            </w:pPr>
            <w:r w:rsidRPr="007579E2">
              <w:rPr>
                <w:bCs/>
                <w:color w:val="000000"/>
                <w:szCs w:val="20"/>
              </w:rPr>
              <w:t>$</w:t>
            </w:r>
            <w:r w:rsidR="0023686E">
              <w:rPr>
                <w:bCs/>
                <w:noProof/>
                <w:color w:val="000000"/>
                <w:szCs w:val="20"/>
                <w:highlight w:val="black"/>
              </w:rPr>
              <w:t>'''''''''''''''''''''''''''''</w:t>
            </w:r>
          </w:p>
        </w:tc>
        <w:tc>
          <w:tcPr>
            <w:tcW w:w="676" w:type="pct"/>
            <w:shd w:val="clear" w:color="auto" w:fill="auto"/>
            <w:vAlign w:val="center"/>
          </w:tcPr>
          <w:p w:rsidR="000F5F3B" w:rsidRPr="007579E2" w:rsidRDefault="00436081" w:rsidP="007E6F21">
            <w:pPr>
              <w:pStyle w:val="Tabletext"/>
              <w:keepNext/>
              <w:jc w:val="right"/>
              <w:rPr>
                <w:bCs/>
                <w:color w:val="000000"/>
                <w:szCs w:val="20"/>
              </w:rPr>
            </w:pPr>
            <w:r w:rsidRPr="007579E2">
              <w:rPr>
                <w:bCs/>
                <w:color w:val="000000"/>
                <w:szCs w:val="20"/>
              </w:rPr>
              <w:t>$</w:t>
            </w:r>
            <w:r w:rsidR="0023686E">
              <w:rPr>
                <w:bCs/>
                <w:noProof/>
                <w:color w:val="000000"/>
                <w:szCs w:val="20"/>
                <w:highlight w:val="black"/>
              </w:rPr>
              <w:t>''''''''''''''''''''''''''''</w:t>
            </w:r>
          </w:p>
        </w:tc>
        <w:tc>
          <w:tcPr>
            <w:tcW w:w="676" w:type="pct"/>
            <w:shd w:val="clear" w:color="auto" w:fill="auto"/>
            <w:vAlign w:val="center"/>
          </w:tcPr>
          <w:p w:rsidR="000F5F3B" w:rsidRPr="007579E2" w:rsidRDefault="00436081" w:rsidP="007E6F21">
            <w:pPr>
              <w:pStyle w:val="Tabletext"/>
              <w:keepNext/>
              <w:jc w:val="right"/>
              <w:rPr>
                <w:bCs/>
                <w:color w:val="000000"/>
                <w:szCs w:val="20"/>
              </w:rPr>
            </w:pPr>
            <w:r w:rsidRPr="007579E2">
              <w:rPr>
                <w:bCs/>
                <w:color w:val="000000"/>
                <w:szCs w:val="20"/>
              </w:rPr>
              <w:t>$</w:t>
            </w:r>
            <w:r w:rsidR="0023686E">
              <w:rPr>
                <w:bCs/>
                <w:noProof/>
                <w:color w:val="000000"/>
                <w:szCs w:val="20"/>
                <w:highlight w:val="black"/>
              </w:rPr>
              <w:t>'''''''''''''''''''''''''</w:t>
            </w:r>
          </w:p>
        </w:tc>
        <w:tc>
          <w:tcPr>
            <w:tcW w:w="677" w:type="pct"/>
            <w:shd w:val="clear" w:color="auto" w:fill="auto"/>
            <w:vAlign w:val="center"/>
          </w:tcPr>
          <w:p w:rsidR="000F5F3B" w:rsidRPr="007579E2" w:rsidRDefault="00436081" w:rsidP="007E6F21">
            <w:pPr>
              <w:pStyle w:val="Tabletext"/>
              <w:keepNext/>
              <w:jc w:val="right"/>
              <w:rPr>
                <w:bCs/>
                <w:color w:val="000000"/>
                <w:szCs w:val="20"/>
              </w:rPr>
            </w:pPr>
            <w:r w:rsidRPr="007579E2">
              <w:rPr>
                <w:bCs/>
                <w:color w:val="000000"/>
                <w:szCs w:val="20"/>
              </w:rPr>
              <w:t>$</w:t>
            </w:r>
            <w:r w:rsidR="0023686E">
              <w:rPr>
                <w:bCs/>
                <w:noProof/>
                <w:color w:val="000000"/>
                <w:szCs w:val="20"/>
                <w:highlight w:val="black"/>
              </w:rPr>
              <w:t>''''''''''''''''''''''''''''</w:t>
            </w:r>
          </w:p>
        </w:tc>
        <w:tc>
          <w:tcPr>
            <w:tcW w:w="677" w:type="pct"/>
            <w:shd w:val="clear" w:color="auto" w:fill="auto"/>
            <w:vAlign w:val="center"/>
          </w:tcPr>
          <w:p w:rsidR="000F5F3B" w:rsidRPr="007579E2" w:rsidRDefault="00436081" w:rsidP="007E6F21">
            <w:pPr>
              <w:pStyle w:val="Tabletext"/>
              <w:keepNext/>
              <w:jc w:val="right"/>
              <w:rPr>
                <w:bCs/>
                <w:color w:val="000000"/>
                <w:szCs w:val="20"/>
              </w:rPr>
            </w:pPr>
            <w:r w:rsidRPr="007579E2">
              <w:rPr>
                <w:bCs/>
                <w:color w:val="000000"/>
                <w:szCs w:val="20"/>
              </w:rPr>
              <w:t>$</w:t>
            </w:r>
            <w:r w:rsidR="0023686E">
              <w:rPr>
                <w:bCs/>
                <w:noProof/>
                <w:color w:val="000000"/>
                <w:szCs w:val="20"/>
                <w:highlight w:val="black"/>
              </w:rPr>
              <w:t>'''''''''''''''''''''''''</w:t>
            </w:r>
          </w:p>
        </w:tc>
        <w:tc>
          <w:tcPr>
            <w:tcW w:w="679" w:type="pct"/>
            <w:vAlign w:val="center"/>
          </w:tcPr>
          <w:p w:rsidR="000F5F3B" w:rsidRPr="007579E2" w:rsidRDefault="00436081" w:rsidP="007E6F21">
            <w:pPr>
              <w:pStyle w:val="Tabletext"/>
              <w:keepNext/>
              <w:jc w:val="right"/>
              <w:rPr>
                <w:bCs/>
                <w:color w:val="000000"/>
                <w:szCs w:val="20"/>
              </w:rPr>
            </w:pPr>
            <w:r w:rsidRPr="007579E2">
              <w:rPr>
                <w:bCs/>
                <w:color w:val="000000"/>
                <w:szCs w:val="20"/>
              </w:rPr>
              <w:t>$</w:t>
            </w:r>
            <w:r w:rsidR="0023686E">
              <w:rPr>
                <w:bCs/>
                <w:noProof/>
                <w:color w:val="000000"/>
                <w:szCs w:val="20"/>
                <w:highlight w:val="black"/>
              </w:rPr>
              <w:t>'''''''''''''''''''''''''</w:t>
            </w:r>
          </w:p>
        </w:tc>
      </w:tr>
      <w:tr w:rsidR="000F5F3B" w:rsidRPr="007579E2" w:rsidTr="00011A78">
        <w:tc>
          <w:tcPr>
            <w:tcW w:w="939" w:type="pct"/>
            <w:shd w:val="clear" w:color="auto" w:fill="auto"/>
            <w:vAlign w:val="center"/>
          </w:tcPr>
          <w:p w:rsidR="000F5F3B" w:rsidRPr="007579E2" w:rsidRDefault="000F5F3B" w:rsidP="007E6F21">
            <w:pPr>
              <w:pStyle w:val="Tabletext"/>
              <w:keepNext/>
              <w:rPr>
                <w:szCs w:val="20"/>
              </w:rPr>
            </w:pPr>
            <w:proofErr w:type="spellStart"/>
            <w:r w:rsidRPr="007579E2">
              <w:rPr>
                <w:szCs w:val="20"/>
              </w:rPr>
              <w:t>Copayments</w:t>
            </w:r>
            <w:proofErr w:type="spellEnd"/>
          </w:p>
        </w:tc>
        <w:tc>
          <w:tcPr>
            <w:tcW w:w="676" w:type="pct"/>
            <w:shd w:val="clear" w:color="auto" w:fill="auto"/>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shd w:val="clear" w:color="auto" w:fill="auto"/>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shd w:val="clear" w:color="auto" w:fill="auto"/>
            <w:vAlign w:val="center"/>
          </w:tcPr>
          <w:p w:rsidR="000F5F3B" w:rsidRPr="007579E2" w:rsidRDefault="000F5F3B" w:rsidP="007E6F21">
            <w:pPr>
              <w:pStyle w:val="Tabletext"/>
              <w:keepNext/>
              <w:jc w:val="right"/>
              <w:rPr>
                <w:bCs/>
                <w:color w:val="000000"/>
                <w:szCs w:val="20"/>
              </w:rPr>
            </w:pPr>
            <w:r w:rsidRPr="007579E2">
              <w:rPr>
                <w:szCs w:val="20"/>
              </w:rPr>
              <w:t>-</w:t>
            </w:r>
            <w:r w:rsidR="006E19FF" w:rsidRPr="007579E2">
              <w:rPr>
                <w:szCs w:val="20"/>
              </w:rPr>
              <w:t>$</w:t>
            </w:r>
            <w:r w:rsidR="0023686E">
              <w:rPr>
                <w:noProof/>
                <w:color w:val="000000"/>
                <w:szCs w:val="20"/>
                <w:highlight w:val="black"/>
              </w:rPr>
              <w:t>''''''''''''''''''''</w:t>
            </w:r>
          </w:p>
        </w:tc>
        <w:tc>
          <w:tcPr>
            <w:tcW w:w="677" w:type="pct"/>
            <w:shd w:val="clear" w:color="auto" w:fill="auto"/>
            <w:vAlign w:val="center"/>
          </w:tcPr>
          <w:p w:rsidR="000F5F3B" w:rsidRPr="007579E2" w:rsidRDefault="000F5F3B" w:rsidP="007E6F21">
            <w:pPr>
              <w:pStyle w:val="Tabletext"/>
              <w:keepNext/>
              <w:jc w:val="right"/>
              <w:rPr>
                <w:bCs/>
                <w:color w:val="000000"/>
                <w:szCs w:val="20"/>
              </w:rPr>
            </w:pPr>
            <w:r w:rsidRPr="007579E2">
              <w:rPr>
                <w:szCs w:val="20"/>
              </w:rPr>
              <w:t>-</w:t>
            </w:r>
            <w:r w:rsidR="006E19FF" w:rsidRPr="007579E2">
              <w:rPr>
                <w:szCs w:val="20"/>
              </w:rPr>
              <w:t>$</w:t>
            </w:r>
            <w:r w:rsidR="0023686E">
              <w:rPr>
                <w:noProof/>
                <w:color w:val="000000"/>
                <w:szCs w:val="20"/>
                <w:highlight w:val="black"/>
              </w:rPr>
              <w:t>''''''''''''''''''''</w:t>
            </w:r>
          </w:p>
        </w:tc>
        <w:tc>
          <w:tcPr>
            <w:tcW w:w="677" w:type="pct"/>
            <w:shd w:val="clear" w:color="auto" w:fill="auto"/>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9" w:type="pct"/>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r>
      <w:tr w:rsidR="000F5F3B" w:rsidRPr="007579E2" w:rsidTr="00011A78">
        <w:tc>
          <w:tcPr>
            <w:tcW w:w="939" w:type="pct"/>
            <w:shd w:val="clear" w:color="auto" w:fill="auto"/>
            <w:vAlign w:val="center"/>
          </w:tcPr>
          <w:p w:rsidR="000F5F3B" w:rsidRPr="007579E2" w:rsidRDefault="000F5F3B" w:rsidP="007E6F21">
            <w:pPr>
              <w:pStyle w:val="Tabletext"/>
              <w:keepNext/>
              <w:rPr>
                <w:szCs w:val="20"/>
              </w:rPr>
            </w:pPr>
            <w:r w:rsidRPr="007579E2">
              <w:rPr>
                <w:szCs w:val="20"/>
              </w:rPr>
              <w:t xml:space="preserve">Cost to PBS/RPBS less </w:t>
            </w:r>
            <w:proofErr w:type="spellStart"/>
            <w:r w:rsidRPr="007579E2">
              <w:rPr>
                <w:szCs w:val="20"/>
              </w:rPr>
              <w:t>copayments</w:t>
            </w:r>
            <w:proofErr w:type="spellEnd"/>
          </w:p>
        </w:tc>
        <w:tc>
          <w:tcPr>
            <w:tcW w:w="676" w:type="pct"/>
            <w:shd w:val="clear" w:color="auto" w:fill="auto"/>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shd w:val="clear" w:color="auto" w:fill="auto"/>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shd w:val="clear" w:color="auto" w:fill="auto"/>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shd w:val="clear" w:color="auto" w:fill="auto"/>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shd w:val="clear" w:color="auto" w:fill="auto"/>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9" w:type="pct"/>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r>
      <w:tr w:rsidR="000F5F3B" w:rsidRPr="007579E2" w:rsidTr="008A4A70">
        <w:tc>
          <w:tcPr>
            <w:tcW w:w="5000" w:type="pct"/>
            <w:gridSpan w:val="7"/>
            <w:shd w:val="clear" w:color="auto" w:fill="auto"/>
            <w:vAlign w:val="center"/>
          </w:tcPr>
          <w:p w:rsidR="000F5F3B" w:rsidRPr="007579E2" w:rsidRDefault="000F5F3B" w:rsidP="007E6F21">
            <w:pPr>
              <w:pStyle w:val="Tabletext"/>
              <w:keepNext/>
              <w:rPr>
                <w:bCs/>
                <w:color w:val="000000"/>
                <w:szCs w:val="20"/>
              </w:rPr>
            </w:pPr>
            <w:r w:rsidRPr="007579E2">
              <w:rPr>
                <w:b/>
                <w:bCs/>
                <w:color w:val="000000"/>
                <w:szCs w:val="20"/>
              </w:rPr>
              <w:t xml:space="preserve">Estimated financial implications for </w:t>
            </w:r>
            <w:proofErr w:type="spellStart"/>
            <w:r w:rsidRPr="007579E2">
              <w:rPr>
                <w:b/>
                <w:bCs/>
                <w:color w:val="000000"/>
                <w:szCs w:val="20"/>
              </w:rPr>
              <w:t>dabrafenib+trametinib</w:t>
            </w:r>
            <w:proofErr w:type="spellEnd"/>
            <w:r w:rsidRPr="007579E2">
              <w:rPr>
                <w:b/>
                <w:bCs/>
                <w:color w:val="000000"/>
                <w:szCs w:val="20"/>
              </w:rPr>
              <w:t xml:space="preserve"> in the </w:t>
            </w:r>
            <w:proofErr w:type="spellStart"/>
            <w:r w:rsidR="003532CB" w:rsidRPr="007579E2">
              <w:rPr>
                <w:b/>
                <w:bCs/>
                <w:color w:val="000000"/>
                <w:szCs w:val="20"/>
              </w:rPr>
              <w:t>unresectable</w:t>
            </w:r>
            <w:proofErr w:type="spellEnd"/>
            <w:r w:rsidR="003532CB" w:rsidRPr="007579E2">
              <w:rPr>
                <w:b/>
                <w:bCs/>
                <w:color w:val="000000"/>
                <w:szCs w:val="20"/>
              </w:rPr>
              <w:t xml:space="preserve"> or metastatic </w:t>
            </w:r>
            <w:r w:rsidRPr="007579E2">
              <w:rPr>
                <w:b/>
                <w:bCs/>
                <w:color w:val="000000"/>
                <w:szCs w:val="20"/>
              </w:rPr>
              <w:t>setting</w:t>
            </w:r>
          </w:p>
        </w:tc>
      </w:tr>
      <w:tr w:rsidR="000F5F3B" w:rsidRPr="007579E2" w:rsidTr="00011A78">
        <w:tc>
          <w:tcPr>
            <w:tcW w:w="939" w:type="pct"/>
            <w:tcBorders>
              <w:bottom w:val="nil"/>
            </w:tcBorders>
            <w:shd w:val="clear" w:color="auto" w:fill="auto"/>
            <w:vAlign w:val="center"/>
          </w:tcPr>
          <w:p w:rsidR="000F5F3B" w:rsidRPr="007579E2" w:rsidRDefault="000F5F3B" w:rsidP="007E6F21">
            <w:pPr>
              <w:pStyle w:val="Tabletext"/>
              <w:keepNext/>
              <w:rPr>
                <w:szCs w:val="20"/>
              </w:rPr>
            </w:pPr>
            <w:r w:rsidRPr="007579E2">
              <w:rPr>
                <w:szCs w:val="20"/>
              </w:rPr>
              <w:t>Cost to PBS/RPBS</w:t>
            </w:r>
          </w:p>
        </w:tc>
        <w:tc>
          <w:tcPr>
            <w:tcW w:w="676" w:type="pct"/>
            <w:tcBorders>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9" w:type="pct"/>
            <w:tcBorders>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r>
      <w:tr w:rsidR="000F5F3B" w:rsidRPr="007579E2" w:rsidTr="00011A78">
        <w:tc>
          <w:tcPr>
            <w:tcW w:w="939" w:type="pct"/>
            <w:tcBorders>
              <w:top w:val="nil"/>
              <w:bottom w:val="single" w:sz="4" w:space="0" w:color="auto"/>
            </w:tcBorders>
            <w:shd w:val="clear" w:color="auto" w:fill="auto"/>
            <w:vAlign w:val="center"/>
          </w:tcPr>
          <w:p w:rsidR="000F5F3B" w:rsidRPr="007579E2" w:rsidRDefault="000F5F3B" w:rsidP="007E6F21">
            <w:pPr>
              <w:pStyle w:val="Tabletext"/>
              <w:keepNext/>
              <w:ind w:left="251"/>
              <w:rPr>
                <w:szCs w:val="20"/>
              </w:rPr>
            </w:pPr>
            <w:proofErr w:type="spellStart"/>
            <w:r w:rsidRPr="007579E2">
              <w:rPr>
                <w:szCs w:val="20"/>
              </w:rPr>
              <w:t>Revised</w:t>
            </w:r>
            <w:r w:rsidRPr="007579E2">
              <w:rPr>
                <w:szCs w:val="20"/>
                <w:vertAlign w:val="superscript"/>
              </w:rPr>
              <w:t>b</w:t>
            </w:r>
            <w:proofErr w:type="spellEnd"/>
            <w:r w:rsidRPr="007579E2">
              <w:rPr>
                <w:szCs w:val="20"/>
                <w:vertAlign w:val="superscript"/>
              </w:rPr>
              <w:t xml:space="preserve"> </w:t>
            </w:r>
          </w:p>
        </w:tc>
        <w:tc>
          <w:tcPr>
            <w:tcW w:w="676"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9"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r>
      <w:tr w:rsidR="000F5F3B" w:rsidRPr="007579E2" w:rsidTr="00011A78">
        <w:tc>
          <w:tcPr>
            <w:tcW w:w="939" w:type="pct"/>
            <w:tcBorders>
              <w:bottom w:val="nil"/>
            </w:tcBorders>
            <w:shd w:val="clear" w:color="auto" w:fill="auto"/>
            <w:vAlign w:val="center"/>
          </w:tcPr>
          <w:p w:rsidR="000F5F3B" w:rsidRPr="007579E2" w:rsidRDefault="000F5F3B" w:rsidP="007E6F21">
            <w:pPr>
              <w:pStyle w:val="Tabletext"/>
              <w:keepNext/>
              <w:rPr>
                <w:szCs w:val="20"/>
              </w:rPr>
            </w:pPr>
            <w:proofErr w:type="spellStart"/>
            <w:r w:rsidRPr="007579E2">
              <w:rPr>
                <w:szCs w:val="20"/>
              </w:rPr>
              <w:t>Copayments</w:t>
            </w:r>
            <w:proofErr w:type="spellEnd"/>
          </w:p>
        </w:tc>
        <w:tc>
          <w:tcPr>
            <w:tcW w:w="676"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9"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r>
      <w:tr w:rsidR="000F5F3B" w:rsidRPr="007579E2" w:rsidTr="00011A78">
        <w:tc>
          <w:tcPr>
            <w:tcW w:w="939" w:type="pct"/>
            <w:tcBorders>
              <w:top w:val="nil"/>
              <w:bottom w:val="single" w:sz="4" w:space="0" w:color="auto"/>
            </w:tcBorders>
            <w:shd w:val="clear" w:color="auto" w:fill="auto"/>
            <w:vAlign w:val="center"/>
          </w:tcPr>
          <w:p w:rsidR="000F5F3B" w:rsidRPr="007579E2" w:rsidRDefault="000F5F3B" w:rsidP="007E6F21">
            <w:pPr>
              <w:pStyle w:val="Tabletext"/>
              <w:keepNext/>
              <w:ind w:left="251"/>
              <w:rPr>
                <w:szCs w:val="20"/>
              </w:rPr>
            </w:pPr>
            <w:proofErr w:type="spellStart"/>
            <w:r w:rsidRPr="007579E2">
              <w:rPr>
                <w:szCs w:val="20"/>
              </w:rPr>
              <w:t>Revised</w:t>
            </w:r>
            <w:r w:rsidRPr="007579E2">
              <w:rPr>
                <w:szCs w:val="20"/>
                <w:vertAlign w:val="superscript"/>
              </w:rPr>
              <w:t>b</w:t>
            </w:r>
            <w:proofErr w:type="spellEnd"/>
          </w:p>
        </w:tc>
        <w:tc>
          <w:tcPr>
            <w:tcW w:w="676"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9"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r>
      <w:tr w:rsidR="000F5F3B" w:rsidRPr="007579E2" w:rsidTr="00011A78">
        <w:tc>
          <w:tcPr>
            <w:tcW w:w="939" w:type="pct"/>
            <w:tcBorders>
              <w:bottom w:val="nil"/>
            </w:tcBorders>
            <w:shd w:val="clear" w:color="auto" w:fill="auto"/>
            <w:vAlign w:val="center"/>
          </w:tcPr>
          <w:p w:rsidR="000F5F3B" w:rsidRPr="007579E2" w:rsidRDefault="000F5F3B" w:rsidP="007E6F21">
            <w:pPr>
              <w:pStyle w:val="Tabletext"/>
              <w:keepNext/>
              <w:rPr>
                <w:szCs w:val="20"/>
              </w:rPr>
            </w:pPr>
            <w:r w:rsidRPr="007579E2">
              <w:rPr>
                <w:szCs w:val="20"/>
              </w:rPr>
              <w:t xml:space="preserve">Cost to PBS/RPBS less </w:t>
            </w:r>
            <w:proofErr w:type="spellStart"/>
            <w:r w:rsidRPr="007579E2">
              <w:rPr>
                <w:szCs w:val="20"/>
              </w:rPr>
              <w:t>copayments</w:t>
            </w:r>
            <w:proofErr w:type="spellEnd"/>
          </w:p>
        </w:tc>
        <w:tc>
          <w:tcPr>
            <w:tcW w:w="676" w:type="pct"/>
            <w:tcBorders>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9" w:type="pct"/>
            <w:tcBorders>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r>
      <w:tr w:rsidR="000F5F3B" w:rsidRPr="007579E2" w:rsidTr="00011A78">
        <w:tc>
          <w:tcPr>
            <w:tcW w:w="939" w:type="pct"/>
            <w:tcBorders>
              <w:top w:val="nil"/>
            </w:tcBorders>
            <w:shd w:val="clear" w:color="auto" w:fill="auto"/>
            <w:vAlign w:val="center"/>
          </w:tcPr>
          <w:p w:rsidR="000F5F3B" w:rsidRPr="007579E2" w:rsidRDefault="000F5F3B" w:rsidP="007E6F21">
            <w:pPr>
              <w:pStyle w:val="Tabletext"/>
              <w:keepNext/>
              <w:ind w:left="251"/>
              <w:rPr>
                <w:szCs w:val="20"/>
              </w:rPr>
            </w:pPr>
            <w:proofErr w:type="spellStart"/>
            <w:r w:rsidRPr="007579E2">
              <w:rPr>
                <w:szCs w:val="20"/>
              </w:rPr>
              <w:t>Revised</w:t>
            </w:r>
            <w:r w:rsidRPr="007579E2">
              <w:rPr>
                <w:szCs w:val="20"/>
                <w:vertAlign w:val="superscript"/>
              </w:rPr>
              <w:t>b</w:t>
            </w:r>
            <w:proofErr w:type="spellEnd"/>
          </w:p>
        </w:tc>
        <w:tc>
          <w:tcPr>
            <w:tcW w:w="676"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9" w:type="pct"/>
            <w:tcBorders>
              <w:top w:val="nil"/>
              <w:bottom w:val="single" w:sz="4" w:space="0" w:color="auto"/>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r>
      <w:tr w:rsidR="000F5F3B" w:rsidRPr="007579E2" w:rsidTr="008A4A70">
        <w:tc>
          <w:tcPr>
            <w:tcW w:w="5000" w:type="pct"/>
            <w:gridSpan w:val="7"/>
            <w:shd w:val="clear" w:color="auto" w:fill="auto"/>
            <w:vAlign w:val="center"/>
          </w:tcPr>
          <w:p w:rsidR="000F5F3B" w:rsidRPr="007579E2" w:rsidRDefault="000F5F3B" w:rsidP="007E6F21">
            <w:pPr>
              <w:pStyle w:val="Tabletext"/>
              <w:keepNext/>
              <w:rPr>
                <w:b/>
                <w:bCs/>
                <w:color w:val="000000"/>
                <w:szCs w:val="20"/>
              </w:rPr>
            </w:pPr>
            <w:r w:rsidRPr="007579E2">
              <w:rPr>
                <w:b/>
                <w:bCs/>
                <w:color w:val="000000"/>
                <w:szCs w:val="20"/>
              </w:rPr>
              <w:t>Net financial implications</w:t>
            </w:r>
          </w:p>
        </w:tc>
      </w:tr>
      <w:tr w:rsidR="000F5F3B" w:rsidRPr="007579E2" w:rsidTr="00011A78">
        <w:tc>
          <w:tcPr>
            <w:tcW w:w="939" w:type="pct"/>
            <w:tcBorders>
              <w:bottom w:val="nil"/>
            </w:tcBorders>
            <w:shd w:val="clear" w:color="auto" w:fill="auto"/>
            <w:vAlign w:val="center"/>
          </w:tcPr>
          <w:p w:rsidR="000F5F3B" w:rsidRPr="007579E2" w:rsidRDefault="000F5F3B" w:rsidP="007E6F21">
            <w:pPr>
              <w:pStyle w:val="Tabletext"/>
              <w:keepNext/>
              <w:rPr>
                <w:szCs w:val="20"/>
              </w:rPr>
            </w:pPr>
            <w:r w:rsidRPr="007579E2">
              <w:rPr>
                <w:szCs w:val="20"/>
              </w:rPr>
              <w:t>Net cost to PBS/RPBS</w:t>
            </w:r>
          </w:p>
        </w:tc>
        <w:tc>
          <w:tcPr>
            <w:tcW w:w="676"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9"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r>
      <w:tr w:rsidR="000F5F3B" w:rsidRPr="007579E2" w:rsidTr="00011A78">
        <w:tc>
          <w:tcPr>
            <w:tcW w:w="939" w:type="pct"/>
            <w:tcBorders>
              <w:top w:val="nil"/>
            </w:tcBorders>
            <w:shd w:val="clear" w:color="auto" w:fill="auto"/>
            <w:vAlign w:val="center"/>
          </w:tcPr>
          <w:p w:rsidR="000F5F3B" w:rsidRPr="007579E2" w:rsidRDefault="000F5F3B" w:rsidP="007E6F21">
            <w:pPr>
              <w:pStyle w:val="Tabletext"/>
              <w:keepNext/>
              <w:ind w:left="251"/>
              <w:rPr>
                <w:szCs w:val="20"/>
              </w:rPr>
            </w:pPr>
            <w:proofErr w:type="spellStart"/>
            <w:r w:rsidRPr="007579E2">
              <w:rPr>
                <w:szCs w:val="20"/>
              </w:rPr>
              <w:t>Revised</w:t>
            </w:r>
            <w:r w:rsidRPr="007579E2">
              <w:rPr>
                <w:szCs w:val="20"/>
                <w:vertAlign w:val="superscript"/>
              </w:rPr>
              <w:t>b</w:t>
            </w:r>
            <w:proofErr w:type="spellEnd"/>
          </w:p>
        </w:tc>
        <w:tc>
          <w:tcPr>
            <w:tcW w:w="676" w:type="pct"/>
            <w:tcBorders>
              <w:top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top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top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top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top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9" w:type="pct"/>
            <w:tcBorders>
              <w:top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r>
      <w:tr w:rsidR="000F5F3B" w:rsidRPr="007579E2" w:rsidTr="00011A78">
        <w:tc>
          <w:tcPr>
            <w:tcW w:w="939" w:type="pct"/>
            <w:tcBorders>
              <w:bottom w:val="single" w:sz="4" w:space="0" w:color="auto"/>
            </w:tcBorders>
            <w:shd w:val="clear" w:color="auto" w:fill="auto"/>
            <w:vAlign w:val="center"/>
          </w:tcPr>
          <w:p w:rsidR="000F5F3B" w:rsidRPr="007579E2" w:rsidRDefault="000F5F3B" w:rsidP="007E6F21">
            <w:pPr>
              <w:pStyle w:val="Tabletext"/>
              <w:keepNext/>
              <w:rPr>
                <w:szCs w:val="20"/>
              </w:rPr>
            </w:pPr>
            <w:r w:rsidRPr="007579E2">
              <w:rPr>
                <w:szCs w:val="20"/>
              </w:rPr>
              <w:t>Net cost to MBS</w:t>
            </w:r>
          </w:p>
        </w:tc>
        <w:tc>
          <w:tcPr>
            <w:tcW w:w="676" w:type="pct"/>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9" w:type="pct"/>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r>
      <w:tr w:rsidR="000F5F3B" w:rsidRPr="007579E2" w:rsidTr="00011A78">
        <w:tc>
          <w:tcPr>
            <w:tcW w:w="939" w:type="pct"/>
            <w:tcBorders>
              <w:bottom w:val="nil"/>
            </w:tcBorders>
            <w:shd w:val="clear" w:color="auto" w:fill="auto"/>
            <w:vAlign w:val="center"/>
          </w:tcPr>
          <w:p w:rsidR="000F5F3B" w:rsidRPr="007579E2" w:rsidRDefault="000F5F3B" w:rsidP="007E6F21">
            <w:pPr>
              <w:pStyle w:val="Tabletext"/>
              <w:keepNext/>
              <w:rPr>
                <w:szCs w:val="20"/>
              </w:rPr>
            </w:pPr>
            <w:r w:rsidRPr="007579E2">
              <w:rPr>
                <w:szCs w:val="20"/>
              </w:rPr>
              <w:t>Net cost to PBS/RPBS/MBS</w:t>
            </w:r>
          </w:p>
        </w:tc>
        <w:tc>
          <w:tcPr>
            <w:tcW w:w="676"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9" w:type="pct"/>
            <w:tcBorders>
              <w:top w:val="single" w:sz="4" w:space="0" w:color="auto"/>
              <w:bottom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r>
      <w:tr w:rsidR="000F5F3B" w:rsidRPr="007579E2" w:rsidTr="00011A78">
        <w:tc>
          <w:tcPr>
            <w:tcW w:w="939" w:type="pct"/>
            <w:tcBorders>
              <w:top w:val="nil"/>
            </w:tcBorders>
            <w:shd w:val="clear" w:color="auto" w:fill="auto"/>
            <w:vAlign w:val="center"/>
          </w:tcPr>
          <w:p w:rsidR="000F5F3B" w:rsidRPr="007579E2" w:rsidRDefault="000F5F3B" w:rsidP="007E6F21">
            <w:pPr>
              <w:pStyle w:val="Tabletext"/>
              <w:keepNext/>
              <w:ind w:left="251"/>
              <w:rPr>
                <w:szCs w:val="20"/>
              </w:rPr>
            </w:pPr>
            <w:proofErr w:type="spellStart"/>
            <w:r w:rsidRPr="007579E2">
              <w:rPr>
                <w:szCs w:val="20"/>
              </w:rPr>
              <w:t>Revised</w:t>
            </w:r>
            <w:r w:rsidRPr="007579E2">
              <w:rPr>
                <w:szCs w:val="20"/>
                <w:vertAlign w:val="superscript"/>
              </w:rPr>
              <w:t>b</w:t>
            </w:r>
            <w:proofErr w:type="spellEnd"/>
          </w:p>
        </w:tc>
        <w:tc>
          <w:tcPr>
            <w:tcW w:w="676" w:type="pct"/>
            <w:tcBorders>
              <w:top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top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6" w:type="pct"/>
            <w:tcBorders>
              <w:top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top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7" w:type="pct"/>
            <w:tcBorders>
              <w:top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c>
          <w:tcPr>
            <w:tcW w:w="679" w:type="pct"/>
            <w:tcBorders>
              <w:top w:val="nil"/>
            </w:tcBorders>
            <w:vAlign w:val="center"/>
          </w:tcPr>
          <w:p w:rsidR="000F5F3B" w:rsidRPr="007579E2" w:rsidRDefault="000F5F3B" w:rsidP="007E6F21">
            <w:pPr>
              <w:pStyle w:val="Tabletext"/>
              <w:keepNext/>
              <w:jc w:val="right"/>
              <w:rPr>
                <w:bCs/>
                <w:color w:val="000000"/>
                <w:szCs w:val="20"/>
              </w:rPr>
            </w:pPr>
            <w:r w:rsidRPr="007579E2">
              <w:rPr>
                <w:szCs w:val="20"/>
              </w:rPr>
              <w:t>$</w:t>
            </w:r>
            <w:r w:rsidR="0023686E">
              <w:rPr>
                <w:noProof/>
                <w:color w:val="000000"/>
                <w:szCs w:val="20"/>
                <w:highlight w:val="black"/>
              </w:rPr>
              <w:t>'''''''''''''''''''''''''''''</w:t>
            </w:r>
          </w:p>
        </w:tc>
      </w:tr>
    </w:tbl>
    <w:p w:rsidR="00424E93" w:rsidRPr="007579E2" w:rsidRDefault="00424E93" w:rsidP="007E6F21">
      <w:pPr>
        <w:pStyle w:val="TableFooter"/>
        <w:widowControl/>
        <w:tabs>
          <w:tab w:val="left" w:pos="142"/>
        </w:tabs>
      </w:pPr>
      <w:r w:rsidRPr="007579E2">
        <w:t>MBS = Medicare Benefits Schedule; PBS = Pharmaceutical Benefits Scheme; RPBS = Repatriation Pharmaceutical Benefits Scheme</w:t>
      </w:r>
    </w:p>
    <w:p w:rsidR="000F5F3B" w:rsidRPr="007579E2" w:rsidRDefault="000F5F3B" w:rsidP="007E6F21">
      <w:pPr>
        <w:pStyle w:val="TableFooter"/>
        <w:widowControl/>
        <w:tabs>
          <w:tab w:val="left" w:pos="142"/>
        </w:tabs>
      </w:pPr>
      <w:proofErr w:type="spellStart"/>
      <w:r w:rsidRPr="007579E2">
        <w:rPr>
          <w:vertAlign w:val="superscript"/>
        </w:rPr>
        <w:t>a</w:t>
      </w:r>
      <w:proofErr w:type="spellEnd"/>
      <w:r w:rsidRPr="007579E2">
        <w:t xml:space="preserve"> Assuming </w:t>
      </w:r>
      <w:r w:rsidR="0023686E">
        <w:rPr>
          <w:noProof/>
          <w:color w:val="000000"/>
          <w:highlight w:val="black"/>
        </w:rPr>
        <w:t>'''''''''''</w:t>
      </w:r>
      <w:r w:rsidRPr="007579E2">
        <w:t xml:space="preserve"> scripts per year for </w:t>
      </w:r>
      <w:proofErr w:type="spellStart"/>
      <w:r w:rsidRPr="007579E2">
        <w:t>dabrafenib</w:t>
      </w:r>
      <w:proofErr w:type="spellEnd"/>
      <w:r w:rsidRPr="007579E2">
        <w:t xml:space="preserve"> and </w:t>
      </w:r>
      <w:r w:rsidR="0023686E">
        <w:rPr>
          <w:noProof/>
          <w:color w:val="000000"/>
          <w:highlight w:val="black"/>
        </w:rPr>
        <w:t>'''''''''''</w:t>
      </w:r>
      <w:r w:rsidRPr="007579E2">
        <w:t xml:space="preserve"> scripts per year for </w:t>
      </w:r>
      <w:proofErr w:type="spellStart"/>
      <w:r w:rsidRPr="007579E2">
        <w:t>trametinib</w:t>
      </w:r>
      <w:proofErr w:type="spellEnd"/>
    </w:p>
    <w:p w:rsidR="000F5F3B" w:rsidRPr="007579E2" w:rsidRDefault="000F5F3B" w:rsidP="007E6F21">
      <w:pPr>
        <w:pStyle w:val="TableFooter"/>
        <w:widowControl/>
        <w:tabs>
          <w:tab w:val="left" w:pos="142"/>
        </w:tabs>
      </w:pPr>
      <w:proofErr w:type="gramStart"/>
      <w:r w:rsidRPr="007579E2">
        <w:rPr>
          <w:vertAlign w:val="superscript"/>
        </w:rPr>
        <w:t>b</w:t>
      </w:r>
      <w:proofErr w:type="gramEnd"/>
      <w:r w:rsidRPr="007579E2">
        <w:t xml:space="preserve"> Correcting the treatment duration for </w:t>
      </w:r>
      <w:proofErr w:type="spellStart"/>
      <w:r w:rsidRPr="007579E2">
        <w:t>dabrafenib+trametinib</w:t>
      </w:r>
      <w:proofErr w:type="spellEnd"/>
      <w:r w:rsidRPr="007579E2">
        <w:t xml:space="preserve"> in the </w:t>
      </w:r>
      <w:proofErr w:type="spellStart"/>
      <w:r w:rsidR="003532CB" w:rsidRPr="007579E2">
        <w:t>unresectable</w:t>
      </w:r>
      <w:proofErr w:type="spellEnd"/>
      <w:r w:rsidR="003532CB" w:rsidRPr="007579E2">
        <w:t xml:space="preserve"> or metastatic </w:t>
      </w:r>
      <w:r w:rsidRPr="007579E2">
        <w:t xml:space="preserve">setting: </w:t>
      </w:r>
      <w:r w:rsidR="0023686E">
        <w:rPr>
          <w:noProof/>
          <w:color w:val="000000"/>
          <w:highlight w:val="black"/>
        </w:rPr>
        <w:t>''''</w:t>
      </w:r>
      <w:r w:rsidRPr="007579E2">
        <w:t xml:space="preserve"> months instead of </w:t>
      </w:r>
      <w:r w:rsidR="0023686E">
        <w:rPr>
          <w:noProof/>
          <w:color w:val="000000"/>
          <w:highlight w:val="black"/>
        </w:rPr>
        <w:t>'''''''</w:t>
      </w:r>
      <w:r w:rsidRPr="007579E2">
        <w:t xml:space="preserve"> months</w:t>
      </w:r>
    </w:p>
    <w:p w:rsidR="000F5F3B" w:rsidRPr="007579E2" w:rsidRDefault="000F5F3B" w:rsidP="007E6F21">
      <w:pPr>
        <w:pStyle w:val="TableFooter"/>
        <w:widowControl/>
        <w:rPr>
          <w:rStyle w:val="CommentReference"/>
        </w:rPr>
      </w:pPr>
      <w:r w:rsidRPr="007579E2">
        <w:t>Source: Table compiled during the evaluation, Table 4-9, p193, Table 4-10, p194, Table 4-12, p194, p4-13, p194, Table 4-19, p198, Table 4-20, p198, and Table 4-30, p202 of the submission.</w:t>
      </w:r>
    </w:p>
    <w:p w:rsidR="00DF64D5" w:rsidRPr="008905FD" w:rsidRDefault="00DF64D5" w:rsidP="008905FD">
      <w:pPr>
        <w:widowControl/>
        <w:spacing w:before="120" w:after="120"/>
        <w:rPr>
          <w:i/>
        </w:rPr>
      </w:pPr>
      <w:r w:rsidRPr="008905FD">
        <w:rPr>
          <w:i/>
        </w:rPr>
        <w:t xml:space="preserve">The redacted table shows that at Year 6, the estimated number of patients was less than $10,000 and the net cost to the PBS would be $10 to $20 million. </w:t>
      </w:r>
    </w:p>
    <w:p w:rsidR="00A03707" w:rsidRPr="007579E2" w:rsidRDefault="000F5F3B" w:rsidP="008905FD">
      <w:pPr>
        <w:pStyle w:val="ListParagraph"/>
        <w:widowControl/>
        <w:numPr>
          <w:ilvl w:val="1"/>
          <w:numId w:val="2"/>
        </w:numPr>
        <w:spacing w:before="120"/>
      </w:pPr>
      <w:r w:rsidRPr="007579E2">
        <w:t xml:space="preserve">The submission could have underestimated or overestimated the cost implications to the PBS/RPBS associated with the proposed listing of adjuvant </w:t>
      </w:r>
      <w:proofErr w:type="spellStart"/>
      <w:r w:rsidRPr="007579E2">
        <w:t>dabrafenib+trametinib</w:t>
      </w:r>
      <w:proofErr w:type="spellEnd"/>
      <w:r w:rsidRPr="007579E2">
        <w:t>. The main areas of unce</w:t>
      </w:r>
      <w:r w:rsidR="00616C08" w:rsidRPr="007579E2">
        <w:t>rtainty in the financial analyse</w:t>
      </w:r>
      <w:r w:rsidRPr="007579E2">
        <w:t xml:space="preserve">s were: </w:t>
      </w:r>
    </w:p>
    <w:p w:rsidR="00A03707" w:rsidRPr="007579E2" w:rsidRDefault="000F5F3B" w:rsidP="008905FD">
      <w:pPr>
        <w:pStyle w:val="ListParagraph"/>
        <w:widowControl/>
        <w:numPr>
          <w:ilvl w:val="1"/>
          <w:numId w:val="7"/>
        </w:numPr>
        <w:spacing w:before="120"/>
        <w:ind w:left="1077" w:hanging="357"/>
      </w:pPr>
      <w:r w:rsidRPr="007579E2">
        <w:t xml:space="preserve">the number of melanoma patients who are diagnosed with earlier stage disease and subsequently progress to Stage III disease; </w:t>
      </w:r>
    </w:p>
    <w:p w:rsidR="00A03707" w:rsidRPr="007579E2" w:rsidRDefault="000F5F3B" w:rsidP="008905FD">
      <w:pPr>
        <w:pStyle w:val="ListParagraph"/>
        <w:widowControl/>
        <w:numPr>
          <w:ilvl w:val="1"/>
          <w:numId w:val="7"/>
        </w:numPr>
        <w:spacing w:before="120"/>
        <w:ind w:left="1077" w:hanging="357"/>
      </w:pPr>
      <w:r w:rsidRPr="007579E2">
        <w:t xml:space="preserve">the uptake of </w:t>
      </w:r>
      <w:proofErr w:type="spellStart"/>
      <w:r w:rsidRPr="007579E2">
        <w:t>dabrafenib+trametinib</w:t>
      </w:r>
      <w:proofErr w:type="spellEnd"/>
      <w:r w:rsidRPr="007579E2">
        <w:t xml:space="preserve"> in the adjuvant setting; </w:t>
      </w:r>
      <w:r w:rsidR="00A03707" w:rsidRPr="007579E2">
        <w:t>and</w:t>
      </w:r>
    </w:p>
    <w:p w:rsidR="000F5F3B" w:rsidRPr="007579E2" w:rsidRDefault="000F5F3B" w:rsidP="008905FD">
      <w:pPr>
        <w:pStyle w:val="ListParagraph"/>
        <w:widowControl/>
        <w:numPr>
          <w:ilvl w:val="1"/>
          <w:numId w:val="7"/>
        </w:numPr>
        <w:spacing w:before="120"/>
        <w:ind w:left="1077" w:hanging="357"/>
      </w:pPr>
      <w:proofErr w:type="gramStart"/>
      <w:r w:rsidRPr="007579E2">
        <w:t>the</w:t>
      </w:r>
      <w:proofErr w:type="gramEnd"/>
      <w:r w:rsidRPr="007579E2">
        <w:t xml:space="preserve"> extent of utilisation of post-recurrence anti-cancer medicines by treatment year in scenarios with and without the listing of adjuvant </w:t>
      </w:r>
      <w:proofErr w:type="spellStart"/>
      <w:r w:rsidRPr="007579E2">
        <w:t>dabrafenib+trametinib</w:t>
      </w:r>
      <w:proofErr w:type="spellEnd"/>
      <w:r w:rsidRPr="007579E2">
        <w:t>.</w:t>
      </w:r>
    </w:p>
    <w:p w:rsidR="000F5F3B" w:rsidRPr="007579E2" w:rsidRDefault="000F5F3B" w:rsidP="008905FD">
      <w:pPr>
        <w:pStyle w:val="ListParagraph"/>
        <w:widowControl/>
        <w:numPr>
          <w:ilvl w:val="1"/>
          <w:numId w:val="2"/>
        </w:numPr>
        <w:spacing w:before="120"/>
      </w:pPr>
      <w:r w:rsidRPr="007579E2">
        <w:t xml:space="preserve">MBS costs for BRAF testing in the adjuvant setting and monitoring of AEs were included in the financial analysis. The submission did not provide the estimated MBS implications relating to BRAF testing in the </w:t>
      </w:r>
      <w:proofErr w:type="spellStart"/>
      <w:r w:rsidR="003532CB" w:rsidRPr="007579E2">
        <w:t>unresectable</w:t>
      </w:r>
      <w:proofErr w:type="spellEnd"/>
      <w:r w:rsidR="003532CB" w:rsidRPr="007579E2">
        <w:t xml:space="preserve"> or metastatic </w:t>
      </w:r>
      <w:r w:rsidRPr="007579E2">
        <w:t xml:space="preserve">setting, disease </w:t>
      </w:r>
      <w:r w:rsidRPr="007579E2">
        <w:lastRenderedPageBreak/>
        <w:t>monitoring, management of AEs and subsequent surgery/radiotherapy for treatment of melanoma recurrence.</w:t>
      </w:r>
    </w:p>
    <w:p w:rsidR="000F5F3B" w:rsidRPr="007579E2" w:rsidRDefault="000F5F3B" w:rsidP="008905FD">
      <w:pPr>
        <w:pStyle w:val="Heading2"/>
        <w:widowControl/>
        <w:spacing w:before="120"/>
      </w:pPr>
      <w:bookmarkStart w:id="23" w:name="_Toc532217404"/>
      <w:bookmarkStart w:id="24" w:name="_Toc536008008"/>
      <w:r w:rsidRPr="007579E2">
        <w:t>Financial Management – Risk Sharing Arrangements</w:t>
      </w:r>
      <w:bookmarkEnd w:id="23"/>
      <w:bookmarkEnd w:id="24"/>
    </w:p>
    <w:p w:rsidR="000F5F3B" w:rsidRPr="007579E2" w:rsidRDefault="000F5F3B" w:rsidP="008905FD">
      <w:pPr>
        <w:pStyle w:val="ListParagraph"/>
        <w:widowControl/>
        <w:numPr>
          <w:ilvl w:val="1"/>
          <w:numId w:val="2"/>
        </w:numPr>
        <w:spacing w:before="120"/>
      </w:pPr>
      <w:r w:rsidRPr="007579E2">
        <w:t xml:space="preserve">The submission did not provide any information on a potential Risk Sharing Arrangement (RSA) for </w:t>
      </w:r>
      <w:proofErr w:type="spellStart"/>
      <w:r w:rsidRPr="007579E2">
        <w:t>dabrafenib+trametinib</w:t>
      </w:r>
      <w:proofErr w:type="spellEnd"/>
      <w:r w:rsidRPr="007579E2">
        <w:t xml:space="preserve"> as adjuvant treatment for completely resected Stage III BRAF positive melanoma. </w:t>
      </w:r>
    </w:p>
    <w:p w:rsidR="00424E93" w:rsidRPr="007579E2" w:rsidRDefault="000F5F3B" w:rsidP="008905FD">
      <w:pPr>
        <w:pStyle w:val="ListParagraph"/>
        <w:widowControl/>
        <w:numPr>
          <w:ilvl w:val="1"/>
          <w:numId w:val="2"/>
        </w:numPr>
        <w:spacing w:before="120"/>
      </w:pPr>
      <w:r w:rsidRPr="007579E2">
        <w:t xml:space="preserve">A RSA, in the form of financial caps, applies to targeted therapies for treatment of BRAF positive </w:t>
      </w:r>
      <w:proofErr w:type="spellStart"/>
      <w:r w:rsidRPr="007579E2">
        <w:t>unresectable</w:t>
      </w:r>
      <w:proofErr w:type="spellEnd"/>
      <w:r w:rsidRPr="007579E2">
        <w:t xml:space="preserve"> Stage III or Stage IV melanoma, which is shared by the sponsors for </w:t>
      </w:r>
      <w:proofErr w:type="spellStart"/>
      <w:r w:rsidRPr="007579E2">
        <w:t>dabrafenib+trametinib</w:t>
      </w:r>
      <w:proofErr w:type="spellEnd"/>
      <w:r w:rsidRPr="007579E2">
        <w:t xml:space="preserve"> and </w:t>
      </w:r>
      <w:proofErr w:type="spellStart"/>
      <w:r w:rsidRPr="007579E2">
        <w:t>vemurafenib+cobimetinib</w:t>
      </w:r>
      <w:proofErr w:type="spellEnd"/>
      <w:r w:rsidRPr="007579E2">
        <w:t xml:space="preserve">. There is also a RSA for PD-1 inhibitors (i.e. </w:t>
      </w:r>
      <w:proofErr w:type="spellStart"/>
      <w:r w:rsidRPr="007579E2">
        <w:t>nivolumab</w:t>
      </w:r>
      <w:proofErr w:type="spellEnd"/>
      <w:r w:rsidRPr="007579E2">
        <w:t xml:space="preserve"> and </w:t>
      </w:r>
      <w:proofErr w:type="spellStart"/>
      <w:r w:rsidRPr="007579E2">
        <w:t>pembrolizumab</w:t>
      </w:r>
      <w:proofErr w:type="spellEnd"/>
      <w:r w:rsidRPr="007579E2">
        <w:t xml:space="preserve">) and for </w:t>
      </w:r>
      <w:proofErr w:type="spellStart"/>
      <w:r w:rsidRPr="007579E2">
        <w:t>ipilimumab</w:t>
      </w:r>
      <w:proofErr w:type="spellEnd"/>
      <w:r w:rsidRPr="007579E2">
        <w:t xml:space="preserve">. </w:t>
      </w:r>
      <w:r w:rsidR="00577134" w:rsidRPr="007579E2">
        <w:t>T</w:t>
      </w:r>
      <w:r w:rsidRPr="007579E2">
        <w:t xml:space="preserve">he availability of </w:t>
      </w:r>
      <w:proofErr w:type="spellStart"/>
      <w:r w:rsidRPr="007579E2">
        <w:t>dabrafenib+trametinib</w:t>
      </w:r>
      <w:proofErr w:type="spellEnd"/>
      <w:r w:rsidRPr="007579E2">
        <w:t xml:space="preserve"> at an earlier stage of melanoma will affect the extent of utilisation and, thus, the financial implications for all of the above medicines for </w:t>
      </w:r>
      <w:proofErr w:type="spellStart"/>
      <w:r w:rsidRPr="007579E2">
        <w:t>unresectable</w:t>
      </w:r>
      <w:proofErr w:type="spellEnd"/>
      <w:r w:rsidRPr="007579E2">
        <w:t xml:space="preserve"> Stage III or Stage IV melanoma.</w:t>
      </w:r>
      <w:r w:rsidR="002946D5" w:rsidRPr="007579E2">
        <w:t xml:space="preserve"> The financial estimates presented in the submission considered reduced use of </w:t>
      </w:r>
      <w:proofErr w:type="spellStart"/>
      <w:r w:rsidR="002946D5" w:rsidRPr="007579E2">
        <w:t>dabrafenib+trametinib</w:t>
      </w:r>
      <w:proofErr w:type="spellEnd"/>
      <w:r w:rsidR="002946D5" w:rsidRPr="007579E2">
        <w:t xml:space="preserve"> for </w:t>
      </w:r>
      <w:proofErr w:type="spellStart"/>
      <w:r w:rsidR="002946D5" w:rsidRPr="007579E2">
        <w:t>unresectable</w:t>
      </w:r>
      <w:proofErr w:type="spellEnd"/>
      <w:r w:rsidR="002946D5" w:rsidRPr="007579E2">
        <w:t xml:space="preserve"> Stage III or</w:t>
      </w:r>
      <w:r w:rsidR="003532CB" w:rsidRPr="007579E2">
        <w:t xml:space="preserve"> </w:t>
      </w:r>
      <w:r w:rsidR="002946D5" w:rsidRPr="007579E2">
        <w:t xml:space="preserve">IV disease but not reduced use of PD-1 inhibitors or </w:t>
      </w:r>
      <w:proofErr w:type="spellStart"/>
      <w:r w:rsidR="002946D5" w:rsidRPr="007579E2">
        <w:t>ipilimumab</w:t>
      </w:r>
      <w:proofErr w:type="spellEnd"/>
      <w:r w:rsidR="002946D5" w:rsidRPr="007579E2">
        <w:t>.</w:t>
      </w:r>
    </w:p>
    <w:p w:rsidR="00424E93" w:rsidRPr="007579E2" w:rsidRDefault="004C6050" w:rsidP="008905FD">
      <w:pPr>
        <w:pStyle w:val="ListParagraph"/>
        <w:widowControl/>
        <w:numPr>
          <w:ilvl w:val="1"/>
          <w:numId w:val="2"/>
        </w:numPr>
        <w:spacing w:before="120"/>
      </w:pPr>
      <w:r w:rsidRPr="007579E2">
        <w:t>The PBAC considered that</w:t>
      </w:r>
      <w:r w:rsidR="00D656B5" w:rsidRPr="007579E2">
        <w:t xml:space="preserve"> the existing RSA should be extended to incorporate the expansion of the indication. To mitigate the uncertainty surrounding the </w:t>
      </w:r>
      <w:r w:rsidR="0004497B" w:rsidRPr="007579E2">
        <w:t>extent of</w:t>
      </w:r>
      <w:r w:rsidR="00D656B5" w:rsidRPr="007579E2">
        <w:t xml:space="preserve"> use of BRAF/MEK inhibitors in both the adjuvant and </w:t>
      </w:r>
      <w:proofErr w:type="spellStart"/>
      <w:r w:rsidR="00D656B5" w:rsidRPr="007579E2">
        <w:t>unresectable</w:t>
      </w:r>
      <w:proofErr w:type="spellEnd"/>
      <w:r w:rsidR="00D656B5" w:rsidRPr="007579E2">
        <w:t xml:space="preserve"> or metastatic settings, the PBAC considered that a new </w:t>
      </w:r>
      <w:r w:rsidR="007579E2">
        <w:t>D</w:t>
      </w:r>
      <w:r w:rsidR="007579E2" w:rsidRPr="007579E2">
        <w:t xml:space="preserve">eed </w:t>
      </w:r>
      <w:r w:rsidR="00D656B5" w:rsidRPr="007579E2">
        <w:t xml:space="preserve">should be negotiated that combines caps across the current PBS indication in </w:t>
      </w:r>
      <w:proofErr w:type="spellStart"/>
      <w:r w:rsidR="00D656B5" w:rsidRPr="007579E2">
        <w:t>unresectable</w:t>
      </w:r>
      <w:proofErr w:type="spellEnd"/>
      <w:r w:rsidR="00D656B5" w:rsidRPr="007579E2">
        <w:t xml:space="preserve"> disease with the proposed adjuvant indication. The PBAC considered that the new </w:t>
      </w:r>
      <w:r w:rsidR="007579E2">
        <w:t>D</w:t>
      </w:r>
      <w:r w:rsidR="007579E2" w:rsidRPr="007579E2">
        <w:t xml:space="preserve">eed </w:t>
      </w:r>
      <w:r w:rsidR="00D656B5" w:rsidRPr="007579E2">
        <w:t>should include hard caps with 100% rebates.</w:t>
      </w:r>
      <w:r w:rsidR="004B5782" w:rsidRPr="007579E2">
        <w:t xml:space="preserve"> </w:t>
      </w:r>
    </w:p>
    <w:p w:rsidR="00D048AE" w:rsidRPr="007579E2" w:rsidRDefault="00D048AE" w:rsidP="008905FD">
      <w:pPr>
        <w:pStyle w:val="ListParagraph"/>
        <w:widowControl/>
        <w:spacing w:before="120"/>
      </w:pPr>
      <w:r w:rsidRPr="007579E2">
        <w:rPr>
          <w:i/>
        </w:rPr>
        <w:t>For more detail on PBAC’s view, see Section 7 PBAC outcome.</w:t>
      </w:r>
    </w:p>
    <w:p w:rsidR="009044FB" w:rsidRPr="007579E2" w:rsidRDefault="009044FB" w:rsidP="008905FD">
      <w:pPr>
        <w:pStyle w:val="Heading1"/>
        <w:spacing w:before="120"/>
      </w:pPr>
      <w:bookmarkStart w:id="25" w:name="_Toc341702043"/>
      <w:bookmarkStart w:id="26" w:name="_Toc380742621"/>
      <w:bookmarkStart w:id="27" w:name="_Toc380746188"/>
      <w:bookmarkStart w:id="28" w:name="_Toc380746314"/>
      <w:bookmarkStart w:id="29" w:name="_Toc380746595"/>
      <w:r w:rsidRPr="007579E2">
        <w:t>PBAC Outcome</w:t>
      </w:r>
    </w:p>
    <w:p w:rsidR="007F1091" w:rsidRPr="007579E2" w:rsidRDefault="00AE43B7" w:rsidP="008905FD">
      <w:pPr>
        <w:pStyle w:val="ListParagraph"/>
        <w:widowControl/>
        <w:numPr>
          <w:ilvl w:val="1"/>
          <w:numId w:val="2"/>
        </w:numPr>
        <w:spacing w:before="120"/>
        <w:rPr>
          <w:rFonts w:cs="Calibri"/>
          <w:snapToGrid/>
          <w:szCs w:val="24"/>
          <w:lang w:eastAsia="en-AU"/>
        </w:rPr>
      </w:pPr>
      <w:r w:rsidRPr="007579E2">
        <w:t xml:space="preserve">The PBAC deferred making a decision regarding the listing of </w:t>
      </w:r>
      <w:proofErr w:type="spellStart"/>
      <w:r w:rsidRPr="007579E2">
        <w:t>dabrafenib</w:t>
      </w:r>
      <w:proofErr w:type="spellEnd"/>
      <w:r w:rsidRPr="007579E2">
        <w:t xml:space="preserve"> </w:t>
      </w:r>
      <w:r w:rsidR="00B04FF8" w:rsidRPr="007579E2">
        <w:t>plus</w:t>
      </w:r>
      <w:r w:rsidRPr="007579E2">
        <w:t xml:space="preserve"> </w:t>
      </w:r>
      <w:proofErr w:type="spellStart"/>
      <w:r w:rsidRPr="007579E2">
        <w:t>trametinib</w:t>
      </w:r>
      <w:proofErr w:type="spellEnd"/>
      <w:r w:rsidRPr="007579E2">
        <w:t xml:space="preserve"> as adjuvant treatment for BRAF V600 mutation positive patients with completely resected Stage III melanoma.</w:t>
      </w:r>
      <w:r w:rsidR="00304D2B" w:rsidRPr="007579E2">
        <w:t xml:space="preserve"> </w:t>
      </w:r>
      <w:r w:rsidR="00304D2B" w:rsidRPr="007579E2">
        <w:rPr>
          <w:rFonts w:cs="Calibri"/>
          <w:snapToGrid/>
          <w:szCs w:val="24"/>
          <w:lang w:eastAsia="en-AU"/>
        </w:rPr>
        <w:t xml:space="preserve">In deciding to defer, the PBAC acknowledged that there was a high unmet clinical need for effective therapies to reduce the risk of recurrence for patients with resected Stage III melanoma. </w:t>
      </w:r>
      <w:r w:rsidR="0031612B" w:rsidRPr="007579E2">
        <w:rPr>
          <w:rFonts w:cs="Calibri"/>
          <w:snapToGrid/>
          <w:szCs w:val="24"/>
          <w:lang w:eastAsia="en-AU"/>
        </w:rPr>
        <w:t>The PBAC considered it likely that</w:t>
      </w:r>
      <w:r w:rsidR="00304D2B" w:rsidRPr="007579E2">
        <w:rPr>
          <w:rFonts w:cs="Calibri"/>
          <w:snapToGrid/>
          <w:szCs w:val="24"/>
          <w:lang w:eastAsia="en-AU"/>
        </w:rPr>
        <w:t xml:space="preserve"> </w:t>
      </w:r>
      <w:r w:rsidR="00B93E97">
        <w:rPr>
          <w:rFonts w:cs="Calibri"/>
          <w:snapToGrid/>
          <w:szCs w:val="24"/>
          <w:lang w:eastAsia="en-AU"/>
        </w:rPr>
        <w:t xml:space="preserve">adjuvant </w:t>
      </w:r>
      <w:proofErr w:type="spellStart"/>
      <w:r w:rsidR="00304D2B" w:rsidRPr="007579E2">
        <w:rPr>
          <w:rFonts w:cs="Calibri"/>
          <w:snapToGrid/>
          <w:szCs w:val="24"/>
          <w:lang w:eastAsia="en-AU"/>
        </w:rPr>
        <w:t>dabrafenib</w:t>
      </w:r>
      <w:r w:rsidR="00B04FF8" w:rsidRPr="007579E2">
        <w:rPr>
          <w:rFonts w:cs="Calibri"/>
          <w:snapToGrid/>
          <w:szCs w:val="24"/>
          <w:lang w:eastAsia="en-AU"/>
        </w:rPr>
        <w:t>+t</w:t>
      </w:r>
      <w:r w:rsidR="00304D2B" w:rsidRPr="007579E2">
        <w:rPr>
          <w:rFonts w:cs="Calibri"/>
          <w:snapToGrid/>
          <w:szCs w:val="24"/>
          <w:lang w:eastAsia="en-AU"/>
        </w:rPr>
        <w:t>rametinib</w:t>
      </w:r>
      <w:proofErr w:type="spellEnd"/>
      <w:r w:rsidR="00304D2B" w:rsidRPr="007579E2">
        <w:rPr>
          <w:rFonts w:cs="Calibri"/>
          <w:snapToGrid/>
          <w:szCs w:val="24"/>
          <w:lang w:eastAsia="en-AU"/>
        </w:rPr>
        <w:t xml:space="preserve"> provides, for some patients</w:t>
      </w:r>
      <w:r w:rsidR="0004497B" w:rsidRPr="007579E2">
        <w:rPr>
          <w:rFonts w:cs="Calibri"/>
          <w:snapToGrid/>
          <w:szCs w:val="24"/>
          <w:lang w:eastAsia="en-AU"/>
        </w:rPr>
        <w:t xml:space="preserve"> with Stage IIIB</w:t>
      </w:r>
      <w:r w:rsidR="006F24EA">
        <w:rPr>
          <w:rFonts w:cs="Calibri"/>
          <w:snapToGrid/>
          <w:szCs w:val="24"/>
          <w:lang w:eastAsia="en-AU"/>
        </w:rPr>
        <w:t>, IIIC</w:t>
      </w:r>
      <w:r w:rsidR="001E7E3F" w:rsidRPr="007579E2">
        <w:rPr>
          <w:rFonts w:cs="Calibri"/>
          <w:snapToGrid/>
          <w:szCs w:val="24"/>
          <w:lang w:eastAsia="en-AU"/>
        </w:rPr>
        <w:t xml:space="preserve"> or </w:t>
      </w:r>
      <w:r w:rsidR="0004497B" w:rsidRPr="007579E2">
        <w:rPr>
          <w:rFonts w:cs="Calibri"/>
          <w:snapToGrid/>
          <w:szCs w:val="24"/>
          <w:lang w:eastAsia="en-AU"/>
        </w:rPr>
        <w:t>IIID disease</w:t>
      </w:r>
      <w:r w:rsidR="00304D2B" w:rsidRPr="007579E2">
        <w:rPr>
          <w:rFonts w:cs="Calibri"/>
          <w:snapToGrid/>
          <w:szCs w:val="24"/>
          <w:lang w:eastAsia="en-AU"/>
        </w:rPr>
        <w:t>, a significa</w:t>
      </w:r>
      <w:r w:rsidR="009338D5" w:rsidRPr="007579E2">
        <w:rPr>
          <w:rFonts w:cs="Calibri"/>
          <w:snapToGrid/>
          <w:szCs w:val="24"/>
          <w:lang w:eastAsia="en-AU"/>
        </w:rPr>
        <w:t>nt improvement in efficacy over routine follow-up, in terms of recurrence-free survival</w:t>
      </w:r>
      <w:r w:rsidR="001E7E3F" w:rsidRPr="007579E2">
        <w:rPr>
          <w:rFonts w:cs="Calibri"/>
          <w:snapToGrid/>
          <w:szCs w:val="24"/>
          <w:lang w:eastAsia="en-AU"/>
        </w:rPr>
        <w:t xml:space="preserve"> (RFS)</w:t>
      </w:r>
      <w:r w:rsidR="009338D5" w:rsidRPr="007579E2">
        <w:rPr>
          <w:rFonts w:cs="Calibri"/>
          <w:snapToGrid/>
          <w:szCs w:val="24"/>
          <w:lang w:eastAsia="en-AU"/>
        </w:rPr>
        <w:t xml:space="preserve">, and a likely benefit in terms of overall survival </w:t>
      </w:r>
      <w:r w:rsidR="001E7E3F" w:rsidRPr="007579E2">
        <w:rPr>
          <w:rFonts w:cs="Calibri"/>
          <w:snapToGrid/>
          <w:szCs w:val="24"/>
          <w:lang w:eastAsia="en-AU"/>
        </w:rPr>
        <w:t xml:space="preserve">(OS) </w:t>
      </w:r>
      <w:r w:rsidR="009338D5" w:rsidRPr="007579E2">
        <w:rPr>
          <w:rFonts w:cs="Calibri"/>
          <w:snapToGrid/>
          <w:szCs w:val="24"/>
          <w:lang w:eastAsia="en-AU"/>
        </w:rPr>
        <w:t xml:space="preserve">although there are currently limited data. </w:t>
      </w:r>
      <w:r w:rsidR="003237A3" w:rsidRPr="007579E2">
        <w:rPr>
          <w:rFonts w:cs="Calibri"/>
          <w:snapToGrid/>
          <w:szCs w:val="24"/>
          <w:lang w:eastAsia="en-AU"/>
        </w:rPr>
        <w:t xml:space="preserve">However, the results of the modelled economic evaluation were unreliable and resulted in an uncertain cost-effectiveness ratio. </w:t>
      </w:r>
    </w:p>
    <w:p w:rsidR="00154411" w:rsidRPr="007579E2" w:rsidRDefault="007F1091" w:rsidP="008905FD">
      <w:pPr>
        <w:widowControl/>
        <w:numPr>
          <w:ilvl w:val="1"/>
          <w:numId w:val="2"/>
        </w:numPr>
        <w:autoSpaceDE w:val="0"/>
        <w:autoSpaceDN w:val="0"/>
        <w:adjustRightInd w:val="0"/>
        <w:spacing w:before="120" w:after="120"/>
      </w:pPr>
      <w:r w:rsidRPr="007579E2">
        <w:rPr>
          <w:rFonts w:asciiTheme="minorHAnsi" w:hAnsiTheme="minorHAnsi"/>
          <w:bCs/>
        </w:rPr>
        <w:t xml:space="preserve">The PBAC acknowledged the consumer comments, which were supportive of the PBS listing. In particular, the PBAC noted comments that there are no available PBS-subsidised adjuvant </w:t>
      </w:r>
      <w:r w:rsidR="005D2DD2" w:rsidRPr="007579E2">
        <w:rPr>
          <w:rFonts w:asciiTheme="minorHAnsi" w:hAnsiTheme="minorHAnsi"/>
          <w:bCs/>
        </w:rPr>
        <w:t>treatment</w:t>
      </w:r>
      <w:r w:rsidRPr="007579E2">
        <w:rPr>
          <w:rFonts w:asciiTheme="minorHAnsi" w:hAnsiTheme="minorHAnsi"/>
          <w:bCs/>
        </w:rPr>
        <w:t xml:space="preserve"> options for </w:t>
      </w:r>
      <w:proofErr w:type="gramStart"/>
      <w:r w:rsidRPr="007579E2">
        <w:rPr>
          <w:rFonts w:asciiTheme="minorHAnsi" w:hAnsiTheme="minorHAnsi"/>
          <w:bCs/>
        </w:rPr>
        <w:t xml:space="preserve">melanoma, that </w:t>
      </w:r>
      <w:proofErr w:type="spellStart"/>
      <w:r w:rsidRPr="007579E2">
        <w:rPr>
          <w:rFonts w:asciiTheme="minorHAnsi" w:hAnsiTheme="minorHAnsi"/>
          <w:bCs/>
        </w:rPr>
        <w:t>dabrafenib</w:t>
      </w:r>
      <w:r w:rsidR="00B04FF8" w:rsidRPr="007579E2">
        <w:rPr>
          <w:rFonts w:asciiTheme="minorHAnsi" w:hAnsiTheme="minorHAnsi"/>
          <w:bCs/>
        </w:rPr>
        <w:t>+</w:t>
      </w:r>
      <w:r w:rsidRPr="007579E2">
        <w:rPr>
          <w:rFonts w:asciiTheme="minorHAnsi" w:hAnsiTheme="minorHAnsi"/>
          <w:bCs/>
        </w:rPr>
        <w:t>trametinib</w:t>
      </w:r>
      <w:proofErr w:type="spellEnd"/>
      <w:proofErr w:type="gramEnd"/>
      <w:r w:rsidRPr="007579E2">
        <w:rPr>
          <w:rFonts w:asciiTheme="minorHAnsi" w:hAnsiTheme="minorHAnsi"/>
          <w:bCs/>
        </w:rPr>
        <w:t xml:space="preserve"> are</w:t>
      </w:r>
      <w:r w:rsidR="00424E93" w:rsidRPr="007579E2">
        <w:rPr>
          <w:rFonts w:asciiTheme="minorHAnsi" w:hAnsiTheme="minorHAnsi"/>
          <w:bCs/>
        </w:rPr>
        <w:t xml:space="preserve"> </w:t>
      </w:r>
      <w:r w:rsidRPr="007579E2">
        <w:rPr>
          <w:rFonts w:asciiTheme="minorHAnsi" w:hAnsiTheme="minorHAnsi"/>
          <w:bCs/>
        </w:rPr>
        <w:t>oral agent</w:t>
      </w:r>
      <w:r w:rsidR="005D2DD2" w:rsidRPr="007579E2">
        <w:rPr>
          <w:rFonts w:asciiTheme="minorHAnsi" w:hAnsiTheme="minorHAnsi"/>
          <w:bCs/>
        </w:rPr>
        <w:t>s</w:t>
      </w:r>
      <w:r w:rsidR="00A7507E">
        <w:rPr>
          <w:rFonts w:asciiTheme="minorHAnsi" w:hAnsiTheme="minorHAnsi"/>
          <w:bCs/>
        </w:rPr>
        <w:t>,</w:t>
      </w:r>
      <w:r w:rsidRPr="007579E2">
        <w:rPr>
          <w:rFonts w:asciiTheme="minorHAnsi" w:hAnsiTheme="minorHAnsi"/>
          <w:bCs/>
        </w:rPr>
        <w:t xml:space="preserve"> and that side effects range from mild to severe, but are </w:t>
      </w:r>
      <w:r w:rsidR="0004497B" w:rsidRPr="007579E2">
        <w:rPr>
          <w:rFonts w:asciiTheme="minorHAnsi" w:hAnsiTheme="minorHAnsi"/>
          <w:bCs/>
        </w:rPr>
        <w:t>manageable</w:t>
      </w:r>
      <w:r w:rsidRPr="007579E2">
        <w:rPr>
          <w:rFonts w:asciiTheme="minorHAnsi" w:hAnsiTheme="minorHAnsi"/>
          <w:bCs/>
        </w:rPr>
        <w:t>.</w:t>
      </w:r>
    </w:p>
    <w:p w:rsidR="00733576" w:rsidRPr="007579E2" w:rsidRDefault="00B203F7" w:rsidP="008905FD">
      <w:pPr>
        <w:pStyle w:val="ListParagraph"/>
        <w:widowControl/>
        <w:numPr>
          <w:ilvl w:val="1"/>
          <w:numId w:val="2"/>
        </w:numPr>
        <w:spacing w:before="120"/>
        <w:rPr>
          <w:rFonts w:asciiTheme="minorHAnsi" w:hAnsiTheme="minorHAnsi"/>
          <w:bCs/>
        </w:rPr>
      </w:pPr>
      <w:r w:rsidRPr="007579E2">
        <w:rPr>
          <w:rFonts w:asciiTheme="minorHAnsi" w:hAnsiTheme="minorHAnsi"/>
          <w:bCs/>
        </w:rPr>
        <w:lastRenderedPageBreak/>
        <w:t xml:space="preserve">In </w:t>
      </w:r>
      <w:r w:rsidR="0056245C" w:rsidRPr="007579E2">
        <w:rPr>
          <w:rFonts w:asciiTheme="minorHAnsi" w:hAnsiTheme="minorHAnsi"/>
          <w:bCs/>
        </w:rPr>
        <w:t xml:space="preserve">terms of the clinical place, the PBAC noted the submission proposed that </w:t>
      </w:r>
      <w:proofErr w:type="spellStart"/>
      <w:r w:rsidR="0056245C" w:rsidRPr="007579E2">
        <w:rPr>
          <w:rFonts w:asciiTheme="minorHAnsi" w:hAnsiTheme="minorHAnsi"/>
          <w:bCs/>
        </w:rPr>
        <w:t>dabrafenib+trametinib</w:t>
      </w:r>
      <w:proofErr w:type="spellEnd"/>
      <w:r w:rsidR="0056245C" w:rsidRPr="007579E2">
        <w:rPr>
          <w:rFonts w:asciiTheme="minorHAnsi" w:hAnsiTheme="minorHAnsi"/>
          <w:bCs/>
        </w:rPr>
        <w:t xml:space="preserve"> would supplement routine care in Stage III resected BRAF positive patients</w:t>
      </w:r>
      <w:r w:rsidR="00DC38E3">
        <w:rPr>
          <w:rFonts w:asciiTheme="minorHAnsi" w:hAnsiTheme="minorHAnsi"/>
          <w:bCs/>
        </w:rPr>
        <w:t xml:space="preserve"> who were naïve to </w:t>
      </w:r>
      <w:proofErr w:type="spellStart"/>
      <w:r w:rsidR="00DC38E3">
        <w:rPr>
          <w:rFonts w:asciiTheme="minorHAnsi" w:hAnsiTheme="minorHAnsi"/>
          <w:bCs/>
        </w:rPr>
        <w:t>dabrafenib+trametinib</w:t>
      </w:r>
      <w:proofErr w:type="spellEnd"/>
      <w:r w:rsidR="00DC38E3">
        <w:rPr>
          <w:rFonts w:asciiTheme="minorHAnsi" w:hAnsiTheme="minorHAnsi"/>
          <w:bCs/>
        </w:rPr>
        <w:t xml:space="preserve"> therapy,</w:t>
      </w:r>
      <w:r w:rsidR="0056245C" w:rsidRPr="007579E2">
        <w:rPr>
          <w:rFonts w:asciiTheme="minorHAnsi" w:hAnsiTheme="minorHAnsi"/>
          <w:bCs/>
        </w:rPr>
        <w:t xml:space="preserve"> and that patients treated with </w:t>
      </w:r>
      <w:proofErr w:type="spellStart"/>
      <w:r w:rsidR="0056245C" w:rsidRPr="007579E2">
        <w:rPr>
          <w:rFonts w:asciiTheme="minorHAnsi" w:hAnsiTheme="minorHAnsi"/>
          <w:bCs/>
        </w:rPr>
        <w:t>dabrafenib+trametinib</w:t>
      </w:r>
      <w:proofErr w:type="spellEnd"/>
      <w:r w:rsidR="0056245C" w:rsidRPr="007579E2">
        <w:rPr>
          <w:rFonts w:asciiTheme="minorHAnsi" w:hAnsiTheme="minorHAnsi"/>
          <w:bCs/>
        </w:rPr>
        <w:t xml:space="preserve"> in the adjuvant setting</w:t>
      </w:r>
      <w:r w:rsidR="00A72FA3" w:rsidRPr="007579E2">
        <w:rPr>
          <w:rFonts w:asciiTheme="minorHAnsi" w:hAnsiTheme="minorHAnsi"/>
          <w:bCs/>
        </w:rPr>
        <w:t xml:space="preserve"> would </w:t>
      </w:r>
      <w:r w:rsidR="0056245C" w:rsidRPr="007579E2">
        <w:rPr>
          <w:rFonts w:asciiTheme="minorHAnsi" w:hAnsiTheme="minorHAnsi"/>
          <w:bCs/>
        </w:rPr>
        <w:t xml:space="preserve">continue to be eligible to receive </w:t>
      </w:r>
      <w:proofErr w:type="spellStart"/>
      <w:r w:rsidR="0056245C" w:rsidRPr="007579E2">
        <w:rPr>
          <w:rFonts w:asciiTheme="minorHAnsi" w:hAnsiTheme="minorHAnsi"/>
          <w:bCs/>
        </w:rPr>
        <w:t>dabrafenib</w:t>
      </w:r>
      <w:proofErr w:type="spellEnd"/>
      <w:r w:rsidR="0056245C" w:rsidRPr="007579E2">
        <w:rPr>
          <w:rFonts w:asciiTheme="minorHAnsi" w:hAnsiTheme="minorHAnsi"/>
          <w:bCs/>
        </w:rPr>
        <w:t xml:space="preserve"> (with or without </w:t>
      </w:r>
      <w:proofErr w:type="spellStart"/>
      <w:r w:rsidR="0056245C" w:rsidRPr="007579E2">
        <w:rPr>
          <w:rFonts w:asciiTheme="minorHAnsi" w:hAnsiTheme="minorHAnsi"/>
          <w:bCs/>
        </w:rPr>
        <w:t>trametinib</w:t>
      </w:r>
      <w:proofErr w:type="spellEnd"/>
      <w:r w:rsidR="0056245C" w:rsidRPr="007579E2">
        <w:rPr>
          <w:rFonts w:asciiTheme="minorHAnsi" w:hAnsiTheme="minorHAnsi"/>
          <w:bCs/>
        </w:rPr>
        <w:t xml:space="preserve">) in the </w:t>
      </w:r>
      <w:proofErr w:type="spellStart"/>
      <w:r w:rsidR="0056245C" w:rsidRPr="007579E2">
        <w:rPr>
          <w:rFonts w:asciiTheme="minorHAnsi" w:hAnsiTheme="minorHAnsi"/>
          <w:bCs/>
        </w:rPr>
        <w:t>unresectable</w:t>
      </w:r>
      <w:proofErr w:type="spellEnd"/>
      <w:r w:rsidR="003532CB" w:rsidRPr="007579E2">
        <w:rPr>
          <w:rFonts w:asciiTheme="minorHAnsi" w:hAnsiTheme="minorHAnsi"/>
          <w:bCs/>
        </w:rPr>
        <w:t xml:space="preserve"> or </w:t>
      </w:r>
      <w:r w:rsidR="002548E0" w:rsidRPr="007579E2">
        <w:rPr>
          <w:rFonts w:asciiTheme="minorHAnsi" w:hAnsiTheme="minorHAnsi"/>
          <w:bCs/>
        </w:rPr>
        <w:t>metastatic</w:t>
      </w:r>
      <w:r w:rsidR="0056245C" w:rsidRPr="007579E2">
        <w:rPr>
          <w:rFonts w:asciiTheme="minorHAnsi" w:hAnsiTheme="minorHAnsi"/>
          <w:bCs/>
        </w:rPr>
        <w:t xml:space="preserve"> setting</w:t>
      </w:r>
      <w:r w:rsidR="00A72FA3" w:rsidRPr="007579E2">
        <w:rPr>
          <w:rFonts w:asciiTheme="minorHAnsi" w:hAnsiTheme="minorHAnsi"/>
          <w:bCs/>
        </w:rPr>
        <w:t xml:space="preserve"> if they completed the 12 month adjuvant course without disease progression</w:t>
      </w:r>
      <w:r w:rsidR="0056245C" w:rsidRPr="007579E2">
        <w:rPr>
          <w:rFonts w:asciiTheme="minorHAnsi" w:hAnsiTheme="minorHAnsi"/>
          <w:bCs/>
        </w:rPr>
        <w:t xml:space="preserve">. </w:t>
      </w:r>
      <w:r w:rsidR="000A30DD" w:rsidRPr="007579E2">
        <w:rPr>
          <w:rFonts w:asciiTheme="minorHAnsi" w:hAnsiTheme="minorHAnsi"/>
          <w:bCs/>
        </w:rPr>
        <w:t xml:space="preserve">The PBAC noted that limited clinical evidence was presented to support retreatment. However, the PBAC considered that it </w:t>
      </w:r>
      <w:r w:rsidR="009044FB" w:rsidRPr="007579E2">
        <w:rPr>
          <w:rFonts w:asciiTheme="minorHAnsi" w:hAnsiTheme="minorHAnsi"/>
          <w:bCs/>
        </w:rPr>
        <w:t xml:space="preserve">would </w:t>
      </w:r>
      <w:r w:rsidR="000A30DD" w:rsidRPr="007579E2">
        <w:rPr>
          <w:rFonts w:asciiTheme="minorHAnsi" w:hAnsiTheme="minorHAnsi"/>
          <w:bCs/>
        </w:rPr>
        <w:t>be clinically inappropriate to prevent retreatment</w:t>
      </w:r>
      <w:r w:rsidR="00750AAC" w:rsidRPr="007579E2">
        <w:rPr>
          <w:rFonts w:asciiTheme="minorHAnsi" w:hAnsiTheme="minorHAnsi"/>
          <w:bCs/>
        </w:rPr>
        <w:t xml:space="preserve"> if a patient ha</w:t>
      </w:r>
      <w:r w:rsidR="009044FB" w:rsidRPr="007579E2">
        <w:rPr>
          <w:rFonts w:asciiTheme="minorHAnsi" w:hAnsiTheme="minorHAnsi"/>
          <w:bCs/>
        </w:rPr>
        <w:t>d</w:t>
      </w:r>
      <w:r w:rsidR="00750AAC" w:rsidRPr="007579E2">
        <w:rPr>
          <w:rFonts w:asciiTheme="minorHAnsi" w:hAnsiTheme="minorHAnsi"/>
          <w:bCs/>
        </w:rPr>
        <w:t xml:space="preserve"> responded well to adjuvant therapy</w:t>
      </w:r>
      <w:r w:rsidR="000A30DD" w:rsidRPr="007579E2">
        <w:rPr>
          <w:rFonts w:asciiTheme="minorHAnsi" w:hAnsiTheme="minorHAnsi"/>
          <w:bCs/>
        </w:rPr>
        <w:t xml:space="preserve">. </w:t>
      </w:r>
    </w:p>
    <w:p w:rsidR="007621D6" w:rsidRPr="007579E2" w:rsidRDefault="00592D92" w:rsidP="008905FD">
      <w:pPr>
        <w:widowControl/>
        <w:numPr>
          <w:ilvl w:val="1"/>
          <w:numId w:val="2"/>
        </w:numPr>
        <w:spacing w:before="120" w:after="120"/>
        <w:rPr>
          <w:rFonts w:asciiTheme="minorHAnsi" w:hAnsiTheme="minorHAnsi"/>
          <w:bCs/>
        </w:rPr>
      </w:pPr>
      <w:r w:rsidRPr="007579E2">
        <w:rPr>
          <w:rFonts w:asciiTheme="minorHAnsi" w:hAnsiTheme="minorHAnsi"/>
          <w:bCs/>
        </w:rPr>
        <w:t xml:space="preserve">The PBAC </w:t>
      </w:r>
      <w:r w:rsidR="003149E6" w:rsidRPr="007579E2">
        <w:rPr>
          <w:rFonts w:asciiTheme="minorHAnsi" w:hAnsiTheme="minorHAnsi"/>
          <w:bCs/>
        </w:rPr>
        <w:t xml:space="preserve">noted that the requested maximum quantities and repeats were sufficient for the recommended dosing schedule in the approved TGA Product Information. The PBAC noted that the continuing phase allowed for 5 repeats across all </w:t>
      </w:r>
      <w:r w:rsidR="00287CB5" w:rsidRPr="007579E2">
        <w:rPr>
          <w:rFonts w:asciiTheme="minorHAnsi" w:hAnsiTheme="minorHAnsi"/>
          <w:bCs/>
        </w:rPr>
        <w:t>strengths (</w:t>
      </w:r>
      <w:r w:rsidR="00D877CD" w:rsidRPr="007579E2">
        <w:rPr>
          <w:rFonts w:asciiTheme="minorHAnsi" w:hAnsiTheme="minorHAnsi"/>
          <w:bCs/>
        </w:rPr>
        <w:t>sufficient for</w:t>
      </w:r>
      <w:r w:rsidR="00287CB5" w:rsidRPr="007579E2">
        <w:rPr>
          <w:rFonts w:asciiTheme="minorHAnsi" w:hAnsiTheme="minorHAnsi"/>
          <w:bCs/>
        </w:rPr>
        <w:t xml:space="preserve"> 6 months therapy). However, the PBAC considered that patients may require more regular monitoring to determine any ongoing need for dose reduction. Therefore, the PBAC advised that 3 repeats would be more appropriate in the continuing phase (as per the initial phase). </w:t>
      </w:r>
      <w:r w:rsidR="005200FD" w:rsidRPr="007579E2">
        <w:rPr>
          <w:rFonts w:asciiTheme="minorHAnsi" w:hAnsiTheme="minorHAnsi"/>
          <w:bCs/>
        </w:rPr>
        <w:t xml:space="preserve">In addition, the PBAC considered that an Authority Required (telephone) </w:t>
      </w:r>
      <w:r w:rsidR="006A5769" w:rsidRPr="007579E2">
        <w:rPr>
          <w:rFonts w:asciiTheme="minorHAnsi" w:hAnsiTheme="minorHAnsi"/>
          <w:bCs/>
        </w:rPr>
        <w:t>would be appropriate for the initial supply to help reduce leakage into patients with Stage IIIA disease</w:t>
      </w:r>
      <w:r w:rsidR="006F24EA">
        <w:rPr>
          <w:rFonts w:asciiTheme="minorHAnsi" w:hAnsiTheme="minorHAnsi"/>
          <w:bCs/>
        </w:rPr>
        <w:t xml:space="preserve"> and the continuing supply to ensure treatment was capped at 12 months</w:t>
      </w:r>
      <w:r w:rsidR="006A5769" w:rsidRPr="007579E2">
        <w:rPr>
          <w:rFonts w:asciiTheme="minorHAnsi" w:hAnsiTheme="minorHAnsi"/>
          <w:bCs/>
        </w:rPr>
        <w:t>.</w:t>
      </w:r>
    </w:p>
    <w:p w:rsidR="00F22DAD" w:rsidRPr="007579E2" w:rsidRDefault="007A078B" w:rsidP="008905FD">
      <w:pPr>
        <w:widowControl/>
        <w:numPr>
          <w:ilvl w:val="1"/>
          <w:numId w:val="2"/>
        </w:numPr>
        <w:spacing w:before="120" w:after="120"/>
        <w:rPr>
          <w:rFonts w:asciiTheme="minorHAnsi" w:hAnsiTheme="minorHAnsi"/>
          <w:bCs/>
        </w:rPr>
      </w:pPr>
      <w:r w:rsidRPr="007579E2">
        <w:rPr>
          <w:rFonts w:asciiTheme="minorHAnsi" w:hAnsiTheme="minorHAnsi"/>
          <w:bCs/>
        </w:rPr>
        <w:t xml:space="preserve">The PBAC </w:t>
      </w:r>
      <w:r w:rsidR="00A7507E">
        <w:rPr>
          <w:rFonts w:asciiTheme="minorHAnsi" w:hAnsiTheme="minorHAnsi"/>
          <w:bCs/>
        </w:rPr>
        <w:t xml:space="preserve">foreshadowed </w:t>
      </w:r>
      <w:r w:rsidRPr="007579E2">
        <w:rPr>
          <w:rFonts w:asciiTheme="minorHAnsi" w:hAnsiTheme="minorHAnsi"/>
          <w:bCs/>
        </w:rPr>
        <w:t xml:space="preserve">that </w:t>
      </w:r>
      <w:r w:rsidR="00A7507E">
        <w:rPr>
          <w:rFonts w:asciiTheme="minorHAnsi" w:hAnsiTheme="minorHAnsi"/>
          <w:bCs/>
        </w:rPr>
        <w:t xml:space="preserve">PBS-subsidised </w:t>
      </w:r>
      <w:r w:rsidRPr="007579E2">
        <w:rPr>
          <w:rFonts w:asciiTheme="minorHAnsi" w:hAnsiTheme="minorHAnsi"/>
          <w:bCs/>
        </w:rPr>
        <w:t>treatment in the adjuvant setting should be restricted to patients with Stage IIIB, IIIC and IIID (staged using the 8</w:t>
      </w:r>
      <w:r w:rsidRPr="007579E2">
        <w:rPr>
          <w:rFonts w:asciiTheme="minorHAnsi" w:hAnsiTheme="minorHAnsi"/>
          <w:bCs/>
          <w:vertAlign w:val="superscript"/>
        </w:rPr>
        <w:t>th</w:t>
      </w:r>
      <w:r w:rsidRPr="007579E2">
        <w:rPr>
          <w:rFonts w:asciiTheme="minorHAnsi" w:hAnsiTheme="minorHAnsi"/>
          <w:bCs/>
        </w:rPr>
        <w:t xml:space="preserve"> edition of the AJCC melanoma staging system)</w:t>
      </w:r>
      <w:r w:rsidR="00EA0668" w:rsidRPr="007579E2">
        <w:rPr>
          <w:rFonts w:asciiTheme="minorHAnsi" w:hAnsiTheme="minorHAnsi"/>
          <w:bCs/>
        </w:rPr>
        <w:t>.</w:t>
      </w:r>
      <w:r w:rsidRPr="007579E2">
        <w:rPr>
          <w:rFonts w:asciiTheme="minorHAnsi" w:hAnsiTheme="minorHAnsi"/>
          <w:bCs/>
        </w:rPr>
        <w:t xml:space="preserve"> </w:t>
      </w:r>
      <w:r w:rsidR="00F22DAD" w:rsidRPr="007579E2">
        <w:rPr>
          <w:rFonts w:asciiTheme="minorHAnsi" w:hAnsiTheme="minorHAnsi"/>
          <w:bCs/>
        </w:rPr>
        <w:t xml:space="preserve">This was </w:t>
      </w:r>
      <w:r w:rsidR="00A7507E">
        <w:rPr>
          <w:rFonts w:asciiTheme="minorHAnsi" w:hAnsiTheme="minorHAnsi"/>
          <w:bCs/>
        </w:rPr>
        <w:t xml:space="preserve">mainly </w:t>
      </w:r>
      <w:r w:rsidR="00F22DAD" w:rsidRPr="007579E2">
        <w:rPr>
          <w:rFonts w:asciiTheme="minorHAnsi" w:hAnsiTheme="minorHAnsi"/>
          <w:bCs/>
        </w:rPr>
        <w:t xml:space="preserve">on the basis of patients with Stage IIIA disease </w:t>
      </w:r>
      <w:r w:rsidR="00EA0668" w:rsidRPr="007579E2">
        <w:rPr>
          <w:rFonts w:asciiTheme="minorHAnsi" w:hAnsiTheme="minorHAnsi"/>
          <w:bCs/>
        </w:rPr>
        <w:t>with</w:t>
      </w:r>
      <w:r w:rsidR="00F22DAD" w:rsidRPr="007579E2">
        <w:rPr>
          <w:rFonts w:asciiTheme="minorHAnsi" w:hAnsiTheme="minorHAnsi"/>
          <w:bCs/>
        </w:rPr>
        <w:t xml:space="preserve"> metastases ≤ 1 mm being excluded from the COMBI-AD trial</w:t>
      </w:r>
      <w:r w:rsidR="00EA0668" w:rsidRPr="007579E2">
        <w:rPr>
          <w:rFonts w:asciiTheme="minorHAnsi" w:hAnsiTheme="minorHAnsi"/>
          <w:bCs/>
        </w:rPr>
        <w:t>, and p</w:t>
      </w:r>
      <w:r w:rsidR="00F22DAD" w:rsidRPr="007579E2">
        <w:rPr>
          <w:rFonts w:asciiTheme="minorHAnsi" w:hAnsiTheme="minorHAnsi"/>
          <w:bCs/>
        </w:rPr>
        <w:t xml:space="preserve">atients with Stage IIIA disease </w:t>
      </w:r>
      <w:r w:rsidR="00EA0668" w:rsidRPr="007579E2">
        <w:rPr>
          <w:rFonts w:asciiTheme="minorHAnsi" w:hAnsiTheme="minorHAnsi"/>
          <w:bCs/>
        </w:rPr>
        <w:t>with</w:t>
      </w:r>
      <w:r w:rsidR="00F22DAD" w:rsidRPr="007579E2">
        <w:rPr>
          <w:rFonts w:asciiTheme="minorHAnsi" w:hAnsiTheme="minorHAnsi"/>
          <w:bCs/>
        </w:rPr>
        <w:t xml:space="preserve"> metastases &gt; 1 mm having a relatively low risk of recurrence and the </w:t>
      </w:r>
      <w:r w:rsidR="00A7507E">
        <w:rPr>
          <w:rFonts w:asciiTheme="minorHAnsi" w:hAnsiTheme="minorHAnsi"/>
          <w:bCs/>
        </w:rPr>
        <w:t>incremental effectiveness</w:t>
      </w:r>
      <w:r w:rsidR="00F22DAD" w:rsidRPr="007579E2">
        <w:rPr>
          <w:rFonts w:asciiTheme="minorHAnsi" w:hAnsiTheme="minorHAnsi"/>
          <w:bCs/>
        </w:rPr>
        <w:t xml:space="preserve"> of </w:t>
      </w:r>
      <w:proofErr w:type="spellStart"/>
      <w:r w:rsidR="00F22DAD" w:rsidRPr="007579E2">
        <w:rPr>
          <w:rFonts w:asciiTheme="minorHAnsi" w:hAnsiTheme="minorHAnsi"/>
          <w:bCs/>
        </w:rPr>
        <w:t>dabrafenib+trametinib</w:t>
      </w:r>
      <w:proofErr w:type="spellEnd"/>
      <w:r w:rsidR="00F22DAD" w:rsidRPr="007579E2">
        <w:rPr>
          <w:rFonts w:asciiTheme="minorHAnsi" w:hAnsiTheme="minorHAnsi"/>
          <w:bCs/>
        </w:rPr>
        <w:t xml:space="preserve"> in these patients being uncertain (</w:t>
      </w:r>
      <w:r w:rsidR="006E23E9" w:rsidRPr="007579E2">
        <w:rPr>
          <w:rFonts w:asciiTheme="minorHAnsi" w:hAnsiTheme="minorHAnsi"/>
          <w:bCs/>
        </w:rPr>
        <w:t>see below for further discussion</w:t>
      </w:r>
      <w:r w:rsidR="00F22DAD" w:rsidRPr="007579E2">
        <w:rPr>
          <w:rFonts w:asciiTheme="minorHAnsi" w:hAnsiTheme="minorHAnsi"/>
          <w:bCs/>
        </w:rPr>
        <w:t xml:space="preserve">). </w:t>
      </w:r>
    </w:p>
    <w:p w:rsidR="00F22DAD" w:rsidRPr="007579E2" w:rsidRDefault="00F22DAD" w:rsidP="008905FD">
      <w:pPr>
        <w:pStyle w:val="ListParagraph"/>
        <w:widowControl/>
        <w:numPr>
          <w:ilvl w:val="1"/>
          <w:numId w:val="2"/>
        </w:numPr>
        <w:spacing w:before="120"/>
      </w:pPr>
      <w:r w:rsidRPr="007579E2">
        <w:t>The PBAC considered patients classified as having Stage IIIA disease at the time of excision of the primary tumour, and hence not eligible for adjuvant treatment, should be eligible for adjuvant treatment if and when they meet the criteria for Stage IIIB</w:t>
      </w:r>
      <w:r w:rsidR="001E7E3F" w:rsidRPr="007579E2">
        <w:t xml:space="preserve">, IIIC or </w:t>
      </w:r>
      <w:r w:rsidRPr="007579E2">
        <w:t>IIID disease and undergo a salvage nodal resection.</w:t>
      </w:r>
    </w:p>
    <w:p w:rsidR="00EA0668" w:rsidRPr="007579E2" w:rsidRDefault="00EA0668" w:rsidP="008905FD">
      <w:pPr>
        <w:pStyle w:val="ListParagraph"/>
        <w:widowControl/>
        <w:numPr>
          <w:ilvl w:val="1"/>
          <w:numId w:val="2"/>
        </w:numPr>
        <w:spacing w:before="120"/>
        <w:rPr>
          <w:rFonts w:asciiTheme="minorHAnsi" w:hAnsiTheme="minorHAnsi"/>
          <w:bCs/>
        </w:rPr>
      </w:pPr>
      <w:r w:rsidRPr="007579E2">
        <w:rPr>
          <w:rFonts w:asciiTheme="minorHAnsi" w:hAnsiTheme="minorHAnsi"/>
          <w:bCs/>
        </w:rPr>
        <w:t>Noting that</w:t>
      </w:r>
      <w:r w:rsidR="00C41794" w:rsidRPr="007579E2">
        <w:rPr>
          <w:rFonts w:asciiTheme="minorHAnsi" w:hAnsiTheme="minorHAnsi"/>
          <w:bCs/>
        </w:rPr>
        <w:t xml:space="preserve"> </w:t>
      </w:r>
      <w:r w:rsidRPr="007579E2">
        <w:rPr>
          <w:rFonts w:asciiTheme="minorHAnsi" w:hAnsiTheme="minorHAnsi"/>
          <w:bCs/>
        </w:rPr>
        <w:t>complete lymph node dissection (CLND)</w:t>
      </w:r>
      <w:r w:rsidR="00C41794" w:rsidRPr="007579E2">
        <w:rPr>
          <w:rFonts w:asciiTheme="minorHAnsi" w:hAnsiTheme="minorHAnsi"/>
          <w:bCs/>
        </w:rPr>
        <w:t xml:space="preserve"> at the time of excision of the primary tumour</w:t>
      </w:r>
      <w:r w:rsidR="006E23E9" w:rsidRPr="007579E2">
        <w:rPr>
          <w:rFonts w:asciiTheme="minorHAnsi" w:hAnsiTheme="minorHAnsi"/>
          <w:bCs/>
        </w:rPr>
        <w:t xml:space="preserve"> </w:t>
      </w:r>
      <w:r w:rsidR="00A7507E">
        <w:rPr>
          <w:rFonts w:asciiTheme="minorHAnsi" w:hAnsiTheme="minorHAnsi"/>
          <w:bCs/>
        </w:rPr>
        <w:t>wa</w:t>
      </w:r>
      <w:r w:rsidR="006E23E9" w:rsidRPr="007579E2">
        <w:rPr>
          <w:rFonts w:asciiTheme="minorHAnsi" w:hAnsiTheme="minorHAnsi"/>
          <w:bCs/>
        </w:rPr>
        <w:t>s</w:t>
      </w:r>
      <w:r w:rsidRPr="007579E2">
        <w:rPr>
          <w:rFonts w:asciiTheme="minorHAnsi" w:hAnsiTheme="minorHAnsi"/>
          <w:bCs/>
        </w:rPr>
        <w:t xml:space="preserve"> no longer standard of care for all patients with a positive sentinel lymph node, the PBAC considered that "completely resected disease" would, in practice, include all patients with a wide excision of the primary tumour </w:t>
      </w:r>
      <w:r w:rsidR="006F24EA">
        <w:rPr>
          <w:rFonts w:asciiTheme="minorHAnsi" w:hAnsiTheme="minorHAnsi"/>
          <w:bCs/>
        </w:rPr>
        <w:t xml:space="preserve">and either </w:t>
      </w:r>
      <w:r w:rsidRPr="007579E2">
        <w:rPr>
          <w:rFonts w:asciiTheme="minorHAnsi" w:hAnsiTheme="minorHAnsi"/>
          <w:bCs/>
        </w:rPr>
        <w:t>CLND</w:t>
      </w:r>
      <w:r w:rsidR="00B55B92">
        <w:rPr>
          <w:rFonts w:asciiTheme="minorHAnsi" w:hAnsiTheme="minorHAnsi"/>
          <w:bCs/>
        </w:rPr>
        <w:t xml:space="preserve"> or sentinel lymph node biopsy (or both)</w:t>
      </w:r>
      <w:r w:rsidRPr="007579E2">
        <w:rPr>
          <w:rFonts w:asciiTheme="minorHAnsi" w:hAnsiTheme="minorHAnsi"/>
          <w:bCs/>
        </w:rPr>
        <w:t xml:space="preserve">. The PBAC noted </w:t>
      </w:r>
      <w:r w:rsidR="00A7507E">
        <w:rPr>
          <w:rFonts w:asciiTheme="minorHAnsi" w:hAnsiTheme="minorHAnsi"/>
          <w:bCs/>
        </w:rPr>
        <w:t xml:space="preserve">that, </w:t>
      </w:r>
      <w:r w:rsidRPr="007579E2">
        <w:rPr>
          <w:rFonts w:asciiTheme="minorHAnsi" w:hAnsiTheme="minorHAnsi"/>
          <w:bCs/>
        </w:rPr>
        <w:t>when the COMBI-AD trial was designed</w:t>
      </w:r>
      <w:r w:rsidR="006E23E9" w:rsidRPr="007579E2">
        <w:rPr>
          <w:rFonts w:asciiTheme="minorHAnsi" w:hAnsiTheme="minorHAnsi"/>
          <w:bCs/>
        </w:rPr>
        <w:t>,</w:t>
      </w:r>
      <w:r w:rsidRPr="007579E2">
        <w:rPr>
          <w:rFonts w:asciiTheme="minorHAnsi" w:hAnsiTheme="minorHAnsi"/>
          <w:bCs/>
        </w:rPr>
        <w:t xml:space="preserve"> CLND was considered standard practice and 98% of the trial participants had undergone CLND. Allowing treatment in patients without CLND thus impacts on the applicability of the </w:t>
      </w:r>
      <w:r w:rsidR="008E6E5A" w:rsidRPr="007579E2">
        <w:rPr>
          <w:rFonts w:asciiTheme="minorHAnsi" w:hAnsiTheme="minorHAnsi"/>
          <w:bCs/>
        </w:rPr>
        <w:t xml:space="preserve">COMBI-AD </w:t>
      </w:r>
      <w:r w:rsidRPr="007579E2">
        <w:rPr>
          <w:rFonts w:asciiTheme="minorHAnsi" w:hAnsiTheme="minorHAnsi"/>
          <w:bCs/>
        </w:rPr>
        <w:t>trial results to the PBS population</w:t>
      </w:r>
      <w:r w:rsidR="006E23E9" w:rsidRPr="007579E2">
        <w:rPr>
          <w:rFonts w:asciiTheme="minorHAnsi" w:hAnsiTheme="minorHAnsi"/>
          <w:bCs/>
        </w:rPr>
        <w:t xml:space="preserve"> as the </w:t>
      </w:r>
      <w:r w:rsidR="00A7507E">
        <w:rPr>
          <w:rFonts w:asciiTheme="minorHAnsi" w:hAnsiTheme="minorHAnsi"/>
          <w:bCs/>
        </w:rPr>
        <w:t xml:space="preserve">effectiveness </w:t>
      </w:r>
      <w:r w:rsidR="006E23E9" w:rsidRPr="007579E2">
        <w:rPr>
          <w:rFonts w:asciiTheme="minorHAnsi" w:hAnsiTheme="minorHAnsi"/>
          <w:bCs/>
        </w:rPr>
        <w:t xml:space="preserve">of </w:t>
      </w:r>
      <w:proofErr w:type="spellStart"/>
      <w:r w:rsidR="006E23E9" w:rsidRPr="007579E2">
        <w:rPr>
          <w:rFonts w:asciiTheme="minorHAnsi" w:hAnsiTheme="minorHAnsi"/>
          <w:bCs/>
        </w:rPr>
        <w:t>dabrafenib+trametinib</w:t>
      </w:r>
      <w:proofErr w:type="spellEnd"/>
      <w:r w:rsidR="006E23E9" w:rsidRPr="007579E2">
        <w:rPr>
          <w:rFonts w:asciiTheme="minorHAnsi" w:hAnsiTheme="minorHAnsi"/>
          <w:bCs/>
        </w:rPr>
        <w:t xml:space="preserve"> in these patients is unkn</w:t>
      </w:r>
      <w:r w:rsidR="00D323FB" w:rsidRPr="007579E2">
        <w:rPr>
          <w:rFonts w:asciiTheme="minorHAnsi" w:hAnsiTheme="minorHAnsi"/>
          <w:bCs/>
        </w:rPr>
        <w:t>o</w:t>
      </w:r>
      <w:r w:rsidR="006E23E9" w:rsidRPr="007579E2">
        <w:rPr>
          <w:rFonts w:asciiTheme="minorHAnsi" w:hAnsiTheme="minorHAnsi"/>
          <w:bCs/>
        </w:rPr>
        <w:t>wn</w:t>
      </w:r>
      <w:r w:rsidRPr="007579E2">
        <w:rPr>
          <w:rFonts w:asciiTheme="minorHAnsi" w:hAnsiTheme="minorHAnsi"/>
          <w:bCs/>
        </w:rPr>
        <w:t>. However, it is currently unknown what proportion of patients will forgo a CLND in clinical practice as</w:t>
      </w:r>
      <w:r w:rsidR="00CC49A2">
        <w:rPr>
          <w:rFonts w:asciiTheme="minorHAnsi" w:hAnsiTheme="minorHAnsi"/>
          <w:bCs/>
        </w:rPr>
        <w:t>,</w:t>
      </w:r>
      <w:r w:rsidRPr="007579E2">
        <w:rPr>
          <w:rFonts w:asciiTheme="minorHAnsi" w:hAnsiTheme="minorHAnsi"/>
          <w:bCs/>
        </w:rPr>
        <w:t xml:space="preserve"> although</w:t>
      </w:r>
      <w:r w:rsidR="008E6E5A" w:rsidRPr="007579E2">
        <w:rPr>
          <w:rFonts w:asciiTheme="minorHAnsi" w:hAnsiTheme="minorHAnsi"/>
          <w:bCs/>
        </w:rPr>
        <w:t xml:space="preserve"> in the MSLT-II trial</w:t>
      </w:r>
      <w:r w:rsidRPr="007579E2">
        <w:rPr>
          <w:rFonts w:asciiTheme="minorHAnsi" w:hAnsiTheme="minorHAnsi"/>
          <w:bCs/>
        </w:rPr>
        <w:t xml:space="preserve"> an improvement in melanoma-specific survival </w:t>
      </w:r>
      <w:r w:rsidR="008E6E5A" w:rsidRPr="007579E2">
        <w:rPr>
          <w:rFonts w:asciiTheme="minorHAnsi" w:hAnsiTheme="minorHAnsi"/>
          <w:bCs/>
        </w:rPr>
        <w:t xml:space="preserve">was not demonstrated </w:t>
      </w:r>
      <w:r w:rsidRPr="007579E2">
        <w:rPr>
          <w:rFonts w:asciiTheme="minorHAnsi" w:hAnsiTheme="minorHAnsi"/>
          <w:bCs/>
        </w:rPr>
        <w:t xml:space="preserve">with immediate CLND, immediate CLND did increase the rate of regional disease control and provided prognostic information in terms of disease in </w:t>
      </w:r>
      <w:r w:rsidRPr="007579E2">
        <w:rPr>
          <w:rFonts w:asciiTheme="minorHAnsi" w:hAnsiTheme="minorHAnsi"/>
          <w:bCs/>
        </w:rPr>
        <w:lastRenderedPageBreak/>
        <w:t xml:space="preserve">non-sentinel nodes. The PBAC </w:t>
      </w:r>
      <w:r w:rsidR="008E6E5A" w:rsidRPr="007579E2">
        <w:rPr>
          <w:rFonts w:asciiTheme="minorHAnsi" w:hAnsiTheme="minorHAnsi"/>
          <w:bCs/>
        </w:rPr>
        <w:t xml:space="preserve">further </w:t>
      </w:r>
      <w:r w:rsidRPr="007579E2">
        <w:rPr>
          <w:rFonts w:asciiTheme="minorHAnsi" w:hAnsiTheme="minorHAnsi"/>
          <w:bCs/>
        </w:rPr>
        <w:t xml:space="preserve">noted </w:t>
      </w:r>
      <w:r w:rsidR="00CC49A2" w:rsidRPr="007579E2">
        <w:t>the value of CLND is currently being debated in the clinical literature</w:t>
      </w:r>
      <w:r w:rsidR="00CC49A2">
        <w:t>, and that</w:t>
      </w:r>
      <w:r w:rsidR="00CC49A2" w:rsidRPr="007579E2">
        <w:rPr>
          <w:rFonts w:asciiTheme="minorHAnsi" w:hAnsiTheme="minorHAnsi"/>
          <w:bCs/>
        </w:rPr>
        <w:t xml:space="preserve"> </w:t>
      </w:r>
      <w:r w:rsidR="008E6E5A" w:rsidRPr="007579E2">
        <w:rPr>
          <w:rFonts w:asciiTheme="minorHAnsi" w:hAnsiTheme="minorHAnsi"/>
          <w:bCs/>
        </w:rPr>
        <w:t>immediate</w:t>
      </w:r>
      <w:r w:rsidRPr="007579E2">
        <w:rPr>
          <w:rFonts w:asciiTheme="minorHAnsi" w:hAnsiTheme="minorHAnsi"/>
          <w:bCs/>
        </w:rPr>
        <w:t xml:space="preserve"> CLND </w:t>
      </w:r>
      <w:r w:rsidR="006F24EA">
        <w:rPr>
          <w:rFonts w:asciiTheme="minorHAnsi" w:hAnsiTheme="minorHAnsi"/>
          <w:bCs/>
        </w:rPr>
        <w:t xml:space="preserve">is standard of care for patients presenting with clinically positive lymph nodes, and therefore </w:t>
      </w:r>
      <w:r w:rsidR="008E6E5A" w:rsidRPr="007579E2">
        <w:rPr>
          <w:rFonts w:asciiTheme="minorHAnsi" w:hAnsiTheme="minorHAnsi"/>
          <w:bCs/>
        </w:rPr>
        <w:t xml:space="preserve">more likely </w:t>
      </w:r>
      <w:r w:rsidR="006F24EA">
        <w:rPr>
          <w:rFonts w:asciiTheme="minorHAnsi" w:hAnsiTheme="minorHAnsi"/>
          <w:bCs/>
        </w:rPr>
        <w:t xml:space="preserve">to be undertaken </w:t>
      </w:r>
      <w:r w:rsidR="008E6E5A" w:rsidRPr="007579E2">
        <w:rPr>
          <w:rFonts w:asciiTheme="minorHAnsi" w:hAnsiTheme="minorHAnsi"/>
          <w:bCs/>
        </w:rPr>
        <w:t>in patients with Stage IIIB</w:t>
      </w:r>
      <w:r w:rsidR="001E7E3F" w:rsidRPr="007579E2">
        <w:rPr>
          <w:rFonts w:asciiTheme="minorHAnsi" w:hAnsiTheme="minorHAnsi"/>
          <w:bCs/>
        </w:rPr>
        <w:t xml:space="preserve">, IIIC or </w:t>
      </w:r>
      <w:r w:rsidR="008E6E5A" w:rsidRPr="007579E2">
        <w:rPr>
          <w:rFonts w:asciiTheme="minorHAnsi" w:hAnsiTheme="minorHAnsi"/>
          <w:bCs/>
        </w:rPr>
        <w:t>IIID disease</w:t>
      </w:r>
      <w:r w:rsidRPr="007579E2">
        <w:rPr>
          <w:rFonts w:asciiTheme="minorHAnsi" w:hAnsiTheme="minorHAnsi"/>
          <w:bCs/>
        </w:rPr>
        <w:t xml:space="preserve">. </w:t>
      </w:r>
    </w:p>
    <w:p w:rsidR="00B45EE3" w:rsidRPr="007579E2" w:rsidRDefault="0022616F" w:rsidP="008905FD">
      <w:pPr>
        <w:widowControl/>
        <w:numPr>
          <w:ilvl w:val="1"/>
          <w:numId w:val="2"/>
        </w:numPr>
        <w:spacing w:before="120" w:after="120"/>
        <w:rPr>
          <w:rFonts w:asciiTheme="minorHAnsi" w:hAnsiTheme="minorHAnsi"/>
          <w:bCs/>
        </w:rPr>
      </w:pPr>
      <w:r w:rsidRPr="007579E2">
        <w:rPr>
          <w:rFonts w:asciiTheme="minorHAnsi" w:hAnsiTheme="minorHAnsi"/>
          <w:bCs/>
        </w:rPr>
        <w:t>The PBAC considered that the nominated comparator, observation, was reasonable in this submission.</w:t>
      </w:r>
    </w:p>
    <w:p w:rsidR="00CB74E7" w:rsidRPr="00CC49A2" w:rsidRDefault="00CF3C85" w:rsidP="008905FD">
      <w:pPr>
        <w:pStyle w:val="ListParagraph"/>
        <w:widowControl/>
        <w:numPr>
          <w:ilvl w:val="1"/>
          <w:numId w:val="2"/>
        </w:numPr>
        <w:spacing w:before="120"/>
        <w:rPr>
          <w:rFonts w:asciiTheme="minorHAnsi" w:hAnsiTheme="minorHAnsi"/>
          <w:bCs/>
        </w:rPr>
      </w:pPr>
      <w:r w:rsidRPr="007579E2">
        <w:rPr>
          <w:rFonts w:asciiTheme="minorHAnsi" w:hAnsiTheme="minorHAnsi"/>
          <w:bCs/>
        </w:rPr>
        <w:t>The submission was based on one head-to-head trial</w:t>
      </w:r>
      <w:r w:rsidR="00CC7338" w:rsidRPr="007579E2">
        <w:rPr>
          <w:rFonts w:asciiTheme="minorHAnsi" w:hAnsiTheme="minorHAnsi"/>
          <w:bCs/>
        </w:rPr>
        <w:t xml:space="preserve">, COMBI-AD (N = 870), </w:t>
      </w:r>
      <w:r w:rsidRPr="007579E2">
        <w:rPr>
          <w:rFonts w:asciiTheme="minorHAnsi" w:hAnsiTheme="minorHAnsi"/>
          <w:bCs/>
        </w:rPr>
        <w:t xml:space="preserve">comparing </w:t>
      </w:r>
      <w:proofErr w:type="spellStart"/>
      <w:r w:rsidRPr="007579E2">
        <w:rPr>
          <w:rFonts w:asciiTheme="minorHAnsi" w:hAnsiTheme="minorHAnsi"/>
          <w:bCs/>
        </w:rPr>
        <w:t>dabrafenib+trametinib</w:t>
      </w:r>
      <w:proofErr w:type="spellEnd"/>
      <w:r w:rsidRPr="007579E2">
        <w:rPr>
          <w:rFonts w:asciiTheme="minorHAnsi" w:hAnsiTheme="minorHAnsi"/>
          <w:bCs/>
        </w:rPr>
        <w:t xml:space="preserve"> to placebo for the adjuvant treatment of </w:t>
      </w:r>
      <w:r w:rsidR="00C41794" w:rsidRPr="007579E2">
        <w:rPr>
          <w:rFonts w:asciiTheme="minorHAnsi" w:hAnsiTheme="minorHAnsi"/>
          <w:bCs/>
        </w:rPr>
        <w:t xml:space="preserve">Stage III </w:t>
      </w:r>
      <w:r w:rsidRPr="007579E2">
        <w:rPr>
          <w:rFonts w:asciiTheme="minorHAnsi" w:hAnsiTheme="minorHAnsi"/>
          <w:bCs/>
        </w:rPr>
        <w:t>patients with BRAF V600 E/K mutation positive cutaneous melanoma af</w:t>
      </w:r>
      <w:r w:rsidR="00CC7338" w:rsidRPr="007579E2">
        <w:rPr>
          <w:rFonts w:asciiTheme="minorHAnsi" w:hAnsiTheme="minorHAnsi"/>
          <w:bCs/>
        </w:rPr>
        <w:t>ter complete surgical resection.</w:t>
      </w:r>
    </w:p>
    <w:p w:rsidR="00425230" w:rsidRPr="00CC49A2" w:rsidRDefault="006667B2" w:rsidP="008905FD">
      <w:pPr>
        <w:widowControl/>
        <w:numPr>
          <w:ilvl w:val="1"/>
          <w:numId w:val="2"/>
        </w:numPr>
        <w:spacing w:before="120" w:after="120"/>
        <w:rPr>
          <w:rFonts w:asciiTheme="minorHAnsi" w:hAnsiTheme="minorHAnsi"/>
          <w:bCs/>
        </w:rPr>
      </w:pPr>
      <w:r w:rsidRPr="007579E2">
        <w:rPr>
          <w:rFonts w:asciiTheme="minorHAnsi" w:hAnsiTheme="minorHAnsi"/>
          <w:bCs/>
        </w:rPr>
        <w:t>COMBI-AD</w:t>
      </w:r>
      <w:r w:rsidR="004F1A90" w:rsidRPr="007579E2">
        <w:rPr>
          <w:rFonts w:asciiTheme="minorHAnsi" w:hAnsiTheme="minorHAnsi"/>
          <w:bCs/>
        </w:rPr>
        <w:t xml:space="preserve"> classified melanoma stage using the 7</w:t>
      </w:r>
      <w:r w:rsidR="004F1A90" w:rsidRPr="007579E2">
        <w:rPr>
          <w:rFonts w:asciiTheme="minorHAnsi" w:hAnsiTheme="minorHAnsi"/>
          <w:bCs/>
          <w:vertAlign w:val="superscript"/>
        </w:rPr>
        <w:t>th</w:t>
      </w:r>
      <w:r w:rsidR="004F1A90" w:rsidRPr="007579E2">
        <w:rPr>
          <w:rFonts w:asciiTheme="minorHAnsi" w:hAnsiTheme="minorHAnsi"/>
          <w:bCs/>
        </w:rPr>
        <w:t xml:space="preserve"> edition of the </w:t>
      </w:r>
      <w:r w:rsidRPr="007579E2">
        <w:rPr>
          <w:rFonts w:asciiTheme="minorHAnsi" w:hAnsiTheme="minorHAnsi"/>
          <w:bCs/>
        </w:rPr>
        <w:t>AJCC</w:t>
      </w:r>
      <w:r w:rsidR="004F1A90" w:rsidRPr="007579E2">
        <w:rPr>
          <w:rFonts w:asciiTheme="minorHAnsi" w:hAnsiTheme="minorHAnsi"/>
          <w:bCs/>
        </w:rPr>
        <w:t xml:space="preserve"> melanoma staging system, which has three </w:t>
      </w:r>
      <w:r w:rsidR="00F40B2D" w:rsidRPr="007579E2">
        <w:rPr>
          <w:rFonts w:asciiTheme="minorHAnsi" w:hAnsiTheme="minorHAnsi"/>
          <w:bCs/>
        </w:rPr>
        <w:t xml:space="preserve">prognostic </w:t>
      </w:r>
      <w:r w:rsidR="004F1A90" w:rsidRPr="007579E2">
        <w:rPr>
          <w:rFonts w:asciiTheme="minorHAnsi" w:hAnsiTheme="minorHAnsi"/>
          <w:bCs/>
        </w:rPr>
        <w:t xml:space="preserve">Stage III subgroups (IIIA, IIIB and IIIC). </w:t>
      </w:r>
      <w:r w:rsidR="006E22B2" w:rsidRPr="007579E2">
        <w:rPr>
          <w:rFonts w:asciiTheme="minorHAnsi" w:hAnsiTheme="minorHAnsi"/>
          <w:bCs/>
        </w:rPr>
        <w:t>The PBAC noted that the submission presented a comparison of disease stage at baseline in COMBI-AD using the 7</w:t>
      </w:r>
      <w:r w:rsidR="006E22B2" w:rsidRPr="007579E2">
        <w:rPr>
          <w:rFonts w:asciiTheme="minorHAnsi" w:hAnsiTheme="minorHAnsi"/>
          <w:bCs/>
          <w:vertAlign w:val="superscript"/>
        </w:rPr>
        <w:t>th</w:t>
      </w:r>
      <w:r w:rsidR="006E22B2" w:rsidRPr="007579E2">
        <w:rPr>
          <w:rFonts w:asciiTheme="minorHAnsi" w:hAnsiTheme="minorHAnsi"/>
          <w:bCs/>
        </w:rPr>
        <w:t xml:space="preserve"> and 8</w:t>
      </w:r>
      <w:r w:rsidR="006E22B2" w:rsidRPr="007579E2">
        <w:rPr>
          <w:rFonts w:asciiTheme="minorHAnsi" w:hAnsiTheme="minorHAnsi"/>
          <w:bCs/>
          <w:vertAlign w:val="superscript"/>
        </w:rPr>
        <w:t>th</w:t>
      </w:r>
      <w:r w:rsidR="006E22B2" w:rsidRPr="007579E2">
        <w:rPr>
          <w:rFonts w:asciiTheme="minorHAnsi" w:hAnsiTheme="minorHAnsi"/>
          <w:bCs/>
        </w:rPr>
        <w:t xml:space="preserve"> editions and the Australian population using the 8</w:t>
      </w:r>
      <w:r w:rsidR="006E22B2" w:rsidRPr="007579E2">
        <w:rPr>
          <w:rFonts w:asciiTheme="minorHAnsi" w:hAnsiTheme="minorHAnsi"/>
          <w:bCs/>
          <w:vertAlign w:val="superscript"/>
        </w:rPr>
        <w:t>th</w:t>
      </w:r>
      <w:r w:rsidR="006E22B2" w:rsidRPr="007579E2">
        <w:rPr>
          <w:rFonts w:asciiTheme="minorHAnsi" w:hAnsiTheme="minorHAnsi"/>
          <w:bCs/>
        </w:rPr>
        <w:t xml:space="preserve"> edition of the AJCC </w:t>
      </w:r>
      <w:r w:rsidR="001E7E3F" w:rsidRPr="007579E2">
        <w:rPr>
          <w:rFonts w:asciiTheme="minorHAnsi" w:hAnsiTheme="minorHAnsi"/>
          <w:bCs/>
        </w:rPr>
        <w:t>staging system</w:t>
      </w:r>
      <w:r w:rsidR="006E22B2" w:rsidRPr="007579E2">
        <w:rPr>
          <w:rFonts w:asciiTheme="minorHAnsi" w:hAnsiTheme="minorHAnsi"/>
          <w:bCs/>
        </w:rPr>
        <w:t xml:space="preserve"> (see Table 4</w:t>
      </w:r>
      <w:r w:rsidR="004C0CC9" w:rsidRPr="007579E2">
        <w:rPr>
          <w:rFonts w:asciiTheme="minorHAnsi" w:hAnsiTheme="minorHAnsi"/>
          <w:bCs/>
        </w:rPr>
        <w:t>)</w:t>
      </w:r>
      <w:r w:rsidR="006E22B2" w:rsidRPr="007579E2">
        <w:rPr>
          <w:rFonts w:asciiTheme="minorHAnsi" w:hAnsiTheme="minorHAnsi"/>
          <w:bCs/>
        </w:rPr>
        <w:t>.</w:t>
      </w:r>
      <w:r w:rsidR="000162D8" w:rsidRPr="007579E2">
        <w:rPr>
          <w:rFonts w:asciiTheme="minorHAnsi" w:hAnsiTheme="minorHAnsi"/>
          <w:bCs/>
        </w:rPr>
        <w:t xml:space="preserve"> </w:t>
      </w:r>
      <w:r w:rsidR="008F0EFC" w:rsidRPr="007579E2">
        <w:rPr>
          <w:rFonts w:asciiTheme="minorHAnsi" w:hAnsiTheme="minorHAnsi"/>
          <w:bCs/>
        </w:rPr>
        <w:t xml:space="preserve">The PBAC </w:t>
      </w:r>
      <w:r w:rsidR="00425230" w:rsidRPr="007579E2">
        <w:rPr>
          <w:rFonts w:asciiTheme="minorHAnsi" w:hAnsiTheme="minorHAnsi"/>
          <w:bCs/>
        </w:rPr>
        <w:t>noted</w:t>
      </w:r>
      <w:r w:rsidR="008F0EFC" w:rsidRPr="007579E2">
        <w:rPr>
          <w:rFonts w:asciiTheme="minorHAnsi" w:hAnsiTheme="minorHAnsi"/>
          <w:bCs/>
        </w:rPr>
        <w:t xml:space="preserve"> that</w:t>
      </w:r>
      <w:r w:rsidR="004C0CC9" w:rsidRPr="007579E2">
        <w:rPr>
          <w:rFonts w:asciiTheme="minorHAnsi" w:hAnsiTheme="minorHAnsi"/>
          <w:bCs/>
        </w:rPr>
        <w:t xml:space="preserve">, </w:t>
      </w:r>
      <w:r w:rsidR="001E7E3F" w:rsidRPr="007579E2">
        <w:rPr>
          <w:rFonts w:asciiTheme="minorHAnsi" w:hAnsiTheme="minorHAnsi"/>
          <w:bCs/>
        </w:rPr>
        <w:t>when</w:t>
      </w:r>
      <w:r w:rsidR="004C0CC9" w:rsidRPr="007579E2">
        <w:rPr>
          <w:rFonts w:asciiTheme="minorHAnsi" w:hAnsiTheme="minorHAnsi"/>
          <w:bCs/>
        </w:rPr>
        <w:t xml:space="preserve"> classified using the 8</w:t>
      </w:r>
      <w:r w:rsidR="004C0CC9" w:rsidRPr="007579E2">
        <w:rPr>
          <w:rFonts w:asciiTheme="minorHAnsi" w:hAnsiTheme="minorHAnsi"/>
          <w:bCs/>
          <w:vertAlign w:val="superscript"/>
        </w:rPr>
        <w:t>th</w:t>
      </w:r>
      <w:r w:rsidR="004C0CC9" w:rsidRPr="007579E2">
        <w:rPr>
          <w:rFonts w:asciiTheme="minorHAnsi" w:hAnsiTheme="minorHAnsi"/>
          <w:bCs/>
        </w:rPr>
        <w:t xml:space="preserve"> edition,</w:t>
      </w:r>
      <w:r w:rsidR="008F0EFC" w:rsidRPr="007579E2">
        <w:rPr>
          <w:rFonts w:asciiTheme="minorHAnsi" w:hAnsiTheme="minorHAnsi"/>
          <w:bCs/>
        </w:rPr>
        <w:t xml:space="preserve"> the proportion of trial patients with Stage IIIA </w:t>
      </w:r>
      <w:r w:rsidR="00B04FF8" w:rsidRPr="007579E2">
        <w:rPr>
          <w:rFonts w:asciiTheme="minorHAnsi" w:hAnsiTheme="minorHAnsi"/>
          <w:bCs/>
        </w:rPr>
        <w:t xml:space="preserve">(metastases &gt; 1 mm) </w:t>
      </w:r>
      <w:r w:rsidR="008F0EFC" w:rsidRPr="007579E2">
        <w:rPr>
          <w:rFonts w:asciiTheme="minorHAnsi" w:hAnsiTheme="minorHAnsi"/>
          <w:bCs/>
        </w:rPr>
        <w:t>disease</w:t>
      </w:r>
      <w:r w:rsidR="004C0CC9" w:rsidRPr="007579E2">
        <w:rPr>
          <w:rFonts w:asciiTheme="minorHAnsi" w:hAnsiTheme="minorHAnsi"/>
          <w:bCs/>
        </w:rPr>
        <w:t xml:space="preserve"> was </w:t>
      </w:r>
      <w:r w:rsidR="004B5782" w:rsidRPr="007579E2">
        <w:rPr>
          <w:rFonts w:asciiTheme="minorHAnsi" w:hAnsiTheme="minorHAnsi"/>
          <w:bCs/>
        </w:rPr>
        <w:t>approximately 10</w:t>
      </w:r>
      <w:r w:rsidR="004C0CC9" w:rsidRPr="007579E2">
        <w:rPr>
          <w:rFonts w:asciiTheme="minorHAnsi" w:hAnsiTheme="minorHAnsi"/>
          <w:bCs/>
        </w:rPr>
        <w:t>%</w:t>
      </w:r>
      <w:r w:rsidR="006E23E9" w:rsidRPr="007579E2">
        <w:rPr>
          <w:rFonts w:asciiTheme="minorHAnsi" w:hAnsiTheme="minorHAnsi"/>
          <w:bCs/>
        </w:rPr>
        <w:t>,</w:t>
      </w:r>
      <w:r w:rsidR="004C0CC9" w:rsidRPr="007579E2">
        <w:rPr>
          <w:rFonts w:asciiTheme="minorHAnsi" w:hAnsiTheme="minorHAnsi"/>
          <w:bCs/>
        </w:rPr>
        <w:t xml:space="preserve"> and </w:t>
      </w:r>
      <w:r w:rsidR="001E7E3F" w:rsidRPr="007579E2">
        <w:rPr>
          <w:rFonts w:asciiTheme="minorHAnsi" w:hAnsiTheme="minorHAnsi"/>
          <w:bCs/>
        </w:rPr>
        <w:t xml:space="preserve">that </w:t>
      </w:r>
      <w:r w:rsidR="004C0CC9" w:rsidRPr="007579E2">
        <w:rPr>
          <w:rFonts w:asciiTheme="minorHAnsi" w:hAnsiTheme="minorHAnsi"/>
          <w:bCs/>
        </w:rPr>
        <w:t>patients with Stage IIID disease were potentially underrepresented in the COMBI-AD trial (</w:t>
      </w:r>
      <w:r w:rsidR="00590B63" w:rsidRPr="007579E2">
        <w:rPr>
          <w:rFonts w:asciiTheme="minorHAnsi" w:hAnsiTheme="minorHAnsi"/>
          <w:bCs/>
        </w:rPr>
        <w:t>approximately 5% compared with 23% in Australian clinical practice)</w:t>
      </w:r>
      <w:r w:rsidR="004C0CC9" w:rsidRPr="007579E2">
        <w:rPr>
          <w:rFonts w:asciiTheme="minorHAnsi" w:hAnsiTheme="minorHAnsi"/>
          <w:bCs/>
        </w:rPr>
        <w:t>.</w:t>
      </w:r>
    </w:p>
    <w:p w:rsidR="00670080" w:rsidRPr="00CC49A2" w:rsidRDefault="009C543A" w:rsidP="008905FD">
      <w:pPr>
        <w:widowControl/>
        <w:numPr>
          <w:ilvl w:val="1"/>
          <w:numId w:val="2"/>
        </w:numPr>
        <w:spacing w:before="120" w:after="120"/>
        <w:rPr>
          <w:rFonts w:asciiTheme="minorHAnsi" w:hAnsiTheme="minorHAnsi"/>
          <w:bCs/>
        </w:rPr>
      </w:pPr>
      <w:r w:rsidRPr="007579E2">
        <w:rPr>
          <w:rFonts w:asciiTheme="minorHAnsi" w:hAnsiTheme="minorHAnsi"/>
          <w:bCs/>
        </w:rPr>
        <w:t xml:space="preserve">The primary outcome of </w:t>
      </w:r>
      <w:r w:rsidR="00F10E02" w:rsidRPr="007579E2">
        <w:rPr>
          <w:rFonts w:asciiTheme="minorHAnsi" w:hAnsiTheme="minorHAnsi"/>
          <w:bCs/>
        </w:rPr>
        <w:t xml:space="preserve">COMBI-AD </w:t>
      </w:r>
      <w:r w:rsidRPr="007579E2">
        <w:rPr>
          <w:rFonts w:asciiTheme="minorHAnsi" w:hAnsiTheme="minorHAnsi"/>
          <w:bCs/>
        </w:rPr>
        <w:t xml:space="preserve">was </w:t>
      </w:r>
      <w:r w:rsidR="00435E23" w:rsidRPr="007579E2">
        <w:rPr>
          <w:rFonts w:asciiTheme="minorHAnsi" w:hAnsiTheme="minorHAnsi"/>
          <w:bCs/>
        </w:rPr>
        <w:t>relapse</w:t>
      </w:r>
      <w:r w:rsidRPr="007579E2">
        <w:rPr>
          <w:rFonts w:asciiTheme="minorHAnsi" w:hAnsiTheme="minorHAnsi"/>
          <w:bCs/>
        </w:rPr>
        <w:t>-free survival</w:t>
      </w:r>
      <w:r w:rsidR="00F10E02" w:rsidRPr="007579E2">
        <w:rPr>
          <w:rFonts w:asciiTheme="minorHAnsi" w:hAnsiTheme="minorHAnsi"/>
          <w:bCs/>
        </w:rPr>
        <w:t xml:space="preserve"> (RFS). </w:t>
      </w:r>
      <w:r w:rsidR="000B2108" w:rsidRPr="007579E2">
        <w:rPr>
          <w:rFonts w:asciiTheme="minorHAnsi" w:hAnsiTheme="minorHAnsi"/>
          <w:bCs/>
        </w:rPr>
        <w:t>A</w:t>
      </w:r>
      <w:r w:rsidR="00F10E02" w:rsidRPr="007579E2">
        <w:rPr>
          <w:rFonts w:asciiTheme="minorHAnsi" w:hAnsiTheme="minorHAnsi"/>
          <w:bCs/>
        </w:rPr>
        <w:t>t the median duration of follow-up (</w:t>
      </w:r>
      <w:r w:rsidR="000B2108" w:rsidRPr="007579E2">
        <w:rPr>
          <w:rFonts w:asciiTheme="minorHAnsi" w:hAnsiTheme="minorHAnsi"/>
          <w:bCs/>
        </w:rPr>
        <w:t>34</w:t>
      </w:r>
      <w:r w:rsidR="00F10E02" w:rsidRPr="007579E2">
        <w:rPr>
          <w:rFonts w:asciiTheme="minorHAnsi" w:hAnsiTheme="minorHAnsi"/>
          <w:bCs/>
        </w:rPr>
        <w:t xml:space="preserve"> months</w:t>
      </w:r>
      <w:r w:rsidR="000B2108" w:rsidRPr="007579E2">
        <w:rPr>
          <w:rFonts w:asciiTheme="minorHAnsi" w:hAnsiTheme="minorHAnsi"/>
          <w:bCs/>
        </w:rPr>
        <w:t xml:space="preserve"> for treatment arm and 33 months for placebo arm</w:t>
      </w:r>
      <w:r w:rsidR="00F10E02" w:rsidRPr="007579E2">
        <w:rPr>
          <w:rFonts w:asciiTheme="minorHAnsi" w:hAnsiTheme="minorHAnsi"/>
          <w:bCs/>
        </w:rPr>
        <w:t xml:space="preserve">), the median RFS for </w:t>
      </w:r>
      <w:r w:rsidR="006A5769" w:rsidRPr="007579E2">
        <w:rPr>
          <w:rFonts w:asciiTheme="minorHAnsi" w:hAnsiTheme="minorHAnsi"/>
          <w:bCs/>
        </w:rPr>
        <w:t xml:space="preserve">the placebo arm was 16.6 months (95% CI: 12.7, 22.1) and median RFS for the </w:t>
      </w:r>
      <w:proofErr w:type="spellStart"/>
      <w:r w:rsidR="000B2108" w:rsidRPr="007579E2">
        <w:rPr>
          <w:rFonts w:asciiTheme="minorHAnsi" w:hAnsiTheme="minorHAnsi"/>
          <w:bCs/>
        </w:rPr>
        <w:t>dabrafenib+trametinib</w:t>
      </w:r>
      <w:proofErr w:type="spellEnd"/>
      <w:r w:rsidR="000B2108" w:rsidRPr="007579E2">
        <w:rPr>
          <w:rFonts w:asciiTheme="minorHAnsi" w:hAnsiTheme="minorHAnsi"/>
          <w:bCs/>
        </w:rPr>
        <w:t xml:space="preserve"> </w:t>
      </w:r>
      <w:r w:rsidR="006A5769" w:rsidRPr="007579E2">
        <w:rPr>
          <w:rFonts w:asciiTheme="minorHAnsi" w:hAnsiTheme="minorHAnsi"/>
          <w:bCs/>
        </w:rPr>
        <w:t xml:space="preserve">arm </w:t>
      </w:r>
      <w:r w:rsidR="00F10E02" w:rsidRPr="007579E2">
        <w:rPr>
          <w:rFonts w:asciiTheme="minorHAnsi" w:hAnsiTheme="minorHAnsi"/>
          <w:bCs/>
        </w:rPr>
        <w:t>had not been reached</w:t>
      </w:r>
      <w:r w:rsidR="006021AA" w:rsidRPr="007579E2">
        <w:rPr>
          <w:rFonts w:asciiTheme="minorHAnsi" w:hAnsiTheme="minorHAnsi"/>
          <w:bCs/>
        </w:rPr>
        <w:t xml:space="preserve"> (HR = </w:t>
      </w:r>
      <w:r w:rsidR="00F10E02" w:rsidRPr="007579E2">
        <w:rPr>
          <w:rFonts w:asciiTheme="minorHAnsi" w:hAnsiTheme="minorHAnsi"/>
          <w:bCs/>
        </w:rPr>
        <w:t>0.</w:t>
      </w:r>
      <w:r w:rsidR="000B2108" w:rsidRPr="007579E2">
        <w:rPr>
          <w:rFonts w:asciiTheme="minorHAnsi" w:hAnsiTheme="minorHAnsi"/>
          <w:bCs/>
        </w:rPr>
        <w:t>47</w:t>
      </w:r>
      <w:r w:rsidR="001E7E3F" w:rsidRPr="007579E2">
        <w:rPr>
          <w:rFonts w:asciiTheme="minorHAnsi" w:hAnsiTheme="minorHAnsi"/>
          <w:bCs/>
        </w:rPr>
        <w:t xml:space="preserve">; </w:t>
      </w:r>
      <w:r w:rsidR="00F10E02" w:rsidRPr="007579E2">
        <w:rPr>
          <w:rFonts w:asciiTheme="minorHAnsi" w:hAnsiTheme="minorHAnsi"/>
          <w:bCs/>
        </w:rPr>
        <w:t>95%</w:t>
      </w:r>
      <w:r w:rsidR="003230A7" w:rsidRPr="007579E2">
        <w:rPr>
          <w:rFonts w:asciiTheme="minorHAnsi" w:hAnsiTheme="minorHAnsi"/>
          <w:bCs/>
        </w:rPr>
        <w:t> </w:t>
      </w:r>
      <w:r w:rsidR="006021AA" w:rsidRPr="007579E2">
        <w:rPr>
          <w:rFonts w:asciiTheme="minorHAnsi" w:hAnsiTheme="minorHAnsi"/>
          <w:bCs/>
        </w:rPr>
        <w:t>CI</w:t>
      </w:r>
      <w:r w:rsidR="00F10E02" w:rsidRPr="007579E2">
        <w:rPr>
          <w:rFonts w:asciiTheme="minorHAnsi" w:hAnsiTheme="minorHAnsi"/>
          <w:bCs/>
        </w:rPr>
        <w:t xml:space="preserve">: </w:t>
      </w:r>
      <w:r w:rsidR="000B2108" w:rsidRPr="007579E2">
        <w:rPr>
          <w:rFonts w:asciiTheme="minorHAnsi" w:hAnsiTheme="minorHAnsi"/>
          <w:bCs/>
        </w:rPr>
        <w:t>0.39, 0.58</w:t>
      </w:r>
      <w:r w:rsidR="00F10E02" w:rsidRPr="007579E2">
        <w:rPr>
          <w:rFonts w:asciiTheme="minorHAnsi" w:hAnsiTheme="minorHAnsi"/>
          <w:bCs/>
        </w:rPr>
        <w:t xml:space="preserve">). </w:t>
      </w:r>
      <w:r w:rsidR="000B2108" w:rsidRPr="007579E2">
        <w:rPr>
          <w:rFonts w:asciiTheme="minorHAnsi" w:hAnsiTheme="minorHAnsi"/>
          <w:bCs/>
        </w:rPr>
        <w:t xml:space="preserve">The PBAC noted that </w:t>
      </w:r>
      <w:r w:rsidR="004B5782" w:rsidRPr="007579E2">
        <w:rPr>
          <w:rFonts w:asciiTheme="minorHAnsi" w:hAnsiTheme="minorHAnsi"/>
          <w:bCs/>
        </w:rPr>
        <w:t xml:space="preserve">an </w:t>
      </w:r>
      <w:r w:rsidR="000B2108" w:rsidRPr="007579E2">
        <w:rPr>
          <w:rFonts w:asciiTheme="minorHAnsi" w:hAnsiTheme="minorHAnsi"/>
          <w:bCs/>
        </w:rPr>
        <w:t>updated analysis (at 44 months follow-up for the treatment arm</w:t>
      </w:r>
      <w:r w:rsidR="003230A7" w:rsidRPr="007579E2">
        <w:rPr>
          <w:rFonts w:asciiTheme="minorHAnsi" w:hAnsiTheme="minorHAnsi"/>
          <w:bCs/>
        </w:rPr>
        <w:t xml:space="preserve"> and</w:t>
      </w:r>
      <w:r w:rsidR="000B2108" w:rsidRPr="007579E2">
        <w:rPr>
          <w:rFonts w:asciiTheme="minorHAnsi" w:hAnsiTheme="minorHAnsi"/>
          <w:bCs/>
        </w:rPr>
        <w:t xml:space="preserve"> 42 months for placebo)</w:t>
      </w:r>
      <w:r w:rsidR="006E23E9" w:rsidRPr="007579E2">
        <w:rPr>
          <w:rFonts w:asciiTheme="minorHAnsi" w:hAnsiTheme="minorHAnsi"/>
          <w:bCs/>
        </w:rPr>
        <w:t xml:space="preserve"> showed similar results</w:t>
      </w:r>
      <w:r w:rsidR="000B2108" w:rsidRPr="007579E2">
        <w:rPr>
          <w:rFonts w:asciiTheme="minorHAnsi" w:hAnsiTheme="minorHAnsi"/>
          <w:bCs/>
        </w:rPr>
        <w:t xml:space="preserve">. </w:t>
      </w:r>
      <w:r w:rsidR="00F10E02" w:rsidRPr="007579E2">
        <w:rPr>
          <w:rFonts w:asciiTheme="minorHAnsi" w:hAnsiTheme="minorHAnsi"/>
          <w:bCs/>
        </w:rPr>
        <w:t xml:space="preserve">The PBAC considered that the </w:t>
      </w:r>
      <w:proofErr w:type="gramStart"/>
      <w:r w:rsidR="00F10E02" w:rsidRPr="007579E2">
        <w:rPr>
          <w:rFonts w:asciiTheme="minorHAnsi" w:hAnsiTheme="minorHAnsi"/>
          <w:bCs/>
        </w:rPr>
        <w:t>submission</w:t>
      </w:r>
      <w:r w:rsidR="006F24EA">
        <w:rPr>
          <w:rFonts w:asciiTheme="minorHAnsi" w:hAnsiTheme="minorHAnsi"/>
          <w:bCs/>
        </w:rPr>
        <w:t>’</w:t>
      </w:r>
      <w:r w:rsidR="00F10E02" w:rsidRPr="007579E2">
        <w:rPr>
          <w:rFonts w:asciiTheme="minorHAnsi" w:hAnsiTheme="minorHAnsi"/>
          <w:bCs/>
        </w:rPr>
        <w:t>s</w:t>
      </w:r>
      <w:proofErr w:type="gramEnd"/>
      <w:r w:rsidR="00F10E02" w:rsidRPr="007579E2">
        <w:rPr>
          <w:rFonts w:asciiTheme="minorHAnsi" w:hAnsiTheme="minorHAnsi"/>
          <w:bCs/>
        </w:rPr>
        <w:t xml:space="preserve"> claim that </w:t>
      </w:r>
      <w:proofErr w:type="spellStart"/>
      <w:r w:rsidR="000B2108" w:rsidRPr="007579E2">
        <w:rPr>
          <w:rFonts w:asciiTheme="minorHAnsi" w:hAnsiTheme="minorHAnsi"/>
          <w:bCs/>
        </w:rPr>
        <w:t>dabrafenib+trametinib</w:t>
      </w:r>
      <w:proofErr w:type="spellEnd"/>
      <w:r w:rsidR="000B2108" w:rsidRPr="007579E2">
        <w:rPr>
          <w:rFonts w:asciiTheme="minorHAnsi" w:hAnsiTheme="minorHAnsi"/>
          <w:bCs/>
        </w:rPr>
        <w:t xml:space="preserve"> </w:t>
      </w:r>
      <w:r w:rsidR="00F10E02" w:rsidRPr="007579E2">
        <w:rPr>
          <w:rFonts w:asciiTheme="minorHAnsi" w:hAnsiTheme="minorHAnsi"/>
          <w:bCs/>
        </w:rPr>
        <w:t xml:space="preserve">was superior to placebo in terms of RFS, based on the analysis of </w:t>
      </w:r>
      <w:r w:rsidR="000B2108" w:rsidRPr="007579E2">
        <w:rPr>
          <w:rFonts w:asciiTheme="minorHAnsi" w:hAnsiTheme="minorHAnsi"/>
          <w:bCs/>
        </w:rPr>
        <w:t>COMBI-AD</w:t>
      </w:r>
      <w:r w:rsidR="00F10E02" w:rsidRPr="007579E2">
        <w:rPr>
          <w:rFonts w:asciiTheme="minorHAnsi" w:hAnsiTheme="minorHAnsi"/>
          <w:bCs/>
        </w:rPr>
        <w:t>, was reasonable for the trial population.</w:t>
      </w:r>
      <w:r w:rsidR="006021AA" w:rsidRPr="007579E2">
        <w:rPr>
          <w:rFonts w:asciiTheme="minorHAnsi" w:hAnsiTheme="minorHAnsi"/>
          <w:bCs/>
        </w:rPr>
        <w:t xml:space="preserve"> </w:t>
      </w:r>
      <w:r w:rsidR="00F10E02" w:rsidRPr="007579E2">
        <w:rPr>
          <w:rFonts w:asciiTheme="minorHAnsi" w:hAnsiTheme="minorHAnsi"/>
          <w:bCs/>
        </w:rPr>
        <w:t>However, due to the immaturity of the trial data, the PBAC considered that the magnitude of the treatment effect was uncertain</w:t>
      </w:r>
      <w:r w:rsidR="006021AA" w:rsidRPr="007579E2">
        <w:rPr>
          <w:rFonts w:asciiTheme="minorHAnsi" w:hAnsiTheme="minorHAnsi"/>
          <w:bCs/>
        </w:rPr>
        <w:t>.</w:t>
      </w:r>
    </w:p>
    <w:p w:rsidR="007A078B" w:rsidRPr="00CC49A2" w:rsidRDefault="00590B63" w:rsidP="008905FD">
      <w:pPr>
        <w:widowControl/>
        <w:numPr>
          <w:ilvl w:val="1"/>
          <w:numId w:val="2"/>
        </w:numPr>
        <w:spacing w:before="120" w:after="120"/>
        <w:rPr>
          <w:rFonts w:asciiTheme="minorHAnsi" w:hAnsiTheme="minorHAnsi"/>
          <w:bCs/>
        </w:rPr>
      </w:pPr>
      <w:r w:rsidRPr="007579E2">
        <w:rPr>
          <w:rFonts w:asciiTheme="minorHAnsi" w:hAnsiTheme="minorHAnsi"/>
          <w:bCs/>
        </w:rPr>
        <w:t>T</w:t>
      </w:r>
      <w:r w:rsidR="007A078B" w:rsidRPr="007579E2">
        <w:rPr>
          <w:rFonts w:asciiTheme="minorHAnsi" w:hAnsiTheme="minorHAnsi"/>
          <w:bCs/>
        </w:rPr>
        <w:t xml:space="preserve">he PBAC noted that </w:t>
      </w:r>
      <w:proofErr w:type="spellStart"/>
      <w:r w:rsidR="007A078B" w:rsidRPr="007579E2">
        <w:rPr>
          <w:rFonts w:asciiTheme="minorHAnsi" w:hAnsiTheme="minorHAnsi"/>
          <w:bCs/>
        </w:rPr>
        <w:t>Hauschild</w:t>
      </w:r>
      <w:proofErr w:type="spellEnd"/>
      <w:r w:rsidR="007A078B" w:rsidRPr="007579E2">
        <w:rPr>
          <w:rFonts w:asciiTheme="minorHAnsi" w:hAnsiTheme="minorHAnsi"/>
          <w:bCs/>
        </w:rPr>
        <w:t xml:space="preserve"> </w:t>
      </w:r>
      <w:r w:rsidR="001E7E3F" w:rsidRPr="007579E2">
        <w:rPr>
          <w:rFonts w:asciiTheme="minorHAnsi" w:hAnsiTheme="minorHAnsi"/>
          <w:bCs/>
        </w:rPr>
        <w:t>(</w:t>
      </w:r>
      <w:r w:rsidR="007A078B" w:rsidRPr="007579E2">
        <w:rPr>
          <w:rFonts w:asciiTheme="minorHAnsi" w:hAnsiTheme="minorHAnsi"/>
          <w:bCs/>
        </w:rPr>
        <w:t>2018</w:t>
      </w:r>
      <w:r w:rsidR="001E7E3F" w:rsidRPr="007579E2">
        <w:rPr>
          <w:rFonts w:asciiTheme="minorHAnsi" w:hAnsiTheme="minorHAnsi"/>
          <w:bCs/>
        </w:rPr>
        <w:t>)</w:t>
      </w:r>
      <w:r w:rsidR="007A078B" w:rsidRPr="007579E2">
        <w:rPr>
          <w:rFonts w:asciiTheme="minorHAnsi" w:hAnsiTheme="minorHAnsi"/>
          <w:bCs/>
        </w:rPr>
        <w:t xml:space="preserve"> reported a </w:t>
      </w:r>
      <w:r w:rsidR="007A078B" w:rsidRPr="007579E2">
        <w:rPr>
          <w:rFonts w:asciiTheme="minorHAnsi" w:hAnsiTheme="minorHAnsi"/>
          <w:bCs/>
          <w:i/>
        </w:rPr>
        <w:t xml:space="preserve">post hoc </w:t>
      </w:r>
      <w:r w:rsidR="007A078B" w:rsidRPr="007579E2">
        <w:rPr>
          <w:rFonts w:asciiTheme="minorHAnsi" w:hAnsiTheme="minorHAnsi"/>
          <w:bCs/>
        </w:rPr>
        <w:t>subgroup analysis of the updated RFS data conducted on the basis of baseline disease staging according to the 8</w:t>
      </w:r>
      <w:r w:rsidR="007A078B" w:rsidRPr="007579E2">
        <w:rPr>
          <w:rFonts w:asciiTheme="minorHAnsi" w:hAnsiTheme="minorHAnsi"/>
          <w:bCs/>
          <w:vertAlign w:val="superscript"/>
        </w:rPr>
        <w:t>th</w:t>
      </w:r>
      <w:r w:rsidR="007A078B" w:rsidRPr="007579E2">
        <w:rPr>
          <w:rFonts w:asciiTheme="minorHAnsi" w:hAnsiTheme="minorHAnsi"/>
          <w:bCs/>
        </w:rPr>
        <w:t xml:space="preserve"> edition</w:t>
      </w:r>
      <w:r w:rsidR="001E7E3F" w:rsidRPr="007579E2">
        <w:rPr>
          <w:rFonts w:asciiTheme="minorHAnsi" w:hAnsiTheme="minorHAnsi"/>
          <w:bCs/>
        </w:rPr>
        <w:t xml:space="preserve"> of the AJCC staging system</w:t>
      </w:r>
      <w:r w:rsidR="007A078B" w:rsidRPr="007579E2">
        <w:rPr>
          <w:rFonts w:asciiTheme="minorHAnsi" w:hAnsiTheme="minorHAnsi"/>
          <w:bCs/>
        </w:rPr>
        <w:t xml:space="preserve">. The PBAC noted that the RFS rate in the placebo arm at 3 years varied from 71% for Stage IIIA to 18% for Stage IIID. Furthermore, the PBAC noted that the absolute difference in RFS rates between treatment and placebo at 3 years varied from 13% for Stage IIIA to 25% for Stage IIID. The PBAC considered that the absolute RFS benefit and any potential OS benefit </w:t>
      </w:r>
      <w:r w:rsidRPr="007579E2">
        <w:rPr>
          <w:rFonts w:asciiTheme="minorHAnsi" w:hAnsiTheme="minorHAnsi"/>
          <w:bCs/>
        </w:rPr>
        <w:t xml:space="preserve">in the Stage IIIA subgroup to be </w:t>
      </w:r>
      <w:r w:rsidR="00602EAA">
        <w:rPr>
          <w:rFonts w:asciiTheme="minorHAnsi" w:hAnsiTheme="minorHAnsi"/>
          <w:bCs/>
        </w:rPr>
        <w:t xml:space="preserve">particularly </w:t>
      </w:r>
      <w:r w:rsidRPr="007579E2">
        <w:rPr>
          <w:rFonts w:asciiTheme="minorHAnsi" w:hAnsiTheme="minorHAnsi"/>
          <w:bCs/>
        </w:rPr>
        <w:t xml:space="preserve">uncertain and likely </w:t>
      </w:r>
      <w:r w:rsidR="00CC49A2">
        <w:rPr>
          <w:rFonts w:asciiTheme="minorHAnsi" w:hAnsiTheme="minorHAnsi"/>
          <w:bCs/>
        </w:rPr>
        <w:t xml:space="preserve">to be </w:t>
      </w:r>
      <w:r w:rsidR="007A078B" w:rsidRPr="007579E2">
        <w:rPr>
          <w:rFonts w:asciiTheme="minorHAnsi" w:hAnsiTheme="minorHAnsi"/>
          <w:bCs/>
        </w:rPr>
        <w:t>modest, and not cost-effective at the same price as for Stages IIIB</w:t>
      </w:r>
      <w:r w:rsidR="004B5782" w:rsidRPr="007579E2">
        <w:rPr>
          <w:rFonts w:asciiTheme="minorHAnsi" w:hAnsiTheme="minorHAnsi"/>
          <w:bCs/>
        </w:rPr>
        <w:t>, IIIC and III</w:t>
      </w:r>
      <w:r w:rsidR="007A078B" w:rsidRPr="007579E2">
        <w:rPr>
          <w:rFonts w:asciiTheme="minorHAnsi" w:hAnsiTheme="minorHAnsi"/>
          <w:bCs/>
        </w:rPr>
        <w:t xml:space="preserve">D. The benefit </w:t>
      </w:r>
      <w:r w:rsidR="00D85664" w:rsidRPr="007579E2">
        <w:rPr>
          <w:rFonts w:asciiTheme="minorHAnsi" w:hAnsiTheme="minorHAnsi"/>
          <w:bCs/>
        </w:rPr>
        <w:t>of adjuvant treatment in</w:t>
      </w:r>
      <w:r w:rsidR="007A078B" w:rsidRPr="007579E2">
        <w:rPr>
          <w:rFonts w:asciiTheme="minorHAnsi" w:hAnsiTheme="minorHAnsi"/>
          <w:bCs/>
        </w:rPr>
        <w:t xml:space="preserve"> patients with Stage IIIA with metastases ≤</w:t>
      </w:r>
      <w:r w:rsidR="001230A3" w:rsidRPr="007579E2">
        <w:rPr>
          <w:rFonts w:asciiTheme="minorHAnsi" w:hAnsiTheme="minorHAnsi"/>
          <w:bCs/>
        </w:rPr>
        <w:t> </w:t>
      </w:r>
      <w:r w:rsidR="007A078B" w:rsidRPr="007579E2">
        <w:rPr>
          <w:rFonts w:asciiTheme="minorHAnsi" w:hAnsiTheme="minorHAnsi"/>
          <w:bCs/>
        </w:rPr>
        <w:t>1</w:t>
      </w:r>
      <w:r w:rsidR="001230A3" w:rsidRPr="007579E2">
        <w:rPr>
          <w:rFonts w:asciiTheme="minorHAnsi" w:hAnsiTheme="minorHAnsi"/>
          <w:bCs/>
        </w:rPr>
        <w:t> </w:t>
      </w:r>
      <w:r w:rsidR="007A078B" w:rsidRPr="007579E2">
        <w:rPr>
          <w:rFonts w:asciiTheme="minorHAnsi" w:hAnsiTheme="minorHAnsi"/>
          <w:bCs/>
        </w:rPr>
        <w:t xml:space="preserve">mm was unknown as they were not represented in COMBI-AD. The PBAC considered that use of adjuvant </w:t>
      </w:r>
      <w:proofErr w:type="spellStart"/>
      <w:r w:rsidR="007A078B" w:rsidRPr="007579E2">
        <w:rPr>
          <w:rFonts w:asciiTheme="minorHAnsi" w:hAnsiTheme="minorHAnsi"/>
          <w:bCs/>
        </w:rPr>
        <w:t>dabrafenib+trametinib</w:t>
      </w:r>
      <w:proofErr w:type="spellEnd"/>
      <w:r w:rsidR="007A078B" w:rsidRPr="007579E2">
        <w:rPr>
          <w:rFonts w:asciiTheme="minorHAnsi" w:hAnsiTheme="minorHAnsi"/>
          <w:bCs/>
        </w:rPr>
        <w:t xml:space="preserve"> would be most beneficial and cost-effective in patients wit</w:t>
      </w:r>
      <w:r w:rsidR="007A078B" w:rsidRPr="00CC49A2">
        <w:rPr>
          <w:rFonts w:asciiTheme="minorHAnsi" w:hAnsiTheme="minorHAnsi"/>
          <w:bCs/>
        </w:rPr>
        <w:t>h Stage IIIB, IIIC and IIID disease</w:t>
      </w:r>
      <w:r w:rsidR="00D85664" w:rsidRPr="00CC49A2">
        <w:rPr>
          <w:rFonts w:asciiTheme="minorHAnsi" w:hAnsiTheme="minorHAnsi"/>
          <w:bCs/>
        </w:rPr>
        <w:t>.</w:t>
      </w:r>
    </w:p>
    <w:p w:rsidR="00B21934" w:rsidRPr="007579E2" w:rsidRDefault="006021AA" w:rsidP="008905FD">
      <w:pPr>
        <w:pStyle w:val="ListParagraph"/>
        <w:widowControl/>
        <w:numPr>
          <w:ilvl w:val="1"/>
          <w:numId w:val="2"/>
        </w:numPr>
        <w:spacing w:before="120"/>
        <w:rPr>
          <w:rFonts w:asciiTheme="minorHAnsi" w:hAnsiTheme="minorHAnsi"/>
          <w:bCs/>
        </w:rPr>
      </w:pPr>
      <w:r w:rsidRPr="00CC49A2">
        <w:rPr>
          <w:rFonts w:asciiTheme="minorHAnsi" w:hAnsiTheme="minorHAnsi"/>
          <w:bCs/>
        </w:rPr>
        <w:lastRenderedPageBreak/>
        <w:t xml:space="preserve">The PBAC noted that </w:t>
      </w:r>
      <w:r w:rsidR="008021D9" w:rsidRPr="00CC49A2">
        <w:rPr>
          <w:rFonts w:asciiTheme="minorHAnsi" w:hAnsiTheme="minorHAnsi"/>
          <w:bCs/>
        </w:rPr>
        <w:t xml:space="preserve">although </w:t>
      </w:r>
      <w:r w:rsidR="001230A3" w:rsidRPr="00CC49A2">
        <w:rPr>
          <w:rFonts w:asciiTheme="minorHAnsi" w:hAnsiTheme="minorHAnsi"/>
          <w:bCs/>
        </w:rPr>
        <w:t xml:space="preserve">interim </w:t>
      </w:r>
      <w:r w:rsidRPr="00CC49A2">
        <w:rPr>
          <w:rFonts w:asciiTheme="minorHAnsi" w:hAnsiTheme="minorHAnsi"/>
          <w:bCs/>
        </w:rPr>
        <w:t>OS</w:t>
      </w:r>
      <w:r w:rsidR="008021D9" w:rsidRPr="00CC49A2">
        <w:rPr>
          <w:rFonts w:asciiTheme="minorHAnsi" w:hAnsiTheme="minorHAnsi"/>
          <w:bCs/>
        </w:rPr>
        <w:t xml:space="preserve"> r</w:t>
      </w:r>
      <w:r w:rsidR="008021D9" w:rsidRPr="007579E2">
        <w:rPr>
          <w:rFonts w:asciiTheme="minorHAnsi" w:hAnsiTheme="minorHAnsi"/>
          <w:bCs/>
        </w:rPr>
        <w:t>esults</w:t>
      </w:r>
      <w:r w:rsidRPr="007579E2">
        <w:rPr>
          <w:rFonts w:asciiTheme="minorHAnsi" w:hAnsiTheme="minorHAnsi"/>
          <w:bCs/>
        </w:rPr>
        <w:t xml:space="preserve"> </w:t>
      </w:r>
      <w:r w:rsidR="001230A3" w:rsidRPr="007579E2">
        <w:rPr>
          <w:rFonts w:asciiTheme="minorHAnsi" w:hAnsiTheme="minorHAnsi"/>
          <w:bCs/>
        </w:rPr>
        <w:t>were available</w:t>
      </w:r>
      <w:r w:rsidR="008021D9" w:rsidRPr="007579E2">
        <w:rPr>
          <w:rFonts w:asciiTheme="minorHAnsi" w:hAnsiTheme="minorHAnsi"/>
          <w:bCs/>
        </w:rPr>
        <w:t>, the</w:t>
      </w:r>
      <w:r w:rsidR="001230A3" w:rsidRPr="007579E2">
        <w:rPr>
          <w:rFonts w:asciiTheme="minorHAnsi" w:hAnsiTheme="minorHAnsi"/>
          <w:bCs/>
        </w:rPr>
        <w:t xml:space="preserve"> median OS </w:t>
      </w:r>
      <w:r w:rsidRPr="007579E2">
        <w:rPr>
          <w:rFonts w:asciiTheme="minorHAnsi" w:hAnsiTheme="minorHAnsi"/>
          <w:bCs/>
        </w:rPr>
        <w:t>had not been reached in either arm</w:t>
      </w:r>
      <w:r w:rsidR="00B21934" w:rsidRPr="007579E2">
        <w:rPr>
          <w:rFonts w:asciiTheme="minorHAnsi" w:hAnsiTheme="minorHAnsi"/>
          <w:bCs/>
        </w:rPr>
        <w:t>. Although the HR was statistically significant</w:t>
      </w:r>
      <w:r w:rsidR="008021D9" w:rsidRPr="007579E2">
        <w:rPr>
          <w:rFonts w:asciiTheme="minorHAnsi" w:hAnsiTheme="minorHAnsi"/>
          <w:bCs/>
        </w:rPr>
        <w:t xml:space="preserve"> (HR = 0.57; 95% CI: 0.42, 0.79</w:t>
      </w:r>
      <w:r w:rsidR="00E21272" w:rsidRPr="007579E2">
        <w:rPr>
          <w:rFonts w:asciiTheme="minorHAnsi" w:hAnsiTheme="minorHAnsi"/>
          <w:bCs/>
        </w:rPr>
        <w:t>; p = 0.0006</w:t>
      </w:r>
      <w:r w:rsidR="008021D9" w:rsidRPr="007579E2">
        <w:rPr>
          <w:rFonts w:asciiTheme="minorHAnsi" w:hAnsiTheme="minorHAnsi"/>
          <w:bCs/>
        </w:rPr>
        <w:t>)</w:t>
      </w:r>
      <w:r w:rsidR="00B21934" w:rsidRPr="007579E2">
        <w:rPr>
          <w:rFonts w:asciiTheme="minorHAnsi" w:hAnsiTheme="minorHAnsi"/>
          <w:bCs/>
        </w:rPr>
        <w:t>, it did not meet the pre-specified threshold for the first interim analysis</w:t>
      </w:r>
      <w:r w:rsidR="00E21272" w:rsidRPr="007579E2">
        <w:rPr>
          <w:rFonts w:asciiTheme="minorHAnsi" w:hAnsiTheme="minorHAnsi"/>
          <w:bCs/>
        </w:rPr>
        <w:t xml:space="preserve"> (p = 000019)</w:t>
      </w:r>
      <w:r w:rsidRPr="007579E2">
        <w:rPr>
          <w:rFonts w:asciiTheme="minorHAnsi" w:hAnsiTheme="minorHAnsi"/>
          <w:bCs/>
        </w:rPr>
        <w:t xml:space="preserve">. The PBAC </w:t>
      </w:r>
      <w:r w:rsidR="00C5280E" w:rsidRPr="007579E2">
        <w:rPr>
          <w:rFonts w:asciiTheme="minorHAnsi" w:hAnsiTheme="minorHAnsi"/>
          <w:bCs/>
        </w:rPr>
        <w:t xml:space="preserve">considered that there was insufficient data </w:t>
      </w:r>
      <w:r w:rsidR="006F24EA">
        <w:rPr>
          <w:rFonts w:asciiTheme="minorHAnsi" w:hAnsiTheme="minorHAnsi"/>
          <w:bCs/>
        </w:rPr>
        <w:t xml:space="preserve">to </w:t>
      </w:r>
      <w:r w:rsidR="00670080" w:rsidRPr="007579E2">
        <w:rPr>
          <w:rFonts w:asciiTheme="minorHAnsi" w:hAnsiTheme="minorHAnsi"/>
          <w:bCs/>
        </w:rPr>
        <w:t>determine th</w:t>
      </w:r>
      <w:r w:rsidR="007A078B" w:rsidRPr="007579E2">
        <w:rPr>
          <w:rFonts w:asciiTheme="minorHAnsi" w:hAnsiTheme="minorHAnsi"/>
          <w:bCs/>
        </w:rPr>
        <w:t>e magnitude of any OS benefit or</w:t>
      </w:r>
      <w:r w:rsidR="00670080" w:rsidRPr="007579E2">
        <w:rPr>
          <w:rFonts w:asciiTheme="minorHAnsi" w:hAnsiTheme="minorHAnsi"/>
          <w:bCs/>
        </w:rPr>
        <w:t xml:space="preserve"> </w:t>
      </w:r>
      <w:r w:rsidR="004B5782" w:rsidRPr="007579E2">
        <w:rPr>
          <w:rFonts w:asciiTheme="minorHAnsi" w:hAnsiTheme="minorHAnsi"/>
          <w:bCs/>
        </w:rPr>
        <w:t>whether</w:t>
      </w:r>
      <w:r w:rsidR="00C5280E" w:rsidRPr="007579E2">
        <w:rPr>
          <w:rFonts w:asciiTheme="minorHAnsi" w:hAnsiTheme="minorHAnsi"/>
          <w:bCs/>
        </w:rPr>
        <w:t xml:space="preserve"> </w:t>
      </w:r>
      <w:proofErr w:type="spellStart"/>
      <w:r w:rsidR="00C5280E" w:rsidRPr="007579E2">
        <w:rPr>
          <w:rFonts w:asciiTheme="minorHAnsi" w:hAnsiTheme="minorHAnsi"/>
          <w:bCs/>
        </w:rPr>
        <w:t>dabrafenib+trametinib</w:t>
      </w:r>
      <w:proofErr w:type="spellEnd"/>
      <w:r w:rsidR="00C5280E" w:rsidRPr="007579E2">
        <w:rPr>
          <w:rFonts w:asciiTheme="minorHAnsi" w:hAnsiTheme="minorHAnsi"/>
          <w:bCs/>
        </w:rPr>
        <w:t xml:space="preserve"> </w:t>
      </w:r>
      <w:r w:rsidR="004B5782" w:rsidRPr="007579E2">
        <w:rPr>
          <w:rFonts w:asciiTheme="minorHAnsi" w:hAnsiTheme="minorHAnsi"/>
          <w:bCs/>
        </w:rPr>
        <w:t>is curative in</w:t>
      </w:r>
      <w:r w:rsidR="00C5280E" w:rsidRPr="007579E2">
        <w:rPr>
          <w:rFonts w:asciiTheme="minorHAnsi" w:hAnsiTheme="minorHAnsi"/>
          <w:bCs/>
        </w:rPr>
        <w:t xml:space="preserve"> </w:t>
      </w:r>
      <w:r w:rsidRPr="007579E2">
        <w:rPr>
          <w:rFonts w:asciiTheme="minorHAnsi" w:hAnsiTheme="minorHAnsi"/>
          <w:bCs/>
        </w:rPr>
        <w:t xml:space="preserve">some </w:t>
      </w:r>
      <w:r w:rsidR="00C5280E" w:rsidRPr="007579E2">
        <w:rPr>
          <w:rFonts w:asciiTheme="minorHAnsi" w:hAnsiTheme="minorHAnsi"/>
          <w:bCs/>
        </w:rPr>
        <w:t>patients</w:t>
      </w:r>
      <w:r w:rsidR="004B5782" w:rsidRPr="007579E2">
        <w:rPr>
          <w:rFonts w:asciiTheme="minorHAnsi" w:hAnsiTheme="minorHAnsi"/>
          <w:bCs/>
        </w:rPr>
        <w:t>,</w:t>
      </w:r>
      <w:r w:rsidR="00C5280E" w:rsidRPr="007579E2">
        <w:rPr>
          <w:rFonts w:asciiTheme="minorHAnsi" w:hAnsiTheme="minorHAnsi"/>
          <w:bCs/>
        </w:rPr>
        <w:t xml:space="preserve"> as opposed to delaying recurrence. </w:t>
      </w:r>
      <w:r w:rsidR="009C29BA" w:rsidRPr="007579E2">
        <w:rPr>
          <w:rFonts w:asciiTheme="minorHAnsi" w:hAnsiTheme="minorHAnsi"/>
          <w:bCs/>
        </w:rPr>
        <w:t xml:space="preserve">The PBAC noted that a second interim OS analysis would be available </w:t>
      </w:r>
      <w:r w:rsidR="009C29BA" w:rsidRPr="00330E6C">
        <w:rPr>
          <w:rFonts w:asciiTheme="minorHAnsi" w:hAnsiTheme="minorHAnsi"/>
          <w:bCs/>
        </w:rPr>
        <w:t xml:space="preserve">in </w:t>
      </w:r>
      <w:r w:rsidR="0023686E">
        <w:rPr>
          <w:rFonts w:asciiTheme="minorHAnsi" w:hAnsiTheme="minorHAnsi"/>
          <w:bCs/>
          <w:noProof/>
          <w:color w:val="000000"/>
          <w:highlight w:val="black"/>
        </w:rPr>
        <w:t>'''''''' '''''''''</w:t>
      </w:r>
      <w:r w:rsidR="00B21934" w:rsidRPr="00330E6C">
        <w:rPr>
          <w:rFonts w:asciiTheme="minorHAnsi" w:hAnsiTheme="minorHAnsi"/>
          <w:bCs/>
        </w:rPr>
        <w:t>, and</w:t>
      </w:r>
      <w:r w:rsidR="00B21934" w:rsidRPr="007579E2">
        <w:rPr>
          <w:rFonts w:asciiTheme="minorHAnsi" w:hAnsiTheme="minorHAnsi"/>
          <w:bCs/>
        </w:rPr>
        <w:t xml:space="preserve"> advised that, if listed, the sponsor should provide these results to the PBAC. </w:t>
      </w:r>
    </w:p>
    <w:p w:rsidR="00E72737" w:rsidRPr="007579E2" w:rsidRDefault="00F26CC6" w:rsidP="008905FD">
      <w:pPr>
        <w:pStyle w:val="ListParagraph"/>
        <w:widowControl/>
        <w:numPr>
          <w:ilvl w:val="1"/>
          <w:numId w:val="2"/>
        </w:numPr>
        <w:spacing w:before="120"/>
        <w:rPr>
          <w:rFonts w:asciiTheme="minorHAnsi" w:hAnsiTheme="minorHAnsi"/>
          <w:bCs/>
        </w:rPr>
      </w:pPr>
      <w:r w:rsidRPr="007579E2">
        <w:rPr>
          <w:rFonts w:asciiTheme="minorHAnsi" w:hAnsiTheme="minorHAnsi"/>
          <w:bCs/>
        </w:rPr>
        <w:t>The PBAC considered that the claim of inferior comparative safety was reasonable, noting that no new safety signal</w:t>
      </w:r>
      <w:r w:rsidR="006E3E3A" w:rsidRPr="007579E2">
        <w:rPr>
          <w:rFonts w:asciiTheme="minorHAnsi" w:hAnsiTheme="minorHAnsi"/>
          <w:bCs/>
        </w:rPr>
        <w:t>s</w:t>
      </w:r>
      <w:r w:rsidRPr="007579E2">
        <w:rPr>
          <w:rFonts w:asciiTheme="minorHAnsi" w:hAnsiTheme="minorHAnsi"/>
          <w:bCs/>
        </w:rPr>
        <w:t xml:space="preserve"> were identified in the adjuvant setting.</w:t>
      </w:r>
    </w:p>
    <w:p w:rsidR="00E04061" w:rsidRPr="007579E2" w:rsidRDefault="00B00301" w:rsidP="008905FD">
      <w:pPr>
        <w:widowControl/>
        <w:numPr>
          <w:ilvl w:val="1"/>
          <w:numId w:val="2"/>
        </w:numPr>
        <w:spacing w:before="120" w:after="120"/>
        <w:rPr>
          <w:rFonts w:asciiTheme="minorHAnsi" w:hAnsiTheme="minorHAnsi" w:cstheme="minorHAnsi"/>
          <w:bCs/>
          <w:szCs w:val="24"/>
        </w:rPr>
      </w:pPr>
      <w:r w:rsidRPr="007579E2">
        <w:rPr>
          <w:rFonts w:asciiTheme="minorHAnsi" w:hAnsiTheme="minorHAnsi"/>
          <w:bCs/>
        </w:rPr>
        <w:t>The PBAC</w:t>
      </w:r>
      <w:r w:rsidR="00E42B69" w:rsidRPr="007579E2">
        <w:rPr>
          <w:rFonts w:asciiTheme="minorHAnsi" w:hAnsiTheme="minorHAnsi"/>
          <w:bCs/>
        </w:rPr>
        <w:t xml:space="preserve"> </w:t>
      </w:r>
      <w:r w:rsidR="00E72737" w:rsidRPr="007579E2">
        <w:rPr>
          <w:rFonts w:asciiTheme="minorHAnsi" w:hAnsiTheme="minorHAnsi"/>
          <w:bCs/>
        </w:rPr>
        <w:t>agreed with the ESC</w:t>
      </w:r>
      <w:r w:rsidR="00E42B69" w:rsidRPr="007579E2">
        <w:rPr>
          <w:rFonts w:asciiTheme="minorHAnsi" w:hAnsiTheme="minorHAnsi"/>
          <w:bCs/>
        </w:rPr>
        <w:t xml:space="preserve"> </w:t>
      </w:r>
      <w:r w:rsidR="00D85664" w:rsidRPr="007579E2">
        <w:rPr>
          <w:rFonts w:asciiTheme="minorHAnsi" w:hAnsiTheme="minorHAnsi"/>
          <w:bCs/>
        </w:rPr>
        <w:t xml:space="preserve">in considering </w:t>
      </w:r>
      <w:r w:rsidR="00E42B69" w:rsidRPr="007579E2">
        <w:rPr>
          <w:rFonts w:asciiTheme="minorHAnsi" w:hAnsiTheme="minorHAnsi"/>
          <w:bCs/>
        </w:rPr>
        <w:t xml:space="preserve">that </w:t>
      </w:r>
      <w:r w:rsidR="00C870CA" w:rsidRPr="007579E2">
        <w:rPr>
          <w:rFonts w:asciiTheme="minorHAnsi" w:hAnsiTheme="minorHAnsi"/>
          <w:bCs/>
        </w:rPr>
        <w:t>the</w:t>
      </w:r>
      <w:r w:rsidR="00E72737" w:rsidRPr="007579E2">
        <w:rPr>
          <w:rFonts w:asciiTheme="minorHAnsi" w:hAnsiTheme="minorHAnsi"/>
          <w:bCs/>
        </w:rPr>
        <w:t xml:space="preserve"> economic model</w:t>
      </w:r>
      <w:r w:rsidR="00C870CA" w:rsidRPr="007579E2">
        <w:rPr>
          <w:rFonts w:asciiTheme="minorHAnsi" w:hAnsiTheme="minorHAnsi"/>
          <w:bCs/>
        </w:rPr>
        <w:t xml:space="preserve"> </w:t>
      </w:r>
      <w:r w:rsidR="004F5FF0" w:rsidRPr="007579E2">
        <w:rPr>
          <w:rFonts w:asciiTheme="minorHAnsi" w:hAnsiTheme="minorHAnsi"/>
          <w:bCs/>
        </w:rPr>
        <w:t xml:space="preserve">structure and inputs may not accurately reflect the outcomes of patients treated in the adjuvant setting over the </w:t>
      </w:r>
      <w:r w:rsidR="0023686E">
        <w:rPr>
          <w:rFonts w:asciiTheme="minorHAnsi" w:hAnsiTheme="minorHAnsi"/>
          <w:bCs/>
          <w:noProof/>
          <w:color w:val="000000"/>
          <w:highlight w:val="black"/>
        </w:rPr>
        <w:t>''''''</w:t>
      </w:r>
      <w:r w:rsidR="004F5FF0" w:rsidRPr="007579E2">
        <w:rPr>
          <w:rFonts w:asciiTheme="minorHAnsi" w:hAnsiTheme="minorHAnsi"/>
          <w:bCs/>
        </w:rPr>
        <w:t xml:space="preserve"> year time horizon</w:t>
      </w:r>
      <w:r w:rsidR="00F27A4A" w:rsidRPr="007579E2">
        <w:rPr>
          <w:rFonts w:asciiTheme="minorHAnsi" w:hAnsiTheme="minorHAnsi"/>
          <w:bCs/>
        </w:rPr>
        <w:t xml:space="preserve">, </w:t>
      </w:r>
      <w:r w:rsidR="008E6E65" w:rsidRPr="007579E2">
        <w:rPr>
          <w:rFonts w:asciiTheme="minorHAnsi" w:hAnsiTheme="minorHAnsi"/>
          <w:bCs/>
        </w:rPr>
        <w:t>not</w:t>
      </w:r>
      <w:r w:rsidR="00D85664" w:rsidRPr="007579E2">
        <w:rPr>
          <w:rFonts w:asciiTheme="minorHAnsi" w:hAnsiTheme="minorHAnsi"/>
          <w:bCs/>
        </w:rPr>
        <w:t>ing</w:t>
      </w:r>
      <w:r w:rsidR="008E6E65" w:rsidRPr="007579E2">
        <w:rPr>
          <w:rFonts w:asciiTheme="minorHAnsi" w:hAnsiTheme="minorHAnsi"/>
          <w:bCs/>
        </w:rPr>
        <w:t xml:space="preserve"> that</w:t>
      </w:r>
      <w:r w:rsidR="00F27A4A" w:rsidRPr="007579E2">
        <w:rPr>
          <w:rFonts w:asciiTheme="minorHAnsi" w:hAnsiTheme="minorHAnsi"/>
          <w:bCs/>
        </w:rPr>
        <w:t xml:space="preserve"> </w:t>
      </w:r>
      <w:r w:rsidR="008E6E65" w:rsidRPr="007579E2">
        <w:rPr>
          <w:rFonts w:asciiTheme="minorHAnsi" w:hAnsiTheme="minorHAnsi"/>
          <w:bCs/>
        </w:rPr>
        <w:t xml:space="preserve">the </w:t>
      </w:r>
      <w:r w:rsidR="00F27A4A" w:rsidRPr="007579E2">
        <w:rPr>
          <w:rFonts w:asciiTheme="minorHAnsi" w:hAnsiTheme="minorHAnsi"/>
          <w:bCs/>
        </w:rPr>
        <w:t>resulting ICER was highly sensitive to changes in convergence of the modelled RFS and OS curves.</w:t>
      </w:r>
      <w:r w:rsidR="00480924" w:rsidRPr="007579E2">
        <w:rPr>
          <w:rFonts w:asciiTheme="minorHAnsi" w:hAnsiTheme="minorHAnsi"/>
          <w:bCs/>
        </w:rPr>
        <w:t xml:space="preserve"> </w:t>
      </w:r>
      <w:r w:rsidR="00E04061" w:rsidRPr="007579E2">
        <w:rPr>
          <w:rFonts w:asciiTheme="minorHAnsi" w:hAnsiTheme="minorHAnsi" w:cstheme="minorHAnsi"/>
          <w:bCs/>
          <w:szCs w:val="24"/>
        </w:rPr>
        <w:t xml:space="preserve">The PBAC advised that the following </w:t>
      </w:r>
      <w:r w:rsidR="00602EAA">
        <w:rPr>
          <w:rFonts w:asciiTheme="minorHAnsi" w:hAnsiTheme="minorHAnsi" w:cstheme="minorHAnsi"/>
          <w:bCs/>
          <w:szCs w:val="24"/>
        </w:rPr>
        <w:t>re-specifications</w:t>
      </w:r>
      <w:r w:rsidR="00E04061" w:rsidRPr="007579E2">
        <w:rPr>
          <w:rFonts w:asciiTheme="minorHAnsi" w:hAnsiTheme="minorHAnsi" w:cstheme="minorHAnsi"/>
          <w:bCs/>
          <w:szCs w:val="24"/>
        </w:rPr>
        <w:t xml:space="preserve"> to the model structure and inputs would result in a more reliable ICER:</w:t>
      </w:r>
    </w:p>
    <w:p w:rsidR="00E04061" w:rsidRPr="007579E2" w:rsidRDefault="00E04061" w:rsidP="008905FD">
      <w:pPr>
        <w:widowControl/>
        <w:numPr>
          <w:ilvl w:val="1"/>
          <w:numId w:val="42"/>
        </w:numPr>
        <w:spacing w:before="120" w:after="120"/>
        <w:ind w:left="1077" w:hanging="357"/>
        <w:rPr>
          <w:rFonts w:asciiTheme="minorHAnsi" w:hAnsiTheme="minorHAnsi" w:cstheme="minorHAnsi"/>
          <w:bCs/>
          <w:szCs w:val="24"/>
        </w:rPr>
      </w:pPr>
      <w:r w:rsidRPr="007579E2">
        <w:rPr>
          <w:rFonts w:asciiTheme="minorHAnsi" w:hAnsiTheme="minorHAnsi" w:cstheme="minorHAnsi"/>
          <w:bCs/>
          <w:szCs w:val="24"/>
        </w:rPr>
        <w:t xml:space="preserve">The modelled </w:t>
      </w:r>
      <w:r w:rsidR="005E3115" w:rsidRPr="007579E2">
        <w:rPr>
          <w:rFonts w:asciiTheme="minorHAnsi" w:hAnsiTheme="minorHAnsi" w:cstheme="minorHAnsi"/>
          <w:bCs/>
          <w:szCs w:val="24"/>
        </w:rPr>
        <w:t xml:space="preserve">RFS and OS </w:t>
      </w:r>
      <w:r w:rsidRPr="007579E2">
        <w:rPr>
          <w:rFonts w:asciiTheme="minorHAnsi" w:hAnsiTheme="minorHAnsi" w:cstheme="minorHAnsi"/>
          <w:bCs/>
          <w:szCs w:val="24"/>
        </w:rPr>
        <w:t xml:space="preserve">curves should converge from </w:t>
      </w:r>
      <w:r w:rsidR="0023686E">
        <w:rPr>
          <w:rFonts w:asciiTheme="minorHAnsi" w:hAnsiTheme="minorHAnsi" w:cstheme="minorHAnsi"/>
          <w:bCs/>
          <w:noProof/>
          <w:color w:val="000000"/>
          <w:szCs w:val="24"/>
          <w:highlight w:val="black"/>
        </w:rPr>
        <w:t>'''</w:t>
      </w:r>
      <w:r w:rsidRPr="007579E2">
        <w:rPr>
          <w:rFonts w:asciiTheme="minorHAnsi" w:hAnsiTheme="minorHAnsi" w:cstheme="minorHAnsi"/>
          <w:bCs/>
          <w:szCs w:val="24"/>
        </w:rPr>
        <w:t xml:space="preserve"> to </w:t>
      </w:r>
      <w:r w:rsidR="0023686E">
        <w:rPr>
          <w:rFonts w:asciiTheme="minorHAnsi" w:hAnsiTheme="minorHAnsi" w:cstheme="minorHAnsi"/>
          <w:bCs/>
          <w:noProof/>
          <w:color w:val="000000"/>
          <w:szCs w:val="24"/>
          <w:highlight w:val="black"/>
        </w:rPr>
        <w:t>''''''</w:t>
      </w:r>
      <w:r w:rsidRPr="007579E2">
        <w:rPr>
          <w:rFonts w:asciiTheme="minorHAnsi" w:hAnsiTheme="minorHAnsi" w:cstheme="minorHAnsi"/>
          <w:bCs/>
          <w:szCs w:val="24"/>
        </w:rPr>
        <w:t xml:space="preserve"> years to reflect the uncertainty and immaturity of the data</w:t>
      </w:r>
      <w:r w:rsidR="005E3115" w:rsidRPr="007579E2">
        <w:rPr>
          <w:rFonts w:asciiTheme="minorHAnsi" w:hAnsiTheme="minorHAnsi" w:cstheme="minorHAnsi"/>
          <w:bCs/>
          <w:szCs w:val="24"/>
        </w:rPr>
        <w:t xml:space="preserve">, in particular the modelled OS data were considered unreliable as it was based on events in 14% of patients in the </w:t>
      </w:r>
      <w:proofErr w:type="spellStart"/>
      <w:r w:rsidR="005E3115" w:rsidRPr="007579E2">
        <w:rPr>
          <w:rFonts w:asciiTheme="minorHAnsi" w:hAnsiTheme="minorHAnsi" w:cstheme="minorHAnsi"/>
          <w:bCs/>
          <w:szCs w:val="24"/>
        </w:rPr>
        <w:t>dabrafenib+trametinib</w:t>
      </w:r>
      <w:proofErr w:type="spellEnd"/>
      <w:r w:rsidR="005E3115" w:rsidRPr="007579E2">
        <w:rPr>
          <w:rFonts w:asciiTheme="minorHAnsi" w:hAnsiTheme="minorHAnsi" w:cstheme="minorHAnsi"/>
          <w:bCs/>
          <w:szCs w:val="24"/>
        </w:rPr>
        <w:t xml:space="preserve"> arm and 22% of patients in the placebo arm</w:t>
      </w:r>
      <w:r w:rsidRPr="007579E2">
        <w:rPr>
          <w:rFonts w:asciiTheme="minorHAnsi" w:hAnsiTheme="minorHAnsi" w:cstheme="minorHAnsi"/>
          <w:bCs/>
          <w:szCs w:val="24"/>
        </w:rPr>
        <w:t>;</w:t>
      </w:r>
    </w:p>
    <w:p w:rsidR="00E04061" w:rsidRPr="007579E2" w:rsidRDefault="00E04061" w:rsidP="008905FD">
      <w:pPr>
        <w:widowControl/>
        <w:numPr>
          <w:ilvl w:val="1"/>
          <w:numId w:val="42"/>
        </w:numPr>
        <w:spacing w:before="120" w:after="120"/>
        <w:ind w:left="1077" w:hanging="357"/>
        <w:rPr>
          <w:rFonts w:asciiTheme="minorHAnsi" w:hAnsiTheme="minorHAnsi" w:cstheme="minorHAnsi"/>
          <w:bCs/>
          <w:szCs w:val="24"/>
        </w:rPr>
      </w:pPr>
      <w:r w:rsidRPr="007579E2">
        <w:rPr>
          <w:rFonts w:asciiTheme="minorHAnsi" w:hAnsiTheme="minorHAnsi" w:cstheme="minorHAnsi"/>
          <w:bCs/>
          <w:szCs w:val="24"/>
        </w:rPr>
        <w:t xml:space="preserve">Treatment duration should be based on the mean duration of treatment observed in </w:t>
      </w:r>
      <w:r w:rsidRPr="00077A99">
        <w:rPr>
          <w:rFonts w:asciiTheme="minorHAnsi" w:hAnsiTheme="minorHAnsi" w:cstheme="minorHAnsi"/>
          <w:bCs/>
          <w:szCs w:val="24"/>
        </w:rPr>
        <w:t>COMBI-AD (</w:t>
      </w:r>
      <w:r w:rsidR="00E1729E" w:rsidRPr="00077A99">
        <w:rPr>
          <w:rFonts w:asciiTheme="minorHAnsi" w:hAnsiTheme="minorHAnsi" w:cstheme="minorHAnsi"/>
          <w:bCs/>
          <w:szCs w:val="24"/>
        </w:rPr>
        <w:t xml:space="preserve">8.2 months for </w:t>
      </w:r>
      <w:proofErr w:type="spellStart"/>
      <w:r w:rsidR="00E1729E" w:rsidRPr="00077A99">
        <w:rPr>
          <w:rFonts w:asciiTheme="minorHAnsi" w:hAnsiTheme="minorHAnsi" w:cstheme="minorHAnsi"/>
          <w:bCs/>
          <w:szCs w:val="24"/>
        </w:rPr>
        <w:t>dabrafenib</w:t>
      </w:r>
      <w:proofErr w:type="spellEnd"/>
      <w:r w:rsidR="00E1729E" w:rsidRPr="00077A99">
        <w:rPr>
          <w:rFonts w:asciiTheme="minorHAnsi" w:hAnsiTheme="minorHAnsi" w:cstheme="minorHAnsi"/>
          <w:bCs/>
          <w:szCs w:val="24"/>
        </w:rPr>
        <w:t xml:space="preserve"> and 8.3 </w:t>
      </w:r>
      <w:r w:rsidRPr="00077A99">
        <w:rPr>
          <w:rFonts w:asciiTheme="minorHAnsi" w:hAnsiTheme="minorHAnsi" w:cstheme="minorHAnsi"/>
          <w:bCs/>
          <w:szCs w:val="24"/>
        </w:rPr>
        <w:t xml:space="preserve">months for </w:t>
      </w:r>
      <w:proofErr w:type="spellStart"/>
      <w:r w:rsidRPr="00077A99">
        <w:rPr>
          <w:rFonts w:asciiTheme="minorHAnsi" w:hAnsiTheme="minorHAnsi" w:cstheme="minorHAnsi"/>
          <w:bCs/>
          <w:szCs w:val="24"/>
        </w:rPr>
        <w:t>trametinib</w:t>
      </w:r>
      <w:proofErr w:type="spellEnd"/>
      <w:r w:rsidRPr="007579E2">
        <w:rPr>
          <w:rFonts w:asciiTheme="minorHAnsi" w:hAnsiTheme="minorHAnsi" w:cstheme="minorHAnsi"/>
          <w:bCs/>
          <w:szCs w:val="24"/>
        </w:rPr>
        <w:t xml:space="preserve">), rather than the </w:t>
      </w:r>
      <w:r w:rsidRPr="00330E6C">
        <w:rPr>
          <w:rFonts w:asciiTheme="minorHAnsi" w:hAnsiTheme="minorHAnsi" w:cstheme="minorHAnsi"/>
          <w:bCs/>
          <w:szCs w:val="24"/>
        </w:rPr>
        <w:t>modelled RFS (</w:t>
      </w:r>
      <w:r w:rsidR="0023686E">
        <w:rPr>
          <w:rFonts w:asciiTheme="minorHAnsi" w:hAnsiTheme="minorHAnsi" w:cstheme="minorHAnsi"/>
          <w:bCs/>
          <w:noProof/>
          <w:color w:val="000000"/>
          <w:szCs w:val="24"/>
          <w:highlight w:val="black"/>
        </w:rPr>
        <w:t>'''''''''</w:t>
      </w:r>
      <w:r w:rsidR="00330E6C" w:rsidRPr="00330E6C">
        <w:rPr>
          <w:rFonts w:asciiTheme="minorHAnsi" w:hAnsiTheme="minorHAnsi" w:cstheme="minorHAnsi"/>
          <w:bCs/>
          <w:szCs w:val="24"/>
        </w:rPr>
        <w:t xml:space="preserve"> </w:t>
      </w:r>
      <w:r w:rsidRPr="00330E6C">
        <w:rPr>
          <w:rFonts w:asciiTheme="minorHAnsi" w:hAnsiTheme="minorHAnsi" w:cstheme="minorHAnsi"/>
          <w:bCs/>
          <w:szCs w:val="24"/>
        </w:rPr>
        <w:t>months);</w:t>
      </w:r>
      <w:r w:rsidR="005E3115" w:rsidRPr="007579E2">
        <w:rPr>
          <w:rFonts w:asciiTheme="minorHAnsi" w:hAnsiTheme="minorHAnsi" w:cstheme="minorHAnsi"/>
          <w:bCs/>
          <w:szCs w:val="24"/>
        </w:rPr>
        <w:t xml:space="preserve"> and</w:t>
      </w:r>
    </w:p>
    <w:p w:rsidR="00E04061" w:rsidRPr="007579E2" w:rsidRDefault="00590B63" w:rsidP="008905FD">
      <w:pPr>
        <w:widowControl/>
        <w:numPr>
          <w:ilvl w:val="1"/>
          <w:numId w:val="42"/>
        </w:numPr>
        <w:spacing w:before="120" w:after="120"/>
        <w:ind w:left="1077" w:hanging="357"/>
        <w:rPr>
          <w:rFonts w:asciiTheme="minorHAnsi" w:hAnsiTheme="minorHAnsi" w:cstheme="minorHAnsi"/>
          <w:bCs/>
          <w:szCs w:val="24"/>
        </w:rPr>
      </w:pPr>
      <w:r w:rsidRPr="007579E2">
        <w:rPr>
          <w:rFonts w:asciiTheme="minorHAnsi" w:hAnsiTheme="minorHAnsi" w:cstheme="minorHAnsi"/>
          <w:bCs/>
          <w:szCs w:val="24"/>
        </w:rPr>
        <w:t>In order to account for wastage, t</w:t>
      </w:r>
      <w:r w:rsidR="00E04061" w:rsidRPr="007579E2">
        <w:rPr>
          <w:rFonts w:asciiTheme="minorHAnsi" w:hAnsiTheme="minorHAnsi" w:cstheme="minorHAnsi"/>
          <w:bCs/>
          <w:szCs w:val="24"/>
        </w:rPr>
        <w:t>reatment dose</w:t>
      </w:r>
      <w:r w:rsidRPr="007579E2">
        <w:rPr>
          <w:rFonts w:asciiTheme="minorHAnsi" w:hAnsiTheme="minorHAnsi" w:cstheme="minorHAnsi"/>
          <w:bCs/>
          <w:szCs w:val="24"/>
        </w:rPr>
        <w:t>s</w:t>
      </w:r>
      <w:r w:rsidR="00E04061" w:rsidRPr="007579E2">
        <w:rPr>
          <w:rFonts w:asciiTheme="minorHAnsi" w:hAnsiTheme="minorHAnsi" w:cstheme="minorHAnsi"/>
          <w:bCs/>
          <w:szCs w:val="24"/>
        </w:rPr>
        <w:t xml:space="preserve"> should be based on the TGA approved Product Information doses</w:t>
      </w:r>
      <w:r w:rsidR="001B651F" w:rsidRPr="007579E2">
        <w:rPr>
          <w:rFonts w:asciiTheme="minorHAnsi" w:hAnsiTheme="minorHAnsi" w:cstheme="minorHAnsi"/>
          <w:bCs/>
          <w:szCs w:val="24"/>
        </w:rPr>
        <w:t>, rather than the average doses in the trial</w:t>
      </w:r>
      <w:r w:rsidR="005E3115" w:rsidRPr="007579E2">
        <w:rPr>
          <w:rFonts w:asciiTheme="minorHAnsi" w:hAnsiTheme="minorHAnsi" w:cstheme="minorHAnsi"/>
          <w:bCs/>
          <w:szCs w:val="24"/>
        </w:rPr>
        <w:t>.</w:t>
      </w:r>
    </w:p>
    <w:p w:rsidR="00E04061" w:rsidRPr="007579E2" w:rsidRDefault="005E3115" w:rsidP="008905FD">
      <w:pPr>
        <w:widowControl/>
        <w:numPr>
          <w:ilvl w:val="1"/>
          <w:numId w:val="2"/>
        </w:numPr>
        <w:spacing w:before="120" w:after="120"/>
        <w:rPr>
          <w:rFonts w:asciiTheme="minorHAnsi" w:hAnsiTheme="minorHAnsi" w:cstheme="minorHAnsi"/>
          <w:bCs/>
          <w:szCs w:val="24"/>
        </w:rPr>
      </w:pPr>
      <w:r w:rsidRPr="007579E2">
        <w:rPr>
          <w:rFonts w:asciiTheme="minorHAnsi" w:hAnsiTheme="minorHAnsi" w:cstheme="minorHAnsi"/>
          <w:bCs/>
          <w:szCs w:val="24"/>
        </w:rPr>
        <w:t xml:space="preserve">The PBAC noted </w:t>
      </w:r>
      <w:r w:rsidR="00E21272" w:rsidRPr="007579E2">
        <w:rPr>
          <w:rFonts w:asciiTheme="minorHAnsi" w:hAnsiTheme="minorHAnsi" w:cstheme="minorHAnsi"/>
          <w:bCs/>
          <w:szCs w:val="24"/>
        </w:rPr>
        <w:t xml:space="preserve">that </w:t>
      </w:r>
      <w:r w:rsidRPr="007579E2">
        <w:rPr>
          <w:rFonts w:asciiTheme="minorHAnsi" w:hAnsiTheme="minorHAnsi" w:cstheme="minorHAnsi"/>
          <w:bCs/>
          <w:szCs w:val="24"/>
        </w:rPr>
        <w:t>with convergence of the RFS and OS curves the ICER was sensitive to the utility values</w:t>
      </w:r>
      <w:r w:rsidR="002D4593">
        <w:rPr>
          <w:rFonts w:asciiTheme="minorHAnsi" w:hAnsiTheme="minorHAnsi" w:cstheme="minorHAnsi"/>
          <w:bCs/>
          <w:szCs w:val="24"/>
        </w:rPr>
        <w:t>,</w:t>
      </w:r>
      <w:r w:rsidRPr="007579E2">
        <w:rPr>
          <w:rFonts w:asciiTheme="minorHAnsi" w:hAnsiTheme="minorHAnsi" w:cstheme="minorHAnsi"/>
          <w:bCs/>
          <w:szCs w:val="24"/>
        </w:rPr>
        <w:t xml:space="preserve"> and </w:t>
      </w:r>
      <w:r w:rsidR="00E21272" w:rsidRPr="007579E2">
        <w:rPr>
          <w:rFonts w:asciiTheme="minorHAnsi" w:hAnsiTheme="minorHAnsi" w:cstheme="minorHAnsi"/>
          <w:bCs/>
          <w:szCs w:val="24"/>
        </w:rPr>
        <w:t xml:space="preserve">that </w:t>
      </w:r>
      <w:r w:rsidRPr="007579E2">
        <w:rPr>
          <w:rFonts w:asciiTheme="minorHAnsi" w:hAnsiTheme="minorHAnsi" w:cstheme="minorHAnsi"/>
          <w:bCs/>
          <w:szCs w:val="24"/>
        </w:rPr>
        <w:t xml:space="preserve">the </w:t>
      </w:r>
      <w:r w:rsidR="002D4593">
        <w:rPr>
          <w:rFonts w:asciiTheme="minorHAnsi" w:hAnsiTheme="minorHAnsi" w:cstheme="minorHAnsi"/>
          <w:bCs/>
          <w:szCs w:val="24"/>
        </w:rPr>
        <w:t xml:space="preserve">small </w:t>
      </w:r>
      <w:r w:rsidR="00E21272" w:rsidRPr="007579E2">
        <w:rPr>
          <w:rFonts w:asciiTheme="minorHAnsi" w:hAnsiTheme="minorHAnsi" w:cstheme="minorHAnsi"/>
          <w:bCs/>
          <w:szCs w:val="24"/>
        </w:rPr>
        <w:t xml:space="preserve">utility </w:t>
      </w:r>
      <w:r w:rsidR="002D4593">
        <w:rPr>
          <w:rFonts w:asciiTheme="minorHAnsi" w:hAnsiTheme="minorHAnsi" w:cstheme="minorHAnsi"/>
          <w:bCs/>
          <w:szCs w:val="24"/>
        </w:rPr>
        <w:t xml:space="preserve">gains assumed for avoiding recurrence were likely underestimated in the model. The PBAC considered that it may be reasonable for the respecified scenario (as outlined in paragraph 7.15) to use utility values that better reflect the quality of life benefits of avoiding recurrence. </w:t>
      </w:r>
      <w:r w:rsidR="0060012D" w:rsidRPr="007579E2">
        <w:rPr>
          <w:rFonts w:asciiTheme="minorHAnsi" w:hAnsiTheme="minorHAnsi" w:cstheme="minorHAnsi"/>
          <w:bCs/>
          <w:szCs w:val="24"/>
        </w:rPr>
        <w:t xml:space="preserve"> </w:t>
      </w:r>
    </w:p>
    <w:p w:rsidR="0060012D" w:rsidRPr="007579E2" w:rsidRDefault="004233A7" w:rsidP="008905FD">
      <w:pPr>
        <w:widowControl/>
        <w:numPr>
          <w:ilvl w:val="1"/>
          <w:numId w:val="2"/>
        </w:numPr>
        <w:spacing w:before="120" w:after="120"/>
        <w:rPr>
          <w:rFonts w:asciiTheme="minorHAnsi" w:hAnsiTheme="minorHAnsi" w:cstheme="minorHAnsi"/>
          <w:bCs/>
          <w:szCs w:val="24"/>
        </w:rPr>
      </w:pPr>
      <w:r w:rsidRPr="007579E2">
        <w:rPr>
          <w:rFonts w:asciiTheme="minorHAnsi" w:hAnsiTheme="minorHAnsi" w:cstheme="minorHAnsi"/>
          <w:bCs/>
          <w:szCs w:val="24"/>
        </w:rPr>
        <w:t>The PBAC</w:t>
      </w:r>
      <w:r w:rsidR="004B5782" w:rsidRPr="007579E2">
        <w:rPr>
          <w:rFonts w:asciiTheme="minorHAnsi" w:hAnsiTheme="minorHAnsi" w:cstheme="minorHAnsi"/>
          <w:bCs/>
          <w:szCs w:val="24"/>
        </w:rPr>
        <w:t>,</w:t>
      </w:r>
      <w:r w:rsidRPr="007579E2">
        <w:rPr>
          <w:rFonts w:asciiTheme="minorHAnsi" w:hAnsiTheme="minorHAnsi" w:cstheme="minorHAnsi"/>
          <w:bCs/>
          <w:szCs w:val="24"/>
        </w:rPr>
        <w:t xml:space="preserve"> not</w:t>
      </w:r>
      <w:r w:rsidR="004B5782" w:rsidRPr="007579E2">
        <w:rPr>
          <w:rFonts w:asciiTheme="minorHAnsi" w:hAnsiTheme="minorHAnsi" w:cstheme="minorHAnsi"/>
          <w:bCs/>
          <w:szCs w:val="24"/>
        </w:rPr>
        <w:t>ing</w:t>
      </w:r>
      <w:r w:rsidRPr="007579E2">
        <w:rPr>
          <w:rFonts w:asciiTheme="minorHAnsi" w:hAnsiTheme="minorHAnsi" w:cstheme="minorHAnsi"/>
          <w:bCs/>
          <w:szCs w:val="24"/>
        </w:rPr>
        <w:t xml:space="preserve"> </w:t>
      </w:r>
      <w:r w:rsidR="0060012D" w:rsidRPr="007579E2">
        <w:rPr>
          <w:rFonts w:asciiTheme="minorHAnsi" w:hAnsiTheme="minorHAnsi" w:cstheme="minorHAnsi"/>
          <w:bCs/>
          <w:szCs w:val="24"/>
        </w:rPr>
        <w:t>the uncertainty with the available clinical data and that</w:t>
      </w:r>
      <w:r w:rsidRPr="007579E2">
        <w:rPr>
          <w:rFonts w:asciiTheme="minorHAnsi" w:hAnsiTheme="minorHAnsi" w:cstheme="minorHAnsi"/>
          <w:bCs/>
          <w:szCs w:val="24"/>
        </w:rPr>
        <w:t xml:space="preserve"> it had previously accepted more conservative ICERs for adjuvant treatment</w:t>
      </w:r>
      <w:r w:rsidR="0060012D" w:rsidRPr="007579E2">
        <w:rPr>
          <w:rFonts w:asciiTheme="minorHAnsi" w:hAnsiTheme="minorHAnsi" w:cstheme="minorHAnsi"/>
          <w:bCs/>
          <w:szCs w:val="24"/>
        </w:rPr>
        <w:t>s for</w:t>
      </w:r>
      <w:r w:rsidRPr="007579E2">
        <w:rPr>
          <w:rFonts w:asciiTheme="minorHAnsi" w:hAnsiTheme="minorHAnsi" w:cstheme="minorHAnsi"/>
          <w:bCs/>
          <w:szCs w:val="24"/>
        </w:rPr>
        <w:t xml:space="preserve"> early breast cancer</w:t>
      </w:r>
      <w:r w:rsidR="004B5782" w:rsidRPr="007579E2">
        <w:rPr>
          <w:rFonts w:asciiTheme="minorHAnsi" w:hAnsiTheme="minorHAnsi" w:cstheme="minorHAnsi"/>
          <w:bCs/>
          <w:szCs w:val="24"/>
        </w:rPr>
        <w:t xml:space="preserve">, </w:t>
      </w:r>
      <w:r w:rsidRPr="007579E2">
        <w:rPr>
          <w:rFonts w:asciiTheme="minorHAnsi" w:hAnsiTheme="minorHAnsi" w:cstheme="minorHAnsi"/>
          <w:bCs/>
          <w:szCs w:val="24"/>
        </w:rPr>
        <w:t xml:space="preserve">considered that a reasonable ICER for adjuvant melanoma therapy would be </w:t>
      </w:r>
      <w:r w:rsidR="006F24EA">
        <w:rPr>
          <w:rFonts w:asciiTheme="minorHAnsi" w:hAnsiTheme="minorHAnsi" w:cstheme="minorHAnsi"/>
          <w:bCs/>
          <w:szCs w:val="24"/>
        </w:rPr>
        <w:t xml:space="preserve">less than </w:t>
      </w:r>
      <w:r w:rsidR="00363EAC" w:rsidRPr="007579E2">
        <w:rPr>
          <w:rFonts w:asciiTheme="minorHAnsi" w:hAnsiTheme="minorHAnsi" w:cstheme="minorHAnsi"/>
          <w:bCs/>
          <w:szCs w:val="24"/>
        </w:rPr>
        <w:t>$</w:t>
      </w:r>
      <w:r w:rsidR="004036DC">
        <w:rPr>
          <w:rFonts w:asciiTheme="minorHAnsi" w:hAnsiTheme="minorHAnsi" w:cstheme="minorHAnsi"/>
          <w:bCs/>
          <w:szCs w:val="24"/>
        </w:rPr>
        <w:t>15,000 to $45,000</w:t>
      </w:r>
      <w:r w:rsidRPr="007579E2">
        <w:rPr>
          <w:rFonts w:asciiTheme="minorHAnsi" w:hAnsiTheme="minorHAnsi" w:cstheme="minorHAnsi"/>
          <w:bCs/>
          <w:szCs w:val="24"/>
        </w:rPr>
        <w:t xml:space="preserve"> per QALY.</w:t>
      </w:r>
      <w:r w:rsidR="0060012D" w:rsidRPr="007579E2">
        <w:rPr>
          <w:rFonts w:asciiTheme="minorHAnsi" w:hAnsiTheme="minorHAnsi" w:cstheme="minorHAnsi"/>
          <w:bCs/>
          <w:szCs w:val="24"/>
        </w:rPr>
        <w:t xml:space="preserve"> The PBAC </w:t>
      </w:r>
      <w:r w:rsidR="00602EAA">
        <w:rPr>
          <w:rFonts w:asciiTheme="minorHAnsi" w:hAnsiTheme="minorHAnsi" w:cstheme="minorHAnsi"/>
          <w:bCs/>
          <w:szCs w:val="24"/>
        </w:rPr>
        <w:t xml:space="preserve">also </w:t>
      </w:r>
      <w:r w:rsidR="0060012D" w:rsidRPr="007579E2">
        <w:rPr>
          <w:rFonts w:asciiTheme="minorHAnsi" w:hAnsiTheme="minorHAnsi" w:cstheme="minorHAnsi"/>
          <w:bCs/>
          <w:szCs w:val="24"/>
        </w:rPr>
        <w:t xml:space="preserve">noted </w:t>
      </w:r>
      <w:r w:rsidR="00B45810" w:rsidRPr="007579E2">
        <w:rPr>
          <w:rFonts w:asciiTheme="minorHAnsi" w:hAnsiTheme="minorHAnsi" w:cstheme="minorHAnsi"/>
          <w:bCs/>
          <w:szCs w:val="24"/>
        </w:rPr>
        <w:t xml:space="preserve">that </w:t>
      </w:r>
      <w:r w:rsidR="0060012D" w:rsidRPr="007579E2">
        <w:rPr>
          <w:rFonts w:asciiTheme="minorHAnsi" w:hAnsiTheme="minorHAnsi" w:cstheme="minorHAnsi"/>
          <w:bCs/>
          <w:szCs w:val="24"/>
        </w:rPr>
        <w:t xml:space="preserve">use of the published prices for </w:t>
      </w:r>
      <w:proofErr w:type="spellStart"/>
      <w:r w:rsidR="0060012D" w:rsidRPr="007579E2">
        <w:rPr>
          <w:rFonts w:asciiTheme="minorHAnsi" w:hAnsiTheme="minorHAnsi" w:cstheme="minorHAnsi"/>
          <w:bCs/>
          <w:szCs w:val="24"/>
        </w:rPr>
        <w:t>pembrolizumab</w:t>
      </w:r>
      <w:proofErr w:type="spellEnd"/>
      <w:r w:rsidR="0060012D" w:rsidRPr="007579E2">
        <w:rPr>
          <w:rFonts w:asciiTheme="minorHAnsi" w:hAnsiTheme="minorHAnsi" w:cstheme="minorHAnsi"/>
          <w:bCs/>
          <w:szCs w:val="24"/>
        </w:rPr>
        <w:t xml:space="preserve">, </w:t>
      </w:r>
      <w:proofErr w:type="spellStart"/>
      <w:r w:rsidR="0060012D" w:rsidRPr="007579E2">
        <w:rPr>
          <w:rFonts w:asciiTheme="minorHAnsi" w:hAnsiTheme="minorHAnsi" w:cstheme="minorHAnsi"/>
          <w:bCs/>
          <w:szCs w:val="24"/>
        </w:rPr>
        <w:t>nivolumab</w:t>
      </w:r>
      <w:proofErr w:type="spellEnd"/>
      <w:r w:rsidR="0060012D" w:rsidRPr="007579E2">
        <w:rPr>
          <w:rFonts w:asciiTheme="minorHAnsi" w:hAnsiTheme="minorHAnsi" w:cstheme="minorHAnsi"/>
          <w:bCs/>
          <w:szCs w:val="24"/>
        </w:rPr>
        <w:t xml:space="preserve"> and </w:t>
      </w:r>
      <w:proofErr w:type="spellStart"/>
      <w:r w:rsidR="0060012D" w:rsidRPr="007579E2">
        <w:rPr>
          <w:rFonts w:asciiTheme="minorHAnsi" w:hAnsiTheme="minorHAnsi" w:cstheme="minorHAnsi"/>
          <w:bCs/>
          <w:szCs w:val="24"/>
        </w:rPr>
        <w:t>ipilimumab</w:t>
      </w:r>
      <w:proofErr w:type="spellEnd"/>
      <w:r w:rsidR="0060012D" w:rsidRPr="007579E2">
        <w:rPr>
          <w:rFonts w:asciiTheme="minorHAnsi" w:hAnsiTheme="minorHAnsi" w:cstheme="minorHAnsi"/>
          <w:bCs/>
          <w:szCs w:val="24"/>
        </w:rPr>
        <w:t xml:space="preserve"> as </w:t>
      </w:r>
      <w:r w:rsidR="006F24EA">
        <w:rPr>
          <w:rFonts w:asciiTheme="minorHAnsi" w:hAnsiTheme="minorHAnsi" w:cstheme="minorHAnsi"/>
          <w:bCs/>
          <w:szCs w:val="24"/>
        </w:rPr>
        <w:t xml:space="preserve">subsequent </w:t>
      </w:r>
      <w:r w:rsidR="0060012D" w:rsidRPr="007579E2">
        <w:rPr>
          <w:rFonts w:asciiTheme="minorHAnsi" w:hAnsiTheme="minorHAnsi" w:cstheme="minorHAnsi"/>
          <w:bCs/>
          <w:szCs w:val="24"/>
        </w:rPr>
        <w:t xml:space="preserve">treatments for </w:t>
      </w:r>
      <w:proofErr w:type="spellStart"/>
      <w:r w:rsidR="00B45810" w:rsidRPr="007579E2">
        <w:rPr>
          <w:rFonts w:asciiTheme="minorHAnsi" w:hAnsiTheme="minorHAnsi" w:cstheme="minorHAnsi"/>
          <w:bCs/>
          <w:szCs w:val="24"/>
        </w:rPr>
        <w:t>unresectable</w:t>
      </w:r>
      <w:proofErr w:type="spellEnd"/>
      <w:r w:rsidR="00B45810" w:rsidRPr="007579E2">
        <w:rPr>
          <w:rFonts w:asciiTheme="minorHAnsi" w:hAnsiTheme="minorHAnsi" w:cstheme="minorHAnsi"/>
          <w:bCs/>
          <w:szCs w:val="24"/>
        </w:rPr>
        <w:t xml:space="preserve"> or metastatic</w:t>
      </w:r>
      <w:r w:rsidR="0060012D" w:rsidRPr="007579E2">
        <w:rPr>
          <w:rFonts w:asciiTheme="minorHAnsi" w:hAnsiTheme="minorHAnsi" w:cstheme="minorHAnsi"/>
          <w:bCs/>
          <w:szCs w:val="24"/>
        </w:rPr>
        <w:t xml:space="preserve"> disease </w:t>
      </w:r>
      <w:r w:rsidR="00A55BDE" w:rsidRPr="007579E2">
        <w:rPr>
          <w:rFonts w:asciiTheme="minorHAnsi" w:hAnsiTheme="minorHAnsi" w:cstheme="minorHAnsi"/>
          <w:bCs/>
          <w:szCs w:val="24"/>
        </w:rPr>
        <w:t xml:space="preserve">increased the ICER, and </w:t>
      </w:r>
      <w:r w:rsidR="00B45810" w:rsidRPr="007579E2">
        <w:rPr>
          <w:rFonts w:asciiTheme="minorHAnsi" w:hAnsiTheme="minorHAnsi" w:cstheme="minorHAnsi"/>
          <w:bCs/>
          <w:szCs w:val="24"/>
        </w:rPr>
        <w:t xml:space="preserve">advised </w:t>
      </w:r>
      <w:r w:rsidR="00A55BDE" w:rsidRPr="007579E2">
        <w:rPr>
          <w:rFonts w:asciiTheme="minorHAnsi" w:hAnsiTheme="minorHAnsi" w:cstheme="minorHAnsi"/>
          <w:bCs/>
          <w:szCs w:val="24"/>
        </w:rPr>
        <w:t>that this would be taken into account when considering any revised proposal from the sponsor.</w:t>
      </w:r>
      <w:r w:rsidR="0060012D" w:rsidRPr="007579E2">
        <w:rPr>
          <w:rFonts w:asciiTheme="minorHAnsi" w:hAnsiTheme="minorHAnsi" w:cstheme="minorHAnsi"/>
          <w:bCs/>
          <w:szCs w:val="24"/>
        </w:rPr>
        <w:t xml:space="preserve"> </w:t>
      </w:r>
    </w:p>
    <w:p w:rsidR="001B651F" w:rsidRPr="007579E2" w:rsidRDefault="00D85664" w:rsidP="008905FD">
      <w:pPr>
        <w:widowControl/>
        <w:numPr>
          <w:ilvl w:val="1"/>
          <w:numId w:val="2"/>
        </w:numPr>
        <w:spacing w:before="120" w:after="120"/>
        <w:rPr>
          <w:rFonts w:asciiTheme="minorHAnsi" w:hAnsiTheme="minorHAnsi"/>
          <w:bCs/>
        </w:rPr>
      </w:pPr>
      <w:r w:rsidRPr="007579E2" w:rsidDel="004233A7">
        <w:rPr>
          <w:rFonts w:asciiTheme="minorHAnsi" w:hAnsiTheme="minorHAnsi"/>
          <w:bCs/>
          <w:color w:val="984806" w:themeColor="accent6" w:themeShade="80"/>
          <w:sz w:val="20"/>
        </w:rPr>
        <w:t xml:space="preserve"> </w:t>
      </w:r>
      <w:r w:rsidRPr="007579E2">
        <w:rPr>
          <w:rFonts w:asciiTheme="minorHAnsi" w:hAnsiTheme="minorHAnsi"/>
          <w:bCs/>
          <w:szCs w:val="24"/>
        </w:rPr>
        <w:t xml:space="preserve">The PBAC considered that </w:t>
      </w:r>
      <w:r w:rsidR="001B651F" w:rsidRPr="007579E2">
        <w:rPr>
          <w:rFonts w:asciiTheme="minorHAnsi" w:hAnsiTheme="minorHAnsi"/>
          <w:bCs/>
          <w:szCs w:val="24"/>
        </w:rPr>
        <w:t xml:space="preserve">the estimated number of patients likely to be treated with </w:t>
      </w:r>
      <w:proofErr w:type="spellStart"/>
      <w:r w:rsidR="001B651F" w:rsidRPr="007579E2">
        <w:rPr>
          <w:rFonts w:asciiTheme="minorHAnsi" w:hAnsiTheme="minorHAnsi"/>
          <w:bCs/>
          <w:szCs w:val="24"/>
        </w:rPr>
        <w:t>dabrafenib+trametinib</w:t>
      </w:r>
      <w:proofErr w:type="spellEnd"/>
      <w:r w:rsidR="001B651F" w:rsidRPr="007579E2">
        <w:rPr>
          <w:rFonts w:asciiTheme="minorHAnsi" w:hAnsiTheme="minorHAnsi"/>
          <w:bCs/>
          <w:szCs w:val="24"/>
        </w:rPr>
        <w:t xml:space="preserve"> </w:t>
      </w:r>
      <w:r w:rsidRPr="007579E2">
        <w:rPr>
          <w:rFonts w:asciiTheme="minorHAnsi" w:hAnsiTheme="minorHAnsi"/>
          <w:bCs/>
          <w:szCs w:val="24"/>
        </w:rPr>
        <w:t>were uncertain</w:t>
      </w:r>
      <w:r w:rsidR="00D65F54">
        <w:rPr>
          <w:rFonts w:asciiTheme="minorHAnsi" w:hAnsiTheme="minorHAnsi"/>
          <w:bCs/>
          <w:szCs w:val="24"/>
        </w:rPr>
        <w:t>, and the following issues should be revised in a resubmission</w:t>
      </w:r>
      <w:r w:rsidR="001B651F" w:rsidRPr="007579E2">
        <w:rPr>
          <w:rFonts w:asciiTheme="minorHAnsi" w:hAnsiTheme="minorHAnsi"/>
          <w:bCs/>
          <w:szCs w:val="24"/>
        </w:rPr>
        <w:t>:</w:t>
      </w:r>
    </w:p>
    <w:p w:rsidR="001B651F" w:rsidRPr="007579E2" w:rsidRDefault="001B651F" w:rsidP="008905FD">
      <w:pPr>
        <w:widowControl/>
        <w:numPr>
          <w:ilvl w:val="1"/>
          <w:numId w:val="43"/>
        </w:numPr>
        <w:spacing w:before="120" w:after="120"/>
        <w:ind w:left="1077" w:hanging="357"/>
        <w:rPr>
          <w:rFonts w:asciiTheme="minorHAnsi" w:hAnsiTheme="minorHAnsi"/>
          <w:bCs/>
        </w:rPr>
      </w:pPr>
      <w:r w:rsidRPr="007579E2">
        <w:rPr>
          <w:rFonts w:asciiTheme="minorHAnsi" w:hAnsiTheme="minorHAnsi"/>
          <w:bCs/>
          <w:szCs w:val="24"/>
        </w:rPr>
        <w:lastRenderedPageBreak/>
        <w:t>The use of outdated data (</w:t>
      </w:r>
      <w:r w:rsidR="00B04FF8" w:rsidRPr="007579E2">
        <w:rPr>
          <w:rFonts w:asciiTheme="minorHAnsi" w:hAnsiTheme="minorHAnsi"/>
          <w:bCs/>
          <w:szCs w:val="24"/>
        </w:rPr>
        <w:t xml:space="preserve">from </w:t>
      </w:r>
      <w:r w:rsidRPr="007579E2">
        <w:rPr>
          <w:rFonts w:asciiTheme="minorHAnsi" w:hAnsiTheme="minorHAnsi"/>
          <w:bCs/>
          <w:szCs w:val="24"/>
        </w:rPr>
        <w:t>1959</w:t>
      </w:r>
      <w:r w:rsidR="00B04FF8" w:rsidRPr="007579E2">
        <w:rPr>
          <w:rFonts w:asciiTheme="minorHAnsi" w:hAnsiTheme="minorHAnsi"/>
          <w:bCs/>
          <w:szCs w:val="24"/>
        </w:rPr>
        <w:t xml:space="preserve"> to </w:t>
      </w:r>
      <w:r w:rsidRPr="007579E2">
        <w:rPr>
          <w:rFonts w:asciiTheme="minorHAnsi" w:hAnsiTheme="minorHAnsi"/>
          <w:bCs/>
          <w:szCs w:val="24"/>
        </w:rPr>
        <w:t>2002</w:t>
      </w:r>
      <w:r w:rsidR="00D656B5" w:rsidRPr="007579E2">
        <w:rPr>
          <w:rFonts w:asciiTheme="minorHAnsi" w:hAnsiTheme="minorHAnsi"/>
          <w:bCs/>
          <w:szCs w:val="24"/>
        </w:rPr>
        <w:t>,</w:t>
      </w:r>
      <w:r w:rsidR="00B04FF8" w:rsidRPr="007579E2">
        <w:rPr>
          <w:rFonts w:asciiTheme="minorHAnsi" w:hAnsiTheme="minorHAnsi"/>
          <w:bCs/>
          <w:szCs w:val="24"/>
        </w:rPr>
        <w:t xml:space="preserve"> and</w:t>
      </w:r>
      <w:r w:rsidR="00D656B5" w:rsidRPr="007579E2">
        <w:rPr>
          <w:rFonts w:asciiTheme="minorHAnsi" w:hAnsiTheme="minorHAnsi"/>
          <w:bCs/>
          <w:szCs w:val="24"/>
        </w:rPr>
        <w:t xml:space="preserve"> based on the 6</w:t>
      </w:r>
      <w:r w:rsidR="00D656B5" w:rsidRPr="007579E2">
        <w:rPr>
          <w:rFonts w:asciiTheme="minorHAnsi" w:hAnsiTheme="minorHAnsi"/>
          <w:bCs/>
          <w:szCs w:val="24"/>
          <w:vertAlign w:val="superscript"/>
        </w:rPr>
        <w:t>th</w:t>
      </w:r>
      <w:r w:rsidR="00D656B5" w:rsidRPr="007579E2">
        <w:rPr>
          <w:rFonts w:asciiTheme="minorHAnsi" w:hAnsiTheme="minorHAnsi"/>
          <w:bCs/>
          <w:szCs w:val="24"/>
        </w:rPr>
        <w:t xml:space="preserve"> edition of the AJCC staging system</w:t>
      </w:r>
      <w:r w:rsidRPr="007579E2">
        <w:rPr>
          <w:rFonts w:asciiTheme="minorHAnsi" w:hAnsiTheme="minorHAnsi"/>
          <w:bCs/>
          <w:szCs w:val="24"/>
        </w:rPr>
        <w:t>) to calculate the number of pati</w:t>
      </w:r>
      <w:r w:rsidR="00D85664" w:rsidRPr="007579E2">
        <w:rPr>
          <w:rFonts w:asciiTheme="minorHAnsi" w:hAnsiTheme="minorHAnsi"/>
          <w:bCs/>
          <w:szCs w:val="24"/>
        </w:rPr>
        <w:t>ents diagnosed with earlier stages of disease that would progress to Stage III disease</w:t>
      </w:r>
      <w:r w:rsidRPr="007579E2">
        <w:rPr>
          <w:rFonts w:asciiTheme="minorHAnsi" w:hAnsiTheme="minorHAnsi"/>
          <w:bCs/>
          <w:szCs w:val="24"/>
        </w:rPr>
        <w:t>;</w:t>
      </w:r>
    </w:p>
    <w:p w:rsidR="001B651F" w:rsidRPr="007579E2" w:rsidRDefault="001B651F" w:rsidP="008905FD">
      <w:pPr>
        <w:widowControl/>
        <w:numPr>
          <w:ilvl w:val="1"/>
          <w:numId w:val="43"/>
        </w:numPr>
        <w:spacing w:before="120" w:after="120"/>
        <w:ind w:left="1077" w:hanging="357"/>
        <w:rPr>
          <w:rFonts w:asciiTheme="minorHAnsi" w:hAnsiTheme="minorHAnsi"/>
          <w:bCs/>
        </w:rPr>
      </w:pPr>
      <w:proofErr w:type="gramStart"/>
      <w:r w:rsidRPr="007579E2">
        <w:rPr>
          <w:rFonts w:asciiTheme="minorHAnsi" w:hAnsiTheme="minorHAnsi"/>
          <w:bCs/>
          <w:szCs w:val="24"/>
        </w:rPr>
        <w:t>a</w:t>
      </w:r>
      <w:proofErr w:type="gramEnd"/>
      <w:r w:rsidRPr="007579E2">
        <w:rPr>
          <w:rFonts w:asciiTheme="minorHAnsi" w:hAnsiTheme="minorHAnsi"/>
          <w:bCs/>
          <w:szCs w:val="24"/>
        </w:rPr>
        <w:t xml:space="preserve"> high </w:t>
      </w:r>
      <w:r w:rsidR="00D85664" w:rsidRPr="007579E2">
        <w:rPr>
          <w:rFonts w:asciiTheme="minorHAnsi" w:hAnsiTheme="minorHAnsi"/>
          <w:bCs/>
          <w:szCs w:val="24"/>
        </w:rPr>
        <w:t xml:space="preserve">assumed uptake rate of </w:t>
      </w:r>
      <w:proofErr w:type="spellStart"/>
      <w:r w:rsidR="00D85664" w:rsidRPr="007579E2">
        <w:rPr>
          <w:rFonts w:asciiTheme="minorHAnsi" w:hAnsiTheme="minorHAnsi"/>
          <w:bCs/>
          <w:szCs w:val="24"/>
        </w:rPr>
        <w:t>dabrafenib</w:t>
      </w:r>
      <w:r w:rsidR="00187F06" w:rsidRPr="007579E2">
        <w:rPr>
          <w:rFonts w:asciiTheme="minorHAnsi" w:hAnsiTheme="minorHAnsi"/>
          <w:bCs/>
          <w:szCs w:val="24"/>
        </w:rPr>
        <w:t>+trametinib</w:t>
      </w:r>
      <w:proofErr w:type="spellEnd"/>
      <w:r w:rsidR="00D85664" w:rsidRPr="007579E2">
        <w:rPr>
          <w:rFonts w:asciiTheme="minorHAnsi" w:hAnsiTheme="minorHAnsi"/>
          <w:bCs/>
          <w:szCs w:val="24"/>
        </w:rPr>
        <w:t xml:space="preserve"> in the adjuvant setting </w:t>
      </w:r>
      <w:r w:rsidR="00E1729E" w:rsidRPr="00E1729E">
        <w:rPr>
          <w:rFonts w:asciiTheme="minorHAnsi" w:hAnsiTheme="minorHAnsi"/>
          <w:bCs/>
          <w:szCs w:val="24"/>
        </w:rPr>
        <w:t>(</w:t>
      </w:r>
      <w:r w:rsidR="0023686E">
        <w:rPr>
          <w:rFonts w:asciiTheme="minorHAnsi" w:hAnsiTheme="minorHAnsi"/>
          <w:bCs/>
          <w:noProof/>
          <w:color w:val="000000"/>
          <w:szCs w:val="24"/>
          <w:highlight w:val="black"/>
        </w:rPr>
        <w:t>'''''</w:t>
      </w:r>
      <w:r w:rsidR="00E1729E" w:rsidRPr="00E1729E">
        <w:rPr>
          <w:rFonts w:asciiTheme="minorHAnsi" w:hAnsiTheme="minorHAnsi"/>
          <w:bCs/>
          <w:szCs w:val="24"/>
        </w:rPr>
        <w:t xml:space="preserve">%); </w:t>
      </w:r>
      <w:r w:rsidRPr="007579E2">
        <w:rPr>
          <w:rFonts w:asciiTheme="minorHAnsi" w:hAnsiTheme="minorHAnsi"/>
          <w:bCs/>
          <w:szCs w:val="24"/>
        </w:rPr>
        <w:t xml:space="preserve"> </w:t>
      </w:r>
    </w:p>
    <w:p w:rsidR="001B651F" w:rsidRPr="007579E2" w:rsidRDefault="001B651F" w:rsidP="008905FD">
      <w:pPr>
        <w:widowControl/>
        <w:numPr>
          <w:ilvl w:val="1"/>
          <w:numId w:val="43"/>
        </w:numPr>
        <w:spacing w:before="120" w:after="120"/>
        <w:ind w:left="1077" w:hanging="357"/>
        <w:rPr>
          <w:rFonts w:asciiTheme="minorHAnsi" w:hAnsiTheme="minorHAnsi"/>
          <w:bCs/>
        </w:rPr>
      </w:pPr>
      <w:r w:rsidRPr="007579E2">
        <w:rPr>
          <w:rFonts w:asciiTheme="minorHAnsi" w:hAnsiTheme="minorHAnsi"/>
          <w:bCs/>
          <w:szCs w:val="24"/>
        </w:rPr>
        <w:t xml:space="preserve">the inclusion of patients with Stage IIIA disease; and </w:t>
      </w:r>
    </w:p>
    <w:p w:rsidR="00D85664" w:rsidRPr="007579E2" w:rsidRDefault="001B651F" w:rsidP="008905FD">
      <w:pPr>
        <w:widowControl/>
        <w:numPr>
          <w:ilvl w:val="1"/>
          <w:numId w:val="43"/>
        </w:numPr>
        <w:spacing w:before="120" w:after="120"/>
        <w:ind w:left="1077" w:hanging="357"/>
        <w:rPr>
          <w:rFonts w:asciiTheme="minorHAnsi" w:hAnsiTheme="minorHAnsi"/>
          <w:bCs/>
        </w:rPr>
      </w:pPr>
      <w:proofErr w:type="gramStart"/>
      <w:r w:rsidRPr="007579E2">
        <w:rPr>
          <w:rFonts w:asciiTheme="minorHAnsi" w:hAnsiTheme="minorHAnsi"/>
          <w:bCs/>
          <w:szCs w:val="24"/>
        </w:rPr>
        <w:t>the</w:t>
      </w:r>
      <w:proofErr w:type="gramEnd"/>
      <w:r w:rsidRPr="007579E2">
        <w:rPr>
          <w:rFonts w:asciiTheme="minorHAnsi" w:hAnsiTheme="minorHAnsi"/>
          <w:bCs/>
          <w:szCs w:val="24"/>
        </w:rPr>
        <w:t xml:space="preserve"> non-inclusion of grandfathered patients.</w:t>
      </w:r>
    </w:p>
    <w:p w:rsidR="00386938" w:rsidRPr="007579E2" w:rsidRDefault="00386938" w:rsidP="008905FD">
      <w:pPr>
        <w:widowControl/>
        <w:numPr>
          <w:ilvl w:val="1"/>
          <w:numId w:val="2"/>
        </w:numPr>
        <w:spacing w:before="120" w:after="120"/>
        <w:rPr>
          <w:rFonts w:asciiTheme="minorHAnsi" w:hAnsiTheme="minorHAnsi"/>
          <w:bCs/>
        </w:rPr>
      </w:pPr>
      <w:r w:rsidRPr="007579E2">
        <w:rPr>
          <w:rFonts w:asciiTheme="minorHAnsi" w:hAnsiTheme="minorHAnsi"/>
          <w:bCs/>
        </w:rPr>
        <w:t xml:space="preserve">The PBAC advised that the financial estimates should be updated to align with the </w:t>
      </w:r>
      <w:r w:rsidR="00602EAA">
        <w:rPr>
          <w:rFonts w:asciiTheme="minorHAnsi" w:hAnsiTheme="minorHAnsi"/>
          <w:bCs/>
        </w:rPr>
        <w:t>foreshadowed</w:t>
      </w:r>
      <w:r w:rsidRPr="007579E2">
        <w:rPr>
          <w:rFonts w:asciiTheme="minorHAnsi" w:hAnsiTheme="minorHAnsi"/>
          <w:bCs/>
        </w:rPr>
        <w:t xml:space="preserve"> changes to the restrictions, which </w:t>
      </w:r>
      <w:r w:rsidR="00EC00F0" w:rsidRPr="007579E2">
        <w:rPr>
          <w:rFonts w:asciiTheme="minorHAnsi" w:hAnsiTheme="minorHAnsi"/>
          <w:bCs/>
        </w:rPr>
        <w:t xml:space="preserve">would </w:t>
      </w:r>
      <w:r w:rsidR="00602EAA">
        <w:rPr>
          <w:rFonts w:asciiTheme="minorHAnsi" w:hAnsiTheme="minorHAnsi"/>
          <w:bCs/>
        </w:rPr>
        <w:t xml:space="preserve">exclude Stage IIIA patients, but </w:t>
      </w:r>
      <w:r w:rsidRPr="007579E2">
        <w:rPr>
          <w:rFonts w:asciiTheme="minorHAnsi" w:hAnsiTheme="minorHAnsi"/>
          <w:bCs/>
        </w:rPr>
        <w:t xml:space="preserve">allow retreatment with </w:t>
      </w:r>
      <w:proofErr w:type="spellStart"/>
      <w:r w:rsidRPr="007579E2">
        <w:rPr>
          <w:rFonts w:asciiTheme="minorHAnsi" w:hAnsiTheme="minorHAnsi"/>
          <w:bCs/>
        </w:rPr>
        <w:t>dabrafenib</w:t>
      </w:r>
      <w:r w:rsidRPr="007579E2">
        <w:rPr>
          <w:rFonts w:asciiTheme="minorHAnsi" w:hAnsiTheme="minorHAnsi" w:cstheme="minorHAnsi"/>
          <w:bCs/>
        </w:rPr>
        <w:t>±</w:t>
      </w:r>
      <w:r w:rsidRPr="007579E2">
        <w:rPr>
          <w:rFonts w:asciiTheme="minorHAnsi" w:hAnsiTheme="minorHAnsi"/>
          <w:bCs/>
        </w:rPr>
        <w:t>trametinib</w:t>
      </w:r>
      <w:proofErr w:type="spellEnd"/>
      <w:r w:rsidR="00EC00F0" w:rsidRPr="007579E2">
        <w:rPr>
          <w:rFonts w:asciiTheme="minorHAnsi" w:hAnsiTheme="minorHAnsi"/>
          <w:bCs/>
        </w:rPr>
        <w:t xml:space="preserve"> in the </w:t>
      </w:r>
      <w:proofErr w:type="spellStart"/>
      <w:r w:rsidR="00EC00F0" w:rsidRPr="007579E2">
        <w:rPr>
          <w:rFonts w:asciiTheme="minorHAnsi" w:hAnsiTheme="minorHAnsi"/>
          <w:bCs/>
        </w:rPr>
        <w:t>unresectable</w:t>
      </w:r>
      <w:proofErr w:type="spellEnd"/>
      <w:r w:rsidR="00EC00F0" w:rsidRPr="007579E2">
        <w:rPr>
          <w:rFonts w:asciiTheme="minorHAnsi" w:hAnsiTheme="minorHAnsi"/>
          <w:bCs/>
        </w:rPr>
        <w:t xml:space="preserve"> setting</w:t>
      </w:r>
      <w:r w:rsidRPr="007579E2">
        <w:rPr>
          <w:rFonts w:asciiTheme="minorHAnsi" w:hAnsiTheme="minorHAnsi"/>
          <w:bCs/>
        </w:rPr>
        <w:t xml:space="preserve">. </w:t>
      </w:r>
    </w:p>
    <w:p w:rsidR="00A9279A" w:rsidRPr="007579E2" w:rsidRDefault="00A9279A" w:rsidP="008905FD">
      <w:pPr>
        <w:widowControl/>
        <w:numPr>
          <w:ilvl w:val="1"/>
          <w:numId w:val="2"/>
        </w:numPr>
        <w:spacing w:before="120" w:after="120"/>
        <w:rPr>
          <w:rFonts w:asciiTheme="minorHAnsi" w:hAnsiTheme="minorHAnsi"/>
          <w:bCs/>
        </w:rPr>
      </w:pPr>
      <w:r w:rsidRPr="007579E2">
        <w:rPr>
          <w:rFonts w:asciiTheme="minorHAnsi" w:hAnsiTheme="minorHAnsi"/>
          <w:bCs/>
        </w:rPr>
        <w:t xml:space="preserve">The PBAC considered that in the context of the uncertain use across the adjuvant and </w:t>
      </w:r>
      <w:proofErr w:type="spellStart"/>
      <w:r w:rsidRPr="007579E2">
        <w:rPr>
          <w:rFonts w:asciiTheme="minorHAnsi" w:hAnsiTheme="minorHAnsi"/>
          <w:bCs/>
        </w:rPr>
        <w:t>unresectable</w:t>
      </w:r>
      <w:proofErr w:type="spellEnd"/>
      <w:r w:rsidRPr="007579E2">
        <w:rPr>
          <w:rFonts w:asciiTheme="minorHAnsi" w:hAnsiTheme="minorHAnsi"/>
          <w:bCs/>
        </w:rPr>
        <w:t xml:space="preserve"> or metastatic settings, a Risk Sharing Arrangement (RSA) would be appropriate. The PBAC considered that any RSA should also include the current </w:t>
      </w:r>
      <w:proofErr w:type="spellStart"/>
      <w:r w:rsidRPr="007579E2">
        <w:rPr>
          <w:rFonts w:asciiTheme="minorHAnsi" w:hAnsiTheme="minorHAnsi"/>
          <w:bCs/>
        </w:rPr>
        <w:t>unresectable</w:t>
      </w:r>
      <w:proofErr w:type="spellEnd"/>
      <w:r w:rsidRPr="007579E2">
        <w:rPr>
          <w:rFonts w:asciiTheme="minorHAnsi" w:hAnsiTheme="minorHAnsi"/>
          <w:bCs/>
        </w:rPr>
        <w:t xml:space="preserve"> setting and </w:t>
      </w:r>
      <w:r w:rsidRPr="00B203F7">
        <w:rPr>
          <w:rFonts w:asciiTheme="minorHAnsi" w:hAnsiTheme="minorHAnsi"/>
          <w:bCs/>
        </w:rPr>
        <w:t xml:space="preserve">include </w:t>
      </w:r>
      <w:r w:rsidR="00B203F7" w:rsidRPr="00B203F7">
        <w:rPr>
          <w:rFonts w:asciiTheme="minorHAnsi" w:hAnsiTheme="minorHAnsi"/>
          <w:bCs/>
        </w:rPr>
        <w:t>hard caps with 100% rebates</w:t>
      </w:r>
      <w:r w:rsidRPr="00B203F7">
        <w:rPr>
          <w:rFonts w:asciiTheme="minorHAnsi" w:hAnsiTheme="minorHAnsi"/>
          <w:bCs/>
        </w:rPr>
        <w:t>.</w:t>
      </w:r>
      <w:r w:rsidRPr="007579E2">
        <w:rPr>
          <w:rFonts w:asciiTheme="minorHAnsi" w:hAnsiTheme="minorHAnsi"/>
          <w:bCs/>
        </w:rPr>
        <w:t xml:space="preserve"> </w:t>
      </w:r>
    </w:p>
    <w:p w:rsidR="00A9279A" w:rsidRPr="007579E2" w:rsidRDefault="00A9279A" w:rsidP="008905FD">
      <w:pPr>
        <w:widowControl/>
        <w:numPr>
          <w:ilvl w:val="1"/>
          <w:numId w:val="2"/>
        </w:numPr>
        <w:spacing w:before="120" w:after="120"/>
        <w:rPr>
          <w:rFonts w:asciiTheme="minorHAnsi" w:hAnsiTheme="minorHAnsi"/>
          <w:bCs/>
        </w:rPr>
      </w:pPr>
      <w:r w:rsidRPr="007579E2">
        <w:rPr>
          <w:rFonts w:asciiTheme="minorHAnsi" w:hAnsiTheme="minorHAnsi"/>
          <w:bCs/>
        </w:rPr>
        <w:t>The PBAC advised that a minor submission could be used to provide updated restrictions, address the uncertainty in the ICER</w:t>
      </w:r>
      <w:r w:rsidR="00D65F54">
        <w:rPr>
          <w:rFonts w:asciiTheme="minorHAnsi" w:hAnsiTheme="minorHAnsi"/>
          <w:bCs/>
        </w:rPr>
        <w:t>,</w:t>
      </w:r>
      <w:r w:rsidRPr="007579E2">
        <w:rPr>
          <w:rFonts w:asciiTheme="minorHAnsi" w:hAnsiTheme="minorHAnsi"/>
          <w:bCs/>
        </w:rPr>
        <w:t xml:space="preserve"> provide </w:t>
      </w:r>
      <w:r w:rsidR="00D65F54">
        <w:rPr>
          <w:rFonts w:asciiTheme="minorHAnsi" w:hAnsiTheme="minorHAnsi"/>
          <w:bCs/>
        </w:rPr>
        <w:t xml:space="preserve">updated financial estimates and provide </w:t>
      </w:r>
      <w:r w:rsidRPr="007579E2">
        <w:rPr>
          <w:rFonts w:asciiTheme="minorHAnsi" w:hAnsiTheme="minorHAnsi"/>
          <w:bCs/>
        </w:rPr>
        <w:t>an RSA proposal.</w:t>
      </w:r>
    </w:p>
    <w:p w:rsidR="00B45EE3" w:rsidRPr="007579E2" w:rsidRDefault="00B45EE3" w:rsidP="008905FD">
      <w:pPr>
        <w:widowControl/>
        <w:spacing w:before="120" w:after="120"/>
        <w:rPr>
          <w:rFonts w:asciiTheme="minorHAnsi" w:hAnsiTheme="minorHAnsi"/>
          <w:b/>
          <w:bCs/>
        </w:rPr>
      </w:pPr>
      <w:r w:rsidRPr="007579E2">
        <w:rPr>
          <w:rFonts w:asciiTheme="minorHAnsi" w:hAnsiTheme="minorHAnsi"/>
          <w:b/>
          <w:bCs/>
        </w:rPr>
        <w:t>Outcome:</w:t>
      </w:r>
    </w:p>
    <w:p w:rsidR="00827D62" w:rsidRPr="007579E2" w:rsidRDefault="00827D62" w:rsidP="008905FD">
      <w:pPr>
        <w:widowControl/>
        <w:spacing w:before="120" w:after="120"/>
        <w:rPr>
          <w:rFonts w:asciiTheme="minorHAnsi" w:hAnsiTheme="minorHAnsi"/>
          <w:bCs/>
        </w:rPr>
      </w:pPr>
      <w:r w:rsidRPr="007579E2">
        <w:rPr>
          <w:rFonts w:asciiTheme="minorHAnsi" w:hAnsiTheme="minorHAnsi"/>
          <w:bCs/>
        </w:rPr>
        <w:t>Deferred</w:t>
      </w:r>
    </w:p>
    <w:p w:rsidR="00A1394D" w:rsidRPr="00A1394D" w:rsidRDefault="00967891" w:rsidP="008905FD">
      <w:pPr>
        <w:pStyle w:val="Heading1"/>
        <w:spacing w:before="120"/>
        <w:rPr>
          <w:rFonts w:asciiTheme="minorHAnsi" w:eastAsiaTheme="minorHAnsi" w:hAnsiTheme="minorHAnsi" w:cstheme="minorBidi"/>
          <w:snapToGrid/>
        </w:rPr>
      </w:pPr>
      <w:r w:rsidRPr="007579E2">
        <w:rPr>
          <w:rFonts w:asciiTheme="minorHAnsi" w:hAnsiTheme="minorHAnsi"/>
          <w:bCs/>
          <w:sz w:val="24"/>
          <w:szCs w:val="24"/>
        </w:rPr>
        <w:t xml:space="preserve"> </w:t>
      </w:r>
      <w:bookmarkEnd w:id="25"/>
      <w:bookmarkEnd w:id="26"/>
      <w:bookmarkEnd w:id="27"/>
      <w:bookmarkEnd w:id="28"/>
      <w:bookmarkEnd w:id="29"/>
      <w:r w:rsidR="00A1394D" w:rsidRPr="00A1394D">
        <w:t>Context for Decision</w:t>
      </w:r>
    </w:p>
    <w:p w:rsidR="00A1394D" w:rsidRPr="00A1394D" w:rsidRDefault="00A1394D" w:rsidP="008905FD">
      <w:pPr>
        <w:widowControl/>
        <w:spacing w:before="120" w:after="120"/>
        <w:ind w:left="426"/>
        <w:rPr>
          <w:rFonts w:asciiTheme="minorHAnsi" w:eastAsiaTheme="minorHAnsi" w:hAnsiTheme="minorHAnsi"/>
          <w:snapToGrid/>
        </w:rPr>
      </w:pPr>
      <w:r w:rsidRPr="00A1394D">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1394D" w:rsidRPr="00A1394D" w:rsidRDefault="00A1394D" w:rsidP="008905FD">
      <w:pPr>
        <w:pStyle w:val="Heading1"/>
        <w:spacing w:before="120"/>
      </w:pPr>
      <w:r w:rsidRPr="00A1394D">
        <w:t>Spon</w:t>
      </w:r>
      <w:bookmarkStart w:id="30" w:name="_GoBack"/>
      <w:bookmarkEnd w:id="30"/>
      <w:r w:rsidRPr="00A1394D">
        <w:t>sor’s Comment</w:t>
      </w:r>
    </w:p>
    <w:p w:rsidR="00B45EE3" w:rsidRPr="008905FD" w:rsidRDefault="00E1729E" w:rsidP="008905FD">
      <w:pPr>
        <w:widowControl/>
        <w:spacing w:before="120" w:after="120"/>
        <w:ind w:left="426"/>
        <w:rPr>
          <w:rFonts w:asciiTheme="minorHAnsi" w:eastAsiaTheme="minorHAnsi" w:hAnsiTheme="minorHAnsi"/>
          <w:bCs/>
          <w:snapToGrid/>
          <w:szCs w:val="24"/>
        </w:rPr>
      </w:pPr>
      <w:r w:rsidRPr="00E1729E">
        <w:rPr>
          <w:rFonts w:asciiTheme="minorHAnsi" w:eastAsiaTheme="minorHAnsi" w:hAnsiTheme="minorHAnsi"/>
          <w:bCs/>
          <w:snapToGrid/>
          <w:szCs w:val="24"/>
        </w:rPr>
        <w:t xml:space="preserve">Novartis are committed to working with the PBAC to achieve agreement on sustainable PBS listing conditions for </w:t>
      </w:r>
      <w:proofErr w:type="spellStart"/>
      <w:r w:rsidRPr="00E1729E">
        <w:rPr>
          <w:rFonts w:asciiTheme="minorHAnsi" w:eastAsiaTheme="minorHAnsi" w:hAnsiTheme="minorHAnsi"/>
          <w:bCs/>
          <w:snapToGrid/>
          <w:szCs w:val="24"/>
        </w:rPr>
        <w:t>dabrafenib</w:t>
      </w:r>
      <w:proofErr w:type="spellEnd"/>
      <w:r w:rsidRPr="00E1729E">
        <w:rPr>
          <w:rFonts w:asciiTheme="minorHAnsi" w:eastAsiaTheme="minorHAnsi" w:hAnsiTheme="minorHAnsi"/>
          <w:bCs/>
          <w:snapToGrid/>
          <w:szCs w:val="24"/>
        </w:rPr>
        <w:t xml:space="preserve"> and </w:t>
      </w:r>
      <w:proofErr w:type="spellStart"/>
      <w:r w:rsidRPr="00E1729E">
        <w:rPr>
          <w:rFonts w:asciiTheme="minorHAnsi" w:eastAsiaTheme="minorHAnsi" w:hAnsiTheme="minorHAnsi"/>
          <w:bCs/>
          <w:snapToGrid/>
          <w:szCs w:val="24"/>
        </w:rPr>
        <w:t>trametinib</w:t>
      </w:r>
      <w:proofErr w:type="spellEnd"/>
      <w:r w:rsidRPr="00E1729E">
        <w:rPr>
          <w:rFonts w:asciiTheme="minorHAnsi" w:eastAsiaTheme="minorHAnsi" w:hAnsiTheme="minorHAnsi"/>
          <w:bCs/>
          <w:snapToGrid/>
          <w:szCs w:val="24"/>
        </w:rPr>
        <w:t xml:space="preserve"> at the earliest opportunity.</w:t>
      </w:r>
    </w:p>
    <w:sectPr w:rsidR="00B45EE3" w:rsidRPr="008905FD" w:rsidSect="00E21358">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9FFC8E" w16cid:durableId="201CE22C"/>
  <w16cid:commentId w16cid:paraId="3A2B7C29" w16cid:durableId="201D9175"/>
  <w16cid:commentId w16cid:paraId="6D0DFA27" w16cid:durableId="201CE22D"/>
  <w16cid:commentId w16cid:paraId="3F060100" w16cid:durableId="201CE22E"/>
  <w16cid:commentId w16cid:paraId="680349EE" w16cid:durableId="201CE22F"/>
  <w16cid:commentId w16cid:paraId="7B7A3CBD" w16cid:durableId="201CE983"/>
  <w16cid:commentId w16cid:paraId="50B0E321" w16cid:durableId="201CE230"/>
  <w16cid:commentId w16cid:paraId="4E9C3E77" w16cid:durableId="201CE231"/>
  <w16cid:commentId w16cid:paraId="6EDF3966" w16cid:durableId="201CE9AE"/>
  <w16cid:commentId w16cid:paraId="13DB5B71" w16cid:durableId="201CEA23"/>
  <w16cid:commentId w16cid:paraId="093CB25D" w16cid:durableId="201CE232"/>
  <w16cid:commentId w16cid:paraId="00534C7D" w16cid:durableId="201CE233"/>
  <w16cid:commentId w16cid:paraId="617B273E" w16cid:durableId="201CE234"/>
  <w16cid:commentId w16cid:paraId="15E590DB" w16cid:durableId="201CEB08"/>
  <w16cid:commentId w16cid:paraId="033F602B" w16cid:durableId="201D92AD"/>
  <w16cid:commentId w16cid:paraId="1B1FCA4A" w16cid:durableId="201CE235"/>
  <w16cid:commentId w16cid:paraId="638C12C3" w16cid:durableId="201CE236"/>
  <w16cid:commentId w16cid:paraId="302EDEDC" w16cid:durableId="201CED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E01" w:rsidRDefault="00061E01" w:rsidP="00124A51">
      <w:r>
        <w:separator/>
      </w:r>
    </w:p>
    <w:p w:rsidR="00061E01" w:rsidRDefault="00061E01"/>
  </w:endnote>
  <w:endnote w:type="continuationSeparator" w:id="0">
    <w:p w:rsidR="00061E01" w:rsidRDefault="00061E01" w:rsidP="00124A51">
      <w:r>
        <w:continuationSeparator/>
      </w:r>
    </w:p>
    <w:p w:rsidR="00061E01" w:rsidRDefault="00061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E01" w:rsidRDefault="00061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893867"/>
      <w:docPartObj>
        <w:docPartGallery w:val="Page Numbers (Bottom of Page)"/>
        <w:docPartUnique/>
      </w:docPartObj>
    </w:sdtPr>
    <w:sdtEndPr>
      <w:rPr>
        <w:b/>
        <w:noProof/>
      </w:rPr>
    </w:sdtEndPr>
    <w:sdtContent>
      <w:p w:rsidR="00061E01" w:rsidRPr="00D60317" w:rsidRDefault="00061E01" w:rsidP="00D60317">
        <w:pPr>
          <w:pStyle w:val="Footer"/>
          <w:jc w:val="center"/>
          <w:rPr>
            <w:b/>
          </w:rPr>
        </w:pPr>
        <w:r w:rsidRPr="00D60317">
          <w:rPr>
            <w:b/>
          </w:rPr>
          <w:fldChar w:fldCharType="begin"/>
        </w:r>
        <w:r w:rsidRPr="00D60317">
          <w:rPr>
            <w:b/>
          </w:rPr>
          <w:instrText xml:space="preserve"> PAGE   \* MERGEFORMAT </w:instrText>
        </w:r>
        <w:r w:rsidRPr="00D60317">
          <w:rPr>
            <w:b/>
          </w:rPr>
          <w:fldChar w:fldCharType="separate"/>
        </w:r>
        <w:r w:rsidR="004E7383">
          <w:rPr>
            <w:b/>
            <w:noProof/>
          </w:rPr>
          <w:t>36</w:t>
        </w:r>
        <w:r w:rsidRPr="00D60317">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E01" w:rsidRDefault="00061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E01" w:rsidRDefault="00061E01" w:rsidP="00124A51">
      <w:r>
        <w:separator/>
      </w:r>
    </w:p>
  </w:footnote>
  <w:footnote w:type="continuationSeparator" w:id="0">
    <w:p w:rsidR="00061E01" w:rsidRDefault="00061E01" w:rsidP="00124A51">
      <w:r>
        <w:continuationSeparator/>
      </w:r>
    </w:p>
    <w:p w:rsidR="00061E01" w:rsidRDefault="00061E01"/>
  </w:footnote>
  <w:footnote w:id="1">
    <w:p w:rsidR="00061E01" w:rsidRDefault="00061E01">
      <w:pPr>
        <w:pStyle w:val="FootnoteText"/>
      </w:pPr>
      <w:r>
        <w:rPr>
          <w:rStyle w:val="FootnoteReference"/>
        </w:rPr>
        <w:footnoteRef/>
      </w:r>
      <w:r>
        <w:t xml:space="preserve"> </w:t>
      </w:r>
      <w:proofErr w:type="spellStart"/>
      <w:r>
        <w:t>Faries</w:t>
      </w:r>
      <w:proofErr w:type="spellEnd"/>
      <w:r>
        <w:t xml:space="preserve"> MB, Thompson JF, Cochran AJ, et al. Complete dissection or observation for sentinel-node metastasis in melanoma. N </w:t>
      </w:r>
      <w:proofErr w:type="spellStart"/>
      <w:r>
        <w:t>Engl</w:t>
      </w:r>
      <w:proofErr w:type="spellEnd"/>
      <w:r>
        <w:t xml:space="preserve"> J Med. 2017; 376: 2211-2222.</w:t>
      </w:r>
    </w:p>
  </w:footnote>
  <w:footnote w:id="2">
    <w:p w:rsidR="00061E01" w:rsidRDefault="00061E01">
      <w:pPr>
        <w:pStyle w:val="FootnoteText"/>
      </w:pPr>
      <w:r>
        <w:rPr>
          <w:rStyle w:val="FootnoteReference"/>
        </w:rPr>
        <w:footnoteRef/>
      </w:r>
      <w:r>
        <w:t xml:space="preserve"> </w:t>
      </w:r>
      <w:proofErr w:type="spellStart"/>
      <w:r>
        <w:t>Madu</w:t>
      </w:r>
      <w:proofErr w:type="spellEnd"/>
      <w:r>
        <w:t xml:space="preserve"> MF, Franke V, Bruin MM, et al. Immediate completion lymph node dissection in stage IIIA melanoma does not provide significant additional staging information beyond EORTC SN tumour biopsy criteria. </w:t>
      </w:r>
      <w:proofErr w:type="spellStart"/>
      <w:r>
        <w:t>Eur</w:t>
      </w:r>
      <w:proofErr w:type="spellEnd"/>
      <w:r>
        <w:t xml:space="preserve"> J Cancer. 2017; 87: 215-215.</w:t>
      </w:r>
    </w:p>
  </w:footnote>
  <w:footnote w:id="3">
    <w:p w:rsidR="00061E01" w:rsidRPr="00A8601E" w:rsidRDefault="00061E01" w:rsidP="00305C89">
      <w:pPr>
        <w:pStyle w:val="FootnoteText"/>
        <w:jc w:val="left"/>
      </w:pPr>
      <w:r w:rsidRPr="00A8601E">
        <w:rPr>
          <w:rStyle w:val="FootnoteReference"/>
        </w:rPr>
        <w:footnoteRef/>
      </w:r>
      <w:r w:rsidRPr="00A8601E">
        <w:t xml:space="preserve"> </w:t>
      </w:r>
      <w:proofErr w:type="spellStart"/>
      <w:r w:rsidRPr="00A8601E">
        <w:t>Carlino</w:t>
      </w:r>
      <w:proofErr w:type="spellEnd"/>
      <w:r w:rsidRPr="00A8601E">
        <w:t xml:space="preserve"> M, Atkinson V, et al. What is the role of adjuvant systemic therapy in patients with resected Stage II and Stage III melanoma? Sydney: Cancer Council Australia; 2018 [updated 6 August 2018]. </w:t>
      </w:r>
    </w:p>
  </w:footnote>
  <w:footnote w:id="4">
    <w:p w:rsidR="00061E01" w:rsidRPr="000E65EB" w:rsidRDefault="00061E01">
      <w:pPr>
        <w:pStyle w:val="FootnoteText"/>
      </w:pPr>
      <w:r w:rsidRPr="000E65EB">
        <w:rPr>
          <w:rStyle w:val="FootnoteReference"/>
        </w:rPr>
        <w:footnoteRef/>
      </w:r>
      <w:r w:rsidRPr="000E65EB">
        <w:t xml:space="preserve"> </w:t>
      </w:r>
      <w:proofErr w:type="spellStart"/>
      <w:r w:rsidRPr="000E65EB">
        <w:rPr>
          <w:rFonts w:asciiTheme="minorHAnsi" w:hAnsiTheme="minorHAnsi"/>
          <w:bCs/>
        </w:rPr>
        <w:t>Cherny</w:t>
      </w:r>
      <w:proofErr w:type="spellEnd"/>
      <w:r w:rsidRPr="000E65EB">
        <w:rPr>
          <w:rFonts w:asciiTheme="minorHAnsi" w:hAnsiTheme="minorHAnsi"/>
          <w:bCs/>
        </w:rPr>
        <w:t xml:space="preserve"> NI, Dafni U, </w:t>
      </w:r>
      <w:proofErr w:type="spellStart"/>
      <w:r w:rsidRPr="000E65EB">
        <w:rPr>
          <w:rFonts w:asciiTheme="minorHAnsi" w:hAnsiTheme="minorHAnsi"/>
          <w:bCs/>
        </w:rPr>
        <w:t>Bogaerts</w:t>
      </w:r>
      <w:proofErr w:type="spellEnd"/>
      <w:r w:rsidRPr="000E65EB">
        <w:rPr>
          <w:rFonts w:asciiTheme="minorHAnsi" w:hAnsiTheme="minorHAnsi"/>
          <w:bCs/>
        </w:rPr>
        <w:t xml:space="preserve"> J, et al: ESMO-Magnitude of Clinical Benefit Scale version 1.1. Annals of Oncology 28:2340-2366, 2017.</w:t>
      </w:r>
    </w:p>
  </w:footnote>
  <w:footnote w:id="5">
    <w:p w:rsidR="00061E01" w:rsidRPr="000E65EB" w:rsidRDefault="00061E01" w:rsidP="00C103D5">
      <w:pPr>
        <w:pStyle w:val="FootnoteText"/>
      </w:pPr>
      <w:r w:rsidRPr="000E65EB">
        <w:rPr>
          <w:rStyle w:val="FootnoteReference"/>
        </w:rPr>
        <w:footnoteRef/>
      </w:r>
      <w:r w:rsidRPr="000E65EB">
        <w:t xml:space="preserve"> </w:t>
      </w:r>
      <w:proofErr w:type="spellStart"/>
      <w:r w:rsidRPr="000E65EB">
        <w:t>Gershenwald</w:t>
      </w:r>
      <w:proofErr w:type="spellEnd"/>
      <w:r w:rsidRPr="000E65EB">
        <w:t xml:space="preserve"> JE, </w:t>
      </w:r>
      <w:proofErr w:type="spellStart"/>
      <w:r w:rsidRPr="000E65EB">
        <w:t>Scolyer</w:t>
      </w:r>
      <w:proofErr w:type="spellEnd"/>
      <w:r w:rsidRPr="000E65EB">
        <w:t xml:space="preserve"> RA, et al. Melanoma staging: Evidence-based changes in the American Joint Committee on Cancer eighth edition cancer staging manual. </w:t>
      </w:r>
      <w:r w:rsidRPr="000E65EB">
        <w:rPr>
          <w:i/>
        </w:rPr>
        <w:t>CA: A Cancer Journal for Clinicians</w:t>
      </w:r>
      <w:r w:rsidRPr="000E65EB">
        <w:t>. 2017; 67(6):472-92.</w:t>
      </w:r>
    </w:p>
  </w:footnote>
  <w:footnote w:id="6">
    <w:p w:rsidR="00061E01" w:rsidRPr="000E65EB" w:rsidRDefault="00061E01" w:rsidP="00543746">
      <w:pPr>
        <w:rPr>
          <w:rStyle w:val="FootnoteReference"/>
          <w:sz w:val="20"/>
          <w:szCs w:val="20"/>
          <w:vertAlign w:val="baseline"/>
        </w:rPr>
      </w:pPr>
      <w:r w:rsidRPr="000E65EB">
        <w:rPr>
          <w:rStyle w:val="FootnoteReference"/>
          <w:sz w:val="20"/>
          <w:szCs w:val="20"/>
        </w:rPr>
        <w:footnoteRef/>
      </w:r>
      <w:r w:rsidRPr="000E65EB">
        <w:rPr>
          <w:rStyle w:val="FootnoteReference"/>
          <w:sz w:val="20"/>
          <w:szCs w:val="20"/>
          <w:vertAlign w:val="baseline"/>
        </w:rPr>
        <w:t xml:space="preserve"> </w:t>
      </w:r>
      <w:proofErr w:type="spellStart"/>
      <w:r w:rsidRPr="000E65EB">
        <w:rPr>
          <w:rStyle w:val="FootnoteReference"/>
          <w:sz w:val="20"/>
          <w:szCs w:val="20"/>
          <w:vertAlign w:val="baseline"/>
        </w:rPr>
        <w:t>Hauschild</w:t>
      </w:r>
      <w:proofErr w:type="spellEnd"/>
      <w:r w:rsidRPr="000E65EB">
        <w:rPr>
          <w:rStyle w:val="FootnoteReference"/>
          <w:sz w:val="20"/>
          <w:szCs w:val="20"/>
          <w:vertAlign w:val="baseline"/>
        </w:rPr>
        <w:t xml:space="preserve"> A, </w:t>
      </w:r>
      <w:proofErr w:type="spellStart"/>
      <w:r w:rsidRPr="000E65EB">
        <w:rPr>
          <w:rStyle w:val="FootnoteReference"/>
          <w:sz w:val="20"/>
          <w:szCs w:val="20"/>
          <w:vertAlign w:val="baseline"/>
        </w:rPr>
        <w:t>Dummer</w:t>
      </w:r>
      <w:proofErr w:type="spellEnd"/>
      <w:r w:rsidRPr="000E65EB">
        <w:rPr>
          <w:rStyle w:val="FootnoteReference"/>
          <w:sz w:val="20"/>
          <w:szCs w:val="20"/>
          <w:vertAlign w:val="baseline"/>
        </w:rPr>
        <w:t xml:space="preserve"> R, et al. Longer Follow-Up Confirms Relapse-Free Survival Benefit With Adjuvant </w:t>
      </w:r>
      <w:proofErr w:type="spellStart"/>
      <w:r w:rsidRPr="000E65EB">
        <w:rPr>
          <w:rStyle w:val="FootnoteReference"/>
          <w:sz w:val="20"/>
          <w:szCs w:val="20"/>
          <w:vertAlign w:val="baseline"/>
        </w:rPr>
        <w:t>Dabrafenib</w:t>
      </w:r>
      <w:proofErr w:type="spellEnd"/>
      <w:r w:rsidRPr="000E65EB">
        <w:rPr>
          <w:rStyle w:val="FootnoteReference"/>
          <w:sz w:val="20"/>
          <w:szCs w:val="20"/>
          <w:vertAlign w:val="baseline"/>
        </w:rPr>
        <w:t xml:space="preserve"> Plus </w:t>
      </w:r>
      <w:proofErr w:type="spellStart"/>
      <w:r w:rsidRPr="000E65EB">
        <w:rPr>
          <w:rStyle w:val="FootnoteReference"/>
          <w:sz w:val="20"/>
          <w:szCs w:val="20"/>
          <w:vertAlign w:val="baseline"/>
        </w:rPr>
        <w:t>Trametinib</w:t>
      </w:r>
      <w:proofErr w:type="spellEnd"/>
      <w:r w:rsidRPr="000E65EB">
        <w:rPr>
          <w:rStyle w:val="FootnoteReference"/>
          <w:sz w:val="20"/>
          <w:szCs w:val="20"/>
          <w:vertAlign w:val="baseline"/>
        </w:rPr>
        <w:t xml:space="preserve"> in Patients With Resected BRAF V600-Mutant Stage III Melanoma. </w:t>
      </w:r>
      <w:r w:rsidRPr="000E65EB">
        <w:rPr>
          <w:rStyle w:val="FootnoteReference"/>
          <w:i/>
          <w:sz w:val="20"/>
          <w:szCs w:val="20"/>
          <w:vertAlign w:val="baseline"/>
        </w:rPr>
        <w:t xml:space="preserve">J </w:t>
      </w:r>
      <w:proofErr w:type="spellStart"/>
      <w:r w:rsidRPr="000E65EB">
        <w:rPr>
          <w:rStyle w:val="FootnoteReference"/>
          <w:i/>
          <w:sz w:val="20"/>
          <w:szCs w:val="20"/>
          <w:vertAlign w:val="baseline"/>
        </w:rPr>
        <w:t>Clin</w:t>
      </w:r>
      <w:proofErr w:type="spellEnd"/>
      <w:r w:rsidRPr="000E65EB">
        <w:rPr>
          <w:rStyle w:val="FootnoteReference"/>
          <w:i/>
          <w:sz w:val="20"/>
          <w:szCs w:val="20"/>
          <w:vertAlign w:val="baseline"/>
        </w:rPr>
        <w:t xml:space="preserve"> </w:t>
      </w:r>
      <w:proofErr w:type="spellStart"/>
      <w:r w:rsidRPr="000E65EB">
        <w:rPr>
          <w:rStyle w:val="FootnoteReference"/>
          <w:i/>
          <w:sz w:val="20"/>
          <w:szCs w:val="20"/>
          <w:vertAlign w:val="baseline"/>
        </w:rPr>
        <w:t>Oncol</w:t>
      </w:r>
      <w:proofErr w:type="spellEnd"/>
      <w:r w:rsidRPr="000E65EB">
        <w:rPr>
          <w:rStyle w:val="FootnoteReference"/>
          <w:sz w:val="20"/>
          <w:szCs w:val="20"/>
          <w:vertAlign w:val="baseline"/>
        </w:rPr>
        <w:t>. 2018:JCO1801219.</w:t>
      </w:r>
    </w:p>
    <w:p w:rsidR="00061E01" w:rsidRPr="00BE5F39" w:rsidRDefault="00061E01" w:rsidP="00543746">
      <w:pPr>
        <w:pStyle w:val="FootnoteText"/>
        <w:rPr>
          <w:sz w:val="16"/>
          <w:szCs w:val="16"/>
        </w:rPr>
      </w:pPr>
    </w:p>
  </w:footnote>
  <w:footnote w:id="7">
    <w:p w:rsidR="00061E01" w:rsidRPr="000E65EB" w:rsidRDefault="00061E01" w:rsidP="008204B6">
      <w:pPr>
        <w:pStyle w:val="FootnoteText"/>
      </w:pPr>
      <w:r w:rsidRPr="000E65EB">
        <w:rPr>
          <w:rStyle w:val="FootnoteReference"/>
        </w:rPr>
        <w:footnoteRef/>
      </w:r>
      <w:r w:rsidRPr="000E65EB">
        <w:t xml:space="preserve"> </w:t>
      </w:r>
      <w:proofErr w:type="spellStart"/>
      <w:r w:rsidRPr="000E65EB">
        <w:t>Manzano</w:t>
      </w:r>
      <w:proofErr w:type="spellEnd"/>
      <w:r w:rsidRPr="000E65EB">
        <w:t xml:space="preserve"> JL, </w:t>
      </w:r>
      <w:proofErr w:type="spellStart"/>
      <w:r w:rsidRPr="000E65EB">
        <w:t>Layos</w:t>
      </w:r>
      <w:proofErr w:type="spellEnd"/>
      <w:r w:rsidRPr="000E65EB">
        <w:t xml:space="preserve"> L, et al. Resistant mechanisms to BRAF inhibitors in melanoma. </w:t>
      </w:r>
      <w:r w:rsidRPr="000E65EB">
        <w:rPr>
          <w:i/>
          <w:iCs/>
        </w:rPr>
        <w:t xml:space="preserve">Ann </w:t>
      </w:r>
      <w:proofErr w:type="spellStart"/>
      <w:r w:rsidRPr="000E65EB">
        <w:rPr>
          <w:i/>
          <w:iCs/>
        </w:rPr>
        <w:t>Transl</w:t>
      </w:r>
      <w:proofErr w:type="spellEnd"/>
      <w:r w:rsidRPr="000E65EB">
        <w:rPr>
          <w:i/>
          <w:iCs/>
        </w:rPr>
        <w:t xml:space="preserve"> Med</w:t>
      </w:r>
      <w:r w:rsidRPr="000E65EB">
        <w:t>. 2016</w:t>
      </w:r>
      <w:proofErr w:type="gramStart"/>
      <w:r w:rsidRPr="000E65EB">
        <w:t>;4</w:t>
      </w:r>
      <w:proofErr w:type="gramEnd"/>
      <w:r w:rsidRPr="000E65EB">
        <w:t>(12):237.</w:t>
      </w:r>
    </w:p>
  </w:footnote>
  <w:footnote w:id="8">
    <w:p w:rsidR="00061E01" w:rsidRPr="00205D3C" w:rsidRDefault="00061E01" w:rsidP="006A651C">
      <w:pPr>
        <w:pStyle w:val="FootnoteText"/>
      </w:pPr>
      <w:r w:rsidRPr="00205D3C">
        <w:rPr>
          <w:rStyle w:val="FootnoteReference"/>
        </w:rPr>
        <w:footnoteRef/>
      </w:r>
      <w:r w:rsidRPr="00205D3C">
        <w:t xml:space="preserve"> </w:t>
      </w:r>
      <w:hyperlink r:id="rId1" w:history="1">
        <w:r w:rsidRPr="00205D3C">
          <w:rPr>
            <w:rStyle w:val="Hyperlink"/>
          </w:rPr>
          <w:t>https://www.aihw.gov.au/reports/cancer/cancer-in-australia-2017/contents/table-of-contents</w:t>
        </w:r>
      </w:hyperlink>
    </w:p>
  </w:footnote>
  <w:footnote w:id="9">
    <w:p w:rsidR="00061E01" w:rsidRPr="00205D3C" w:rsidRDefault="00061E01" w:rsidP="000F5F3B">
      <w:pPr>
        <w:pStyle w:val="FootnoteText"/>
      </w:pPr>
      <w:r w:rsidRPr="00205D3C">
        <w:rPr>
          <w:rStyle w:val="FootnoteReference"/>
        </w:rPr>
        <w:footnoteRef/>
      </w:r>
      <w:r w:rsidRPr="00205D3C">
        <w:t xml:space="preserve"> </w:t>
      </w:r>
      <w:proofErr w:type="spellStart"/>
      <w:r w:rsidRPr="00205D3C">
        <w:t>Francken</w:t>
      </w:r>
      <w:proofErr w:type="spellEnd"/>
      <w:r w:rsidRPr="00205D3C">
        <w:t xml:space="preserve"> AB, </w:t>
      </w:r>
      <w:proofErr w:type="spellStart"/>
      <w:r w:rsidRPr="00205D3C">
        <w:t>Accortt</w:t>
      </w:r>
      <w:proofErr w:type="spellEnd"/>
      <w:r w:rsidRPr="00205D3C">
        <w:t xml:space="preserve"> NA, Shaw HM, Colman MH, Wiener M, Soong SJ, et al. Follow-up schedules after treatment for malignant melanoma. </w:t>
      </w:r>
      <w:r w:rsidRPr="00205D3C">
        <w:rPr>
          <w:i/>
        </w:rPr>
        <w:t>Br J Surg</w:t>
      </w:r>
      <w:r w:rsidRPr="00205D3C">
        <w:t>. 2008</w:t>
      </w:r>
      <w:proofErr w:type="gramStart"/>
      <w:r w:rsidRPr="00205D3C">
        <w:t>;95</w:t>
      </w:r>
      <w:proofErr w:type="gramEnd"/>
      <w:r w:rsidRPr="00205D3C">
        <w:t>(11):1401-7.</w:t>
      </w:r>
    </w:p>
  </w:footnote>
  <w:footnote w:id="10">
    <w:p w:rsidR="00061E01" w:rsidRPr="00205D3C" w:rsidRDefault="00061E01" w:rsidP="000F5F3B">
      <w:pPr>
        <w:pStyle w:val="FootnoteText"/>
      </w:pPr>
      <w:r w:rsidRPr="00205D3C">
        <w:rPr>
          <w:rStyle w:val="FootnoteReference"/>
        </w:rPr>
        <w:footnoteRef/>
      </w:r>
      <w:r w:rsidRPr="00205D3C">
        <w:t xml:space="preserve"> </w:t>
      </w:r>
      <w:proofErr w:type="spellStart"/>
      <w:r w:rsidRPr="00205D3C">
        <w:t>Haydu</w:t>
      </w:r>
      <w:proofErr w:type="spellEnd"/>
      <w:r w:rsidRPr="00205D3C">
        <w:t xml:space="preserve"> LE, </w:t>
      </w:r>
      <w:proofErr w:type="spellStart"/>
      <w:r w:rsidRPr="00205D3C">
        <w:t>Scolyer</w:t>
      </w:r>
      <w:proofErr w:type="spellEnd"/>
      <w:r w:rsidRPr="00205D3C">
        <w:t xml:space="preserve"> RA, Lo S, Quinn MJ, Saw RPM, </w:t>
      </w:r>
      <w:proofErr w:type="gramStart"/>
      <w:r w:rsidRPr="00205D3C">
        <w:t>Shannon</w:t>
      </w:r>
      <w:proofErr w:type="gramEnd"/>
      <w:r w:rsidRPr="00205D3C">
        <w:t xml:space="preserve"> KF, et al. Conditional survival: an assessment of the prognosis of patients at time points after initial diagnosis and treatment of </w:t>
      </w:r>
      <w:proofErr w:type="spellStart"/>
      <w:r w:rsidRPr="00205D3C">
        <w:t>locoregional</w:t>
      </w:r>
      <w:proofErr w:type="spellEnd"/>
      <w:r w:rsidRPr="00205D3C">
        <w:t xml:space="preserve"> melanoma metastasis. </w:t>
      </w:r>
      <w:r w:rsidRPr="00205D3C">
        <w:rPr>
          <w:i/>
        </w:rPr>
        <w:t>Journal of Clinical Oncology</w:t>
      </w:r>
      <w:r w:rsidRPr="00205D3C">
        <w:t>. 2017</w:t>
      </w:r>
      <w:proofErr w:type="gramStart"/>
      <w:r w:rsidRPr="00205D3C">
        <w:t>;35</w:t>
      </w:r>
      <w:proofErr w:type="gramEnd"/>
      <w:r w:rsidRPr="00205D3C">
        <w:t>(15):1721-9.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E01" w:rsidRDefault="00061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E01" w:rsidRPr="00A1394D" w:rsidRDefault="00061E01" w:rsidP="00A1394D">
    <w:pPr>
      <w:widowControl/>
      <w:tabs>
        <w:tab w:val="center" w:pos="4513"/>
        <w:tab w:val="right" w:pos="9026"/>
      </w:tabs>
      <w:jc w:val="center"/>
      <w:rPr>
        <w:rFonts w:asciiTheme="minorHAnsi" w:eastAsiaTheme="minorHAnsi" w:hAnsiTheme="minorHAnsi" w:cstheme="minorHAnsi"/>
        <w:i/>
        <w:snapToGrid/>
        <w:color w:val="808080"/>
      </w:rPr>
    </w:pPr>
    <w:r w:rsidRPr="00A1394D">
      <w:rPr>
        <w:rFonts w:asciiTheme="minorHAnsi" w:eastAsiaTheme="minorHAnsi" w:hAnsiTheme="minorHAnsi" w:cstheme="minorHAnsi"/>
        <w:i/>
        <w:snapToGrid/>
        <w:color w:val="808080"/>
      </w:rPr>
      <w:t>Publ</w:t>
    </w:r>
    <w:r>
      <w:rPr>
        <w:rFonts w:asciiTheme="minorHAnsi" w:eastAsiaTheme="minorHAnsi" w:hAnsiTheme="minorHAnsi" w:cstheme="minorHAnsi"/>
        <w:i/>
        <w:snapToGrid/>
        <w:color w:val="808080"/>
      </w:rPr>
      <w:t>ic Summary Document – March 2019</w:t>
    </w:r>
    <w:r w:rsidRPr="00A1394D">
      <w:rPr>
        <w:rFonts w:asciiTheme="minorHAnsi" w:eastAsiaTheme="minorHAnsi" w:hAnsiTheme="minorHAnsi" w:cstheme="minorHAnsi"/>
        <w:i/>
        <w:snapToGrid/>
        <w:color w:val="808080"/>
      </w:rPr>
      <w:t xml:space="preserve"> PBAC Meeting</w:t>
    </w:r>
  </w:p>
  <w:p w:rsidR="00061E01" w:rsidRDefault="00061E0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E01" w:rsidRDefault="00061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AC0811"/>
    <w:multiLevelType w:val="hybridMultilevel"/>
    <w:tmpl w:val="8EC473F4"/>
    <w:lvl w:ilvl="0" w:tplc="538693EC">
      <w:start w:val="1"/>
      <w:numFmt w:val="decimal"/>
      <w:lvlText w:val="%1."/>
      <w:lvlJc w:val="left"/>
      <w:pPr>
        <w:tabs>
          <w:tab w:val="num" w:pos="720"/>
        </w:tabs>
        <w:ind w:left="720" w:hanging="360"/>
      </w:pPr>
      <w:rPr>
        <w:rFonts w:hint="default"/>
        <w:b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E1C85"/>
    <w:multiLevelType w:val="hybridMultilevel"/>
    <w:tmpl w:val="A20294EC"/>
    <w:lvl w:ilvl="0" w:tplc="C324F4FC">
      <w:start w:val="1"/>
      <w:numFmt w:val="bullet"/>
      <w:lvlText w:val=""/>
      <w:lvlJc w:val="left"/>
      <w:pPr>
        <w:ind w:left="720" w:hanging="360"/>
      </w:pPr>
      <w:rPr>
        <w:rFonts w:ascii="Symbol" w:hAnsi="Symbol" w:hint="default"/>
      </w:rPr>
    </w:lvl>
    <w:lvl w:ilvl="1" w:tplc="2E06E678">
      <w:start w:val="1"/>
      <w:numFmt w:val="bullet"/>
      <w:lvlText w:val="o"/>
      <w:lvlJc w:val="left"/>
      <w:pPr>
        <w:ind w:left="1361" w:hanging="281"/>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E362E5"/>
    <w:multiLevelType w:val="hybridMultilevel"/>
    <w:tmpl w:val="4F3C322C"/>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19116E6"/>
    <w:multiLevelType w:val="hybridMultilevel"/>
    <w:tmpl w:val="42E244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E37B1B"/>
    <w:multiLevelType w:val="hybridMultilevel"/>
    <w:tmpl w:val="FC7814D0"/>
    <w:lvl w:ilvl="0" w:tplc="CD3ACB84">
      <w:start w:val="1"/>
      <w:numFmt w:val="bullet"/>
      <w:lvlText w:val="•"/>
      <w:lvlJc w:val="left"/>
      <w:pPr>
        <w:tabs>
          <w:tab w:val="num" w:pos="720"/>
        </w:tabs>
        <w:ind w:left="720" w:hanging="360"/>
      </w:pPr>
      <w:rPr>
        <w:rFonts w:ascii="Times New Roman" w:hAnsi="Times New Roman" w:hint="default"/>
      </w:rPr>
    </w:lvl>
    <w:lvl w:ilvl="1" w:tplc="30BA95CA" w:tentative="1">
      <w:start w:val="1"/>
      <w:numFmt w:val="bullet"/>
      <w:lvlText w:val="•"/>
      <w:lvlJc w:val="left"/>
      <w:pPr>
        <w:tabs>
          <w:tab w:val="num" w:pos="1440"/>
        </w:tabs>
        <w:ind w:left="1440" w:hanging="360"/>
      </w:pPr>
      <w:rPr>
        <w:rFonts w:ascii="Times New Roman" w:hAnsi="Times New Roman" w:hint="default"/>
      </w:rPr>
    </w:lvl>
    <w:lvl w:ilvl="2" w:tplc="CF64A7BC" w:tentative="1">
      <w:start w:val="1"/>
      <w:numFmt w:val="bullet"/>
      <w:lvlText w:val="•"/>
      <w:lvlJc w:val="left"/>
      <w:pPr>
        <w:tabs>
          <w:tab w:val="num" w:pos="2160"/>
        </w:tabs>
        <w:ind w:left="2160" w:hanging="360"/>
      </w:pPr>
      <w:rPr>
        <w:rFonts w:ascii="Times New Roman" w:hAnsi="Times New Roman" w:hint="default"/>
      </w:rPr>
    </w:lvl>
    <w:lvl w:ilvl="3" w:tplc="49AEFD10" w:tentative="1">
      <w:start w:val="1"/>
      <w:numFmt w:val="bullet"/>
      <w:lvlText w:val="•"/>
      <w:lvlJc w:val="left"/>
      <w:pPr>
        <w:tabs>
          <w:tab w:val="num" w:pos="2880"/>
        </w:tabs>
        <w:ind w:left="2880" w:hanging="360"/>
      </w:pPr>
      <w:rPr>
        <w:rFonts w:ascii="Times New Roman" w:hAnsi="Times New Roman" w:hint="default"/>
      </w:rPr>
    </w:lvl>
    <w:lvl w:ilvl="4" w:tplc="0D90C162" w:tentative="1">
      <w:start w:val="1"/>
      <w:numFmt w:val="bullet"/>
      <w:lvlText w:val="•"/>
      <w:lvlJc w:val="left"/>
      <w:pPr>
        <w:tabs>
          <w:tab w:val="num" w:pos="3600"/>
        </w:tabs>
        <w:ind w:left="3600" w:hanging="360"/>
      </w:pPr>
      <w:rPr>
        <w:rFonts w:ascii="Times New Roman" w:hAnsi="Times New Roman" w:hint="default"/>
      </w:rPr>
    </w:lvl>
    <w:lvl w:ilvl="5" w:tplc="7C4CCE92" w:tentative="1">
      <w:start w:val="1"/>
      <w:numFmt w:val="bullet"/>
      <w:lvlText w:val="•"/>
      <w:lvlJc w:val="left"/>
      <w:pPr>
        <w:tabs>
          <w:tab w:val="num" w:pos="4320"/>
        </w:tabs>
        <w:ind w:left="4320" w:hanging="360"/>
      </w:pPr>
      <w:rPr>
        <w:rFonts w:ascii="Times New Roman" w:hAnsi="Times New Roman" w:hint="default"/>
      </w:rPr>
    </w:lvl>
    <w:lvl w:ilvl="6" w:tplc="477A7962" w:tentative="1">
      <w:start w:val="1"/>
      <w:numFmt w:val="bullet"/>
      <w:lvlText w:val="•"/>
      <w:lvlJc w:val="left"/>
      <w:pPr>
        <w:tabs>
          <w:tab w:val="num" w:pos="5040"/>
        </w:tabs>
        <w:ind w:left="5040" w:hanging="360"/>
      </w:pPr>
      <w:rPr>
        <w:rFonts w:ascii="Times New Roman" w:hAnsi="Times New Roman" w:hint="default"/>
      </w:rPr>
    </w:lvl>
    <w:lvl w:ilvl="7" w:tplc="FF24BD5C" w:tentative="1">
      <w:start w:val="1"/>
      <w:numFmt w:val="bullet"/>
      <w:lvlText w:val="•"/>
      <w:lvlJc w:val="left"/>
      <w:pPr>
        <w:tabs>
          <w:tab w:val="num" w:pos="5760"/>
        </w:tabs>
        <w:ind w:left="5760" w:hanging="360"/>
      </w:pPr>
      <w:rPr>
        <w:rFonts w:ascii="Times New Roman" w:hAnsi="Times New Roman" w:hint="default"/>
      </w:rPr>
    </w:lvl>
    <w:lvl w:ilvl="8" w:tplc="FBBACBF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F1A6C25"/>
    <w:multiLevelType w:val="hybridMultilevel"/>
    <w:tmpl w:val="292CD1E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1FA208F"/>
    <w:multiLevelType w:val="multilevel"/>
    <w:tmpl w:val="AEE40CE8"/>
    <w:styleLink w:val="Style1"/>
    <w:lvl w:ilvl="0">
      <w:start w:val="2"/>
      <w:numFmt w:val="upperLetter"/>
      <w:lvlText w:val="%1(i)."/>
      <w:lvlJc w:val="left"/>
      <w:pPr>
        <w:ind w:left="360" w:hanging="360"/>
      </w:pPr>
      <w:rPr>
        <w:rFonts w:ascii="Arial" w:hAnsi="Arial" w:hint="default"/>
        <w:b/>
        <w:sz w:val="22"/>
      </w:rPr>
    </w:lvl>
    <w:lvl w:ilvl="1">
      <w:start w:val="1"/>
      <w:numFmt w:val="decimal"/>
      <w:lvlText w:val="%1(i).%2."/>
      <w:lvlJc w:val="left"/>
      <w:pPr>
        <w:ind w:left="432" w:hanging="432"/>
      </w:pPr>
      <w:rPr>
        <w:rFonts w:ascii="Arial" w:hAnsi="Arial" w:hint="default"/>
        <w:b/>
        <w:sz w:val="22"/>
      </w:rPr>
    </w:lvl>
    <w:lvl w:ilvl="2">
      <w:start w:val="1"/>
      <w:numFmt w:val="decimal"/>
      <w:lvlText w:val="%1(i).%2.%3."/>
      <w:lvlJc w:val="left"/>
      <w:pPr>
        <w:ind w:left="504" w:hanging="504"/>
      </w:pPr>
      <w:rPr>
        <w:rFonts w:ascii="Arial" w:hAnsi="Arial" w:hint="default"/>
        <w:b/>
        <w:sz w:val="22"/>
      </w:rPr>
    </w:lvl>
    <w:lvl w:ilvl="3">
      <w:start w:val="1"/>
      <w:numFmt w:val="decimal"/>
      <w:lvlText w:val="%1(i).%2.%3.%4."/>
      <w:lvlJc w:val="left"/>
      <w:pPr>
        <w:ind w:left="648" w:hanging="648"/>
      </w:pPr>
      <w:rPr>
        <w:rFonts w:ascii="Arial" w:hAnsi="Arial" w:hint="default"/>
        <w:b/>
        <w:sz w:val="22"/>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233A232A"/>
    <w:multiLevelType w:val="multilevel"/>
    <w:tmpl w:val="CEF4083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AD1641"/>
    <w:multiLevelType w:val="hybridMultilevel"/>
    <w:tmpl w:val="F8EE8312"/>
    <w:lvl w:ilvl="0" w:tplc="D0EEC0AE">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92D4CF1"/>
    <w:multiLevelType w:val="hybridMultilevel"/>
    <w:tmpl w:val="1D3A8324"/>
    <w:lvl w:ilvl="0" w:tplc="6652BBC8">
      <w:start w:val="1"/>
      <w:numFmt w:val="bullet"/>
      <w:lvlText w:val="•"/>
      <w:lvlJc w:val="left"/>
      <w:pPr>
        <w:tabs>
          <w:tab w:val="num" w:pos="720"/>
        </w:tabs>
        <w:ind w:left="720" w:hanging="360"/>
      </w:pPr>
      <w:rPr>
        <w:rFonts w:ascii="Times New Roman" w:hAnsi="Times New Roman" w:hint="default"/>
      </w:rPr>
    </w:lvl>
    <w:lvl w:ilvl="1" w:tplc="808CD8C6" w:tentative="1">
      <w:start w:val="1"/>
      <w:numFmt w:val="bullet"/>
      <w:lvlText w:val="•"/>
      <w:lvlJc w:val="left"/>
      <w:pPr>
        <w:tabs>
          <w:tab w:val="num" w:pos="1440"/>
        </w:tabs>
        <w:ind w:left="1440" w:hanging="360"/>
      </w:pPr>
      <w:rPr>
        <w:rFonts w:ascii="Times New Roman" w:hAnsi="Times New Roman" w:hint="default"/>
      </w:rPr>
    </w:lvl>
    <w:lvl w:ilvl="2" w:tplc="BA6A02A4" w:tentative="1">
      <w:start w:val="1"/>
      <w:numFmt w:val="bullet"/>
      <w:lvlText w:val="•"/>
      <w:lvlJc w:val="left"/>
      <w:pPr>
        <w:tabs>
          <w:tab w:val="num" w:pos="2160"/>
        </w:tabs>
        <w:ind w:left="2160" w:hanging="360"/>
      </w:pPr>
      <w:rPr>
        <w:rFonts w:ascii="Times New Roman" w:hAnsi="Times New Roman" w:hint="default"/>
      </w:rPr>
    </w:lvl>
    <w:lvl w:ilvl="3" w:tplc="AC3ABE1C" w:tentative="1">
      <w:start w:val="1"/>
      <w:numFmt w:val="bullet"/>
      <w:lvlText w:val="•"/>
      <w:lvlJc w:val="left"/>
      <w:pPr>
        <w:tabs>
          <w:tab w:val="num" w:pos="2880"/>
        </w:tabs>
        <w:ind w:left="2880" w:hanging="360"/>
      </w:pPr>
      <w:rPr>
        <w:rFonts w:ascii="Times New Roman" w:hAnsi="Times New Roman" w:hint="default"/>
      </w:rPr>
    </w:lvl>
    <w:lvl w:ilvl="4" w:tplc="D03073C6" w:tentative="1">
      <w:start w:val="1"/>
      <w:numFmt w:val="bullet"/>
      <w:lvlText w:val="•"/>
      <w:lvlJc w:val="left"/>
      <w:pPr>
        <w:tabs>
          <w:tab w:val="num" w:pos="3600"/>
        </w:tabs>
        <w:ind w:left="3600" w:hanging="360"/>
      </w:pPr>
      <w:rPr>
        <w:rFonts w:ascii="Times New Roman" w:hAnsi="Times New Roman" w:hint="default"/>
      </w:rPr>
    </w:lvl>
    <w:lvl w:ilvl="5" w:tplc="02B2D1F2" w:tentative="1">
      <w:start w:val="1"/>
      <w:numFmt w:val="bullet"/>
      <w:lvlText w:val="•"/>
      <w:lvlJc w:val="left"/>
      <w:pPr>
        <w:tabs>
          <w:tab w:val="num" w:pos="4320"/>
        </w:tabs>
        <w:ind w:left="4320" w:hanging="360"/>
      </w:pPr>
      <w:rPr>
        <w:rFonts w:ascii="Times New Roman" w:hAnsi="Times New Roman" w:hint="default"/>
      </w:rPr>
    </w:lvl>
    <w:lvl w:ilvl="6" w:tplc="C0A2A62E" w:tentative="1">
      <w:start w:val="1"/>
      <w:numFmt w:val="bullet"/>
      <w:lvlText w:val="•"/>
      <w:lvlJc w:val="left"/>
      <w:pPr>
        <w:tabs>
          <w:tab w:val="num" w:pos="5040"/>
        </w:tabs>
        <w:ind w:left="5040" w:hanging="360"/>
      </w:pPr>
      <w:rPr>
        <w:rFonts w:ascii="Times New Roman" w:hAnsi="Times New Roman" w:hint="default"/>
      </w:rPr>
    </w:lvl>
    <w:lvl w:ilvl="7" w:tplc="C0E49034" w:tentative="1">
      <w:start w:val="1"/>
      <w:numFmt w:val="bullet"/>
      <w:lvlText w:val="•"/>
      <w:lvlJc w:val="left"/>
      <w:pPr>
        <w:tabs>
          <w:tab w:val="num" w:pos="5760"/>
        </w:tabs>
        <w:ind w:left="5760" w:hanging="360"/>
      </w:pPr>
      <w:rPr>
        <w:rFonts w:ascii="Times New Roman" w:hAnsi="Times New Roman" w:hint="default"/>
      </w:rPr>
    </w:lvl>
    <w:lvl w:ilvl="8" w:tplc="A66880B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CBC5423"/>
    <w:multiLevelType w:val="hybridMultilevel"/>
    <w:tmpl w:val="09D8F81E"/>
    <w:lvl w:ilvl="0" w:tplc="43CC6612">
      <w:start w:val="1"/>
      <w:numFmt w:val="bullet"/>
      <w:lvlText w:val="–"/>
      <w:lvlJc w:val="left"/>
      <w:pPr>
        <w:tabs>
          <w:tab w:val="num" w:pos="720"/>
        </w:tabs>
        <w:ind w:left="720" w:hanging="360"/>
      </w:pPr>
      <w:rPr>
        <w:rFonts w:ascii="Times New Roman" w:hAnsi="Times New Roman" w:hint="default"/>
      </w:rPr>
    </w:lvl>
    <w:lvl w:ilvl="1" w:tplc="592A1906">
      <w:start w:val="1"/>
      <w:numFmt w:val="bullet"/>
      <w:lvlText w:val="–"/>
      <w:lvlJc w:val="left"/>
      <w:pPr>
        <w:tabs>
          <w:tab w:val="num" w:pos="1440"/>
        </w:tabs>
        <w:ind w:left="1440" w:hanging="360"/>
      </w:pPr>
      <w:rPr>
        <w:rFonts w:ascii="Times New Roman" w:hAnsi="Times New Roman" w:hint="default"/>
      </w:rPr>
    </w:lvl>
    <w:lvl w:ilvl="2" w:tplc="54AA78D0" w:tentative="1">
      <w:start w:val="1"/>
      <w:numFmt w:val="bullet"/>
      <w:lvlText w:val="–"/>
      <w:lvlJc w:val="left"/>
      <w:pPr>
        <w:tabs>
          <w:tab w:val="num" w:pos="2160"/>
        </w:tabs>
        <w:ind w:left="2160" w:hanging="360"/>
      </w:pPr>
      <w:rPr>
        <w:rFonts w:ascii="Times New Roman" w:hAnsi="Times New Roman" w:hint="default"/>
      </w:rPr>
    </w:lvl>
    <w:lvl w:ilvl="3" w:tplc="2BD4C81E" w:tentative="1">
      <w:start w:val="1"/>
      <w:numFmt w:val="bullet"/>
      <w:lvlText w:val="–"/>
      <w:lvlJc w:val="left"/>
      <w:pPr>
        <w:tabs>
          <w:tab w:val="num" w:pos="2880"/>
        </w:tabs>
        <w:ind w:left="2880" w:hanging="360"/>
      </w:pPr>
      <w:rPr>
        <w:rFonts w:ascii="Times New Roman" w:hAnsi="Times New Roman" w:hint="default"/>
      </w:rPr>
    </w:lvl>
    <w:lvl w:ilvl="4" w:tplc="C39245FA" w:tentative="1">
      <w:start w:val="1"/>
      <w:numFmt w:val="bullet"/>
      <w:lvlText w:val="–"/>
      <w:lvlJc w:val="left"/>
      <w:pPr>
        <w:tabs>
          <w:tab w:val="num" w:pos="3600"/>
        </w:tabs>
        <w:ind w:left="3600" w:hanging="360"/>
      </w:pPr>
      <w:rPr>
        <w:rFonts w:ascii="Times New Roman" w:hAnsi="Times New Roman" w:hint="default"/>
      </w:rPr>
    </w:lvl>
    <w:lvl w:ilvl="5" w:tplc="17A2FCBA" w:tentative="1">
      <w:start w:val="1"/>
      <w:numFmt w:val="bullet"/>
      <w:lvlText w:val="–"/>
      <w:lvlJc w:val="left"/>
      <w:pPr>
        <w:tabs>
          <w:tab w:val="num" w:pos="4320"/>
        </w:tabs>
        <w:ind w:left="4320" w:hanging="360"/>
      </w:pPr>
      <w:rPr>
        <w:rFonts w:ascii="Times New Roman" w:hAnsi="Times New Roman" w:hint="default"/>
      </w:rPr>
    </w:lvl>
    <w:lvl w:ilvl="6" w:tplc="F2B48EDE" w:tentative="1">
      <w:start w:val="1"/>
      <w:numFmt w:val="bullet"/>
      <w:lvlText w:val="–"/>
      <w:lvlJc w:val="left"/>
      <w:pPr>
        <w:tabs>
          <w:tab w:val="num" w:pos="5040"/>
        </w:tabs>
        <w:ind w:left="5040" w:hanging="360"/>
      </w:pPr>
      <w:rPr>
        <w:rFonts w:ascii="Times New Roman" w:hAnsi="Times New Roman" w:hint="default"/>
      </w:rPr>
    </w:lvl>
    <w:lvl w:ilvl="7" w:tplc="3CD40208" w:tentative="1">
      <w:start w:val="1"/>
      <w:numFmt w:val="bullet"/>
      <w:lvlText w:val="–"/>
      <w:lvlJc w:val="left"/>
      <w:pPr>
        <w:tabs>
          <w:tab w:val="num" w:pos="5760"/>
        </w:tabs>
        <w:ind w:left="5760" w:hanging="360"/>
      </w:pPr>
      <w:rPr>
        <w:rFonts w:ascii="Times New Roman" w:hAnsi="Times New Roman" w:hint="default"/>
      </w:rPr>
    </w:lvl>
    <w:lvl w:ilvl="8" w:tplc="3408A33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E037578"/>
    <w:multiLevelType w:val="multilevel"/>
    <w:tmpl w:val="807A31A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D4761F"/>
    <w:multiLevelType w:val="hybridMultilevel"/>
    <w:tmpl w:val="C442A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5C0F54"/>
    <w:multiLevelType w:val="hybridMultilevel"/>
    <w:tmpl w:val="862A88F0"/>
    <w:lvl w:ilvl="0" w:tplc="42E01100">
      <w:start w:val="9"/>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E1BD0"/>
    <w:multiLevelType w:val="hybridMultilevel"/>
    <w:tmpl w:val="4992CE18"/>
    <w:lvl w:ilvl="0" w:tplc="15D856A8">
      <w:start w:val="1"/>
      <w:numFmt w:val="bullet"/>
      <w:lvlText w:val="•"/>
      <w:lvlJc w:val="left"/>
      <w:pPr>
        <w:tabs>
          <w:tab w:val="num" w:pos="720"/>
        </w:tabs>
        <w:ind w:left="720" w:hanging="360"/>
      </w:pPr>
      <w:rPr>
        <w:rFonts w:ascii="Times New Roman" w:hAnsi="Times New Roman" w:hint="default"/>
      </w:rPr>
    </w:lvl>
    <w:lvl w:ilvl="1" w:tplc="BF606C8A">
      <w:start w:val="142"/>
      <w:numFmt w:val="bullet"/>
      <w:lvlText w:val="–"/>
      <w:lvlJc w:val="left"/>
      <w:pPr>
        <w:tabs>
          <w:tab w:val="num" w:pos="1440"/>
        </w:tabs>
        <w:ind w:left="1440" w:hanging="360"/>
      </w:pPr>
      <w:rPr>
        <w:rFonts w:ascii="Times New Roman" w:hAnsi="Times New Roman" w:hint="default"/>
      </w:rPr>
    </w:lvl>
    <w:lvl w:ilvl="2" w:tplc="6D2A49AC" w:tentative="1">
      <w:start w:val="1"/>
      <w:numFmt w:val="bullet"/>
      <w:lvlText w:val="•"/>
      <w:lvlJc w:val="left"/>
      <w:pPr>
        <w:tabs>
          <w:tab w:val="num" w:pos="2160"/>
        </w:tabs>
        <w:ind w:left="2160" w:hanging="360"/>
      </w:pPr>
      <w:rPr>
        <w:rFonts w:ascii="Times New Roman" w:hAnsi="Times New Roman" w:hint="default"/>
      </w:rPr>
    </w:lvl>
    <w:lvl w:ilvl="3" w:tplc="B52E4B04" w:tentative="1">
      <w:start w:val="1"/>
      <w:numFmt w:val="bullet"/>
      <w:lvlText w:val="•"/>
      <w:lvlJc w:val="left"/>
      <w:pPr>
        <w:tabs>
          <w:tab w:val="num" w:pos="2880"/>
        </w:tabs>
        <w:ind w:left="2880" w:hanging="360"/>
      </w:pPr>
      <w:rPr>
        <w:rFonts w:ascii="Times New Roman" w:hAnsi="Times New Roman" w:hint="default"/>
      </w:rPr>
    </w:lvl>
    <w:lvl w:ilvl="4" w:tplc="2C563BBE" w:tentative="1">
      <w:start w:val="1"/>
      <w:numFmt w:val="bullet"/>
      <w:lvlText w:val="•"/>
      <w:lvlJc w:val="left"/>
      <w:pPr>
        <w:tabs>
          <w:tab w:val="num" w:pos="3600"/>
        </w:tabs>
        <w:ind w:left="3600" w:hanging="360"/>
      </w:pPr>
      <w:rPr>
        <w:rFonts w:ascii="Times New Roman" w:hAnsi="Times New Roman" w:hint="default"/>
      </w:rPr>
    </w:lvl>
    <w:lvl w:ilvl="5" w:tplc="5808BAA0" w:tentative="1">
      <w:start w:val="1"/>
      <w:numFmt w:val="bullet"/>
      <w:lvlText w:val="•"/>
      <w:lvlJc w:val="left"/>
      <w:pPr>
        <w:tabs>
          <w:tab w:val="num" w:pos="4320"/>
        </w:tabs>
        <w:ind w:left="4320" w:hanging="360"/>
      </w:pPr>
      <w:rPr>
        <w:rFonts w:ascii="Times New Roman" w:hAnsi="Times New Roman" w:hint="default"/>
      </w:rPr>
    </w:lvl>
    <w:lvl w:ilvl="6" w:tplc="FD426452" w:tentative="1">
      <w:start w:val="1"/>
      <w:numFmt w:val="bullet"/>
      <w:lvlText w:val="•"/>
      <w:lvlJc w:val="left"/>
      <w:pPr>
        <w:tabs>
          <w:tab w:val="num" w:pos="5040"/>
        </w:tabs>
        <w:ind w:left="5040" w:hanging="360"/>
      </w:pPr>
      <w:rPr>
        <w:rFonts w:ascii="Times New Roman" w:hAnsi="Times New Roman" w:hint="default"/>
      </w:rPr>
    </w:lvl>
    <w:lvl w:ilvl="7" w:tplc="11A07AD6" w:tentative="1">
      <w:start w:val="1"/>
      <w:numFmt w:val="bullet"/>
      <w:lvlText w:val="•"/>
      <w:lvlJc w:val="left"/>
      <w:pPr>
        <w:tabs>
          <w:tab w:val="num" w:pos="5760"/>
        </w:tabs>
        <w:ind w:left="5760" w:hanging="360"/>
      </w:pPr>
      <w:rPr>
        <w:rFonts w:ascii="Times New Roman" w:hAnsi="Times New Roman" w:hint="default"/>
      </w:rPr>
    </w:lvl>
    <w:lvl w:ilvl="8" w:tplc="CA4E9EC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1447FB2"/>
    <w:multiLevelType w:val="hybridMultilevel"/>
    <w:tmpl w:val="2F5C5160"/>
    <w:lvl w:ilvl="0" w:tplc="C324F4F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2A50391"/>
    <w:multiLevelType w:val="hybridMultilevel"/>
    <w:tmpl w:val="6700D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442297"/>
    <w:multiLevelType w:val="hybridMultilevel"/>
    <w:tmpl w:val="CCBAACA2"/>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65D37"/>
    <w:multiLevelType w:val="hybridMultilevel"/>
    <w:tmpl w:val="E9B6815C"/>
    <w:lvl w:ilvl="0" w:tplc="DEEEEFF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8F0597"/>
    <w:multiLevelType w:val="hybridMultilevel"/>
    <w:tmpl w:val="4FC00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F51AC4"/>
    <w:multiLevelType w:val="hybridMultilevel"/>
    <w:tmpl w:val="9084A22A"/>
    <w:lvl w:ilvl="0" w:tplc="8E24727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B8533A"/>
    <w:multiLevelType w:val="hybridMultilevel"/>
    <w:tmpl w:val="3F5AD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C7327B"/>
    <w:multiLevelType w:val="hybridMultilevel"/>
    <w:tmpl w:val="C25E3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5213DB"/>
    <w:multiLevelType w:val="hybridMultilevel"/>
    <w:tmpl w:val="F782C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7036E5"/>
    <w:multiLevelType w:val="hybridMultilevel"/>
    <w:tmpl w:val="9558C0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9B171FE"/>
    <w:multiLevelType w:val="hybridMultilevel"/>
    <w:tmpl w:val="DB8C2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4523CDB"/>
    <w:multiLevelType w:val="multilevel"/>
    <w:tmpl w:val="CEF4083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4D033C"/>
    <w:multiLevelType w:val="multilevel"/>
    <w:tmpl w:val="3E06EE3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DD5323"/>
    <w:multiLevelType w:val="hybridMultilevel"/>
    <w:tmpl w:val="2AFA24DA"/>
    <w:lvl w:ilvl="0" w:tplc="4CE8CDB8">
      <w:start w:val="1"/>
      <w:numFmt w:val="bullet"/>
      <w:pStyle w:val="Bullets"/>
      <w:lvlText w:val=""/>
      <w:lvlJc w:val="left"/>
      <w:pPr>
        <w:ind w:left="720" w:hanging="360"/>
      </w:pPr>
      <w:rPr>
        <w:rFonts w:ascii="Symbol" w:hAnsi="Symbol" w:hint="default"/>
      </w:rPr>
    </w:lvl>
    <w:lvl w:ilvl="1" w:tplc="0C090003">
      <w:start w:val="1"/>
      <w:numFmt w:val="bullet"/>
      <w:pStyle w:val="Bullets-2ndlvl"/>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684601"/>
    <w:multiLevelType w:val="multilevel"/>
    <w:tmpl w:val="9AAA087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33"/>
  </w:num>
  <w:num w:numId="3">
    <w:abstractNumId w:val="21"/>
  </w:num>
  <w:num w:numId="4">
    <w:abstractNumId w:val="2"/>
  </w:num>
  <w:num w:numId="5">
    <w:abstractNumId w:val="35"/>
  </w:num>
  <w:num w:numId="6">
    <w:abstractNumId w:val="1"/>
  </w:num>
  <w:num w:numId="7">
    <w:abstractNumId w:val="15"/>
  </w:num>
  <w:num w:numId="8">
    <w:abstractNumId w:val="34"/>
  </w:num>
  <w:num w:numId="9">
    <w:abstractNumId w:val="20"/>
  </w:num>
  <w:num w:numId="10">
    <w:abstractNumId w:val="5"/>
  </w:num>
  <w:num w:numId="11">
    <w:abstractNumId w:val="17"/>
  </w:num>
  <w:num w:numId="12">
    <w:abstractNumId w:val="16"/>
  </w:num>
  <w:num w:numId="13">
    <w:abstractNumId w:val="28"/>
  </w:num>
  <w:num w:numId="14">
    <w:abstractNumId w:val="29"/>
  </w:num>
  <w:num w:numId="15">
    <w:abstractNumId w:val="23"/>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33"/>
  </w:num>
  <w:num w:numId="23">
    <w:abstractNumId w:val="33"/>
  </w:num>
  <w:num w:numId="24">
    <w:abstractNumId w:val="26"/>
  </w:num>
  <w:num w:numId="25">
    <w:abstractNumId w:val="27"/>
  </w:num>
  <w:num w:numId="26">
    <w:abstractNumId w:val="4"/>
  </w:num>
  <w:num w:numId="27">
    <w:abstractNumId w:val="0"/>
  </w:num>
  <w:num w:numId="28">
    <w:abstractNumId w:val="11"/>
  </w:num>
  <w:num w:numId="29">
    <w:abstractNumId w:val="25"/>
  </w:num>
  <w:num w:numId="30">
    <w:abstractNumId w:val="30"/>
  </w:num>
  <w:num w:numId="31">
    <w:abstractNumId w:val="9"/>
  </w:num>
  <w:num w:numId="32">
    <w:abstractNumId w:val="8"/>
  </w:num>
  <w:num w:numId="33">
    <w:abstractNumId w:val="7"/>
  </w:num>
  <w:num w:numId="34">
    <w:abstractNumId w:val="14"/>
  </w:num>
  <w:num w:numId="35">
    <w:abstractNumId w:val="18"/>
  </w:num>
  <w:num w:numId="36">
    <w:abstractNumId w:val="13"/>
  </w:num>
  <w:num w:numId="37">
    <w:abstractNumId w:val="24"/>
  </w:num>
  <w:num w:numId="38">
    <w:abstractNumId w:val="12"/>
  </w:num>
  <w:num w:numId="39">
    <w:abstractNumId w:val="6"/>
  </w:num>
  <w:num w:numId="40">
    <w:abstractNumId w:val="22"/>
  </w:num>
  <w:num w:numId="41">
    <w:abstractNumId w:val="19"/>
  </w:num>
  <w:num w:numId="42">
    <w:abstractNumId w:val="32"/>
  </w:num>
  <w:num w:numId="43">
    <w:abstractNumId w:val="10"/>
  </w:num>
  <w:num w:numId="44">
    <w:abstractNumId w:val="31"/>
  </w:num>
  <w:num w:numId="45">
    <w:abstractNumId w:val="33"/>
  </w:num>
  <w:num w:numId="46">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720"/>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te0psahzaw9uedrptx2wtkept0pwt0dazt&quot;&gt;Melanoma_DAB+TRAM&lt;record-ids&gt;&lt;item&gt;1&lt;/item&gt;&lt;item&gt;2&lt;/item&gt;&lt;item&gt;6&lt;/item&gt;&lt;item&gt;98&lt;/item&gt;&lt;item&gt;160&lt;/item&gt;&lt;item&gt;171&lt;/item&gt;&lt;item&gt;173&lt;/item&gt;&lt;item&gt;174&lt;/item&gt;&lt;item&gt;175&lt;/item&gt;&lt;item&gt;177&lt;/item&gt;&lt;item&gt;178&lt;/item&gt;&lt;item&gt;179&lt;/item&gt;&lt;item&gt;180&lt;/item&gt;&lt;item&gt;181&lt;/item&gt;&lt;item&gt;183&lt;/item&gt;&lt;item&gt;188&lt;/item&gt;&lt;item&gt;189&lt;/item&gt;&lt;item&gt;190&lt;/item&gt;&lt;item&gt;191&lt;/item&gt;&lt;item&gt;192&lt;/item&gt;&lt;item&gt;193&lt;/item&gt;&lt;item&gt;195&lt;/item&gt;&lt;item&gt;196&lt;/item&gt;&lt;item&gt;197&lt;/item&gt;&lt;item&gt;198&lt;/item&gt;&lt;item&gt;199&lt;/item&gt;&lt;/record-ids&gt;&lt;/item&gt;&lt;/Libraries&gt;"/>
  </w:docVars>
  <w:rsids>
    <w:rsidRoot w:val="00E65E79"/>
    <w:rsid w:val="00000790"/>
    <w:rsid w:val="0000110B"/>
    <w:rsid w:val="0000113B"/>
    <w:rsid w:val="0000122C"/>
    <w:rsid w:val="00003499"/>
    <w:rsid w:val="0000365B"/>
    <w:rsid w:val="000038FD"/>
    <w:rsid w:val="000039B7"/>
    <w:rsid w:val="00003BF8"/>
    <w:rsid w:val="000048E8"/>
    <w:rsid w:val="000052A1"/>
    <w:rsid w:val="00005DE5"/>
    <w:rsid w:val="00006156"/>
    <w:rsid w:val="0000640F"/>
    <w:rsid w:val="000064F4"/>
    <w:rsid w:val="00007B04"/>
    <w:rsid w:val="00007CFA"/>
    <w:rsid w:val="00011A78"/>
    <w:rsid w:val="00011C93"/>
    <w:rsid w:val="00012C29"/>
    <w:rsid w:val="00013247"/>
    <w:rsid w:val="00013622"/>
    <w:rsid w:val="0001498E"/>
    <w:rsid w:val="00015886"/>
    <w:rsid w:val="00015A26"/>
    <w:rsid w:val="00015E52"/>
    <w:rsid w:val="000162D8"/>
    <w:rsid w:val="000162EF"/>
    <w:rsid w:val="000163BC"/>
    <w:rsid w:val="0001778F"/>
    <w:rsid w:val="000178AF"/>
    <w:rsid w:val="00017C59"/>
    <w:rsid w:val="00020969"/>
    <w:rsid w:val="0002133C"/>
    <w:rsid w:val="00021C74"/>
    <w:rsid w:val="0002225F"/>
    <w:rsid w:val="00023763"/>
    <w:rsid w:val="00024C9A"/>
    <w:rsid w:val="000258DE"/>
    <w:rsid w:val="00025D36"/>
    <w:rsid w:val="00026CAC"/>
    <w:rsid w:val="00027E4C"/>
    <w:rsid w:val="0003116F"/>
    <w:rsid w:val="00031178"/>
    <w:rsid w:val="00032B97"/>
    <w:rsid w:val="00033438"/>
    <w:rsid w:val="00033863"/>
    <w:rsid w:val="000352E2"/>
    <w:rsid w:val="000353F0"/>
    <w:rsid w:val="00035788"/>
    <w:rsid w:val="00035A8C"/>
    <w:rsid w:val="00035DC0"/>
    <w:rsid w:val="00036829"/>
    <w:rsid w:val="00036A89"/>
    <w:rsid w:val="00036B55"/>
    <w:rsid w:val="0003738A"/>
    <w:rsid w:val="00037669"/>
    <w:rsid w:val="0004071E"/>
    <w:rsid w:val="00040895"/>
    <w:rsid w:val="00041054"/>
    <w:rsid w:val="0004123C"/>
    <w:rsid w:val="000417E6"/>
    <w:rsid w:val="0004196F"/>
    <w:rsid w:val="000423A0"/>
    <w:rsid w:val="00042908"/>
    <w:rsid w:val="00043C37"/>
    <w:rsid w:val="00044258"/>
    <w:rsid w:val="00044492"/>
    <w:rsid w:val="000445B5"/>
    <w:rsid w:val="0004497B"/>
    <w:rsid w:val="00045017"/>
    <w:rsid w:val="00045302"/>
    <w:rsid w:val="000456C6"/>
    <w:rsid w:val="000458E8"/>
    <w:rsid w:val="00045A2B"/>
    <w:rsid w:val="00045B9E"/>
    <w:rsid w:val="00045C7D"/>
    <w:rsid w:val="00045DDF"/>
    <w:rsid w:val="00046318"/>
    <w:rsid w:val="0004698F"/>
    <w:rsid w:val="00046A37"/>
    <w:rsid w:val="00047349"/>
    <w:rsid w:val="0004787B"/>
    <w:rsid w:val="00047B8D"/>
    <w:rsid w:val="0005061F"/>
    <w:rsid w:val="00051F3F"/>
    <w:rsid w:val="00053095"/>
    <w:rsid w:val="000539D0"/>
    <w:rsid w:val="00053C1B"/>
    <w:rsid w:val="000544E5"/>
    <w:rsid w:val="00054621"/>
    <w:rsid w:val="000546D7"/>
    <w:rsid w:val="00055A79"/>
    <w:rsid w:val="00057AE9"/>
    <w:rsid w:val="00060768"/>
    <w:rsid w:val="00060D50"/>
    <w:rsid w:val="00060E20"/>
    <w:rsid w:val="00061603"/>
    <w:rsid w:val="00061635"/>
    <w:rsid w:val="00061E01"/>
    <w:rsid w:val="00062744"/>
    <w:rsid w:val="0006316B"/>
    <w:rsid w:val="0006322B"/>
    <w:rsid w:val="00063460"/>
    <w:rsid w:val="000645E1"/>
    <w:rsid w:val="00066360"/>
    <w:rsid w:val="000666B1"/>
    <w:rsid w:val="0006687C"/>
    <w:rsid w:val="000668D0"/>
    <w:rsid w:val="0006777F"/>
    <w:rsid w:val="0006796B"/>
    <w:rsid w:val="00067E76"/>
    <w:rsid w:val="00067EBD"/>
    <w:rsid w:val="000711BA"/>
    <w:rsid w:val="00071248"/>
    <w:rsid w:val="000720B9"/>
    <w:rsid w:val="000720C4"/>
    <w:rsid w:val="00072EAE"/>
    <w:rsid w:val="00073281"/>
    <w:rsid w:val="000737F7"/>
    <w:rsid w:val="00073D59"/>
    <w:rsid w:val="00073EC6"/>
    <w:rsid w:val="00074222"/>
    <w:rsid w:val="000743B9"/>
    <w:rsid w:val="000758E1"/>
    <w:rsid w:val="000765C1"/>
    <w:rsid w:val="0007672F"/>
    <w:rsid w:val="00076914"/>
    <w:rsid w:val="00076C51"/>
    <w:rsid w:val="00076D9E"/>
    <w:rsid w:val="00076ECB"/>
    <w:rsid w:val="00076FB2"/>
    <w:rsid w:val="000774F0"/>
    <w:rsid w:val="000775BD"/>
    <w:rsid w:val="0007793F"/>
    <w:rsid w:val="000779D7"/>
    <w:rsid w:val="00077A99"/>
    <w:rsid w:val="00077B09"/>
    <w:rsid w:val="00080909"/>
    <w:rsid w:val="000812CA"/>
    <w:rsid w:val="00081576"/>
    <w:rsid w:val="0008208A"/>
    <w:rsid w:val="000824B2"/>
    <w:rsid w:val="0008258D"/>
    <w:rsid w:val="00082AB7"/>
    <w:rsid w:val="0008370B"/>
    <w:rsid w:val="0008394A"/>
    <w:rsid w:val="00083BC1"/>
    <w:rsid w:val="00083E99"/>
    <w:rsid w:val="0008514A"/>
    <w:rsid w:val="000856C5"/>
    <w:rsid w:val="00085757"/>
    <w:rsid w:val="000872C2"/>
    <w:rsid w:val="00090135"/>
    <w:rsid w:val="000903D3"/>
    <w:rsid w:val="00090C7E"/>
    <w:rsid w:val="00091064"/>
    <w:rsid w:val="000910F5"/>
    <w:rsid w:val="00091FEB"/>
    <w:rsid w:val="00092600"/>
    <w:rsid w:val="0009262B"/>
    <w:rsid w:val="0009302F"/>
    <w:rsid w:val="000932B4"/>
    <w:rsid w:val="00093310"/>
    <w:rsid w:val="0009351B"/>
    <w:rsid w:val="00093C12"/>
    <w:rsid w:val="0009445C"/>
    <w:rsid w:val="00094CA1"/>
    <w:rsid w:val="00095FE5"/>
    <w:rsid w:val="00096284"/>
    <w:rsid w:val="000963C1"/>
    <w:rsid w:val="000A00A2"/>
    <w:rsid w:val="000A0321"/>
    <w:rsid w:val="000A0D94"/>
    <w:rsid w:val="000A0EA5"/>
    <w:rsid w:val="000A0F96"/>
    <w:rsid w:val="000A172E"/>
    <w:rsid w:val="000A20D9"/>
    <w:rsid w:val="000A2963"/>
    <w:rsid w:val="000A3058"/>
    <w:rsid w:val="000A30DD"/>
    <w:rsid w:val="000A36AE"/>
    <w:rsid w:val="000A5A0D"/>
    <w:rsid w:val="000A6EF6"/>
    <w:rsid w:val="000A79C5"/>
    <w:rsid w:val="000A7D08"/>
    <w:rsid w:val="000A7D95"/>
    <w:rsid w:val="000B0670"/>
    <w:rsid w:val="000B0E75"/>
    <w:rsid w:val="000B1BDB"/>
    <w:rsid w:val="000B1EEA"/>
    <w:rsid w:val="000B2108"/>
    <w:rsid w:val="000B240F"/>
    <w:rsid w:val="000B2EFC"/>
    <w:rsid w:val="000B37B2"/>
    <w:rsid w:val="000B3A2E"/>
    <w:rsid w:val="000B3F33"/>
    <w:rsid w:val="000B4348"/>
    <w:rsid w:val="000B5041"/>
    <w:rsid w:val="000B6582"/>
    <w:rsid w:val="000B6CAC"/>
    <w:rsid w:val="000B7612"/>
    <w:rsid w:val="000B7C2C"/>
    <w:rsid w:val="000C0672"/>
    <w:rsid w:val="000C100C"/>
    <w:rsid w:val="000C1104"/>
    <w:rsid w:val="000C1A3C"/>
    <w:rsid w:val="000C1ACD"/>
    <w:rsid w:val="000C1C53"/>
    <w:rsid w:val="000C283B"/>
    <w:rsid w:val="000C2D31"/>
    <w:rsid w:val="000C3DF9"/>
    <w:rsid w:val="000C3FDD"/>
    <w:rsid w:val="000C409E"/>
    <w:rsid w:val="000C56C7"/>
    <w:rsid w:val="000C5EE0"/>
    <w:rsid w:val="000C6713"/>
    <w:rsid w:val="000C7508"/>
    <w:rsid w:val="000C7A40"/>
    <w:rsid w:val="000D0308"/>
    <w:rsid w:val="000D0E88"/>
    <w:rsid w:val="000D0EF0"/>
    <w:rsid w:val="000D1870"/>
    <w:rsid w:val="000D1BFC"/>
    <w:rsid w:val="000D1F62"/>
    <w:rsid w:val="000D281A"/>
    <w:rsid w:val="000D2A0D"/>
    <w:rsid w:val="000D2C8D"/>
    <w:rsid w:val="000D326A"/>
    <w:rsid w:val="000D37A0"/>
    <w:rsid w:val="000D4B38"/>
    <w:rsid w:val="000D4D3E"/>
    <w:rsid w:val="000D51FB"/>
    <w:rsid w:val="000D673F"/>
    <w:rsid w:val="000D6F46"/>
    <w:rsid w:val="000D772B"/>
    <w:rsid w:val="000D7BBB"/>
    <w:rsid w:val="000E0329"/>
    <w:rsid w:val="000E03C7"/>
    <w:rsid w:val="000E05BC"/>
    <w:rsid w:val="000E135D"/>
    <w:rsid w:val="000E2088"/>
    <w:rsid w:val="000E2797"/>
    <w:rsid w:val="000E285E"/>
    <w:rsid w:val="000E3181"/>
    <w:rsid w:val="000E394C"/>
    <w:rsid w:val="000E3DFF"/>
    <w:rsid w:val="000E3E4A"/>
    <w:rsid w:val="000E4FCB"/>
    <w:rsid w:val="000E5F43"/>
    <w:rsid w:val="000E6306"/>
    <w:rsid w:val="000E65EB"/>
    <w:rsid w:val="000E6710"/>
    <w:rsid w:val="000E67C6"/>
    <w:rsid w:val="000E79D4"/>
    <w:rsid w:val="000F00BA"/>
    <w:rsid w:val="000F108F"/>
    <w:rsid w:val="000F12C0"/>
    <w:rsid w:val="000F1383"/>
    <w:rsid w:val="000F14BB"/>
    <w:rsid w:val="000F1A17"/>
    <w:rsid w:val="000F1F4B"/>
    <w:rsid w:val="000F316A"/>
    <w:rsid w:val="000F35FA"/>
    <w:rsid w:val="000F3BF0"/>
    <w:rsid w:val="000F3C74"/>
    <w:rsid w:val="000F4BB8"/>
    <w:rsid w:val="000F5F3B"/>
    <w:rsid w:val="000F60C0"/>
    <w:rsid w:val="000F6933"/>
    <w:rsid w:val="000F70B9"/>
    <w:rsid w:val="000F7127"/>
    <w:rsid w:val="000F77F6"/>
    <w:rsid w:val="00100061"/>
    <w:rsid w:val="00100475"/>
    <w:rsid w:val="00100989"/>
    <w:rsid w:val="00100F8A"/>
    <w:rsid w:val="001017D5"/>
    <w:rsid w:val="00101A44"/>
    <w:rsid w:val="00101CD8"/>
    <w:rsid w:val="00104AAD"/>
    <w:rsid w:val="0010584E"/>
    <w:rsid w:val="00105AE2"/>
    <w:rsid w:val="00105BCA"/>
    <w:rsid w:val="001062CF"/>
    <w:rsid w:val="001062E8"/>
    <w:rsid w:val="00106B80"/>
    <w:rsid w:val="00107863"/>
    <w:rsid w:val="00107C47"/>
    <w:rsid w:val="0011032E"/>
    <w:rsid w:val="0011046D"/>
    <w:rsid w:val="0011058A"/>
    <w:rsid w:val="001108AB"/>
    <w:rsid w:val="0011142D"/>
    <w:rsid w:val="0011156D"/>
    <w:rsid w:val="0011227C"/>
    <w:rsid w:val="00112650"/>
    <w:rsid w:val="00112AE6"/>
    <w:rsid w:val="00112BB7"/>
    <w:rsid w:val="00113096"/>
    <w:rsid w:val="0011348B"/>
    <w:rsid w:val="001135BE"/>
    <w:rsid w:val="00113CD1"/>
    <w:rsid w:val="00113D96"/>
    <w:rsid w:val="00115982"/>
    <w:rsid w:val="00115C72"/>
    <w:rsid w:val="00116079"/>
    <w:rsid w:val="00116979"/>
    <w:rsid w:val="00116A06"/>
    <w:rsid w:val="00116C53"/>
    <w:rsid w:val="00117BB2"/>
    <w:rsid w:val="00117D42"/>
    <w:rsid w:val="0012120B"/>
    <w:rsid w:val="001214CE"/>
    <w:rsid w:val="00121799"/>
    <w:rsid w:val="001222FC"/>
    <w:rsid w:val="001230A3"/>
    <w:rsid w:val="0012387F"/>
    <w:rsid w:val="001238C1"/>
    <w:rsid w:val="00123C85"/>
    <w:rsid w:val="001245BE"/>
    <w:rsid w:val="00124A51"/>
    <w:rsid w:val="00124C5A"/>
    <w:rsid w:val="00125063"/>
    <w:rsid w:val="001259AF"/>
    <w:rsid w:val="00126621"/>
    <w:rsid w:val="00127942"/>
    <w:rsid w:val="00130034"/>
    <w:rsid w:val="001301E9"/>
    <w:rsid w:val="00131324"/>
    <w:rsid w:val="0013154C"/>
    <w:rsid w:val="00131A0B"/>
    <w:rsid w:val="00131D82"/>
    <w:rsid w:val="001323E7"/>
    <w:rsid w:val="00132482"/>
    <w:rsid w:val="00132803"/>
    <w:rsid w:val="0013294F"/>
    <w:rsid w:val="00132E3E"/>
    <w:rsid w:val="00133169"/>
    <w:rsid w:val="0013343D"/>
    <w:rsid w:val="00133678"/>
    <w:rsid w:val="00133BF5"/>
    <w:rsid w:val="00133D36"/>
    <w:rsid w:val="001341E4"/>
    <w:rsid w:val="001350FD"/>
    <w:rsid w:val="0013519D"/>
    <w:rsid w:val="00135583"/>
    <w:rsid w:val="00135939"/>
    <w:rsid w:val="00136FC8"/>
    <w:rsid w:val="00137188"/>
    <w:rsid w:val="00137645"/>
    <w:rsid w:val="00137BA7"/>
    <w:rsid w:val="00137EE5"/>
    <w:rsid w:val="00140091"/>
    <w:rsid w:val="0014015A"/>
    <w:rsid w:val="001409CA"/>
    <w:rsid w:val="00140A7B"/>
    <w:rsid w:val="00140E0B"/>
    <w:rsid w:val="00140E99"/>
    <w:rsid w:val="00141344"/>
    <w:rsid w:val="00141F84"/>
    <w:rsid w:val="001420C5"/>
    <w:rsid w:val="001424B2"/>
    <w:rsid w:val="001435F7"/>
    <w:rsid w:val="001443D4"/>
    <w:rsid w:val="00145540"/>
    <w:rsid w:val="001456B0"/>
    <w:rsid w:val="00145B47"/>
    <w:rsid w:val="00145FC7"/>
    <w:rsid w:val="0014603A"/>
    <w:rsid w:val="00147A6B"/>
    <w:rsid w:val="001501DF"/>
    <w:rsid w:val="00153CAC"/>
    <w:rsid w:val="00153E86"/>
    <w:rsid w:val="001541FA"/>
    <w:rsid w:val="00154411"/>
    <w:rsid w:val="00154E4F"/>
    <w:rsid w:val="00155D88"/>
    <w:rsid w:val="00157130"/>
    <w:rsid w:val="001576B1"/>
    <w:rsid w:val="00157C18"/>
    <w:rsid w:val="001604CE"/>
    <w:rsid w:val="00160A4C"/>
    <w:rsid w:val="00160FEF"/>
    <w:rsid w:val="00161B38"/>
    <w:rsid w:val="0016242A"/>
    <w:rsid w:val="00162913"/>
    <w:rsid w:val="00162D52"/>
    <w:rsid w:val="00162EDA"/>
    <w:rsid w:val="00163D11"/>
    <w:rsid w:val="00163EFF"/>
    <w:rsid w:val="00164B7D"/>
    <w:rsid w:val="00165158"/>
    <w:rsid w:val="00165C5D"/>
    <w:rsid w:val="00166135"/>
    <w:rsid w:val="001661FB"/>
    <w:rsid w:val="00167F8E"/>
    <w:rsid w:val="00170B31"/>
    <w:rsid w:val="001713DB"/>
    <w:rsid w:val="00171934"/>
    <w:rsid w:val="001726C9"/>
    <w:rsid w:val="00173451"/>
    <w:rsid w:val="00173565"/>
    <w:rsid w:val="00173A3C"/>
    <w:rsid w:val="00173B07"/>
    <w:rsid w:val="00173DAF"/>
    <w:rsid w:val="00173DE5"/>
    <w:rsid w:val="00174850"/>
    <w:rsid w:val="00174FEC"/>
    <w:rsid w:val="001752DA"/>
    <w:rsid w:val="00175CE2"/>
    <w:rsid w:val="00176532"/>
    <w:rsid w:val="00177ABE"/>
    <w:rsid w:val="00177B13"/>
    <w:rsid w:val="00177B33"/>
    <w:rsid w:val="00181D9C"/>
    <w:rsid w:val="00182C1A"/>
    <w:rsid w:val="00182DB2"/>
    <w:rsid w:val="00184B6A"/>
    <w:rsid w:val="001858D8"/>
    <w:rsid w:val="00186099"/>
    <w:rsid w:val="00186727"/>
    <w:rsid w:val="00186795"/>
    <w:rsid w:val="0018752F"/>
    <w:rsid w:val="00187C84"/>
    <w:rsid w:val="00187DE7"/>
    <w:rsid w:val="00187F06"/>
    <w:rsid w:val="001902F5"/>
    <w:rsid w:val="001921FB"/>
    <w:rsid w:val="001938C8"/>
    <w:rsid w:val="00193A7A"/>
    <w:rsid w:val="00193F12"/>
    <w:rsid w:val="00195222"/>
    <w:rsid w:val="0019525E"/>
    <w:rsid w:val="001953FE"/>
    <w:rsid w:val="00195895"/>
    <w:rsid w:val="00196FEA"/>
    <w:rsid w:val="001975D8"/>
    <w:rsid w:val="00197681"/>
    <w:rsid w:val="001978E0"/>
    <w:rsid w:val="00197BA8"/>
    <w:rsid w:val="00197CC1"/>
    <w:rsid w:val="00197F12"/>
    <w:rsid w:val="001A06F1"/>
    <w:rsid w:val="001A07AC"/>
    <w:rsid w:val="001A0BDE"/>
    <w:rsid w:val="001A1EFF"/>
    <w:rsid w:val="001A24D2"/>
    <w:rsid w:val="001A4086"/>
    <w:rsid w:val="001A4145"/>
    <w:rsid w:val="001A43FA"/>
    <w:rsid w:val="001A49F7"/>
    <w:rsid w:val="001A4DAF"/>
    <w:rsid w:val="001A4E1B"/>
    <w:rsid w:val="001A59FB"/>
    <w:rsid w:val="001A5F61"/>
    <w:rsid w:val="001A6354"/>
    <w:rsid w:val="001A6554"/>
    <w:rsid w:val="001A6B6B"/>
    <w:rsid w:val="001A6C15"/>
    <w:rsid w:val="001A7A18"/>
    <w:rsid w:val="001A7AE8"/>
    <w:rsid w:val="001A7AED"/>
    <w:rsid w:val="001B015D"/>
    <w:rsid w:val="001B167E"/>
    <w:rsid w:val="001B1B23"/>
    <w:rsid w:val="001B1C97"/>
    <w:rsid w:val="001B1F99"/>
    <w:rsid w:val="001B204E"/>
    <w:rsid w:val="001B2C7A"/>
    <w:rsid w:val="001B3263"/>
    <w:rsid w:val="001B3443"/>
    <w:rsid w:val="001B3AF8"/>
    <w:rsid w:val="001B45EA"/>
    <w:rsid w:val="001B4D20"/>
    <w:rsid w:val="001B51F2"/>
    <w:rsid w:val="001B5237"/>
    <w:rsid w:val="001B651F"/>
    <w:rsid w:val="001B7D70"/>
    <w:rsid w:val="001B7ECF"/>
    <w:rsid w:val="001C0399"/>
    <w:rsid w:val="001C1008"/>
    <w:rsid w:val="001C1204"/>
    <w:rsid w:val="001C2497"/>
    <w:rsid w:val="001C24BC"/>
    <w:rsid w:val="001C2510"/>
    <w:rsid w:val="001C2A9B"/>
    <w:rsid w:val="001C3272"/>
    <w:rsid w:val="001C423C"/>
    <w:rsid w:val="001C4299"/>
    <w:rsid w:val="001C59AD"/>
    <w:rsid w:val="001C5F94"/>
    <w:rsid w:val="001C687C"/>
    <w:rsid w:val="001C6E66"/>
    <w:rsid w:val="001C6F1A"/>
    <w:rsid w:val="001C70D3"/>
    <w:rsid w:val="001C7442"/>
    <w:rsid w:val="001C775A"/>
    <w:rsid w:val="001C7F0E"/>
    <w:rsid w:val="001D0AF5"/>
    <w:rsid w:val="001D0E7E"/>
    <w:rsid w:val="001D1D5F"/>
    <w:rsid w:val="001D295E"/>
    <w:rsid w:val="001D3464"/>
    <w:rsid w:val="001D3715"/>
    <w:rsid w:val="001D4ABA"/>
    <w:rsid w:val="001D506D"/>
    <w:rsid w:val="001D6427"/>
    <w:rsid w:val="001D7148"/>
    <w:rsid w:val="001D7474"/>
    <w:rsid w:val="001D7DF1"/>
    <w:rsid w:val="001E02EC"/>
    <w:rsid w:val="001E0360"/>
    <w:rsid w:val="001E1909"/>
    <w:rsid w:val="001E1EF9"/>
    <w:rsid w:val="001E238E"/>
    <w:rsid w:val="001E2483"/>
    <w:rsid w:val="001E248A"/>
    <w:rsid w:val="001E2B1E"/>
    <w:rsid w:val="001E30D4"/>
    <w:rsid w:val="001E30DE"/>
    <w:rsid w:val="001E52EB"/>
    <w:rsid w:val="001E52FD"/>
    <w:rsid w:val="001E5ABB"/>
    <w:rsid w:val="001E61D2"/>
    <w:rsid w:val="001E740C"/>
    <w:rsid w:val="001E764D"/>
    <w:rsid w:val="001E7E3F"/>
    <w:rsid w:val="001F0543"/>
    <w:rsid w:val="001F0BA4"/>
    <w:rsid w:val="001F1235"/>
    <w:rsid w:val="001F1C42"/>
    <w:rsid w:val="001F1CB3"/>
    <w:rsid w:val="001F1F03"/>
    <w:rsid w:val="001F22AF"/>
    <w:rsid w:val="001F2B25"/>
    <w:rsid w:val="001F2EC0"/>
    <w:rsid w:val="001F3413"/>
    <w:rsid w:val="001F38B5"/>
    <w:rsid w:val="001F3F57"/>
    <w:rsid w:val="001F41AA"/>
    <w:rsid w:val="001F4307"/>
    <w:rsid w:val="001F4BD5"/>
    <w:rsid w:val="001F5B30"/>
    <w:rsid w:val="001F5E0D"/>
    <w:rsid w:val="001F632D"/>
    <w:rsid w:val="001F6ADC"/>
    <w:rsid w:val="001F7361"/>
    <w:rsid w:val="002000D9"/>
    <w:rsid w:val="0020037F"/>
    <w:rsid w:val="002011B0"/>
    <w:rsid w:val="00201455"/>
    <w:rsid w:val="00201A9E"/>
    <w:rsid w:val="002025E6"/>
    <w:rsid w:val="00203181"/>
    <w:rsid w:val="0020375C"/>
    <w:rsid w:val="00203783"/>
    <w:rsid w:val="00203847"/>
    <w:rsid w:val="0020385F"/>
    <w:rsid w:val="00204745"/>
    <w:rsid w:val="002056C6"/>
    <w:rsid w:val="00205786"/>
    <w:rsid w:val="00205D3C"/>
    <w:rsid w:val="002062ED"/>
    <w:rsid w:val="00206A2E"/>
    <w:rsid w:val="00207021"/>
    <w:rsid w:val="0020723C"/>
    <w:rsid w:val="0020732F"/>
    <w:rsid w:val="00207378"/>
    <w:rsid w:val="002073F4"/>
    <w:rsid w:val="00207458"/>
    <w:rsid w:val="00207D00"/>
    <w:rsid w:val="00207F9F"/>
    <w:rsid w:val="002105C1"/>
    <w:rsid w:val="00210C17"/>
    <w:rsid w:val="00210CBF"/>
    <w:rsid w:val="00211205"/>
    <w:rsid w:val="002112AB"/>
    <w:rsid w:val="00212223"/>
    <w:rsid w:val="00213239"/>
    <w:rsid w:val="002132FD"/>
    <w:rsid w:val="002139CE"/>
    <w:rsid w:val="00214729"/>
    <w:rsid w:val="00215B27"/>
    <w:rsid w:val="002163FD"/>
    <w:rsid w:val="00220B6E"/>
    <w:rsid w:val="00220E78"/>
    <w:rsid w:val="00221310"/>
    <w:rsid w:val="0022236D"/>
    <w:rsid w:val="002224BD"/>
    <w:rsid w:val="00222DF1"/>
    <w:rsid w:val="00222EE3"/>
    <w:rsid w:val="0022313D"/>
    <w:rsid w:val="002233BA"/>
    <w:rsid w:val="00223B49"/>
    <w:rsid w:val="00223F49"/>
    <w:rsid w:val="002240F4"/>
    <w:rsid w:val="00224578"/>
    <w:rsid w:val="002248C0"/>
    <w:rsid w:val="00224B9F"/>
    <w:rsid w:val="00224DD4"/>
    <w:rsid w:val="002254F5"/>
    <w:rsid w:val="0022563A"/>
    <w:rsid w:val="0022616F"/>
    <w:rsid w:val="00226492"/>
    <w:rsid w:val="00227866"/>
    <w:rsid w:val="002278DD"/>
    <w:rsid w:val="00230407"/>
    <w:rsid w:val="00230448"/>
    <w:rsid w:val="002309CC"/>
    <w:rsid w:val="002313BD"/>
    <w:rsid w:val="0023184A"/>
    <w:rsid w:val="00231FB3"/>
    <w:rsid w:val="0023209F"/>
    <w:rsid w:val="00233759"/>
    <w:rsid w:val="002339EC"/>
    <w:rsid w:val="00233D09"/>
    <w:rsid w:val="002340B4"/>
    <w:rsid w:val="00234877"/>
    <w:rsid w:val="0023494D"/>
    <w:rsid w:val="0023498E"/>
    <w:rsid w:val="00234F18"/>
    <w:rsid w:val="00235AEF"/>
    <w:rsid w:val="0023629D"/>
    <w:rsid w:val="00236638"/>
    <w:rsid w:val="0023686E"/>
    <w:rsid w:val="00237255"/>
    <w:rsid w:val="0023738E"/>
    <w:rsid w:val="00237604"/>
    <w:rsid w:val="00237720"/>
    <w:rsid w:val="00240363"/>
    <w:rsid w:val="0024138F"/>
    <w:rsid w:val="00241FE3"/>
    <w:rsid w:val="00242094"/>
    <w:rsid w:val="002424AF"/>
    <w:rsid w:val="0024349B"/>
    <w:rsid w:val="002439DC"/>
    <w:rsid w:val="00243B01"/>
    <w:rsid w:val="00244529"/>
    <w:rsid w:val="002446C5"/>
    <w:rsid w:val="00244DC8"/>
    <w:rsid w:val="0024543A"/>
    <w:rsid w:val="002458BA"/>
    <w:rsid w:val="00245DE8"/>
    <w:rsid w:val="0024636C"/>
    <w:rsid w:val="002465CC"/>
    <w:rsid w:val="00246B54"/>
    <w:rsid w:val="00246FE8"/>
    <w:rsid w:val="00247925"/>
    <w:rsid w:val="00250602"/>
    <w:rsid w:val="00250906"/>
    <w:rsid w:val="00251DEE"/>
    <w:rsid w:val="00252025"/>
    <w:rsid w:val="0025226C"/>
    <w:rsid w:val="00252BFC"/>
    <w:rsid w:val="002546FA"/>
    <w:rsid w:val="002548E0"/>
    <w:rsid w:val="00254DCF"/>
    <w:rsid w:val="0025534B"/>
    <w:rsid w:val="00255BB7"/>
    <w:rsid w:val="00255C4D"/>
    <w:rsid w:val="00256948"/>
    <w:rsid w:val="00257541"/>
    <w:rsid w:val="00257E4F"/>
    <w:rsid w:val="0026060C"/>
    <w:rsid w:val="002615A0"/>
    <w:rsid w:val="00261754"/>
    <w:rsid w:val="0026198F"/>
    <w:rsid w:val="00261C16"/>
    <w:rsid w:val="00262A1A"/>
    <w:rsid w:val="00262A87"/>
    <w:rsid w:val="00262D38"/>
    <w:rsid w:val="00262E0D"/>
    <w:rsid w:val="00263D1A"/>
    <w:rsid w:val="00263D6C"/>
    <w:rsid w:val="00264219"/>
    <w:rsid w:val="002645E7"/>
    <w:rsid w:val="00264D26"/>
    <w:rsid w:val="00264D5D"/>
    <w:rsid w:val="00265EF1"/>
    <w:rsid w:val="00266050"/>
    <w:rsid w:val="00266F6A"/>
    <w:rsid w:val="00267557"/>
    <w:rsid w:val="00267642"/>
    <w:rsid w:val="00267AEA"/>
    <w:rsid w:val="002700E6"/>
    <w:rsid w:val="00270AD2"/>
    <w:rsid w:val="002719AB"/>
    <w:rsid w:val="002720DA"/>
    <w:rsid w:val="0027294B"/>
    <w:rsid w:val="00273847"/>
    <w:rsid w:val="00273C08"/>
    <w:rsid w:val="0027437E"/>
    <w:rsid w:val="002750FA"/>
    <w:rsid w:val="00275C5A"/>
    <w:rsid w:val="00277178"/>
    <w:rsid w:val="0028042F"/>
    <w:rsid w:val="00281014"/>
    <w:rsid w:val="00281427"/>
    <w:rsid w:val="002817DB"/>
    <w:rsid w:val="002832F1"/>
    <w:rsid w:val="00283383"/>
    <w:rsid w:val="00284832"/>
    <w:rsid w:val="00284D6B"/>
    <w:rsid w:val="002859D3"/>
    <w:rsid w:val="002859E4"/>
    <w:rsid w:val="00285E6E"/>
    <w:rsid w:val="0028738C"/>
    <w:rsid w:val="00287515"/>
    <w:rsid w:val="0028793A"/>
    <w:rsid w:val="00287CB5"/>
    <w:rsid w:val="00290735"/>
    <w:rsid w:val="00290833"/>
    <w:rsid w:val="00290B63"/>
    <w:rsid w:val="00290E5A"/>
    <w:rsid w:val="002946D5"/>
    <w:rsid w:val="00295D25"/>
    <w:rsid w:val="00296809"/>
    <w:rsid w:val="00296CCC"/>
    <w:rsid w:val="00297220"/>
    <w:rsid w:val="002A022C"/>
    <w:rsid w:val="002A0AB0"/>
    <w:rsid w:val="002A0AEC"/>
    <w:rsid w:val="002A0C99"/>
    <w:rsid w:val="002A0F97"/>
    <w:rsid w:val="002A14AB"/>
    <w:rsid w:val="002A14E9"/>
    <w:rsid w:val="002A15B6"/>
    <w:rsid w:val="002A2676"/>
    <w:rsid w:val="002A2F50"/>
    <w:rsid w:val="002A37A6"/>
    <w:rsid w:val="002A47D7"/>
    <w:rsid w:val="002A4C7C"/>
    <w:rsid w:val="002A5215"/>
    <w:rsid w:val="002A5B25"/>
    <w:rsid w:val="002A5C35"/>
    <w:rsid w:val="002A642C"/>
    <w:rsid w:val="002B04D1"/>
    <w:rsid w:val="002B09A4"/>
    <w:rsid w:val="002B0E23"/>
    <w:rsid w:val="002B1C1F"/>
    <w:rsid w:val="002B1F4B"/>
    <w:rsid w:val="002B25DB"/>
    <w:rsid w:val="002B2639"/>
    <w:rsid w:val="002B2901"/>
    <w:rsid w:val="002B2B56"/>
    <w:rsid w:val="002B2E15"/>
    <w:rsid w:val="002B34FE"/>
    <w:rsid w:val="002B432F"/>
    <w:rsid w:val="002B4B9A"/>
    <w:rsid w:val="002B51BD"/>
    <w:rsid w:val="002B5913"/>
    <w:rsid w:val="002B5946"/>
    <w:rsid w:val="002B6272"/>
    <w:rsid w:val="002B62B3"/>
    <w:rsid w:val="002B65D1"/>
    <w:rsid w:val="002B660A"/>
    <w:rsid w:val="002B6754"/>
    <w:rsid w:val="002B6C7A"/>
    <w:rsid w:val="002B6CCE"/>
    <w:rsid w:val="002B6D31"/>
    <w:rsid w:val="002B7A6D"/>
    <w:rsid w:val="002B7F94"/>
    <w:rsid w:val="002C0202"/>
    <w:rsid w:val="002C2510"/>
    <w:rsid w:val="002C2775"/>
    <w:rsid w:val="002C27C1"/>
    <w:rsid w:val="002C2BD2"/>
    <w:rsid w:val="002C3393"/>
    <w:rsid w:val="002C388C"/>
    <w:rsid w:val="002C3F5E"/>
    <w:rsid w:val="002C5099"/>
    <w:rsid w:val="002C5412"/>
    <w:rsid w:val="002C54D0"/>
    <w:rsid w:val="002C5889"/>
    <w:rsid w:val="002C60AB"/>
    <w:rsid w:val="002C66BF"/>
    <w:rsid w:val="002C71CE"/>
    <w:rsid w:val="002D0A11"/>
    <w:rsid w:val="002D0E93"/>
    <w:rsid w:val="002D1AB2"/>
    <w:rsid w:val="002D23CE"/>
    <w:rsid w:val="002D3912"/>
    <w:rsid w:val="002D39F0"/>
    <w:rsid w:val="002D3CAD"/>
    <w:rsid w:val="002D3EA2"/>
    <w:rsid w:val="002D4593"/>
    <w:rsid w:val="002D4F43"/>
    <w:rsid w:val="002D4F4C"/>
    <w:rsid w:val="002D577C"/>
    <w:rsid w:val="002D7424"/>
    <w:rsid w:val="002D75EB"/>
    <w:rsid w:val="002E028E"/>
    <w:rsid w:val="002E13C7"/>
    <w:rsid w:val="002E1553"/>
    <w:rsid w:val="002E15B9"/>
    <w:rsid w:val="002E2158"/>
    <w:rsid w:val="002E3BDC"/>
    <w:rsid w:val="002E3D3A"/>
    <w:rsid w:val="002E44B7"/>
    <w:rsid w:val="002E4F8E"/>
    <w:rsid w:val="002E5E08"/>
    <w:rsid w:val="002E6DAD"/>
    <w:rsid w:val="002E7017"/>
    <w:rsid w:val="002E7722"/>
    <w:rsid w:val="002E795A"/>
    <w:rsid w:val="002F0044"/>
    <w:rsid w:val="002F058F"/>
    <w:rsid w:val="002F064E"/>
    <w:rsid w:val="002F07BA"/>
    <w:rsid w:val="002F0DA9"/>
    <w:rsid w:val="002F1511"/>
    <w:rsid w:val="002F22B2"/>
    <w:rsid w:val="002F2A75"/>
    <w:rsid w:val="002F2AD5"/>
    <w:rsid w:val="002F2DFA"/>
    <w:rsid w:val="002F3572"/>
    <w:rsid w:val="002F519A"/>
    <w:rsid w:val="002F59B6"/>
    <w:rsid w:val="002F643C"/>
    <w:rsid w:val="002F6F64"/>
    <w:rsid w:val="002F71C0"/>
    <w:rsid w:val="002F722B"/>
    <w:rsid w:val="002F74EE"/>
    <w:rsid w:val="003005C3"/>
    <w:rsid w:val="00301017"/>
    <w:rsid w:val="0030155F"/>
    <w:rsid w:val="00301731"/>
    <w:rsid w:val="003020F4"/>
    <w:rsid w:val="003024D4"/>
    <w:rsid w:val="003030B8"/>
    <w:rsid w:val="003043E8"/>
    <w:rsid w:val="0030492C"/>
    <w:rsid w:val="00304D2B"/>
    <w:rsid w:val="003056A8"/>
    <w:rsid w:val="0030587B"/>
    <w:rsid w:val="00305C89"/>
    <w:rsid w:val="00306029"/>
    <w:rsid w:val="003062B2"/>
    <w:rsid w:val="003067D1"/>
    <w:rsid w:val="003067DC"/>
    <w:rsid w:val="003069C1"/>
    <w:rsid w:val="00306D98"/>
    <w:rsid w:val="00306F9D"/>
    <w:rsid w:val="00307516"/>
    <w:rsid w:val="0030786C"/>
    <w:rsid w:val="0031031A"/>
    <w:rsid w:val="00310981"/>
    <w:rsid w:val="003109E9"/>
    <w:rsid w:val="0031194F"/>
    <w:rsid w:val="00311C5D"/>
    <w:rsid w:val="00312179"/>
    <w:rsid w:val="00313137"/>
    <w:rsid w:val="00313326"/>
    <w:rsid w:val="003134EF"/>
    <w:rsid w:val="0031452E"/>
    <w:rsid w:val="0031491C"/>
    <w:rsid w:val="00314929"/>
    <w:rsid w:val="003149E6"/>
    <w:rsid w:val="00315498"/>
    <w:rsid w:val="00315506"/>
    <w:rsid w:val="00315959"/>
    <w:rsid w:val="0031612B"/>
    <w:rsid w:val="003164C4"/>
    <w:rsid w:val="00316606"/>
    <w:rsid w:val="003167FC"/>
    <w:rsid w:val="00316DD0"/>
    <w:rsid w:val="0031726B"/>
    <w:rsid w:val="00317683"/>
    <w:rsid w:val="00322107"/>
    <w:rsid w:val="00322846"/>
    <w:rsid w:val="003230A7"/>
    <w:rsid w:val="003237A3"/>
    <w:rsid w:val="0032383F"/>
    <w:rsid w:val="003244E2"/>
    <w:rsid w:val="00324C5B"/>
    <w:rsid w:val="003252D5"/>
    <w:rsid w:val="00325494"/>
    <w:rsid w:val="003259A3"/>
    <w:rsid w:val="00325DE8"/>
    <w:rsid w:val="00325FFE"/>
    <w:rsid w:val="00326B13"/>
    <w:rsid w:val="00326C2F"/>
    <w:rsid w:val="00326DA7"/>
    <w:rsid w:val="003270E4"/>
    <w:rsid w:val="00327935"/>
    <w:rsid w:val="00330BD0"/>
    <w:rsid w:val="00330E6C"/>
    <w:rsid w:val="00330EDB"/>
    <w:rsid w:val="00330F5C"/>
    <w:rsid w:val="00331868"/>
    <w:rsid w:val="00331D96"/>
    <w:rsid w:val="003322EC"/>
    <w:rsid w:val="00332CE9"/>
    <w:rsid w:val="00332F3F"/>
    <w:rsid w:val="003349F2"/>
    <w:rsid w:val="003352BC"/>
    <w:rsid w:val="00335AFD"/>
    <w:rsid w:val="0033655E"/>
    <w:rsid w:val="003366C9"/>
    <w:rsid w:val="00337186"/>
    <w:rsid w:val="003371B0"/>
    <w:rsid w:val="00337937"/>
    <w:rsid w:val="003379B7"/>
    <w:rsid w:val="00340DF1"/>
    <w:rsid w:val="00342770"/>
    <w:rsid w:val="00343682"/>
    <w:rsid w:val="0034372C"/>
    <w:rsid w:val="0034385F"/>
    <w:rsid w:val="0034404C"/>
    <w:rsid w:val="00344DAA"/>
    <w:rsid w:val="00346153"/>
    <w:rsid w:val="00346288"/>
    <w:rsid w:val="00346424"/>
    <w:rsid w:val="003469B0"/>
    <w:rsid w:val="0034764C"/>
    <w:rsid w:val="0035018F"/>
    <w:rsid w:val="0035082C"/>
    <w:rsid w:val="003512E8"/>
    <w:rsid w:val="003517F9"/>
    <w:rsid w:val="003522D7"/>
    <w:rsid w:val="003532CB"/>
    <w:rsid w:val="00353676"/>
    <w:rsid w:val="00353989"/>
    <w:rsid w:val="00353D1C"/>
    <w:rsid w:val="003542D2"/>
    <w:rsid w:val="00354898"/>
    <w:rsid w:val="00354BC3"/>
    <w:rsid w:val="00354BEF"/>
    <w:rsid w:val="003551DC"/>
    <w:rsid w:val="003552B0"/>
    <w:rsid w:val="0035546A"/>
    <w:rsid w:val="003554CE"/>
    <w:rsid w:val="00355672"/>
    <w:rsid w:val="0035620E"/>
    <w:rsid w:val="00356623"/>
    <w:rsid w:val="00357134"/>
    <w:rsid w:val="00360C3A"/>
    <w:rsid w:val="00360EF2"/>
    <w:rsid w:val="0036161E"/>
    <w:rsid w:val="003619A1"/>
    <w:rsid w:val="00362350"/>
    <w:rsid w:val="003624C4"/>
    <w:rsid w:val="00362580"/>
    <w:rsid w:val="00362723"/>
    <w:rsid w:val="00363564"/>
    <w:rsid w:val="00363EAC"/>
    <w:rsid w:val="0036407B"/>
    <w:rsid w:val="003651F5"/>
    <w:rsid w:val="003654AC"/>
    <w:rsid w:val="00366210"/>
    <w:rsid w:val="00366493"/>
    <w:rsid w:val="003669A7"/>
    <w:rsid w:val="00367CE5"/>
    <w:rsid w:val="00370065"/>
    <w:rsid w:val="003710CF"/>
    <w:rsid w:val="00371297"/>
    <w:rsid w:val="003715F9"/>
    <w:rsid w:val="003723CE"/>
    <w:rsid w:val="0037296E"/>
    <w:rsid w:val="00372A7F"/>
    <w:rsid w:val="0037358A"/>
    <w:rsid w:val="00373D00"/>
    <w:rsid w:val="003743E7"/>
    <w:rsid w:val="003745AA"/>
    <w:rsid w:val="003750F6"/>
    <w:rsid w:val="003758DA"/>
    <w:rsid w:val="003759F0"/>
    <w:rsid w:val="00375A8D"/>
    <w:rsid w:val="003760FC"/>
    <w:rsid w:val="00376129"/>
    <w:rsid w:val="00376916"/>
    <w:rsid w:val="00376BF2"/>
    <w:rsid w:val="00376CEF"/>
    <w:rsid w:val="00377B0A"/>
    <w:rsid w:val="00377BDC"/>
    <w:rsid w:val="003801E0"/>
    <w:rsid w:val="003802BD"/>
    <w:rsid w:val="00381667"/>
    <w:rsid w:val="00381D9A"/>
    <w:rsid w:val="00381E24"/>
    <w:rsid w:val="00381E6C"/>
    <w:rsid w:val="00382025"/>
    <w:rsid w:val="00382B9C"/>
    <w:rsid w:val="00382E9A"/>
    <w:rsid w:val="0038365C"/>
    <w:rsid w:val="0038369B"/>
    <w:rsid w:val="0038372C"/>
    <w:rsid w:val="00383B78"/>
    <w:rsid w:val="0038421F"/>
    <w:rsid w:val="00384757"/>
    <w:rsid w:val="003847EB"/>
    <w:rsid w:val="00384E24"/>
    <w:rsid w:val="0038551C"/>
    <w:rsid w:val="00385A9D"/>
    <w:rsid w:val="0038639A"/>
    <w:rsid w:val="00386938"/>
    <w:rsid w:val="00386B81"/>
    <w:rsid w:val="003879C5"/>
    <w:rsid w:val="00390185"/>
    <w:rsid w:val="003902B1"/>
    <w:rsid w:val="003906A7"/>
    <w:rsid w:val="003908E1"/>
    <w:rsid w:val="00390BD4"/>
    <w:rsid w:val="0039105F"/>
    <w:rsid w:val="00391550"/>
    <w:rsid w:val="003920A8"/>
    <w:rsid w:val="00392150"/>
    <w:rsid w:val="00392179"/>
    <w:rsid w:val="003925CE"/>
    <w:rsid w:val="00392874"/>
    <w:rsid w:val="00392B89"/>
    <w:rsid w:val="0039358B"/>
    <w:rsid w:val="00393D4E"/>
    <w:rsid w:val="00394F6F"/>
    <w:rsid w:val="003953D1"/>
    <w:rsid w:val="00396102"/>
    <w:rsid w:val="00396896"/>
    <w:rsid w:val="00396FD0"/>
    <w:rsid w:val="00397073"/>
    <w:rsid w:val="0039794F"/>
    <w:rsid w:val="00397AB9"/>
    <w:rsid w:val="00397C2C"/>
    <w:rsid w:val="00397E95"/>
    <w:rsid w:val="00397F13"/>
    <w:rsid w:val="003A0862"/>
    <w:rsid w:val="003A0C45"/>
    <w:rsid w:val="003A1183"/>
    <w:rsid w:val="003A1A7A"/>
    <w:rsid w:val="003A2392"/>
    <w:rsid w:val="003A2831"/>
    <w:rsid w:val="003A2AC6"/>
    <w:rsid w:val="003A321B"/>
    <w:rsid w:val="003A3ED1"/>
    <w:rsid w:val="003A42AA"/>
    <w:rsid w:val="003A480E"/>
    <w:rsid w:val="003A4E51"/>
    <w:rsid w:val="003A4FB0"/>
    <w:rsid w:val="003A5089"/>
    <w:rsid w:val="003A5817"/>
    <w:rsid w:val="003A5FB4"/>
    <w:rsid w:val="003A6503"/>
    <w:rsid w:val="003A67F5"/>
    <w:rsid w:val="003A7CA6"/>
    <w:rsid w:val="003A7FC5"/>
    <w:rsid w:val="003B0B3A"/>
    <w:rsid w:val="003B0FEA"/>
    <w:rsid w:val="003B221C"/>
    <w:rsid w:val="003B350D"/>
    <w:rsid w:val="003B3AAA"/>
    <w:rsid w:val="003B425C"/>
    <w:rsid w:val="003B44BD"/>
    <w:rsid w:val="003B55FD"/>
    <w:rsid w:val="003B5B61"/>
    <w:rsid w:val="003B5F2E"/>
    <w:rsid w:val="003B6E70"/>
    <w:rsid w:val="003B6E8B"/>
    <w:rsid w:val="003B7C70"/>
    <w:rsid w:val="003C0522"/>
    <w:rsid w:val="003C062C"/>
    <w:rsid w:val="003C0704"/>
    <w:rsid w:val="003C0B06"/>
    <w:rsid w:val="003C0C04"/>
    <w:rsid w:val="003C0F9C"/>
    <w:rsid w:val="003C1654"/>
    <w:rsid w:val="003C18AE"/>
    <w:rsid w:val="003C1E00"/>
    <w:rsid w:val="003C35D5"/>
    <w:rsid w:val="003C39B1"/>
    <w:rsid w:val="003C45EF"/>
    <w:rsid w:val="003C728B"/>
    <w:rsid w:val="003C7808"/>
    <w:rsid w:val="003C7D19"/>
    <w:rsid w:val="003D0259"/>
    <w:rsid w:val="003D0F29"/>
    <w:rsid w:val="003D1828"/>
    <w:rsid w:val="003D1DE4"/>
    <w:rsid w:val="003D2174"/>
    <w:rsid w:val="003D2422"/>
    <w:rsid w:val="003D248C"/>
    <w:rsid w:val="003D2ADD"/>
    <w:rsid w:val="003D2BD7"/>
    <w:rsid w:val="003D30EE"/>
    <w:rsid w:val="003D39A1"/>
    <w:rsid w:val="003D3C11"/>
    <w:rsid w:val="003D3FBF"/>
    <w:rsid w:val="003D4898"/>
    <w:rsid w:val="003D4A30"/>
    <w:rsid w:val="003D4A6F"/>
    <w:rsid w:val="003D4DC1"/>
    <w:rsid w:val="003D5F09"/>
    <w:rsid w:val="003D69CE"/>
    <w:rsid w:val="003D6B3C"/>
    <w:rsid w:val="003D79BB"/>
    <w:rsid w:val="003D7C98"/>
    <w:rsid w:val="003E0543"/>
    <w:rsid w:val="003E0770"/>
    <w:rsid w:val="003E0AE1"/>
    <w:rsid w:val="003E11CD"/>
    <w:rsid w:val="003E124C"/>
    <w:rsid w:val="003E17CF"/>
    <w:rsid w:val="003E19E3"/>
    <w:rsid w:val="003E22AF"/>
    <w:rsid w:val="003E29A0"/>
    <w:rsid w:val="003E2E5E"/>
    <w:rsid w:val="003E5C51"/>
    <w:rsid w:val="003E6472"/>
    <w:rsid w:val="003E76FC"/>
    <w:rsid w:val="003F0B1B"/>
    <w:rsid w:val="003F0F63"/>
    <w:rsid w:val="003F16C9"/>
    <w:rsid w:val="003F1F96"/>
    <w:rsid w:val="003F2847"/>
    <w:rsid w:val="003F2E80"/>
    <w:rsid w:val="003F2EBA"/>
    <w:rsid w:val="003F2F88"/>
    <w:rsid w:val="003F4156"/>
    <w:rsid w:val="003F41BB"/>
    <w:rsid w:val="003F45AE"/>
    <w:rsid w:val="003F4B94"/>
    <w:rsid w:val="003F5AB2"/>
    <w:rsid w:val="003F5C90"/>
    <w:rsid w:val="003F5C97"/>
    <w:rsid w:val="003F7E9A"/>
    <w:rsid w:val="004007B6"/>
    <w:rsid w:val="00400961"/>
    <w:rsid w:val="00400B29"/>
    <w:rsid w:val="00400D2F"/>
    <w:rsid w:val="00400EC6"/>
    <w:rsid w:val="004019B0"/>
    <w:rsid w:val="004036DC"/>
    <w:rsid w:val="004043D9"/>
    <w:rsid w:val="0040483C"/>
    <w:rsid w:val="0040504B"/>
    <w:rsid w:val="004061FF"/>
    <w:rsid w:val="00406361"/>
    <w:rsid w:val="00406B31"/>
    <w:rsid w:val="00407291"/>
    <w:rsid w:val="00407858"/>
    <w:rsid w:val="004104F5"/>
    <w:rsid w:val="00410708"/>
    <w:rsid w:val="00410EC7"/>
    <w:rsid w:val="00411392"/>
    <w:rsid w:val="00411B39"/>
    <w:rsid w:val="00412463"/>
    <w:rsid w:val="004124C0"/>
    <w:rsid w:val="00412F59"/>
    <w:rsid w:val="00413A1E"/>
    <w:rsid w:val="00414476"/>
    <w:rsid w:val="00414B9C"/>
    <w:rsid w:val="00414C2E"/>
    <w:rsid w:val="004151CF"/>
    <w:rsid w:val="0041583B"/>
    <w:rsid w:val="00416364"/>
    <w:rsid w:val="00417533"/>
    <w:rsid w:val="0041787F"/>
    <w:rsid w:val="00417DAB"/>
    <w:rsid w:val="004203D0"/>
    <w:rsid w:val="00420512"/>
    <w:rsid w:val="00420AA6"/>
    <w:rsid w:val="00420B34"/>
    <w:rsid w:val="00420B9F"/>
    <w:rsid w:val="00420E31"/>
    <w:rsid w:val="00422260"/>
    <w:rsid w:val="004227CA"/>
    <w:rsid w:val="004233A7"/>
    <w:rsid w:val="00423C7D"/>
    <w:rsid w:val="0042413F"/>
    <w:rsid w:val="004246E9"/>
    <w:rsid w:val="00424D64"/>
    <w:rsid w:val="00424E93"/>
    <w:rsid w:val="00425230"/>
    <w:rsid w:val="004253DC"/>
    <w:rsid w:val="004266AE"/>
    <w:rsid w:val="00426A25"/>
    <w:rsid w:val="00426FFA"/>
    <w:rsid w:val="00427470"/>
    <w:rsid w:val="00430779"/>
    <w:rsid w:val="0043160A"/>
    <w:rsid w:val="004319F8"/>
    <w:rsid w:val="00431E55"/>
    <w:rsid w:val="004321F6"/>
    <w:rsid w:val="00432310"/>
    <w:rsid w:val="0043266F"/>
    <w:rsid w:val="00432A98"/>
    <w:rsid w:val="00432BD7"/>
    <w:rsid w:val="00433044"/>
    <w:rsid w:val="0043368D"/>
    <w:rsid w:val="004339C4"/>
    <w:rsid w:val="00433B01"/>
    <w:rsid w:val="0043437E"/>
    <w:rsid w:val="00434EB0"/>
    <w:rsid w:val="00435E23"/>
    <w:rsid w:val="00436081"/>
    <w:rsid w:val="004373D4"/>
    <w:rsid w:val="004375B9"/>
    <w:rsid w:val="00437DAA"/>
    <w:rsid w:val="00440298"/>
    <w:rsid w:val="0044120C"/>
    <w:rsid w:val="0044139A"/>
    <w:rsid w:val="00441591"/>
    <w:rsid w:val="00441B85"/>
    <w:rsid w:val="00441DBF"/>
    <w:rsid w:val="004423B6"/>
    <w:rsid w:val="004428D0"/>
    <w:rsid w:val="00443458"/>
    <w:rsid w:val="00443979"/>
    <w:rsid w:val="0044408D"/>
    <w:rsid w:val="004443A7"/>
    <w:rsid w:val="0044442C"/>
    <w:rsid w:val="004448E1"/>
    <w:rsid w:val="00444B3E"/>
    <w:rsid w:val="00444F29"/>
    <w:rsid w:val="00445941"/>
    <w:rsid w:val="004459F2"/>
    <w:rsid w:val="00445DB6"/>
    <w:rsid w:val="004462EA"/>
    <w:rsid w:val="004464EB"/>
    <w:rsid w:val="0044706D"/>
    <w:rsid w:val="00447B8E"/>
    <w:rsid w:val="00447D26"/>
    <w:rsid w:val="004505EC"/>
    <w:rsid w:val="00450D01"/>
    <w:rsid w:val="00451896"/>
    <w:rsid w:val="00452C66"/>
    <w:rsid w:val="004540A1"/>
    <w:rsid w:val="004542A3"/>
    <w:rsid w:val="004550E7"/>
    <w:rsid w:val="0045540A"/>
    <w:rsid w:val="00455BC2"/>
    <w:rsid w:val="00455D45"/>
    <w:rsid w:val="00456552"/>
    <w:rsid w:val="004579ED"/>
    <w:rsid w:val="00457C31"/>
    <w:rsid w:val="00457F17"/>
    <w:rsid w:val="00460944"/>
    <w:rsid w:val="0046117A"/>
    <w:rsid w:val="004619D4"/>
    <w:rsid w:val="00463120"/>
    <w:rsid w:val="00464595"/>
    <w:rsid w:val="004654C0"/>
    <w:rsid w:val="0046648A"/>
    <w:rsid w:val="00466507"/>
    <w:rsid w:val="00466A96"/>
    <w:rsid w:val="004673C9"/>
    <w:rsid w:val="00471464"/>
    <w:rsid w:val="0047232F"/>
    <w:rsid w:val="00472495"/>
    <w:rsid w:val="00472A79"/>
    <w:rsid w:val="004731AC"/>
    <w:rsid w:val="00473865"/>
    <w:rsid w:val="00473F19"/>
    <w:rsid w:val="00473FF3"/>
    <w:rsid w:val="004741C9"/>
    <w:rsid w:val="00474B60"/>
    <w:rsid w:val="00474FC4"/>
    <w:rsid w:val="00475E22"/>
    <w:rsid w:val="004761DC"/>
    <w:rsid w:val="004767E0"/>
    <w:rsid w:val="00476EA9"/>
    <w:rsid w:val="004778F7"/>
    <w:rsid w:val="00477F51"/>
    <w:rsid w:val="00477FE7"/>
    <w:rsid w:val="0048088E"/>
    <w:rsid w:val="00480924"/>
    <w:rsid w:val="00481384"/>
    <w:rsid w:val="004814DE"/>
    <w:rsid w:val="00482720"/>
    <w:rsid w:val="004835E7"/>
    <w:rsid w:val="00483980"/>
    <w:rsid w:val="0048398D"/>
    <w:rsid w:val="00483CDF"/>
    <w:rsid w:val="00483EA3"/>
    <w:rsid w:val="0048413D"/>
    <w:rsid w:val="00485935"/>
    <w:rsid w:val="00485B0D"/>
    <w:rsid w:val="004867E2"/>
    <w:rsid w:val="00487781"/>
    <w:rsid w:val="00491162"/>
    <w:rsid w:val="00491B3A"/>
    <w:rsid w:val="00492871"/>
    <w:rsid w:val="00492C5E"/>
    <w:rsid w:val="00492CFD"/>
    <w:rsid w:val="00492D96"/>
    <w:rsid w:val="00494DD5"/>
    <w:rsid w:val="0049513C"/>
    <w:rsid w:val="0049556D"/>
    <w:rsid w:val="004962D2"/>
    <w:rsid w:val="004A0187"/>
    <w:rsid w:val="004A082D"/>
    <w:rsid w:val="004A0890"/>
    <w:rsid w:val="004A0DA1"/>
    <w:rsid w:val="004A1785"/>
    <w:rsid w:val="004A1DA5"/>
    <w:rsid w:val="004A1F98"/>
    <w:rsid w:val="004A295C"/>
    <w:rsid w:val="004A2D51"/>
    <w:rsid w:val="004A38DE"/>
    <w:rsid w:val="004A407B"/>
    <w:rsid w:val="004A40F5"/>
    <w:rsid w:val="004A4624"/>
    <w:rsid w:val="004A4788"/>
    <w:rsid w:val="004A4F85"/>
    <w:rsid w:val="004A52E9"/>
    <w:rsid w:val="004A5F23"/>
    <w:rsid w:val="004A6597"/>
    <w:rsid w:val="004A66CE"/>
    <w:rsid w:val="004A6F3C"/>
    <w:rsid w:val="004A7170"/>
    <w:rsid w:val="004A7848"/>
    <w:rsid w:val="004A7A3D"/>
    <w:rsid w:val="004B038D"/>
    <w:rsid w:val="004B045B"/>
    <w:rsid w:val="004B09DC"/>
    <w:rsid w:val="004B15DE"/>
    <w:rsid w:val="004B1CB4"/>
    <w:rsid w:val="004B2168"/>
    <w:rsid w:val="004B2A1B"/>
    <w:rsid w:val="004B2EC1"/>
    <w:rsid w:val="004B2F18"/>
    <w:rsid w:val="004B3C64"/>
    <w:rsid w:val="004B3DDB"/>
    <w:rsid w:val="004B3ECE"/>
    <w:rsid w:val="004B44FD"/>
    <w:rsid w:val="004B4CB1"/>
    <w:rsid w:val="004B5782"/>
    <w:rsid w:val="004B5BB7"/>
    <w:rsid w:val="004B5CD8"/>
    <w:rsid w:val="004B5CFC"/>
    <w:rsid w:val="004B6034"/>
    <w:rsid w:val="004B6612"/>
    <w:rsid w:val="004B774D"/>
    <w:rsid w:val="004C065C"/>
    <w:rsid w:val="004C0C65"/>
    <w:rsid w:val="004C0CC9"/>
    <w:rsid w:val="004C0D12"/>
    <w:rsid w:val="004C37F8"/>
    <w:rsid w:val="004C38F2"/>
    <w:rsid w:val="004C463C"/>
    <w:rsid w:val="004C4AED"/>
    <w:rsid w:val="004C5877"/>
    <w:rsid w:val="004C6050"/>
    <w:rsid w:val="004C684B"/>
    <w:rsid w:val="004C710D"/>
    <w:rsid w:val="004C723F"/>
    <w:rsid w:val="004C7718"/>
    <w:rsid w:val="004C7AD5"/>
    <w:rsid w:val="004D0F4F"/>
    <w:rsid w:val="004D1D2D"/>
    <w:rsid w:val="004D2C18"/>
    <w:rsid w:val="004D2C2D"/>
    <w:rsid w:val="004D31ED"/>
    <w:rsid w:val="004D351A"/>
    <w:rsid w:val="004D3B76"/>
    <w:rsid w:val="004D5B4C"/>
    <w:rsid w:val="004D7227"/>
    <w:rsid w:val="004E02FE"/>
    <w:rsid w:val="004E0E7F"/>
    <w:rsid w:val="004E0EB8"/>
    <w:rsid w:val="004E27FF"/>
    <w:rsid w:val="004E2ADC"/>
    <w:rsid w:val="004E332B"/>
    <w:rsid w:val="004E3460"/>
    <w:rsid w:val="004E3A9F"/>
    <w:rsid w:val="004E3C38"/>
    <w:rsid w:val="004E43B2"/>
    <w:rsid w:val="004E49CF"/>
    <w:rsid w:val="004E51FF"/>
    <w:rsid w:val="004E52CD"/>
    <w:rsid w:val="004E5C26"/>
    <w:rsid w:val="004E5C3D"/>
    <w:rsid w:val="004E6032"/>
    <w:rsid w:val="004E63F7"/>
    <w:rsid w:val="004E7383"/>
    <w:rsid w:val="004E74C9"/>
    <w:rsid w:val="004F112D"/>
    <w:rsid w:val="004F163B"/>
    <w:rsid w:val="004F1885"/>
    <w:rsid w:val="004F1A90"/>
    <w:rsid w:val="004F1D02"/>
    <w:rsid w:val="004F1F1F"/>
    <w:rsid w:val="004F22F2"/>
    <w:rsid w:val="004F2679"/>
    <w:rsid w:val="004F2B99"/>
    <w:rsid w:val="004F2F21"/>
    <w:rsid w:val="004F3075"/>
    <w:rsid w:val="004F443C"/>
    <w:rsid w:val="004F44A5"/>
    <w:rsid w:val="004F4F38"/>
    <w:rsid w:val="004F5FF0"/>
    <w:rsid w:val="004F6913"/>
    <w:rsid w:val="004F7016"/>
    <w:rsid w:val="004F7865"/>
    <w:rsid w:val="004F7904"/>
    <w:rsid w:val="004F7FCD"/>
    <w:rsid w:val="00500308"/>
    <w:rsid w:val="00500A4A"/>
    <w:rsid w:val="00500EDA"/>
    <w:rsid w:val="0050124A"/>
    <w:rsid w:val="005015C6"/>
    <w:rsid w:val="00501B2E"/>
    <w:rsid w:val="00501BA8"/>
    <w:rsid w:val="005020DB"/>
    <w:rsid w:val="0050219B"/>
    <w:rsid w:val="0050324C"/>
    <w:rsid w:val="0050331B"/>
    <w:rsid w:val="005035BE"/>
    <w:rsid w:val="00503F01"/>
    <w:rsid w:val="00503F17"/>
    <w:rsid w:val="0050533E"/>
    <w:rsid w:val="005054A6"/>
    <w:rsid w:val="00505A21"/>
    <w:rsid w:val="005060DA"/>
    <w:rsid w:val="00506283"/>
    <w:rsid w:val="005063DA"/>
    <w:rsid w:val="00506928"/>
    <w:rsid w:val="00507567"/>
    <w:rsid w:val="00510E2F"/>
    <w:rsid w:val="005113C9"/>
    <w:rsid w:val="00511454"/>
    <w:rsid w:val="00511DAA"/>
    <w:rsid w:val="00512218"/>
    <w:rsid w:val="0051250D"/>
    <w:rsid w:val="0051269D"/>
    <w:rsid w:val="00513C56"/>
    <w:rsid w:val="00514078"/>
    <w:rsid w:val="005140F3"/>
    <w:rsid w:val="00514C65"/>
    <w:rsid w:val="0051514E"/>
    <w:rsid w:val="005152B5"/>
    <w:rsid w:val="00515DC1"/>
    <w:rsid w:val="00516572"/>
    <w:rsid w:val="00516A62"/>
    <w:rsid w:val="00517A42"/>
    <w:rsid w:val="005200FD"/>
    <w:rsid w:val="005204D2"/>
    <w:rsid w:val="00521319"/>
    <w:rsid w:val="0052181C"/>
    <w:rsid w:val="0052194C"/>
    <w:rsid w:val="00522329"/>
    <w:rsid w:val="00522360"/>
    <w:rsid w:val="00522BC8"/>
    <w:rsid w:val="00522E3F"/>
    <w:rsid w:val="0052312D"/>
    <w:rsid w:val="00523C28"/>
    <w:rsid w:val="00524D42"/>
    <w:rsid w:val="005250E6"/>
    <w:rsid w:val="005256E2"/>
    <w:rsid w:val="00526B23"/>
    <w:rsid w:val="005301D4"/>
    <w:rsid w:val="00530EF3"/>
    <w:rsid w:val="005322D9"/>
    <w:rsid w:val="00532BBC"/>
    <w:rsid w:val="00532D1D"/>
    <w:rsid w:val="0053342D"/>
    <w:rsid w:val="00533900"/>
    <w:rsid w:val="00533F04"/>
    <w:rsid w:val="00534F11"/>
    <w:rsid w:val="00535659"/>
    <w:rsid w:val="005359F6"/>
    <w:rsid w:val="00535F24"/>
    <w:rsid w:val="00536597"/>
    <w:rsid w:val="00536744"/>
    <w:rsid w:val="00536A10"/>
    <w:rsid w:val="00536B3A"/>
    <w:rsid w:val="00536E1F"/>
    <w:rsid w:val="00536F42"/>
    <w:rsid w:val="00536F5F"/>
    <w:rsid w:val="00537182"/>
    <w:rsid w:val="0053771E"/>
    <w:rsid w:val="00537E7D"/>
    <w:rsid w:val="00537FFC"/>
    <w:rsid w:val="0054016E"/>
    <w:rsid w:val="00540BD9"/>
    <w:rsid w:val="00540DE6"/>
    <w:rsid w:val="00541487"/>
    <w:rsid w:val="005418F9"/>
    <w:rsid w:val="005421B6"/>
    <w:rsid w:val="00542743"/>
    <w:rsid w:val="00542C2D"/>
    <w:rsid w:val="00543145"/>
    <w:rsid w:val="0054371C"/>
    <w:rsid w:val="00543746"/>
    <w:rsid w:val="00543AC1"/>
    <w:rsid w:val="00543EEC"/>
    <w:rsid w:val="00544117"/>
    <w:rsid w:val="005442A8"/>
    <w:rsid w:val="0054439A"/>
    <w:rsid w:val="005443BE"/>
    <w:rsid w:val="00544B42"/>
    <w:rsid w:val="0054520B"/>
    <w:rsid w:val="005455D6"/>
    <w:rsid w:val="00546714"/>
    <w:rsid w:val="0054724F"/>
    <w:rsid w:val="00547855"/>
    <w:rsid w:val="005500B4"/>
    <w:rsid w:val="00550D22"/>
    <w:rsid w:val="0055112F"/>
    <w:rsid w:val="00551159"/>
    <w:rsid w:val="0055187F"/>
    <w:rsid w:val="00551985"/>
    <w:rsid w:val="0055280E"/>
    <w:rsid w:val="00552BD3"/>
    <w:rsid w:val="005530F1"/>
    <w:rsid w:val="0055325C"/>
    <w:rsid w:val="005534FF"/>
    <w:rsid w:val="005535A4"/>
    <w:rsid w:val="00553F47"/>
    <w:rsid w:val="00555109"/>
    <w:rsid w:val="005559F0"/>
    <w:rsid w:val="00555CFC"/>
    <w:rsid w:val="005570EC"/>
    <w:rsid w:val="005578F9"/>
    <w:rsid w:val="00557C30"/>
    <w:rsid w:val="00557F5B"/>
    <w:rsid w:val="0056036E"/>
    <w:rsid w:val="00561ACF"/>
    <w:rsid w:val="0056245C"/>
    <w:rsid w:val="00564339"/>
    <w:rsid w:val="00564C67"/>
    <w:rsid w:val="0056539F"/>
    <w:rsid w:val="0056572B"/>
    <w:rsid w:val="00565EC6"/>
    <w:rsid w:val="005665C6"/>
    <w:rsid w:val="0056696F"/>
    <w:rsid w:val="00566A64"/>
    <w:rsid w:val="005672DB"/>
    <w:rsid w:val="00567A6E"/>
    <w:rsid w:val="00567B56"/>
    <w:rsid w:val="00567DB2"/>
    <w:rsid w:val="00567FD2"/>
    <w:rsid w:val="00570E1F"/>
    <w:rsid w:val="00572269"/>
    <w:rsid w:val="0057244A"/>
    <w:rsid w:val="00572819"/>
    <w:rsid w:val="00573626"/>
    <w:rsid w:val="00573707"/>
    <w:rsid w:val="005741A5"/>
    <w:rsid w:val="005741AC"/>
    <w:rsid w:val="005750F3"/>
    <w:rsid w:val="00575539"/>
    <w:rsid w:val="00575626"/>
    <w:rsid w:val="005756E1"/>
    <w:rsid w:val="00575D8D"/>
    <w:rsid w:val="00575DD1"/>
    <w:rsid w:val="00576107"/>
    <w:rsid w:val="0057672D"/>
    <w:rsid w:val="00576972"/>
    <w:rsid w:val="00577134"/>
    <w:rsid w:val="005772EA"/>
    <w:rsid w:val="0057771A"/>
    <w:rsid w:val="0058010B"/>
    <w:rsid w:val="0058038A"/>
    <w:rsid w:val="00581D58"/>
    <w:rsid w:val="00582074"/>
    <w:rsid w:val="00582811"/>
    <w:rsid w:val="00582840"/>
    <w:rsid w:val="00583699"/>
    <w:rsid w:val="0058371B"/>
    <w:rsid w:val="005838B7"/>
    <w:rsid w:val="00583932"/>
    <w:rsid w:val="00584439"/>
    <w:rsid w:val="00584C7B"/>
    <w:rsid w:val="00585C2D"/>
    <w:rsid w:val="00585CDD"/>
    <w:rsid w:val="00585E22"/>
    <w:rsid w:val="00585EDB"/>
    <w:rsid w:val="00587058"/>
    <w:rsid w:val="00587D44"/>
    <w:rsid w:val="005909C7"/>
    <w:rsid w:val="00590B63"/>
    <w:rsid w:val="00591957"/>
    <w:rsid w:val="00591BE0"/>
    <w:rsid w:val="00592B7D"/>
    <w:rsid w:val="00592D92"/>
    <w:rsid w:val="00593C79"/>
    <w:rsid w:val="005951A5"/>
    <w:rsid w:val="00595EB1"/>
    <w:rsid w:val="00596D37"/>
    <w:rsid w:val="00597BF9"/>
    <w:rsid w:val="00597C42"/>
    <w:rsid w:val="005A143E"/>
    <w:rsid w:val="005A166D"/>
    <w:rsid w:val="005A18F9"/>
    <w:rsid w:val="005A1A08"/>
    <w:rsid w:val="005A1DF5"/>
    <w:rsid w:val="005A1FED"/>
    <w:rsid w:val="005A2393"/>
    <w:rsid w:val="005A28A7"/>
    <w:rsid w:val="005A323E"/>
    <w:rsid w:val="005A373D"/>
    <w:rsid w:val="005A37A7"/>
    <w:rsid w:val="005A3960"/>
    <w:rsid w:val="005A3D56"/>
    <w:rsid w:val="005A4969"/>
    <w:rsid w:val="005A539C"/>
    <w:rsid w:val="005A563F"/>
    <w:rsid w:val="005A668C"/>
    <w:rsid w:val="005A75CD"/>
    <w:rsid w:val="005A7AF6"/>
    <w:rsid w:val="005B08D7"/>
    <w:rsid w:val="005B118D"/>
    <w:rsid w:val="005B1B57"/>
    <w:rsid w:val="005B271D"/>
    <w:rsid w:val="005B3322"/>
    <w:rsid w:val="005B3D93"/>
    <w:rsid w:val="005B4A89"/>
    <w:rsid w:val="005B4C9E"/>
    <w:rsid w:val="005B4FB3"/>
    <w:rsid w:val="005B5766"/>
    <w:rsid w:val="005B5857"/>
    <w:rsid w:val="005B5AB4"/>
    <w:rsid w:val="005B5D01"/>
    <w:rsid w:val="005B61A6"/>
    <w:rsid w:val="005B65B2"/>
    <w:rsid w:val="005B69FD"/>
    <w:rsid w:val="005B7B44"/>
    <w:rsid w:val="005B7ED8"/>
    <w:rsid w:val="005C03D8"/>
    <w:rsid w:val="005C1233"/>
    <w:rsid w:val="005C133E"/>
    <w:rsid w:val="005C17E9"/>
    <w:rsid w:val="005C1B83"/>
    <w:rsid w:val="005C2D55"/>
    <w:rsid w:val="005C2FDB"/>
    <w:rsid w:val="005C346B"/>
    <w:rsid w:val="005C3674"/>
    <w:rsid w:val="005C47AF"/>
    <w:rsid w:val="005C4D81"/>
    <w:rsid w:val="005C5585"/>
    <w:rsid w:val="005C5EAA"/>
    <w:rsid w:val="005C63F9"/>
    <w:rsid w:val="005C781C"/>
    <w:rsid w:val="005C7E8F"/>
    <w:rsid w:val="005D044D"/>
    <w:rsid w:val="005D0ABD"/>
    <w:rsid w:val="005D18AD"/>
    <w:rsid w:val="005D26B4"/>
    <w:rsid w:val="005D2DD2"/>
    <w:rsid w:val="005D377C"/>
    <w:rsid w:val="005D4ACC"/>
    <w:rsid w:val="005D4B48"/>
    <w:rsid w:val="005D609B"/>
    <w:rsid w:val="005D736E"/>
    <w:rsid w:val="005D75BB"/>
    <w:rsid w:val="005E01A9"/>
    <w:rsid w:val="005E0361"/>
    <w:rsid w:val="005E0972"/>
    <w:rsid w:val="005E0D87"/>
    <w:rsid w:val="005E1700"/>
    <w:rsid w:val="005E1915"/>
    <w:rsid w:val="005E212D"/>
    <w:rsid w:val="005E22C8"/>
    <w:rsid w:val="005E270C"/>
    <w:rsid w:val="005E2D6C"/>
    <w:rsid w:val="005E3115"/>
    <w:rsid w:val="005E361B"/>
    <w:rsid w:val="005E3C11"/>
    <w:rsid w:val="005E4749"/>
    <w:rsid w:val="005E4767"/>
    <w:rsid w:val="005E56C2"/>
    <w:rsid w:val="005E5736"/>
    <w:rsid w:val="005E5DDD"/>
    <w:rsid w:val="005E6CBC"/>
    <w:rsid w:val="005E73C0"/>
    <w:rsid w:val="005F1191"/>
    <w:rsid w:val="005F184E"/>
    <w:rsid w:val="005F25DF"/>
    <w:rsid w:val="005F2706"/>
    <w:rsid w:val="005F2A9A"/>
    <w:rsid w:val="005F2EC9"/>
    <w:rsid w:val="005F3DE6"/>
    <w:rsid w:val="005F52B8"/>
    <w:rsid w:val="005F5B80"/>
    <w:rsid w:val="005F6A8F"/>
    <w:rsid w:val="005F6B06"/>
    <w:rsid w:val="005F7AB5"/>
    <w:rsid w:val="0060012D"/>
    <w:rsid w:val="0060039C"/>
    <w:rsid w:val="00600400"/>
    <w:rsid w:val="00601B6D"/>
    <w:rsid w:val="00601D9E"/>
    <w:rsid w:val="00601E12"/>
    <w:rsid w:val="00602030"/>
    <w:rsid w:val="00602188"/>
    <w:rsid w:val="006021AA"/>
    <w:rsid w:val="0060294B"/>
    <w:rsid w:val="00602AE5"/>
    <w:rsid w:val="00602EAA"/>
    <w:rsid w:val="00602F5C"/>
    <w:rsid w:val="006033AC"/>
    <w:rsid w:val="006035F5"/>
    <w:rsid w:val="00603DB9"/>
    <w:rsid w:val="00603E72"/>
    <w:rsid w:val="00605929"/>
    <w:rsid w:val="0060634F"/>
    <w:rsid w:val="00606375"/>
    <w:rsid w:val="0060655A"/>
    <w:rsid w:val="00607669"/>
    <w:rsid w:val="00607A24"/>
    <w:rsid w:val="00607A7C"/>
    <w:rsid w:val="00607AFD"/>
    <w:rsid w:val="006101C6"/>
    <w:rsid w:val="00612058"/>
    <w:rsid w:val="00612186"/>
    <w:rsid w:val="00612F6A"/>
    <w:rsid w:val="00612F97"/>
    <w:rsid w:val="0061345D"/>
    <w:rsid w:val="006148B9"/>
    <w:rsid w:val="006162FE"/>
    <w:rsid w:val="0061634E"/>
    <w:rsid w:val="00616802"/>
    <w:rsid w:val="00616C08"/>
    <w:rsid w:val="00616E94"/>
    <w:rsid w:val="00616ECA"/>
    <w:rsid w:val="006173E0"/>
    <w:rsid w:val="00617E12"/>
    <w:rsid w:val="00620030"/>
    <w:rsid w:val="00621477"/>
    <w:rsid w:val="00622EA6"/>
    <w:rsid w:val="00622EFE"/>
    <w:rsid w:val="006233BD"/>
    <w:rsid w:val="00623664"/>
    <w:rsid w:val="00624A99"/>
    <w:rsid w:val="00625670"/>
    <w:rsid w:val="00625932"/>
    <w:rsid w:val="006260E9"/>
    <w:rsid w:val="0062686F"/>
    <w:rsid w:val="00627172"/>
    <w:rsid w:val="00627C73"/>
    <w:rsid w:val="006301D0"/>
    <w:rsid w:val="006305A8"/>
    <w:rsid w:val="0063066A"/>
    <w:rsid w:val="00630E6A"/>
    <w:rsid w:val="0063158F"/>
    <w:rsid w:val="00631D6B"/>
    <w:rsid w:val="00632837"/>
    <w:rsid w:val="00632E28"/>
    <w:rsid w:val="006330A1"/>
    <w:rsid w:val="00633251"/>
    <w:rsid w:val="006341F2"/>
    <w:rsid w:val="00634476"/>
    <w:rsid w:val="00634755"/>
    <w:rsid w:val="0063479F"/>
    <w:rsid w:val="00634CC8"/>
    <w:rsid w:val="00634DE3"/>
    <w:rsid w:val="006353F0"/>
    <w:rsid w:val="006359BE"/>
    <w:rsid w:val="00635F9B"/>
    <w:rsid w:val="00636153"/>
    <w:rsid w:val="00636265"/>
    <w:rsid w:val="006364A1"/>
    <w:rsid w:val="0063679F"/>
    <w:rsid w:val="00636934"/>
    <w:rsid w:val="006375B2"/>
    <w:rsid w:val="00637BED"/>
    <w:rsid w:val="00637BFD"/>
    <w:rsid w:val="00640D20"/>
    <w:rsid w:val="006412DC"/>
    <w:rsid w:val="006414BE"/>
    <w:rsid w:val="00641657"/>
    <w:rsid w:val="00641C4E"/>
    <w:rsid w:val="006424CD"/>
    <w:rsid w:val="00642C54"/>
    <w:rsid w:val="00642EF4"/>
    <w:rsid w:val="006432B1"/>
    <w:rsid w:val="0064502B"/>
    <w:rsid w:val="006450D7"/>
    <w:rsid w:val="006451CD"/>
    <w:rsid w:val="00645204"/>
    <w:rsid w:val="0064532C"/>
    <w:rsid w:val="0064540C"/>
    <w:rsid w:val="006458EE"/>
    <w:rsid w:val="00645E5D"/>
    <w:rsid w:val="006469BA"/>
    <w:rsid w:val="00647054"/>
    <w:rsid w:val="006471CC"/>
    <w:rsid w:val="00650452"/>
    <w:rsid w:val="0065079F"/>
    <w:rsid w:val="00650822"/>
    <w:rsid w:val="006508A8"/>
    <w:rsid w:val="00651191"/>
    <w:rsid w:val="00651266"/>
    <w:rsid w:val="00652667"/>
    <w:rsid w:val="00652AF3"/>
    <w:rsid w:val="0065379F"/>
    <w:rsid w:val="006540B3"/>
    <w:rsid w:val="00654262"/>
    <w:rsid w:val="00654D8F"/>
    <w:rsid w:val="006552F4"/>
    <w:rsid w:val="006555D1"/>
    <w:rsid w:val="006557A6"/>
    <w:rsid w:val="0065658A"/>
    <w:rsid w:val="006577E1"/>
    <w:rsid w:val="00660C8A"/>
    <w:rsid w:val="0066118F"/>
    <w:rsid w:val="00661C6B"/>
    <w:rsid w:val="00662B2C"/>
    <w:rsid w:val="00662B4E"/>
    <w:rsid w:val="00662D70"/>
    <w:rsid w:val="00662D96"/>
    <w:rsid w:val="00663647"/>
    <w:rsid w:val="00663E2D"/>
    <w:rsid w:val="0066405F"/>
    <w:rsid w:val="006648CB"/>
    <w:rsid w:val="0066493A"/>
    <w:rsid w:val="00665291"/>
    <w:rsid w:val="006667B2"/>
    <w:rsid w:val="00667F13"/>
    <w:rsid w:val="00670080"/>
    <w:rsid w:val="00670263"/>
    <w:rsid w:val="0067031E"/>
    <w:rsid w:val="00670BE9"/>
    <w:rsid w:val="00671002"/>
    <w:rsid w:val="006710CA"/>
    <w:rsid w:val="00671BF7"/>
    <w:rsid w:val="00672FE5"/>
    <w:rsid w:val="00674251"/>
    <w:rsid w:val="00674994"/>
    <w:rsid w:val="00674A6F"/>
    <w:rsid w:val="00674E42"/>
    <w:rsid w:val="00676065"/>
    <w:rsid w:val="0067697C"/>
    <w:rsid w:val="00680D45"/>
    <w:rsid w:val="00682112"/>
    <w:rsid w:val="0068261E"/>
    <w:rsid w:val="00682D6B"/>
    <w:rsid w:val="006835C9"/>
    <w:rsid w:val="00683D0B"/>
    <w:rsid w:val="0068412A"/>
    <w:rsid w:val="006841A5"/>
    <w:rsid w:val="00684F49"/>
    <w:rsid w:val="006850AC"/>
    <w:rsid w:val="00685294"/>
    <w:rsid w:val="00685375"/>
    <w:rsid w:val="00685DB0"/>
    <w:rsid w:val="00686957"/>
    <w:rsid w:val="00686C1E"/>
    <w:rsid w:val="006872BA"/>
    <w:rsid w:val="00687489"/>
    <w:rsid w:val="00687B24"/>
    <w:rsid w:val="00691648"/>
    <w:rsid w:val="006917D7"/>
    <w:rsid w:val="00691D4F"/>
    <w:rsid w:val="006924A5"/>
    <w:rsid w:val="006926F3"/>
    <w:rsid w:val="00692793"/>
    <w:rsid w:val="00692C3A"/>
    <w:rsid w:val="00694D44"/>
    <w:rsid w:val="00694F44"/>
    <w:rsid w:val="00695567"/>
    <w:rsid w:val="00696BA9"/>
    <w:rsid w:val="00697865"/>
    <w:rsid w:val="006A1890"/>
    <w:rsid w:val="006A25A4"/>
    <w:rsid w:val="006A28AF"/>
    <w:rsid w:val="006A291F"/>
    <w:rsid w:val="006A3428"/>
    <w:rsid w:val="006A34C4"/>
    <w:rsid w:val="006A46D9"/>
    <w:rsid w:val="006A4D28"/>
    <w:rsid w:val="006A5769"/>
    <w:rsid w:val="006A5E0C"/>
    <w:rsid w:val="006A616C"/>
    <w:rsid w:val="006A61B7"/>
    <w:rsid w:val="006A651C"/>
    <w:rsid w:val="006A6E4C"/>
    <w:rsid w:val="006A6EBC"/>
    <w:rsid w:val="006A73A4"/>
    <w:rsid w:val="006A7E5F"/>
    <w:rsid w:val="006B0C71"/>
    <w:rsid w:val="006B1218"/>
    <w:rsid w:val="006B261B"/>
    <w:rsid w:val="006B26B3"/>
    <w:rsid w:val="006B2BCD"/>
    <w:rsid w:val="006B2C1C"/>
    <w:rsid w:val="006B2C90"/>
    <w:rsid w:val="006B2D5A"/>
    <w:rsid w:val="006B3169"/>
    <w:rsid w:val="006B393B"/>
    <w:rsid w:val="006B5FD0"/>
    <w:rsid w:val="006B6241"/>
    <w:rsid w:val="006B665B"/>
    <w:rsid w:val="006B6B96"/>
    <w:rsid w:val="006B6C2C"/>
    <w:rsid w:val="006B6DD0"/>
    <w:rsid w:val="006B761D"/>
    <w:rsid w:val="006B7952"/>
    <w:rsid w:val="006B7D94"/>
    <w:rsid w:val="006C0193"/>
    <w:rsid w:val="006C036B"/>
    <w:rsid w:val="006C08DE"/>
    <w:rsid w:val="006C12E0"/>
    <w:rsid w:val="006C19CC"/>
    <w:rsid w:val="006C2089"/>
    <w:rsid w:val="006C2257"/>
    <w:rsid w:val="006C2A32"/>
    <w:rsid w:val="006C2A8E"/>
    <w:rsid w:val="006C2C31"/>
    <w:rsid w:val="006C41E5"/>
    <w:rsid w:val="006C4402"/>
    <w:rsid w:val="006C461D"/>
    <w:rsid w:val="006C5DE0"/>
    <w:rsid w:val="006C5E51"/>
    <w:rsid w:val="006C5FF7"/>
    <w:rsid w:val="006C6C04"/>
    <w:rsid w:val="006C6C3E"/>
    <w:rsid w:val="006D0261"/>
    <w:rsid w:val="006D1B61"/>
    <w:rsid w:val="006D245D"/>
    <w:rsid w:val="006D275E"/>
    <w:rsid w:val="006D2CBF"/>
    <w:rsid w:val="006D3367"/>
    <w:rsid w:val="006D3C7D"/>
    <w:rsid w:val="006D458E"/>
    <w:rsid w:val="006D5308"/>
    <w:rsid w:val="006D5D5F"/>
    <w:rsid w:val="006D6AFE"/>
    <w:rsid w:val="006D759F"/>
    <w:rsid w:val="006E0E7D"/>
    <w:rsid w:val="006E19FF"/>
    <w:rsid w:val="006E1A16"/>
    <w:rsid w:val="006E1AB2"/>
    <w:rsid w:val="006E1E3A"/>
    <w:rsid w:val="006E22B2"/>
    <w:rsid w:val="006E23E9"/>
    <w:rsid w:val="006E305E"/>
    <w:rsid w:val="006E3B46"/>
    <w:rsid w:val="006E3CE2"/>
    <w:rsid w:val="006E3E3A"/>
    <w:rsid w:val="006E4294"/>
    <w:rsid w:val="006E6E37"/>
    <w:rsid w:val="006E6F1D"/>
    <w:rsid w:val="006E71D7"/>
    <w:rsid w:val="006E782A"/>
    <w:rsid w:val="006E7A55"/>
    <w:rsid w:val="006F063C"/>
    <w:rsid w:val="006F0ABF"/>
    <w:rsid w:val="006F166D"/>
    <w:rsid w:val="006F24EA"/>
    <w:rsid w:val="006F2896"/>
    <w:rsid w:val="006F29FC"/>
    <w:rsid w:val="006F306C"/>
    <w:rsid w:val="006F3443"/>
    <w:rsid w:val="006F4286"/>
    <w:rsid w:val="006F46BB"/>
    <w:rsid w:val="006F4A12"/>
    <w:rsid w:val="006F51CD"/>
    <w:rsid w:val="006F5D33"/>
    <w:rsid w:val="006F63A5"/>
    <w:rsid w:val="006F6528"/>
    <w:rsid w:val="006F66FE"/>
    <w:rsid w:val="006F6836"/>
    <w:rsid w:val="006F6CD7"/>
    <w:rsid w:val="006F793B"/>
    <w:rsid w:val="006F7ACB"/>
    <w:rsid w:val="006F7F62"/>
    <w:rsid w:val="007003B6"/>
    <w:rsid w:val="007012A4"/>
    <w:rsid w:val="0070142B"/>
    <w:rsid w:val="00701645"/>
    <w:rsid w:val="0070276E"/>
    <w:rsid w:val="00702F8F"/>
    <w:rsid w:val="0070423E"/>
    <w:rsid w:val="00704CCB"/>
    <w:rsid w:val="00706514"/>
    <w:rsid w:val="00706EF8"/>
    <w:rsid w:val="00707193"/>
    <w:rsid w:val="007079F4"/>
    <w:rsid w:val="00711087"/>
    <w:rsid w:val="007118B0"/>
    <w:rsid w:val="00711A36"/>
    <w:rsid w:val="007121F9"/>
    <w:rsid w:val="007126D6"/>
    <w:rsid w:val="00712A17"/>
    <w:rsid w:val="007132C3"/>
    <w:rsid w:val="00713505"/>
    <w:rsid w:val="00713D70"/>
    <w:rsid w:val="00713E54"/>
    <w:rsid w:val="00714166"/>
    <w:rsid w:val="007147E1"/>
    <w:rsid w:val="00714816"/>
    <w:rsid w:val="0071529C"/>
    <w:rsid w:val="007152E7"/>
    <w:rsid w:val="00715BEF"/>
    <w:rsid w:val="00716EE8"/>
    <w:rsid w:val="007172AD"/>
    <w:rsid w:val="007172B0"/>
    <w:rsid w:val="0072068F"/>
    <w:rsid w:val="00721BC7"/>
    <w:rsid w:val="00721E4C"/>
    <w:rsid w:val="00722072"/>
    <w:rsid w:val="00722B1B"/>
    <w:rsid w:val="007230FD"/>
    <w:rsid w:val="00723607"/>
    <w:rsid w:val="0072416F"/>
    <w:rsid w:val="00726647"/>
    <w:rsid w:val="00726680"/>
    <w:rsid w:val="00726997"/>
    <w:rsid w:val="00727C94"/>
    <w:rsid w:val="00727D46"/>
    <w:rsid w:val="00730DB4"/>
    <w:rsid w:val="00731784"/>
    <w:rsid w:val="00731A05"/>
    <w:rsid w:val="00731EAE"/>
    <w:rsid w:val="00732672"/>
    <w:rsid w:val="00732D4D"/>
    <w:rsid w:val="00733576"/>
    <w:rsid w:val="007348EF"/>
    <w:rsid w:val="00735033"/>
    <w:rsid w:val="00735328"/>
    <w:rsid w:val="0073685B"/>
    <w:rsid w:val="00736DF6"/>
    <w:rsid w:val="007377C7"/>
    <w:rsid w:val="00741158"/>
    <w:rsid w:val="0074198F"/>
    <w:rsid w:val="007435F7"/>
    <w:rsid w:val="0074382C"/>
    <w:rsid w:val="007451F2"/>
    <w:rsid w:val="00746B30"/>
    <w:rsid w:val="00750AAC"/>
    <w:rsid w:val="00750D82"/>
    <w:rsid w:val="00750E6E"/>
    <w:rsid w:val="00751BE5"/>
    <w:rsid w:val="00751DB6"/>
    <w:rsid w:val="00752142"/>
    <w:rsid w:val="007523F9"/>
    <w:rsid w:val="0075290E"/>
    <w:rsid w:val="00753615"/>
    <w:rsid w:val="007537BE"/>
    <w:rsid w:val="007555F5"/>
    <w:rsid w:val="007573C7"/>
    <w:rsid w:val="007573E8"/>
    <w:rsid w:val="007579E2"/>
    <w:rsid w:val="00757AA2"/>
    <w:rsid w:val="00760150"/>
    <w:rsid w:val="00760266"/>
    <w:rsid w:val="00760373"/>
    <w:rsid w:val="00760632"/>
    <w:rsid w:val="00760C4E"/>
    <w:rsid w:val="00760FC2"/>
    <w:rsid w:val="0076145F"/>
    <w:rsid w:val="007621D6"/>
    <w:rsid w:val="00762ECC"/>
    <w:rsid w:val="00763148"/>
    <w:rsid w:val="00763D7A"/>
    <w:rsid w:val="00764CD5"/>
    <w:rsid w:val="00765168"/>
    <w:rsid w:val="00765B1A"/>
    <w:rsid w:val="0077056A"/>
    <w:rsid w:val="00770904"/>
    <w:rsid w:val="00770991"/>
    <w:rsid w:val="007715EC"/>
    <w:rsid w:val="00772149"/>
    <w:rsid w:val="007724C3"/>
    <w:rsid w:val="00772BF5"/>
    <w:rsid w:val="00772D37"/>
    <w:rsid w:val="0077360D"/>
    <w:rsid w:val="00773D45"/>
    <w:rsid w:val="00774302"/>
    <w:rsid w:val="00774552"/>
    <w:rsid w:val="007745BB"/>
    <w:rsid w:val="00775057"/>
    <w:rsid w:val="007752EC"/>
    <w:rsid w:val="0077556B"/>
    <w:rsid w:val="007756AC"/>
    <w:rsid w:val="007758D6"/>
    <w:rsid w:val="00776C83"/>
    <w:rsid w:val="00777D3B"/>
    <w:rsid w:val="00781048"/>
    <w:rsid w:val="00781283"/>
    <w:rsid w:val="00781914"/>
    <w:rsid w:val="00781956"/>
    <w:rsid w:val="00781CAA"/>
    <w:rsid w:val="00782E02"/>
    <w:rsid w:val="007834D3"/>
    <w:rsid w:val="00783F95"/>
    <w:rsid w:val="0078406E"/>
    <w:rsid w:val="0078435E"/>
    <w:rsid w:val="007843F2"/>
    <w:rsid w:val="00784936"/>
    <w:rsid w:val="00784CB4"/>
    <w:rsid w:val="00784E87"/>
    <w:rsid w:val="007853A4"/>
    <w:rsid w:val="0078554D"/>
    <w:rsid w:val="00785F8D"/>
    <w:rsid w:val="00786809"/>
    <w:rsid w:val="007876D4"/>
    <w:rsid w:val="00787CFA"/>
    <w:rsid w:val="007912CE"/>
    <w:rsid w:val="00791788"/>
    <w:rsid w:val="00792CA1"/>
    <w:rsid w:val="00792CE6"/>
    <w:rsid w:val="007941E9"/>
    <w:rsid w:val="0079429F"/>
    <w:rsid w:val="0079501C"/>
    <w:rsid w:val="00795C01"/>
    <w:rsid w:val="00796CCF"/>
    <w:rsid w:val="007A022C"/>
    <w:rsid w:val="007A078B"/>
    <w:rsid w:val="007A0A12"/>
    <w:rsid w:val="007A0A2B"/>
    <w:rsid w:val="007A132D"/>
    <w:rsid w:val="007A1657"/>
    <w:rsid w:val="007A18BF"/>
    <w:rsid w:val="007A1EF8"/>
    <w:rsid w:val="007A24EA"/>
    <w:rsid w:val="007A2C5D"/>
    <w:rsid w:val="007A2FF6"/>
    <w:rsid w:val="007A394D"/>
    <w:rsid w:val="007A3C0F"/>
    <w:rsid w:val="007A5527"/>
    <w:rsid w:val="007A5894"/>
    <w:rsid w:val="007B0CC1"/>
    <w:rsid w:val="007B0D27"/>
    <w:rsid w:val="007B0D68"/>
    <w:rsid w:val="007B0F25"/>
    <w:rsid w:val="007B209B"/>
    <w:rsid w:val="007B251D"/>
    <w:rsid w:val="007B3F52"/>
    <w:rsid w:val="007B4393"/>
    <w:rsid w:val="007B4DA8"/>
    <w:rsid w:val="007B4F58"/>
    <w:rsid w:val="007B528D"/>
    <w:rsid w:val="007B60CF"/>
    <w:rsid w:val="007B644F"/>
    <w:rsid w:val="007B68C2"/>
    <w:rsid w:val="007B68D4"/>
    <w:rsid w:val="007B6998"/>
    <w:rsid w:val="007B71C2"/>
    <w:rsid w:val="007B7221"/>
    <w:rsid w:val="007B77D1"/>
    <w:rsid w:val="007C16BC"/>
    <w:rsid w:val="007C18C1"/>
    <w:rsid w:val="007C1CD9"/>
    <w:rsid w:val="007C276C"/>
    <w:rsid w:val="007C2846"/>
    <w:rsid w:val="007C2945"/>
    <w:rsid w:val="007C3482"/>
    <w:rsid w:val="007C361D"/>
    <w:rsid w:val="007C36BB"/>
    <w:rsid w:val="007C379F"/>
    <w:rsid w:val="007C4405"/>
    <w:rsid w:val="007C4985"/>
    <w:rsid w:val="007C4B84"/>
    <w:rsid w:val="007C4EDB"/>
    <w:rsid w:val="007C5253"/>
    <w:rsid w:val="007C54A4"/>
    <w:rsid w:val="007C54C2"/>
    <w:rsid w:val="007C642B"/>
    <w:rsid w:val="007C6436"/>
    <w:rsid w:val="007C7A77"/>
    <w:rsid w:val="007D004F"/>
    <w:rsid w:val="007D07FF"/>
    <w:rsid w:val="007D0B38"/>
    <w:rsid w:val="007D1191"/>
    <w:rsid w:val="007D1442"/>
    <w:rsid w:val="007D23E8"/>
    <w:rsid w:val="007D23FD"/>
    <w:rsid w:val="007D3950"/>
    <w:rsid w:val="007D3CF8"/>
    <w:rsid w:val="007D4420"/>
    <w:rsid w:val="007D53D6"/>
    <w:rsid w:val="007D5440"/>
    <w:rsid w:val="007D6D46"/>
    <w:rsid w:val="007D7447"/>
    <w:rsid w:val="007D785F"/>
    <w:rsid w:val="007E0218"/>
    <w:rsid w:val="007E04F0"/>
    <w:rsid w:val="007E07C0"/>
    <w:rsid w:val="007E0B3D"/>
    <w:rsid w:val="007E0B67"/>
    <w:rsid w:val="007E2775"/>
    <w:rsid w:val="007E2BD1"/>
    <w:rsid w:val="007E3572"/>
    <w:rsid w:val="007E39BD"/>
    <w:rsid w:val="007E39F5"/>
    <w:rsid w:val="007E4327"/>
    <w:rsid w:val="007E4F6F"/>
    <w:rsid w:val="007E652D"/>
    <w:rsid w:val="007E6B64"/>
    <w:rsid w:val="007E6F21"/>
    <w:rsid w:val="007E7945"/>
    <w:rsid w:val="007E7D78"/>
    <w:rsid w:val="007E7EDF"/>
    <w:rsid w:val="007F099C"/>
    <w:rsid w:val="007F0C8A"/>
    <w:rsid w:val="007F1017"/>
    <w:rsid w:val="007F1091"/>
    <w:rsid w:val="007F10A0"/>
    <w:rsid w:val="007F2035"/>
    <w:rsid w:val="007F2967"/>
    <w:rsid w:val="007F3F04"/>
    <w:rsid w:val="007F4359"/>
    <w:rsid w:val="007F45CE"/>
    <w:rsid w:val="007F47CE"/>
    <w:rsid w:val="007F4A3F"/>
    <w:rsid w:val="007F4A61"/>
    <w:rsid w:val="007F555D"/>
    <w:rsid w:val="007F565E"/>
    <w:rsid w:val="007F60ED"/>
    <w:rsid w:val="007F61C2"/>
    <w:rsid w:val="007F704B"/>
    <w:rsid w:val="007F7442"/>
    <w:rsid w:val="007F74D9"/>
    <w:rsid w:val="007F75A6"/>
    <w:rsid w:val="007F7D48"/>
    <w:rsid w:val="00801650"/>
    <w:rsid w:val="00801F7A"/>
    <w:rsid w:val="008021D9"/>
    <w:rsid w:val="00802949"/>
    <w:rsid w:val="00802FCC"/>
    <w:rsid w:val="0080497B"/>
    <w:rsid w:val="008049D4"/>
    <w:rsid w:val="00805142"/>
    <w:rsid w:val="00805440"/>
    <w:rsid w:val="0080578C"/>
    <w:rsid w:val="008062D1"/>
    <w:rsid w:val="008064DE"/>
    <w:rsid w:val="00807A8B"/>
    <w:rsid w:val="00807F30"/>
    <w:rsid w:val="0081009D"/>
    <w:rsid w:val="008109E2"/>
    <w:rsid w:val="00810F1B"/>
    <w:rsid w:val="008112AE"/>
    <w:rsid w:val="00811383"/>
    <w:rsid w:val="008114B7"/>
    <w:rsid w:val="00812149"/>
    <w:rsid w:val="00812252"/>
    <w:rsid w:val="00812CAC"/>
    <w:rsid w:val="00813D60"/>
    <w:rsid w:val="00814DA0"/>
    <w:rsid w:val="008166EF"/>
    <w:rsid w:val="00816FB4"/>
    <w:rsid w:val="00817BB1"/>
    <w:rsid w:val="00817BD0"/>
    <w:rsid w:val="008201A6"/>
    <w:rsid w:val="0082025B"/>
    <w:rsid w:val="008204B6"/>
    <w:rsid w:val="0082098D"/>
    <w:rsid w:val="00820F1A"/>
    <w:rsid w:val="00821331"/>
    <w:rsid w:val="00822C69"/>
    <w:rsid w:val="00824774"/>
    <w:rsid w:val="0082551B"/>
    <w:rsid w:val="00825751"/>
    <w:rsid w:val="008264EB"/>
    <w:rsid w:val="00826C10"/>
    <w:rsid w:val="00827D62"/>
    <w:rsid w:val="00827DA5"/>
    <w:rsid w:val="0083081A"/>
    <w:rsid w:val="00830E8F"/>
    <w:rsid w:val="0083140B"/>
    <w:rsid w:val="00832802"/>
    <w:rsid w:val="00833674"/>
    <w:rsid w:val="00833B05"/>
    <w:rsid w:val="0083416B"/>
    <w:rsid w:val="00835BA1"/>
    <w:rsid w:val="008362B4"/>
    <w:rsid w:val="00837C16"/>
    <w:rsid w:val="0084035D"/>
    <w:rsid w:val="00840904"/>
    <w:rsid w:val="00840CA2"/>
    <w:rsid w:val="00840E3D"/>
    <w:rsid w:val="00841298"/>
    <w:rsid w:val="00841D3C"/>
    <w:rsid w:val="00841EE7"/>
    <w:rsid w:val="0084309C"/>
    <w:rsid w:val="0084370F"/>
    <w:rsid w:val="0084374F"/>
    <w:rsid w:val="0084401C"/>
    <w:rsid w:val="00844160"/>
    <w:rsid w:val="0084416A"/>
    <w:rsid w:val="0084455F"/>
    <w:rsid w:val="00845E17"/>
    <w:rsid w:val="00846060"/>
    <w:rsid w:val="00846835"/>
    <w:rsid w:val="00847199"/>
    <w:rsid w:val="0084749A"/>
    <w:rsid w:val="00847BF7"/>
    <w:rsid w:val="00847C52"/>
    <w:rsid w:val="00847DF5"/>
    <w:rsid w:val="00851821"/>
    <w:rsid w:val="00851A3C"/>
    <w:rsid w:val="008520F4"/>
    <w:rsid w:val="008520F5"/>
    <w:rsid w:val="00852F88"/>
    <w:rsid w:val="0085309D"/>
    <w:rsid w:val="0085393C"/>
    <w:rsid w:val="00853D02"/>
    <w:rsid w:val="008546CA"/>
    <w:rsid w:val="00855DB4"/>
    <w:rsid w:val="00856569"/>
    <w:rsid w:val="00856897"/>
    <w:rsid w:val="00856E9A"/>
    <w:rsid w:val="0086075D"/>
    <w:rsid w:val="008620AC"/>
    <w:rsid w:val="00862502"/>
    <w:rsid w:val="00863645"/>
    <w:rsid w:val="0086520C"/>
    <w:rsid w:val="00865AC7"/>
    <w:rsid w:val="00865FFF"/>
    <w:rsid w:val="008660D4"/>
    <w:rsid w:val="00866AE2"/>
    <w:rsid w:val="00866CE6"/>
    <w:rsid w:val="00866D72"/>
    <w:rsid w:val="00867AFD"/>
    <w:rsid w:val="0087013D"/>
    <w:rsid w:val="00871642"/>
    <w:rsid w:val="0087172F"/>
    <w:rsid w:val="008719E1"/>
    <w:rsid w:val="00871D4D"/>
    <w:rsid w:val="00871FA9"/>
    <w:rsid w:val="008728E9"/>
    <w:rsid w:val="008733A9"/>
    <w:rsid w:val="008734A5"/>
    <w:rsid w:val="00874478"/>
    <w:rsid w:val="00874B96"/>
    <w:rsid w:val="00874EB5"/>
    <w:rsid w:val="008751AF"/>
    <w:rsid w:val="008758F4"/>
    <w:rsid w:val="00875E26"/>
    <w:rsid w:val="00876321"/>
    <w:rsid w:val="0087710C"/>
    <w:rsid w:val="00877A6F"/>
    <w:rsid w:val="00877D7C"/>
    <w:rsid w:val="00880F03"/>
    <w:rsid w:val="0088169C"/>
    <w:rsid w:val="0088199D"/>
    <w:rsid w:val="008820A8"/>
    <w:rsid w:val="008823E5"/>
    <w:rsid w:val="00882874"/>
    <w:rsid w:val="00883002"/>
    <w:rsid w:val="00883787"/>
    <w:rsid w:val="008839A1"/>
    <w:rsid w:val="00884162"/>
    <w:rsid w:val="008862C6"/>
    <w:rsid w:val="00886CD2"/>
    <w:rsid w:val="0088780C"/>
    <w:rsid w:val="008905FD"/>
    <w:rsid w:val="008907A0"/>
    <w:rsid w:val="00890AD9"/>
    <w:rsid w:val="00891785"/>
    <w:rsid w:val="00891BC3"/>
    <w:rsid w:val="008921B1"/>
    <w:rsid w:val="00892A36"/>
    <w:rsid w:val="00892D89"/>
    <w:rsid w:val="00892F5F"/>
    <w:rsid w:val="00893239"/>
    <w:rsid w:val="00894489"/>
    <w:rsid w:val="00894739"/>
    <w:rsid w:val="00894860"/>
    <w:rsid w:val="00895046"/>
    <w:rsid w:val="00895B87"/>
    <w:rsid w:val="00895D96"/>
    <w:rsid w:val="0089614D"/>
    <w:rsid w:val="008963A5"/>
    <w:rsid w:val="00896BED"/>
    <w:rsid w:val="008975C6"/>
    <w:rsid w:val="008A05DF"/>
    <w:rsid w:val="008A0627"/>
    <w:rsid w:val="008A0A76"/>
    <w:rsid w:val="008A18E0"/>
    <w:rsid w:val="008A253E"/>
    <w:rsid w:val="008A2638"/>
    <w:rsid w:val="008A3079"/>
    <w:rsid w:val="008A3363"/>
    <w:rsid w:val="008A3371"/>
    <w:rsid w:val="008A33D5"/>
    <w:rsid w:val="008A361E"/>
    <w:rsid w:val="008A3C3E"/>
    <w:rsid w:val="008A4A70"/>
    <w:rsid w:val="008A504D"/>
    <w:rsid w:val="008A5CD8"/>
    <w:rsid w:val="008A6388"/>
    <w:rsid w:val="008A759A"/>
    <w:rsid w:val="008A7606"/>
    <w:rsid w:val="008A79DE"/>
    <w:rsid w:val="008B00B6"/>
    <w:rsid w:val="008B1757"/>
    <w:rsid w:val="008B1E85"/>
    <w:rsid w:val="008B1FEC"/>
    <w:rsid w:val="008B20EB"/>
    <w:rsid w:val="008B2918"/>
    <w:rsid w:val="008B2A72"/>
    <w:rsid w:val="008B2A75"/>
    <w:rsid w:val="008B2F43"/>
    <w:rsid w:val="008B32EC"/>
    <w:rsid w:val="008B4107"/>
    <w:rsid w:val="008B439F"/>
    <w:rsid w:val="008B580C"/>
    <w:rsid w:val="008B5E3A"/>
    <w:rsid w:val="008B66D3"/>
    <w:rsid w:val="008B7D7E"/>
    <w:rsid w:val="008B7EBA"/>
    <w:rsid w:val="008C1633"/>
    <w:rsid w:val="008C1E5F"/>
    <w:rsid w:val="008C2357"/>
    <w:rsid w:val="008C2769"/>
    <w:rsid w:val="008C2F30"/>
    <w:rsid w:val="008C3070"/>
    <w:rsid w:val="008C3271"/>
    <w:rsid w:val="008C337F"/>
    <w:rsid w:val="008C4085"/>
    <w:rsid w:val="008C41F8"/>
    <w:rsid w:val="008C612C"/>
    <w:rsid w:val="008C6B78"/>
    <w:rsid w:val="008C7015"/>
    <w:rsid w:val="008C7593"/>
    <w:rsid w:val="008C7ECB"/>
    <w:rsid w:val="008C7FFC"/>
    <w:rsid w:val="008D0061"/>
    <w:rsid w:val="008D0714"/>
    <w:rsid w:val="008D2249"/>
    <w:rsid w:val="008D29C1"/>
    <w:rsid w:val="008D2A8B"/>
    <w:rsid w:val="008D33F0"/>
    <w:rsid w:val="008D4755"/>
    <w:rsid w:val="008D4B67"/>
    <w:rsid w:val="008D4C3D"/>
    <w:rsid w:val="008D5434"/>
    <w:rsid w:val="008D5713"/>
    <w:rsid w:val="008D5A1C"/>
    <w:rsid w:val="008D5E1F"/>
    <w:rsid w:val="008D60C6"/>
    <w:rsid w:val="008D6F17"/>
    <w:rsid w:val="008D7D38"/>
    <w:rsid w:val="008E0016"/>
    <w:rsid w:val="008E068B"/>
    <w:rsid w:val="008E0D3C"/>
    <w:rsid w:val="008E11D4"/>
    <w:rsid w:val="008E1354"/>
    <w:rsid w:val="008E1B9E"/>
    <w:rsid w:val="008E1EDF"/>
    <w:rsid w:val="008E2EB4"/>
    <w:rsid w:val="008E3AD7"/>
    <w:rsid w:val="008E41D2"/>
    <w:rsid w:val="008E51A6"/>
    <w:rsid w:val="008E53B6"/>
    <w:rsid w:val="008E55AB"/>
    <w:rsid w:val="008E567F"/>
    <w:rsid w:val="008E5DBF"/>
    <w:rsid w:val="008E63DB"/>
    <w:rsid w:val="008E6E5A"/>
    <w:rsid w:val="008E6E65"/>
    <w:rsid w:val="008E73E1"/>
    <w:rsid w:val="008E7C6F"/>
    <w:rsid w:val="008F00D0"/>
    <w:rsid w:val="008F020E"/>
    <w:rsid w:val="008F0EC4"/>
    <w:rsid w:val="008F0EFC"/>
    <w:rsid w:val="008F11DB"/>
    <w:rsid w:val="008F120A"/>
    <w:rsid w:val="008F123E"/>
    <w:rsid w:val="008F1C2A"/>
    <w:rsid w:val="008F27E0"/>
    <w:rsid w:val="008F29D6"/>
    <w:rsid w:val="008F2B64"/>
    <w:rsid w:val="008F2C50"/>
    <w:rsid w:val="008F32B4"/>
    <w:rsid w:val="008F4171"/>
    <w:rsid w:val="008F48EB"/>
    <w:rsid w:val="008F4F0B"/>
    <w:rsid w:val="008F4FBD"/>
    <w:rsid w:val="008F5CD6"/>
    <w:rsid w:val="008F5D5C"/>
    <w:rsid w:val="008F659C"/>
    <w:rsid w:val="00900597"/>
    <w:rsid w:val="00901008"/>
    <w:rsid w:val="0090112D"/>
    <w:rsid w:val="009024FA"/>
    <w:rsid w:val="0090287A"/>
    <w:rsid w:val="0090296C"/>
    <w:rsid w:val="00903537"/>
    <w:rsid w:val="009044FB"/>
    <w:rsid w:val="009046C4"/>
    <w:rsid w:val="009057B3"/>
    <w:rsid w:val="00905B11"/>
    <w:rsid w:val="009062A5"/>
    <w:rsid w:val="00906F3A"/>
    <w:rsid w:val="009070E9"/>
    <w:rsid w:val="00907BE4"/>
    <w:rsid w:val="00910527"/>
    <w:rsid w:val="00910BB6"/>
    <w:rsid w:val="00911272"/>
    <w:rsid w:val="0091167B"/>
    <w:rsid w:val="0091282B"/>
    <w:rsid w:val="009135D6"/>
    <w:rsid w:val="00913E80"/>
    <w:rsid w:val="009143D6"/>
    <w:rsid w:val="00914C77"/>
    <w:rsid w:val="00915099"/>
    <w:rsid w:val="0091527A"/>
    <w:rsid w:val="009167C7"/>
    <w:rsid w:val="00917A48"/>
    <w:rsid w:val="009216AB"/>
    <w:rsid w:val="009217FD"/>
    <w:rsid w:val="00921BDE"/>
    <w:rsid w:val="00922FCD"/>
    <w:rsid w:val="00923220"/>
    <w:rsid w:val="0092369B"/>
    <w:rsid w:val="00923FE1"/>
    <w:rsid w:val="00924939"/>
    <w:rsid w:val="00924B39"/>
    <w:rsid w:val="00924D18"/>
    <w:rsid w:val="0092567C"/>
    <w:rsid w:val="00926650"/>
    <w:rsid w:val="009266B1"/>
    <w:rsid w:val="00926919"/>
    <w:rsid w:val="00926B7F"/>
    <w:rsid w:val="00926C56"/>
    <w:rsid w:val="00927912"/>
    <w:rsid w:val="00927DB2"/>
    <w:rsid w:val="00931323"/>
    <w:rsid w:val="00932394"/>
    <w:rsid w:val="00932BCF"/>
    <w:rsid w:val="00932FDC"/>
    <w:rsid w:val="009333F3"/>
    <w:rsid w:val="009338D5"/>
    <w:rsid w:val="00933CA1"/>
    <w:rsid w:val="009345EE"/>
    <w:rsid w:val="00934AC5"/>
    <w:rsid w:val="00935F72"/>
    <w:rsid w:val="00936FE8"/>
    <w:rsid w:val="00940140"/>
    <w:rsid w:val="0094169D"/>
    <w:rsid w:val="009417F8"/>
    <w:rsid w:val="00941F3B"/>
    <w:rsid w:val="009423AE"/>
    <w:rsid w:val="00943165"/>
    <w:rsid w:val="009434C2"/>
    <w:rsid w:val="0094376F"/>
    <w:rsid w:val="009449F9"/>
    <w:rsid w:val="00944B5C"/>
    <w:rsid w:val="0094796D"/>
    <w:rsid w:val="00947E3C"/>
    <w:rsid w:val="00950065"/>
    <w:rsid w:val="00951059"/>
    <w:rsid w:val="009510A2"/>
    <w:rsid w:val="009515E3"/>
    <w:rsid w:val="009521D0"/>
    <w:rsid w:val="00952A04"/>
    <w:rsid w:val="00952D51"/>
    <w:rsid w:val="00953016"/>
    <w:rsid w:val="00953257"/>
    <w:rsid w:val="00954640"/>
    <w:rsid w:val="00954C4E"/>
    <w:rsid w:val="0095531F"/>
    <w:rsid w:val="0095598A"/>
    <w:rsid w:val="00955BC5"/>
    <w:rsid w:val="00956173"/>
    <w:rsid w:val="00956469"/>
    <w:rsid w:val="00956AE5"/>
    <w:rsid w:val="00956AF8"/>
    <w:rsid w:val="00960D8F"/>
    <w:rsid w:val="009617A1"/>
    <w:rsid w:val="009623C4"/>
    <w:rsid w:val="0096292A"/>
    <w:rsid w:val="00962CB9"/>
    <w:rsid w:val="00963052"/>
    <w:rsid w:val="00963625"/>
    <w:rsid w:val="009637AE"/>
    <w:rsid w:val="00963C52"/>
    <w:rsid w:val="00964016"/>
    <w:rsid w:val="00964312"/>
    <w:rsid w:val="009656F7"/>
    <w:rsid w:val="00965B8A"/>
    <w:rsid w:val="009664D2"/>
    <w:rsid w:val="0096674C"/>
    <w:rsid w:val="0096744B"/>
    <w:rsid w:val="00967891"/>
    <w:rsid w:val="0097063E"/>
    <w:rsid w:val="009706C7"/>
    <w:rsid w:val="00970733"/>
    <w:rsid w:val="00970D21"/>
    <w:rsid w:val="009714E0"/>
    <w:rsid w:val="0097169D"/>
    <w:rsid w:val="009717AC"/>
    <w:rsid w:val="009719AE"/>
    <w:rsid w:val="00971DF1"/>
    <w:rsid w:val="009722C9"/>
    <w:rsid w:val="00972839"/>
    <w:rsid w:val="00972FCC"/>
    <w:rsid w:val="0097497D"/>
    <w:rsid w:val="00974B0D"/>
    <w:rsid w:val="00974BCC"/>
    <w:rsid w:val="009760D3"/>
    <w:rsid w:val="009769D3"/>
    <w:rsid w:val="00976D32"/>
    <w:rsid w:val="00976D7C"/>
    <w:rsid w:val="009806CD"/>
    <w:rsid w:val="00980E9E"/>
    <w:rsid w:val="00980FA5"/>
    <w:rsid w:val="00981566"/>
    <w:rsid w:val="00981E6B"/>
    <w:rsid w:val="00982A80"/>
    <w:rsid w:val="00982C05"/>
    <w:rsid w:val="00982C10"/>
    <w:rsid w:val="00983E57"/>
    <w:rsid w:val="00984366"/>
    <w:rsid w:val="00985D78"/>
    <w:rsid w:val="009864ED"/>
    <w:rsid w:val="0098675D"/>
    <w:rsid w:val="00986AC3"/>
    <w:rsid w:val="00987A31"/>
    <w:rsid w:val="00987D74"/>
    <w:rsid w:val="009912B8"/>
    <w:rsid w:val="00992CF1"/>
    <w:rsid w:val="00993020"/>
    <w:rsid w:val="0099326D"/>
    <w:rsid w:val="00994090"/>
    <w:rsid w:val="0099420B"/>
    <w:rsid w:val="00994788"/>
    <w:rsid w:val="009958CB"/>
    <w:rsid w:val="00995E2C"/>
    <w:rsid w:val="00996B1A"/>
    <w:rsid w:val="009A04DD"/>
    <w:rsid w:val="009A061D"/>
    <w:rsid w:val="009A091C"/>
    <w:rsid w:val="009A0947"/>
    <w:rsid w:val="009A0DBA"/>
    <w:rsid w:val="009A11D9"/>
    <w:rsid w:val="009A121E"/>
    <w:rsid w:val="009A4B1F"/>
    <w:rsid w:val="009A4E7F"/>
    <w:rsid w:val="009A5140"/>
    <w:rsid w:val="009A5C40"/>
    <w:rsid w:val="009A6A6C"/>
    <w:rsid w:val="009A6C69"/>
    <w:rsid w:val="009A7F10"/>
    <w:rsid w:val="009B0613"/>
    <w:rsid w:val="009B070C"/>
    <w:rsid w:val="009B1844"/>
    <w:rsid w:val="009B18AF"/>
    <w:rsid w:val="009B18B9"/>
    <w:rsid w:val="009B2E0A"/>
    <w:rsid w:val="009B335B"/>
    <w:rsid w:val="009B3E26"/>
    <w:rsid w:val="009B4696"/>
    <w:rsid w:val="009B4F81"/>
    <w:rsid w:val="009B61CF"/>
    <w:rsid w:val="009B6D9A"/>
    <w:rsid w:val="009B7A92"/>
    <w:rsid w:val="009C03ED"/>
    <w:rsid w:val="009C06F1"/>
    <w:rsid w:val="009C13DC"/>
    <w:rsid w:val="009C1E8A"/>
    <w:rsid w:val="009C2104"/>
    <w:rsid w:val="009C29BA"/>
    <w:rsid w:val="009C30B5"/>
    <w:rsid w:val="009C3696"/>
    <w:rsid w:val="009C4929"/>
    <w:rsid w:val="009C543A"/>
    <w:rsid w:val="009C59DF"/>
    <w:rsid w:val="009C6159"/>
    <w:rsid w:val="009C642A"/>
    <w:rsid w:val="009C68CE"/>
    <w:rsid w:val="009C6CEA"/>
    <w:rsid w:val="009C6E12"/>
    <w:rsid w:val="009C77B7"/>
    <w:rsid w:val="009C7B85"/>
    <w:rsid w:val="009D071C"/>
    <w:rsid w:val="009D0777"/>
    <w:rsid w:val="009D150B"/>
    <w:rsid w:val="009D25F5"/>
    <w:rsid w:val="009D270B"/>
    <w:rsid w:val="009D31AE"/>
    <w:rsid w:val="009D4784"/>
    <w:rsid w:val="009D4ADB"/>
    <w:rsid w:val="009D4D03"/>
    <w:rsid w:val="009D5B91"/>
    <w:rsid w:val="009D6580"/>
    <w:rsid w:val="009D6D58"/>
    <w:rsid w:val="009D779E"/>
    <w:rsid w:val="009D7872"/>
    <w:rsid w:val="009D792E"/>
    <w:rsid w:val="009D7DB9"/>
    <w:rsid w:val="009E04D3"/>
    <w:rsid w:val="009E0651"/>
    <w:rsid w:val="009E0DFE"/>
    <w:rsid w:val="009E0E27"/>
    <w:rsid w:val="009E0E50"/>
    <w:rsid w:val="009E1EA6"/>
    <w:rsid w:val="009E2208"/>
    <w:rsid w:val="009E37B9"/>
    <w:rsid w:val="009E41DE"/>
    <w:rsid w:val="009E4C07"/>
    <w:rsid w:val="009E4FA1"/>
    <w:rsid w:val="009E53EA"/>
    <w:rsid w:val="009E6D45"/>
    <w:rsid w:val="009E7B19"/>
    <w:rsid w:val="009F0684"/>
    <w:rsid w:val="009F0E4F"/>
    <w:rsid w:val="009F1114"/>
    <w:rsid w:val="009F15E0"/>
    <w:rsid w:val="009F1BEE"/>
    <w:rsid w:val="009F1F36"/>
    <w:rsid w:val="009F21C6"/>
    <w:rsid w:val="009F243A"/>
    <w:rsid w:val="009F2983"/>
    <w:rsid w:val="009F3512"/>
    <w:rsid w:val="009F3B52"/>
    <w:rsid w:val="009F42C3"/>
    <w:rsid w:val="009F4490"/>
    <w:rsid w:val="009F457F"/>
    <w:rsid w:val="009F4AB0"/>
    <w:rsid w:val="009F5863"/>
    <w:rsid w:val="009F5EEE"/>
    <w:rsid w:val="009F6C6B"/>
    <w:rsid w:val="009F6DEF"/>
    <w:rsid w:val="009F7663"/>
    <w:rsid w:val="00A009CA"/>
    <w:rsid w:val="00A00CA7"/>
    <w:rsid w:val="00A01184"/>
    <w:rsid w:val="00A01317"/>
    <w:rsid w:val="00A02088"/>
    <w:rsid w:val="00A0261D"/>
    <w:rsid w:val="00A02888"/>
    <w:rsid w:val="00A02EF9"/>
    <w:rsid w:val="00A03707"/>
    <w:rsid w:val="00A03D43"/>
    <w:rsid w:val="00A03DB9"/>
    <w:rsid w:val="00A04380"/>
    <w:rsid w:val="00A05251"/>
    <w:rsid w:val="00A058A2"/>
    <w:rsid w:val="00A0601E"/>
    <w:rsid w:val="00A06072"/>
    <w:rsid w:val="00A060EF"/>
    <w:rsid w:val="00A06B8A"/>
    <w:rsid w:val="00A06E57"/>
    <w:rsid w:val="00A06EA5"/>
    <w:rsid w:val="00A0791B"/>
    <w:rsid w:val="00A1017A"/>
    <w:rsid w:val="00A1025E"/>
    <w:rsid w:val="00A113D4"/>
    <w:rsid w:val="00A11CD0"/>
    <w:rsid w:val="00A124DB"/>
    <w:rsid w:val="00A12777"/>
    <w:rsid w:val="00A12869"/>
    <w:rsid w:val="00A12CBD"/>
    <w:rsid w:val="00A12E11"/>
    <w:rsid w:val="00A12F61"/>
    <w:rsid w:val="00A13948"/>
    <w:rsid w:val="00A1394D"/>
    <w:rsid w:val="00A14F20"/>
    <w:rsid w:val="00A14FEF"/>
    <w:rsid w:val="00A14FF9"/>
    <w:rsid w:val="00A151CA"/>
    <w:rsid w:val="00A1555B"/>
    <w:rsid w:val="00A155C5"/>
    <w:rsid w:val="00A15C9F"/>
    <w:rsid w:val="00A16619"/>
    <w:rsid w:val="00A16AD8"/>
    <w:rsid w:val="00A16B79"/>
    <w:rsid w:val="00A16E95"/>
    <w:rsid w:val="00A16FF1"/>
    <w:rsid w:val="00A20BEB"/>
    <w:rsid w:val="00A219DF"/>
    <w:rsid w:val="00A21CF3"/>
    <w:rsid w:val="00A221FE"/>
    <w:rsid w:val="00A23B25"/>
    <w:rsid w:val="00A249E0"/>
    <w:rsid w:val="00A258D8"/>
    <w:rsid w:val="00A26255"/>
    <w:rsid w:val="00A2665E"/>
    <w:rsid w:val="00A26D26"/>
    <w:rsid w:val="00A26F3B"/>
    <w:rsid w:val="00A27689"/>
    <w:rsid w:val="00A27AEC"/>
    <w:rsid w:val="00A30119"/>
    <w:rsid w:val="00A30905"/>
    <w:rsid w:val="00A31E65"/>
    <w:rsid w:val="00A320DB"/>
    <w:rsid w:val="00A32C26"/>
    <w:rsid w:val="00A33E10"/>
    <w:rsid w:val="00A34B44"/>
    <w:rsid w:val="00A34F79"/>
    <w:rsid w:val="00A3514C"/>
    <w:rsid w:val="00A35D16"/>
    <w:rsid w:val="00A363C1"/>
    <w:rsid w:val="00A36917"/>
    <w:rsid w:val="00A37948"/>
    <w:rsid w:val="00A37BCD"/>
    <w:rsid w:val="00A40563"/>
    <w:rsid w:val="00A407B5"/>
    <w:rsid w:val="00A407DB"/>
    <w:rsid w:val="00A41273"/>
    <w:rsid w:val="00A43C04"/>
    <w:rsid w:val="00A43C59"/>
    <w:rsid w:val="00A44831"/>
    <w:rsid w:val="00A44D58"/>
    <w:rsid w:val="00A44F08"/>
    <w:rsid w:val="00A45424"/>
    <w:rsid w:val="00A463EF"/>
    <w:rsid w:val="00A46E1E"/>
    <w:rsid w:val="00A47CB5"/>
    <w:rsid w:val="00A500F2"/>
    <w:rsid w:val="00A504FF"/>
    <w:rsid w:val="00A5057D"/>
    <w:rsid w:val="00A50810"/>
    <w:rsid w:val="00A50ECD"/>
    <w:rsid w:val="00A5127C"/>
    <w:rsid w:val="00A518F3"/>
    <w:rsid w:val="00A51C8D"/>
    <w:rsid w:val="00A51DE6"/>
    <w:rsid w:val="00A51EA3"/>
    <w:rsid w:val="00A526F2"/>
    <w:rsid w:val="00A52729"/>
    <w:rsid w:val="00A52801"/>
    <w:rsid w:val="00A52D5F"/>
    <w:rsid w:val="00A53675"/>
    <w:rsid w:val="00A54EAC"/>
    <w:rsid w:val="00A55BDE"/>
    <w:rsid w:val="00A5613E"/>
    <w:rsid w:val="00A5641A"/>
    <w:rsid w:val="00A564D7"/>
    <w:rsid w:val="00A56B6A"/>
    <w:rsid w:val="00A578DC"/>
    <w:rsid w:val="00A57CEF"/>
    <w:rsid w:val="00A57F1C"/>
    <w:rsid w:val="00A60054"/>
    <w:rsid w:val="00A60364"/>
    <w:rsid w:val="00A623C9"/>
    <w:rsid w:val="00A6242F"/>
    <w:rsid w:val="00A62AFC"/>
    <w:rsid w:val="00A62DAB"/>
    <w:rsid w:val="00A62FEF"/>
    <w:rsid w:val="00A63003"/>
    <w:rsid w:val="00A6311C"/>
    <w:rsid w:val="00A64E57"/>
    <w:rsid w:val="00A655A7"/>
    <w:rsid w:val="00A65E69"/>
    <w:rsid w:val="00A66349"/>
    <w:rsid w:val="00A664AF"/>
    <w:rsid w:val="00A66562"/>
    <w:rsid w:val="00A66E24"/>
    <w:rsid w:val="00A6725B"/>
    <w:rsid w:val="00A67865"/>
    <w:rsid w:val="00A678BB"/>
    <w:rsid w:val="00A70605"/>
    <w:rsid w:val="00A70667"/>
    <w:rsid w:val="00A712E6"/>
    <w:rsid w:val="00A71CDF"/>
    <w:rsid w:val="00A7206A"/>
    <w:rsid w:val="00A72722"/>
    <w:rsid w:val="00A72B13"/>
    <w:rsid w:val="00A72D78"/>
    <w:rsid w:val="00A72FA3"/>
    <w:rsid w:val="00A73134"/>
    <w:rsid w:val="00A7393A"/>
    <w:rsid w:val="00A7398F"/>
    <w:rsid w:val="00A73CEF"/>
    <w:rsid w:val="00A74180"/>
    <w:rsid w:val="00A7507E"/>
    <w:rsid w:val="00A75B3C"/>
    <w:rsid w:val="00A75B90"/>
    <w:rsid w:val="00A75D49"/>
    <w:rsid w:val="00A760D3"/>
    <w:rsid w:val="00A760EC"/>
    <w:rsid w:val="00A76832"/>
    <w:rsid w:val="00A76FEB"/>
    <w:rsid w:val="00A777B2"/>
    <w:rsid w:val="00A77C12"/>
    <w:rsid w:val="00A77C95"/>
    <w:rsid w:val="00A8354A"/>
    <w:rsid w:val="00A83DD9"/>
    <w:rsid w:val="00A83F02"/>
    <w:rsid w:val="00A84582"/>
    <w:rsid w:val="00A84E2D"/>
    <w:rsid w:val="00A85095"/>
    <w:rsid w:val="00A85C74"/>
    <w:rsid w:val="00A85D25"/>
    <w:rsid w:val="00A8601E"/>
    <w:rsid w:val="00A86E8B"/>
    <w:rsid w:val="00A87164"/>
    <w:rsid w:val="00A8785F"/>
    <w:rsid w:val="00A87CBC"/>
    <w:rsid w:val="00A9022F"/>
    <w:rsid w:val="00A90813"/>
    <w:rsid w:val="00A90B99"/>
    <w:rsid w:val="00A916DE"/>
    <w:rsid w:val="00A91A16"/>
    <w:rsid w:val="00A91D3E"/>
    <w:rsid w:val="00A9267E"/>
    <w:rsid w:val="00A9279A"/>
    <w:rsid w:val="00A93072"/>
    <w:rsid w:val="00A93123"/>
    <w:rsid w:val="00A93953"/>
    <w:rsid w:val="00A93E45"/>
    <w:rsid w:val="00A93F90"/>
    <w:rsid w:val="00A940C0"/>
    <w:rsid w:val="00A959D8"/>
    <w:rsid w:val="00A966F9"/>
    <w:rsid w:val="00A97133"/>
    <w:rsid w:val="00A97E7B"/>
    <w:rsid w:val="00AA113D"/>
    <w:rsid w:val="00AA146E"/>
    <w:rsid w:val="00AA1789"/>
    <w:rsid w:val="00AA18AE"/>
    <w:rsid w:val="00AA28B0"/>
    <w:rsid w:val="00AA332E"/>
    <w:rsid w:val="00AA35AA"/>
    <w:rsid w:val="00AA4380"/>
    <w:rsid w:val="00AA4E24"/>
    <w:rsid w:val="00AA6179"/>
    <w:rsid w:val="00AA656F"/>
    <w:rsid w:val="00AA66B2"/>
    <w:rsid w:val="00AA6C7D"/>
    <w:rsid w:val="00AA71B7"/>
    <w:rsid w:val="00AA7CFF"/>
    <w:rsid w:val="00AA7FD6"/>
    <w:rsid w:val="00AB0207"/>
    <w:rsid w:val="00AB042A"/>
    <w:rsid w:val="00AB059B"/>
    <w:rsid w:val="00AB0905"/>
    <w:rsid w:val="00AB1462"/>
    <w:rsid w:val="00AB14EF"/>
    <w:rsid w:val="00AB2325"/>
    <w:rsid w:val="00AB2A38"/>
    <w:rsid w:val="00AB2D34"/>
    <w:rsid w:val="00AB3273"/>
    <w:rsid w:val="00AB3430"/>
    <w:rsid w:val="00AB45A1"/>
    <w:rsid w:val="00AB46DE"/>
    <w:rsid w:val="00AB4AD1"/>
    <w:rsid w:val="00AB4DA8"/>
    <w:rsid w:val="00AB4EE9"/>
    <w:rsid w:val="00AB556B"/>
    <w:rsid w:val="00AB5692"/>
    <w:rsid w:val="00AB59D5"/>
    <w:rsid w:val="00AB61D2"/>
    <w:rsid w:val="00AB63F2"/>
    <w:rsid w:val="00AB7AF5"/>
    <w:rsid w:val="00AB7CFA"/>
    <w:rsid w:val="00AC00E8"/>
    <w:rsid w:val="00AC039F"/>
    <w:rsid w:val="00AC0C5A"/>
    <w:rsid w:val="00AC170B"/>
    <w:rsid w:val="00AC19FF"/>
    <w:rsid w:val="00AC253F"/>
    <w:rsid w:val="00AC2D05"/>
    <w:rsid w:val="00AC31A9"/>
    <w:rsid w:val="00AC36D7"/>
    <w:rsid w:val="00AC3A2E"/>
    <w:rsid w:val="00AC3C84"/>
    <w:rsid w:val="00AC3F9B"/>
    <w:rsid w:val="00AC420F"/>
    <w:rsid w:val="00AC5087"/>
    <w:rsid w:val="00AC51F2"/>
    <w:rsid w:val="00AC53B9"/>
    <w:rsid w:val="00AC5B48"/>
    <w:rsid w:val="00AC5F14"/>
    <w:rsid w:val="00AC6741"/>
    <w:rsid w:val="00AC6743"/>
    <w:rsid w:val="00AC6B69"/>
    <w:rsid w:val="00AC7704"/>
    <w:rsid w:val="00AC7A9D"/>
    <w:rsid w:val="00AD0746"/>
    <w:rsid w:val="00AD2757"/>
    <w:rsid w:val="00AD2D9F"/>
    <w:rsid w:val="00AD3982"/>
    <w:rsid w:val="00AD4A17"/>
    <w:rsid w:val="00AD54A3"/>
    <w:rsid w:val="00AD5A77"/>
    <w:rsid w:val="00AD5DC5"/>
    <w:rsid w:val="00AD641F"/>
    <w:rsid w:val="00AD6502"/>
    <w:rsid w:val="00AD6D61"/>
    <w:rsid w:val="00AD70D1"/>
    <w:rsid w:val="00AD74BB"/>
    <w:rsid w:val="00AD7843"/>
    <w:rsid w:val="00AD7F22"/>
    <w:rsid w:val="00AE1A35"/>
    <w:rsid w:val="00AE21A6"/>
    <w:rsid w:val="00AE316B"/>
    <w:rsid w:val="00AE357A"/>
    <w:rsid w:val="00AE3EA3"/>
    <w:rsid w:val="00AE43B7"/>
    <w:rsid w:val="00AE5BD6"/>
    <w:rsid w:val="00AE67E0"/>
    <w:rsid w:val="00AE6C05"/>
    <w:rsid w:val="00AE7164"/>
    <w:rsid w:val="00AE7709"/>
    <w:rsid w:val="00AF04C0"/>
    <w:rsid w:val="00AF1315"/>
    <w:rsid w:val="00AF19BF"/>
    <w:rsid w:val="00AF20EE"/>
    <w:rsid w:val="00AF22F1"/>
    <w:rsid w:val="00AF2A50"/>
    <w:rsid w:val="00AF2DC3"/>
    <w:rsid w:val="00AF2E9E"/>
    <w:rsid w:val="00AF33E0"/>
    <w:rsid w:val="00AF4324"/>
    <w:rsid w:val="00AF5CD0"/>
    <w:rsid w:val="00AF70C3"/>
    <w:rsid w:val="00AF7363"/>
    <w:rsid w:val="00AF7593"/>
    <w:rsid w:val="00B00301"/>
    <w:rsid w:val="00B0066C"/>
    <w:rsid w:val="00B0083F"/>
    <w:rsid w:val="00B00847"/>
    <w:rsid w:val="00B01005"/>
    <w:rsid w:val="00B01BFD"/>
    <w:rsid w:val="00B01D6A"/>
    <w:rsid w:val="00B02F56"/>
    <w:rsid w:val="00B03175"/>
    <w:rsid w:val="00B033E5"/>
    <w:rsid w:val="00B03A63"/>
    <w:rsid w:val="00B03F04"/>
    <w:rsid w:val="00B04260"/>
    <w:rsid w:val="00B049DD"/>
    <w:rsid w:val="00B04FF8"/>
    <w:rsid w:val="00B0721E"/>
    <w:rsid w:val="00B1016B"/>
    <w:rsid w:val="00B1152B"/>
    <w:rsid w:val="00B11D40"/>
    <w:rsid w:val="00B12DF3"/>
    <w:rsid w:val="00B132B0"/>
    <w:rsid w:val="00B142F3"/>
    <w:rsid w:val="00B145A6"/>
    <w:rsid w:val="00B15C09"/>
    <w:rsid w:val="00B168CD"/>
    <w:rsid w:val="00B17EC0"/>
    <w:rsid w:val="00B201A4"/>
    <w:rsid w:val="00B203F7"/>
    <w:rsid w:val="00B207FD"/>
    <w:rsid w:val="00B20E05"/>
    <w:rsid w:val="00B20E89"/>
    <w:rsid w:val="00B213A6"/>
    <w:rsid w:val="00B21875"/>
    <w:rsid w:val="00B21934"/>
    <w:rsid w:val="00B22ADC"/>
    <w:rsid w:val="00B2409A"/>
    <w:rsid w:val="00B24C34"/>
    <w:rsid w:val="00B24DF6"/>
    <w:rsid w:val="00B25879"/>
    <w:rsid w:val="00B25C5A"/>
    <w:rsid w:val="00B26461"/>
    <w:rsid w:val="00B26519"/>
    <w:rsid w:val="00B26D18"/>
    <w:rsid w:val="00B26F7D"/>
    <w:rsid w:val="00B27663"/>
    <w:rsid w:val="00B278F6"/>
    <w:rsid w:val="00B27FE2"/>
    <w:rsid w:val="00B3005A"/>
    <w:rsid w:val="00B3014F"/>
    <w:rsid w:val="00B3030A"/>
    <w:rsid w:val="00B30357"/>
    <w:rsid w:val="00B309AA"/>
    <w:rsid w:val="00B31057"/>
    <w:rsid w:val="00B316B9"/>
    <w:rsid w:val="00B3194C"/>
    <w:rsid w:val="00B319FC"/>
    <w:rsid w:val="00B31DF4"/>
    <w:rsid w:val="00B31EA8"/>
    <w:rsid w:val="00B34A66"/>
    <w:rsid w:val="00B34BE6"/>
    <w:rsid w:val="00B34FE2"/>
    <w:rsid w:val="00B35418"/>
    <w:rsid w:val="00B3546F"/>
    <w:rsid w:val="00B357D8"/>
    <w:rsid w:val="00B36483"/>
    <w:rsid w:val="00B36CBE"/>
    <w:rsid w:val="00B36EE0"/>
    <w:rsid w:val="00B37BFC"/>
    <w:rsid w:val="00B37C8B"/>
    <w:rsid w:val="00B37DE8"/>
    <w:rsid w:val="00B37EFC"/>
    <w:rsid w:val="00B40358"/>
    <w:rsid w:val="00B40742"/>
    <w:rsid w:val="00B407D8"/>
    <w:rsid w:val="00B40E15"/>
    <w:rsid w:val="00B41614"/>
    <w:rsid w:val="00B42851"/>
    <w:rsid w:val="00B42F80"/>
    <w:rsid w:val="00B43229"/>
    <w:rsid w:val="00B435CB"/>
    <w:rsid w:val="00B43EBA"/>
    <w:rsid w:val="00B44553"/>
    <w:rsid w:val="00B4479D"/>
    <w:rsid w:val="00B44A7B"/>
    <w:rsid w:val="00B44E86"/>
    <w:rsid w:val="00B4520A"/>
    <w:rsid w:val="00B452E3"/>
    <w:rsid w:val="00B45305"/>
    <w:rsid w:val="00B45810"/>
    <w:rsid w:val="00B45EE3"/>
    <w:rsid w:val="00B46A2E"/>
    <w:rsid w:val="00B46C47"/>
    <w:rsid w:val="00B50821"/>
    <w:rsid w:val="00B50A47"/>
    <w:rsid w:val="00B50DB8"/>
    <w:rsid w:val="00B51364"/>
    <w:rsid w:val="00B5145A"/>
    <w:rsid w:val="00B516EA"/>
    <w:rsid w:val="00B5179A"/>
    <w:rsid w:val="00B51EA6"/>
    <w:rsid w:val="00B523BE"/>
    <w:rsid w:val="00B52EE2"/>
    <w:rsid w:val="00B535C4"/>
    <w:rsid w:val="00B53654"/>
    <w:rsid w:val="00B53905"/>
    <w:rsid w:val="00B54B5B"/>
    <w:rsid w:val="00B54EC4"/>
    <w:rsid w:val="00B5562E"/>
    <w:rsid w:val="00B55B92"/>
    <w:rsid w:val="00B562AB"/>
    <w:rsid w:val="00B57000"/>
    <w:rsid w:val="00B57BEB"/>
    <w:rsid w:val="00B57D8E"/>
    <w:rsid w:val="00B605EB"/>
    <w:rsid w:val="00B60939"/>
    <w:rsid w:val="00B60AFD"/>
    <w:rsid w:val="00B60EAF"/>
    <w:rsid w:val="00B6109A"/>
    <w:rsid w:val="00B62715"/>
    <w:rsid w:val="00B62C03"/>
    <w:rsid w:val="00B63176"/>
    <w:rsid w:val="00B638AA"/>
    <w:rsid w:val="00B63E82"/>
    <w:rsid w:val="00B64736"/>
    <w:rsid w:val="00B65B62"/>
    <w:rsid w:val="00B675D5"/>
    <w:rsid w:val="00B67F89"/>
    <w:rsid w:val="00B7049C"/>
    <w:rsid w:val="00B70AFC"/>
    <w:rsid w:val="00B70FF5"/>
    <w:rsid w:val="00B72386"/>
    <w:rsid w:val="00B72460"/>
    <w:rsid w:val="00B7347F"/>
    <w:rsid w:val="00B73BA5"/>
    <w:rsid w:val="00B73EDD"/>
    <w:rsid w:val="00B75421"/>
    <w:rsid w:val="00B75C52"/>
    <w:rsid w:val="00B760A5"/>
    <w:rsid w:val="00B76BE4"/>
    <w:rsid w:val="00B771CA"/>
    <w:rsid w:val="00B8108E"/>
    <w:rsid w:val="00B818A4"/>
    <w:rsid w:val="00B8306A"/>
    <w:rsid w:val="00B832A0"/>
    <w:rsid w:val="00B83492"/>
    <w:rsid w:val="00B836C9"/>
    <w:rsid w:val="00B83AEF"/>
    <w:rsid w:val="00B84117"/>
    <w:rsid w:val="00B85AA2"/>
    <w:rsid w:val="00B863CA"/>
    <w:rsid w:val="00B8649C"/>
    <w:rsid w:val="00B8731F"/>
    <w:rsid w:val="00B87F0A"/>
    <w:rsid w:val="00B906EC"/>
    <w:rsid w:val="00B90D3B"/>
    <w:rsid w:val="00B91344"/>
    <w:rsid w:val="00B92388"/>
    <w:rsid w:val="00B92C63"/>
    <w:rsid w:val="00B92D0B"/>
    <w:rsid w:val="00B93263"/>
    <w:rsid w:val="00B93E97"/>
    <w:rsid w:val="00B944B6"/>
    <w:rsid w:val="00B94945"/>
    <w:rsid w:val="00B94CD3"/>
    <w:rsid w:val="00B95A2B"/>
    <w:rsid w:val="00B95B0A"/>
    <w:rsid w:val="00B95B7E"/>
    <w:rsid w:val="00B95D9B"/>
    <w:rsid w:val="00B971B5"/>
    <w:rsid w:val="00B97AF0"/>
    <w:rsid w:val="00BA002D"/>
    <w:rsid w:val="00BA026F"/>
    <w:rsid w:val="00BA0648"/>
    <w:rsid w:val="00BA0676"/>
    <w:rsid w:val="00BA2332"/>
    <w:rsid w:val="00BA2366"/>
    <w:rsid w:val="00BA322D"/>
    <w:rsid w:val="00BA581C"/>
    <w:rsid w:val="00BA5959"/>
    <w:rsid w:val="00BA6367"/>
    <w:rsid w:val="00BA75FE"/>
    <w:rsid w:val="00BB0B94"/>
    <w:rsid w:val="00BB0BDD"/>
    <w:rsid w:val="00BB0D77"/>
    <w:rsid w:val="00BB18B8"/>
    <w:rsid w:val="00BB1CCD"/>
    <w:rsid w:val="00BB2A73"/>
    <w:rsid w:val="00BB2CB2"/>
    <w:rsid w:val="00BB2EB0"/>
    <w:rsid w:val="00BB421E"/>
    <w:rsid w:val="00BB44E4"/>
    <w:rsid w:val="00BB4530"/>
    <w:rsid w:val="00BB4ACC"/>
    <w:rsid w:val="00BB4EBD"/>
    <w:rsid w:val="00BB5829"/>
    <w:rsid w:val="00BB5D5C"/>
    <w:rsid w:val="00BB703E"/>
    <w:rsid w:val="00BB7405"/>
    <w:rsid w:val="00BB76AF"/>
    <w:rsid w:val="00BB7971"/>
    <w:rsid w:val="00BC0033"/>
    <w:rsid w:val="00BC042B"/>
    <w:rsid w:val="00BC0BF7"/>
    <w:rsid w:val="00BC1636"/>
    <w:rsid w:val="00BC2137"/>
    <w:rsid w:val="00BC2879"/>
    <w:rsid w:val="00BC3631"/>
    <w:rsid w:val="00BC3F5A"/>
    <w:rsid w:val="00BC41AB"/>
    <w:rsid w:val="00BC438A"/>
    <w:rsid w:val="00BC4C0C"/>
    <w:rsid w:val="00BC4E5B"/>
    <w:rsid w:val="00BC5ABF"/>
    <w:rsid w:val="00BC62F0"/>
    <w:rsid w:val="00BD0F9D"/>
    <w:rsid w:val="00BD1056"/>
    <w:rsid w:val="00BD12A9"/>
    <w:rsid w:val="00BD1EE3"/>
    <w:rsid w:val="00BD1EF4"/>
    <w:rsid w:val="00BD23B7"/>
    <w:rsid w:val="00BD259D"/>
    <w:rsid w:val="00BD260A"/>
    <w:rsid w:val="00BD2B19"/>
    <w:rsid w:val="00BD2E5F"/>
    <w:rsid w:val="00BD46B2"/>
    <w:rsid w:val="00BD4ACC"/>
    <w:rsid w:val="00BD4FCA"/>
    <w:rsid w:val="00BD51E2"/>
    <w:rsid w:val="00BD68A3"/>
    <w:rsid w:val="00BD6938"/>
    <w:rsid w:val="00BD6A23"/>
    <w:rsid w:val="00BD6CF3"/>
    <w:rsid w:val="00BD7104"/>
    <w:rsid w:val="00BE0175"/>
    <w:rsid w:val="00BE1AF1"/>
    <w:rsid w:val="00BE2180"/>
    <w:rsid w:val="00BE21F2"/>
    <w:rsid w:val="00BE2707"/>
    <w:rsid w:val="00BE2977"/>
    <w:rsid w:val="00BE37DC"/>
    <w:rsid w:val="00BE4275"/>
    <w:rsid w:val="00BE45C9"/>
    <w:rsid w:val="00BE471D"/>
    <w:rsid w:val="00BE5732"/>
    <w:rsid w:val="00BE5F39"/>
    <w:rsid w:val="00BE5FF9"/>
    <w:rsid w:val="00BE69D9"/>
    <w:rsid w:val="00BF03CF"/>
    <w:rsid w:val="00BF08F7"/>
    <w:rsid w:val="00BF0F95"/>
    <w:rsid w:val="00BF1023"/>
    <w:rsid w:val="00BF1C9F"/>
    <w:rsid w:val="00BF2433"/>
    <w:rsid w:val="00BF2627"/>
    <w:rsid w:val="00BF2693"/>
    <w:rsid w:val="00BF3236"/>
    <w:rsid w:val="00BF4E32"/>
    <w:rsid w:val="00BF5EF9"/>
    <w:rsid w:val="00BF6126"/>
    <w:rsid w:val="00BF61C9"/>
    <w:rsid w:val="00BF6839"/>
    <w:rsid w:val="00BF6A71"/>
    <w:rsid w:val="00BF6C94"/>
    <w:rsid w:val="00BF7594"/>
    <w:rsid w:val="00BF7B12"/>
    <w:rsid w:val="00C00424"/>
    <w:rsid w:val="00C01AAA"/>
    <w:rsid w:val="00C01F9E"/>
    <w:rsid w:val="00C02E50"/>
    <w:rsid w:val="00C032C8"/>
    <w:rsid w:val="00C034F7"/>
    <w:rsid w:val="00C039C6"/>
    <w:rsid w:val="00C04C56"/>
    <w:rsid w:val="00C05083"/>
    <w:rsid w:val="00C053F7"/>
    <w:rsid w:val="00C05EA6"/>
    <w:rsid w:val="00C06CCA"/>
    <w:rsid w:val="00C06E46"/>
    <w:rsid w:val="00C0712F"/>
    <w:rsid w:val="00C072DF"/>
    <w:rsid w:val="00C07D0F"/>
    <w:rsid w:val="00C1011B"/>
    <w:rsid w:val="00C103D5"/>
    <w:rsid w:val="00C104BF"/>
    <w:rsid w:val="00C115D9"/>
    <w:rsid w:val="00C11A9E"/>
    <w:rsid w:val="00C12C14"/>
    <w:rsid w:val="00C13DBC"/>
    <w:rsid w:val="00C145C2"/>
    <w:rsid w:val="00C150FA"/>
    <w:rsid w:val="00C157DB"/>
    <w:rsid w:val="00C15D12"/>
    <w:rsid w:val="00C1639F"/>
    <w:rsid w:val="00C16477"/>
    <w:rsid w:val="00C16584"/>
    <w:rsid w:val="00C200AA"/>
    <w:rsid w:val="00C20C08"/>
    <w:rsid w:val="00C21D31"/>
    <w:rsid w:val="00C229C9"/>
    <w:rsid w:val="00C2360F"/>
    <w:rsid w:val="00C237ED"/>
    <w:rsid w:val="00C23B54"/>
    <w:rsid w:val="00C242E5"/>
    <w:rsid w:val="00C24632"/>
    <w:rsid w:val="00C253B5"/>
    <w:rsid w:val="00C25418"/>
    <w:rsid w:val="00C25D9C"/>
    <w:rsid w:val="00C25E24"/>
    <w:rsid w:val="00C260EC"/>
    <w:rsid w:val="00C26647"/>
    <w:rsid w:val="00C2778B"/>
    <w:rsid w:val="00C27882"/>
    <w:rsid w:val="00C301CF"/>
    <w:rsid w:val="00C30BE1"/>
    <w:rsid w:val="00C31649"/>
    <w:rsid w:val="00C31708"/>
    <w:rsid w:val="00C31D5E"/>
    <w:rsid w:val="00C31E69"/>
    <w:rsid w:val="00C325CA"/>
    <w:rsid w:val="00C3299D"/>
    <w:rsid w:val="00C32AB4"/>
    <w:rsid w:val="00C32F19"/>
    <w:rsid w:val="00C33403"/>
    <w:rsid w:val="00C3532C"/>
    <w:rsid w:val="00C354C3"/>
    <w:rsid w:val="00C35543"/>
    <w:rsid w:val="00C3560A"/>
    <w:rsid w:val="00C358BC"/>
    <w:rsid w:val="00C3617D"/>
    <w:rsid w:val="00C36741"/>
    <w:rsid w:val="00C36A35"/>
    <w:rsid w:val="00C370FA"/>
    <w:rsid w:val="00C37129"/>
    <w:rsid w:val="00C376D4"/>
    <w:rsid w:val="00C37A87"/>
    <w:rsid w:val="00C37B69"/>
    <w:rsid w:val="00C37E5C"/>
    <w:rsid w:val="00C4005F"/>
    <w:rsid w:val="00C401BA"/>
    <w:rsid w:val="00C40385"/>
    <w:rsid w:val="00C41794"/>
    <w:rsid w:val="00C41C83"/>
    <w:rsid w:val="00C4212A"/>
    <w:rsid w:val="00C44609"/>
    <w:rsid w:val="00C452B8"/>
    <w:rsid w:val="00C46035"/>
    <w:rsid w:val="00C46DA6"/>
    <w:rsid w:val="00C471FC"/>
    <w:rsid w:val="00C475AA"/>
    <w:rsid w:val="00C47BFD"/>
    <w:rsid w:val="00C508FA"/>
    <w:rsid w:val="00C50FF2"/>
    <w:rsid w:val="00C510D9"/>
    <w:rsid w:val="00C51781"/>
    <w:rsid w:val="00C518BC"/>
    <w:rsid w:val="00C5280E"/>
    <w:rsid w:val="00C52A40"/>
    <w:rsid w:val="00C52AF3"/>
    <w:rsid w:val="00C53542"/>
    <w:rsid w:val="00C541D8"/>
    <w:rsid w:val="00C5506D"/>
    <w:rsid w:val="00C566C3"/>
    <w:rsid w:val="00C615A9"/>
    <w:rsid w:val="00C62127"/>
    <w:rsid w:val="00C634AB"/>
    <w:rsid w:val="00C6475E"/>
    <w:rsid w:val="00C65268"/>
    <w:rsid w:val="00C65576"/>
    <w:rsid w:val="00C65938"/>
    <w:rsid w:val="00C65AC5"/>
    <w:rsid w:val="00C66165"/>
    <w:rsid w:val="00C66D2F"/>
    <w:rsid w:val="00C66EB5"/>
    <w:rsid w:val="00C675E4"/>
    <w:rsid w:val="00C675F7"/>
    <w:rsid w:val="00C67607"/>
    <w:rsid w:val="00C70403"/>
    <w:rsid w:val="00C7068D"/>
    <w:rsid w:val="00C7151A"/>
    <w:rsid w:val="00C71F60"/>
    <w:rsid w:val="00C72241"/>
    <w:rsid w:val="00C7498F"/>
    <w:rsid w:val="00C749C9"/>
    <w:rsid w:val="00C750C8"/>
    <w:rsid w:val="00C7560F"/>
    <w:rsid w:val="00C76142"/>
    <w:rsid w:val="00C76D25"/>
    <w:rsid w:val="00C80A0E"/>
    <w:rsid w:val="00C80AA6"/>
    <w:rsid w:val="00C80B3D"/>
    <w:rsid w:val="00C8213F"/>
    <w:rsid w:val="00C834AF"/>
    <w:rsid w:val="00C83D22"/>
    <w:rsid w:val="00C84DB8"/>
    <w:rsid w:val="00C85004"/>
    <w:rsid w:val="00C85449"/>
    <w:rsid w:val="00C86197"/>
    <w:rsid w:val="00C86490"/>
    <w:rsid w:val="00C870CA"/>
    <w:rsid w:val="00C8797A"/>
    <w:rsid w:val="00C900B8"/>
    <w:rsid w:val="00C90C71"/>
    <w:rsid w:val="00C9300B"/>
    <w:rsid w:val="00C931CF"/>
    <w:rsid w:val="00C93581"/>
    <w:rsid w:val="00C938CF"/>
    <w:rsid w:val="00C9445E"/>
    <w:rsid w:val="00C95AD9"/>
    <w:rsid w:val="00C9624D"/>
    <w:rsid w:val="00C962DE"/>
    <w:rsid w:val="00C967D5"/>
    <w:rsid w:val="00C969DA"/>
    <w:rsid w:val="00C96A12"/>
    <w:rsid w:val="00C9767A"/>
    <w:rsid w:val="00CA1219"/>
    <w:rsid w:val="00CA129A"/>
    <w:rsid w:val="00CA29C9"/>
    <w:rsid w:val="00CA2C77"/>
    <w:rsid w:val="00CA3A18"/>
    <w:rsid w:val="00CA3EAC"/>
    <w:rsid w:val="00CA3FC3"/>
    <w:rsid w:val="00CA444F"/>
    <w:rsid w:val="00CA5245"/>
    <w:rsid w:val="00CA58F4"/>
    <w:rsid w:val="00CA68AB"/>
    <w:rsid w:val="00CA69D2"/>
    <w:rsid w:val="00CA71F4"/>
    <w:rsid w:val="00CA7B09"/>
    <w:rsid w:val="00CB20C2"/>
    <w:rsid w:val="00CB265F"/>
    <w:rsid w:val="00CB2F2A"/>
    <w:rsid w:val="00CB3646"/>
    <w:rsid w:val="00CB38D6"/>
    <w:rsid w:val="00CB3CCB"/>
    <w:rsid w:val="00CB4B0C"/>
    <w:rsid w:val="00CB4C7C"/>
    <w:rsid w:val="00CB5601"/>
    <w:rsid w:val="00CB584B"/>
    <w:rsid w:val="00CB5B1A"/>
    <w:rsid w:val="00CB615F"/>
    <w:rsid w:val="00CB6B22"/>
    <w:rsid w:val="00CB7112"/>
    <w:rsid w:val="00CB71ED"/>
    <w:rsid w:val="00CB74E7"/>
    <w:rsid w:val="00CB7F5F"/>
    <w:rsid w:val="00CC09E4"/>
    <w:rsid w:val="00CC1B39"/>
    <w:rsid w:val="00CC275E"/>
    <w:rsid w:val="00CC2A82"/>
    <w:rsid w:val="00CC49A2"/>
    <w:rsid w:val="00CC4EF4"/>
    <w:rsid w:val="00CC576B"/>
    <w:rsid w:val="00CC5E39"/>
    <w:rsid w:val="00CC6559"/>
    <w:rsid w:val="00CC7338"/>
    <w:rsid w:val="00CC7360"/>
    <w:rsid w:val="00CC790B"/>
    <w:rsid w:val="00CD086E"/>
    <w:rsid w:val="00CD0DA5"/>
    <w:rsid w:val="00CD116E"/>
    <w:rsid w:val="00CD2254"/>
    <w:rsid w:val="00CD25B8"/>
    <w:rsid w:val="00CD3024"/>
    <w:rsid w:val="00CD383B"/>
    <w:rsid w:val="00CD40C7"/>
    <w:rsid w:val="00CD4834"/>
    <w:rsid w:val="00CD50B4"/>
    <w:rsid w:val="00CD5C56"/>
    <w:rsid w:val="00CD5D4C"/>
    <w:rsid w:val="00CD63B0"/>
    <w:rsid w:val="00CD6ADC"/>
    <w:rsid w:val="00CD6DF9"/>
    <w:rsid w:val="00CD7380"/>
    <w:rsid w:val="00CD73F3"/>
    <w:rsid w:val="00CD7705"/>
    <w:rsid w:val="00CD79A9"/>
    <w:rsid w:val="00CE09A3"/>
    <w:rsid w:val="00CE19F3"/>
    <w:rsid w:val="00CE1A50"/>
    <w:rsid w:val="00CE2080"/>
    <w:rsid w:val="00CE24B4"/>
    <w:rsid w:val="00CE3332"/>
    <w:rsid w:val="00CE398F"/>
    <w:rsid w:val="00CE3AB4"/>
    <w:rsid w:val="00CE4465"/>
    <w:rsid w:val="00CE4BB1"/>
    <w:rsid w:val="00CE4D09"/>
    <w:rsid w:val="00CE6274"/>
    <w:rsid w:val="00CE6F73"/>
    <w:rsid w:val="00CE74A0"/>
    <w:rsid w:val="00CE7FDC"/>
    <w:rsid w:val="00CF09B0"/>
    <w:rsid w:val="00CF0D1D"/>
    <w:rsid w:val="00CF25E0"/>
    <w:rsid w:val="00CF2B8D"/>
    <w:rsid w:val="00CF368C"/>
    <w:rsid w:val="00CF3C85"/>
    <w:rsid w:val="00CF456B"/>
    <w:rsid w:val="00CF4961"/>
    <w:rsid w:val="00CF5A22"/>
    <w:rsid w:val="00CF5F22"/>
    <w:rsid w:val="00CF673E"/>
    <w:rsid w:val="00CF681F"/>
    <w:rsid w:val="00CF6B03"/>
    <w:rsid w:val="00CF6C51"/>
    <w:rsid w:val="00CF6E99"/>
    <w:rsid w:val="00CF7BBC"/>
    <w:rsid w:val="00D0039B"/>
    <w:rsid w:val="00D019C0"/>
    <w:rsid w:val="00D0254F"/>
    <w:rsid w:val="00D0262E"/>
    <w:rsid w:val="00D02961"/>
    <w:rsid w:val="00D048AE"/>
    <w:rsid w:val="00D048F8"/>
    <w:rsid w:val="00D04DA3"/>
    <w:rsid w:val="00D0606F"/>
    <w:rsid w:val="00D06B51"/>
    <w:rsid w:val="00D07366"/>
    <w:rsid w:val="00D10886"/>
    <w:rsid w:val="00D110BD"/>
    <w:rsid w:val="00D1194B"/>
    <w:rsid w:val="00D11A35"/>
    <w:rsid w:val="00D124D0"/>
    <w:rsid w:val="00D12F67"/>
    <w:rsid w:val="00D131E1"/>
    <w:rsid w:val="00D13675"/>
    <w:rsid w:val="00D14079"/>
    <w:rsid w:val="00D141E1"/>
    <w:rsid w:val="00D151A6"/>
    <w:rsid w:val="00D15315"/>
    <w:rsid w:val="00D15736"/>
    <w:rsid w:val="00D15912"/>
    <w:rsid w:val="00D159FE"/>
    <w:rsid w:val="00D15D14"/>
    <w:rsid w:val="00D16158"/>
    <w:rsid w:val="00D167DA"/>
    <w:rsid w:val="00D16827"/>
    <w:rsid w:val="00D16D4F"/>
    <w:rsid w:val="00D17D6C"/>
    <w:rsid w:val="00D17F19"/>
    <w:rsid w:val="00D2053D"/>
    <w:rsid w:val="00D20909"/>
    <w:rsid w:val="00D20B05"/>
    <w:rsid w:val="00D21378"/>
    <w:rsid w:val="00D213F9"/>
    <w:rsid w:val="00D21965"/>
    <w:rsid w:val="00D219F8"/>
    <w:rsid w:val="00D21ACC"/>
    <w:rsid w:val="00D21C40"/>
    <w:rsid w:val="00D2239F"/>
    <w:rsid w:val="00D23639"/>
    <w:rsid w:val="00D2364E"/>
    <w:rsid w:val="00D23EDE"/>
    <w:rsid w:val="00D24B18"/>
    <w:rsid w:val="00D25B74"/>
    <w:rsid w:val="00D264C5"/>
    <w:rsid w:val="00D26B0C"/>
    <w:rsid w:val="00D26D64"/>
    <w:rsid w:val="00D2754D"/>
    <w:rsid w:val="00D27B27"/>
    <w:rsid w:val="00D27E16"/>
    <w:rsid w:val="00D314B1"/>
    <w:rsid w:val="00D317C8"/>
    <w:rsid w:val="00D323FB"/>
    <w:rsid w:val="00D324F7"/>
    <w:rsid w:val="00D32652"/>
    <w:rsid w:val="00D32FC9"/>
    <w:rsid w:val="00D33BE9"/>
    <w:rsid w:val="00D33F80"/>
    <w:rsid w:val="00D34AF3"/>
    <w:rsid w:val="00D35734"/>
    <w:rsid w:val="00D357FF"/>
    <w:rsid w:val="00D36739"/>
    <w:rsid w:val="00D368C2"/>
    <w:rsid w:val="00D36C00"/>
    <w:rsid w:val="00D3712A"/>
    <w:rsid w:val="00D37944"/>
    <w:rsid w:val="00D40AA6"/>
    <w:rsid w:val="00D424C7"/>
    <w:rsid w:val="00D4281A"/>
    <w:rsid w:val="00D43B2A"/>
    <w:rsid w:val="00D46003"/>
    <w:rsid w:val="00D46210"/>
    <w:rsid w:val="00D46637"/>
    <w:rsid w:val="00D46EA0"/>
    <w:rsid w:val="00D47575"/>
    <w:rsid w:val="00D47D34"/>
    <w:rsid w:val="00D50039"/>
    <w:rsid w:val="00D50837"/>
    <w:rsid w:val="00D50B78"/>
    <w:rsid w:val="00D5167C"/>
    <w:rsid w:val="00D52BD1"/>
    <w:rsid w:val="00D52F73"/>
    <w:rsid w:val="00D543BC"/>
    <w:rsid w:val="00D5520D"/>
    <w:rsid w:val="00D553F1"/>
    <w:rsid w:val="00D5584F"/>
    <w:rsid w:val="00D56530"/>
    <w:rsid w:val="00D60317"/>
    <w:rsid w:val="00D60B5E"/>
    <w:rsid w:val="00D634C7"/>
    <w:rsid w:val="00D6364B"/>
    <w:rsid w:val="00D63963"/>
    <w:rsid w:val="00D6417F"/>
    <w:rsid w:val="00D644F7"/>
    <w:rsid w:val="00D656B5"/>
    <w:rsid w:val="00D65F54"/>
    <w:rsid w:val="00D662AF"/>
    <w:rsid w:val="00D66744"/>
    <w:rsid w:val="00D66FD6"/>
    <w:rsid w:val="00D6771F"/>
    <w:rsid w:val="00D704ED"/>
    <w:rsid w:val="00D70F16"/>
    <w:rsid w:val="00D7103D"/>
    <w:rsid w:val="00D710B3"/>
    <w:rsid w:val="00D7244F"/>
    <w:rsid w:val="00D727D3"/>
    <w:rsid w:val="00D72C73"/>
    <w:rsid w:val="00D7548D"/>
    <w:rsid w:val="00D760EC"/>
    <w:rsid w:val="00D76A44"/>
    <w:rsid w:val="00D80273"/>
    <w:rsid w:val="00D80637"/>
    <w:rsid w:val="00D807BE"/>
    <w:rsid w:val="00D815EF"/>
    <w:rsid w:val="00D8258B"/>
    <w:rsid w:val="00D82881"/>
    <w:rsid w:val="00D8493D"/>
    <w:rsid w:val="00D84F22"/>
    <w:rsid w:val="00D85151"/>
    <w:rsid w:val="00D85664"/>
    <w:rsid w:val="00D8741F"/>
    <w:rsid w:val="00D877CD"/>
    <w:rsid w:val="00D879EC"/>
    <w:rsid w:val="00D901CB"/>
    <w:rsid w:val="00D9032A"/>
    <w:rsid w:val="00D91923"/>
    <w:rsid w:val="00D91BCC"/>
    <w:rsid w:val="00D91FEF"/>
    <w:rsid w:val="00D92053"/>
    <w:rsid w:val="00D92114"/>
    <w:rsid w:val="00D932BF"/>
    <w:rsid w:val="00D933F5"/>
    <w:rsid w:val="00D93753"/>
    <w:rsid w:val="00D938BC"/>
    <w:rsid w:val="00D952B2"/>
    <w:rsid w:val="00D956CB"/>
    <w:rsid w:val="00D95832"/>
    <w:rsid w:val="00D9648C"/>
    <w:rsid w:val="00D96F19"/>
    <w:rsid w:val="00DA0C06"/>
    <w:rsid w:val="00DA1797"/>
    <w:rsid w:val="00DA2F0F"/>
    <w:rsid w:val="00DA3167"/>
    <w:rsid w:val="00DA35AB"/>
    <w:rsid w:val="00DA3737"/>
    <w:rsid w:val="00DA4DC3"/>
    <w:rsid w:val="00DA535F"/>
    <w:rsid w:val="00DA5536"/>
    <w:rsid w:val="00DA5C03"/>
    <w:rsid w:val="00DA5D55"/>
    <w:rsid w:val="00DA628F"/>
    <w:rsid w:val="00DA64B9"/>
    <w:rsid w:val="00DA64F6"/>
    <w:rsid w:val="00DA675E"/>
    <w:rsid w:val="00DA688B"/>
    <w:rsid w:val="00DA68E5"/>
    <w:rsid w:val="00DA6A32"/>
    <w:rsid w:val="00DA77A5"/>
    <w:rsid w:val="00DB0BDD"/>
    <w:rsid w:val="00DB1C6F"/>
    <w:rsid w:val="00DB484F"/>
    <w:rsid w:val="00DB59DA"/>
    <w:rsid w:val="00DB70DB"/>
    <w:rsid w:val="00DB7F4A"/>
    <w:rsid w:val="00DC04B0"/>
    <w:rsid w:val="00DC04F6"/>
    <w:rsid w:val="00DC059A"/>
    <w:rsid w:val="00DC0976"/>
    <w:rsid w:val="00DC0A71"/>
    <w:rsid w:val="00DC0BC8"/>
    <w:rsid w:val="00DC1E4E"/>
    <w:rsid w:val="00DC2439"/>
    <w:rsid w:val="00DC257D"/>
    <w:rsid w:val="00DC2CE8"/>
    <w:rsid w:val="00DC31AA"/>
    <w:rsid w:val="00DC3574"/>
    <w:rsid w:val="00DC386C"/>
    <w:rsid w:val="00DC38E3"/>
    <w:rsid w:val="00DC3C57"/>
    <w:rsid w:val="00DC52FF"/>
    <w:rsid w:val="00DC5501"/>
    <w:rsid w:val="00DC6A4D"/>
    <w:rsid w:val="00DC7003"/>
    <w:rsid w:val="00DC74F1"/>
    <w:rsid w:val="00DC7DE0"/>
    <w:rsid w:val="00DD0C65"/>
    <w:rsid w:val="00DD1DEE"/>
    <w:rsid w:val="00DD273C"/>
    <w:rsid w:val="00DD3F28"/>
    <w:rsid w:val="00DD408F"/>
    <w:rsid w:val="00DD43D8"/>
    <w:rsid w:val="00DD4537"/>
    <w:rsid w:val="00DD4A19"/>
    <w:rsid w:val="00DD4E15"/>
    <w:rsid w:val="00DD4E69"/>
    <w:rsid w:val="00DD5063"/>
    <w:rsid w:val="00DD5681"/>
    <w:rsid w:val="00DD5948"/>
    <w:rsid w:val="00DD5D3F"/>
    <w:rsid w:val="00DD628D"/>
    <w:rsid w:val="00DD674E"/>
    <w:rsid w:val="00DD6992"/>
    <w:rsid w:val="00DD6D2C"/>
    <w:rsid w:val="00DE2E67"/>
    <w:rsid w:val="00DE2F35"/>
    <w:rsid w:val="00DE3096"/>
    <w:rsid w:val="00DE3138"/>
    <w:rsid w:val="00DE37F8"/>
    <w:rsid w:val="00DE3820"/>
    <w:rsid w:val="00DE3F97"/>
    <w:rsid w:val="00DE426C"/>
    <w:rsid w:val="00DE46B9"/>
    <w:rsid w:val="00DE4BB9"/>
    <w:rsid w:val="00DE4FCB"/>
    <w:rsid w:val="00DE5CE6"/>
    <w:rsid w:val="00DE76E1"/>
    <w:rsid w:val="00DE77EA"/>
    <w:rsid w:val="00DE7832"/>
    <w:rsid w:val="00DE7BC9"/>
    <w:rsid w:val="00DF0CBF"/>
    <w:rsid w:val="00DF18FC"/>
    <w:rsid w:val="00DF19CF"/>
    <w:rsid w:val="00DF1C4C"/>
    <w:rsid w:val="00DF1C97"/>
    <w:rsid w:val="00DF33AF"/>
    <w:rsid w:val="00DF35D1"/>
    <w:rsid w:val="00DF4C14"/>
    <w:rsid w:val="00DF4FC1"/>
    <w:rsid w:val="00DF5D2B"/>
    <w:rsid w:val="00DF5E1E"/>
    <w:rsid w:val="00DF64D5"/>
    <w:rsid w:val="00DF6C9E"/>
    <w:rsid w:val="00DF772C"/>
    <w:rsid w:val="00DF79DF"/>
    <w:rsid w:val="00DF7C67"/>
    <w:rsid w:val="00DF7E57"/>
    <w:rsid w:val="00E00549"/>
    <w:rsid w:val="00E00E88"/>
    <w:rsid w:val="00E00E8E"/>
    <w:rsid w:val="00E01F83"/>
    <w:rsid w:val="00E0292A"/>
    <w:rsid w:val="00E02B88"/>
    <w:rsid w:val="00E04061"/>
    <w:rsid w:val="00E04EDE"/>
    <w:rsid w:val="00E054C5"/>
    <w:rsid w:val="00E05630"/>
    <w:rsid w:val="00E062B9"/>
    <w:rsid w:val="00E06DBB"/>
    <w:rsid w:val="00E072B8"/>
    <w:rsid w:val="00E07370"/>
    <w:rsid w:val="00E07509"/>
    <w:rsid w:val="00E07519"/>
    <w:rsid w:val="00E07EE8"/>
    <w:rsid w:val="00E10149"/>
    <w:rsid w:val="00E10C72"/>
    <w:rsid w:val="00E10E18"/>
    <w:rsid w:val="00E12586"/>
    <w:rsid w:val="00E12B35"/>
    <w:rsid w:val="00E14001"/>
    <w:rsid w:val="00E1410F"/>
    <w:rsid w:val="00E14585"/>
    <w:rsid w:val="00E1470F"/>
    <w:rsid w:val="00E15002"/>
    <w:rsid w:val="00E15039"/>
    <w:rsid w:val="00E15A38"/>
    <w:rsid w:val="00E16372"/>
    <w:rsid w:val="00E16862"/>
    <w:rsid w:val="00E169E8"/>
    <w:rsid w:val="00E1729E"/>
    <w:rsid w:val="00E17BC4"/>
    <w:rsid w:val="00E17D06"/>
    <w:rsid w:val="00E205CE"/>
    <w:rsid w:val="00E20E4D"/>
    <w:rsid w:val="00E20EC4"/>
    <w:rsid w:val="00E20ED6"/>
    <w:rsid w:val="00E21272"/>
    <w:rsid w:val="00E21358"/>
    <w:rsid w:val="00E21DE7"/>
    <w:rsid w:val="00E2249B"/>
    <w:rsid w:val="00E227E0"/>
    <w:rsid w:val="00E22A0D"/>
    <w:rsid w:val="00E23781"/>
    <w:rsid w:val="00E23EB1"/>
    <w:rsid w:val="00E23EB7"/>
    <w:rsid w:val="00E24552"/>
    <w:rsid w:val="00E245DB"/>
    <w:rsid w:val="00E24698"/>
    <w:rsid w:val="00E24A1A"/>
    <w:rsid w:val="00E26589"/>
    <w:rsid w:val="00E2658E"/>
    <w:rsid w:val="00E26ABD"/>
    <w:rsid w:val="00E27365"/>
    <w:rsid w:val="00E2771E"/>
    <w:rsid w:val="00E27E17"/>
    <w:rsid w:val="00E30526"/>
    <w:rsid w:val="00E308F8"/>
    <w:rsid w:val="00E31243"/>
    <w:rsid w:val="00E31244"/>
    <w:rsid w:val="00E31AB4"/>
    <w:rsid w:val="00E31D86"/>
    <w:rsid w:val="00E32554"/>
    <w:rsid w:val="00E32A78"/>
    <w:rsid w:val="00E32DDD"/>
    <w:rsid w:val="00E33A35"/>
    <w:rsid w:val="00E33AE4"/>
    <w:rsid w:val="00E34948"/>
    <w:rsid w:val="00E36244"/>
    <w:rsid w:val="00E3706C"/>
    <w:rsid w:val="00E37245"/>
    <w:rsid w:val="00E37543"/>
    <w:rsid w:val="00E37569"/>
    <w:rsid w:val="00E37D1E"/>
    <w:rsid w:val="00E41260"/>
    <w:rsid w:val="00E41369"/>
    <w:rsid w:val="00E41514"/>
    <w:rsid w:val="00E41A53"/>
    <w:rsid w:val="00E41B4F"/>
    <w:rsid w:val="00E41E30"/>
    <w:rsid w:val="00E42969"/>
    <w:rsid w:val="00E42B69"/>
    <w:rsid w:val="00E439C0"/>
    <w:rsid w:val="00E43D70"/>
    <w:rsid w:val="00E43F4B"/>
    <w:rsid w:val="00E44DA6"/>
    <w:rsid w:val="00E451CD"/>
    <w:rsid w:val="00E456E8"/>
    <w:rsid w:val="00E46417"/>
    <w:rsid w:val="00E465A2"/>
    <w:rsid w:val="00E466F3"/>
    <w:rsid w:val="00E46E32"/>
    <w:rsid w:val="00E46F7E"/>
    <w:rsid w:val="00E47288"/>
    <w:rsid w:val="00E473F5"/>
    <w:rsid w:val="00E4787E"/>
    <w:rsid w:val="00E47B2C"/>
    <w:rsid w:val="00E50360"/>
    <w:rsid w:val="00E5067F"/>
    <w:rsid w:val="00E50B68"/>
    <w:rsid w:val="00E50BB0"/>
    <w:rsid w:val="00E50CF8"/>
    <w:rsid w:val="00E50D9B"/>
    <w:rsid w:val="00E510E6"/>
    <w:rsid w:val="00E510EE"/>
    <w:rsid w:val="00E51560"/>
    <w:rsid w:val="00E5336D"/>
    <w:rsid w:val="00E535B9"/>
    <w:rsid w:val="00E54347"/>
    <w:rsid w:val="00E55424"/>
    <w:rsid w:val="00E55BB5"/>
    <w:rsid w:val="00E562E2"/>
    <w:rsid w:val="00E6014C"/>
    <w:rsid w:val="00E60D08"/>
    <w:rsid w:val="00E60D23"/>
    <w:rsid w:val="00E61455"/>
    <w:rsid w:val="00E622A7"/>
    <w:rsid w:val="00E63A83"/>
    <w:rsid w:val="00E63D45"/>
    <w:rsid w:val="00E64437"/>
    <w:rsid w:val="00E64684"/>
    <w:rsid w:val="00E65E79"/>
    <w:rsid w:val="00E66032"/>
    <w:rsid w:val="00E66485"/>
    <w:rsid w:val="00E66863"/>
    <w:rsid w:val="00E66BA2"/>
    <w:rsid w:val="00E66EC9"/>
    <w:rsid w:val="00E67416"/>
    <w:rsid w:val="00E67663"/>
    <w:rsid w:val="00E70361"/>
    <w:rsid w:val="00E70583"/>
    <w:rsid w:val="00E716F5"/>
    <w:rsid w:val="00E718B6"/>
    <w:rsid w:val="00E71C6C"/>
    <w:rsid w:val="00E722B2"/>
    <w:rsid w:val="00E723BA"/>
    <w:rsid w:val="00E72737"/>
    <w:rsid w:val="00E73581"/>
    <w:rsid w:val="00E73D84"/>
    <w:rsid w:val="00E73ED2"/>
    <w:rsid w:val="00E73ED8"/>
    <w:rsid w:val="00E74018"/>
    <w:rsid w:val="00E741B2"/>
    <w:rsid w:val="00E746FB"/>
    <w:rsid w:val="00E7526A"/>
    <w:rsid w:val="00E75788"/>
    <w:rsid w:val="00E75E84"/>
    <w:rsid w:val="00E76B36"/>
    <w:rsid w:val="00E813C0"/>
    <w:rsid w:val="00E81DAF"/>
    <w:rsid w:val="00E81F1A"/>
    <w:rsid w:val="00E81F2F"/>
    <w:rsid w:val="00E82376"/>
    <w:rsid w:val="00E8272A"/>
    <w:rsid w:val="00E82FD4"/>
    <w:rsid w:val="00E833F7"/>
    <w:rsid w:val="00E83450"/>
    <w:rsid w:val="00E8355B"/>
    <w:rsid w:val="00E83BDF"/>
    <w:rsid w:val="00E845C5"/>
    <w:rsid w:val="00E850F7"/>
    <w:rsid w:val="00E85CE7"/>
    <w:rsid w:val="00E85F4A"/>
    <w:rsid w:val="00E863F6"/>
    <w:rsid w:val="00E86BA3"/>
    <w:rsid w:val="00E874DD"/>
    <w:rsid w:val="00E87A1D"/>
    <w:rsid w:val="00E922C8"/>
    <w:rsid w:val="00E926A5"/>
    <w:rsid w:val="00E92F3F"/>
    <w:rsid w:val="00E9334D"/>
    <w:rsid w:val="00E93CE4"/>
    <w:rsid w:val="00E94096"/>
    <w:rsid w:val="00E96A67"/>
    <w:rsid w:val="00E97E05"/>
    <w:rsid w:val="00EA01C7"/>
    <w:rsid w:val="00EA0668"/>
    <w:rsid w:val="00EA0768"/>
    <w:rsid w:val="00EA11CA"/>
    <w:rsid w:val="00EA1376"/>
    <w:rsid w:val="00EA17C3"/>
    <w:rsid w:val="00EA2061"/>
    <w:rsid w:val="00EA2CAA"/>
    <w:rsid w:val="00EA3864"/>
    <w:rsid w:val="00EA3B50"/>
    <w:rsid w:val="00EA3C27"/>
    <w:rsid w:val="00EA428D"/>
    <w:rsid w:val="00EA43AB"/>
    <w:rsid w:val="00EA4ADB"/>
    <w:rsid w:val="00EA4C18"/>
    <w:rsid w:val="00EA55D2"/>
    <w:rsid w:val="00EA5845"/>
    <w:rsid w:val="00EA5A49"/>
    <w:rsid w:val="00EA64BB"/>
    <w:rsid w:val="00EA6668"/>
    <w:rsid w:val="00EA6C9E"/>
    <w:rsid w:val="00EA74FB"/>
    <w:rsid w:val="00EB08EC"/>
    <w:rsid w:val="00EB0E48"/>
    <w:rsid w:val="00EB15B6"/>
    <w:rsid w:val="00EB1882"/>
    <w:rsid w:val="00EB193B"/>
    <w:rsid w:val="00EB1FBF"/>
    <w:rsid w:val="00EB21EF"/>
    <w:rsid w:val="00EB2210"/>
    <w:rsid w:val="00EB33C9"/>
    <w:rsid w:val="00EB3833"/>
    <w:rsid w:val="00EB3D31"/>
    <w:rsid w:val="00EB4373"/>
    <w:rsid w:val="00EB4916"/>
    <w:rsid w:val="00EB5DB9"/>
    <w:rsid w:val="00EB613D"/>
    <w:rsid w:val="00EB61CD"/>
    <w:rsid w:val="00EB6438"/>
    <w:rsid w:val="00EB6460"/>
    <w:rsid w:val="00EB6E02"/>
    <w:rsid w:val="00EB7E02"/>
    <w:rsid w:val="00EB7FAF"/>
    <w:rsid w:val="00EC00C9"/>
    <w:rsid w:val="00EC00F0"/>
    <w:rsid w:val="00EC110D"/>
    <w:rsid w:val="00EC2649"/>
    <w:rsid w:val="00EC2E4C"/>
    <w:rsid w:val="00EC3007"/>
    <w:rsid w:val="00EC366E"/>
    <w:rsid w:val="00EC397B"/>
    <w:rsid w:val="00EC45FB"/>
    <w:rsid w:val="00EC4B64"/>
    <w:rsid w:val="00EC4EAB"/>
    <w:rsid w:val="00EC4F10"/>
    <w:rsid w:val="00EC4FB5"/>
    <w:rsid w:val="00EC56A8"/>
    <w:rsid w:val="00EC59B6"/>
    <w:rsid w:val="00EC6F3E"/>
    <w:rsid w:val="00EC7682"/>
    <w:rsid w:val="00ED1E2B"/>
    <w:rsid w:val="00ED2AFE"/>
    <w:rsid w:val="00ED3226"/>
    <w:rsid w:val="00ED3A32"/>
    <w:rsid w:val="00ED41FD"/>
    <w:rsid w:val="00ED4E1E"/>
    <w:rsid w:val="00ED57EA"/>
    <w:rsid w:val="00ED63A7"/>
    <w:rsid w:val="00ED65F8"/>
    <w:rsid w:val="00ED6671"/>
    <w:rsid w:val="00ED6688"/>
    <w:rsid w:val="00ED72A1"/>
    <w:rsid w:val="00ED764C"/>
    <w:rsid w:val="00ED780D"/>
    <w:rsid w:val="00EE06C7"/>
    <w:rsid w:val="00EE07D3"/>
    <w:rsid w:val="00EE0AA8"/>
    <w:rsid w:val="00EE0C76"/>
    <w:rsid w:val="00EE0DD0"/>
    <w:rsid w:val="00EE1136"/>
    <w:rsid w:val="00EE22AF"/>
    <w:rsid w:val="00EE25D3"/>
    <w:rsid w:val="00EE3792"/>
    <w:rsid w:val="00EE3C1D"/>
    <w:rsid w:val="00EE3C69"/>
    <w:rsid w:val="00EE3E80"/>
    <w:rsid w:val="00EE434F"/>
    <w:rsid w:val="00EE440C"/>
    <w:rsid w:val="00EE49B2"/>
    <w:rsid w:val="00EE4CD7"/>
    <w:rsid w:val="00EE5132"/>
    <w:rsid w:val="00EE5B0C"/>
    <w:rsid w:val="00EE6420"/>
    <w:rsid w:val="00EE6567"/>
    <w:rsid w:val="00EE7509"/>
    <w:rsid w:val="00EF0171"/>
    <w:rsid w:val="00EF1B25"/>
    <w:rsid w:val="00EF206D"/>
    <w:rsid w:val="00EF213E"/>
    <w:rsid w:val="00EF33D9"/>
    <w:rsid w:val="00EF3A75"/>
    <w:rsid w:val="00EF4747"/>
    <w:rsid w:val="00EF4BF8"/>
    <w:rsid w:val="00EF50F0"/>
    <w:rsid w:val="00F00CC5"/>
    <w:rsid w:val="00F012F1"/>
    <w:rsid w:val="00F01307"/>
    <w:rsid w:val="00F02253"/>
    <w:rsid w:val="00F02431"/>
    <w:rsid w:val="00F0313F"/>
    <w:rsid w:val="00F0369B"/>
    <w:rsid w:val="00F03C2E"/>
    <w:rsid w:val="00F049E2"/>
    <w:rsid w:val="00F04A66"/>
    <w:rsid w:val="00F0516C"/>
    <w:rsid w:val="00F05508"/>
    <w:rsid w:val="00F067A2"/>
    <w:rsid w:val="00F06EE6"/>
    <w:rsid w:val="00F071EF"/>
    <w:rsid w:val="00F074BE"/>
    <w:rsid w:val="00F10164"/>
    <w:rsid w:val="00F10ACF"/>
    <w:rsid w:val="00F10E02"/>
    <w:rsid w:val="00F10FD1"/>
    <w:rsid w:val="00F11483"/>
    <w:rsid w:val="00F123E3"/>
    <w:rsid w:val="00F1263A"/>
    <w:rsid w:val="00F12882"/>
    <w:rsid w:val="00F1291F"/>
    <w:rsid w:val="00F12BDE"/>
    <w:rsid w:val="00F131A2"/>
    <w:rsid w:val="00F13C2A"/>
    <w:rsid w:val="00F147EE"/>
    <w:rsid w:val="00F158C1"/>
    <w:rsid w:val="00F15983"/>
    <w:rsid w:val="00F162A7"/>
    <w:rsid w:val="00F16CEB"/>
    <w:rsid w:val="00F17ECD"/>
    <w:rsid w:val="00F21D0A"/>
    <w:rsid w:val="00F21FF4"/>
    <w:rsid w:val="00F2222D"/>
    <w:rsid w:val="00F22272"/>
    <w:rsid w:val="00F22851"/>
    <w:rsid w:val="00F22DAD"/>
    <w:rsid w:val="00F2306D"/>
    <w:rsid w:val="00F2337F"/>
    <w:rsid w:val="00F23E61"/>
    <w:rsid w:val="00F24837"/>
    <w:rsid w:val="00F24BA4"/>
    <w:rsid w:val="00F24E34"/>
    <w:rsid w:val="00F25268"/>
    <w:rsid w:val="00F25738"/>
    <w:rsid w:val="00F2575F"/>
    <w:rsid w:val="00F25E9E"/>
    <w:rsid w:val="00F2619B"/>
    <w:rsid w:val="00F26765"/>
    <w:rsid w:val="00F267D9"/>
    <w:rsid w:val="00F26CC6"/>
    <w:rsid w:val="00F26D3A"/>
    <w:rsid w:val="00F27443"/>
    <w:rsid w:val="00F27565"/>
    <w:rsid w:val="00F276C2"/>
    <w:rsid w:val="00F27A4A"/>
    <w:rsid w:val="00F30139"/>
    <w:rsid w:val="00F305B3"/>
    <w:rsid w:val="00F310D4"/>
    <w:rsid w:val="00F31D5A"/>
    <w:rsid w:val="00F32B17"/>
    <w:rsid w:val="00F33509"/>
    <w:rsid w:val="00F33DE9"/>
    <w:rsid w:val="00F34141"/>
    <w:rsid w:val="00F346A7"/>
    <w:rsid w:val="00F346FE"/>
    <w:rsid w:val="00F358BE"/>
    <w:rsid w:val="00F35B53"/>
    <w:rsid w:val="00F3619A"/>
    <w:rsid w:val="00F362C1"/>
    <w:rsid w:val="00F36AED"/>
    <w:rsid w:val="00F3708A"/>
    <w:rsid w:val="00F370FB"/>
    <w:rsid w:val="00F40519"/>
    <w:rsid w:val="00F40AAA"/>
    <w:rsid w:val="00F40B2D"/>
    <w:rsid w:val="00F40BA7"/>
    <w:rsid w:val="00F41101"/>
    <w:rsid w:val="00F4192D"/>
    <w:rsid w:val="00F41C33"/>
    <w:rsid w:val="00F4257C"/>
    <w:rsid w:val="00F4297E"/>
    <w:rsid w:val="00F429D0"/>
    <w:rsid w:val="00F432E2"/>
    <w:rsid w:val="00F43B89"/>
    <w:rsid w:val="00F43BAB"/>
    <w:rsid w:val="00F44128"/>
    <w:rsid w:val="00F44787"/>
    <w:rsid w:val="00F448C3"/>
    <w:rsid w:val="00F44B90"/>
    <w:rsid w:val="00F44F02"/>
    <w:rsid w:val="00F45E73"/>
    <w:rsid w:val="00F45FB8"/>
    <w:rsid w:val="00F46515"/>
    <w:rsid w:val="00F46765"/>
    <w:rsid w:val="00F46A50"/>
    <w:rsid w:val="00F46B40"/>
    <w:rsid w:val="00F46CB6"/>
    <w:rsid w:val="00F46EDA"/>
    <w:rsid w:val="00F46FAB"/>
    <w:rsid w:val="00F47153"/>
    <w:rsid w:val="00F47DE8"/>
    <w:rsid w:val="00F5053B"/>
    <w:rsid w:val="00F51BF9"/>
    <w:rsid w:val="00F52532"/>
    <w:rsid w:val="00F52782"/>
    <w:rsid w:val="00F52CB3"/>
    <w:rsid w:val="00F54249"/>
    <w:rsid w:val="00F54254"/>
    <w:rsid w:val="00F542C1"/>
    <w:rsid w:val="00F54937"/>
    <w:rsid w:val="00F556A3"/>
    <w:rsid w:val="00F55B86"/>
    <w:rsid w:val="00F55BBA"/>
    <w:rsid w:val="00F55E73"/>
    <w:rsid w:val="00F55EDA"/>
    <w:rsid w:val="00F569CC"/>
    <w:rsid w:val="00F57B9E"/>
    <w:rsid w:val="00F60092"/>
    <w:rsid w:val="00F61350"/>
    <w:rsid w:val="00F61443"/>
    <w:rsid w:val="00F623A4"/>
    <w:rsid w:val="00F6261A"/>
    <w:rsid w:val="00F636C3"/>
    <w:rsid w:val="00F63830"/>
    <w:rsid w:val="00F6384A"/>
    <w:rsid w:val="00F63AEA"/>
    <w:rsid w:val="00F641E0"/>
    <w:rsid w:val="00F6583D"/>
    <w:rsid w:val="00F65F4B"/>
    <w:rsid w:val="00F6612E"/>
    <w:rsid w:val="00F6629E"/>
    <w:rsid w:val="00F6662F"/>
    <w:rsid w:val="00F667B5"/>
    <w:rsid w:val="00F66CC1"/>
    <w:rsid w:val="00F67FE6"/>
    <w:rsid w:val="00F70490"/>
    <w:rsid w:val="00F708DC"/>
    <w:rsid w:val="00F70C9D"/>
    <w:rsid w:val="00F70D09"/>
    <w:rsid w:val="00F70F0D"/>
    <w:rsid w:val="00F712CF"/>
    <w:rsid w:val="00F72637"/>
    <w:rsid w:val="00F7404F"/>
    <w:rsid w:val="00F746C1"/>
    <w:rsid w:val="00F74875"/>
    <w:rsid w:val="00F74CD9"/>
    <w:rsid w:val="00F762D0"/>
    <w:rsid w:val="00F76F53"/>
    <w:rsid w:val="00F7758D"/>
    <w:rsid w:val="00F77F6E"/>
    <w:rsid w:val="00F80A7B"/>
    <w:rsid w:val="00F80C7A"/>
    <w:rsid w:val="00F80D47"/>
    <w:rsid w:val="00F80E5D"/>
    <w:rsid w:val="00F80FF6"/>
    <w:rsid w:val="00F81EFC"/>
    <w:rsid w:val="00F81FD7"/>
    <w:rsid w:val="00F82264"/>
    <w:rsid w:val="00F82347"/>
    <w:rsid w:val="00F828F5"/>
    <w:rsid w:val="00F829D0"/>
    <w:rsid w:val="00F83D48"/>
    <w:rsid w:val="00F84758"/>
    <w:rsid w:val="00F851CE"/>
    <w:rsid w:val="00F85328"/>
    <w:rsid w:val="00F8573C"/>
    <w:rsid w:val="00F85BF2"/>
    <w:rsid w:val="00F87455"/>
    <w:rsid w:val="00F90C0E"/>
    <w:rsid w:val="00F91219"/>
    <w:rsid w:val="00F91440"/>
    <w:rsid w:val="00F919D8"/>
    <w:rsid w:val="00F93CFB"/>
    <w:rsid w:val="00F9482E"/>
    <w:rsid w:val="00F951B5"/>
    <w:rsid w:val="00F95B13"/>
    <w:rsid w:val="00F95B3F"/>
    <w:rsid w:val="00F9766D"/>
    <w:rsid w:val="00F97A78"/>
    <w:rsid w:val="00F97EE8"/>
    <w:rsid w:val="00FA0B20"/>
    <w:rsid w:val="00FA11AE"/>
    <w:rsid w:val="00FA22C9"/>
    <w:rsid w:val="00FA24E7"/>
    <w:rsid w:val="00FA3867"/>
    <w:rsid w:val="00FA3E45"/>
    <w:rsid w:val="00FA4E19"/>
    <w:rsid w:val="00FA53C2"/>
    <w:rsid w:val="00FA576A"/>
    <w:rsid w:val="00FA58E9"/>
    <w:rsid w:val="00FA5A82"/>
    <w:rsid w:val="00FA647D"/>
    <w:rsid w:val="00FA68D0"/>
    <w:rsid w:val="00FA6C53"/>
    <w:rsid w:val="00FA779C"/>
    <w:rsid w:val="00FB0B7A"/>
    <w:rsid w:val="00FB0F8C"/>
    <w:rsid w:val="00FB1221"/>
    <w:rsid w:val="00FB1D39"/>
    <w:rsid w:val="00FB2392"/>
    <w:rsid w:val="00FB2840"/>
    <w:rsid w:val="00FB294A"/>
    <w:rsid w:val="00FB2FCB"/>
    <w:rsid w:val="00FB4000"/>
    <w:rsid w:val="00FB69A8"/>
    <w:rsid w:val="00FB750B"/>
    <w:rsid w:val="00FB7D8D"/>
    <w:rsid w:val="00FC013B"/>
    <w:rsid w:val="00FC0E20"/>
    <w:rsid w:val="00FC0FF2"/>
    <w:rsid w:val="00FC1074"/>
    <w:rsid w:val="00FC174B"/>
    <w:rsid w:val="00FC1884"/>
    <w:rsid w:val="00FC2492"/>
    <w:rsid w:val="00FC3081"/>
    <w:rsid w:val="00FC371D"/>
    <w:rsid w:val="00FC3802"/>
    <w:rsid w:val="00FC383C"/>
    <w:rsid w:val="00FC3D80"/>
    <w:rsid w:val="00FC3EC5"/>
    <w:rsid w:val="00FC3EF4"/>
    <w:rsid w:val="00FC41AD"/>
    <w:rsid w:val="00FC50BD"/>
    <w:rsid w:val="00FC523D"/>
    <w:rsid w:val="00FC560F"/>
    <w:rsid w:val="00FC5C52"/>
    <w:rsid w:val="00FC5F0B"/>
    <w:rsid w:val="00FC641B"/>
    <w:rsid w:val="00FC758D"/>
    <w:rsid w:val="00FD073C"/>
    <w:rsid w:val="00FD089C"/>
    <w:rsid w:val="00FD089F"/>
    <w:rsid w:val="00FD0D88"/>
    <w:rsid w:val="00FD1316"/>
    <w:rsid w:val="00FD1852"/>
    <w:rsid w:val="00FD2100"/>
    <w:rsid w:val="00FD2483"/>
    <w:rsid w:val="00FD436C"/>
    <w:rsid w:val="00FD446D"/>
    <w:rsid w:val="00FD4B33"/>
    <w:rsid w:val="00FD4D2D"/>
    <w:rsid w:val="00FD59B0"/>
    <w:rsid w:val="00FD6394"/>
    <w:rsid w:val="00FD6445"/>
    <w:rsid w:val="00FD68F1"/>
    <w:rsid w:val="00FD6BF0"/>
    <w:rsid w:val="00FD781A"/>
    <w:rsid w:val="00FD7B43"/>
    <w:rsid w:val="00FE0D45"/>
    <w:rsid w:val="00FE0E6C"/>
    <w:rsid w:val="00FE4212"/>
    <w:rsid w:val="00FE498B"/>
    <w:rsid w:val="00FE4CA1"/>
    <w:rsid w:val="00FE509D"/>
    <w:rsid w:val="00FE558D"/>
    <w:rsid w:val="00FE5A41"/>
    <w:rsid w:val="00FE5FA1"/>
    <w:rsid w:val="00FE5FEF"/>
    <w:rsid w:val="00FE6D22"/>
    <w:rsid w:val="00FE70C3"/>
    <w:rsid w:val="00FF0C85"/>
    <w:rsid w:val="00FF1750"/>
    <w:rsid w:val="00FF1EB1"/>
    <w:rsid w:val="00FF293D"/>
    <w:rsid w:val="00FF2CAB"/>
    <w:rsid w:val="00FF2E53"/>
    <w:rsid w:val="00FF2FC6"/>
    <w:rsid w:val="00FF3031"/>
    <w:rsid w:val="00FF3487"/>
    <w:rsid w:val="00FF3DCF"/>
    <w:rsid w:val="00FF492C"/>
    <w:rsid w:val="00FF4A21"/>
    <w:rsid w:val="00FF4FD8"/>
    <w:rsid w:val="00FF527C"/>
    <w:rsid w:val="00FF5395"/>
    <w:rsid w:val="00FF5466"/>
    <w:rsid w:val="00FF57C4"/>
    <w:rsid w:val="00FF5AA3"/>
    <w:rsid w:val="00FF5AD8"/>
    <w:rsid w:val="00FF68C3"/>
    <w:rsid w:val="00FF6DE3"/>
    <w:rsid w:val="00FF7B9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FA0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4E7"/>
    <w:pPr>
      <w:widowControl w:val="0"/>
      <w:jc w:val="both"/>
    </w:pPr>
    <w:rPr>
      <w:rFonts w:ascii="Calibri" w:hAnsi="Calibri" w:cs="Arial"/>
      <w:snapToGrid w:val="0"/>
      <w:sz w:val="24"/>
      <w:szCs w:val="22"/>
      <w:lang w:eastAsia="en-US"/>
    </w:rPr>
  </w:style>
  <w:style w:type="paragraph" w:styleId="Heading1">
    <w:name w:val="heading 1"/>
    <w:basedOn w:val="PBACHeading1"/>
    <w:next w:val="Normal"/>
    <w:qFormat/>
    <w:rsid w:val="003879C5"/>
    <w:pPr>
      <w:keepNext/>
      <w:spacing w:after="120"/>
    </w:pPr>
  </w:style>
  <w:style w:type="paragraph" w:styleId="Heading2">
    <w:name w:val="heading 2"/>
    <w:basedOn w:val="Normal"/>
    <w:next w:val="Normal"/>
    <w:link w:val="Heading2Char"/>
    <w:qFormat/>
    <w:rsid w:val="003879C5"/>
    <w:pPr>
      <w:keepNext/>
      <w:spacing w:after="120"/>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879C5"/>
    <w:rPr>
      <w:rFonts w:ascii="Calibri" w:hAnsi="Calibri" w:cs="Arial"/>
      <w:b/>
      <w:i/>
      <w:snapToGrid w:val="0"/>
      <w:sz w:val="28"/>
      <w:szCs w:val="22"/>
      <w:lang w:eastAsia="en-US"/>
    </w:rPr>
  </w:style>
  <w:style w:type="character" w:customStyle="1" w:styleId="Heading4Char">
    <w:name w:val="Heading 4 Char"/>
    <w:basedOn w:val="DefaultParagraphFont"/>
    <w:link w:val="Heading4"/>
    <w:rsid w:val="002313BD"/>
    <w:rPr>
      <w:rFonts w:ascii="Calibri" w:hAnsi="Calibri" w:cs="Arial"/>
      <w:b/>
      <w:bCs/>
      <w:i/>
      <w:snapToGrid w:val="0"/>
      <w:sz w:val="26"/>
      <w:szCs w:val="28"/>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F91440"/>
    <w:pPr>
      <w:keepNext/>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F91440"/>
    <w:rPr>
      <w:rFonts w:ascii="Arial Narrow" w:hAnsi="Arial Narrow" w:cs="Arial"/>
      <w:b/>
      <w:bCs/>
      <w:snapToGrid w:val="0"/>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Bullet List"/>
    <w:basedOn w:val="Normal"/>
    <w:link w:val="ListParagraphChar"/>
    <w:uiPriority w:val="34"/>
    <w:qFormat/>
    <w:rsid w:val="008A18E0"/>
    <w:pPr>
      <w:spacing w:after="12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
    <w:basedOn w:val="DefaultParagraphFont"/>
    <w:link w:val="ListParagraph"/>
    <w:uiPriority w:val="72"/>
    <w:qFormat/>
    <w:locked/>
    <w:rsid w:val="008A18E0"/>
    <w:rPr>
      <w:rFonts w:ascii="Calibri" w:hAnsi="Calibri" w:cs="Arial"/>
      <w:snapToGrid w:val="0"/>
      <w:sz w:val="24"/>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TOC4">
    <w:name w:val="toc 4"/>
    <w:aliases w:val="title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1D295E"/>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table" w:customStyle="1" w:styleId="Summarybox1">
    <w:name w:val="Summary box1"/>
    <w:basedOn w:val="TableNormal"/>
    <w:next w:val="TableGrid"/>
    <w:uiPriority w:val="39"/>
    <w:rsid w:val="007912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Footnote Text Char2,Footnote Text Char Char1"/>
    <w:basedOn w:val="Normal"/>
    <w:link w:val="FootnoteTextChar"/>
    <w:unhideWhenUsed/>
    <w:rsid w:val="005035BE"/>
    <w:rPr>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5035BE"/>
    <w:rPr>
      <w:rFonts w:ascii="Calibri" w:hAnsi="Calibri" w:cs="Arial"/>
      <w:snapToGrid w:val="0"/>
      <w:lang w:eastAsia="en-US"/>
    </w:rPr>
  </w:style>
  <w:style w:type="character" w:styleId="FootnoteReference">
    <w:name w:val="footnote reference"/>
    <w:basedOn w:val="DefaultParagraphFont"/>
    <w:uiPriority w:val="99"/>
    <w:unhideWhenUsed/>
    <w:rsid w:val="005035BE"/>
    <w:rPr>
      <w:vertAlign w:val="superscript"/>
    </w:rPr>
  </w:style>
  <w:style w:type="table" w:customStyle="1" w:styleId="Summarybox2">
    <w:name w:val="Summary box2"/>
    <w:basedOn w:val="TableNormal"/>
    <w:next w:val="TableGrid"/>
    <w:uiPriority w:val="59"/>
    <w:rsid w:val="00731A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976D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1">
    <w:name w:val="Summary box11"/>
    <w:basedOn w:val="TableNormal"/>
    <w:next w:val="TableGrid"/>
    <w:uiPriority w:val="59"/>
    <w:rsid w:val="009F1BEE"/>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5E5D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4C46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6">
    <w:name w:val="Summary box6"/>
    <w:basedOn w:val="TableNormal"/>
    <w:next w:val="TableGrid"/>
    <w:uiPriority w:val="59"/>
    <w:rsid w:val="00265E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
    <w:name w:val="Summary box7"/>
    <w:basedOn w:val="TableNormal"/>
    <w:next w:val="TableGrid"/>
    <w:uiPriority w:val="59"/>
    <w:rsid w:val="00E85C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8">
    <w:name w:val="Summary box8"/>
    <w:basedOn w:val="TableNormal"/>
    <w:next w:val="TableGrid"/>
    <w:uiPriority w:val="59"/>
    <w:rsid w:val="00375A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9">
    <w:name w:val="Summary box9"/>
    <w:basedOn w:val="TableNormal"/>
    <w:next w:val="TableGrid"/>
    <w:uiPriority w:val="59"/>
    <w:rsid w:val="002B51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0">
    <w:name w:val="Summary box10"/>
    <w:basedOn w:val="TableNormal"/>
    <w:next w:val="TableGrid"/>
    <w:uiPriority w:val="59"/>
    <w:rsid w:val="009C6E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2">
    <w:name w:val="Summary box12"/>
    <w:basedOn w:val="TableNormal"/>
    <w:next w:val="TableGrid"/>
    <w:uiPriority w:val="59"/>
    <w:rsid w:val="00CA68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A76FEB"/>
    <w:rPr>
      <w:i/>
      <w:iCs/>
    </w:rPr>
  </w:style>
  <w:style w:type="paragraph" w:customStyle="1" w:styleId="TableHeading0">
    <w:name w:val="Table Heading"/>
    <w:basedOn w:val="Normal"/>
    <w:link w:val="TableHeadingChar"/>
    <w:qFormat/>
    <w:rsid w:val="00263D6C"/>
    <w:pPr>
      <w:keepNext/>
      <w:widowControl/>
      <w:spacing w:after="60"/>
    </w:pPr>
    <w:rPr>
      <w:rFonts w:ascii="Arial Narrow" w:eastAsiaTheme="minorHAnsi" w:hAnsi="Arial Narrow" w:cstheme="minorBidi"/>
      <w:b/>
      <w:snapToGrid/>
      <w:sz w:val="20"/>
    </w:rPr>
  </w:style>
  <w:style w:type="character" w:customStyle="1" w:styleId="TableHeadingChar">
    <w:name w:val="Table Heading Char"/>
    <w:basedOn w:val="DefaultParagraphFont"/>
    <w:link w:val="TableHeading0"/>
    <w:locked/>
    <w:rsid w:val="0082551B"/>
    <w:rPr>
      <w:rFonts w:ascii="Arial Narrow" w:eastAsiaTheme="minorHAnsi" w:hAnsi="Arial Narrow" w:cstheme="minorBidi"/>
      <w:b/>
      <w:szCs w:val="22"/>
      <w:lang w:eastAsia="en-US"/>
    </w:rPr>
  </w:style>
  <w:style w:type="table" w:customStyle="1" w:styleId="TableGrid7">
    <w:name w:val="Table Grid7"/>
    <w:basedOn w:val="TableNormal"/>
    <w:next w:val="TableGrid"/>
    <w:uiPriority w:val="59"/>
    <w:rsid w:val="00263D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63D6C"/>
    <w:rPr>
      <w:sz w:val="20"/>
      <w:szCs w:val="20"/>
    </w:rPr>
  </w:style>
  <w:style w:type="character" w:customStyle="1" w:styleId="EndnoteTextChar">
    <w:name w:val="Endnote Text Char"/>
    <w:basedOn w:val="DefaultParagraphFont"/>
    <w:link w:val="EndnoteText"/>
    <w:semiHidden/>
    <w:rsid w:val="00263D6C"/>
    <w:rPr>
      <w:rFonts w:ascii="Calibri" w:hAnsi="Calibri" w:cs="Arial"/>
      <w:snapToGrid w:val="0"/>
      <w:lang w:eastAsia="en-US"/>
    </w:rPr>
  </w:style>
  <w:style w:type="character" w:styleId="EndnoteReference">
    <w:name w:val="endnote reference"/>
    <w:basedOn w:val="DefaultParagraphFont"/>
    <w:semiHidden/>
    <w:unhideWhenUsed/>
    <w:rsid w:val="00263D6C"/>
    <w:rPr>
      <w:vertAlign w:val="superscript"/>
    </w:rPr>
  </w:style>
  <w:style w:type="table" w:customStyle="1" w:styleId="TableGrid71">
    <w:name w:val="Table Grid71"/>
    <w:basedOn w:val="TableNormal"/>
    <w:next w:val="TableGrid"/>
    <w:uiPriority w:val="59"/>
    <w:rsid w:val="00263D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63D6C"/>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263D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3">
    <w:name w:val="Summary box13"/>
    <w:basedOn w:val="TableNormal"/>
    <w:next w:val="TableGrid"/>
    <w:uiPriority w:val="59"/>
    <w:rsid w:val="006E42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4">
    <w:name w:val="Summary box14"/>
    <w:basedOn w:val="TableNormal"/>
    <w:next w:val="TableGrid"/>
    <w:uiPriority w:val="59"/>
    <w:rsid w:val="006E42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5">
    <w:name w:val="Summary box15"/>
    <w:basedOn w:val="TableNormal"/>
    <w:next w:val="TableGrid"/>
    <w:uiPriority w:val="59"/>
    <w:rsid w:val="008255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link w:val="TableTextChar0"/>
    <w:uiPriority w:val="99"/>
    <w:qFormat/>
    <w:rsid w:val="0082551B"/>
    <w:rPr>
      <w:rFonts w:ascii="Arial Narrow" w:eastAsiaTheme="minorHAnsi" w:hAnsi="Arial Narrow" w:cstheme="minorBidi"/>
      <w:snapToGrid/>
      <w:sz w:val="20"/>
    </w:rPr>
  </w:style>
  <w:style w:type="character" w:customStyle="1" w:styleId="TableTextChar0">
    <w:name w:val="Table Text Char"/>
    <w:link w:val="TableText0"/>
    <w:uiPriority w:val="99"/>
    <w:rsid w:val="0082551B"/>
    <w:rPr>
      <w:rFonts w:ascii="Arial Narrow" w:eastAsiaTheme="minorHAnsi" w:hAnsi="Arial Narrow" w:cstheme="minorBidi"/>
      <w:szCs w:val="22"/>
      <w:lang w:eastAsia="en-US"/>
    </w:rPr>
  </w:style>
  <w:style w:type="paragraph" w:customStyle="1" w:styleId="TableHead">
    <w:name w:val="Table Head"/>
    <w:basedOn w:val="Normal"/>
    <w:qFormat/>
    <w:rsid w:val="0082551B"/>
    <w:pPr>
      <w:keepNext/>
      <w:adjustRightInd w:val="0"/>
      <w:spacing w:before="60" w:after="60"/>
      <w:jc w:val="left"/>
      <w:textAlignment w:val="baseline"/>
    </w:pPr>
    <w:rPr>
      <w:rFonts w:ascii="Arial Narrow" w:eastAsia="SimSun" w:hAnsi="Arial Narrow" w:cs="Times New Roman"/>
      <w:b/>
      <w:snapToGrid/>
      <w:sz w:val="20"/>
      <w:szCs w:val="20"/>
      <w:lang w:eastAsia="en-AU"/>
    </w:rPr>
  </w:style>
  <w:style w:type="paragraph" w:customStyle="1" w:styleId="TableFooterPBAC">
    <w:name w:val="Table Footer PBAC"/>
    <w:basedOn w:val="Normal"/>
    <w:link w:val="TableFooterPBACChar"/>
    <w:qFormat/>
    <w:rsid w:val="0082551B"/>
    <w:rPr>
      <w:rFonts w:ascii="Arial Narrow" w:hAnsi="Arial Narrow"/>
      <w:sz w:val="18"/>
    </w:rPr>
  </w:style>
  <w:style w:type="character" w:customStyle="1" w:styleId="TableFooterPBACChar">
    <w:name w:val="Table Footer PBAC Char"/>
    <w:link w:val="TableFooterPBAC"/>
    <w:rsid w:val="0082551B"/>
    <w:rPr>
      <w:rFonts w:ascii="Arial Narrow" w:hAnsi="Arial Narrow" w:cs="Arial"/>
      <w:snapToGrid w:val="0"/>
      <w:sz w:val="18"/>
      <w:szCs w:val="22"/>
      <w:lang w:eastAsia="en-US"/>
    </w:rPr>
  </w:style>
  <w:style w:type="table" w:customStyle="1" w:styleId="Summarybox16">
    <w:name w:val="Summary box16"/>
    <w:basedOn w:val="TableNormal"/>
    <w:next w:val="TableGrid"/>
    <w:uiPriority w:val="59"/>
    <w:rsid w:val="008255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7">
    <w:name w:val="Summary box17"/>
    <w:basedOn w:val="TableNormal"/>
    <w:next w:val="TableGrid"/>
    <w:uiPriority w:val="59"/>
    <w:rsid w:val="008255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8">
    <w:name w:val="Summary box18"/>
    <w:basedOn w:val="TableNormal"/>
    <w:next w:val="TableGrid"/>
    <w:uiPriority w:val="59"/>
    <w:rsid w:val="008255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33438"/>
    <w:pPr>
      <w:jc w:val="center"/>
    </w:pPr>
    <w:rPr>
      <w:noProof/>
      <w:lang w:val="en-US"/>
    </w:rPr>
  </w:style>
  <w:style w:type="character" w:customStyle="1" w:styleId="EndNoteBibliographyTitleChar">
    <w:name w:val="EndNote Bibliography Title Char"/>
    <w:basedOn w:val="DefaultParagraphFont"/>
    <w:link w:val="EndNoteBibliographyTitle"/>
    <w:rsid w:val="00033438"/>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033438"/>
    <w:rPr>
      <w:noProof/>
      <w:lang w:val="en-US"/>
    </w:rPr>
  </w:style>
  <w:style w:type="character" w:customStyle="1" w:styleId="EndNoteBibliographyChar">
    <w:name w:val="EndNote Bibliography Char"/>
    <w:basedOn w:val="DefaultParagraphFont"/>
    <w:link w:val="EndNoteBibliography"/>
    <w:rsid w:val="00033438"/>
    <w:rPr>
      <w:rFonts w:ascii="Calibri" w:hAnsi="Calibri" w:cs="Arial"/>
      <w:noProof/>
      <w:snapToGrid w:val="0"/>
      <w:sz w:val="24"/>
      <w:szCs w:val="22"/>
      <w:lang w:val="en-US" w:eastAsia="en-US"/>
    </w:rPr>
  </w:style>
  <w:style w:type="table" w:customStyle="1" w:styleId="ASDTable1">
    <w:name w:val="ASD Table1"/>
    <w:basedOn w:val="TableNormal"/>
    <w:next w:val="TableGrid"/>
    <w:uiPriority w:val="39"/>
    <w:rsid w:val="002313BD"/>
    <w:pPr>
      <w:widowControl w:val="0"/>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Tablefootnote">
    <w:name w:val="Table footnote"/>
    <w:basedOn w:val="Normal"/>
    <w:link w:val="TablefootnoteChar"/>
    <w:qFormat/>
    <w:rsid w:val="002313BD"/>
    <w:pPr>
      <w:keepNext/>
      <w:keepLines/>
      <w:widowControl/>
      <w:spacing w:after="360"/>
      <w:contextualSpacing/>
      <w:jc w:val="left"/>
    </w:pPr>
    <w:rPr>
      <w:rFonts w:ascii="Arial Narrow" w:hAnsi="Arial Narrow" w:cs="Times New Roman"/>
      <w:snapToGrid/>
      <w:sz w:val="18"/>
    </w:rPr>
  </w:style>
  <w:style w:type="character" w:customStyle="1" w:styleId="TablefootnoteChar">
    <w:name w:val="Table footnote Char"/>
    <w:basedOn w:val="DefaultParagraphFont"/>
    <w:link w:val="Tablefootnote"/>
    <w:rsid w:val="002313BD"/>
    <w:rPr>
      <w:rFonts w:ascii="Arial Narrow" w:hAnsi="Arial Narrow"/>
      <w:sz w:val="18"/>
      <w:szCs w:val="22"/>
      <w:lang w:eastAsia="en-US"/>
    </w:rPr>
  </w:style>
  <w:style w:type="character" w:customStyle="1" w:styleId="BodyText1Char">
    <w:name w:val="Body Text1 Char"/>
    <w:link w:val="BodyText1"/>
    <w:locked/>
    <w:rsid w:val="002313BD"/>
    <w:rPr>
      <w:rFonts w:ascii="Arial" w:eastAsia="Calibri" w:hAnsi="Arial"/>
      <w:color w:val="000000" w:themeColor="text1"/>
      <w:lang w:val="en"/>
    </w:rPr>
  </w:style>
  <w:style w:type="paragraph" w:customStyle="1" w:styleId="BodyText1">
    <w:name w:val="Body Text1"/>
    <w:basedOn w:val="Normal"/>
    <w:link w:val="BodyText1Char"/>
    <w:autoRedefine/>
    <w:qFormat/>
    <w:rsid w:val="002313BD"/>
    <w:pPr>
      <w:spacing w:before="240" w:after="240" w:line="360" w:lineRule="auto"/>
    </w:pPr>
    <w:rPr>
      <w:rFonts w:ascii="Arial" w:eastAsia="Calibri" w:hAnsi="Arial" w:cs="Times New Roman"/>
      <w:snapToGrid/>
      <w:color w:val="000000" w:themeColor="text1"/>
      <w:sz w:val="20"/>
      <w:szCs w:val="20"/>
      <w:lang w:val="en" w:eastAsia="en-AU"/>
    </w:rPr>
  </w:style>
  <w:style w:type="paragraph" w:customStyle="1" w:styleId="TableNote">
    <w:name w:val="Table Note"/>
    <w:basedOn w:val="Normal"/>
    <w:link w:val="TableNoteChar"/>
    <w:qFormat/>
    <w:rsid w:val="002313BD"/>
    <w:pPr>
      <w:keepNext/>
      <w:keepLines/>
      <w:widowControl/>
      <w:spacing w:after="360"/>
      <w:contextualSpacing/>
      <w:jc w:val="left"/>
    </w:pPr>
    <w:rPr>
      <w:rFonts w:ascii="Arial" w:eastAsia="Calibri" w:hAnsi="Arial"/>
      <w:snapToGrid/>
      <w:sz w:val="16"/>
    </w:rPr>
  </w:style>
  <w:style w:type="character" w:customStyle="1" w:styleId="TableNoteChar">
    <w:name w:val="Table Note Char"/>
    <w:link w:val="TableNote"/>
    <w:rsid w:val="002313BD"/>
    <w:rPr>
      <w:rFonts w:ascii="Arial" w:eastAsia="Calibri" w:hAnsi="Arial" w:cs="Arial"/>
      <w:sz w:val="16"/>
      <w:szCs w:val="22"/>
      <w:lang w:eastAsia="en-US"/>
    </w:rPr>
  </w:style>
  <w:style w:type="paragraph" w:customStyle="1" w:styleId="Heading50">
    <w:name w:val="Heading5"/>
    <w:basedOn w:val="Normal"/>
    <w:autoRedefine/>
    <w:uiPriority w:val="99"/>
    <w:qFormat/>
    <w:rsid w:val="002313BD"/>
    <w:pPr>
      <w:spacing w:before="200" w:after="200"/>
      <w:jc w:val="left"/>
    </w:pPr>
    <w:rPr>
      <w:rFonts w:ascii="Arial" w:hAnsi="Arial" w:cs="Times New Roman"/>
      <w:b/>
      <w:i/>
      <w:snapToGrid/>
      <w:sz w:val="22"/>
      <w:szCs w:val="24"/>
    </w:rPr>
  </w:style>
  <w:style w:type="character" w:styleId="Emphasis">
    <w:name w:val="Emphasis"/>
    <w:basedOn w:val="DefaultParagraphFont"/>
    <w:uiPriority w:val="20"/>
    <w:qFormat/>
    <w:rsid w:val="002313BD"/>
    <w:rPr>
      <w:i/>
      <w:iCs/>
    </w:rPr>
  </w:style>
  <w:style w:type="paragraph" w:customStyle="1" w:styleId="Heading40">
    <w:name w:val="Heading4"/>
    <w:basedOn w:val="Normal"/>
    <w:link w:val="Heading4Char0"/>
    <w:autoRedefine/>
    <w:qFormat/>
    <w:rsid w:val="002313BD"/>
    <w:pPr>
      <w:keepNext/>
      <w:tabs>
        <w:tab w:val="left" w:pos="1430"/>
      </w:tabs>
      <w:spacing w:before="200" w:after="200"/>
      <w:contextualSpacing/>
      <w:jc w:val="left"/>
    </w:pPr>
    <w:rPr>
      <w:rFonts w:ascii="Arial" w:hAnsi="Arial" w:cs="Times New Roman"/>
      <w:b/>
      <w:bCs/>
      <w:snapToGrid/>
      <w:color w:val="000000" w:themeColor="text1"/>
      <w:sz w:val="22"/>
      <w:szCs w:val="32"/>
      <w:lang w:eastAsia="en-GB"/>
    </w:rPr>
  </w:style>
  <w:style w:type="character" w:customStyle="1" w:styleId="Heading4Char0">
    <w:name w:val="Heading4 Char"/>
    <w:link w:val="Heading40"/>
    <w:locked/>
    <w:rsid w:val="002313BD"/>
    <w:rPr>
      <w:rFonts w:ascii="Arial" w:hAnsi="Arial"/>
      <w:b/>
      <w:bCs/>
      <w:color w:val="000000" w:themeColor="text1"/>
      <w:sz w:val="22"/>
      <w:szCs w:val="32"/>
      <w:lang w:eastAsia="en-GB"/>
    </w:rPr>
  </w:style>
  <w:style w:type="paragraph" w:customStyle="1" w:styleId="Bullets">
    <w:name w:val="Bullets"/>
    <w:basedOn w:val="Normal"/>
    <w:link w:val="BulletsChar"/>
    <w:qFormat/>
    <w:rsid w:val="002313BD"/>
    <w:pPr>
      <w:widowControl/>
      <w:numPr>
        <w:numId w:val="8"/>
      </w:numPr>
      <w:spacing w:before="80" w:after="80" w:line="320" w:lineRule="exact"/>
      <w:ind w:left="426" w:hanging="426"/>
      <w:jc w:val="left"/>
    </w:pPr>
    <w:rPr>
      <w:rFonts w:ascii="Arial" w:hAnsi="Arial" w:cs="Times New Roman"/>
      <w:bCs/>
      <w:snapToGrid/>
      <w:sz w:val="20"/>
      <w:szCs w:val="24"/>
      <w:lang w:eastAsia="en-AU"/>
    </w:rPr>
  </w:style>
  <w:style w:type="character" w:customStyle="1" w:styleId="BulletsChar">
    <w:name w:val="Bullets Char"/>
    <w:basedOn w:val="DefaultParagraphFont"/>
    <w:link w:val="Bullets"/>
    <w:rsid w:val="002313BD"/>
    <w:rPr>
      <w:rFonts w:ascii="Arial" w:hAnsi="Arial"/>
      <w:bCs/>
      <w:szCs w:val="24"/>
    </w:rPr>
  </w:style>
  <w:style w:type="paragraph" w:customStyle="1" w:styleId="Bullets-2ndlvl">
    <w:name w:val="Bullets - 2nd lvl"/>
    <w:basedOn w:val="Bullets"/>
    <w:qFormat/>
    <w:rsid w:val="002313BD"/>
    <w:pPr>
      <w:numPr>
        <w:ilvl w:val="1"/>
      </w:numPr>
      <w:tabs>
        <w:tab w:val="num" w:pos="360"/>
        <w:tab w:val="left" w:pos="851"/>
      </w:tabs>
      <w:ind w:left="851"/>
    </w:pPr>
  </w:style>
  <w:style w:type="paragraph" w:customStyle="1" w:styleId="Tablenotes">
    <w:name w:val="Table notes"/>
    <w:basedOn w:val="Normal"/>
    <w:link w:val="TablenotesCharChar"/>
    <w:qFormat/>
    <w:rsid w:val="002313BD"/>
    <w:pPr>
      <w:keepNext/>
      <w:keepLines/>
      <w:widowControl/>
      <w:spacing w:after="360"/>
      <w:contextualSpacing/>
      <w:jc w:val="left"/>
    </w:pPr>
    <w:rPr>
      <w:rFonts w:ascii="Arial Narrow" w:hAnsi="Arial Narrow" w:cs="Times New Roman"/>
      <w:snapToGrid/>
      <w:sz w:val="16"/>
    </w:rPr>
  </w:style>
  <w:style w:type="character" w:customStyle="1" w:styleId="TablenotesCharChar">
    <w:name w:val="Table notes Char Char"/>
    <w:link w:val="Tablenotes"/>
    <w:locked/>
    <w:rsid w:val="002313BD"/>
    <w:rPr>
      <w:rFonts w:ascii="Arial Narrow" w:hAnsi="Arial Narrow"/>
      <w:sz w:val="16"/>
      <w:szCs w:val="22"/>
      <w:lang w:eastAsia="en-US"/>
    </w:rPr>
  </w:style>
  <w:style w:type="paragraph" w:customStyle="1" w:styleId="Tables">
    <w:name w:val="Tables"/>
    <w:basedOn w:val="Normal"/>
    <w:rsid w:val="002313BD"/>
    <w:pPr>
      <w:keepNext/>
      <w:keepLines/>
      <w:widowControl/>
      <w:spacing w:before="40" w:after="80"/>
      <w:jc w:val="left"/>
    </w:pPr>
    <w:rPr>
      <w:rFonts w:ascii="Arial" w:hAnsi="Arial" w:cs="Times New Roman"/>
      <w:snapToGrid/>
      <w:sz w:val="18"/>
      <w:szCs w:val="24"/>
      <w:lang w:eastAsia="en-AU"/>
    </w:rPr>
  </w:style>
  <w:style w:type="paragraph" w:customStyle="1" w:styleId="Tableheading1">
    <w:name w:val="Table heading"/>
    <w:basedOn w:val="Normal"/>
    <w:link w:val="TableheadingChar0"/>
    <w:qFormat/>
    <w:rsid w:val="002313BD"/>
    <w:pPr>
      <w:keepNext/>
      <w:keepLines/>
      <w:widowControl/>
      <w:spacing w:before="60" w:after="60"/>
      <w:jc w:val="left"/>
    </w:pPr>
    <w:rPr>
      <w:rFonts w:ascii="Arial Narrow" w:hAnsi="Arial Narrow" w:cs="Times New Roman"/>
      <w:b/>
      <w:snapToGrid/>
      <w:sz w:val="20"/>
      <w:szCs w:val="20"/>
    </w:rPr>
  </w:style>
  <w:style w:type="character" w:customStyle="1" w:styleId="TableheadingChar0">
    <w:name w:val="Table heading Char"/>
    <w:link w:val="Tableheading1"/>
    <w:locked/>
    <w:rsid w:val="002313BD"/>
    <w:rPr>
      <w:rFonts w:ascii="Arial Narrow" w:hAnsi="Arial Narrow"/>
      <w:b/>
      <w:lang w:eastAsia="en-US"/>
    </w:rPr>
  </w:style>
  <w:style w:type="character" w:customStyle="1" w:styleId="ilfuvd">
    <w:name w:val="ilfuvd"/>
    <w:basedOn w:val="DefaultParagraphFont"/>
    <w:rsid w:val="002313BD"/>
  </w:style>
  <w:style w:type="paragraph" w:customStyle="1" w:styleId="Default">
    <w:name w:val="Default"/>
    <w:rsid w:val="002313BD"/>
    <w:pPr>
      <w:autoSpaceDE w:val="0"/>
      <w:autoSpaceDN w:val="0"/>
      <w:adjustRightInd w:val="0"/>
    </w:pPr>
    <w:rPr>
      <w:rFonts w:ascii="Verdana" w:hAnsi="Verdana" w:cs="Verdana"/>
      <w:color w:val="000000"/>
      <w:sz w:val="24"/>
      <w:szCs w:val="24"/>
    </w:rPr>
  </w:style>
  <w:style w:type="table" w:customStyle="1" w:styleId="Summarybox19">
    <w:name w:val="Summary box19"/>
    <w:basedOn w:val="TableNormal"/>
    <w:next w:val="TableGrid"/>
    <w:uiPriority w:val="59"/>
    <w:rsid w:val="00F45F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0903D3"/>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4657">
      <w:bodyDiv w:val="1"/>
      <w:marLeft w:val="0"/>
      <w:marRight w:val="0"/>
      <w:marTop w:val="0"/>
      <w:marBottom w:val="0"/>
      <w:divBdr>
        <w:top w:val="none" w:sz="0" w:space="0" w:color="auto"/>
        <w:left w:val="none" w:sz="0" w:space="0" w:color="auto"/>
        <w:bottom w:val="none" w:sz="0" w:space="0" w:color="auto"/>
        <w:right w:val="none" w:sz="0" w:space="0" w:color="auto"/>
      </w:divBdr>
      <w:divsChild>
        <w:div w:id="971982055">
          <w:marLeft w:val="547"/>
          <w:marRight w:val="0"/>
          <w:marTop w:val="86"/>
          <w:marBottom w:val="0"/>
          <w:divBdr>
            <w:top w:val="none" w:sz="0" w:space="0" w:color="auto"/>
            <w:left w:val="none" w:sz="0" w:space="0" w:color="auto"/>
            <w:bottom w:val="none" w:sz="0" w:space="0" w:color="auto"/>
            <w:right w:val="none" w:sz="0" w:space="0" w:color="auto"/>
          </w:divBdr>
        </w:div>
      </w:divsChild>
    </w:div>
    <w:div w:id="507058773">
      <w:bodyDiv w:val="1"/>
      <w:marLeft w:val="0"/>
      <w:marRight w:val="0"/>
      <w:marTop w:val="0"/>
      <w:marBottom w:val="0"/>
      <w:divBdr>
        <w:top w:val="none" w:sz="0" w:space="0" w:color="auto"/>
        <w:left w:val="none" w:sz="0" w:space="0" w:color="auto"/>
        <w:bottom w:val="none" w:sz="0" w:space="0" w:color="auto"/>
        <w:right w:val="none" w:sz="0" w:space="0" w:color="auto"/>
      </w:divBdr>
    </w:div>
    <w:div w:id="526022305">
      <w:bodyDiv w:val="1"/>
      <w:marLeft w:val="0"/>
      <w:marRight w:val="0"/>
      <w:marTop w:val="0"/>
      <w:marBottom w:val="0"/>
      <w:divBdr>
        <w:top w:val="none" w:sz="0" w:space="0" w:color="auto"/>
        <w:left w:val="none" w:sz="0" w:space="0" w:color="auto"/>
        <w:bottom w:val="none" w:sz="0" w:space="0" w:color="auto"/>
        <w:right w:val="none" w:sz="0" w:space="0" w:color="auto"/>
      </w:divBdr>
      <w:divsChild>
        <w:div w:id="1349020450">
          <w:marLeft w:val="547"/>
          <w:marRight w:val="0"/>
          <w:marTop w:val="96"/>
          <w:marBottom w:val="0"/>
          <w:divBdr>
            <w:top w:val="none" w:sz="0" w:space="0" w:color="auto"/>
            <w:left w:val="none" w:sz="0" w:space="0" w:color="auto"/>
            <w:bottom w:val="none" w:sz="0" w:space="0" w:color="auto"/>
            <w:right w:val="none" w:sz="0" w:space="0" w:color="auto"/>
          </w:divBdr>
        </w:div>
      </w:divsChild>
    </w:div>
    <w:div w:id="991981100">
      <w:bodyDiv w:val="1"/>
      <w:marLeft w:val="0"/>
      <w:marRight w:val="0"/>
      <w:marTop w:val="0"/>
      <w:marBottom w:val="0"/>
      <w:divBdr>
        <w:top w:val="none" w:sz="0" w:space="0" w:color="auto"/>
        <w:left w:val="none" w:sz="0" w:space="0" w:color="auto"/>
        <w:bottom w:val="none" w:sz="0" w:space="0" w:color="auto"/>
        <w:right w:val="none" w:sz="0" w:space="0" w:color="auto"/>
      </w:divBdr>
    </w:div>
    <w:div w:id="1134299029">
      <w:bodyDiv w:val="1"/>
      <w:marLeft w:val="0"/>
      <w:marRight w:val="0"/>
      <w:marTop w:val="0"/>
      <w:marBottom w:val="0"/>
      <w:divBdr>
        <w:top w:val="none" w:sz="0" w:space="0" w:color="auto"/>
        <w:left w:val="none" w:sz="0" w:space="0" w:color="auto"/>
        <w:bottom w:val="none" w:sz="0" w:space="0" w:color="auto"/>
        <w:right w:val="none" w:sz="0" w:space="0" w:color="auto"/>
      </w:divBdr>
    </w:div>
    <w:div w:id="1158620581">
      <w:bodyDiv w:val="1"/>
      <w:marLeft w:val="0"/>
      <w:marRight w:val="0"/>
      <w:marTop w:val="0"/>
      <w:marBottom w:val="0"/>
      <w:divBdr>
        <w:top w:val="none" w:sz="0" w:space="0" w:color="auto"/>
        <w:left w:val="none" w:sz="0" w:space="0" w:color="auto"/>
        <w:bottom w:val="none" w:sz="0" w:space="0" w:color="auto"/>
        <w:right w:val="none" w:sz="0" w:space="0" w:color="auto"/>
      </w:divBdr>
    </w:div>
    <w:div w:id="1505240841">
      <w:bodyDiv w:val="1"/>
      <w:marLeft w:val="0"/>
      <w:marRight w:val="0"/>
      <w:marTop w:val="0"/>
      <w:marBottom w:val="0"/>
      <w:divBdr>
        <w:top w:val="none" w:sz="0" w:space="0" w:color="auto"/>
        <w:left w:val="none" w:sz="0" w:space="0" w:color="auto"/>
        <w:bottom w:val="none" w:sz="0" w:space="0" w:color="auto"/>
        <w:right w:val="none" w:sz="0" w:space="0" w:color="auto"/>
      </w:divBdr>
      <w:divsChild>
        <w:div w:id="1759404891">
          <w:marLeft w:val="547"/>
          <w:marRight w:val="0"/>
          <w:marTop w:val="125"/>
          <w:marBottom w:val="0"/>
          <w:divBdr>
            <w:top w:val="none" w:sz="0" w:space="0" w:color="auto"/>
            <w:left w:val="none" w:sz="0" w:space="0" w:color="auto"/>
            <w:bottom w:val="none" w:sz="0" w:space="0" w:color="auto"/>
            <w:right w:val="none" w:sz="0" w:space="0" w:color="auto"/>
          </w:divBdr>
        </w:div>
        <w:div w:id="1096361989">
          <w:marLeft w:val="1166"/>
          <w:marRight w:val="0"/>
          <w:marTop w:val="106"/>
          <w:marBottom w:val="0"/>
          <w:divBdr>
            <w:top w:val="none" w:sz="0" w:space="0" w:color="auto"/>
            <w:left w:val="none" w:sz="0" w:space="0" w:color="auto"/>
            <w:bottom w:val="none" w:sz="0" w:space="0" w:color="auto"/>
            <w:right w:val="none" w:sz="0" w:space="0" w:color="auto"/>
          </w:divBdr>
        </w:div>
      </w:divsChild>
    </w:div>
    <w:div w:id="2002660207">
      <w:bodyDiv w:val="1"/>
      <w:marLeft w:val="0"/>
      <w:marRight w:val="0"/>
      <w:marTop w:val="0"/>
      <w:marBottom w:val="0"/>
      <w:divBdr>
        <w:top w:val="none" w:sz="0" w:space="0" w:color="auto"/>
        <w:left w:val="none" w:sz="0" w:space="0" w:color="auto"/>
        <w:bottom w:val="none" w:sz="0" w:space="0" w:color="auto"/>
        <w:right w:val="none" w:sz="0" w:space="0" w:color="auto"/>
      </w:divBdr>
      <w:divsChild>
        <w:div w:id="1486241796">
          <w:marLeft w:val="1166"/>
          <w:marRight w:val="0"/>
          <w:marTop w:val="125"/>
          <w:marBottom w:val="0"/>
          <w:divBdr>
            <w:top w:val="none" w:sz="0" w:space="0" w:color="auto"/>
            <w:left w:val="none" w:sz="0" w:space="0" w:color="auto"/>
            <w:bottom w:val="none" w:sz="0" w:space="0" w:color="auto"/>
            <w:right w:val="none" w:sz="0" w:space="0" w:color="auto"/>
          </w:divBdr>
        </w:div>
      </w:divsChild>
    </w:div>
    <w:div w:id="201834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ihw.gov.au/reports/cancer/cancer-in-australia-2017/contents/table-of-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10FAB-3C7B-43D7-8C07-32B2A342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14475</Words>
  <Characters>82857</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2019-06-26T01:43:00Z</dcterms:created>
  <dcterms:modified xsi:type="dcterms:W3CDTF">2019-07-05T04:15:00Z</dcterms:modified>
</cp:coreProperties>
</file>