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20" w:rsidRPr="00D80DFB" w:rsidRDefault="00762E5E" w:rsidP="00D80DFB">
      <w:pPr>
        <w:pStyle w:val="Heading1"/>
        <w:spacing w:after="120"/>
        <w:jc w:val="left"/>
        <w:rPr>
          <w:sz w:val="36"/>
        </w:rPr>
      </w:pPr>
      <w:bookmarkStart w:id="0" w:name="_Toc341702043"/>
      <w:bookmarkStart w:id="1" w:name="_Toc380742621"/>
      <w:bookmarkStart w:id="2" w:name="_Toc380746188"/>
      <w:bookmarkStart w:id="3" w:name="_Toc380746314"/>
      <w:bookmarkStart w:id="4" w:name="_Toc380746595"/>
      <w:r w:rsidRPr="00D80DFB">
        <w:rPr>
          <w:sz w:val="36"/>
        </w:rPr>
        <w:t xml:space="preserve">5.02 </w:t>
      </w:r>
      <w:r w:rsidR="00290020" w:rsidRPr="00D80DFB">
        <w:rPr>
          <w:sz w:val="36"/>
        </w:rPr>
        <w:t>BUPRENORPHINE,</w:t>
      </w:r>
    </w:p>
    <w:p w:rsidR="00B021FC" w:rsidRDefault="00B021FC" w:rsidP="00B021FC">
      <w:pPr>
        <w:ind w:left="709"/>
        <w:rPr>
          <w:rFonts w:eastAsia="Calibri"/>
          <w:b/>
          <w:sz w:val="36"/>
          <w:szCs w:val="36"/>
        </w:rPr>
      </w:pPr>
      <w:r w:rsidRPr="00B021FC">
        <w:rPr>
          <w:rFonts w:eastAsia="Calibri"/>
          <w:b/>
          <w:sz w:val="36"/>
          <w:szCs w:val="36"/>
        </w:rPr>
        <w:t xml:space="preserve">Injection (modified release) 100 mg in 0.5 mL pre-filled syringe </w:t>
      </w:r>
    </w:p>
    <w:p w:rsidR="00B021FC" w:rsidRDefault="00B021FC" w:rsidP="00B021FC">
      <w:pPr>
        <w:ind w:left="709"/>
        <w:rPr>
          <w:rFonts w:eastAsia="Calibri"/>
          <w:b/>
          <w:sz w:val="36"/>
          <w:szCs w:val="36"/>
        </w:rPr>
      </w:pPr>
      <w:r w:rsidRPr="00B021FC">
        <w:rPr>
          <w:rFonts w:eastAsia="Calibri"/>
          <w:b/>
          <w:sz w:val="36"/>
          <w:szCs w:val="36"/>
        </w:rPr>
        <w:t>Injection (modified release) 300 mg in 1.5 mL pre-filled syringe</w:t>
      </w:r>
    </w:p>
    <w:p w:rsidR="00290020" w:rsidRPr="00D775A7" w:rsidRDefault="00290020" w:rsidP="00672605">
      <w:pPr>
        <w:ind w:left="1418" w:hanging="709"/>
        <w:rPr>
          <w:rFonts w:eastAsia="Calibri"/>
          <w:b/>
          <w:sz w:val="36"/>
          <w:szCs w:val="36"/>
        </w:rPr>
      </w:pPr>
      <w:proofErr w:type="spellStart"/>
      <w:r w:rsidRPr="00D775A7">
        <w:rPr>
          <w:rFonts w:eastAsia="Calibri"/>
          <w:b/>
          <w:sz w:val="36"/>
          <w:szCs w:val="36"/>
        </w:rPr>
        <w:t>Sublocade</w:t>
      </w:r>
      <w:proofErr w:type="spellEnd"/>
      <w:r w:rsidR="00D775A7">
        <w:rPr>
          <w:rFonts w:eastAsia="Calibri"/>
          <w:b/>
          <w:sz w:val="36"/>
          <w:szCs w:val="36"/>
        </w:rPr>
        <w:t>®</w:t>
      </w:r>
      <w:r w:rsidRPr="00D775A7">
        <w:rPr>
          <w:rFonts w:eastAsia="Calibri"/>
          <w:b/>
          <w:sz w:val="36"/>
          <w:szCs w:val="36"/>
        </w:rPr>
        <w:t>,</w:t>
      </w:r>
      <w:r w:rsidR="00672605">
        <w:rPr>
          <w:rFonts w:eastAsia="Calibri"/>
          <w:b/>
          <w:sz w:val="36"/>
          <w:szCs w:val="36"/>
        </w:rPr>
        <w:t xml:space="preserve"> </w:t>
      </w:r>
      <w:proofErr w:type="spellStart"/>
      <w:r w:rsidRPr="00D775A7">
        <w:rPr>
          <w:rFonts w:eastAsia="Calibri"/>
          <w:b/>
          <w:sz w:val="36"/>
          <w:szCs w:val="36"/>
        </w:rPr>
        <w:t>Indivior</w:t>
      </w:r>
      <w:proofErr w:type="spellEnd"/>
      <w:r w:rsidRPr="00D775A7">
        <w:rPr>
          <w:rFonts w:eastAsia="Calibri"/>
          <w:b/>
          <w:sz w:val="36"/>
          <w:szCs w:val="36"/>
        </w:rPr>
        <w:t xml:space="preserve"> Pty Ltd</w:t>
      </w:r>
    </w:p>
    <w:p w:rsidR="00290020" w:rsidRPr="00D775A7" w:rsidRDefault="00290020" w:rsidP="00290020">
      <w:pPr>
        <w:ind w:left="1418"/>
        <w:rPr>
          <w:rFonts w:eastAsia="Calibri"/>
          <w:b/>
          <w:sz w:val="36"/>
          <w:szCs w:val="36"/>
        </w:rPr>
      </w:pPr>
    </w:p>
    <w:p w:rsidR="00E02E7E" w:rsidRPr="00D775A7" w:rsidRDefault="00E02E7E" w:rsidP="00E73F24">
      <w:pPr>
        <w:pStyle w:val="PBACHeading1"/>
        <w:numPr>
          <w:ilvl w:val="0"/>
          <w:numId w:val="2"/>
        </w:numPr>
        <w:spacing w:before="120" w:after="120"/>
        <w:ind w:left="709" w:hanging="709"/>
      </w:pPr>
      <w:bookmarkStart w:id="5" w:name="_Toc535915903"/>
      <w:r w:rsidRPr="00D775A7">
        <w:t>Purpose of Application</w:t>
      </w:r>
      <w:bookmarkEnd w:id="5"/>
    </w:p>
    <w:p w:rsidR="00E02E7E" w:rsidRPr="00D775A7" w:rsidRDefault="00D651AA" w:rsidP="00E73F24">
      <w:pPr>
        <w:pStyle w:val="ListParagraph"/>
        <w:widowControl/>
        <w:numPr>
          <w:ilvl w:val="1"/>
          <w:numId w:val="2"/>
        </w:numPr>
        <w:spacing w:before="120" w:after="120"/>
        <w:ind w:left="720" w:hanging="720"/>
      </w:pPr>
      <w:r w:rsidRPr="00D775A7">
        <w:t xml:space="preserve">The submission sought a </w:t>
      </w:r>
      <w:r w:rsidR="00E02E7E" w:rsidRPr="00D775A7">
        <w:t>Section 100 (</w:t>
      </w:r>
      <w:r w:rsidRPr="00D775A7">
        <w:t>O</w:t>
      </w:r>
      <w:r w:rsidR="00E02E7E" w:rsidRPr="00D775A7">
        <w:t xml:space="preserve">piate </w:t>
      </w:r>
      <w:r w:rsidRPr="00D775A7">
        <w:t>D</w:t>
      </w:r>
      <w:r w:rsidR="00E02E7E" w:rsidRPr="00D775A7">
        <w:t xml:space="preserve">ependence </w:t>
      </w:r>
      <w:r w:rsidR="00316B1A" w:rsidRPr="00D775A7">
        <w:t xml:space="preserve">Treatment </w:t>
      </w:r>
      <w:r w:rsidRPr="00D775A7">
        <w:t>P</w:t>
      </w:r>
      <w:r w:rsidR="00E02E7E" w:rsidRPr="00D775A7">
        <w:t xml:space="preserve">rogram) listing for </w:t>
      </w:r>
      <w:r w:rsidR="00535D5A" w:rsidRPr="00D775A7">
        <w:t>b</w:t>
      </w:r>
      <w:r w:rsidR="00E02E7E" w:rsidRPr="00D775A7">
        <w:t>uprenorphine long-acting subcutaneous injection (</w:t>
      </w:r>
      <w:proofErr w:type="spellStart"/>
      <w:r w:rsidR="00E02E7E" w:rsidRPr="00D775A7">
        <w:t>Sublocade</w:t>
      </w:r>
      <w:proofErr w:type="spellEnd"/>
      <w:r w:rsidR="002A613D" w:rsidRPr="00D775A7">
        <w:rPr>
          <w:vertAlign w:val="superscript"/>
        </w:rPr>
        <w:t>®</w:t>
      </w:r>
      <w:r w:rsidR="00E02E7E" w:rsidRPr="00D775A7">
        <w:t>) for treatment of opioid use disorder.</w:t>
      </w:r>
      <w:r w:rsidR="00535D5A" w:rsidRPr="00D775A7">
        <w:t xml:space="preserve"> </w:t>
      </w:r>
      <w:r w:rsidR="00E02E7E" w:rsidRPr="00D775A7">
        <w:t xml:space="preserve">This </w:t>
      </w:r>
      <w:r w:rsidR="00A16B75" w:rsidRPr="00D775A7">
        <w:t>wa</w:t>
      </w:r>
      <w:r w:rsidR="00E02E7E" w:rsidRPr="00D775A7">
        <w:t xml:space="preserve">s the first submission to the PBAC for </w:t>
      </w:r>
      <w:proofErr w:type="spellStart"/>
      <w:r w:rsidR="00E02E7E" w:rsidRPr="00D775A7">
        <w:t>Sublocade</w:t>
      </w:r>
      <w:proofErr w:type="spellEnd"/>
      <w:r w:rsidR="00E02E7E" w:rsidRPr="00D775A7">
        <w:t>.</w:t>
      </w:r>
    </w:p>
    <w:p w:rsidR="00E02E7E" w:rsidRPr="00D775A7" w:rsidRDefault="00E02E7E" w:rsidP="00E73F24">
      <w:pPr>
        <w:pStyle w:val="ListParagraph"/>
        <w:widowControl/>
        <w:numPr>
          <w:ilvl w:val="1"/>
          <w:numId w:val="2"/>
        </w:numPr>
        <w:spacing w:before="120" w:after="120"/>
        <w:ind w:left="720" w:hanging="720"/>
      </w:pPr>
      <w:r w:rsidRPr="00D775A7">
        <w:t xml:space="preserve">The submission’s requested basis for listing was a cost-minimisation </w:t>
      </w:r>
      <w:r w:rsidR="00706DE6" w:rsidRPr="00D775A7">
        <w:t xml:space="preserve">analysis </w:t>
      </w:r>
      <w:r w:rsidRPr="00D775A7">
        <w:t xml:space="preserve">with </w:t>
      </w:r>
      <w:r w:rsidR="00535D5A" w:rsidRPr="00D775A7">
        <w:t xml:space="preserve">a </w:t>
      </w:r>
      <w:r w:rsidRPr="00D775A7">
        <w:t>price premium</w:t>
      </w:r>
      <w:r w:rsidR="00F66168" w:rsidRPr="00D775A7">
        <w:t>,</w:t>
      </w:r>
      <w:r w:rsidRPr="00D775A7">
        <w:t xml:space="preserve"> based on a claim of non-inferiority in terms of efficacy and adverse events and superiority in terms of harm reduction. The submission also included a supplemental cost-effectiveness analysis as additional support for the price premium. </w:t>
      </w:r>
    </w:p>
    <w:p w:rsidR="00802C8C" w:rsidRPr="00D775A7" w:rsidRDefault="00802C8C" w:rsidP="00E73F24">
      <w:pPr>
        <w:pStyle w:val="ListParagraph"/>
        <w:widowControl/>
        <w:numPr>
          <w:ilvl w:val="1"/>
          <w:numId w:val="2"/>
        </w:numPr>
        <w:spacing w:before="120" w:after="120"/>
        <w:ind w:left="720" w:hanging="720"/>
      </w:pPr>
      <w:r w:rsidRPr="00D775A7">
        <w:rPr>
          <w:color w:val="000000" w:themeColor="text1"/>
        </w:rPr>
        <w:t>The</w:t>
      </w:r>
      <w:r w:rsidRPr="00D775A7">
        <w:t xml:space="preserve"> key components of the clinical issue addressed by the submission are presented in </w:t>
      </w:r>
      <w:r w:rsidR="00BC72D0" w:rsidRPr="00D775A7">
        <w:rPr>
          <w:rStyle w:val="CommentReference"/>
          <w:rFonts w:asciiTheme="minorHAnsi" w:hAnsiTheme="minorHAnsi" w:cstheme="minorHAnsi"/>
          <w:b w:val="0"/>
          <w:sz w:val="24"/>
          <w:szCs w:val="24"/>
        </w:rPr>
        <w:t xml:space="preserve">Table </w:t>
      </w:r>
      <w:r w:rsidR="00BC72D0" w:rsidRPr="00D775A7">
        <w:rPr>
          <w:rStyle w:val="CommentReference"/>
          <w:rFonts w:asciiTheme="minorHAnsi" w:hAnsiTheme="minorHAnsi"/>
          <w:b w:val="0"/>
          <w:sz w:val="24"/>
          <w:szCs w:val="24"/>
        </w:rPr>
        <w:t>1</w:t>
      </w:r>
      <w:r w:rsidRPr="00D775A7">
        <w:rPr>
          <w:rFonts w:asciiTheme="minorHAnsi" w:hAnsiTheme="minorHAnsi" w:cstheme="minorHAnsi"/>
          <w:b/>
          <w:szCs w:val="24"/>
        </w:rPr>
        <w:t>.</w:t>
      </w:r>
    </w:p>
    <w:p w:rsidR="00E02E7E" w:rsidRPr="00D775A7" w:rsidRDefault="00E02E7E" w:rsidP="00EC3AA9">
      <w:pPr>
        <w:widowControl/>
        <w:jc w:val="left"/>
        <w:rPr>
          <w:rStyle w:val="CommentReference"/>
        </w:rPr>
      </w:pPr>
      <w:bookmarkStart w:id="6" w:name="_Ref532154265"/>
      <w:r w:rsidRPr="00D775A7">
        <w:rPr>
          <w:rStyle w:val="CommentReference"/>
        </w:rPr>
        <w:t xml:space="preserve">Table </w:t>
      </w:r>
      <w:r w:rsidR="00BC72D0" w:rsidRPr="00D775A7">
        <w:rPr>
          <w:rStyle w:val="CommentReference"/>
        </w:rPr>
        <w:t>1</w:t>
      </w:r>
      <w:bookmarkEnd w:id="6"/>
      <w:r w:rsidR="00535D5A" w:rsidRPr="00D775A7">
        <w:rPr>
          <w:rStyle w:val="CommentReference"/>
        </w:rPr>
        <w:t xml:space="preserve">: </w:t>
      </w:r>
      <w:r w:rsidRPr="00D775A7">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668"/>
        <w:gridCol w:w="7488"/>
      </w:tblGrid>
      <w:tr w:rsidR="00E02E7E" w:rsidRPr="00D775A7" w:rsidTr="008C46AB">
        <w:trPr>
          <w:tblHeader/>
        </w:trPr>
        <w:tc>
          <w:tcPr>
            <w:tcW w:w="1668" w:type="dxa"/>
            <w:vAlign w:val="center"/>
          </w:tcPr>
          <w:p w:rsidR="00E02E7E" w:rsidRPr="00D775A7" w:rsidRDefault="00E02E7E" w:rsidP="00087F16">
            <w:pPr>
              <w:pStyle w:val="Tabletext"/>
              <w:rPr>
                <w:b/>
              </w:rPr>
            </w:pPr>
            <w:r w:rsidRPr="00D775A7">
              <w:rPr>
                <w:b/>
              </w:rPr>
              <w:t>Component</w:t>
            </w:r>
          </w:p>
        </w:tc>
        <w:tc>
          <w:tcPr>
            <w:tcW w:w="7488" w:type="dxa"/>
            <w:vAlign w:val="center"/>
          </w:tcPr>
          <w:p w:rsidR="00E02E7E" w:rsidRPr="00D775A7" w:rsidRDefault="00E02E7E" w:rsidP="00087F16">
            <w:pPr>
              <w:pStyle w:val="Tabletext"/>
              <w:jc w:val="center"/>
              <w:rPr>
                <w:b/>
              </w:rPr>
            </w:pPr>
            <w:r w:rsidRPr="00D775A7">
              <w:rPr>
                <w:b/>
              </w:rPr>
              <w:t>Description</w:t>
            </w:r>
          </w:p>
        </w:tc>
      </w:tr>
      <w:tr w:rsidR="00E02E7E" w:rsidRPr="00D775A7" w:rsidTr="008C46AB">
        <w:trPr>
          <w:tblHeader/>
        </w:trPr>
        <w:tc>
          <w:tcPr>
            <w:tcW w:w="1668" w:type="dxa"/>
            <w:vAlign w:val="center"/>
          </w:tcPr>
          <w:p w:rsidR="00E02E7E" w:rsidRPr="00D775A7" w:rsidRDefault="00E02E7E" w:rsidP="00087F16">
            <w:pPr>
              <w:pStyle w:val="Tabletext"/>
            </w:pPr>
            <w:r w:rsidRPr="00D775A7">
              <w:t>Population</w:t>
            </w:r>
          </w:p>
        </w:tc>
        <w:tc>
          <w:tcPr>
            <w:tcW w:w="7488" w:type="dxa"/>
            <w:vAlign w:val="center"/>
          </w:tcPr>
          <w:p w:rsidR="00E02E7E" w:rsidRPr="00D775A7" w:rsidRDefault="00E02E7E" w:rsidP="00087F16">
            <w:pPr>
              <w:pStyle w:val="Tabletext"/>
            </w:pPr>
            <w:r w:rsidRPr="00D775A7">
              <w:t>Patients with opioid use disorder</w:t>
            </w:r>
          </w:p>
        </w:tc>
      </w:tr>
      <w:tr w:rsidR="00E02E7E" w:rsidRPr="00D775A7" w:rsidTr="008C46AB">
        <w:trPr>
          <w:tblHeader/>
        </w:trPr>
        <w:tc>
          <w:tcPr>
            <w:tcW w:w="1668" w:type="dxa"/>
            <w:vAlign w:val="center"/>
          </w:tcPr>
          <w:p w:rsidR="00E02E7E" w:rsidRPr="00D775A7" w:rsidRDefault="00E02E7E" w:rsidP="00087F16">
            <w:pPr>
              <w:pStyle w:val="Tabletext"/>
            </w:pPr>
            <w:r w:rsidRPr="00D775A7">
              <w:t>Intervention</w:t>
            </w:r>
          </w:p>
        </w:tc>
        <w:tc>
          <w:tcPr>
            <w:tcW w:w="7488" w:type="dxa"/>
            <w:vAlign w:val="center"/>
          </w:tcPr>
          <w:p w:rsidR="00E02E7E" w:rsidRPr="00D775A7" w:rsidRDefault="00E02E7E" w:rsidP="00087F16">
            <w:pPr>
              <w:pStyle w:val="Tabletext"/>
            </w:pPr>
            <w:r w:rsidRPr="00D775A7">
              <w:t>Buprenorphine long-acting injection (</w:t>
            </w:r>
            <w:proofErr w:type="spellStart"/>
            <w:r w:rsidRPr="00D775A7">
              <w:t>Sublocade</w:t>
            </w:r>
            <w:proofErr w:type="spellEnd"/>
            <w:r w:rsidRPr="00D775A7">
              <w:t>™)</w:t>
            </w:r>
          </w:p>
        </w:tc>
      </w:tr>
      <w:tr w:rsidR="00E02E7E" w:rsidRPr="00D775A7" w:rsidTr="008C46AB">
        <w:trPr>
          <w:tblHeader/>
        </w:trPr>
        <w:tc>
          <w:tcPr>
            <w:tcW w:w="1668" w:type="dxa"/>
            <w:vAlign w:val="center"/>
          </w:tcPr>
          <w:p w:rsidR="00E02E7E" w:rsidRPr="00D775A7" w:rsidRDefault="00E02E7E" w:rsidP="00087F16">
            <w:pPr>
              <w:pStyle w:val="Tabletext"/>
            </w:pPr>
            <w:r w:rsidRPr="00D775A7">
              <w:t>Comparator</w:t>
            </w:r>
          </w:p>
        </w:tc>
        <w:tc>
          <w:tcPr>
            <w:tcW w:w="7488" w:type="dxa"/>
            <w:vAlign w:val="center"/>
          </w:tcPr>
          <w:p w:rsidR="00E02E7E" w:rsidRPr="00D775A7" w:rsidRDefault="00E02E7E" w:rsidP="00087F16">
            <w:pPr>
              <w:pStyle w:val="Tabletext"/>
            </w:pPr>
            <w:r w:rsidRPr="00D775A7">
              <w:t xml:space="preserve">Primary comparator: BUP/NAL SL film </w:t>
            </w:r>
            <w:r w:rsidR="003239E6" w:rsidRPr="00D775A7">
              <w:t>(</w:t>
            </w:r>
            <w:proofErr w:type="spellStart"/>
            <w:r w:rsidRPr="00D775A7">
              <w:t>Sub</w:t>
            </w:r>
            <w:r w:rsidR="00F66168" w:rsidRPr="00D775A7">
              <w:t>o</w:t>
            </w:r>
            <w:r w:rsidRPr="00D775A7">
              <w:t>xone</w:t>
            </w:r>
            <w:proofErr w:type="spellEnd"/>
            <w:r w:rsidR="00535D5A" w:rsidRPr="00D775A7">
              <w:t>®</w:t>
            </w:r>
            <w:r w:rsidRPr="00D775A7">
              <w:t xml:space="preserve">) </w:t>
            </w:r>
          </w:p>
          <w:p w:rsidR="00E02E7E" w:rsidRPr="00D775A7" w:rsidRDefault="00535D5A" w:rsidP="00087F16">
            <w:pPr>
              <w:pStyle w:val="Tabletext"/>
            </w:pPr>
            <w:r w:rsidRPr="00D775A7">
              <w:t>Near market comparator: B</w:t>
            </w:r>
            <w:r w:rsidR="00706DE6" w:rsidRPr="00D775A7">
              <w:t>uprenorphine long-</w:t>
            </w:r>
            <w:r w:rsidR="00E02E7E" w:rsidRPr="00D775A7">
              <w:t>acting subcutaneous injection (</w:t>
            </w:r>
            <w:proofErr w:type="spellStart"/>
            <w:r w:rsidR="00E02E7E" w:rsidRPr="00D775A7">
              <w:t>Buvidal</w:t>
            </w:r>
            <w:proofErr w:type="spellEnd"/>
            <w:r w:rsidR="00E02E7E" w:rsidRPr="00D775A7">
              <w:t>®)</w:t>
            </w:r>
          </w:p>
        </w:tc>
      </w:tr>
      <w:tr w:rsidR="00E02E7E" w:rsidRPr="00D775A7" w:rsidTr="008C46AB">
        <w:trPr>
          <w:tblHeader/>
        </w:trPr>
        <w:tc>
          <w:tcPr>
            <w:tcW w:w="1668" w:type="dxa"/>
            <w:vAlign w:val="center"/>
          </w:tcPr>
          <w:p w:rsidR="00E02E7E" w:rsidRPr="00D775A7" w:rsidRDefault="00E02E7E" w:rsidP="00087F16">
            <w:pPr>
              <w:pStyle w:val="Tabletext"/>
            </w:pPr>
            <w:r w:rsidRPr="00D775A7">
              <w:t>Outcomes</w:t>
            </w:r>
          </w:p>
        </w:tc>
        <w:tc>
          <w:tcPr>
            <w:tcW w:w="7488" w:type="dxa"/>
            <w:vAlign w:val="center"/>
          </w:tcPr>
          <w:p w:rsidR="00E02E7E" w:rsidRPr="00D775A7" w:rsidRDefault="00E02E7E" w:rsidP="00087F16">
            <w:pPr>
              <w:pStyle w:val="Tabletext"/>
            </w:pPr>
            <w:r w:rsidRPr="00D775A7">
              <w:t>Percentage abstinence (composite primary outcome form urine samples and self-report) treatment success defined as ≥80% urine samples negative for opioids combined with self-report; TEAEs and other serious AEs</w:t>
            </w:r>
          </w:p>
        </w:tc>
      </w:tr>
      <w:tr w:rsidR="00E02E7E" w:rsidRPr="00D775A7" w:rsidTr="008C46AB">
        <w:trPr>
          <w:tblHeader/>
        </w:trPr>
        <w:tc>
          <w:tcPr>
            <w:tcW w:w="1668" w:type="dxa"/>
            <w:vAlign w:val="center"/>
          </w:tcPr>
          <w:p w:rsidR="00E02E7E" w:rsidRPr="00D775A7" w:rsidRDefault="00E02E7E" w:rsidP="00087F16">
            <w:pPr>
              <w:pStyle w:val="Tabletext"/>
            </w:pPr>
            <w:r w:rsidRPr="00D775A7">
              <w:t>Clinical claim</w:t>
            </w:r>
          </w:p>
        </w:tc>
        <w:tc>
          <w:tcPr>
            <w:tcW w:w="7488" w:type="dxa"/>
            <w:vAlign w:val="center"/>
          </w:tcPr>
          <w:p w:rsidR="00E02E7E" w:rsidRPr="00D775A7" w:rsidRDefault="00E02E7E" w:rsidP="00087F16">
            <w:pPr>
              <w:pStyle w:val="Tabletext"/>
            </w:pPr>
            <w:r w:rsidRPr="00D775A7">
              <w:t xml:space="preserve">In patients with opioid use disorder, </w:t>
            </w:r>
            <w:proofErr w:type="spellStart"/>
            <w:r w:rsidRPr="00D775A7">
              <w:t>Sublocade</w:t>
            </w:r>
            <w:proofErr w:type="spellEnd"/>
            <w:r w:rsidRPr="00D775A7">
              <w:t xml:space="preserve"> is:</w:t>
            </w:r>
          </w:p>
          <w:p w:rsidR="00E02E7E" w:rsidRPr="00D775A7" w:rsidRDefault="00E02E7E" w:rsidP="00B37F9C">
            <w:pPr>
              <w:pStyle w:val="Tabletext"/>
              <w:numPr>
                <w:ilvl w:val="0"/>
                <w:numId w:val="4"/>
              </w:numPr>
              <w:ind w:left="142" w:hanging="142"/>
            </w:pPr>
            <w:r w:rsidRPr="00D775A7">
              <w:t xml:space="preserve">Non-inferior to </w:t>
            </w:r>
            <w:r w:rsidR="002511FB" w:rsidRPr="00D775A7">
              <w:t>BUP/NAL SL film</w:t>
            </w:r>
            <w:r w:rsidRPr="00D775A7">
              <w:t xml:space="preserve"> in terms of efficacy, and superior in terms of harm reduction</w:t>
            </w:r>
          </w:p>
          <w:p w:rsidR="00E02E7E" w:rsidRPr="00D775A7" w:rsidRDefault="00E02E7E" w:rsidP="00B37F9C">
            <w:pPr>
              <w:pStyle w:val="Tabletext"/>
              <w:numPr>
                <w:ilvl w:val="0"/>
                <w:numId w:val="4"/>
              </w:numPr>
              <w:ind w:left="142" w:hanging="142"/>
            </w:pPr>
            <w:r w:rsidRPr="00D775A7">
              <w:t xml:space="preserve">Non-inferior to </w:t>
            </w:r>
            <w:proofErr w:type="spellStart"/>
            <w:r w:rsidRPr="00D775A7">
              <w:t>Buvidal</w:t>
            </w:r>
            <w:proofErr w:type="spellEnd"/>
            <w:r w:rsidRPr="00D775A7">
              <w:t xml:space="preserve"> in clinical outcomes (efficacy and safety)</w:t>
            </w:r>
          </w:p>
        </w:tc>
      </w:tr>
    </w:tbl>
    <w:p w:rsidR="00E02E7E" w:rsidRPr="00D775A7" w:rsidRDefault="00E02E7E" w:rsidP="00E02E7E">
      <w:pPr>
        <w:pStyle w:val="TableFooter"/>
      </w:pPr>
      <w:r w:rsidRPr="00D775A7">
        <w:t>Source: Table 1.1, p21 of the submission.</w:t>
      </w:r>
    </w:p>
    <w:p w:rsidR="00E02E7E" w:rsidRPr="00D775A7" w:rsidRDefault="00E02E7E" w:rsidP="00E02E7E">
      <w:pPr>
        <w:pStyle w:val="TableFooter"/>
      </w:pPr>
      <w:r w:rsidRPr="00D775A7">
        <w:t xml:space="preserve">AE = adverse event; TEAE = treatment-emergent adverse event; </w:t>
      </w:r>
    </w:p>
    <w:p w:rsidR="00E02E7E" w:rsidRPr="00D775A7" w:rsidRDefault="00E02E7E" w:rsidP="00E73F24">
      <w:pPr>
        <w:pStyle w:val="PBACHeading1"/>
        <w:numPr>
          <w:ilvl w:val="0"/>
          <w:numId w:val="2"/>
        </w:numPr>
        <w:spacing w:before="120" w:after="120"/>
        <w:ind w:left="709" w:hanging="709"/>
      </w:pPr>
      <w:bookmarkStart w:id="7" w:name="_Toc535915904"/>
      <w:r w:rsidRPr="00D775A7">
        <w:t>Requested listing</w:t>
      </w:r>
      <w:bookmarkEnd w:id="7"/>
    </w:p>
    <w:p w:rsidR="00CC6786" w:rsidRPr="00D775A7" w:rsidRDefault="00CC6786" w:rsidP="00E73F24">
      <w:pPr>
        <w:pStyle w:val="ListParagraph"/>
        <w:widowControl/>
        <w:numPr>
          <w:ilvl w:val="1"/>
          <w:numId w:val="2"/>
        </w:numPr>
        <w:spacing w:before="120" w:after="120"/>
        <w:ind w:left="720" w:hanging="720"/>
      </w:pPr>
      <w:r w:rsidRPr="00D775A7">
        <w:rPr>
          <w:rFonts w:asciiTheme="minorHAnsi" w:eastAsiaTheme="minorHAnsi" w:hAnsiTheme="minorHAnsi" w:cstheme="minorBidi"/>
          <w:snapToGrid/>
        </w:rPr>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426"/>
        <w:gridCol w:w="567"/>
        <w:gridCol w:w="850"/>
        <w:gridCol w:w="1701"/>
        <w:gridCol w:w="1276"/>
        <w:gridCol w:w="1559"/>
      </w:tblGrid>
      <w:tr w:rsidR="00A16B75" w:rsidRPr="00D775A7" w:rsidTr="00A16B75">
        <w:trPr>
          <w:cantSplit/>
          <w:trHeight w:val="471"/>
        </w:trPr>
        <w:tc>
          <w:tcPr>
            <w:tcW w:w="3261" w:type="dxa"/>
            <w:gridSpan w:val="2"/>
            <w:tcBorders>
              <w:bottom w:val="single" w:sz="4" w:space="0" w:color="auto"/>
            </w:tcBorders>
          </w:tcPr>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lastRenderedPageBreak/>
              <w:t>Name, Restriction,</w:t>
            </w: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Manner of administration and form</w:t>
            </w:r>
          </w:p>
        </w:tc>
        <w:tc>
          <w:tcPr>
            <w:tcW w:w="567" w:type="dxa"/>
            <w:tcBorders>
              <w:bottom w:val="single" w:sz="4" w:space="0" w:color="auto"/>
            </w:tcBorders>
          </w:tcPr>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Max.</w:t>
            </w:r>
          </w:p>
          <w:p w:rsidR="00A16B75" w:rsidRPr="007D7F00" w:rsidRDefault="00A16B75" w:rsidP="00A16B75">
            <w:pPr>
              <w:keepNext/>
              <w:ind w:left="-108"/>
              <w:rPr>
                <w:rFonts w:ascii="Arial Narrow" w:hAnsi="Arial Narrow"/>
                <w:sz w:val="20"/>
                <w:szCs w:val="20"/>
              </w:rPr>
            </w:pPr>
            <w:proofErr w:type="spellStart"/>
            <w:r w:rsidRPr="007D7F00">
              <w:rPr>
                <w:rFonts w:ascii="Arial Narrow" w:hAnsi="Arial Narrow"/>
                <w:sz w:val="20"/>
                <w:szCs w:val="20"/>
              </w:rPr>
              <w:t>Qty</w:t>
            </w:r>
            <w:proofErr w:type="spellEnd"/>
          </w:p>
        </w:tc>
        <w:tc>
          <w:tcPr>
            <w:tcW w:w="850" w:type="dxa"/>
            <w:tcBorders>
              <w:bottom w:val="single" w:sz="4" w:space="0" w:color="auto"/>
            </w:tcBorders>
          </w:tcPr>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№.of</w:t>
            </w:r>
          </w:p>
          <w:p w:rsidR="00A16B75" w:rsidRPr="007D7F00" w:rsidRDefault="00A16B75" w:rsidP="00A16B75">
            <w:pPr>
              <w:keepNext/>
              <w:ind w:left="-108"/>
              <w:rPr>
                <w:rFonts w:ascii="Arial Narrow" w:hAnsi="Arial Narrow"/>
                <w:sz w:val="20"/>
                <w:szCs w:val="20"/>
              </w:rPr>
            </w:pPr>
            <w:proofErr w:type="spellStart"/>
            <w:r w:rsidRPr="007D7F00">
              <w:rPr>
                <w:rFonts w:ascii="Arial Narrow" w:hAnsi="Arial Narrow"/>
                <w:sz w:val="20"/>
                <w:szCs w:val="20"/>
              </w:rPr>
              <w:t>Rpts</w:t>
            </w:r>
            <w:proofErr w:type="spellEnd"/>
          </w:p>
        </w:tc>
        <w:tc>
          <w:tcPr>
            <w:tcW w:w="1701" w:type="dxa"/>
            <w:tcBorders>
              <w:bottom w:val="single" w:sz="4" w:space="0" w:color="auto"/>
            </w:tcBorders>
          </w:tcPr>
          <w:p w:rsidR="00A16B75" w:rsidRPr="004769EA" w:rsidRDefault="00A16B75" w:rsidP="00A16B75">
            <w:pPr>
              <w:keepNext/>
              <w:ind w:left="-108"/>
              <w:rPr>
                <w:rFonts w:ascii="Arial Narrow" w:hAnsi="Arial Narrow"/>
                <w:sz w:val="20"/>
                <w:szCs w:val="20"/>
              </w:rPr>
            </w:pPr>
            <w:r w:rsidRPr="004769EA">
              <w:rPr>
                <w:rFonts w:ascii="Arial Narrow" w:hAnsi="Arial Narrow"/>
                <w:sz w:val="20"/>
                <w:szCs w:val="20"/>
              </w:rPr>
              <w:t xml:space="preserve">Dispensed Price for Max. </w:t>
            </w:r>
            <w:proofErr w:type="spellStart"/>
            <w:r w:rsidRPr="004769EA">
              <w:rPr>
                <w:rFonts w:ascii="Arial Narrow" w:hAnsi="Arial Narrow"/>
                <w:sz w:val="20"/>
                <w:szCs w:val="20"/>
              </w:rPr>
              <w:t>Qty</w:t>
            </w:r>
            <w:proofErr w:type="spellEnd"/>
          </w:p>
          <w:p w:rsidR="00A16B75" w:rsidRPr="007D7F00" w:rsidRDefault="00A16B75" w:rsidP="00A16B75">
            <w:pPr>
              <w:keepNext/>
              <w:ind w:left="-108"/>
              <w:jc w:val="left"/>
              <w:rPr>
                <w:rFonts w:ascii="Arial Narrow" w:hAnsi="Arial Narrow"/>
                <w:sz w:val="20"/>
                <w:szCs w:val="20"/>
              </w:rPr>
            </w:pPr>
          </w:p>
        </w:tc>
        <w:tc>
          <w:tcPr>
            <w:tcW w:w="2835" w:type="dxa"/>
            <w:gridSpan w:val="2"/>
            <w:tcBorders>
              <w:bottom w:val="single" w:sz="4" w:space="0" w:color="auto"/>
            </w:tcBorders>
          </w:tcPr>
          <w:p w:rsidR="00A16B75" w:rsidRPr="007D7F00" w:rsidRDefault="00A16B75" w:rsidP="00A16B75">
            <w:pPr>
              <w:keepNext/>
              <w:rPr>
                <w:rFonts w:ascii="Arial Narrow" w:hAnsi="Arial Narrow"/>
                <w:sz w:val="20"/>
                <w:szCs w:val="20"/>
              </w:rPr>
            </w:pPr>
            <w:r w:rsidRPr="007D7F00">
              <w:rPr>
                <w:rFonts w:ascii="Arial Narrow" w:hAnsi="Arial Narrow"/>
                <w:sz w:val="20"/>
                <w:szCs w:val="20"/>
              </w:rPr>
              <w:t>Proprietary Name and Manufacturer</w:t>
            </w:r>
          </w:p>
        </w:tc>
      </w:tr>
      <w:tr w:rsidR="00A16B75" w:rsidRPr="00D775A7" w:rsidTr="007D7F00">
        <w:trPr>
          <w:cantSplit/>
          <w:trHeight w:val="524"/>
        </w:trPr>
        <w:tc>
          <w:tcPr>
            <w:tcW w:w="3261" w:type="dxa"/>
            <w:gridSpan w:val="2"/>
          </w:tcPr>
          <w:p w:rsidR="00A16B75" w:rsidRPr="007D7F00" w:rsidRDefault="00A16B75" w:rsidP="00A16B75">
            <w:pPr>
              <w:keepNext/>
              <w:ind w:left="-108"/>
              <w:rPr>
                <w:rFonts w:ascii="Arial Narrow" w:hAnsi="Arial Narrow"/>
                <w:sz w:val="20"/>
                <w:szCs w:val="20"/>
              </w:rPr>
            </w:pPr>
            <w:r w:rsidRPr="007D7F00">
              <w:rPr>
                <w:rFonts w:ascii="Arial Narrow" w:hAnsi="Arial Narrow"/>
                <w:smallCaps/>
                <w:sz w:val="20"/>
                <w:szCs w:val="20"/>
              </w:rPr>
              <w:t>buprenorphine</w:t>
            </w: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 xml:space="preserve">Solution for subcutaneous injection 100mg </w:t>
            </w: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Solution for subcutaneous injection 300mg</w:t>
            </w:r>
          </w:p>
        </w:tc>
        <w:tc>
          <w:tcPr>
            <w:tcW w:w="567" w:type="dxa"/>
          </w:tcPr>
          <w:p w:rsidR="00A16B75" w:rsidRPr="007D7F00" w:rsidRDefault="00A16B75" w:rsidP="00A16B75">
            <w:pPr>
              <w:keepNext/>
              <w:ind w:left="-108"/>
              <w:rPr>
                <w:rFonts w:ascii="Arial Narrow" w:hAnsi="Arial Narrow"/>
                <w:sz w:val="20"/>
                <w:szCs w:val="20"/>
              </w:rPr>
            </w:pP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1</w:t>
            </w:r>
          </w:p>
        </w:tc>
        <w:tc>
          <w:tcPr>
            <w:tcW w:w="850" w:type="dxa"/>
          </w:tcPr>
          <w:p w:rsidR="00A16B75" w:rsidRPr="007D7F00" w:rsidRDefault="00A16B75" w:rsidP="00A16B75">
            <w:pPr>
              <w:keepNext/>
              <w:ind w:left="-108"/>
              <w:rPr>
                <w:rFonts w:ascii="Arial Narrow" w:hAnsi="Arial Narrow"/>
                <w:sz w:val="20"/>
                <w:szCs w:val="20"/>
              </w:rPr>
            </w:pP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0</w:t>
            </w:r>
          </w:p>
        </w:tc>
        <w:tc>
          <w:tcPr>
            <w:tcW w:w="1701" w:type="dxa"/>
          </w:tcPr>
          <w:p w:rsidR="00A16B75" w:rsidRPr="007D7F00" w:rsidRDefault="00A16B75" w:rsidP="00A16B75">
            <w:pPr>
              <w:keepNext/>
              <w:ind w:left="-108"/>
              <w:rPr>
                <w:rFonts w:ascii="Arial Narrow" w:hAnsi="Arial Narrow"/>
                <w:sz w:val="20"/>
                <w:szCs w:val="20"/>
              </w:rPr>
            </w:pPr>
          </w:p>
          <w:p w:rsidR="00A16B75" w:rsidRPr="007D7F00" w:rsidRDefault="00A16B75" w:rsidP="00A16B75">
            <w:pPr>
              <w:keepNext/>
              <w:ind w:left="-108"/>
              <w:rPr>
                <w:rFonts w:ascii="Arial Narrow" w:hAnsi="Arial Narrow"/>
                <w:sz w:val="20"/>
                <w:szCs w:val="20"/>
              </w:rPr>
            </w:pPr>
            <w:r w:rsidRPr="007D7F00">
              <w:rPr>
                <w:rFonts w:ascii="Arial Narrow" w:hAnsi="Arial Narrow"/>
                <w:sz w:val="20"/>
                <w:szCs w:val="20"/>
              </w:rPr>
              <w:t>$</w:t>
            </w:r>
            <w:r w:rsidR="005C5EC5">
              <w:rPr>
                <w:rFonts w:ascii="Arial Narrow" w:hAnsi="Arial Narrow"/>
                <w:noProof/>
                <w:color w:val="000000"/>
                <w:sz w:val="20"/>
                <w:szCs w:val="20"/>
                <w:highlight w:val="black"/>
              </w:rPr>
              <w:t>'''''''''''''''</w:t>
            </w:r>
          </w:p>
        </w:tc>
        <w:tc>
          <w:tcPr>
            <w:tcW w:w="1276" w:type="dxa"/>
          </w:tcPr>
          <w:p w:rsidR="00A16B75" w:rsidRPr="007D7F00" w:rsidRDefault="00A16B75" w:rsidP="00A16B75">
            <w:pPr>
              <w:keepNext/>
              <w:rPr>
                <w:rFonts w:ascii="Arial Narrow" w:hAnsi="Arial Narrow"/>
                <w:sz w:val="20"/>
                <w:szCs w:val="20"/>
              </w:rPr>
            </w:pPr>
          </w:p>
          <w:p w:rsidR="00A16B75" w:rsidRPr="007D7F00" w:rsidRDefault="00A16B75" w:rsidP="00A16B75">
            <w:pPr>
              <w:keepNext/>
              <w:rPr>
                <w:rFonts w:ascii="Arial Narrow" w:hAnsi="Arial Narrow"/>
                <w:sz w:val="20"/>
                <w:szCs w:val="20"/>
              </w:rPr>
            </w:pPr>
            <w:proofErr w:type="spellStart"/>
            <w:r w:rsidRPr="007D7F00">
              <w:rPr>
                <w:rFonts w:ascii="Arial Narrow" w:hAnsi="Arial Narrow"/>
                <w:sz w:val="20"/>
                <w:szCs w:val="20"/>
              </w:rPr>
              <w:t>Sublocade</w:t>
            </w:r>
            <w:proofErr w:type="spellEnd"/>
            <w:r w:rsidRPr="007D7F00">
              <w:rPr>
                <w:rFonts w:ascii="Arial Narrow" w:hAnsi="Arial Narrow"/>
                <w:sz w:val="20"/>
                <w:szCs w:val="20"/>
              </w:rPr>
              <w:t xml:space="preserve"> </w:t>
            </w:r>
          </w:p>
        </w:tc>
        <w:tc>
          <w:tcPr>
            <w:tcW w:w="1559" w:type="dxa"/>
          </w:tcPr>
          <w:p w:rsidR="00A16B75" w:rsidRPr="007D7F00" w:rsidRDefault="00A16B75" w:rsidP="00A16B75">
            <w:pPr>
              <w:keepNext/>
              <w:rPr>
                <w:rFonts w:ascii="Arial Narrow" w:hAnsi="Arial Narrow"/>
                <w:sz w:val="20"/>
                <w:szCs w:val="20"/>
              </w:rPr>
            </w:pPr>
          </w:p>
          <w:p w:rsidR="00A16B75" w:rsidRPr="007D7F00" w:rsidRDefault="00A16B75" w:rsidP="00A16B75">
            <w:pPr>
              <w:keepNext/>
              <w:rPr>
                <w:rFonts w:ascii="Arial Narrow" w:hAnsi="Arial Narrow"/>
                <w:sz w:val="20"/>
                <w:szCs w:val="20"/>
              </w:rPr>
            </w:pPr>
            <w:proofErr w:type="spellStart"/>
            <w:r w:rsidRPr="007D7F00">
              <w:rPr>
                <w:rFonts w:ascii="Arial Narrow" w:hAnsi="Arial Narrow"/>
                <w:sz w:val="20"/>
                <w:szCs w:val="20"/>
              </w:rPr>
              <w:t>Indivior</w:t>
            </w:r>
            <w:proofErr w:type="spellEnd"/>
            <w:r w:rsidRPr="007D7F00">
              <w:rPr>
                <w:rFonts w:ascii="Arial Narrow" w:hAnsi="Arial Narrow"/>
                <w:sz w:val="20"/>
                <w:szCs w:val="20"/>
              </w:rPr>
              <w:t xml:space="preserve"> Pty Ltd</w:t>
            </w:r>
          </w:p>
        </w:tc>
      </w:tr>
      <w:tr w:rsidR="00A16B75" w:rsidRPr="00D775A7" w:rsidTr="00A16B75">
        <w:trPr>
          <w:cantSplit/>
          <w:trHeight w:val="360"/>
        </w:trPr>
        <w:tc>
          <w:tcPr>
            <w:tcW w:w="9214" w:type="dxa"/>
            <w:gridSpan w:val="7"/>
            <w:tcBorders>
              <w:bottom w:val="single" w:sz="4" w:space="0" w:color="auto"/>
            </w:tcBorders>
          </w:tcPr>
          <w:p w:rsidR="00A16B75" w:rsidRPr="007D7F00" w:rsidRDefault="00A16B75" w:rsidP="00A16B75">
            <w:pPr>
              <w:rPr>
                <w:rFonts w:ascii="Arial Narrow" w:hAnsi="Arial Narrow"/>
                <w:sz w:val="20"/>
                <w:szCs w:val="20"/>
              </w:rPr>
            </w:pP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 xml:space="preserve">Section 100 – Opiate Dependence Treatment Program </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Prescriber type:</w:t>
            </w:r>
          </w:p>
          <w:p w:rsidR="00A16B75" w:rsidRPr="007D7F00" w:rsidRDefault="00A16B75" w:rsidP="00A16B75">
            <w:pPr>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1"/>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 xml:space="preserve">Dental  </w:t>
            </w:r>
            <w:r w:rsidRPr="007D7F00">
              <w:rPr>
                <w:rFonts w:ascii="Arial Narrow" w:hAnsi="Arial Narrow"/>
                <w:sz w:val="20"/>
                <w:szCs w:val="20"/>
              </w:rPr>
              <w:fldChar w:fldCharType="begin">
                <w:ffData>
                  <w:name w:val=""/>
                  <w:enabled/>
                  <w:calcOnExit w:val="0"/>
                  <w:checkBox>
                    <w:sizeAuto/>
                    <w:default w:val="1"/>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 xml:space="preserve">Medical Practitioners  </w:t>
            </w:r>
            <w:r w:rsidRPr="007D7F00">
              <w:rPr>
                <w:rFonts w:ascii="Arial Narrow" w:hAnsi="Arial Narrow"/>
                <w:sz w:val="20"/>
                <w:szCs w:val="20"/>
              </w:rPr>
              <w:fldChar w:fldCharType="begin">
                <w:ffData>
                  <w:name w:val="Check3"/>
                  <w:enabled/>
                  <w:calcOnExit w:val="0"/>
                  <w:checkBox>
                    <w:sizeAuto/>
                    <w:default w:val="1"/>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 xml:space="preserve">Nurse practitioners  </w:t>
            </w:r>
            <w:r w:rsidRPr="007D7F00">
              <w:rPr>
                <w:rFonts w:ascii="Arial Narrow" w:hAnsi="Arial Narrow"/>
                <w:sz w:val="20"/>
                <w:szCs w:val="20"/>
              </w:rPr>
              <w:fldChar w:fldCharType="begin">
                <w:ffData>
                  <w:name w:val=""/>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Optometrists</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5"/>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Midwives</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proofErr w:type="spellStart"/>
            <w:r w:rsidRPr="007D7F00">
              <w:rPr>
                <w:rFonts w:ascii="Arial Narrow" w:hAnsi="Arial Narrow"/>
                <w:b/>
                <w:sz w:val="20"/>
                <w:szCs w:val="20"/>
              </w:rPr>
              <w:t>Episodicity</w:t>
            </w:r>
            <w:proofErr w:type="spellEnd"/>
            <w:r w:rsidRPr="007D7F00">
              <w:rPr>
                <w:rFonts w:ascii="Arial Narrow" w:hAnsi="Arial Narrow"/>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Opiate dependence</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i/>
                <w:sz w:val="20"/>
                <w:szCs w:val="20"/>
              </w:rPr>
            </w:pPr>
            <w:r w:rsidRPr="007D7F00">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 xml:space="preserve">Opiate dependence </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trike/>
                <w:sz w:val="20"/>
                <w:szCs w:val="20"/>
              </w:rPr>
            </w:pPr>
            <w:r w:rsidRPr="007D7F00">
              <w:rPr>
                <w:rFonts w:ascii="Arial Narrow" w:hAnsi="Arial Narrow"/>
                <w:strike/>
                <w:sz w:val="20"/>
                <w:szCs w:val="20"/>
              </w:rPr>
              <w:t xml:space="preserve">Initial and continuing </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Restriction Level / Method:</w:t>
            </w:r>
          </w:p>
          <w:p w:rsidR="00A16B75" w:rsidRPr="007D7F00" w:rsidRDefault="00A16B75" w:rsidP="00A16B75">
            <w:pPr>
              <w:rPr>
                <w:rFonts w:ascii="Arial Narrow" w:hAnsi="Arial Narrow"/>
                <w:i/>
                <w:sz w:val="20"/>
                <w:szCs w:val="20"/>
              </w:rPr>
            </w:pPr>
          </w:p>
          <w:p w:rsidR="00A16B75" w:rsidRPr="007D7F00" w:rsidRDefault="00A16B75" w:rsidP="00A16B75">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1"/>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Restricted benefit</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Authority Required - In Writing</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3"/>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Authority Required - Telephone</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Authority Required - Emergency</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5"/>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Authority Required - Electronic</w:t>
            </w:r>
          </w:p>
          <w:p w:rsidR="00A16B75" w:rsidRPr="007D7F00" w:rsidRDefault="00A46EE0" w:rsidP="00A16B75">
            <w:pPr>
              <w:rPr>
                <w:rFonts w:ascii="Arial Narrow" w:hAnsi="Arial Narrow"/>
                <w:sz w:val="20"/>
                <w:szCs w:val="20"/>
              </w:rPr>
            </w:pPr>
            <w:r w:rsidRPr="007D7F00">
              <w:rPr>
                <w:rFonts w:ascii="Arial Narrow" w:hAnsi="Arial Narrow"/>
                <w:sz w:val="20"/>
                <w:szCs w:val="20"/>
              </w:rPr>
              <w:fldChar w:fldCharType="begin">
                <w:ffData>
                  <w:name w:val="Check5"/>
                  <w:enabled/>
                  <w:calcOnExit w:val="0"/>
                  <w:checkBox>
                    <w:sizeAuto/>
                    <w:default w:val="0"/>
                  </w:checkBox>
                </w:ffData>
              </w:fldChar>
            </w:r>
            <w:r w:rsidR="00A16B75" w:rsidRPr="007D7F00">
              <w:rPr>
                <w:rFonts w:ascii="Arial Narrow" w:hAnsi="Arial Narrow"/>
                <w:sz w:val="20"/>
                <w:szCs w:val="20"/>
              </w:rPr>
              <w:instrText xml:space="preserve"> FORMCHECKBOX </w:instrText>
            </w:r>
            <w:r w:rsidR="00B17909">
              <w:rPr>
                <w:rFonts w:ascii="Arial Narrow" w:hAnsi="Arial Narrow"/>
                <w:sz w:val="20"/>
                <w:szCs w:val="20"/>
              </w:rPr>
            </w:r>
            <w:r w:rsidR="00B17909">
              <w:rPr>
                <w:rFonts w:ascii="Arial Narrow" w:hAnsi="Arial Narrow"/>
                <w:sz w:val="20"/>
                <w:szCs w:val="20"/>
              </w:rPr>
              <w:fldChar w:fldCharType="separate"/>
            </w:r>
            <w:r w:rsidRPr="007D7F00">
              <w:rPr>
                <w:rFonts w:ascii="Arial Narrow" w:hAnsi="Arial Narrow"/>
                <w:sz w:val="20"/>
                <w:szCs w:val="20"/>
              </w:rPr>
              <w:fldChar w:fldCharType="end"/>
            </w:r>
            <w:r w:rsidR="00A16B75" w:rsidRPr="007D7F00">
              <w:rPr>
                <w:rFonts w:ascii="Arial Narrow" w:hAnsi="Arial Narrow"/>
                <w:sz w:val="20"/>
                <w:szCs w:val="20"/>
              </w:rPr>
              <w:t>Streamlined</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w:t>
            </w:r>
          </w:p>
          <w:p w:rsidR="00A16B75" w:rsidRPr="007D7F00" w:rsidRDefault="00A16B75" w:rsidP="00A16B75">
            <w:pPr>
              <w:rPr>
                <w:rFonts w:ascii="Arial Narrow" w:hAnsi="Arial Narrow"/>
                <w:sz w:val="20"/>
                <w:szCs w:val="20"/>
              </w:rPr>
            </w:pP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Clinical criteria:</w:t>
            </w:r>
          </w:p>
          <w:p w:rsidR="00A16B75" w:rsidRPr="007D7F00" w:rsidRDefault="00A16B75" w:rsidP="00A16B75">
            <w:pPr>
              <w:rPr>
                <w:rFonts w:ascii="Arial Narrow" w:hAnsi="Arial Narrow"/>
                <w:i/>
                <w:sz w:val="20"/>
                <w:szCs w:val="20"/>
              </w:rPr>
            </w:pPr>
          </w:p>
          <w:p w:rsidR="00A16B75" w:rsidRPr="007D7F00" w:rsidRDefault="00A16B75" w:rsidP="00A16B75">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 xml:space="preserve">The treatment must be within a framework of medical, social and psychological treatment </w:t>
            </w:r>
          </w:p>
          <w:p w:rsidR="00A16B75" w:rsidRPr="007D7F00" w:rsidRDefault="00A16B75" w:rsidP="00A16B75">
            <w:pPr>
              <w:rPr>
                <w:rFonts w:ascii="Arial Narrow" w:hAnsi="Arial Narrow"/>
                <w:sz w:val="20"/>
                <w:szCs w:val="20"/>
              </w:rPr>
            </w:pPr>
          </w:p>
          <w:p w:rsidR="00A16B75" w:rsidRPr="007D7F00" w:rsidRDefault="00A16B75" w:rsidP="00A16B75">
            <w:pPr>
              <w:rPr>
                <w:rFonts w:ascii="Arial Narrow" w:hAnsi="Arial Narrow"/>
                <w:i/>
                <w:sz w:val="20"/>
                <w:szCs w:val="20"/>
              </w:rPr>
            </w:pPr>
            <w:r w:rsidRPr="007D7F00">
              <w:rPr>
                <w:rFonts w:ascii="Arial Narrow" w:hAnsi="Arial Narrow"/>
                <w:i/>
                <w:sz w:val="20"/>
                <w:szCs w:val="20"/>
              </w:rPr>
              <w:t>AND</w:t>
            </w:r>
          </w:p>
          <w:p w:rsidR="00A16B75" w:rsidRPr="007D7F00" w:rsidRDefault="00A16B75" w:rsidP="00A16B75">
            <w:pPr>
              <w:rPr>
                <w:rFonts w:ascii="Arial Narrow" w:hAnsi="Arial Narrow"/>
                <w:i/>
                <w:sz w:val="20"/>
                <w:szCs w:val="20"/>
              </w:rPr>
            </w:pPr>
          </w:p>
          <w:p w:rsidR="00A16B75" w:rsidRPr="007D7F00" w:rsidRDefault="00A16B75" w:rsidP="00A16B75">
            <w:pPr>
              <w:rPr>
                <w:rFonts w:ascii="Arial Narrow" w:hAnsi="Arial Narrow"/>
                <w:i/>
                <w:sz w:val="20"/>
                <w:szCs w:val="20"/>
              </w:rPr>
            </w:pPr>
            <w:r w:rsidRPr="007D7F00">
              <w:rPr>
                <w:rFonts w:ascii="Arial Narrow" w:hAnsi="Arial Narrow"/>
                <w:i/>
                <w:sz w:val="20"/>
                <w:szCs w:val="20"/>
              </w:rPr>
              <w:t xml:space="preserve">The treatment must be administered by a health care professional. </w:t>
            </w:r>
          </w:p>
          <w:p w:rsidR="00A16B75" w:rsidRPr="007D7F00" w:rsidRDefault="00A16B75" w:rsidP="00A16B75">
            <w:pPr>
              <w:rPr>
                <w:rFonts w:ascii="Arial Narrow" w:hAnsi="Arial Narrow"/>
                <w:sz w:val="20"/>
                <w:szCs w:val="20"/>
              </w:rPr>
            </w:pP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N/A</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Foreword</w:t>
            </w:r>
          </w:p>
          <w:p w:rsidR="00A16B75" w:rsidRPr="007D7F00" w:rsidRDefault="00A16B75" w:rsidP="00A16B75">
            <w:pPr>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N/A</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N/A</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Prescriber Instructions</w:t>
            </w:r>
          </w:p>
          <w:p w:rsidR="00A16B75" w:rsidRPr="007D7F00" w:rsidRDefault="00A16B75" w:rsidP="00A16B75">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Administrative Advice</w:t>
            </w:r>
          </w:p>
          <w:p w:rsidR="00A16B75" w:rsidRPr="007D7F00" w:rsidRDefault="00A16B75" w:rsidP="00A16B75">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r w:rsidRPr="007D7F00">
              <w:rPr>
                <w:rFonts w:ascii="Arial Narrow" w:hAnsi="Arial Narrow"/>
                <w:sz w:val="20"/>
                <w:szCs w:val="20"/>
              </w:rPr>
              <w:t>Care must be taken to comply with the provisions of State/Territory law when prescribing this drug.</w:t>
            </w:r>
          </w:p>
          <w:p w:rsidR="00A16B75" w:rsidRPr="007D7F00" w:rsidRDefault="00A16B75" w:rsidP="00A16B75">
            <w:pPr>
              <w:rPr>
                <w:rFonts w:ascii="Arial Narrow" w:hAnsi="Arial Narrow"/>
                <w:sz w:val="20"/>
                <w:szCs w:val="20"/>
              </w:rPr>
            </w:pPr>
          </w:p>
          <w:p w:rsidR="00A16B75" w:rsidRPr="007D7F00" w:rsidRDefault="00A16B75" w:rsidP="00A16B75">
            <w:pPr>
              <w:rPr>
                <w:rFonts w:ascii="Arial Narrow" w:hAnsi="Arial Narrow"/>
                <w:sz w:val="20"/>
                <w:szCs w:val="20"/>
              </w:rPr>
            </w:pPr>
            <w:r w:rsidRPr="007D7F00">
              <w:rPr>
                <w:rFonts w:ascii="Arial Narrow" w:hAnsi="Arial Narrow"/>
                <w:sz w:val="20"/>
                <w:szCs w:val="20"/>
              </w:rPr>
              <w:t xml:space="preserve">No increase in the maximum quantity or number of units may be authorised. </w:t>
            </w:r>
          </w:p>
          <w:p w:rsidR="00A16B75" w:rsidRPr="007D7F00" w:rsidRDefault="00A16B75" w:rsidP="00A16B75">
            <w:pPr>
              <w:rPr>
                <w:rFonts w:ascii="Arial Narrow" w:hAnsi="Arial Narrow"/>
                <w:sz w:val="20"/>
                <w:szCs w:val="20"/>
              </w:rPr>
            </w:pPr>
          </w:p>
          <w:p w:rsidR="00A16B75" w:rsidRPr="007D7F00" w:rsidRDefault="00A16B75" w:rsidP="00A16B75">
            <w:pPr>
              <w:rPr>
                <w:rFonts w:ascii="Arial Narrow" w:hAnsi="Arial Narrow"/>
                <w:sz w:val="20"/>
                <w:szCs w:val="20"/>
              </w:rPr>
            </w:pPr>
            <w:r w:rsidRPr="007D7F00">
              <w:rPr>
                <w:rFonts w:ascii="Arial Narrow" w:hAnsi="Arial Narrow"/>
                <w:sz w:val="20"/>
                <w:szCs w:val="20"/>
              </w:rPr>
              <w:t xml:space="preserve">No increase in the maximum number of repeats may be authorised. </w:t>
            </w:r>
          </w:p>
        </w:tc>
      </w:tr>
      <w:tr w:rsidR="00A16B75" w:rsidRPr="00D775A7" w:rsidTr="00A16B75">
        <w:trPr>
          <w:cantSplit/>
          <w:trHeight w:val="360"/>
        </w:trPr>
        <w:tc>
          <w:tcPr>
            <w:tcW w:w="2835" w:type="dxa"/>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b/>
                <w:sz w:val="20"/>
                <w:szCs w:val="20"/>
              </w:rPr>
            </w:pPr>
            <w:r w:rsidRPr="007D7F00">
              <w:rPr>
                <w:rFonts w:ascii="Arial Narrow" w:hAnsi="Arial Narrow"/>
                <w:b/>
                <w:sz w:val="20"/>
                <w:szCs w:val="20"/>
              </w:rPr>
              <w:t>Cautions</w:t>
            </w:r>
          </w:p>
          <w:p w:rsidR="00A16B75" w:rsidRPr="007D7F00" w:rsidRDefault="00A16B75" w:rsidP="00A16B75">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A16B75" w:rsidRPr="007D7F00" w:rsidRDefault="00A16B75" w:rsidP="00A16B75">
            <w:pPr>
              <w:rPr>
                <w:rFonts w:ascii="Arial Narrow" w:hAnsi="Arial Narrow"/>
                <w:sz w:val="20"/>
                <w:szCs w:val="20"/>
              </w:rPr>
            </w:pPr>
          </w:p>
        </w:tc>
      </w:tr>
    </w:tbl>
    <w:p w:rsidR="00A16B75" w:rsidRPr="00D775A7" w:rsidRDefault="00A16B75" w:rsidP="00E02E7E">
      <w:pPr>
        <w:pStyle w:val="TableFooter"/>
        <w:rPr>
          <w:rFonts w:ascii="Calibri" w:hAnsi="Calibri"/>
          <w:sz w:val="24"/>
        </w:rPr>
      </w:pPr>
    </w:p>
    <w:p w:rsidR="00316B1A" w:rsidRPr="00D775A7" w:rsidRDefault="00316B1A" w:rsidP="00E73F24">
      <w:pPr>
        <w:pStyle w:val="ListParagraph"/>
        <w:widowControl/>
        <w:numPr>
          <w:ilvl w:val="1"/>
          <w:numId w:val="2"/>
        </w:numPr>
        <w:spacing w:before="120" w:after="120"/>
        <w:ind w:left="720" w:hanging="720"/>
      </w:pPr>
      <w:r w:rsidRPr="00D775A7">
        <w:lastRenderedPageBreak/>
        <w:t xml:space="preserve">Prices are listed at the ex-manufacturer level as under the Opioid Dependence Treatment Program arrangements, the Commonwealth funds the full cost of the medicine via direct payment to the drug sponsors. </w:t>
      </w:r>
    </w:p>
    <w:p w:rsidR="00316B1A" w:rsidRPr="00D775A7" w:rsidRDefault="00316B1A" w:rsidP="00E73F24">
      <w:pPr>
        <w:pStyle w:val="ListParagraph"/>
        <w:widowControl/>
        <w:numPr>
          <w:ilvl w:val="1"/>
          <w:numId w:val="2"/>
        </w:numPr>
        <w:spacing w:before="120" w:after="120"/>
        <w:ind w:left="720" w:hanging="720"/>
      </w:pPr>
      <w:r w:rsidRPr="00D775A7">
        <w:t xml:space="preserve">The proposed Section 100 listing is consistent with existing Section 100 (Opiate Dependence) listings. </w:t>
      </w:r>
    </w:p>
    <w:p w:rsidR="00CE709D" w:rsidRPr="00D775A7" w:rsidRDefault="00E02E7E" w:rsidP="00E73F24">
      <w:pPr>
        <w:pStyle w:val="ListParagraph"/>
        <w:widowControl/>
        <w:numPr>
          <w:ilvl w:val="1"/>
          <w:numId w:val="2"/>
        </w:numPr>
        <w:spacing w:before="120" w:after="120"/>
        <w:ind w:left="720" w:hanging="720"/>
      </w:pPr>
      <w:r w:rsidRPr="00D775A7">
        <w:t xml:space="preserve">The requested restriction </w:t>
      </w:r>
      <w:r w:rsidR="00706DE6" w:rsidRPr="00D775A7">
        <w:t>did not indicate that</w:t>
      </w:r>
      <w:r w:rsidRPr="00D775A7">
        <w:t xml:space="preserve"> </w:t>
      </w:r>
      <w:proofErr w:type="spellStart"/>
      <w:r w:rsidRPr="00D775A7">
        <w:t>Sublocade</w:t>
      </w:r>
      <w:proofErr w:type="spellEnd"/>
      <w:r w:rsidRPr="00D775A7">
        <w:t xml:space="preserve"> treatment</w:t>
      </w:r>
      <w:r w:rsidR="00706DE6" w:rsidRPr="00D775A7">
        <w:t xml:space="preserve"> should be initiated</w:t>
      </w:r>
      <w:r w:rsidRPr="00D775A7">
        <w:t xml:space="preserve"> after stabilisation of withdra</w:t>
      </w:r>
      <w:r w:rsidR="00706DE6" w:rsidRPr="00D775A7">
        <w:t>wal symptoms on a buprenorphine-containing product. This wa</w:t>
      </w:r>
      <w:r w:rsidRPr="00D775A7">
        <w:t xml:space="preserve">s inconsistent with the trial </w:t>
      </w:r>
      <w:r w:rsidR="009763A0" w:rsidRPr="00D775A7">
        <w:t>evidence</w:t>
      </w:r>
      <w:r w:rsidRPr="00D775A7">
        <w:t xml:space="preserve"> and the Draft PI for </w:t>
      </w:r>
      <w:proofErr w:type="spellStart"/>
      <w:r w:rsidRPr="00D775A7">
        <w:t>Sublocade</w:t>
      </w:r>
      <w:proofErr w:type="spellEnd"/>
      <w:r w:rsidRPr="00D775A7">
        <w:t>.</w:t>
      </w:r>
      <w:r w:rsidR="0068483C" w:rsidRPr="00D775A7">
        <w:t xml:space="preserve"> </w:t>
      </w:r>
      <w:r w:rsidR="00730DD6" w:rsidRPr="00D775A7">
        <w:t>The ESC agreed that it would be</w:t>
      </w:r>
      <w:r w:rsidR="00664287" w:rsidRPr="00D775A7">
        <w:t xml:space="preserve"> appropriate for the restriction to specify that treatment must be administered</w:t>
      </w:r>
      <w:r w:rsidR="00316B1A" w:rsidRPr="00D775A7">
        <w:t xml:space="preserve"> by a health care professional, consistent with the Draft PI</w:t>
      </w:r>
      <w:r w:rsidR="00926215" w:rsidRPr="00D775A7">
        <w:t xml:space="preserve"> for </w:t>
      </w:r>
      <w:proofErr w:type="spellStart"/>
      <w:r w:rsidR="00926215" w:rsidRPr="00D775A7">
        <w:t>Sublocade</w:t>
      </w:r>
      <w:proofErr w:type="spellEnd"/>
      <w:r w:rsidR="00316B1A" w:rsidRPr="00D775A7">
        <w:t xml:space="preserve">. Direct administration by a health professional (medical practitioner or nurse practitioner) will be a significant shift away from the current community pharmacy-based practice model. </w:t>
      </w:r>
    </w:p>
    <w:p w:rsidR="009E002E" w:rsidRPr="00D775A7" w:rsidRDefault="00B51A20" w:rsidP="00E73F24">
      <w:pPr>
        <w:pStyle w:val="ListParagraph"/>
        <w:widowControl/>
        <w:numPr>
          <w:ilvl w:val="1"/>
          <w:numId w:val="2"/>
        </w:numPr>
        <w:spacing w:before="120" w:after="120"/>
        <w:ind w:left="720" w:hanging="720"/>
      </w:pPr>
      <w:r w:rsidRPr="00D775A7">
        <w:t>T</w:t>
      </w:r>
      <w:r w:rsidR="009E002E" w:rsidRPr="00D775A7">
        <w:t xml:space="preserve">he submission specified </w:t>
      </w:r>
      <w:proofErr w:type="spellStart"/>
      <w:r w:rsidR="009E002E" w:rsidRPr="00D775A7">
        <w:t>Sublocade</w:t>
      </w:r>
      <w:proofErr w:type="spellEnd"/>
      <w:r w:rsidR="009E002E" w:rsidRPr="00D775A7">
        <w:t xml:space="preserve"> is anticipated to be provided by:</w:t>
      </w:r>
    </w:p>
    <w:p w:rsidR="009E002E" w:rsidRPr="00D775A7" w:rsidRDefault="009E002E" w:rsidP="00E73F24">
      <w:pPr>
        <w:pStyle w:val="ListParagraph"/>
        <w:numPr>
          <w:ilvl w:val="0"/>
          <w:numId w:val="7"/>
        </w:numPr>
        <w:spacing w:before="120" w:after="120"/>
        <w:ind w:left="1008" w:hanging="288"/>
      </w:pPr>
      <w:r w:rsidRPr="00D775A7">
        <w:t xml:space="preserve">Public and private clinics that order from wholesalers. </w:t>
      </w:r>
    </w:p>
    <w:p w:rsidR="009E002E" w:rsidRPr="00D775A7" w:rsidRDefault="009E002E" w:rsidP="00E73F24">
      <w:pPr>
        <w:pStyle w:val="ListParagraph"/>
        <w:numPr>
          <w:ilvl w:val="0"/>
          <w:numId w:val="7"/>
        </w:numPr>
        <w:spacing w:before="120" w:after="120"/>
        <w:ind w:left="1008" w:hanging="288"/>
      </w:pPr>
      <w:r w:rsidRPr="00D775A7">
        <w:t xml:space="preserve">Corrective service / Justice Health medical services who directly order through wholesalers. </w:t>
      </w:r>
    </w:p>
    <w:p w:rsidR="009E002E" w:rsidRPr="00D775A7" w:rsidRDefault="009E002E" w:rsidP="00E73F24">
      <w:pPr>
        <w:pStyle w:val="ListParagraph"/>
        <w:numPr>
          <w:ilvl w:val="0"/>
          <w:numId w:val="7"/>
        </w:numPr>
        <w:spacing w:before="120" w:after="120"/>
        <w:ind w:left="1008" w:hanging="288"/>
      </w:pPr>
      <w:r w:rsidRPr="00D775A7">
        <w:t xml:space="preserve">A limited number of pharmacies that employ a nurse or enter into shared care arrangements with local health authorities. </w:t>
      </w:r>
    </w:p>
    <w:p w:rsidR="009E002E" w:rsidRPr="00D775A7" w:rsidRDefault="009E002E" w:rsidP="00E73F24">
      <w:pPr>
        <w:pStyle w:val="ListParagraph"/>
        <w:numPr>
          <w:ilvl w:val="0"/>
          <w:numId w:val="7"/>
        </w:numPr>
        <w:spacing w:before="120" w:after="120"/>
        <w:ind w:left="1008" w:hanging="288"/>
      </w:pPr>
      <w:r w:rsidRPr="00D775A7">
        <w:t xml:space="preserve">Medical </w:t>
      </w:r>
      <w:r w:rsidR="00C704D4" w:rsidRPr="00D775A7">
        <w:t>p</w:t>
      </w:r>
      <w:r w:rsidRPr="00D775A7">
        <w:t xml:space="preserve">ractices with low volume of patients who make individual arrangements with pharmacies to deliver to their medical practice. </w:t>
      </w:r>
    </w:p>
    <w:p w:rsidR="009E002E" w:rsidRPr="00D775A7" w:rsidRDefault="009E002E" w:rsidP="00E73F24">
      <w:pPr>
        <w:pStyle w:val="ListParagraph"/>
        <w:numPr>
          <w:ilvl w:val="0"/>
          <w:numId w:val="7"/>
        </w:numPr>
        <w:spacing w:before="120" w:after="120"/>
        <w:ind w:left="1008" w:hanging="288"/>
      </w:pPr>
      <w:r w:rsidRPr="00D775A7">
        <w:t>Medical practices co-located with pharmacies who will deliver to prescriber</w:t>
      </w:r>
      <w:r w:rsidR="00C704D4" w:rsidRPr="00D775A7">
        <w:t>s</w:t>
      </w:r>
      <w:r w:rsidRPr="00D775A7">
        <w:t xml:space="preserve">. </w:t>
      </w:r>
    </w:p>
    <w:p w:rsidR="009E002E" w:rsidRPr="00D775A7" w:rsidRDefault="009E002E" w:rsidP="00E73F24">
      <w:pPr>
        <w:pStyle w:val="ListParagraph"/>
        <w:numPr>
          <w:ilvl w:val="0"/>
          <w:numId w:val="7"/>
        </w:numPr>
        <w:spacing w:before="120" w:after="120"/>
        <w:ind w:left="1008" w:hanging="288"/>
      </w:pPr>
      <w:r w:rsidRPr="00D775A7">
        <w:t>Medical / Nursing Practices with high volume of patients who may directly order (subject to state/territory approval) from a wholesaler.</w:t>
      </w:r>
    </w:p>
    <w:p w:rsidR="00B276E5" w:rsidRPr="00D775A7" w:rsidRDefault="009E002E" w:rsidP="00E73F24">
      <w:pPr>
        <w:pStyle w:val="ListParagraph"/>
        <w:numPr>
          <w:ilvl w:val="0"/>
          <w:numId w:val="7"/>
        </w:numPr>
        <w:spacing w:before="120" w:after="120"/>
        <w:ind w:left="1008" w:hanging="288"/>
      </w:pPr>
      <w:r w:rsidRPr="00D775A7">
        <w:t>Market forces may lead to additional models developing.</w:t>
      </w:r>
    </w:p>
    <w:p w:rsidR="00E02E7E" w:rsidRPr="00D775A7" w:rsidRDefault="00664287" w:rsidP="00E73F24">
      <w:pPr>
        <w:pStyle w:val="ListParagraph"/>
        <w:widowControl/>
        <w:numPr>
          <w:ilvl w:val="1"/>
          <w:numId w:val="2"/>
        </w:numPr>
        <w:spacing w:before="120" w:after="120"/>
        <w:ind w:left="720" w:hanging="720"/>
        <w:rPr>
          <w:color w:val="000000" w:themeColor="text1"/>
        </w:rPr>
      </w:pPr>
      <w:r w:rsidRPr="00D775A7">
        <w:rPr>
          <w:color w:val="000000" w:themeColor="text1"/>
        </w:rPr>
        <w:t>T</w:t>
      </w:r>
      <w:r w:rsidR="00E02E7E" w:rsidRPr="00D775A7">
        <w:rPr>
          <w:color w:val="000000" w:themeColor="text1"/>
        </w:rPr>
        <w:t>he proposed indication</w:t>
      </w:r>
      <w:r w:rsidR="00706DE6" w:rsidRPr="00D775A7">
        <w:rPr>
          <w:color w:val="000000" w:themeColor="text1"/>
        </w:rPr>
        <w:t xml:space="preserve"> and restriction for </w:t>
      </w:r>
      <w:proofErr w:type="spellStart"/>
      <w:r w:rsidR="00706DE6" w:rsidRPr="00D775A7">
        <w:rPr>
          <w:color w:val="000000" w:themeColor="text1"/>
        </w:rPr>
        <w:t>Sublocade</w:t>
      </w:r>
      <w:proofErr w:type="spellEnd"/>
      <w:r w:rsidR="00706DE6" w:rsidRPr="00D775A7">
        <w:rPr>
          <w:color w:val="000000" w:themeColor="text1"/>
        </w:rPr>
        <w:t xml:space="preserve"> wa</w:t>
      </w:r>
      <w:r w:rsidR="00E02E7E" w:rsidRPr="00D775A7">
        <w:rPr>
          <w:color w:val="000000" w:themeColor="text1"/>
        </w:rPr>
        <w:t>s opiate dependence</w:t>
      </w:r>
      <w:r w:rsidRPr="00D775A7">
        <w:rPr>
          <w:color w:val="000000" w:themeColor="text1"/>
        </w:rPr>
        <w:t>. Whilst this is consistent with the PBS indication for BUP/NAL SL,</w:t>
      </w:r>
      <w:r w:rsidR="00E02E7E" w:rsidRPr="00D775A7">
        <w:rPr>
          <w:color w:val="000000" w:themeColor="text1"/>
        </w:rPr>
        <w:t xml:space="preserve"> </w:t>
      </w:r>
      <w:r w:rsidRPr="00D775A7">
        <w:rPr>
          <w:color w:val="000000" w:themeColor="text1"/>
        </w:rPr>
        <w:t>it</w:t>
      </w:r>
      <w:r w:rsidR="00E02E7E" w:rsidRPr="00D775A7">
        <w:rPr>
          <w:color w:val="000000" w:themeColor="text1"/>
        </w:rPr>
        <w:t xml:space="preserve"> may be a narrower definition than the DSM-5 diagnostic criteria u</w:t>
      </w:r>
      <w:r w:rsidR="00535D5A" w:rsidRPr="00D775A7">
        <w:rPr>
          <w:color w:val="000000" w:themeColor="text1"/>
        </w:rPr>
        <w:t>sed in the RB-US-13-00</w:t>
      </w:r>
      <w:r w:rsidR="00706DE6" w:rsidRPr="00D775A7">
        <w:rPr>
          <w:color w:val="000000" w:themeColor="text1"/>
        </w:rPr>
        <w:t>0</w:t>
      </w:r>
      <w:r w:rsidR="00535D5A" w:rsidRPr="00D775A7">
        <w:rPr>
          <w:color w:val="000000" w:themeColor="text1"/>
        </w:rPr>
        <w:t>1 trial</w:t>
      </w:r>
      <w:r w:rsidR="00706DE6" w:rsidRPr="00D775A7">
        <w:rPr>
          <w:color w:val="000000" w:themeColor="text1"/>
        </w:rPr>
        <w:t xml:space="preserve"> (the main source of evidence for </w:t>
      </w:r>
      <w:proofErr w:type="spellStart"/>
      <w:r w:rsidR="00706DE6" w:rsidRPr="00D775A7">
        <w:rPr>
          <w:color w:val="000000" w:themeColor="text1"/>
        </w:rPr>
        <w:t>Sublocade</w:t>
      </w:r>
      <w:proofErr w:type="spellEnd"/>
      <w:r w:rsidR="00706DE6" w:rsidRPr="00D775A7">
        <w:rPr>
          <w:color w:val="000000" w:themeColor="text1"/>
        </w:rPr>
        <w:t xml:space="preserve"> in the submission)</w:t>
      </w:r>
      <w:r w:rsidR="00535D5A" w:rsidRPr="00D775A7">
        <w:rPr>
          <w:color w:val="000000" w:themeColor="text1"/>
        </w:rPr>
        <w:t xml:space="preserve">. </w:t>
      </w:r>
      <w:r w:rsidR="00E02E7E" w:rsidRPr="00D775A7">
        <w:rPr>
          <w:color w:val="000000" w:themeColor="text1"/>
        </w:rPr>
        <w:t>The main difference between DSM-5 and DSM-4 is that DSM-5 effectively combined DSM-4 diagnoses of opioid dependence and opioid abuse</w:t>
      </w:r>
      <w:r w:rsidR="00E02E7E" w:rsidRPr="00D775A7">
        <w:rPr>
          <w:color w:val="000000" w:themeColor="text1"/>
          <w:vertAlign w:val="superscript"/>
        </w:rPr>
        <w:footnoteReference w:id="1"/>
      </w:r>
      <w:r w:rsidR="00E02E7E" w:rsidRPr="00D775A7">
        <w:rPr>
          <w:color w:val="000000" w:themeColor="text1"/>
        </w:rPr>
        <w:t xml:space="preserve">. </w:t>
      </w:r>
    </w:p>
    <w:p w:rsidR="00346A9E" w:rsidRPr="00D775A7" w:rsidRDefault="00346A9E" w:rsidP="00E73F24">
      <w:pPr>
        <w:pStyle w:val="ListParagraph"/>
        <w:widowControl/>
        <w:numPr>
          <w:ilvl w:val="1"/>
          <w:numId w:val="2"/>
        </w:numPr>
        <w:spacing w:before="120" w:after="120"/>
        <w:ind w:left="720" w:hanging="720"/>
      </w:pPr>
      <w:r w:rsidRPr="00D775A7">
        <w:rPr>
          <w:color w:val="000000" w:themeColor="text1"/>
        </w:rPr>
        <w:t>Liaison</w:t>
      </w:r>
      <w:r w:rsidRPr="00D775A7">
        <w:t xml:space="preserve"> with states and territories would be required to ascertain their willingness to offer this product through their existing OST programs as well as what individual assessment criteria for participation by prescribers and dosing sites might be needed. </w:t>
      </w:r>
      <w:r w:rsidRPr="00D775A7">
        <w:lastRenderedPageBreak/>
        <w:t>Time for liaison with states and territories would need to be factored into implementation of a positive recommendation for this product</w:t>
      </w:r>
      <w:r w:rsidR="00D775A7">
        <w:t xml:space="preserve">. </w:t>
      </w:r>
    </w:p>
    <w:p w:rsidR="009E002E" w:rsidRPr="00D775A7" w:rsidRDefault="009E002E" w:rsidP="00E73F24">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noted that the sponsor wrote to State and Territory Health Ministers seeking discussions on the appropriate policy regulatory framework to ensure patients would not handle </w:t>
      </w:r>
      <w:proofErr w:type="spellStart"/>
      <w:r w:rsidRPr="00D775A7">
        <w:rPr>
          <w:color w:val="000000" w:themeColor="text1"/>
        </w:rPr>
        <w:t>Sublocade</w:t>
      </w:r>
      <w:proofErr w:type="spellEnd"/>
      <w:r w:rsidRPr="00D775A7">
        <w:rPr>
          <w:color w:val="000000" w:themeColor="text1"/>
        </w:rPr>
        <w:t>. This was followed in several states with briefings</w:t>
      </w:r>
      <w:r w:rsidR="00CC6786" w:rsidRPr="00D775A7">
        <w:rPr>
          <w:color w:val="000000" w:themeColor="text1"/>
        </w:rPr>
        <w:t>.</w:t>
      </w:r>
    </w:p>
    <w:p w:rsidR="009E002E" w:rsidRPr="004769EA" w:rsidRDefault="009E002E" w:rsidP="00E73F24">
      <w:pPr>
        <w:pStyle w:val="ListParagraph"/>
        <w:widowControl/>
        <w:numPr>
          <w:ilvl w:val="1"/>
          <w:numId w:val="2"/>
        </w:numPr>
        <w:spacing w:before="120" w:after="120"/>
        <w:ind w:left="720" w:hanging="720"/>
        <w:rPr>
          <w:color w:val="000000" w:themeColor="text1"/>
        </w:rPr>
      </w:pPr>
      <w:r w:rsidRPr="004769EA">
        <w:rPr>
          <w:color w:val="000000" w:themeColor="text1"/>
        </w:rPr>
        <w:t xml:space="preserve">The submission also noted that the sponsor will seek written agreement that the relevant health professional is aware and agrees to ensure that a patient will not possess or handle </w:t>
      </w:r>
      <w:proofErr w:type="spellStart"/>
      <w:r w:rsidRPr="004769EA">
        <w:rPr>
          <w:color w:val="000000" w:themeColor="text1"/>
        </w:rPr>
        <w:t>Sublocade</w:t>
      </w:r>
      <w:proofErr w:type="spellEnd"/>
      <w:r w:rsidRPr="004769EA">
        <w:rPr>
          <w:color w:val="000000" w:themeColor="text1"/>
        </w:rPr>
        <w:t xml:space="preserve">. </w:t>
      </w:r>
    </w:p>
    <w:p w:rsidR="00A96D6B" w:rsidRPr="00D775A7" w:rsidRDefault="00A96D6B" w:rsidP="00E73F24">
      <w:pPr>
        <w:spacing w:before="120" w:after="120"/>
        <w:ind w:firstLine="709"/>
        <w:rPr>
          <w:rFonts w:asciiTheme="minorHAnsi" w:hAnsiTheme="minorHAnsi"/>
          <w:i/>
        </w:rPr>
      </w:pPr>
      <w:bookmarkStart w:id="8" w:name="_Toc535915905"/>
      <w:r w:rsidRPr="00D775A7">
        <w:rPr>
          <w:rFonts w:asciiTheme="minorHAnsi" w:hAnsiTheme="minorHAnsi"/>
          <w:i/>
        </w:rPr>
        <w:t>For more detail on PBAC’s view, see section 7 PBAC outcome.</w:t>
      </w:r>
    </w:p>
    <w:p w:rsidR="00E02E7E" w:rsidRPr="00D775A7" w:rsidRDefault="00E02E7E" w:rsidP="00E73F24">
      <w:pPr>
        <w:pStyle w:val="PBACHeading1"/>
        <w:numPr>
          <w:ilvl w:val="0"/>
          <w:numId w:val="2"/>
        </w:numPr>
        <w:spacing w:before="120" w:after="120"/>
        <w:ind w:left="709" w:hanging="709"/>
      </w:pPr>
      <w:r w:rsidRPr="00D775A7">
        <w:t>Background</w:t>
      </w:r>
      <w:bookmarkEnd w:id="8"/>
    </w:p>
    <w:p w:rsidR="00E02E7E" w:rsidRPr="00E73F24" w:rsidRDefault="00E02E7E" w:rsidP="00E73F24">
      <w:pPr>
        <w:spacing w:before="120" w:after="120"/>
        <w:outlineLvl w:val="1"/>
        <w:rPr>
          <w:rFonts w:asciiTheme="minorHAnsi" w:hAnsiTheme="minorHAnsi"/>
          <w:b/>
          <w:bCs/>
          <w:i/>
          <w:sz w:val="28"/>
          <w:szCs w:val="28"/>
        </w:rPr>
      </w:pPr>
      <w:r w:rsidRPr="00E73F24">
        <w:rPr>
          <w:rFonts w:asciiTheme="minorHAnsi" w:hAnsiTheme="minorHAnsi"/>
          <w:b/>
          <w:bCs/>
          <w:i/>
          <w:sz w:val="28"/>
          <w:szCs w:val="28"/>
        </w:rPr>
        <w:t>Registration status</w:t>
      </w:r>
    </w:p>
    <w:p w:rsidR="00E02E7E" w:rsidRPr="00D775A7" w:rsidRDefault="00E02E7E" w:rsidP="00E73F24">
      <w:pPr>
        <w:pStyle w:val="ListParagraph"/>
        <w:widowControl/>
        <w:numPr>
          <w:ilvl w:val="1"/>
          <w:numId w:val="2"/>
        </w:numPr>
        <w:spacing w:before="120" w:after="120"/>
        <w:ind w:left="720" w:hanging="720"/>
      </w:pPr>
      <w:r w:rsidRPr="00D775A7">
        <w:rPr>
          <w:color w:val="000000" w:themeColor="text1"/>
        </w:rPr>
        <w:t xml:space="preserve">The </w:t>
      </w:r>
      <w:r w:rsidRPr="00D775A7">
        <w:t>submission was made un</w:t>
      </w:r>
      <w:r w:rsidR="00535D5A" w:rsidRPr="00D775A7">
        <w:t xml:space="preserve">der TGA/PBAC Parallel Process. </w:t>
      </w:r>
      <w:r w:rsidRPr="00D775A7">
        <w:t>At the time of evaluation for P</w:t>
      </w:r>
      <w:r w:rsidR="00535D5A" w:rsidRPr="00D775A7">
        <w:t>BAC consideration, t</w:t>
      </w:r>
      <w:r w:rsidRPr="00D775A7">
        <w:t xml:space="preserve">he TGA clinical evaluator’s report (first round) </w:t>
      </w:r>
      <w:r w:rsidR="00535D5A" w:rsidRPr="00D775A7">
        <w:t>became</w:t>
      </w:r>
      <w:r w:rsidRPr="00D775A7">
        <w:t xml:space="preserve"> available. </w:t>
      </w:r>
      <w:r w:rsidR="009E002E" w:rsidRPr="00D775A7">
        <w:t xml:space="preserve">The TGA first round Clinical evaluator concluded that the risk-benefit balance for </w:t>
      </w:r>
      <w:proofErr w:type="spellStart"/>
      <w:r w:rsidR="009E002E" w:rsidRPr="00D775A7">
        <w:t>Sublocade</w:t>
      </w:r>
      <w:proofErr w:type="spellEnd"/>
      <w:r w:rsidR="009E002E" w:rsidRPr="00D775A7">
        <w:t xml:space="preserve"> was favourable.</w:t>
      </w:r>
      <w:r w:rsidR="00165307" w:rsidRPr="00D775A7">
        <w:t xml:space="preserve"> The TGA Delegate’s Overview </w:t>
      </w:r>
      <w:r w:rsidR="00D154CB" w:rsidRPr="00D775A7">
        <w:t>wa</w:t>
      </w:r>
      <w:r w:rsidR="00165307" w:rsidRPr="00D775A7">
        <w:t xml:space="preserve">s </w:t>
      </w:r>
      <w:r w:rsidR="00D154CB" w:rsidRPr="00D775A7">
        <w:t xml:space="preserve">expected to be received </w:t>
      </w:r>
      <w:r w:rsidR="00165307" w:rsidRPr="00D775A7">
        <w:t>on 7 May 2019</w:t>
      </w:r>
      <w:r w:rsidR="00D154CB" w:rsidRPr="00D775A7">
        <w:t>, following PBAC consideration</w:t>
      </w:r>
      <w:r w:rsidR="00165307" w:rsidRPr="00D775A7">
        <w:t xml:space="preserve">. </w:t>
      </w:r>
    </w:p>
    <w:p w:rsidR="00BE6A87" w:rsidRDefault="00BE6A87" w:rsidP="00E73F24">
      <w:pPr>
        <w:pStyle w:val="ListParagraph"/>
        <w:widowControl/>
        <w:numPr>
          <w:ilvl w:val="1"/>
          <w:numId w:val="2"/>
        </w:numPr>
        <w:spacing w:before="120" w:after="120"/>
        <w:ind w:left="720" w:hanging="720"/>
      </w:pPr>
      <w:r w:rsidRPr="00D775A7">
        <w:t>The proposed TGA indication is the treatment of opioid dependence, within a framework of medical, social and psychological treatment.</w:t>
      </w:r>
    </w:p>
    <w:p w:rsidR="00762E5E" w:rsidRDefault="00762E5E" w:rsidP="00E73F24">
      <w:pPr>
        <w:spacing w:before="120" w:after="120"/>
        <w:ind w:firstLine="709"/>
        <w:rPr>
          <w:rFonts w:asciiTheme="minorHAnsi" w:hAnsiTheme="minorHAnsi"/>
          <w:i/>
        </w:rPr>
      </w:pPr>
      <w:r w:rsidRPr="00762E5E">
        <w:rPr>
          <w:rFonts w:asciiTheme="minorHAnsi" w:hAnsiTheme="minorHAnsi"/>
          <w:i/>
        </w:rPr>
        <w:t>For more detail on PBAC’s view, see section 7 PBAC outcome.</w:t>
      </w:r>
    </w:p>
    <w:p w:rsidR="00E02E7E" w:rsidRPr="00D775A7" w:rsidRDefault="00E02E7E" w:rsidP="00E73F24">
      <w:pPr>
        <w:pStyle w:val="PBACHeading1"/>
        <w:numPr>
          <w:ilvl w:val="0"/>
          <w:numId w:val="2"/>
        </w:numPr>
        <w:spacing w:before="120" w:after="120"/>
        <w:ind w:left="709" w:hanging="709"/>
      </w:pPr>
      <w:bookmarkStart w:id="9" w:name="_Toc535915906"/>
      <w:r w:rsidRPr="00D775A7">
        <w:t>Population and disease</w:t>
      </w:r>
      <w:bookmarkEnd w:id="9"/>
    </w:p>
    <w:p w:rsidR="00E02E7E" w:rsidRPr="00D775A7" w:rsidRDefault="00E02E7E" w:rsidP="00E73F24">
      <w:pPr>
        <w:pStyle w:val="ListParagraph"/>
        <w:widowControl/>
        <w:numPr>
          <w:ilvl w:val="1"/>
          <w:numId w:val="2"/>
        </w:numPr>
        <w:spacing w:before="120" w:after="120"/>
        <w:ind w:left="720" w:hanging="720"/>
        <w:rPr>
          <w:color w:val="000000" w:themeColor="text1"/>
        </w:rPr>
      </w:pPr>
      <w:r w:rsidRPr="00D775A7">
        <w:rPr>
          <w:color w:val="000000" w:themeColor="text1"/>
        </w:rPr>
        <w:t>Opioid use disorder (OUD) is a chronic, relapsing condition that is characterised by compulsive administration of opioid substances for non-medical uses or administration in excessive doses (American Psychiatric Association, 2013).</w:t>
      </w:r>
    </w:p>
    <w:p w:rsidR="00E02E7E" w:rsidRPr="00D775A7" w:rsidRDefault="00E02E7E" w:rsidP="00E73F24">
      <w:pPr>
        <w:pStyle w:val="ListParagraph"/>
        <w:widowControl/>
        <w:numPr>
          <w:ilvl w:val="1"/>
          <w:numId w:val="2"/>
        </w:numPr>
        <w:spacing w:before="120" w:after="120"/>
        <w:ind w:left="720" w:hanging="720"/>
        <w:rPr>
          <w:color w:val="000000" w:themeColor="text1"/>
        </w:rPr>
      </w:pPr>
      <w:r w:rsidRPr="00D775A7">
        <w:rPr>
          <w:color w:val="000000" w:themeColor="text1"/>
        </w:rPr>
        <w:t>Opioid use and misuse may result in dependence, overdose, physical harm or death. The submission cited AIHW (2018) data that described opioid use as responsible for 0.9% of the total burden of disease and injuries, with most of the burden of opioid use due to accidental poisoning (63%) and opioid dependence (29%). A further 7.8% was due to suicide and self-inflicted injuries.</w:t>
      </w:r>
    </w:p>
    <w:p w:rsidR="00E02E7E" w:rsidRPr="00D775A7" w:rsidRDefault="00E02E7E" w:rsidP="00E73F24">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cited </w:t>
      </w:r>
      <w:r w:rsidR="00143330" w:rsidRPr="00D775A7">
        <w:rPr>
          <w:color w:val="000000" w:themeColor="text1"/>
        </w:rPr>
        <w:t xml:space="preserve">a study by </w:t>
      </w:r>
      <w:proofErr w:type="spellStart"/>
      <w:r w:rsidRPr="00D775A7">
        <w:rPr>
          <w:color w:val="000000" w:themeColor="text1"/>
        </w:rPr>
        <w:t>Degenhardt</w:t>
      </w:r>
      <w:proofErr w:type="spellEnd"/>
      <w:r w:rsidR="00143330" w:rsidRPr="00D775A7">
        <w:rPr>
          <w:color w:val="000000" w:themeColor="text1"/>
        </w:rPr>
        <w:t xml:space="preserve"> et al</w:t>
      </w:r>
      <w:r w:rsidRPr="00D775A7">
        <w:rPr>
          <w:color w:val="000000" w:themeColor="text1"/>
        </w:rPr>
        <w:t xml:space="preserve"> 2014, </w:t>
      </w:r>
      <w:r w:rsidR="00143330" w:rsidRPr="00D775A7">
        <w:rPr>
          <w:color w:val="000000" w:themeColor="text1"/>
        </w:rPr>
        <w:t>which found that</w:t>
      </w:r>
      <w:r w:rsidRPr="00D775A7">
        <w:rPr>
          <w:color w:val="000000" w:themeColor="text1"/>
        </w:rPr>
        <w:t xml:space="preserve"> Australia has among the highest estimated prevalence of opioid dependence (0.46%) along with the United Kingdom (0.48%) and New Zealand (0.46%).</w:t>
      </w:r>
    </w:p>
    <w:p w:rsidR="00E02E7E" w:rsidRPr="00D775A7" w:rsidRDefault="00E02E7E" w:rsidP="00E73F24">
      <w:pPr>
        <w:pStyle w:val="ListParagraph"/>
        <w:widowControl/>
        <w:numPr>
          <w:ilvl w:val="1"/>
          <w:numId w:val="2"/>
        </w:numPr>
        <w:spacing w:before="120" w:after="120"/>
        <w:ind w:left="720" w:hanging="720"/>
        <w:rPr>
          <w:color w:val="000000" w:themeColor="text1"/>
        </w:rPr>
      </w:pPr>
      <w:proofErr w:type="spellStart"/>
      <w:r w:rsidRPr="00D775A7">
        <w:rPr>
          <w:color w:val="000000" w:themeColor="text1"/>
        </w:rPr>
        <w:t>Sublocade</w:t>
      </w:r>
      <w:proofErr w:type="spellEnd"/>
      <w:r w:rsidRPr="00D775A7">
        <w:rPr>
          <w:color w:val="000000" w:themeColor="text1"/>
        </w:rPr>
        <w:t xml:space="preserve"> is recommended for use after initial treatment of withdrawal symptoms with buprenorphine or </w:t>
      </w:r>
      <w:r w:rsidR="003239E6" w:rsidRPr="00D775A7">
        <w:t>BUP/NAL</w:t>
      </w:r>
      <w:r w:rsidRPr="00D775A7">
        <w:rPr>
          <w:color w:val="000000" w:themeColor="text1"/>
        </w:rPr>
        <w:t xml:space="preserve">. </w:t>
      </w:r>
      <w:r w:rsidR="0048650E" w:rsidRPr="00D775A7">
        <w:t xml:space="preserve">The ESC considered that it was most likely that in Australian clinical practice, patients </w:t>
      </w:r>
      <w:r w:rsidR="00C25D38" w:rsidRPr="00D775A7">
        <w:t xml:space="preserve">would be stabilised on daily </w:t>
      </w:r>
      <w:r w:rsidR="0048650E" w:rsidRPr="00D775A7">
        <w:t>BUP/NAL</w:t>
      </w:r>
      <w:r w:rsidR="00C25D38" w:rsidRPr="00D775A7">
        <w:t xml:space="preserve"> SL film</w:t>
      </w:r>
      <w:r w:rsidR="0048650E" w:rsidRPr="00D775A7">
        <w:t xml:space="preserve"> and be responding well to treatment, including being authori</w:t>
      </w:r>
      <w:r w:rsidR="00143330" w:rsidRPr="00D775A7">
        <w:t>sed for multiple takeaway doses. It was likely at that point, patients might be considered to be good candidates</w:t>
      </w:r>
      <w:r w:rsidR="0048650E" w:rsidRPr="00D775A7">
        <w:t xml:space="preserve"> </w:t>
      </w:r>
      <w:r w:rsidR="00143330" w:rsidRPr="00D775A7">
        <w:t xml:space="preserve">for </w:t>
      </w:r>
      <w:r w:rsidR="0048650E" w:rsidRPr="00D775A7">
        <w:t>transition</w:t>
      </w:r>
      <w:r w:rsidR="00143330" w:rsidRPr="00D775A7">
        <w:t>ing</w:t>
      </w:r>
      <w:r w:rsidR="0048650E" w:rsidRPr="00D775A7">
        <w:t xml:space="preserve"> to a</w:t>
      </w:r>
      <w:r w:rsidR="00C25D38" w:rsidRPr="00D775A7">
        <w:t xml:space="preserve"> long-acting</w:t>
      </w:r>
      <w:r w:rsidR="0048650E" w:rsidRPr="00D775A7">
        <w:t xml:space="preserve"> injectable formulation. As such, the ESC considered that </w:t>
      </w:r>
      <w:proofErr w:type="spellStart"/>
      <w:r w:rsidR="0048650E" w:rsidRPr="00D775A7">
        <w:t>Sublocade</w:t>
      </w:r>
      <w:proofErr w:type="spellEnd"/>
      <w:r w:rsidR="0048650E" w:rsidRPr="00D775A7">
        <w:t xml:space="preserve"> would be used later in the treatment algorithm.</w:t>
      </w:r>
    </w:p>
    <w:p w:rsidR="00E02E7E" w:rsidRPr="00D775A7" w:rsidRDefault="00E02E7E" w:rsidP="00E73F24">
      <w:pPr>
        <w:pStyle w:val="ListParagraph"/>
        <w:widowControl/>
        <w:numPr>
          <w:ilvl w:val="1"/>
          <w:numId w:val="2"/>
        </w:numPr>
        <w:spacing w:before="120" w:after="120"/>
        <w:ind w:left="720" w:hanging="720"/>
        <w:rPr>
          <w:color w:val="000000" w:themeColor="text1"/>
        </w:rPr>
      </w:pPr>
      <w:proofErr w:type="spellStart"/>
      <w:r w:rsidRPr="00D775A7">
        <w:lastRenderedPageBreak/>
        <w:t>Sublocade</w:t>
      </w:r>
      <w:proofErr w:type="spellEnd"/>
      <w:r w:rsidRPr="00D775A7">
        <w:t xml:space="preserve"> is provided in dosage strengths of 100mg and 300mg. </w:t>
      </w:r>
      <w:r w:rsidR="003E446D" w:rsidRPr="00D775A7">
        <w:t>T</w:t>
      </w:r>
      <w:r w:rsidRPr="00D775A7">
        <w:t xml:space="preserve">he recommended dose of </w:t>
      </w:r>
      <w:proofErr w:type="spellStart"/>
      <w:r w:rsidRPr="00D775A7">
        <w:t>Sublocade</w:t>
      </w:r>
      <w:proofErr w:type="spellEnd"/>
      <w:r w:rsidRPr="00D775A7">
        <w:t xml:space="preserve"> is 300mg monthly for the first two months, followed by a maintenance dose of 100mg monthly. The submission noted that patients who do not show a satisfactory clinical response following the second dose can receive a main</w:t>
      </w:r>
      <w:r w:rsidR="000F425E" w:rsidRPr="00D775A7">
        <w:t xml:space="preserve">tenance dose of 300mg monthly. </w:t>
      </w:r>
      <w:r w:rsidRPr="00D775A7">
        <w:t xml:space="preserve">Buprenorphine plasma levels in the month following the second 300mg dose are maintained with 100mg maintenance dosing. The 300 mg maintenance dose achieves higher levels and reaches steady state after the fourth monthly injection. </w:t>
      </w:r>
    </w:p>
    <w:p w:rsidR="00E02E7E" w:rsidRPr="00D775A7" w:rsidRDefault="00E02E7E" w:rsidP="00E73F24">
      <w:pPr>
        <w:pStyle w:val="ListParagraph"/>
        <w:widowControl/>
        <w:numPr>
          <w:ilvl w:val="1"/>
          <w:numId w:val="2"/>
        </w:numPr>
        <w:spacing w:before="120" w:after="120"/>
        <w:ind w:left="720" w:hanging="720"/>
        <w:rPr>
          <w:color w:val="000000" w:themeColor="text1"/>
        </w:rPr>
      </w:pPr>
      <w:r w:rsidRPr="00D775A7">
        <w:rPr>
          <w:color w:val="000000" w:themeColor="text1"/>
        </w:rPr>
        <w:t xml:space="preserve">Treatment with </w:t>
      </w:r>
      <w:proofErr w:type="spellStart"/>
      <w:r w:rsidRPr="00D775A7">
        <w:rPr>
          <w:color w:val="000000" w:themeColor="text1"/>
        </w:rPr>
        <w:t>Sublocade</w:t>
      </w:r>
      <w:proofErr w:type="spellEnd"/>
      <w:r w:rsidRPr="00D775A7">
        <w:rPr>
          <w:color w:val="000000" w:themeColor="text1"/>
        </w:rPr>
        <w:t xml:space="preserve"> is expected to continue indefinitely.</w:t>
      </w:r>
    </w:p>
    <w:p w:rsidR="00A96D6B" w:rsidRPr="00D775A7" w:rsidRDefault="00A96D6B" w:rsidP="00E73F24">
      <w:pPr>
        <w:spacing w:before="120" w:after="120"/>
        <w:ind w:firstLine="709"/>
        <w:rPr>
          <w:rFonts w:asciiTheme="minorHAnsi" w:hAnsiTheme="minorHAnsi"/>
          <w:i/>
        </w:rPr>
      </w:pPr>
      <w:r w:rsidRPr="00D775A7">
        <w:rPr>
          <w:rFonts w:asciiTheme="minorHAnsi" w:hAnsiTheme="minorHAnsi"/>
          <w:i/>
        </w:rPr>
        <w:t>For more detail on PBAC’s view, see section 7 PBAC outcome.</w:t>
      </w:r>
    </w:p>
    <w:p w:rsidR="00E02E7E" w:rsidRPr="00D775A7" w:rsidRDefault="00E02E7E" w:rsidP="00E73F24">
      <w:pPr>
        <w:pStyle w:val="PBACHeading1"/>
        <w:numPr>
          <w:ilvl w:val="0"/>
          <w:numId w:val="2"/>
        </w:numPr>
        <w:spacing w:before="120" w:after="120"/>
        <w:ind w:left="709" w:hanging="709"/>
      </w:pPr>
      <w:bookmarkStart w:id="10" w:name="_Toc535915907"/>
      <w:r w:rsidRPr="00D775A7">
        <w:t>Comparator</w:t>
      </w:r>
      <w:bookmarkEnd w:id="10"/>
    </w:p>
    <w:p w:rsidR="00E02E7E" w:rsidRPr="00D775A7" w:rsidRDefault="00E02E7E"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snapToGrid/>
          <w:color w:val="000000" w:themeColor="text1"/>
          <w:szCs w:val="24"/>
          <w:lang w:eastAsia="en-AU"/>
        </w:rPr>
        <w:t xml:space="preserve">The submission nominated BUP/NAL SL film as the main comparator. The main argument provided in support of this nomination was that this was the medicine most likely to be replaced in practice, with a ‘minute proportion of buprenorphine and methadone use shifting to </w:t>
      </w:r>
      <w:proofErr w:type="spellStart"/>
      <w:r w:rsidRPr="00D775A7">
        <w:rPr>
          <w:rFonts w:cs="Calibri"/>
          <w:snapToGrid/>
          <w:color w:val="000000" w:themeColor="text1"/>
          <w:szCs w:val="24"/>
          <w:lang w:eastAsia="en-AU"/>
        </w:rPr>
        <w:t>Sublocade</w:t>
      </w:r>
      <w:proofErr w:type="spellEnd"/>
      <w:r w:rsidRPr="00D775A7">
        <w:rPr>
          <w:rFonts w:cs="Calibri"/>
          <w:snapToGrid/>
          <w:color w:val="000000" w:themeColor="text1"/>
          <w:szCs w:val="24"/>
          <w:lang w:eastAsia="en-AU"/>
        </w:rPr>
        <w:t>’.</w:t>
      </w:r>
      <w:r w:rsidR="003E446D" w:rsidRPr="00D775A7">
        <w:rPr>
          <w:rFonts w:cs="Calibri"/>
          <w:snapToGrid/>
          <w:color w:val="000000" w:themeColor="text1"/>
          <w:szCs w:val="24"/>
          <w:lang w:eastAsia="en-AU"/>
        </w:rPr>
        <w:t xml:space="preserve"> </w:t>
      </w:r>
    </w:p>
    <w:p w:rsidR="00E02E7E" w:rsidRPr="00D775A7" w:rsidRDefault="00E02E7E"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snapToGrid/>
          <w:color w:val="000000" w:themeColor="text1"/>
          <w:szCs w:val="24"/>
          <w:lang w:eastAsia="en-AU"/>
        </w:rPr>
        <w:t>The submission considered BUP/NAL SL film was the medicine most likely to be replaced based on the NOPSAD 2017 snapshot days in May 2017 and June 2017 of clients receiving opioid pharmacotherapy treatment, doctors prescribing opioid pharmacotherapy drugs, and the dosing points that clients attend to receive their medication (AIHW 2018).</w:t>
      </w:r>
      <w:r w:rsidR="0048650E" w:rsidRPr="00D775A7">
        <w:rPr>
          <w:rFonts w:cs="Calibri"/>
          <w:snapToGrid/>
          <w:color w:val="000000" w:themeColor="text1"/>
          <w:szCs w:val="24"/>
          <w:lang w:eastAsia="en-AU"/>
        </w:rPr>
        <w:t xml:space="preserve"> The ESC agreed that BUP/NAL SL film was the appropriate main comparator. </w:t>
      </w:r>
    </w:p>
    <w:p w:rsidR="00E02E7E" w:rsidRPr="00D775A7" w:rsidRDefault="00E02E7E"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snapToGrid/>
          <w:color w:val="000000" w:themeColor="text1"/>
          <w:szCs w:val="24"/>
          <w:lang w:eastAsia="en-AU"/>
        </w:rPr>
        <w:t xml:space="preserve">The submission noted that 40% of all clients receiving opioid dependence treatment </w:t>
      </w:r>
      <w:r w:rsidR="00B50C3F" w:rsidRPr="00D775A7">
        <w:rPr>
          <w:rFonts w:cs="Calibri"/>
          <w:snapToGrid/>
          <w:color w:val="000000" w:themeColor="text1"/>
          <w:szCs w:val="24"/>
          <w:lang w:eastAsia="en-AU"/>
        </w:rPr>
        <w:t xml:space="preserve">(ODT) </w:t>
      </w:r>
      <w:r w:rsidRPr="00D775A7">
        <w:rPr>
          <w:rFonts w:cs="Calibri"/>
          <w:snapToGrid/>
          <w:color w:val="000000" w:themeColor="text1"/>
          <w:szCs w:val="24"/>
          <w:lang w:eastAsia="en-AU"/>
        </w:rPr>
        <w:t xml:space="preserve">were prescribed buprenorphine or </w:t>
      </w:r>
      <w:r w:rsidR="003239E6" w:rsidRPr="00D775A7">
        <w:t>BUP/NAL</w:t>
      </w:r>
      <w:r w:rsidRPr="00D775A7">
        <w:rPr>
          <w:rFonts w:cs="Calibri"/>
          <w:snapToGrid/>
          <w:color w:val="000000" w:themeColor="text1"/>
          <w:szCs w:val="24"/>
          <w:lang w:eastAsia="en-AU"/>
        </w:rPr>
        <w:t xml:space="preserve">, with </w:t>
      </w:r>
      <w:r w:rsidR="003239E6" w:rsidRPr="00D775A7">
        <w:t>BUP/NAL</w:t>
      </w:r>
      <w:r w:rsidRPr="00D775A7">
        <w:rPr>
          <w:rFonts w:cs="Calibri"/>
          <w:snapToGrid/>
          <w:color w:val="000000" w:themeColor="text1"/>
          <w:szCs w:val="24"/>
          <w:lang w:eastAsia="en-AU"/>
        </w:rPr>
        <w:t xml:space="preserve"> identified in guidelines as a preferred treatment due to the reduced potential for diversion (</w:t>
      </w:r>
      <w:proofErr w:type="spellStart"/>
      <w:r w:rsidRPr="00D775A7">
        <w:rPr>
          <w:rFonts w:cs="Calibri"/>
          <w:snapToGrid/>
          <w:color w:val="000000" w:themeColor="text1"/>
          <w:szCs w:val="24"/>
          <w:lang w:eastAsia="en-AU"/>
        </w:rPr>
        <w:t>Gowling</w:t>
      </w:r>
      <w:proofErr w:type="spellEnd"/>
      <w:r w:rsidRPr="00D775A7">
        <w:rPr>
          <w:rFonts w:cs="Calibri"/>
          <w:snapToGrid/>
          <w:color w:val="000000" w:themeColor="text1"/>
          <w:szCs w:val="24"/>
          <w:lang w:eastAsia="en-AU"/>
        </w:rPr>
        <w:t xml:space="preserve"> 2014). </w:t>
      </w:r>
    </w:p>
    <w:p w:rsidR="00E02E7E" w:rsidRPr="00D775A7" w:rsidRDefault="00E02E7E"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snapToGrid/>
          <w:color w:val="000000" w:themeColor="text1"/>
          <w:szCs w:val="24"/>
          <w:lang w:eastAsia="en-AU"/>
        </w:rPr>
        <w:t xml:space="preserve">The submission considered that trends in prescribing and utilisation of ODT have shown a reduction in use of methadone, replaced by BUP/NAL SL film. The submission also noted that methadone patients are typically older, have been accessing ODT maintenance in the form of methadone for a longer </w:t>
      </w:r>
      <w:r w:rsidR="00D775A7" w:rsidRPr="00D775A7">
        <w:rPr>
          <w:rFonts w:cs="Calibri"/>
          <w:snapToGrid/>
          <w:color w:val="000000" w:themeColor="text1"/>
          <w:szCs w:val="24"/>
          <w:lang w:eastAsia="en-AU"/>
        </w:rPr>
        <w:t>period</w:t>
      </w:r>
      <w:r w:rsidRPr="00D775A7">
        <w:rPr>
          <w:rFonts w:cs="Calibri"/>
          <w:snapToGrid/>
          <w:color w:val="000000" w:themeColor="text1"/>
          <w:szCs w:val="24"/>
          <w:lang w:eastAsia="en-AU"/>
        </w:rPr>
        <w:t xml:space="preserve">, and display a great reluctance to change their ODT. </w:t>
      </w:r>
      <w:r w:rsidR="00B50C3F" w:rsidRPr="00D775A7">
        <w:rPr>
          <w:rFonts w:cs="Calibri"/>
          <w:snapToGrid/>
          <w:color w:val="000000" w:themeColor="text1"/>
          <w:szCs w:val="24"/>
          <w:lang w:eastAsia="en-AU"/>
        </w:rPr>
        <w:t xml:space="preserve">Buprenorphine and </w:t>
      </w:r>
      <w:r w:rsidR="003239E6" w:rsidRPr="00D775A7">
        <w:t xml:space="preserve">BUP/NAL </w:t>
      </w:r>
      <w:r w:rsidRPr="00D775A7">
        <w:rPr>
          <w:rFonts w:cs="Calibri"/>
          <w:snapToGrid/>
          <w:color w:val="000000" w:themeColor="text1"/>
          <w:szCs w:val="24"/>
          <w:lang w:eastAsia="en-AU"/>
        </w:rPr>
        <w:t>are more likely to be prescribed in younger cohorts</w:t>
      </w:r>
      <w:r w:rsidR="003E446D" w:rsidRPr="00D775A7">
        <w:rPr>
          <w:rFonts w:cs="Calibri"/>
          <w:snapToGrid/>
          <w:color w:val="000000" w:themeColor="text1"/>
          <w:szCs w:val="24"/>
          <w:lang w:eastAsia="en-AU"/>
        </w:rPr>
        <w:t>.</w:t>
      </w:r>
      <w:r w:rsidRPr="00D775A7">
        <w:rPr>
          <w:rFonts w:cs="Calibri"/>
          <w:snapToGrid/>
          <w:color w:val="000000" w:themeColor="text1"/>
          <w:szCs w:val="24"/>
          <w:lang w:eastAsia="en-AU"/>
        </w:rPr>
        <w:t xml:space="preserve"> The submission also noted that methadone induction is now uncommon compared to BUP/NAL SL film induction. The submission considered that due to this assessment, current methadone patients will largely continue methadone maintenance therapy, and not access </w:t>
      </w:r>
      <w:proofErr w:type="spellStart"/>
      <w:r w:rsidRPr="00D775A7">
        <w:rPr>
          <w:rFonts w:cs="Calibri"/>
          <w:snapToGrid/>
          <w:color w:val="000000" w:themeColor="text1"/>
          <w:szCs w:val="24"/>
          <w:lang w:eastAsia="en-AU"/>
        </w:rPr>
        <w:t>Sublocade</w:t>
      </w:r>
      <w:proofErr w:type="spellEnd"/>
      <w:r w:rsidRPr="00D775A7">
        <w:rPr>
          <w:rFonts w:cs="Calibri"/>
          <w:snapToGrid/>
          <w:color w:val="000000" w:themeColor="text1"/>
          <w:szCs w:val="24"/>
          <w:lang w:eastAsia="en-AU"/>
        </w:rPr>
        <w:t xml:space="preserve">. </w:t>
      </w:r>
      <w:r w:rsidR="0048650E" w:rsidRPr="00D775A7">
        <w:rPr>
          <w:rFonts w:cs="Calibri"/>
          <w:snapToGrid/>
          <w:color w:val="000000" w:themeColor="text1"/>
          <w:szCs w:val="24"/>
          <w:lang w:eastAsia="en-AU"/>
        </w:rPr>
        <w:t xml:space="preserve">The ESC agreed that </w:t>
      </w:r>
      <w:r w:rsidR="00801BF6" w:rsidRPr="00D775A7">
        <w:rPr>
          <w:rFonts w:cs="Calibri"/>
          <w:snapToGrid/>
          <w:color w:val="000000" w:themeColor="text1"/>
          <w:szCs w:val="24"/>
          <w:lang w:eastAsia="en-AU"/>
        </w:rPr>
        <w:t xml:space="preserve">while methadone could also be an appropriate comparator in some patients, it </w:t>
      </w:r>
      <w:r w:rsidR="0048650E" w:rsidRPr="00D775A7">
        <w:rPr>
          <w:rFonts w:cs="Calibri"/>
          <w:snapToGrid/>
          <w:color w:val="000000" w:themeColor="text1"/>
          <w:szCs w:val="24"/>
          <w:lang w:eastAsia="en-AU"/>
        </w:rPr>
        <w:t xml:space="preserve">was less likely to be replaced by </w:t>
      </w:r>
      <w:proofErr w:type="spellStart"/>
      <w:r w:rsidR="0048650E" w:rsidRPr="00D775A7">
        <w:rPr>
          <w:rFonts w:cs="Calibri"/>
          <w:snapToGrid/>
          <w:color w:val="000000" w:themeColor="text1"/>
          <w:szCs w:val="24"/>
          <w:lang w:eastAsia="en-AU"/>
        </w:rPr>
        <w:t>Sublocade</w:t>
      </w:r>
      <w:proofErr w:type="spellEnd"/>
      <w:r w:rsidR="0048650E" w:rsidRPr="00D775A7">
        <w:rPr>
          <w:rFonts w:cs="Calibri"/>
          <w:snapToGrid/>
          <w:color w:val="000000" w:themeColor="text1"/>
          <w:szCs w:val="24"/>
          <w:lang w:eastAsia="en-AU"/>
        </w:rPr>
        <w:t xml:space="preserve">. </w:t>
      </w:r>
    </w:p>
    <w:p w:rsidR="00B50C3F" w:rsidRPr="00D775A7" w:rsidRDefault="00B50C3F"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iCs/>
          <w:snapToGrid/>
          <w:color w:val="000000" w:themeColor="text1"/>
          <w:szCs w:val="24"/>
          <w:lang w:eastAsia="en-AU"/>
        </w:rPr>
        <w:t xml:space="preserve">For the requested population, the alternative therapies listed on the PBS (methadone, buprenorphine, and </w:t>
      </w:r>
      <w:r w:rsidR="00885AD3" w:rsidRPr="00D775A7">
        <w:t>BUP/NAL</w:t>
      </w:r>
      <w:r w:rsidRPr="00D775A7">
        <w:rPr>
          <w:rFonts w:cs="Calibri"/>
          <w:iCs/>
          <w:snapToGrid/>
          <w:color w:val="000000" w:themeColor="text1"/>
          <w:szCs w:val="24"/>
          <w:lang w:eastAsia="en-AU"/>
        </w:rPr>
        <w:t xml:space="preserve">) are less costly than the requested price for </w:t>
      </w:r>
      <w:proofErr w:type="spellStart"/>
      <w:r w:rsidRPr="00D775A7">
        <w:rPr>
          <w:rFonts w:cs="Calibri"/>
          <w:iCs/>
          <w:snapToGrid/>
          <w:color w:val="000000" w:themeColor="text1"/>
          <w:szCs w:val="24"/>
          <w:lang w:eastAsia="en-AU"/>
        </w:rPr>
        <w:t>Sublocade</w:t>
      </w:r>
      <w:proofErr w:type="spellEnd"/>
      <w:r w:rsidRPr="00D775A7">
        <w:rPr>
          <w:rFonts w:cs="Calibri"/>
          <w:iCs/>
          <w:snapToGrid/>
          <w:color w:val="000000" w:themeColor="text1"/>
          <w:szCs w:val="24"/>
          <w:lang w:eastAsia="en-AU"/>
        </w:rPr>
        <w:t xml:space="preserve">. If treatment with </w:t>
      </w:r>
      <w:proofErr w:type="spellStart"/>
      <w:r w:rsidRPr="00D775A7">
        <w:rPr>
          <w:rFonts w:cs="Calibri"/>
          <w:iCs/>
          <w:snapToGrid/>
          <w:color w:val="000000" w:themeColor="text1"/>
          <w:szCs w:val="24"/>
          <w:lang w:eastAsia="en-AU"/>
        </w:rPr>
        <w:t>Sublocade</w:t>
      </w:r>
      <w:proofErr w:type="spellEnd"/>
      <w:r w:rsidRPr="00D775A7">
        <w:rPr>
          <w:rFonts w:cs="Calibri"/>
          <w:iCs/>
          <w:snapToGrid/>
          <w:color w:val="000000" w:themeColor="text1"/>
          <w:szCs w:val="24"/>
          <w:lang w:eastAsia="en-AU"/>
        </w:rPr>
        <w:t xml:space="preserve"> is substantially more costly than an </w:t>
      </w:r>
      <w:r w:rsidRPr="00D775A7">
        <w:rPr>
          <w:color w:val="000000" w:themeColor="text1"/>
        </w:rPr>
        <w:t>alternative</w:t>
      </w:r>
      <w:r w:rsidRPr="00D775A7">
        <w:rPr>
          <w:rFonts w:cs="Calibri"/>
          <w:iCs/>
          <w:snapToGrid/>
          <w:color w:val="000000" w:themeColor="text1"/>
          <w:szCs w:val="24"/>
          <w:lang w:eastAsia="en-AU"/>
        </w:rPr>
        <w:t xml:space="preserve"> therapy or alternative therapies, the PBAC </w:t>
      </w:r>
      <w:r w:rsidR="00492DBD" w:rsidRPr="00D775A7">
        <w:rPr>
          <w:rFonts w:cs="Calibri"/>
          <w:iCs/>
          <w:snapToGrid/>
          <w:color w:val="000000" w:themeColor="text1"/>
          <w:szCs w:val="24"/>
          <w:lang w:eastAsia="en-AU"/>
        </w:rPr>
        <w:t xml:space="preserve">can </w:t>
      </w:r>
      <w:r w:rsidRPr="00D775A7">
        <w:rPr>
          <w:rFonts w:cs="Calibri"/>
          <w:iCs/>
          <w:snapToGrid/>
          <w:color w:val="000000" w:themeColor="text1"/>
          <w:szCs w:val="24"/>
          <w:lang w:eastAsia="en-AU"/>
        </w:rPr>
        <w:t xml:space="preserve">only recommend listing of </w:t>
      </w:r>
      <w:proofErr w:type="spellStart"/>
      <w:r w:rsidRPr="00D775A7">
        <w:rPr>
          <w:rFonts w:cs="Calibri"/>
          <w:iCs/>
          <w:snapToGrid/>
          <w:color w:val="000000" w:themeColor="text1"/>
          <w:szCs w:val="24"/>
          <w:lang w:eastAsia="en-AU"/>
        </w:rPr>
        <w:t>Sublocade</w:t>
      </w:r>
      <w:proofErr w:type="spellEnd"/>
      <w:r w:rsidRPr="00D775A7">
        <w:rPr>
          <w:rFonts w:cs="Calibri"/>
          <w:iCs/>
          <w:snapToGrid/>
          <w:color w:val="000000" w:themeColor="text1"/>
          <w:szCs w:val="24"/>
          <w:lang w:eastAsia="en-AU"/>
        </w:rPr>
        <w:t xml:space="preserve"> if it is satisfied that </w:t>
      </w:r>
      <w:proofErr w:type="spellStart"/>
      <w:r w:rsidRPr="00D775A7">
        <w:rPr>
          <w:rFonts w:cs="Calibri"/>
          <w:iCs/>
          <w:snapToGrid/>
          <w:color w:val="000000" w:themeColor="text1"/>
          <w:szCs w:val="24"/>
          <w:lang w:eastAsia="en-AU"/>
        </w:rPr>
        <w:t>Sublocade</w:t>
      </w:r>
      <w:proofErr w:type="spellEnd"/>
      <w:r w:rsidRPr="00D775A7">
        <w:rPr>
          <w:rFonts w:cs="Calibri"/>
          <w:iCs/>
          <w:snapToGrid/>
          <w:color w:val="000000" w:themeColor="text1"/>
          <w:szCs w:val="24"/>
          <w:lang w:eastAsia="en-AU"/>
        </w:rPr>
        <w:t xml:space="preserve"> provides, for some patients, a significant improvement in </w:t>
      </w:r>
      <w:r w:rsidRPr="00D775A7">
        <w:rPr>
          <w:rFonts w:cs="Calibri"/>
          <w:iCs/>
          <w:snapToGrid/>
          <w:color w:val="000000" w:themeColor="text1"/>
          <w:szCs w:val="24"/>
          <w:lang w:eastAsia="en-AU"/>
        </w:rPr>
        <w:lastRenderedPageBreak/>
        <w:t>efficacy or reduction of toxicity over the alternative therapy or therapies (</w:t>
      </w:r>
      <w:r w:rsidRPr="00D775A7">
        <w:rPr>
          <w:rFonts w:cs="Calibri"/>
          <w:i/>
          <w:iCs/>
          <w:snapToGrid/>
          <w:color w:val="000000" w:themeColor="text1"/>
          <w:szCs w:val="24"/>
          <w:lang w:eastAsia="en-AU"/>
        </w:rPr>
        <w:t>National Health Act</w:t>
      </w:r>
      <w:r w:rsidRPr="00D775A7">
        <w:rPr>
          <w:rFonts w:cs="Calibri"/>
          <w:iCs/>
          <w:snapToGrid/>
          <w:color w:val="000000" w:themeColor="text1"/>
          <w:szCs w:val="24"/>
          <w:lang w:eastAsia="en-AU"/>
        </w:rPr>
        <w:t xml:space="preserve"> </w:t>
      </w:r>
      <w:r w:rsidRPr="00D775A7">
        <w:rPr>
          <w:rFonts w:cs="Calibri"/>
          <w:i/>
          <w:iCs/>
          <w:snapToGrid/>
          <w:color w:val="000000" w:themeColor="text1"/>
          <w:szCs w:val="24"/>
          <w:lang w:eastAsia="en-AU"/>
        </w:rPr>
        <w:t>1953</w:t>
      </w:r>
      <w:r w:rsidRPr="00D775A7">
        <w:rPr>
          <w:rFonts w:cs="Calibri"/>
          <w:iCs/>
          <w:snapToGrid/>
          <w:color w:val="000000" w:themeColor="text1"/>
          <w:szCs w:val="24"/>
          <w:lang w:eastAsia="en-AU"/>
        </w:rPr>
        <w:t xml:space="preserve">, Section 101(3B)). </w:t>
      </w:r>
    </w:p>
    <w:p w:rsidR="002D53C1" w:rsidRPr="00D775A7" w:rsidRDefault="00E02E7E" w:rsidP="00E73F24">
      <w:pPr>
        <w:pStyle w:val="ListParagraph"/>
        <w:widowControl/>
        <w:numPr>
          <w:ilvl w:val="1"/>
          <w:numId w:val="2"/>
        </w:numPr>
        <w:spacing w:before="120" w:after="120"/>
        <w:ind w:left="720" w:hanging="720"/>
        <w:rPr>
          <w:rFonts w:cs="Calibri"/>
          <w:snapToGrid/>
          <w:color w:val="000000" w:themeColor="text1"/>
          <w:szCs w:val="24"/>
          <w:lang w:eastAsia="en-AU"/>
        </w:rPr>
      </w:pPr>
      <w:r w:rsidRPr="00D775A7">
        <w:rPr>
          <w:rFonts w:cs="Calibri"/>
          <w:snapToGrid/>
          <w:color w:val="000000" w:themeColor="text1"/>
          <w:szCs w:val="24"/>
          <w:lang w:eastAsia="en-AU"/>
        </w:rPr>
        <w:t xml:space="preserve">The submission also noted that </w:t>
      </w:r>
      <w:r w:rsidR="00802C8C" w:rsidRPr="00D775A7">
        <w:rPr>
          <w:rFonts w:cs="Calibri"/>
          <w:snapToGrid/>
          <w:color w:val="000000" w:themeColor="text1"/>
          <w:szCs w:val="24"/>
          <w:lang w:eastAsia="en-AU"/>
        </w:rPr>
        <w:t xml:space="preserve">buprenorphine long-acting subcutaneous injection (herein referred to as </w:t>
      </w:r>
      <w:proofErr w:type="spellStart"/>
      <w:r w:rsidR="00802C8C" w:rsidRPr="00D775A7">
        <w:rPr>
          <w:rFonts w:cs="Calibri"/>
          <w:snapToGrid/>
          <w:color w:val="000000" w:themeColor="text1"/>
          <w:szCs w:val="24"/>
          <w:lang w:eastAsia="en-AU"/>
        </w:rPr>
        <w:t>Buvidal</w:t>
      </w:r>
      <w:proofErr w:type="spellEnd"/>
      <w:r w:rsidR="00801BF6" w:rsidRPr="00D775A7">
        <w:rPr>
          <w:rFonts w:cs="Calibri"/>
          <w:snapToGrid/>
          <w:color w:val="000000" w:themeColor="text1"/>
          <w:szCs w:val="24"/>
          <w:lang w:eastAsia="en-AU"/>
        </w:rPr>
        <w:t>®</w:t>
      </w:r>
      <w:r w:rsidR="00802C8C" w:rsidRPr="00D775A7">
        <w:rPr>
          <w:rFonts w:cs="Calibri"/>
          <w:snapToGrid/>
          <w:color w:val="000000" w:themeColor="text1"/>
          <w:szCs w:val="24"/>
          <w:lang w:eastAsia="en-AU"/>
        </w:rPr>
        <w:t>)</w:t>
      </w:r>
      <w:r w:rsidRPr="00D775A7">
        <w:rPr>
          <w:rFonts w:cs="Calibri"/>
          <w:snapToGrid/>
          <w:color w:val="000000" w:themeColor="text1"/>
          <w:szCs w:val="24"/>
          <w:lang w:eastAsia="en-AU"/>
        </w:rPr>
        <w:t xml:space="preserve"> was on the agenda for the November 2018 PBAC meeting, and thus considered a ‘near market comparator.’ After lodging the </w:t>
      </w:r>
      <w:proofErr w:type="spellStart"/>
      <w:r w:rsidRPr="00D775A7">
        <w:rPr>
          <w:rFonts w:cs="Calibri"/>
          <w:snapToGrid/>
          <w:color w:val="000000" w:themeColor="text1"/>
          <w:szCs w:val="24"/>
          <w:lang w:eastAsia="en-AU"/>
        </w:rPr>
        <w:t>Sublocade</w:t>
      </w:r>
      <w:proofErr w:type="spellEnd"/>
      <w:r w:rsidRPr="00D775A7">
        <w:rPr>
          <w:rFonts w:cs="Calibri"/>
          <w:snapToGrid/>
          <w:color w:val="000000" w:themeColor="text1"/>
          <w:szCs w:val="24"/>
          <w:lang w:eastAsia="en-AU"/>
        </w:rPr>
        <w:t xml:space="preserve"> submission, the PBAC outcomes for </w:t>
      </w:r>
      <w:proofErr w:type="spellStart"/>
      <w:r w:rsidRPr="00D775A7">
        <w:rPr>
          <w:rFonts w:cs="Calibri"/>
          <w:snapToGrid/>
          <w:color w:val="000000" w:themeColor="text1"/>
          <w:szCs w:val="24"/>
          <w:lang w:eastAsia="en-AU"/>
        </w:rPr>
        <w:t>Buvidal</w:t>
      </w:r>
      <w:proofErr w:type="spellEnd"/>
      <w:r w:rsidRPr="00D775A7">
        <w:rPr>
          <w:rFonts w:cs="Calibri"/>
          <w:snapToGrid/>
          <w:color w:val="000000" w:themeColor="text1"/>
          <w:szCs w:val="24"/>
          <w:lang w:eastAsia="en-AU"/>
        </w:rPr>
        <w:t xml:space="preserve"> became available. </w:t>
      </w:r>
      <w:proofErr w:type="spellStart"/>
      <w:r w:rsidRPr="00D775A7">
        <w:rPr>
          <w:rFonts w:cs="Calibri"/>
          <w:snapToGrid/>
          <w:color w:val="000000" w:themeColor="text1"/>
          <w:szCs w:val="24"/>
          <w:lang w:eastAsia="en-AU"/>
        </w:rPr>
        <w:t>Buvidal</w:t>
      </w:r>
      <w:proofErr w:type="spellEnd"/>
      <w:r w:rsidRPr="00D775A7">
        <w:rPr>
          <w:rFonts w:cs="Calibri"/>
          <w:snapToGrid/>
          <w:color w:val="000000" w:themeColor="text1"/>
          <w:szCs w:val="24"/>
          <w:lang w:eastAsia="en-AU"/>
        </w:rPr>
        <w:t xml:space="preserve"> did not receive a positive recommendation for listing</w:t>
      </w:r>
      <w:r w:rsidR="005F2FF1" w:rsidRPr="00D775A7">
        <w:rPr>
          <w:rFonts w:cs="Calibri"/>
          <w:snapToGrid/>
          <w:color w:val="000000" w:themeColor="text1"/>
          <w:szCs w:val="24"/>
          <w:lang w:eastAsia="en-AU"/>
        </w:rPr>
        <w:t>.</w:t>
      </w:r>
      <w:r w:rsidRPr="00D775A7">
        <w:rPr>
          <w:rFonts w:cs="Calibri"/>
          <w:snapToGrid/>
          <w:color w:val="000000" w:themeColor="text1"/>
          <w:szCs w:val="24"/>
          <w:lang w:eastAsia="en-AU"/>
        </w:rPr>
        <w:t xml:space="preserve"> </w:t>
      </w:r>
      <w:r w:rsidR="005F2FF1" w:rsidRPr="00D775A7">
        <w:rPr>
          <w:rFonts w:cs="Calibri"/>
          <w:snapToGrid/>
          <w:color w:val="000000" w:themeColor="text1"/>
          <w:szCs w:val="24"/>
          <w:lang w:eastAsia="en-AU"/>
        </w:rPr>
        <w:t xml:space="preserve">A minor resubmission for </w:t>
      </w:r>
      <w:proofErr w:type="spellStart"/>
      <w:r w:rsidR="005F2FF1" w:rsidRPr="00D775A7">
        <w:rPr>
          <w:rFonts w:cs="Calibri"/>
          <w:snapToGrid/>
          <w:color w:val="000000" w:themeColor="text1"/>
          <w:szCs w:val="24"/>
          <w:lang w:eastAsia="en-AU"/>
        </w:rPr>
        <w:t>Buvidal</w:t>
      </w:r>
      <w:proofErr w:type="spellEnd"/>
      <w:r w:rsidR="005F2FF1" w:rsidRPr="00D775A7">
        <w:rPr>
          <w:rFonts w:cs="Calibri"/>
          <w:snapToGrid/>
          <w:color w:val="000000" w:themeColor="text1"/>
          <w:szCs w:val="24"/>
          <w:lang w:eastAsia="en-AU"/>
        </w:rPr>
        <w:t xml:space="preserve"> </w:t>
      </w:r>
      <w:r w:rsidR="005526A3" w:rsidRPr="00D775A7">
        <w:rPr>
          <w:rFonts w:cs="Calibri"/>
          <w:snapToGrid/>
          <w:color w:val="000000" w:themeColor="text1"/>
          <w:szCs w:val="24"/>
          <w:lang w:eastAsia="en-AU"/>
        </w:rPr>
        <w:t>was</w:t>
      </w:r>
      <w:r w:rsidR="005F2FF1" w:rsidRPr="00D775A7">
        <w:rPr>
          <w:rFonts w:cs="Calibri"/>
          <w:snapToGrid/>
          <w:color w:val="000000" w:themeColor="text1"/>
          <w:szCs w:val="24"/>
          <w:lang w:eastAsia="en-AU"/>
        </w:rPr>
        <w:t xml:space="preserve"> considered at the March 2019 PBAC meeting. </w:t>
      </w:r>
    </w:p>
    <w:p w:rsidR="00A96D6B" w:rsidRPr="00D775A7" w:rsidRDefault="00A96D6B" w:rsidP="00E73F24">
      <w:pPr>
        <w:spacing w:before="120" w:after="120"/>
        <w:ind w:firstLine="709"/>
        <w:rPr>
          <w:rFonts w:asciiTheme="minorHAnsi" w:hAnsiTheme="minorHAnsi"/>
          <w:i/>
        </w:rPr>
      </w:pPr>
      <w:r w:rsidRPr="00D775A7">
        <w:rPr>
          <w:rFonts w:asciiTheme="minorHAnsi" w:hAnsiTheme="minorHAnsi"/>
          <w:i/>
        </w:rPr>
        <w:t>For more detail on PBAC’s view, see section 7 PBAC outcome.</w:t>
      </w:r>
    </w:p>
    <w:p w:rsidR="00E02E7E" w:rsidRPr="00D775A7" w:rsidRDefault="00E02E7E" w:rsidP="00E73F24">
      <w:pPr>
        <w:pStyle w:val="PBACHeading1"/>
        <w:numPr>
          <w:ilvl w:val="0"/>
          <w:numId w:val="2"/>
        </w:numPr>
        <w:spacing w:before="120" w:after="120"/>
        <w:ind w:left="709" w:hanging="709"/>
      </w:pPr>
      <w:bookmarkStart w:id="11" w:name="_Toc535915908"/>
      <w:r w:rsidRPr="00D775A7">
        <w:t>Consideration of the evidence</w:t>
      </w:r>
      <w:bookmarkEnd w:id="11"/>
    </w:p>
    <w:p w:rsidR="00753AE6" w:rsidRPr="00D775A7" w:rsidRDefault="00753AE6" w:rsidP="00E73F24">
      <w:pPr>
        <w:spacing w:before="120" w:after="120"/>
        <w:outlineLvl w:val="1"/>
        <w:rPr>
          <w:rFonts w:asciiTheme="minorHAnsi" w:hAnsiTheme="minorHAnsi"/>
          <w:b/>
          <w:bCs/>
          <w:i/>
          <w:sz w:val="28"/>
          <w:szCs w:val="28"/>
        </w:rPr>
      </w:pPr>
      <w:r w:rsidRPr="00D775A7">
        <w:rPr>
          <w:rFonts w:asciiTheme="minorHAnsi" w:hAnsiTheme="minorHAnsi"/>
          <w:b/>
          <w:bCs/>
          <w:i/>
          <w:sz w:val="28"/>
          <w:szCs w:val="28"/>
        </w:rPr>
        <w:t>Sponsor hearing</w:t>
      </w:r>
    </w:p>
    <w:p w:rsidR="00753AE6" w:rsidRPr="00D775A7" w:rsidRDefault="00753AE6" w:rsidP="00E73F24">
      <w:pPr>
        <w:numPr>
          <w:ilvl w:val="1"/>
          <w:numId w:val="2"/>
        </w:numPr>
        <w:spacing w:before="120" w:after="120"/>
        <w:ind w:left="720" w:hanging="720"/>
        <w:rPr>
          <w:rFonts w:asciiTheme="minorHAnsi" w:hAnsiTheme="minorHAnsi"/>
          <w:bCs/>
        </w:rPr>
      </w:pPr>
      <w:r w:rsidRPr="00D775A7">
        <w:rPr>
          <w:rFonts w:asciiTheme="minorHAnsi" w:hAnsiTheme="minorHAnsi"/>
          <w:bCs/>
        </w:rPr>
        <w:t xml:space="preserve">The sponsor requested a hearing for this item. </w:t>
      </w:r>
      <w:r w:rsidR="00436760" w:rsidRPr="00D775A7">
        <w:rPr>
          <w:rFonts w:asciiTheme="minorHAnsi" w:hAnsiTheme="minorHAnsi"/>
          <w:bCs/>
        </w:rPr>
        <w:t xml:space="preserve">The </w:t>
      </w:r>
      <w:r w:rsidR="00D4593C" w:rsidRPr="00D775A7">
        <w:rPr>
          <w:rFonts w:asciiTheme="minorHAnsi" w:hAnsiTheme="minorHAnsi"/>
          <w:bCs/>
        </w:rPr>
        <w:t xml:space="preserve">sponsor </w:t>
      </w:r>
      <w:r w:rsidRPr="00D775A7">
        <w:rPr>
          <w:rFonts w:asciiTheme="minorHAnsi" w:hAnsiTheme="minorHAnsi"/>
          <w:bCs/>
        </w:rPr>
        <w:t>presented</w:t>
      </w:r>
      <w:r w:rsidR="00D4593C" w:rsidRPr="00D775A7">
        <w:rPr>
          <w:rFonts w:asciiTheme="minorHAnsi" w:hAnsiTheme="minorHAnsi"/>
          <w:bCs/>
        </w:rPr>
        <w:t xml:space="preserve"> </w:t>
      </w:r>
      <w:r w:rsidR="00492DBD" w:rsidRPr="00D775A7">
        <w:rPr>
          <w:rFonts w:asciiTheme="minorHAnsi" w:hAnsiTheme="minorHAnsi"/>
          <w:bCs/>
        </w:rPr>
        <w:t xml:space="preserve">information regarding </w:t>
      </w:r>
      <w:r w:rsidR="00D4593C" w:rsidRPr="00D775A7">
        <w:rPr>
          <w:rFonts w:asciiTheme="minorHAnsi" w:hAnsiTheme="minorHAnsi"/>
          <w:bCs/>
        </w:rPr>
        <w:t xml:space="preserve">the social impacts of opioid dependence, and highlighted key results </w:t>
      </w:r>
      <w:r w:rsidR="00492DBD" w:rsidRPr="00D775A7">
        <w:rPr>
          <w:rFonts w:asciiTheme="minorHAnsi" w:hAnsiTheme="minorHAnsi"/>
          <w:bCs/>
        </w:rPr>
        <w:t xml:space="preserve">of </w:t>
      </w:r>
      <w:r w:rsidR="00D4593C" w:rsidRPr="00D775A7">
        <w:rPr>
          <w:rFonts w:asciiTheme="minorHAnsi" w:hAnsiTheme="minorHAnsi"/>
          <w:bCs/>
        </w:rPr>
        <w:t xml:space="preserve">the clinical evidence </w:t>
      </w:r>
      <w:r w:rsidR="00492DBD" w:rsidRPr="00D775A7">
        <w:rPr>
          <w:rFonts w:asciiTheme="minorHAnsi" w:hAnsiTheme="minorHAnsi"/>
          <w:bCs/>
        </w:rPr>
        <w:t>presented in</w:t>
      </w:r>
      <w:r w:rsidR="00D4593C" w:rsidRPr="00D775A7">
        <w:rPr>
          <w:rFonts w:asciiTheme="minorHAnsi" w:hAnsiTheme="minorHAnsi"/>
          <w:bCs/>
        </w:rPr>
        <w:t xml:space="preserve"> the submission. </w:t>
      </w:r>
      <w:r w:rsidRPr="00D775A7">
        <w:rPr>
          <w:rFonts w:asciiTheme="minorHAnsi" w:hAnsiTheme="minorHAnsi"/>
          <w:bCs/>
        </w:rPr>
        <w:t>The PBAC considered that the hearing did not add substantively to the evidence presented in the submission</w:t>
      </w:r>
      <w:r w:rsidR="00D4593C" w:rsidRPr="00D775A7">
        <w:rPr>
          <w:rFonts w:asciiTheme="minorHAnsi" w:hAnsiTheme="minorHAnsi"/>
          <w:bCs/>
        </w:rPr>
        <w:t xml:space="preserve">. </w:t>
      </w:r>
    </w:p>
    <w:p w:rsidR="00753AE6" w:rsidRPr="00D775A7" w:rsidRDefault="00753AE6" w:rsidP="00E73F24">
      <w:pPr>
        <w:spacing w:before="120" w:after="120"/>
        <w:outlineLvl w:val="1"/>
        <w:rPr>
          <w:rFonts w:asciiTheme="minorHAnsi" w:hAnsiTheme="minorHAnsi"/>
          <w:b/>
          <w:bCs/>
          <w:i/>
          <w:sz w:val="28"/>
          <w:szCs w:val="28"/>
        </w:rPr>
      </w:pPr>
      <w:r w:rsidRPr="00D775A7">
        <w:rPr>
          <w:rFonts w:asciiTheme="minorHAnsi" w:hAnsiTheme="minorHAnsi"/>
          <w:b/>
          <w:bCs/>
          <w:i/>
          <w:sz w:val="28"/>
          <w:szCs w:val="28"/>
        </w:rPr>
        <w:t>Consumer comments</w:t>
      </w:r>
    </w:p>
    <w:p w:rsidR="00753AE6" w:rsidRPr="00D775A7" w:rsidRDefault="00753AE6" w:rsidP="00E73F24">
      <w:pPr>
        <w:numPr>
          <w:ilvl w:val="1"/>
          <w:numId w:val="2"/>
        </w:numPr>
        <w:spacing w:before="120" w:after="120"/>
        <w:ind w:left="720" w:hanging="720"/>
        <w:rPr>
          <w:rFonts w:asciiTheme="minorHAnsi" w:hAnsiTheme="minorHAnsi"/>
          <w:bCs/>
        </w:rPr>
      </w:pPr>
      <w:r w:rsidRPr="00D775A7">
        <w:rPr>
          <w:rFonts w:asciiTheme="minorHAnsi" w:hAnsiTheme="minorHAnsi"/>
          <w:bCs/>
        </w:rPr>
        <w:t>The PBAC noted that no consumer comme</w:t>
      </w:r>
      <w:r w:rsidR="00D4593C" w:rsidRPr="00D775A7">
        <w:rPr>
          <w:rFonts w:asciiTheme="minorHAnsi" w:hAnsiTheme="minorHAnsi"/>
          <w:bCs/>
        </w:rPr>
        <w:t>nts were received for this item</w:t>
      </w:r>
      <w:r w:rsidRPr="00D775A7">
        <w:rPr>
          <w:rFonts w:asciiTheme="minorHAnsi" w:hAnsiTheme="minorHAnsi"/>
          <w:bCs/>
        </w:rPr>
        <w:t>.</w:t>
      </w:r>
    </w:p>
    <w:p w:rsidR="00E02E7E" w:rsidRPr="00D775A7" w:rsidRDefault="00E02E7E" w:rsidP="00E73F24">
      <w:pPr>
        <w:pStyle w:val="Heading2"/>
        <w:spacing w:before="120" w:after="120"/>
      </w:pPr>
      <w:bookmarkStart w:id="12" w:name="_Toc535915909"/>
      <w:r w:rsidRPr="00D775A7">
        <w:t>Clinical trials</w:t>
      </w:r>
      <w:bookmarkEnd w:id="12"/>
    </w:p>
    <w:p w:rsidR="00E02E7E" w:rsidRPr="00D775A7" w:rsidRDefault="00706DE6" w:rsidP="00E73F24">
      <w:pPr>
        <w:pStyle w:val="ListParagraph"/>
        <w:widowControl/>
        <w:numPr>
          <w:ilvl w:val="1"/>
          <w:numId w:val="2"/>
        </w:numPr>
        <w:spacing w:before="120" w:after="120"/>
        <w:ind w:left="720" w:hanging="720"/>
      </w:pPr>
      <w:r w:rsidRPr="00D775A7">
        <w:rPr>
          <w:rFonts w:cs="Calibri"/>
          <w:snapToGrid/>
          <w:szCs w:val="24"/>
          <w:lang w:eastAsia="en-AU"/>
        </w:rPr>
        <w:t>The submission wa</w:t>
      </w:r>
      <w:r w:rsidR="00E02E7E" w:rsidRPr="00D775A7">
        <w:rPr>
          <w:rFonts w:cs="Calibri"/>
          <w:snapToGrid/>
          <w:szCs w:val="24"/>
          <w:lang w:eastAsia="en-AU"/>
        </w:rPr>
        <w:t>s based on</w:t>
      </w:r>
      <w:r w:rsidR="00E02E7E" w:rsidRPr="00D775A7">
        <w:t xml:space="preserve"> the following trials</w:t>
      </w:r>
      <w:r w:rsidR="001A723E" w:rsidRPr="00D775A7">
        <w:t>:</w:t>
      </w:r>
    </w:p>
    <w:p w:rsidR="00E02E7E" w:rsidRPr="00D775A7" w:rsidRDefault="00E02E7E" w:rsidP="00E73F24">
      <w:pPr>
        <w:pStyle w:val="ListParagraph"/>
        <w:numPr>
          <w:ilvl w:val="0"/>
          <w:numId w:val="5"/>
        </w:numPr>
        <w:spacing w:before="120" w:after="120"/>
        <w:ind w:left="1134" w:hanging="425"/>
      </w:pPr>
      <w:r w:rsidRPr="00D775A7">
        <w:t xml:space="preserve">RB-US-13-0001 (n=504), a randomised double-blind trial comparing </w:t>
      </w:r>
      <w:proofErr w:type="spellStart"/>
      <w:r w:rsidRPr="00D775A7">
        <w:t>Sublocade</w:t>
      </w:r>
      <w:proofErr w:type="spellEnd"/>
      <w:r w:rsidRPr="00D775A7">
        <w:t xml:space="preserve"> to placebo over 24 weeks in m</w:t>
      </w:r>
      <w:r w:rsidR="00706DE6" w:rsidRPr="00D775A7">
        <w:t>ultiple centres in the USA;</w:t>
      </w:r>
    </w:p>
    <w:p w:rsidR="00E02E7E" w:rsidRPr="00D775A7" w:rsidRDefault="00E02E7E" w:rsidP="00E73F24">
      <w:pPr>
        <w:pStyle w:val="ListParagraph"/>
        <w:numPr>
          <w:ilvl w:val="0"/>
          <w:numId w:val="5"/>
        </w:numPr>
        <w:spacing w:before="120" w:after="120"/>
        <w:ind w:left="1134" w:hanging="425"/>
      </w:pPr>
      <w:r w:rsidRPr="00D775A7">
        <w:t xml:space="preserve">Rosenthal (2013; n=287), a randomised double-blind trial comparing </w:t>
      </w:r>
      <w:r w:rsidR="00802C8C" w:rsidRPr="00D775A7">
        <w:t xml:space="preserve">four </w:t>
      </w:r>
      <w:r w:rsidRPr="00D775A7">
        <w:t>buprenorphine implants, four placebo implants and open-label BUP/NAL S</w:t>
      </w:r>
      <w:r w:rsidR="00706DE6" w:rsidRPr="00D775A7">
        <w:t>L</w:t>
      </w:r>
      <w:r w:rsidRPr="00D775A7">
        <w:t xml:space="preserve"> tablet</w:t>
      </w:r>
      <w:r w:rsidR="00706DE6" w:rsidRPr="00D775A7">
        <w:t xml:space="preserve"> in multiple centres in the USA; and</w:t>
      </w:r>
      <w:r w:rsidRPr="00D775A7">
        <w:t xml:space="preserve"> </w:t>
      </w:r>
    </w:p>
    <w:p w:rsidR="00E02E7E" w:rsidRPr="00D775A7" w:rsidRDefault="00E02E7E" w:rsidP="00E73F24">
      <w:pPr>
        <w:pStyle w:val="ListParagraph"/>
        <w:numPr>
          <w:ilvl w:val="0"/>
          <w:numId w:val="5"/>
        </w:numPr>
        <w:spacing w:before="120" w:after="120"/>
        <w:ind w:left="1134" w:hanging="425"/>
      </w:pPr>
      <w:proofErr w:type="spellStart"/>
      <w:r w:rsidRPr="00D775A7">
        <w:t>Lofwall</w:t>
      </w:r>
      <w:proofErr w:type="spellEnd"/>
      <w:r w:rsidRPr="00D775A7">
        <w:t xml:space="preserve"> (2018; n=428), a randomised double-blind trial comparing BUP/NAL SL tablets versus </w:t>
      </w:r>
      <w:proofErr w:type="spellStart"/>
      <w:r w:rsidRPr="00D775A7">
        <w:t>Buvidal</w:t>
      </w:r>
      <w:proofErr w:type="spellEnd"/>
      <w:r w:rsidRPr="00D775A7">
        <w:t xml:space="preserve"> at multiple centres in the United States.</w:t>
      </w:r>
    </w:p>
    <w:p w:rsidR="00E02E7E" w:rsidRPr="00D775A7" w:rsidRDefault="00E02E7E" w:rsidP="00E73F24">
      <w:pPr>
        <w:pStyle w:val="ListParagraph"/>
        <w:widowControl/>
        <w:numPr>
          <w:ilvl w:val="1"/>
          <w:numId w:val="2"/>
        </w:numPr>
        <w:spacing w:before="120" w:after="120"/>
        <w:ind w:left="720" w:hanging="720"/>
      </w:pPr>
      <w:r w:rsidRPr="00D775A7">
        <w:t xml:space="preserve">The submission also included discussion of three </w:t>
      </w:r>
      <w:r w:rsidR="00D775A7" w:rsidRPr="00D775A7">
        <w:t>long-term</w:t>
      </w:r>
      <w:r w:rsidRPr="00D775A7">
        <w:t xml:space="preserve"> safety studies: RB-US-13-0003; INDV-6000-301 and RECOVER.</w:t>
      </w:r>
    </w:p>
    <w:p w:rsidR="00C42D38" w:rsidRDefault="00E02E7E" w:rsidP="00E73F24">
      <w:pPr>
        <w:pStyle w:val="ListParagraph"/>
        <w:widowControl/>
        <w:numPr>
          <w:ilvl w:val="1"/>
          <w:numId w:val="2"/>
        </w:numPr>
        <w:spacing w:before="120" w:after="120"/>
        <w:ind w:left="720" w:hanging="720"/>
        <w:rPr>
          <w:rFonts w:asciiTheme="minorHAnsi" w:hAnsiTheme="minorHAnsi" w:cstheme="minorHAnsi"/>
          <w:snapToGrid/>
          <w:szCs w:val="24"/>
          <w:lang w:eastAsia="en-AU"/>
        </w:rPr>
      </w:pPr>
      <w:r w:rsidRPr="00D775A7">
        <w:rPr>
          <w:rFonts w:cs="Calibri"/>
          <w:snapToGrid/>
          <w:szCs w:val="24"/>
          <w:lang w:eastAsia="en-AU"/>
        </w:rPr>
        <w:t xml:space="preserve">Details of the trials and long-term safety studies are presented in the submission are </w:t>
      </w:r>
      <w:r w:rsidRPr="00D775A7">
        <w:rPr>
          <w:rFonts w:asciiTheme="minorHAnsi" w:hAnsiTheme="minorHAnsi" w:cstheme="minorHAnsi"/>
          <w:snapToGrid/>
          <w:szCs w:val="24"/>
          <w:lang w:eastAsia="en-AU"/>
        </w:rPr>
        <w:t xml:space="preserve">provided in </w:t>
      </w:r>
      <w:r w:rsidR="00BC72D0" w:rsidRPr="00D775A7">
        <w:rPr>
          <w:rFonts w:asciiTheme="minorHAnsi" w:hAnsiTheme="minorHAnsi" w:cstheme="minorHAnsi"/>
          <w:snapToGrid/>
          <w:szCs w:val="24"/>
          <w:lang w:eastAsia="en-AU"/>
        </w:rPr>
        <w:t>Table 2</w:t>
      </w:r>
      <w:r w:rsidR="001A723E" w:rsidRPr="00D775A7">
        <w:rPr>
          <w:rFonts w:asciiTheme="minorHAnsi" w:hAnsiTheme="minorHAnsi" w:cstheme="minorHAnsi"/>
          <w:snapToGrid/>
          <w:szCs w:val="24"/>
          <w:lang w:eastAsia="en-AU"/>
        </w:rPr>
        <w:t>.</w:t>
      </w:r>
    </w:p>
    <w:p w:rsidR="00E45088" w:rsidRPr="00C42D38" w:rsidRDefault="00C42D38" w:rsidP="00C42D38">
      <w:pPr>
        <w:rPr>
          <w:snapToGrid/>
          <w:lang w:eastAsia="en-AU"/>
        </w:rPr>
      </w:pPr>
      <w:r>
        <w:rPr>
          <w:snapToGrid/>
          <w:lang w:eastAsia="en-AU"/>
        </w:rPr>
        <w:br w:type="page"/>
      </w:r>
    </w:p>
    <w:p w:rsidR="00E02E7E" w:rsidRPr="00D775A7" w:rsidRDefault="00E45088" w:rsidP="00E45088">
      <w:pPr>
        <w:pStyle w:val="Caption"/>
        <w:spacing w:after="0"/>
        <w:rPr>
          <w:rStyle w:val="CommentReference"/>
          <w:b/>
          <w:color w:val="auto"/>
          <w:szCs w:val="20"/>
        </w:rPr>
      </w:pPr>
      <w:bookmarkStart w:id="13" w:name="_Ref534629011"/>
      <w:bookmarkStart w:id="14" w:name="_Ref534629006"/>
      <w:r w:rsidRPr="00D775A7">
        <w:rPr>
          <w:rFonts w:ascii="Arial Narrow" w:hAnsi="Arial Narrow"/>
          <w:color w:val="auto"/>
          <w:sz w:val="20"/>
          <w:szCs w:val="20"/>
        </w:rPr>
        <w:lastRenderedPageBreak/>
        <w:t xml:space="preserve">Table </w:t>
      </w:r>
      <w:r w:rsidR="00BC72D0" w:rsidRPr="00D775A7">
        <w:rPr>
          <w:rFonts w:ascii="Arial Narrow" w:hAnsi="Arial Narrow"/>
          <w:color w:val="auto"/>
          <w:sz w:val="20"/>
          <w:szCs w:val="20"/>
        </w:rPr>
        <w:t>2</w:t>
      </w:r>
      <w:bookmarkEnd w:id="13"/>
      <w:r w:rsidRPr="00D775A7">
        <w:rPr>
          <w:rFonts w:ascii="Arial Narrow" w:hAnsi="Arial Narrow"/>
          <w:color w:val="auto"/>
          <w:sz w:val="20"/>
          <w:szCs w:val="20"/>
        </w:rPr>
        <w:t>: Trials and associated reported presented in the submission</w:t>
      </w:r>
      <w:bookmarkEnd w:id="14"/>
    </w:p>
    <w:tbl>
      <w:tblPr>
        <w:tblStyle w:val="TableGrid"/>
        <w:tblW w:w="5000" w:type="pct"/>
        <w:tblLook w:val="04A0" w:firstRow="1" w:lastRow="0" w:firstColumn="1" w:lastColumn="0" w:noHBand="0" w:noVBand="1"/>
        <w:tblCaption w:val="Table 2: Trials and associated reported presented in the submission"/>
      </w:tblPr>
      <w:tblGrid>
        <w:gridCol w:w="1436"/>
        <w:gridCol w:w="4797"/>
        <w:gridCol w:w="2784"/>
      </w:tblGrid>
      <w:tr w:rsidR="00E02E7E" w:rsidRPr="00D775A7" w:rsidTr="003F1DB9">
        <w:trPr>
          <w:tblHeader/>
        </w:trPr>
        <w:tc>
          <w:tcPr>
            <w:tcW w:w="796" w:type="pct"/>
          </w:tcPr>
          <w:p w:rsidR="00E02E7E" w:rsidRPr="00D775A7" w:rsidRDefault="00E02E7E" w:rsidP="00087F16">
            <w:pPr>
              <w:pStyle w:val="Tabletext"/>
              <w:rPr>
                <w:b/>
              </w:rPr>
            </w:pPr>
            <w:r w:rsidRPr="00D775A7">
              <w:rPr>
                <w:b/>
              </w:rPr>
              <w:t>Trial ID</w:t>
            </w:r>
          </w:p>
        </w:tc>
        <w:tc>
          <w:tcPr>
            <w:tcW w:w="2660" w:type="pct"/>
          </w:tcPr>
          <w:p w:rsidR="00E02E7E" w:rsidRPr="00D775A7" w:rsidRDefault="00E02E7E" w:rsidP="00087F16">
            <w:pPr>
              <w:pStyle w:val="Tabletext"/>
              <w:jc w:val="center"/>
              <w:rPr>
                <w:b/>
              </w:rPr>
            </w:pPr>
            <w:r w:rsidRPr="00D775A7">
              <w:rPr>
                <w:b/>
              </w:rPr>
              <w:t>Protocol title/ Publication title</w:t>
            </w:r>
          </w:p>
        </w:tc>
        <w:tc>
          <w:tcPr>
            <w:tcW w:w="1544" w:type="pct"/>
          </w:tcPr>
          <w:p w:rsidR="00E02E7E" w:rsidRPr="00D775A7" w:rsidRDefault="00E02E7E" w:rsidP="00087F16">
            <w:pPr>
              <w:pStyle w:val="Tabletext"/>
              <w:jc w:val="center"/>
              <w:rPr>
                <w:b/>
              </w:rPr>
            </w:pPr>
            <w:r w:rsidRPr="00D775A7">
              <w:rPr>
                <w:b/>
              </w:rPr>
              <w:t>Publication citation</w:t>
            </w:r>
          </w:p>
        </w:tc>
      </w:tr>
      <w:tr w:rsidR="00E02E7E" w:rsidRPr="00D775A7" w:rsidTr="00C23DF8">
        <w:tc>
          <w:tcPr>
            <w:tcW w:w="5000" w:type="pct"/>
            <w:gridSpan w:val="3"/>
          </w:tcPr>
          <w:p w:rsidR="00E02E7E" w:rsidRPr="00D775A7" w:rsidRDefault="00E02E7E" w:rsidP="00087F16">
            <w:pPr>
              <w:pStyle w:val="Tabletext"/>
              <w:rPr>
                <w:b/>
              </w:rPr>
            </w:pPr>
            <w:r w:rsidRPr="00D775A7">
              <w:rPr>
                <w:b/>
              </w:rPr>
              <w:t>Randomised controlled trials</w:t>
            </w:r>
          </w:p>
        </w:tc>
      </w:tr>
      <w:tr w:rsidR="00E02E7E" w:rsidRPr="00D775A7" w:rsidTr="00C23DF8">
        <w:tc>
          <w:tcPr>
            <w:tcW w:w="796" w:type="pct"/>
            <w:vMerge w:val="restart"/>
          </w:tcPr>
          <w:p w:rsidR="00E02E7E" w:rsidRPr="00D775A7" w:rsidRDefault="00E02E7E" w:rsidP="00087F16">
            <w:pPr>
              <w:pStyle w:val="Tabletext"/>
              <w:spacing w:after="40"/>
            </w:pPr>
            <w:r w:rsidRPr="00D775A7">
              <w:t xml:space="preserve">RB-US-13-0001 </w:t>
            </w:r>
          </w:p>
          <w:p w:rsidR="00E02E7E" w:rsidRPr="00D775A7" w:rsidRDefault="00E02E7E" w:rsidP="00087F16">
            <w:pPr>
              <w:pStyle w:val="Tabletext"/>
              <w:spacing w:after="40"/>
              <w:rPr>
                <w:rFonts w:ascii="Times" w:hAnsi="Times"/>
              </w:rPr>
            </w:pPr>
            <w:r w:rsidRPr="00D775A7">
              <w:t>(NCT02357901)</w:t>
            </w:r>
          </w:p>
        </w:tc>
        <w:tc>
          <w:tcPr>
            <w:tcW w:w="2660" w:type="pct"/>
          </w:tcPr>
          <w:p w:rsidR="00E02E7E" w:rsidRPr="00D775A7" w:rsidRDefault="00E02E7E" w:rsidP="00087F16">
            <w:pPr>
              <w:pStyle w:val="Tabletext"/>
              <w:spacing w:after="40"/>
              <w:rPr>
                <w:szCs w:val="18"/>
              </w:rPr>
            </w:pPr>
            <w:r w:rsidRPr="00D775A7">
              <w:rPr>
                <w:szCs w:val="18"/>
              </w:rPr>
              <w:t xml:space="preserve">Clinical Study Report RB-US-13-0001: A randomized, double-blind, placebo-controlled, </w:t>
            </w:r>
            <w:proofErr w:type="spellStart"/>
            <w:r w:rsidRPr="00D775A7">
              <w:rPr>
                <w:szCs w:val="18"/>
              </w:rPr>
              <w:t>multicenter</w:t>
            </w:r>
            <w:proofErr w:type="spellEnd"/>
            <w:r w:rsidRPr="00D775A7">
              <w:rPr>
                <w:szCs w:val="18"/>
              </w:rPr>
              <w:t xml:space="preserve"> study to assess the efficacy, safety, and tolerability of multiple subcutaneous injections of depot buprenorphine (RBP-6000 [100 mg and 300 mg]) over 24 weeks in treatment-seeking subjects with opioid use disorder.</w:t>
            </w:r>
          </w:p>
        </w:tc>
        <w:tc>
          <w:tcPr>
            <w:tcW w:w="1544" w:type="pct"/>
          </w:tcPr>
          <w:p w:rsidR="00E02E7E" w:rsidRPr="00D775A7" w:rsidRDefault="00E02E7E" w:rsidP="00087F16">
            <w:pPr>
              <w:pStyle w:val="Tabletext"/>
              <w:spacing w:after="40"/>
              <w:rPr>
                <w:rFonts w:ascii="Times" w:hAnsi="Times"/>
              </w:rPr>
            </w:pPr>
            <w:r w:rsidRPr="00D775A7">
              <w:rPr>
                <w:szCs w:val="18"/>
              </w:rPr>
              <w:t>03 March 2017</w:t>
            </w:r>
          </w:p>
        </w:tc>
      </w:tr>
      <w:tr w:rsidR="00E02E7E" w:rsidRPr="00D775A7" w:rsidTr="00C23DF8">
        <w:tc>
          <w:tcPr>
            <w:tcW w:w="796" w:type="pct"/>
            <w:vMerge/>
          </w:tcPr>
          <w:p w:rsidR="00E02E7E" w:rsidRPr="00D775A7" w:rsidRDefault="00E02E7E" w:rsidP="00087F16">
            <w:pPr>
              <w:pStyle w:val="Tabletext"/>
              <w:spacing w:after="40"/>
            </w:pPr>
          </w:p>
        </w:tc>
        <w:tc>
          <w:tcPr>
            <w:tcW w:w="2660" w:type="pct"/>
          </w:tcPr>
          <w:p w:rsidR="00E02E7E" w:rsidRPr="00D775A7" w:rsidRDefault="00E02E7E" w:rsidP="00087F16">
            <w:pPr>
              <w:pStyle w:val="Tabletext"/>
              <w:spacing w:after="40"/>
              <w:rPr>
                <w:szCs w:val="18"/>
                <w:lang w:eastAsia="en-AU"/>
              </w:rPr>
            </w:pPr>
            <w:proofErr w:type="spellStart"/>
            <w:r w:rsidRPr="00D775A7">
              <w:rPr>
                <w:szCs w:val="18"/>
                <w:lang w:eastAsia="en-AU"/>
              </w:rPr>
              <w:t>Laffont</w:t>
            </w:r>
            <w:proofErr w:type="spellEnd"/>
            <w:r w:rsidRPr="00D775A7">
              <w:rPr>
                <w:szCs w:val="18"/>
                <w:lang w:eastAsia="en-AU"/>
              </w:rPr>
              <w:t xml:space="preserve"> C, </w:t>
            </w:r>
            <w:proofErr w:type="spellStart"/>
            <w:r w:rsidRPr="00D775A7">
              <w:rPr>
                <w:szCs w:val="18"/>
                <w:lang w:eastAsia="en-AU"/>
              </w:rPr>
              <w:t>Ngaimisi</w:t>
            </w:r>
            <w:proofErr w:type="spellEnd"/>
            <w:r w:rsidRPr="00D775A7">
              <w:rPr>
                <w:szCs w:val="18"/>
                <w:lang w:eastAsia="en-AU"/>
              </w:rPr>
              <w:t xml:space="preserve"> E, </w:t>
            </w:r>
            <w:proofErr w:type="spellStart"/>
            <w:r w:rsidRPr="00D775A7">
              <w:rPr>
                <w:szCs w:val="18"/>
                <w:lang w:eastAsia="en-AU"/>
              </w:rPr>
              <w:t>Gopalakrishnan</w:t>
            </w:r>
            <w:proofErr w:type="spellEnd"/>
            <w:r w:rsidRPr="00D775A7">
              <w:rPr>
                <w:szCs w:val="18"/>
                <w:lang w:eastAsia="en-AU"/>
              </w:rPr>
              <w:t xml:space="preserve"> M, et al. Predictors of retention in treatment for opioid use disorder following administration of RBP-6000 vs. Placebo. </w:t>
            </w:r>
          </w:p>
        </w:tc>
        <w:tc>
          <w:tcPr>
            <w:tcW w:w="1544" w:type="pct"/>
          </w:tcPr>
          <w:p w:rsidR="00E02E7E" w:rsidRPr="00D775A7" w:rsidRDefault="00E02E7E" w:rsidP="00087F16">
            <w:pPr>
              <w:pStyle w:val="Tabletext"/>
              <w:spacing w:after="40"/>
              <w:rPr>
                <w:szCs w:val="18"/>
                <w:lang w:eastAsia="en-AU"/>
              </w:rPr>
            </w:pPr>
            <w:r w:rsidRPr="00D775A7">
              <w:rPr>
                <w:szCs w:val="18"/>
                <w:lang w:eastAsia="en-AU"/>
              </w:rPr>
              <w:t>28th Annual Meeting and Symposium of the American Academy of Addiction Psychiatry, AAAP 2017. United States. 2018</w:t>
            </w:r>
            <w:proofErr w:type="gramStart"/>
            <w:r w:rsidRPr="00D775A7">
              <w:rPr>
                <w:szCs w:val="18"/>
                <w:lang w:eastAsia="en-AU"/>
              </w:rPr>
              <w:t>;27</w:t>
            </w:r>
            <w:proofErr w:type="gramEnd"/>
            <w:r w:rsidRPr="00D775A7">
              <w:rPr>
                <w:szCs w:val="18"/>
                <w:lang w:eastAsia="en-AU"/>
              </w:rPr>
              <w:t>(4):328.</w:t>
            </w:r>
          </w:p>
        </w:tc>
      </w:tr>
      <w:tr w:rsidR="00E02E7E" w:rsidRPr="00D775A7" w:rsidTr="00C23DF8">
        <w:tc>
          <w:tcPr>
            <w:tcW w:w="796" w:type="pct"/>
            <w:vMerge/>
          </w:tcPr>
          <w:p w:rsidR="00E02E7E" w:rsidRPr="00D775A7" w:rsidRDefault="00E02E7E" w:rsidP="00087F16">
            <w:pPr>
              <w:pStyle w:val="Tabletext"/>
              <w:spacing w:after="40"/>
            </w:pPr>
          </w:p>
        </w:tc>
        <w:tc>
          <w:tcPr>
            <w:tcW w:w="2660" w:type="pct"/>
          </w:tcPr>
          <w:p w:rsidR="00E02E7E" w:rsidRPr="00D775A7" w:rsidRDefault="00E02E7E" w:rsidP="00087F16">
            <w:pPr>
              <w:pStyle w:val="Tabletext"/>
              <w:spacing w:after="40"/>
              <w:rPr>
                <w:szCs w:val="18"/>
                <w:lang w:eastAsia="en-AU"/>
              </w:rPr>
            </w:pPr>
            <w:r w:rsidRPr="00D775A7">
              <w:rPr>
                <w:szCs w:val="18"/>
                <w:lang w:eastAsia="en-AU"/>
              </w:rPr>
              <w:t xml:space="preserve">Haight B, </w:t>
            </w:r>
            <w:proofErr w:type="spellStart"/>
            <w:r w:rsidRPr="00D775A7">
              <w:rPr>
                <w:szCs w:val="18"/>
                <w:lang w:eastAsia="en-AU"/>
              </w:rPr>
              <w:t>Andorn</w:t>
            </w:r>
            <w:proofErr w:type="spellEnd"/>
            <w:r w:rsidRPr="00D775A7">
              <w:rPr>
                <w:szCs w:val="18"/>
                <w:lang w:eastAsia="en-AU"/>
              </w:rPr>
              <w:t xml:space="preserve"> A, </w:t>
            </w:r>
            <w:proofErr w:type="spellStart"/>
            <w:r w:rsidRPr="00D775A7">
              <w:rPr>
                <w:szCs w:val="18"/>
                <w:lang w:eastAsia="en-AU"/>
              </w:rPr>
              <w:t>Laffont</w:t>
            </w:r>
            <w:proofErr w:type="spellEnd"/>
            <w:r w:rsidRPr="00D775A7">
              <w:rPr>
                <w:szCs w:val="18"/>
                <w:lang w:eastAsia="en-AU"/>
              </w:rPr>
              <w:t xml:space="preserve"> C, et al. RBP-6000 buprenorphine monthly depot demonstrates sustained clinical efficacy and safety in phase III opioid use disorder trials. </w:t>
            </w:r>
          </w:p>
        </w:tc>
        <w:tc>
          <w:tcPr>
            <w:tcW w:w="1544" w:type="pct"/>
          </w:tcPr>
          <w:p w:rsidR="00E02E7E" w:rsidRPr="00D775A7" w:rsidRDefault="00E02E7E" w:rsidP="00087F16">
            <w:pPr>
              <w:pStyle w:val="Tabletext"/>
              <w:spacing w:after="40"/>
              <w:rPr>
                <w:szCs w:val="18"/>
                <w:lang w:eastAsia="en-AU"/>
              </w:rPr>
            </w:pPr>
            <w:r w:rsidRPr="00D775A7">
              <w:rPr>
                <w:szCs w:val="18"/>
                <w:lang w:eastAsia="en-AU"/>
              </w:rPr>
              <w:t xml:space="preserve">Conference: 56th Annual Meeting of the American College of </w:t>
            </w:r>
            <w:proofErr w:type="spellStart"/>
            <w:r w:rsidRPr="00D775A7">
              <w:rPr>
                <w:szCs w:val="18"/>
                <w:lang w:eastAsia="en-AU"/>
              </w:rPr>
              <w:t>Neuropsychopharmacology</w:t>
            </w:r>
            <w:proofErr w:type="spellEnd"/>
            <w:r w:rsidRPr="00D775A7">
              <w:rPr>
                <w:szCs w:val="18"/>
                <w:lang w:eastAsia="en-AU"/>
              </w:rPr>
              <w:t>, ACNP 2017. United States. 2017</w:t>
            </w:r>
            <w:proofErr w:type="gramStart"/>
            <w:r w:rsidRPr="00D775A7">
              <w:rPr>
                <w:szCs w:val="18"/>
                <w:lang w:eastAsia="en-AU"/>
              </w:rPr>
              <w:t>;43</w:t>
            </w:r>
            <w:proofErr w:type="gramEnd"/>
            <w:r w:rsidRPr="00D775A7">
              <w:rPr>
                <w:szCs w:val="18"/>
                <w:lang w:eastAsia="en-AU"/>
              </w:rPr>
              <w:t>(Supplement 1):S463-S464.</w:t>
            </w:r>
          </w:p>
        </w:tc>
      </w:tr>
      <w:tr w:rsidR="00E02E7E" w:rsidRPr="00D775A7" w:rsidTr="00C23DF8">
        <w:tc>
          <w:tcPr>
            <w:tcW w:w="796" w:type="pct"/>
            <w:vMerge/>
          </w:tcPr>
          <w:p w:rsidR="00E02E7E" w:rsidRPr="00D775A7" w:rsidRDefault="00E02E7E" w:rsidP="00087F16">
            <w:pPr>
              <w:pStyle w:val="Tabletext"/>
              <w:spacing w:after="40"/>
            </w:pPr>
          </w:p>
        </w:tc>
        <w:tc>
          <w:tcPr>
            <w:tcW w:w="2660" w:type="pct"/>
          </w:tcPr>
          <w:p w:rsidR="00E02E7E" w:rsidRPr="00D775A7" w:rsidRDefault="00E02E7E" w:rsidP="00087F16">
            <w:pPr>
              <w:pStyle w:val="Tabletext"/>
              <w:spacing w:after="40"/>
              <w:rPr>
                <w:szCs w:val="18"/>
                <w:lang w:eastAsia="en-AU"/>
              </w:rPr>
            </w:pPr>
            <w:proofErr w:type="spellStart"/>
            <w:r w:rsidRPr="00D775A7">
              <w:rPr>
                <w:szCs w:val="18"/>
                <w:lang w:eastAsia="en-AU"/>
              </w:rPr>
              <w:t>Nadipelli</w:t>
            </w:r>
            <w:proofErr w:type="spellEnd"/>
            <w:r w:rsidRPr="00D775A7">
              <w:rPr>
                <w:szCs w:val="18"/>
                <w:lang w:eastAsia="en-AU"/>
              </w:rPr>
              <w:t xml:space="preserve"> VR, </w:t>
            </w:r>
            <w:proofErr w:type="spellStart"/>
            <w:r w:rsidRPr="00D775A7">
              <w:rPr>
                <w:szCs w:val="18"/>
                <w:lang w:eastAsia="en-AU"/>
              </w:rPr>
              <w:t>Solem</w:t>
            </w:r>
            <w:proofErr w:type="spellEnd"/>
            <w:r w:rsidRPr="00D775A7">
              <w:rPr>
                <w:szCs w:val="18"/>
                <w:lang w:eastAsia="en-AU"/>
              </w:rPr>
              <w:t xml:space="preserve"> CT, </w:t>
            </w:r>
            <w:proofErr w:type="spellStart"/>
            <w:r w:rsidRPr="00D775A7">
              <w:rPr>
                <w:szCs w:val="18"/>
                <w:lang w:eastAsia="en-AU"/>
              </w:rPr>
              <w:t>Ronquest</w:t>
            </w:r>
            <w:proofErr w:type="spellEnd"/>
            <w:r w:rsidRPr="00D775A7">
              <w:rPr>
                <w:szCs w:val="18"/>
                <w:lang w:eastAsia="en-AU"/>
              </w:rPr>
              <w:t xml:space="preserve"> NA, et al. Impact of RBP-6000 on Patient-reported Outcomes in Patients with Opioid Use Disorder: Results of a Randomized, Placebo-controlled, Phase 3 Study. </w:t>
            </w:r>
          </w:p>
        </w:tc>
        <w:tc>
          <w:tcPr>
            <w:tcW w:w="1544" w:type="pct"/>
          </w:tcPr>
          <w:p w:rsidR="00E02E7E" w:rsidRPr="00D775A7" w:rsidRDefault="00E02E7E" w:rsidP="00087F16">
            <w:pPr>
              <w:pStyle w:val="Tabletext"/>
              <w:spacing w:after="40"/>
              <w:rPr>
                <w:szCs w:val="18"/>
                <w:lang w:eastAsia="en-AU"/>
              </w:rPr>
            </w:pPr>
            <w:r w:rsidRPr="00D775A7">
              <w:rPr>
                <w:szCs w:val="18"/>
                <w:lang w:eastAsia="en-AU"/>
              </w:rPr>
              <w:t>The 41st Association of Medical Education and Research in Substance Abuse (AMERSA) Annual National Conference, Washington, D.C., November 2 - 4, 2017.</w:t>
            </w:r>
          </w:p>
        </w:tc>
      </w:tr>
      <w:tr w:rsidR="00E02E7E" w:rsidRPr="00D775A7" w:rsidTr="00C23DF8">
        <w:tc>
          <w:tcPr>
            <w:tcW w:w="796" w:type="pct"/>
          </w:tcPr>
          <w:p w:rsidR="00E02E7E" w:rsidRPr="00D775A7" w:rsidRDefault="00E02E7E" w:rsidP="00087F16">
            <w:pPr>
              <w:pStyle w:val="Tabletext"/>
              <w:spacing w:after="40"/>
            </w:pPr>
            <w:r w:rsidRPr="00D775A7">
              <w:t>Rosenthal 2013</w:t>
            </w:r>
          </w:p>
        </w:tc>
        <w:tc>
          <w:tcPr>
            <w:tcW w:w="2660" w:type="pct"/>
          </w:tcPr>
          <w:p w:rsidR="00E02E7E" w:rsidRPr="00D775A7" w:rsidRDefault="00E02E7E" w:rsidP="00087F16">
            <w:pPr>
              <w:pStyle w:val="Tabletext"/>
              <w:spacing w:after="40"/>
              <w:rPr>
                <w:szCs w:val="18"/>
              </w:rPr>
            </w:pPr>
            <w:r w:rsidRPr="00D775A7">
              <w:rPr>
                <w:szCs w:val="18"/>
              </w:rPr>
              <w:t xml:space="preserve">Rosenthal RN, Ling W, </w:t>
            </w:r>
            <w:proofErr w:type="spellStart"/>
            <w:r w:rsidRPr="00D775A7">
              <w:rPr>
                <w:szCs w:val="18"/>
              </w:rPr>
              <w:t>Casadonte</w:t>
            </w:r>
            <w:proofErr w:type="spellEnd"/>
            <w:r w:rsidRPr="00D775A7">
              <w:rPr>
                <w:szCs w:val="18"/>
              </w:rPr>
              <w:t xml:space="preserve"> P, et al. Buprenorphine implants for treatment of opioid dependence: randomized comparison to placebo and sublingual buprenorphine/naloxone</w:t>
            </w:r>
          </w:p>
        </w:tc>
        <w:tc>
          <w:tcPr>
            <w:tcW w:w="1544" w:type="pct"/>
          </w:tcPr>
          <w:p w:rsidR="00E02E7E" w:rsidRPr="00D775A7" w:rsidRDefault="00E02E7E" w:rsidP="00087F16">
            <w:pPr>
              <w:pStyle w:val="Tabletext"/>
              <w:spacing w:after="40"/>
            </w:pPr>
            <w:r w:rsidRPr="00D775A7">
              <w:rPr>
                <w:szCs w:val="18"/>
              </w:rPr>
              <w:t>Addiction. 2013</w:t>
            </w:r>
            <w:proofErr w:type="gramStart"/>
            <w:r w:rsidRPr="00D775A7">
              <w:rPr>
                <w:szCs w:val="18"/>
              </w:rPr>
              <w:t>;108</w:t>
            </w:r>
            <w:proofErr w:type="gramEnd"/>
            <w:r w:rsidRPr="00D775A7">
              <w:rPr>
                <w:szCs w:val="18"/>
              </w:rPr>
              <w:t>(12):2141-2149.</w:t>
            </w:r>
          </w:p>
        </w:tc>
      </w:tr>
      <w:tr w:rsidR="00E02E7E" w:rsidRPr="00D775A7" w:rsidTr="00C23DF8">
        <w:tc>
          <w:tcPr>
            <w:tcW w:w="796" w:type="pct"/>
          </w:tcPr>
          <w:p w:rsidR="00E02E7E" w:rsidRPr="00D775A7" w:rsidRDefault="00E02E7E" w:rsidP="00087F16">
            <w:pPr>
              <w:pStyle w:val="Tabletext"/>
              <w:spacing w:after="40"/>
            </w:pPr>
            <w:proofErr w:type="spellStart"/>
            <w:r w:rsidRPr="00D775A7">
              <w:t>Lofwall</w:t>
            </w:r>
            <w:proofErr w:type="spellEnd"/>
            <w:r w:rsidRPr="00D775A7">
              <w:t xml:space="preserve"> 2018</w:t>
            </w:r>
          </w:p>
          <w:p w:rsidR="00E02E7E" w:rsidRPr="00D775A7" w:rsidRDefault="00E02E7E" w:rsidP="00087F16">
            <w:pPr>
              <w:pStyle w:val="Tabletext"/>
              <w:spacing w:after="40"/>
            </w:pPr>
            <w:r w:rsidRPr="00D775A7">
              <w:t>(NCT02651584)</w:t>
            </w:r>
          </w:p>
        </w:tc>
        <w:tc>
          <w:tcPr>
            <w:tcW w:w="2660" w:type="pct"/>
          </w:tcPr>
          <w:p w:rsidR="00E02E7E" w:rsidRPr="00D775A7" w:rsidRDefault="00E02E7E" w:rsidP="00087F16">
            <w:pPr>
              <w:pStyle w:val="Tabletext"/>
              <w:spacing w:after="40"/>
              <w:rPr>
                <w:rFonts w:ascii="Times" w:hAnsi="Times"/>
              </w:rPr>
            </w:pPr>
            <w:proofErr w:type="spellStart"/>
            <w:r w:rsidRPr="00D775A7">
              <w:rPr>
                <w:szCs w:val="18"/>
              </w:rPr>
              <w:t>Lofwall</w:t>
            </w:r>
            <w:proofErr w:type="spellEnd"/>
            <w:r w:rsidRPr="00D775A7">
              <w:rPr>
                <w:szCs w:val="18"/>
              </w:rPr>
              <w:t xml:space="preserve"> MR, Walsh SL, </w:t>
            </w:r>
            <w:proofErr w:type="spellStart"/>
            <w:r w:rsidRPr="00D775A7">
              <w:rPr>
                <w:szCs w:val="18"/>
              </w:rPr>
              <w:t>Nunes</w:t>
            </w:r>
            <w:proofErr w:type="spellEnd"/>
            <w:r w:rsidRPr="00D775A7">
              <w:rPr>
                <w:szCs w:val="18"/>
              </w:rPr>
              <w:t xml:space="preserve"> EV, et al. Weekly and monthly subcutaneous buprenorphine depot formulations vs daily sublingual buprenorphine with naloxone for treatment of opioid use disorder a randomized clinical trial. </w:t>
            </w:r>
          </w:p>
        </w:tc>
        <w:tc>
          <w:tcPr>
            <w:tcW w:w="1544" w:type="pct"/>
          </w:tcPr>
          <w:p w:rsidR="00E02E7E" w:rsidRPr="00D775A7" w:rsidRDefault="00E02E7E" w:rsidP="00087F16">
            <w:pPr>
              <w:pStyle w:val="Tabletext"/>
              <w:spacing w:after="40"/>
              <w:rPr>
                <w:rFonts w:ascii="Times" w:hAnsi="Times"/>
              </w:rPr>
            </w:pPr>
            <w:r w:rsidRPr="00D775A7">
              <w:rPr>
                <w:szCs w:val="18"/>
              </w:rPr>
              <w:t>JAMA Internal Medicine. 2018</w:t>
            </w:r>
            <w:proofErr w:type="gramStart"/>
            <w:r w:rsidRPr="00D775A7">
              <w:rPr>
                <w:szCs w:val="18"/>
              </w:rPr>
              <w:t>;178</w:t>
            </w:r>
            <w:proofErr w:type="gramEnd"/>
            <w:r w:rsidRPr="00D775A7">
              <w:rPr>
                <w:szCs w:val="18"/>
              </w:rPr>
              <w:t>(6):764-773.</w:t>
            </w:r>
          </w:p>
        </w:tc>
      </w:tr>
      <w:tr w:rsidR="00343644" w:rsidRPr="00D775A7" w:rsidTr="00C23DF8">
        <w:tc>
          <w:tcPr>
            <w:tcW w:w="796" w:type="pct"/>
            <w:vMerge w:val="restart"/>
          </w:tcPr>
          <w:p w:rsidR="00343644" w:rsidRPr="00D775A7" w:rsidRDefault="00343644" w:rsidP="00087F16">
            <w:pPr>
              <w:pStyle w:val="Tabletext"/>
              <w:spacing w:after="40"/>
            </w:pPr>
          </w:p>
        </w:tc>
        <w:tc>
          <w:tcPr>
            <w:tcW w:w="2660" w:type="pct"/>
          </w:tcPr>
          <w:p w:rsidR="00343644" w:rsidRPr="00D775A7" w:rsidRDefault="00343644" w:rsidP="00087F16">
            <w:pPr>
              <w:pStyle w:val="Tabletext"/>
              <w:spacing w:after="40"/>
              <w:rPr>
                <w:szCs w:val="18"/>
              </w:rPr>
            </w:pPr>
            <w:r w:rsidRPr="00D775A7">
              <w:rPr>
                <w:szCs w:val="18"/>
              </w:rPr>
              <w:t>Clinical Trial Protocol HS-11-421: A phase III, randomized, double-blind, active-controlled, parallel group, multi-</w:t>
            </w:r>
            <w:proofErr w:type="spellStart"/>
            <w:r w:rsidRPr="00D775A7">
              <w:rPr>
                <w:szCs w:val="18"/>
              </w:rPr>
              <w:t>center</w:t>
            </w:r>
            <w:proofErr w:type="spellEnd"/>
            <w:r w:rsidRPr="00D775A7">
              <w:rPr>
                <w:szCs w:val="18"/>
              </w:rPr>
              <w:t xml:space="preserve"> trial assessing the efficacy and safety of a once-weekly and once-monthly, long-acting subcutaneous injectable depot of buprenorphine (CAM2038) in treatment of adult outpatients with opioid use disorder. </w:t>
            </w:r>
          </w:p>
        </w:tc>
        <w:tc>
          <w:tcPr>
            <w:tcW w:w="1544" w:type="pct"/>
          </w:tcPr>
          <w:p w:rsidR="00343644" w:rsidRPr="00D775A7" w:rsidRDefault="00343644" w:rsidP="00087F16">
            <w:pPr>
              <w:pStyle w:val="Tabletext"/>
              <w:spacing w:after="40"/>
            </w:pPr>
            <w:r w:rsidRPr="00D775A7">
              <w:rPr>
                <w:szCs w:val="18"/>
              </w:rPr>
              <w:t>V 6.0. 03 November 2016.</w:t>
            </w:r>
          </w:p>
        </w:tc>
      </w:tr>
      <w:tr w:rsidR="00343644" w:rsidRPr="00D775A7" w:rsidTr="00C23DF8">
        <w:tc>
          <w:tcPr>
            <w:tcW w:w="796" w:type="pct"/>
            <w:vMerge/>
          </w:tcPr>
          <w:p w:rsidR="00343644" w:rsidRPr="00D775A7" w:rsidRDefault="00343644" w:rsidP="00087F16">
            <w:pPr>
              <w:pStyle w:val="Tabletext"/>
              <w:spacing w:after="40"/>
            </w:pPr>
          </w:p>
        </w:tc>
        <w:tc>
          <w:tcPr>
            <w:tcW w:w="2660" w:type="pct"/>
          </w:tcPr>
          <w:p w:rsidR="00343644" w:rsidRPr="00D775A7" w:rsidRDefault="00343644" w:rsidP="00087F16">
            <w:pPr>
              <w:pStyle w:val="Tabletext"/>
              <w:spacing w:after="40"/>
              <w:rPr>
                <w:szCs w:val="18"/>
              </w:rPr>
            </w:pPr>
            <w:proofErr w:type="spellStart"/>
            <w:r w:rsidRPr="00D775A7">
              <w:rPr>
                <w:szCs w:val="18"/>
              </w:rPr>
              <w:t>Lofwall</w:t>
            </w:r>
            <w:proofErr w:type="spellEnd"/>
            <w:r w:rsidRPr="00D775A7">
              <w:rPr>
                <w:szCs w:val="18"/>
              </w:rPr>
              <w:t xml:space="preserve"> M, </w:t>
            </w:r>
            <w:proofErr w:type="spellStart"/>
            <w:r w:rsidRPr="00D775A7">
              <w:rPr>
                <w:szCs w:val="18"/>
              </w:rPr>
              <w:t>Nunes</w:t>
            </w:r>
            <w:proofErr w:type="spellEnd"/>
            <w:r w:rsidRPr="00D775A7">
              <w:rPr>
                <w:szCs w:val="18"/>
              </w:rPr>
              <w:t xml:space="preserve"> EV, Bailey GL, et al. Efficacy of buprenorphine (BUP) depot injections vs. sublingual BUP for opioid use disorder: A phase 3 RCT. </w:t>
            </w:r>
          </w:p>
        </w:tc>
        <w:tc>
          <w:tcPr>
            <w:tcW w:w="1544" w:type="pct"/>
          </w:tcPr>
          <w:p w:rsidR="00343644" w:rsidRPr="00D775A7" w:rsidRDefault="00343644" w:rsidP="00087F16">
            <w:pPr>
              <w:pStyle w:val="Tabletext"/>
              <w:spacing w:after="40"/>
              <w:rPr>
                <w:szCs w:val="18"/>
              </w:rPr>
            </w:pPr>
            <w:r w:rsidRPr="00D775A7">
              <w:rPr>
                <w:szCs w:val="18"/>
              </w:rPr>
              <w:t>Conference: 28th Annual Meeting and Symposium of the American Academy of Addiction Psychiatry, AAAP 2017. United States. 2018</w:t>
            </w:r>
            <w:proofErr w:type="gramStart"/>
            <w:r w:rsidRPr="00D775A7">
              <w:rPr>
                <w:szCs w:val="18"/>
              </w:rPr>
              <w:t>;27</w:t>
            </w:r>
            <w:proofErr w:type="gramEnd"/>
            <w:r w:rsidRPr="00D775A7">
              <w:rPr>
                <w:szCs w:val="18"/>
              </w:rPr>
              <w:t>(4):282-283.</w:t>
            </w:r>
          </w:p>
        </w:tc>
      </w:tr>
      <w:tr w:rsidR="00343644" w:rsidRPr="00D775A7" w:rsidTr="00C23DF8">
        <w:tc>
          <w:tcPr>
            <w:tcW w:w="796" w:type="pct"/>
            <w:vMerge/>
          </w:tcPr>
          <w:p w:rsidR="00343644" w:rsidRPr="00D775A7" w:rsidRDefault="00343644" w:rsidP="00087F16">
            <w:pPr>
              <w:pStyle w:val="Tabletext"/>
              <w:spacing w:after="40"/>
            </w:pPr>
          </w:p>
        </w:tc>
        <w:tc>
          <w:tcPr>
            <w:tcW w:w="2660" w:type="pct"/>
          </w:tcPr>
          <w:p w:rsidR="00343644" w:rsidRPr="00D775A7" w:rsidRDefault="00343644" w:rsidP="00087F16">
            <w:pPr>
              <w:pStyle w:val="Tabletext"/>
              <w:spacing w:after="40"/>
              <w:rPr>
                <w:szCs w:val="18"/>
              </w:rPr>
            </w:pPr>
            <w:r w:rsidRPr="00D775A7">
              <w:rPr>
                <w:szCs w:val="18"/>
              </w:rPr>
              <w:t>FDA Advisory Committee meeting briefing document CAM2038 (buprenorphine) subcutaneous injection</w:t>
            </w:r>
          </w:p>
        </w:tc>
        <w:tc>
          <w:tcPr>
            <w:tcW w:w="1544" w:type="pct"/>
          </w:tcPr>
          <w:p w:rsidR="00343644" w:rsidRPr="00D775A7" w:rsidRDefault="00343644" w:rsidP="00087F16">
            <w:pPr>
              <w:pStyle w:val="Tabletext"/>
              <w:spacing w:after="40"/>
              <w:rPr>
                <w:szCs w:val="18"/>
              </w:rPr>
            </w:pPr>
            <w:r w:rsidRPr="00D775A7">
              <w:rPr>
                <w:szCs w:val="18"/>
              </w:rPr>
              <w:t>01 November 2017.</w:t>
            </w:r>
          </w:p>
        </w:tc>
      </w:tr>
      <w:tr w:rsidR="00E02E7E" w:rsidRPr="00D775A7" w:rsidTr="00C23DF8">
        <w:tc>
          <w:tcPr>
            <w:tcW w:w="5000" w:type="pct"/>
            <w:gridSpan w:val="3"/>
          </w:tcPr>
          <w:p w:rsidR="00E02E7E" w:rsidRPr="00D775A7" w:rsidRDefault="00E02E7E" w:rsidP="00087F16">
            <w:pPr>
              <w:pStyle w:val="Tabletext"/>
              <w:rPr>
                <w:b/>
                <w:szCs w:val="18"/>
              </w:rPr>
            </w:pPr>
            <w:r w:rsidRPr="00D775A7">
              <w:rPr>
                <w:b/>
                <w:szCs w:val="18"/>
              </w:rPr>
              <w:t>Long term studies</w:t>
            </w:r>
          </w:p>
        </w:tc>
      </w:tr>
      <w:tr w:rsidR="00E02E7E" w:rsidRPr="00D775A7" w:rsidTr="00C23DF8">
        <w:tc>
          <w:tcPr>
            <w:tcW w:w="796" w:type="pct"/>
            <w:vMerge w:val="restart"/>
          </w:tcPr>
          <w:p w:rsidR="00E02E7E" w:rsidRPr="00D775A7" w:rsidRDefault="00E02E7E" w:rsidP="00087F16">
            <w:pPr>
              <w:pStyle w:val="Tabletext"/>
              <w:spacing w:after="40"/>
            </w:pPr>
            <w:r w:rsidRPr="00D775A7">
              <w:t>RB-US-13-0003</w:t>
            </w:r>
          </w:p>
          <w:p w:rsidR="00E02E7E" w:rsidRPr="00D775A7" w:rsidRDefault="00E02E7E" w:rsidP="00087F16">
            <w:pPr>
              <w:pStyle w:val="Tabletext"/>
              <w:spacing w:after="40"/>
            </w:pPr>
            <w:r w:rsidRPr="00D775A7">
              <w:t>(NCT02510014)</w:t>
            </w:r>
          </w:p>
        </w:tc>
        <w:tc>
          <w:tcPr>
            <w:tcW w:w="2660" w:type="pct"/>
          </w:tcPr>
          <w:p w:rsidR="00E02E7E" w:rsidRPr="00D775A7" w:rsidRDefault="00E02E7E" w:rsidP="00087F16">
            <w:pPr>
              <w:pStyle w:val="Tabletext"/>
              <w:spacing w:after="40"/>
              <w:rPr>
                <w:szCs w:val="18"/>
              </w:rPr>
            </w:pPr>
            <w:r w:rsidRPr="00D775A7">
              <w:rPr>
                <w:szCs w:val="18"/>
              </w:rPr>
              <w:t xml:space="preserve">Clinical Study Report RB-US-13-0003: An open-label, long-term safety and tolerability study of depot buprenorphine (RBP-6000) in treatment-seeking subjects with opioid use disorder. </w:t>
            </w:r>
          </w:p>
        </w:tc>
        <w:tc>
          <w:tcPr>
            <w:tcW w:w="1544" w:type="pct"/>
          </w:tcPr>
          <w:p w:rsidR="00E02E7E" w:rsidRPr="00D775A7" w:rsidRDefault="00E02E7E" w:rsidP="00087F16">
            <w:pPr>
              <w:pStyle w:val="Tabletext"/>
              <w:spacing w:after="40"/>
              <w:rPr>
                <w:szCs w:val="18"/>
              </w:rPr>
            </w:pPr>
            <w:r w:rsidRPr="00D775A7">
              <w:rPr>
                <w:szCs w:val="18"/>
              </w:rPr>
              <w:t>16 January 2018.</w:t>
            </w:r>
          </w:p>
        </w:tc>
      </w:tr>
      <w:tr w:rsidR="00E02E7E" w:rsidRPr="00D775A7" w:rsidTr="00C23DF8">
        <w:trPr>
          <w:trHeight w:val="199"/>
        </w:trPr>
        <w:tc>
          <w:tcPr>
            <w:tcW w:w="796" w:type="pct"/>
            <w:vMerge/>
          </w:tcPr>
          <w:p w:rsidR="00E02E7E" w:rsidRPr="00D775A7" w:rsidRDefault="00E02E7E" w:rsidP="00087F16">
            <w:pPr>
              <w:pStyle w:val="Tabletext"/>
              <w:spacing w:after="40"/>
            </w:pPr>
          </w:p>
        </w:tc>
        <w:tc>
          <w:tcPr>
            <w:tcW w:w="2660" w:type="pct"/>
          </w:tcPr>
          <w:p w:rsidR="00E02E7E" w:rsidRPr="00D775A7" w:rsidRDefault="00E02E7E" w:rsidP="00087F16">
            <w:pPr>
              <w:pStyle w:val="Tabletext"/>
              <w:spacing w:after="40"/>
              <w:rPr>
                <w:szCs w:val="18"/>
              </w:rPr>
            </w:pPr>
            <w:r w:rsidRPr="00D775A7">
              <w:rPr>
                <w:szCs w:val="18"/>
              </w:rPr>
              <w:t xml:space="preserve">Ling W, </w:t>
            </w:r>
            <w:proofErr w:type="spellStart"/>
            <w:r w:rsidRPr="00D775A7">
              <w:rPr>
                <w:szCs w:val="18"/>
              </w:rPr>
              <w:t>Nadipelli</w:t>
            </w:r>
            <w:proofErr w:type="spellEnd"/>
            <w:r w:rsidRPr="00D775A7">
              <w:rPr>
                <w:szCs w:val="18"/>
              </w:rPr>
              <w:t xml:space="preserve"> VR, </w:t>
            </w:r>
            <w:proofErr w:type="spellStart"/>
            <w:r w:rsidRPr="00D775A7">
              <w:rPr>
                <w:szCs w:val="18"/>
              </w:rPr>
              <w:t>Solem</w:t>
            </w:r>
            <w:proofErr w:type="spellEnd"/>
            <w:r w:rsidRPr="00D775A7">
              <w:rPr>
                <w:szCs w:val="18"/>
              </w:rPr>
              <w:t xml:space="preserve"> CT, et al. Impact of RBP-6000 (Once-Monthly Depot Buprenorphine) on Patient-Reported Outcomes: A Long-Term Study. </w:t>
            </w:r>
          </w:p>
        </w:tc>
        <w:tc>
          <w:tcPr>
            <w:tcW w:w="1544" w:type="pct"/>
          </w:tcPr>
          <w:p w:rsidR="00E02E7E" w:rsidRPr="00D775A7" w:rsidRDefault="00E02E7E" w:rsidP="00087F16">
            <w:pPr>
              <w:pStyle w:val="Tabletext"/>
              <w:spacing w:after="40"/>
              <w:rPr>
                <w:szCs w:val="18"/>
              </w:rPr>
            </w:pPr>
            <w:r w:rsidRPr="00D775A7">
              <w:rPr>
                <w:szCs w:val="18"/>
              </w:rPr>
              <w:t>The American Society of Addiction Medicine 49th Annual Conference, San Diego, April 12-15, 2018.</w:t>
            </w:r>
          </w:p>
        </w:tc>
      </w:tr>
      <w:tr w:rsidR="00E02E7E" w:rsidRPr="00D775A7" w:rsidTr="00C23DF8">
        <w:tc>
          <w:tcPr>
            <w:tcW w:w="796" w:type="pct"/>
          </w:tcPr>
          <w:p w:rsidR="00E02E7E" w:rsidRPr="00D775A7" w:rsidRDefault="00E02E7E" w:rsidP="00087F16">
            <w:pPr>
              <w:pStyle w:val="Tabletext"/>
              <w:spacing w:after="40"/>
            </w:pPr>
            <w:r w:rsidRPr="00D775A7">
              <w:lastRenderedPageBreak/>
              <w:t>INDV-6000-301</w:t>
            </w:r>
          </w:p>
          <w:p w:rsidR="00E02E7E" w:rsidRPr="00D775A7" w:rsidRDefault="00E02E7E" w:rsidP="00087F16">
            <w:pPr>
              <w:pStyle w:val="Tabletext"/>
              <w:spacing w:after="40"/>
            </w:pPr>
            <w:r w:rsidRPr="00D775A7">
              <w:t>(NCT02896296)</w:t>
            </w:r>
          </w:p>
        </w:tc>
        <w:tc>
          <w:tcPr>
            <w:tcW w:w="2660" w:type="pct"/>
          </w:tcPr>
          <w:p w:rsidR="00E02E7E" w:rsidRPr="00D775A7" w:rsidRDefault="00E02E7E" w:rsidP="00087F16">
            <w:pPr>
              <w:pStyle w:val="Tabletext"/>
              <w:spacing w:after="40"/>
              <w:rPr>
                <w:szCs w:val="18"/>
              </w:rPr>
            </w:pPr>
            <w:r w:rsidRPr="00D775A7">
              <w:rPr>
                <w:szCs w:val="18"/>
              </w:rPr>
              <w:t xml:space="preserve">Clinical Study Report INDV-6000-301: An open-label, depot buprenorphine (RBP-6000) treatment extension study in subjects with opioid use disorder. </w:t>
            </w:r>
          </w:p>
        </w:tc>
        <w:tc>
          <w:tcPr>
            <w:tcW w:w="1544" w:type="pct"/>
          </w:tcPr>
          <w:p w:rsidR="00E02E7E" w:rsidRPr="00D775A7" w:rsidRDefault="00E02E7E" w:rsidP="00087F16">
            <w:pPr>
              <w:pStyle w:val="Tabletext"/>
              <w:spacing w:after="40"/>
              <w:rPr>
                <w:szCs w:val="18"/>
              </w:rPr>
            </w:pPr>
            <w:r w:rsidRPr="00D775A7">
              <w:rPr>
                <w:szCs w:val="18"/>
              </w:rPr>
              <w:t>12 March 2018.</w:t>
            </w:r>
          </w:p>
        </w:tc>
      </w:tr>
      <w:tr w:rsidR="00E02E7E" w:rsidRPr="00D775A7" w:rsidTr="00C23DF8">
        <w:tc>
          <w:tcPr>
            <w:tcW w:w="796" w:type="pct"/>
          </w:tcPr>
          <w:p w:rsidR="00E02E7E" w:rsidRPr="00D775A7" w:rsidRDefault="00E02E7E" w:rsidP="00087F16">
            <w:pPr>
              <w:pStyle w:val="Tabletext"/>
              <w:spacing w:after="40"/>
            </w:pPr>
            <w:r w:rsidRPr="00D775A7">
              <w:t xml:space="preserve">RECOVER </w:t>
            </w:r>
          </w:p>
          <w:p w:rsidR="00E02E7E" w:rsidRPr="00D775A7" w:rsidRDefault="00E02E7E" w:rsidP="00087F16">
            <w:pPr>
              <w:pStyle w:val="Tabletext"/>
              <w:spacing w:after="40"/>
            </w:pPr>
            <w:r w:rsidRPr="00D775A7">
              <w:t>(NCT03604861)</w:t>
            </w:r>
          </w:p>
        </w:tc>
        <w:tc>
          <w:tcPr>
            <w:tcW w:w="2660" w:type="pct"/>
          </w:tcPr>
          <w:p w:rsidR="00E02E7E" w:rsidRPr="00D775A7" w:rsidRDefault="00E02E7E" w:rsidP="00087F16">
            <w:pPr>
              <w:pStyle w:val="Tabletext"/>
              <w:spacing w:after="40"/>
              <w:rPr>
                <w:szCs w:val="18"/>
              </w:rPr>
            </w:pPr>
            <w:r w:rsidRPr="00D775A7">
              <w:rPr>
                <w:szCs w:val="18"/>
              </w:rPr>
              <w:t xml:space="preserve">Remission from Chronic Opioid Use - Studying Environmental and Socio-economic Factors on Recovery (RECOVER): 12-Month Preliminary Outcomes Following RBP-6000 Phase III Study Participants. </w:t>
            </w:r>
          </w:p>
        </w:tc>
        <w:tc>
          <w:tcPr>
            <w:tcW w:w="1544" w:type="pct"/>
          </w:tcPr>
          <w:p w:rsidR="00E02E7E" w:rsidRPr="00D775A7" w:rsidRDefault="00E02E7E" w:rsidP="00087F16">
            <w:pPr>
              <w:pStyle w:val="Tabletext"/>
              <w:spacing w:after="40"/>
              <w:rPr>
                <w:szCs w:val="18"/>
              </w:rPr>
            </w:pPr>
            <w:r w:rsidRPr="00D775A7">
              <w:rPr>
                <w:szCs w:val="18"/>
              </w:rPr>
              <w:t>15 October 2018.</w:t>
            </w:r>
          </w:p>
        </w:tc>
      </w:tr>
    </w:tbl>
    <w:p w:rsidR="00157A5C" w:rsidRPr="00D775A7" w:rsidRDefault="00E02E7E" w:rsidP="00157A5C">
      <w:pPr>
        <w:pStyle w:val="TableFooter"/>
      </w:pPr>
      <w:r w:rsidRPr="00D775A7">
        <w:t>Source: Tables 2.5, p52, 2.6, p53 and 2.10, p57</w:t>
      </w:r>
      <w:r w:rsidR="005526A3" w:rsidRPr="00D775A7">
        <w:t xml:space="preserve"> of the submission</w:t>
      </w:r>
      <w:r w:rsidRPr="00D775A7">
        <w:t>.</w:t>
      </w:r>
    </w:p>
    <w:p w:rsidR="00157A5C" w:rsidRPr="00D775A7" w:rsidRDefault="00157A5C" w:rsidP="00157A5C">
      <w:pPr>
        <w:pStyle w:val="TableFooter"/>
      </w:pPr>
    </w:p>
    <w:p w:rsidR="002E514A" w:rsidRPr="00D775A7" w:rsidRDefault="001A723E" w:rsidP="00E02F7A">
      <w:pPr>
        <w:pStyle w:val="ListParagraph"/>
        <w:numPr>
          <w:ilvl w:val="1"/>
          <w:numId w:val="2"/>
        </w:numPr>
        <w:ind w:left="720" w:hanging="720"/>
        <w:rPr>
          <w:rStyle w:val="CommentReference"/>
        </w:rPr>
      </w:pPr>
      <w:r w:rsidRPr="00D775A7">
        <w:rPr>
          <w:rFonts w:cs="Calibri"/>
          <w:snapToGrid/>
          <w:szCs w:val="24"/>
          <w:lang w:eastAsia="en-AU"/>
        </w:rPr>
        <w:t>The key features of the direct randomised</w:t>
      </w:r>
      <w:r w:rsidRPr="00D775A7">
        <w:t xml:space="preserve"> trials are summarised in </w:t>
      </w:r>
      <w:r w:rsidR="00E02F7A" w:rsidRPr="00D775A7">
        <w:t xml:space="preserve">Table 3. </w:t>
      </w:r>
      <w:bookmarkStart w:id="15" w:name="_Ref532154339"/>
    </w:p>
    <w:p w:rsidR="00E02E7E" w:rsidRPr="00D775A7" w:rsidRDefault="00E02E7E" w:rsidP="00EA205C">
      <w:pPr>
        <w:rPr>
          <w:rStyle w:val="CommentReference"/>
        </w:rPr>
      </w:pPr>
      <w:r w:rsidRPr="00D775A7">
        <w:rPr>
          <w:rStyle w:val="CommentReference"/>
        </w:rPr>
        <w:t xml:space="preserve">Table </w:t>
      </w:r>
      <w:r w:rsidR="00BC72D0" w:rsidRPr="00D775A7">
        <w:rPr>
          <w:rStyle w:val="CommentReference"/>
        </w:rPr>
        <w:t>3</w:t>
      </w:r>
      <w:bookmarkEnd w:id="15"/>
      <w:r w:rsidRPr="00D775A7">
        <w:rPr>
          <w:rStyle w:val="CommentReference"/>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1256"/>
        <w:gridCol w:w="813"/>
        <w:gridCol w:w="1367"/>
        <w:gridCol w:w="1082"/>
        <w:gridCol w:w="1497"/>
        <w:gridCol w:w="1713"/>
        <w:gridCol w:w="1289"/>
      </w:tblGrid>
      <w:tr w:rsidR="00E02E7E" w:rsidRPr="00D775A7" w:rsidTr="00802C8C">
        <w:trPr>
          <w:tblHeader/>
        </w:trPr>
        <w:tc>
          <w:tcPr>
            <w:tcW w:w="696" w:type="pct"/>
            <w:shd w:val="clear" w:color="auto" w:fill="auto"/>
            <w:vAlign w:val="center"/>
          </w:tcPr>
          <w:p w:rsidR="00E02E7E" w:rsidRPr="00D775A7" w:rsidRDefault="00E02E7E" w:rsidP="00087F16">
            <w:pPr>
              <w:pStyle w:val="Tabletext"/>
              <w:rPr>
                <w:b/>
              </w:rPr>
            </w:pPr>
            <w:r w:rsidRPr="00D775A7">
              <w:rPr>
                <w:b/>
              </w:rPr>
              <w:t>Trial</w:t>
            </w:r>
          </w:p>
        </w:tc>
        <w:tc>
          <w:tcPr>
            <w:tcW w:w="451" w:type="pct"/>
            <w:shd w:val="clear" w:color="auto" w:fill="auto"/>
            <w:vAlign w:val="center"/>
          </w:tcPr>
          <w:p w:rsidR="00E02E7E" w:rsidRPr="00D775A7" w:rsidRDefault="00E02E7E" w:rsidP="00087F16">
            <w:pPr>
              <w:pStyle w:val="Tabletext"/>
              <w:jc w:val="center"/>
              <w:rPr>
                <w:b/>
              </w:rPr>
            </w:pPr>
            <w:r w:rsidRPr="00D775A7">
              <w:rPr>
                <w:b/>
              </w:rPr>
              <w:t>N</w:t>
            </w:r>
          </w:p>
        </w:tc>
        <w:tc>
          <w:tcPr>
            <w:tcW w:w="758" w:type="pct"/>
            <w:shd w:val="clear" w:color="auto" w:fill="auto"/>
            <w:vAlign w:val="center"/>
          </w:tcPr>
          <w:p w:rsidR="00E02E7E" w:rsidRPr="00D775A7" w:rsidRDefault="00E02E7E" w:rsidP="00087F16">
            <w:pPr>
              <w:pStyle w:val="Tabletext"/>
              <w:jc w:val="center"/>
              <w:rPr>
                <w:b/>
              </w:rPr>
            </w:pPr>
            <w:r w:rsidRPr="00D775A7">
              <w:rPr>
                <w:b/>
              </w:rPr>
              <w:t>Design/ duration</w:t>
            </w:r>
          </w:p>
        </w:tc>
        <w:tc>
          <w:tcPr>
            <w:tcW w:w="600" w:type="pct"/>
            <w:shd w:val="clear" w:color="auto" w:fill="auto"/>
            <w:vAlign w:val="center"/>
          </w:tcPr>
          <w:p w:rsidR="00E02E7E" w:rsidRPr="00D775A7" w:rsidRDefault="00E02E7E" w:rsidP="00087F16">
            <w:pPr>
              <w:pStyle w:val="Tabletext"/>
              <w:jc w:val="center"/>
              <w:rPr>
                <w:b/>
              </w:rPr>
            </w:pPr>
            <w:r w:rsidRPr="00D775A7">
              <w:rPr>
                <w:b/>
              </w:rPr>
              <w:t>Risk of bias</w:t>
            </w:r>
          </w:p>
        </w:tc>
        <w:tc>
          <w:tcPr>
            <w:tcW w:w="830" w:type="pct"/>
            <w:shd w:val="clear" w:color="auto" w:fill="auto"/>
            <w:vAlign w:val="center"/>
          </w:tcPr>
          <w:p w:rsidR="00E02E7E" w:rsidRPr="00D775A7" w:rsidRDefault="00E02E7E" w:rsidP="00087F16">
            <w:pPr>
              <w:pStyle w:val="Tabletext"/>
              <w:jc w:val="center"/>
              <w:rPr>
                <w:b/>
              </w:rPr>
            </w:pPr>
            <w:r w:rsidRPr="00D775A7">
              <w:rPr>
                <w:b/>
              </w:rPr>
              <w:t>Patient population</w:t>
            </w:r>
          </w:p>
        </w:tc>
        <w:tc>
          <w:tcPr>
            <w:tcW w:w="950" w:type="pct"/>
            <w:shd w:val="clear" w:color="auto" w:fill="auto"/>
            <w:vAlign w:val="center"/>
          </w:tcPr>
          <w:p w:rsidR="00E02E7E" w:rsidRPr="00D775A7" w:rsidRDefault="00E02E7E" w:rsidP="00087F16">
            <w:pPr>
              <w:pStyle w:val="Tabletext"/>
              <w:jc w:val="center"/>
              <w:rPr>
                <w:b/>
              </w:rPr>
            </w:pPr>
            <w:r w:rsidRPr="00D775A7">
              <w:rPr>
                <w:b/>
              </w:rPr>
              <w:t>Outcome(s)</w:t>
            </w:r>
          </w:p>
        </w:tc>
        <w:tc>
          <w:tcPr>
            <w:tcW w:w="716" w:type="pct"/>
            <w:shd w:val="clear" w:color="auto" w:fill="auto"/>
            <w:vAlign w:val="center"/>
          </w:tcPr>
          <w:p w:rsidR="00E02E7E" w:rsidRPr="00D775A7" w:rsidRDefault="00E02E7E" w:rsidP="00087F16">
            <w:pPr>
              <w:pStyle w:val="Tabletext"/>
              <w:jc w:val="center"/>
              <w:rPr>
                <w:b/>
              </w:rPr>
            </w:pPr>
            <w:r w:rsidRPr="00D775A7">
              <w:rPr>
                <w:b/>
              </w:rPr>
              <w:t>Use in modelled evaluation</w:t>
            </w:r>
          </w:p>
        </w:tc>
      </w:tr>
      <w:tr w:rsidR="00E02E7E" w:rsidRPr="00D775A7" w:rsidTr="00802C8C">
        <w:tc>
          <w:tcPr>
            <w:tcW w:w="5000" w:type="pct"/>
            <w:gridSpan w:val="7"/>
            <w:shd w:val="clear" w:color="auto" w:fill="auto"/>
            <w:vAlign w:val="center"/>
          </w:tcPr>
          <w:p w:rsidR="00E02E7E" w:rsidRPr="00D775A7" w:rsidRDefault="00E02E7E" w:rsidP="00087F16">
            <w:pPr>
              <w:pStyle w:val="Tabletext"/>
              <w:rPr>
                <w:b/>
              </w:rPr>
            </w:pPr>
            <w:proofErr w:type="spellStart"/>
            <w:r w:rsidRPr="00D775A7">
              <w:rPr>
                <w:b/>
              </w:rPr>
              <w:t>Sublocade</w:t>
            </w:r>
            <w:proofErr w:type="spellEnd"/>
            <w:r w:rsidRPr="00D775A7">
              <w:rPr>
                <w:b/>
              </w:rPr>
              <w:t xml:space="preserve"> versus Placebo</w:t>
            </w:r>
          </w:p>
        </w:tc>
      </w:tr>
      <w:tr w:rsidR="00E02E7E" w:rsidRPr="00D775A7" w:rsidTr="00802C8C">
        <w:tc>
          <w:tcPr>
            <w:tcW w:w="696" w:type="pct"/>
            <w:shd w:val="clear" w:color="auto" w:fill="auto"/>
            <w:vAlign w:val="center"/>
          </w:tcPr>
          <w:p w:rsidR="00E02E7E" w:rsidRPr="00D775A7" w:rsidRDefault="00E02E7E" w:rsidP="00087F16">
            <w:pPr>
              <w:pStyle w:val="Tabletext"/>
            </w:pPr>
            <w:r w:rsidRPr="00D775A7">
              <w:t>RB-US-13-0001</w:t>
            </w:r>
          </w:p>
        </w:tc>
        <w:tc>
          <w:tcPr>
            <w:tcW w:w="451" w:type="pct"/>
            <w:shd w:val="clear" w:color="auto" w:fill="auto"/>
            <w:vAlign w:val="center"/>
          </w:tcPr>
          <w:p w:rsidR="00E02E7E" w:rsidRPr="00D775A7" w:rsidRDefault="00E02E7E" w:rsidP="00087F16">
            <w:pPr>
              <w:pStyle w:val="Tabletext"/>
              <w:jc w:val="center"/>
            </w:pPr>
            <w:r w:rsidRPr="00D775A7">
              <w:t>504</w:t>
            </w:r>
          </w:p>
        </w:tc>
        <w:tc>
          <w:tcPr>
            <w:tcW w:w="758" w:type="pct"/>
            <w:shd w:val="clear" w:color="auto" w:fill="auto"/>
            <w:vAlign w:val="center"/>
          </w:tcPr>
          <w:p w:rsidR="00E02E7E" w:rsidRPr="00D775A7" w:rsidRDefault="00E02E7E" w:rsidP="00087F16">
            <w:pPr>
              <w:pStyle w:val="Tabletext"/>
              <w:jc w:val="center"/>
            </w:pPr>
            <w:r w:rsidRPr="00D775A7">
              <w:t>R, DB</w:t>
            </w:r>
          </w:p>
          <w:p w:rsidR="00E02E7E" w:rsidRPr="00D775A7" w:rsidRDefault="00E02E7E" w:rsidP="00087F16">
            <w:pPr>
              <w:pStyle w:val="Tabletext"/>
              <w:jc w:val="center"/>
            </w:pPr>
            <w:r w:rsidRPr="00D775A7">
              <w:t>24 weeks*</w:t>
            </w:r>
          </w:p>
        </w:tc>
        <w:tc>
          <w:tcPr>
            <w:tcW w:w="600" w:type="pct"/>
            <w:shd w:val="clear" w:color="auto" w:fill="auto"/>
            <w:vAlign w:val="center"/>
          </w:tcPr>
          <w:p w:rsidR="00E02E7E" w:rsidRPr="00D775A7" w:rsidRDefault="00E02E7E" w:rsidP="00087F16">
            <w:pPr>
              <w:pStyle w:val="Tabletext"/>
              <w:jc w:val="center"/>
            </w:pPr>
            <w:r w:rsidRPr="00D775A7">
              <w:t>Low</w:t>
            </w:r>
          </w:p>
        </w:tc>
        <w:tc>
          <w:tcPr>
            <w:tcW w:w="830" w:type="pct"/>
            <w:shd w:val="clear" w:color="auto" w:fill="auto"/>
            <w:vAlign w:val="center"/>
          </w:tcPr>
          <w:p w:rsidR="00E02E7E" w:rsidRPr="00D775A7" w:rsidRDefault="00E02E7E" w:rsidP="00087F16">
            <w:pPr>
              <w:pStyle w:val="Tabletext"/>
              <w:jc w:val="center"/>
            </w:pPr>
            <w:r w:rsidRPr="00D775A7">
              <w:t>DSM 5 opioid use disorder</w:t>
            </w:r>
          </w:p>
        </w:tc>
        <w:tc>
          <w:tcPr>
            <w:tcW w:w="950" w:type="pct"/>
            <w:shd w:val="clear" w:color="auto" w:fill="auto"/>
            <w:vAlign w:val="center"/>
          </w:tcPr>
          <w:p w:rsidR="00E02E7E" w:rsidRPr="00D775A7" w:rsidRDefault="00802C8C" w:rsidP="00087F16">
            <w:pPr>
              <w:pStyle w:val="Tabletext"/>
              <w:jc w:val="center"/>
            </w:pPr>
            <w:r w:rsidRPr="00D775A7">
              <w:t>Self-</w:t>
            </w:r>
            <w:r w:rsidR="00E02E7E" w:rsidRPr="00D775A7">
              <w:t xml:space="preserve">reported opioid use and negative UDS; completers  </w:t>
            </w:r>
          </w:p>
        </w:tc>
        <w:tc>
          <w:tcPr>
            <w:tcW w:w="716" w:type="pct"/>
            <w:shd w:val="clear" w:color="auto" w:fill="auto"/>
            <w:vAlign w:val="center"/>
          </w:tcPr>
          <w:p w:rsidR="00E02E7E" w:rsidRPr="00D775A7" w:rsidRDefault="00E02E7E" w:rsidP="00087F16">
            <w:pPr>
              <w:pStyle w:val="Tabletext"/>
              <w:jc w:val="center"/>
            </w:pPr>
            <w:r w:rsidRPr="00D775A7">
              <w:t>NA</w:t>
            </w:r>
          </w:p>
        </w:tc>
      </w:tr>
      <w:tr w:rsidR="00E02E7E" w:rsidRPr="00D775A7" w:rsidTr="00802C8C">
        <w:tc>
          <w:tcPr>
            <w:tcW w:w="5000" w:type="pct"/>
            <w:gridSpan w:val="7"/>
            <w:shd w:val="clear" w:color="auto" w:fill="auto"/>
            <w:vAlign w:val="center"/>
          </w:tcPr>
          <w:p w:rsidR="00E02E7E" w:rsidRPr="00D775A7" w:rsidRDefault="00E02E7E" w:rsidP="00087F16">
            <w:pPr>
              <w:pStyle w:val="Tabletext"/>
              <w:rPr>
                <w:b/>
              </w:rPr>
            </w:pPr>
            <w:r w:rsidRPr="00D775A7">
              <w:rPr>
                <w:b/>
              </w:rPr>
              <w:t>BUP /NAL SL tablet versus placebo injections</w:t>
            </w:r>
          </w:p>
        </w:tc>
      </w:tr>
      <w:tr w:rsidR="00E02E7E" w:rsidRPr="00D775A7" w:rsidTr="00802C8C">
        <w:tc>
          <w:tcPr>
            <w:tcW w:w="696" w:type="pct"/>
            <w:shd w:val="clear" w:color="auto" w:fill="auto"/>
            <w:vAlign w:val="center"/>
          </w:tcPr>
          <w:p w:rsidR="00E02E7E" w:rsidRPr="00D775A7" w:rsidRDefault="00E02E7E" w:rsidP="00087F16">
            <w:pPr>
              <w:pStyle w:val="Tabletext"/>
            </w:pPr>
            <w:r w:rsidRPr="00D775A7">
              <w:t>Rosenthal 2013</w:t>
            </w:r>
          </w:p>
        </w:tc>
        <w:tc>
          <w:tcPr>
            <w:tcW w:w="451" w:type="pct"/>
            <w:shd w:val="clear" w:color="auto" w:fill="auto"/>
            <w:vAlign w:val="center"/>
          </w:tcPr>
          <w:p w:rsidR="00E02E7E" w:rsidRPr="00D775A7" w:rsidRDefault="00E02E7E" w:rsidP="00087F16">
            <w:pPr>
              <w:pStyle w:val="Tabletext"/>
              <w:jc w:val="center"/>
            </w:pPr>
            <w:r w:rsidRPr="00D775A7">
              <w:t>287</w:t>
            </w:r>
          </w:p>
        </w:tc>
        <w:tc>
          <w:tcPr>
            <w:tcW w:w="758" w:type="pct"/>
            <w:shd w:val="clear" w:color="auto" w:fill="auto"/>
            <w:vAlign w:val="center"/>
          </w:tcPr>
          <w:p w:rsidR="00802C8C" w:rsidRPr="00D775A7" w:rsidRDefault="00802C8C" w:rsidP="00087F16">
            <w:pPr>
              <w:pStyle w:val="Tabletext"/>
              <w:jc w:val="center"/>
            </w:pPr>
            <w:r w:rsidRPr="00D775A7">
              <w:t>R, OL**</w:t>
            </w:r>
          </w:p>
          <w:p w:rsidR="00E02E7E" w:rsidRPr="00D775A7" w:rsidRDefault="00E02E7E" w:rsidP="00087F16">
            <w:pPr>
              <w:pStyle w:val="Tabletext"/>
              <w:jc w:val="center"/>
            </w:pPr>
            <w:r w:rsidRPr="00D775A7">
              <w:t>24 weeks*</w:t>
            </w:r>
          </w:p>
        </w:tc>
        <w:tc>
          <w:tcPr>
            <w:tcW w:w="600" w:type="pct"/>
            <w:shd w:val="clear" w:color="auto" w:fill="auto"/>
            <w:vAlign w:val="center"/>
          </w:tcPr>
          <w:p w:rsidR="00E02E7E" w:rsidRPr="00D775A7" w:rsidRDefault="00E02E7E" w:rsidP="00087F16">
            <w:pPr>
              <w:pStyle w:val="Tabletext"/>
              <w:jc w:val="center"/>
            </w:pPr>
            <w:r w:rsidRPr="00D775A7">
              <w:t>High</w:t>
            </w:r>
          </w:p>
        </w:tc>
        <w:tc>
          <w:tcPr>
            <w:tcW w:w="830" w:type="pct"/>
            <w:shd w:val="clear" w:color="auto" w:fill="auto"/>
            <w:vAlign w:val="center"/>
          </w:tcPr>
          <w:p w:rsidR="00E02E7E" w:rsidRPr="00D775A7" w:rsidRDefault="00E02E7E" w:rsidP="00087F16">
            <w:pPr>
              <w:pStyle w:val="Tabletext"/>
              <w:jc w:val="center"/>
            </w:pPr>
            <w:r w:rsidRPr="00D775A7">
              <w:t>DSM 4 opioid dependence</w:t>
            </w:r>
          </w:p>
        </w:tc>
        <w:tc>
          <w:tcPr>
            <w:tcW w:w="950" w:type="pct"/>
            <w:shd w:val="clear" w:color="auto" w:fill="auto"/>
            <w:vAlign w:val="center"/>
          </w:tcPr>
          <w:p w:rsidR="00E02E7E" w:rsidRPr="00D775A7" w:rsidRDefault="00E02E7E" w:rsidP="00087F16">
            <w:pPr>
              <w:pStyle w:val="Tabletext"/>
              <w:jc w:val="center"/>
            </w:pPr>
            <w:r w:rsidRPr="00D775A7">
              <w:t>Negative UDS; completers</w:t>
            </w:r>
          </w:p>
        </w:tc>
        <w:tc>
          <w:tcPr>
            <w:tcW w:w="716" w:type="pct"/>
            <w:shd w:val="clear" w:color="auto" w:fill="auto"/>
            <w:vAlign w:val="center"/>
          </w:tcPr>
          <w:p w:rsidR="00E02E7E" w:rsidRPr="00D775A7" w:rsidRDefault="00E02E7E" w:rsidP="00087F16">
            <w:pPr>
              <w:pStyle w:val="Tabletext"/>
              <w:jc w:val="center"/>
            </w:pPr>
            <w:r w:rsidRPr="00D775A7">
              <w:t>NA</w:t>
            </w:r>
          </w:p>
        </w:tc>
      </w:tr>
      <w:tr w:rsidR="00E02E7E" w:rsidRPr="00D775A7" w:rsidTr="00802C8C">
        <w:tc>
          <w:tcPr>
            <w:tcW w:w="5000" w:type="pct"/>
            <w:gridSpan w:val="7"/>
            <w:shd w:val="clear" w:color="auto" w:fill="auto"/>
            <w:vAlign w:val="center"/>
          </w:tcPr>
          <w:p w:rsidR="00E02E7E" w:rsidRPr="00D775A7" w:rsidRDefault="00E02E7E" w:rsidP="00087F16">
            <w:pPr>
              <w:pStyle w:val="Tabletext"/>
              <w:rPr>
                <w:b/>
              </w:rPr>
            </w:pPr>
            <w:proofErr w:type="spellStart"/>
            <w:r w:rsidRPr="00D775A7">
              <w:rPr>
                <w:b/>
              </w:rPr>
              <w:t>Buvidal</w:t>
            </w:r>
            <w:proofErr w:type="spellEnd"/>
            <w:r w:rsidRPr="00D775A7">
              <w:rPr>
                <w:b/>
              </w:rPr>
              <w:t xml:space="preserve"> versus BUP /NAL SL  tablet</w:t>
            </w:r>
          </w:p>
        </w:tc>
      </w:tr>
      <w:tr w:rsidR="00E02E7E" w:rsidRPr="00D775A7" w:rsidTr="00802C8C">
        <w:tc>
          <w:tcPr>
            <w:tcW w:w="696" w:type="pct"/>
            <w:shd w:val="clear" w:color="auto" w:fill="auto"/>
            <w:vAlign w:val="center"/>
          </w:tcPr>
          <w:p w:rsidR="00E02E7E" w:rsidRPr="00D775A7" w:rsidRDefault="00E02E7E" w:rsidP="00087F16">
            <w:pPr>
              <w:pStyle w:val="Tabletext"/>
            </w:pPr>
            <w:proofErr w:type="spellStart"/>
            <w:r w:rsidRPr="00D775A7">
              <w:t>Lo</w:t>
            </w:r>
            <w:r w:rsidR="00851821" w:rsidRPr="00D775A7">
              <w:t>fw</w:t>
            </w:r>
            <w:r w:rsidRPr="00D775A7">
              <w:t>all</w:t>
            </w:r>
            <w:proofErr w:type="spellEnd"/>
            <w:r w:rsidRPr="00D775A7">
              <w:t xml:space="preserve"> (2018)</w:t>
            </w:r>
          </w:p>
        </w:tc>
        <w:tc>
          <w:tcPr>
            <w:tcW w:w="451" w:type="pct"/>
            <w:shd w:val="clear" w:color="auto" w:fill="auto"/>
            <w:vAlign w:val="center"/>
          </w:tcPr>
          <w:p w:rsidR="00E02E7E" w:rsidRPr="00D775A7" w:rsidRDefault="00E02E7E" w:rsidP="00087F16">
            <w:pPr>
              <w:pStyle w:val="Tabletext"/>
              <w:jc w:val="center"/>
            </w:pPr>
            <w:r w:rsidRPr="00D775A7">
              <w:t>428</w:t>
            </w:r>
          </w:p>
        </w:tc>
        <w:tc>
          <w:tcPr>
            <w:tcW w:w="758" w:type="pct"/>
            <w:shd w:val="clear" w:color="auto" w:fill="auto"/>
            <w:vAlign w:val="center"/>
          </w:tcPr>
          <w:p w:rsidR="00802C8C" w:rsidRPr="00D775A7" w:rsidRDefault="00E02E7E" w:rsidP="00802C8C">
            <w:pPr>
              <w:pStyle w:val="Tabletext"/>
              <w:jc w:val="center"/>
            </w:pPr>
            <w:r w:rsidRPr="00D775A7">
              <w:t>R, DB</w:t>
            </w:r>
          </w:p>
          <w:p w:rsidR="00E02E7E" w:rsidRPr="00D775A7" w:rsidRDefault="00E02E7E" w:rsidP="00802C8C">
            <w:pPr>
              <w:pStyle w:val="Tabletext"/>
              <w:jc w:val="center"/>
            </w:pPr>
            <w:r w:rsidRPr="00D775A7">
              <w:t>24 weeks*</w:t>
            </w:r>
          </w:p>
        </w:tc>
        <w:tc>
          <w:tcPr>
            <w:tcW w:w="600" w:type="pct"/>
            <w:shd w:val="clear" w:color="auto" w:fill="auto"/>
            <w:vAlign w:val="center"/>
          </w:tcPr>
          <w:p w:rsidR="00E02E7E" w:rsidRPr="00D775A7" w:rsidRDefault="00E02E7E" w:rsidP="00087F16">
            <w:pPr>
              <w:pStyle w:val="Tabletext"/>
              <w:jc w:val="center"/>
            </w:pPr>
            <w:r w:rsidRPr="00D775A7">
              <w:t>Low</w:t>
            </w:r>
          </w:p>
        </w:tc>
        <w:tc>
          <w:tcPr>
            <w:tcW w:w="830" w:type="pct"/>
            <w:shd w:val="clear" w:color="auto" w:fill="auto"/>
            <w:vAlign w:val="center"/>
          </w:tcPr>
          <w:p w:rsidR="00E02E7E" w:rsidRPr="00D775A7" w:rsidRDefault="00E02E7E" w:rsidP="00087F16">
            <w:pPr>
              <w:pStyle w:val="Tabletext"/>
              <w:jc w:val="center"/>
            </w:pPr>
            <w:r w:rsidRPr="00D775A7">
              <w:t>DSM 5 opioid disorder</w:t>
            </w:r>
          </w:p>
        </w:tc>
        <w:tc>
          <w:tcPr>
            <w:tcW w:w="950" w:type="pct"/>
            <w:shd w:val="clear" w:color="auto" w:fill="auto"/>
            <w:vAlign w:val="center"/>
          </w:tcPr>
          <w:p w:rsidR="00E02E7E" w:rsidRPr="00D775A7" w:rsidRDefault="00802C8C" w:rsidP="00087F16">
            <w:pPr>
              <w:pStyle w:val="Tabletext"/>
              <w:jc w:val="center"/>
            </w:pPr>
            <w:r w:rsidRPr="00D775A7">
              <w:t>Self-</w:t>
            </w:r>
            <w:r w:rsidR="00E02E7E" w:rsidRPr="00D775A7">
              <w:t>reported opioid use and negative UDS; completers</w:t>
            </w:r>
          </w:p>
        </w:tc>
        <w:tc>
          <w:tcPr>
            <w:tcW w:w="716" w:type="pct"/>
            <w:shd w:val="clear" w:color="auto" w:fill="auto"/>
            <w:vAlign w:val="center"/>
          </w:tcPr>
          <w:p w:rsidR="00E02E7E" w:rsidRPr="00D775A7" w:rsidRDefault="00E02E7E" w:rsidP="00087F16">
            <w:pPr>
              <w:pStyle w:val="Tabletext"/>
              <w:jc w:val="center"/>
            </w:pPr>
            <w:r w:rsidRPr="00D775A7">
              <w:t>NA</w:t>
            </w:r>
          </w:p>
        </w:tc>
      </w:tr>
    </w:tbl>
    <w:p w:rsidR="00E02E7E" w:rsidRPr="00D775A7" w:rsidRDefault="00E02E7E" w:rsidP="00E02E7E">
      <w:pPr>
        <w:pStyle w:val="TableFooter"/>
      </w:pPr>
      <w:r w:rsidRPr="00D775A7">
        <w:t>DB=double blind; MC=multi-centre; NA = not applicable; OL=open label; OS=overall survival; PFS=progression-free survival; R=randomised; UDS = urine drug screen</w:t>
      </w:r>
    </w:p>
    <w:p w:rsidR="00E02E7E" w:rsidRPr="00D775A7" w:rsidRDefault="00E02E7E" w:rsidP="00E02E7E">
      <w:pPr>
        <w:pStyle w:val="TableFooter"/>
      </w:pPr>
      <w:r w:rsidRPr="00D775A7">
        <w:t xml:space="preserve">Source: </w:t>
      </w:r>
      <w:r w:rsidR="00AC55A1" w:rsidRPr="00D775A7">
        <w:t xml:space="preserve">compiled during the evaluation </w:t>
      </w:r>
    </w:p>
    <w:p w:rsidR="00E02E7E" w:rsidRPr="00D775A7" w:rsidRDefault="00E02E7E" w:rsidP="00802C8C">
      <w:pPr>
        <w:pStyle w:val="TableFooter"/>
        <w:tabs>
          <w:tab w:val="left" w:pos="284"/>
        </w:tabs>
        <w:ind w:left="284" w:hanging="284"/>
      </w:pPr>
      <w:r w:rsidRPr="00D775A7">
        <w:t>*</w:t>
      </w:r>
      <w:r w:rsidRPr="00D775A7">
        <w:tab/>
      </w:r>
      <w:proofErr w:type="gramStart"/>
      <w:r w:rsidR="00802C8C" w:rsidRPr="00D775A7">
        <w:t>a</w:t>
      </w:r>
      <w:r w:rsidRPr="00D775A7">
        <w:t>ll</w:t>
      </w:r>
      <w:proofErr w:type="gramEnd"/>
      <w:r w:rsidRPr="00D775A7">
        <w:t xml:space="preserve"> trials had a 24 week treatment phase</w:t>
      </w:r>
    </w:p>
    <w:p w:rsidR="00022CC4" w:rsidRPr="00D775A7" w:rsidRDefault="00E02E7E" w:rsidP="00022CC4">
      <w:pPr>
        <w:pStyle w:val="TableFooter"/>
        <w:tabs>
          <w:tab w:val="left" w:pos="284"/>
        </w:tabs>
        <w:ind w:left="284" w:hanging="284"/>
      </w:pPr>
      <w:r w:rsidRPr="00D775A7">
        <w:rPr>
          <w:szCs w:val="18"/>
        </w:rPr>
        <w:t>**</w:t>
      </w:r>
      <w:r w:rsidRPr="00D775A7">
        <w:tab/>
      </w:r>
      <w:proofErr w:type="gramStart"/>
      <w:r w:rsidR="00802C8C" w:rsidRPr="00D775A7">
        <w:rPr>
          <w:szCs w:val="18"/>
        </w:rPr>
        <w:t>t</w:t>
      </w:r>
      <w:r w:rsidRPr="00D775A7">
        <w:rPr>
          <w:szCs w:val="18"/>
        </w:rPr>
        <w:t>he</w:t>
      </w:r>
      <w:proofErr w:type="gramEnd"/>
      <w:r w:rsidRPr="00D775A7">
        <w:rPr>
          <w:szCs w:val="18"/>
        </w:rPr>
        <w:t xml:space="preserve"> relevant treatment arm, </w:t>
      </w:r>
      <w:r w:rsidR="00802C8C" w:rsidRPr="00D775A7">
        <w:rPr>
          <w:szCs w:val="18"/>
        </w:rPr>
        <w:t>BUP/NAL SL tablets, was open-</w:t>
      </w:r>
      <w:r w:rsidRPr="00D775A7">
        <w:rPr>
          <w:szCs w:val="18"/>
        </w:rPr>
        <w:t xml:space="preserve">label. </w:t>
      </w:r>
      <w:r w:rsidR="00802C8C" w:rsidRPr="00D775A7">
        <w:rPr>
          <w:szCs w:val="18"/>
        </w:rPr>
        <w:t>O</w:t>
      </w:r>
      <w:r w:rsidRPr="00D775A7">
        <w:rPr>
          <w:szCs w:val="18"/>
        </w:rPr>
        <w:t xml:space="preserve">ther </w:t>
      </w:r>
      <w:r w:rsidR="00DC1511" w:rsidRPr="00D775A7">
        <w:rPr>
          <w:szCs w:val="18"/>
        </w:rPr>
        <w:t>treatment</w:t>
      </w:r>
      <w:r w:rsidRPr="00D775A7">
        <w:rPr>
          <w:szCs w:val="18"/>
        </w:rPr>
        <w:t xml:space="preserve"> arms (placebo and bupr</w:t>
      </w:r>
      <w:r w:rsidR="00802C8C" w:rsidRPr="00D775A7">
        <w:rPr>
          <w:szCs w:val="18"/>
        </w:rPr>
        <w:t>enorphine implants were double-</w:t>
      </w:r>
      <w:r w:rsidRPr="00D775A7">
        <w:rPr>
          <w:szCs w:val="18"/>
        </w:rPr>
        <w:t>blind.</w:t>
      </w:r>
    </w:p>
    <w:p w:rsidR="00E02E7E" w:rsidRPr="00D775A7" w:rsidRDefault="00E02E7E" w:rsidP="00C42D38">
      <w:pPr>
        <w:pStyle w:val="Heading2"/>
        <w:spacing w:before="120" w:after="120"/>
      </w:pPr>
      <w:bookmarkStart w:id="16" w:name="_Toc535915910"/>
      <w:r w:rsidRPr="00D775A7">
        <w:t>Comparative effectiveness</w:t>
      </w:r>
      <w:bookmarkEnd w:id="16"/>
    </w:p>
    <w:p w:rsidR="00E02E7E" w:rsidRPr="00D775A7" w:rsidRDefault="00BC72D0" w:rsidP="00C42D38">
      <w:pPr>
        <w:pStyle w:val="ListParagraph"/>
        <w:widowControl/>
        <w:numPr>
          <w:ilvl w:val="1"/>
          <w:numId w:val="2"/>
        </w:numPr>
        <w:spacing w:before="120" w:after="120"/>
        <w:ind w:left="720" w:hanging="720"/>
        <w:rPr>
          <w:color w:val="000000" w:themeColor="text1"/>
        </w:rPr>
      </w:pPr>
      <w:r w:rsidRPr="00D775A7">
        <w:rPr>
          <w:rStyle w:val="CommentReference"/>
          <w:rFonts w:asciiTheme="minorHAnsi" w:hAnsiTheme="minorHAnsi" w:cstheme="minorHAnsi"/>
          <w:b w:val="0"/>
          <w:sz w:val="24"/>
          <w:szCs w:val="24"/>
        </w:rPr>
        <w:t xml:space="preserve">Table </w:t>
      </w:r>
      <w:r w:rsidRPr="00D775A7">
        <w:rPr>
          <w:rStyle w:val="CommentReference"/>
          <w:rFonts w:asciiTheme="minorHAnsi" w:hAnsiTheme="minorHAnsi"/>
          <w:b w:val="0"/>
          <w:sz w:val="24"/>
          <w:szCs w:val="24"/>
        </w:rPr>
        <w:t>4</w:t>
      </w:r>
      <w:r w:rsidR="00E02E7E" w:rsidRPr="00D775A7">
        <w:rPr>
          <w:rFonts w:cs="Calibri"/>
          <w:snapToGrid/>
          <w:color w:val="000000" w:themeColor="text1"/>
          <w:szCs w:val="24"/>
          <w:lang w:eastAsia="en-AU"/>
        </w:rPr>
        <w:t xml:space="preserve"> presents key results from the RB-US-13-0001 trial. </w:t>
      </w:r>
    </w:p>
    <w:p w:rsidR="00E02E7E" w:rsidRPr="00D775A7" w:rsidRDefault="00E02E7E" w:rsidP="00E02E7E">
      <w:pPr>
        <w:pStyle w:val="BodyText"/>
        <w:jc w:val="both"/>
        <w:rPr>
          <w:rStyle w:val="CommentReference"/>
        </w:rPr>
      </w:pPr>
      <w:bookmarkStart w:id="17" w:name="_Ref532154529"/>
      <w:r w:rsidRPr="00D775A7">
        <w:rPr>
          <w:rStyle w:val="CommentReference"/>
        </w:rPr>
        <w:t xml:space="preserve">Table </w:t>
      </w:r>
      <w:r w:rsidR="00BC72D0" w:rsidRPr="00D775A7">
        <w:rPr>
          <w:rStyle w:val="CommentReference"/>
        </w:rPr>
        <w:t>4</w:t>
      </w:r>
      <w:bookmarkEnd w:id="17"/>
      <w:r w:rsidRPr="00D775A7">
        <w:rPr>
          <w:rStyle w:val="CommentReference"/>
        </w:rPr>
        <w:t>: Key results of RB-US-13-0001</w:t>
      </w:r>
    </w:p>
    <w:tbl>
      <w:tblPr>
        <w:tblStyle w:val="Submissionstandard"/>
        <w:tblW w:w="8963" w:type="dxa"/>
        <w:tblCellMar>
          <w:left w:w="29" w:type="dxa"/>
          <w:right w:w="29" w:type="dxa"/>
        </w:tblCellMar>
        <w:tblLook w:val="04A0" w:firstRow="1" w:lastRow="0" w:firstColumn="1" w:lastColumn="0" w:noHBand="0" w:noVBand="1"/>
        <w:tblCaption w:val="Table 4: Key results of RB-US-13-0001"/>
      </w:tblPr>
      <w:tblGrid>
        <w:gridCol w:w="3114"/>
        <w:gridCol w:w="1276"/>
        <w:gridCol w:w="1417"/>
        <w:gridCol w:w="888"/>
        <w:gridCol w:w="1380"/>
        <w:gridCol w:w="888"/>
      </w:tblGrid>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vMerge w:val="restart"/>
            <w:shd w:val="clear" w:color="auto" w:fill="auto"/>
            <w:vAlign w:val="bottom"/>
          </w:tcPr>
          <w:p w:rsidR="00E02E7E" w:rsidRPr="00D775A7" w:rsidRDefault="00E02E7E" w:rsidP="00087F16">
            <w:pPr>
              <w:pStyle w:val="Tabletext"/>
              <w:rPr>
                <w:lang w:val="en-AU"/>
              </w:rPr>
            </w:pPr>
            <w:r w:rsidRPr="00D775A7">
              <w:rPr>
                <w:lang w:val="en-AU"/>
              </w:rPr>
              <w:t>Endpoint</w:t>
            </w:r>
          </w:p>
        </w:tc>
        <w:tc>
          <w:tcPr>
            <w:tcW w:w="1276" w:type="dxa"/>
            <w:shd w:val="clear" w:color="auto" w:fill="auto"/>
            <w:vAlign w:val="center"/>
          </w:tcPr>
          <w:p w:rsidR="00E02E7E" w:rsidRPr="00D775A7" w:rsidRDefault="00E02E7E" w:rsidP="00087F16">
            <w:pPr>
              <w:pStyle w:val="Tabletext"/>
              <w:jc w:val="center"/>
              <w:rPr>
                <w:lang w:val="en-AU"/>
              </w:rPr>
            </w:pPr>
            <w:r w:rsidRPr="00D775A7">
              <w:rPr>
                <w:lang w:val="en-AU"/>
              </w:rPr>
              <w:t>Placebo</w:t>
            </w:r>
          </w:p>
        </w:tc>
        <w:tc>
          <w:tcPr>
            <w:tcW w:w="2305" w:type="dxa"/>
            <w:gridSpan w:val="2"/>
            <w:shd w:val="clear" w:color="auto" w:fill="auto"/>
            <w:vAlign w:val="center"/>
          </w:tcPr>
          <w:p w:rsidR="00E02E7E" w:rsidRPr="00D775A7" w:rsidRDefault="00E02E7E" w:rsidP="00087F16">
            <w:pPr>
              <w:pStyle w:val="Tabletext"/>
              <w:jc w:val="center"/>
              <w:rPr>
                <w:lang w:val="en-AU"/>
              </w:rPr>
            </w:pPr>
            <w:proofErr w:type="spellStart"/>
            <w:r w:rsidRPr="00D775A7">
              <w:rPr>
                <w:lang w:val="en-AU"/>
              </w:rPr>
              <w:t>Sublocade</w:t>
            </w:r>
            <w:proofErr w:type="spellEnd"/>
            <w:r w:rsidRPr="00D775A7">
              <w:rPr>
                <w:lang w:val="en-AU"/>
              </w:rPr>
              <w:t xml:space="preserve"> 300 mg/100 mg</w:t>
            </w:r>
          </w:p>
        </w:tc>
        <w:tc>
          <w:tcPr>
            <w:tcW w:w="2268" w:type="dxa"/>
            <w:gridSpan w:val="2"/>
            <w:shd w:val="clear" w:color="auto" w:fill="auto"/>
            <w:vAlign w:val="center"/>
          </w:tcPr>
          <w:p w:rsidR="00E02E7E" w:rsidRPr="00D775A7" w:rsidRDefault="00E02E7E" w:rsidP="00087F16">
            <w:pPr>
              <w:pStyle w:val="Tabletext"/>
              <w:jc w:val="center"/>
              <w:rPr>
                <w:lang w:val="en-AU"/>
              </w:rPr>
            </w:pPr>
            <w:proofErr w:type="spellStart"/>
            <w:r w:rsidRPr="00D775A7">
              <w:rPr>
                <w:lang w:val="en-AU"/>
              </w:rPr>
              <w:t>Sublocade</w:t>
            </w:r>
            <w:proofErr w:type="spellEnd"/>
            <w:r w:rsidRPr="00D775A7">
              <w:rPr>
                <w:lang w:val="en-AU"/>
              </w:rPr>
              <w:t xml:space="preserve"> 300 mg/300 mg</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1"/>
          <w:tblHeader/>
        </w:trPr>
        <w:tc>
          <w:tcPr>
            <w:tcW w:w="3114" w:type="dxa"/>
            <w:vMerge/>
            <w:shd w:val="clear" w:color="auto" w:fill="auto"/>
          </w:tcPr>
          <w:p w:rsidR="00E02E7E" w:rsidRPr="00D775A7" w:rsidRDefault="00E02E7E" w:rsidP="00087F16">
            <w:pPr>
              <w:pStyle w:val="Tabletext"/>
              <w:rPr>
                <w:b w:val="0"/>
                <w:lang w:val="en-AU"/>
              </w:rPr>
            </w:pPr>
          </w:p>
        </w:tc>
        <w:tc>
          <w:tcPr>
            <w:tcW w:w="1276" w:type="dxa"/>
            <w:vAlign w:val="center"/>
          </w:tcPr>
          <w:p w:rsidR="00E02E7E" w:rsidRPr="00D775A7" w:rsidRDefault="00E02E7E" w:rsidP="00087F16">
            <w:pPr>
              <w:pStyle w:val="Tabletext"/>
              <w:jc w:val="center"/>
              <w:rPr>
                <w:b w:val="0"/>
                <w:lang w:val="en-AU"/>
              </w:rPr>
            </w:pPr>
            <w:r w:rsidRPr="00D775A7">
              <w:rPr>
                <w:lang w:val="en-AU"/>
              </w:rPr>
              <w:t>N = 99</w:t>
            </w:r>
          </w:p>
        </w:tc>
        <w:tc>
          <w:tcPr>
            <w:tcW w:w="1417" w:type="dxa"/>
            <w:shd w:val="clear" w:color="auto" w:fill="auto"/>
            <w:vAlign w:val="center"/>
          </w:tcPr>
          <w:p w:rsidR="00E02E7E" w:rsidRPr="00D775A7" w:rsidRDefault="00E02E7E" w:rsidP="00087F16">
            <w:pPr>
              <w:pStyle w:val="Tabletext"/>
              <w:jc w:val="center"/>
              <w:rPr>
                <w:b w:val="0"/>
                <w:lang w:val="en-AU"/>
              </w:rPr>
            </w:pPr>
            <w:r w:rsidRPr="00D775A7">
              <w:rPr>
                <w:lang w:val="en-AU"/>
              </w:rPr>
              <w:t>N = 194</w:t>
            </w:r>
          </w:p>
        </w:tc>
        <w:tc>
          <w:tcPr>
            <w:tcW w:w="888" w:type="dxa"/>
            <w:vAlign w:val="center"/>
          </w:tcPr>
          <w:p w:rsidR="00E02E7E" w:rsidRPr="00D775A7" w:rsidRDefault="00E02E7E" w:rsidP="00087F16">
            <w:pPr>
              <w:pStyle w:val="Tabletext"/>
              <w:jc w:val="center"/>
              <w:rPr>
                <w:b w:val="0"/>
                <w:lang w:val="en-AU"/>
              </w:rPr>
            </w:pPr>
            <w:r w:rsidRPr="00D775A7">
              <w:rPr>
                <w:lang w:val="en-AU"/>
              </w:rPr>
              <w:t>P-Value*</w:t>
            </w:r>
          </w:p>
        </w:tc>
        <w:tc>
          <w:tcPr>
            <w:tcW w:w="1380" w:type="dxa"/>
            <w:shd w:val="clear" w:color="auto" w:fill="auto"/>
            <w:vAlign w:val="center"/>
          </w:tcPr>
          <w:p w:rsidR="00E02E7E" w:rsidRPr="00D775A7" w:rsidRDefault="00E02E7E" w:rsidP="00087F16">
            <w:pPr>
              <w:pStyle w:val="Tabletext"/>
              <w:jc w:val="center"/>
              <w:rPr>
                <w:b w:val="0"/>
                <w:lang w:val="en-AU"/>
              </w:rPr>
            </w:pPr>
            <w:r w:rsidRPr="00D775A7">
              <w:rPr>
                <w:lang w:val="en-AU"/>
              </w:rPr>
              <w:t>N = 196</w:t>
            </w:r>
          </w:p>
        </w:tc>
        <w:tc>
          <w:tcPr>
            <w:tcW w:w="888" w:type="dxa"/>
            <w:shd w:val="clear" w:color="auto" w:fill="auto"/>
            <w:vAlign w:val="center"/>
          </w:tcPr>
          <w:p w:rsidR="00E02E7E" w:rsidRPr="00D775A7" w:rsidRDefault="00E02E7E" w:rsidP="00087F16">
            <w:pPr>
              <w:pStyle w:val="Tabletext"/>
              <w:jc w:val="center"/>
              <w:rPr>
                <w:b w:val="0"/>
                <w:lang w:val="en-AU"/>
              </w:rPr>
            </w:pPr>
            <w:r w:rsidRPr="00D775A7">
              <w:rPr>
                <w:lang w:val="en-AU"/>
              </w:rPr>
              <w:t>P-Value*</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1"/>
          <w:tblHeader/>
        </w:trPr>
        <w:tc>
          <w:tcPr>
            <w:tcW w:w="3114" w:type="dxa"/>
            <w:shd w:val="clear" w:color="auto" w:fill="auto"/>
          </w:tcPr>
          <w:p w:rsidR="00E02E7E" w:rsidRPr="00D775A7" w:rsidRDefault="00E02E7E" w:rsidP="00087F16">
            <w:pPr>
              <w:pStyle w:val="Tabletext"/>
              <w:rPr>
                <w:b w:val="0"/>
                <w:lang w:val="en-AU"/>
              </w:rPr>
            </w:pPr>
            <w:r w:rsidRPr="00D775A7">
              <w:rPr>
                <w:lang w:val="en-AU"/>
              </w:rPr>
              <w:t>CDF of percentage abstinence weeks 5-24 FAS, mean (SD)</w:t>
            </w:r>
          </w:p>
        </w:tc>
        <w:tc>
          <w:tcPr>
            <w:tcW w:w="1276" w:type="dxa"/>
            <w:vAlign w:val="center"/>
          </w:tcPr>
          <w:p w:rsidR="00E02E7E" w:rsidRPr="00D775A7" w:rsidRDefault="00E02E7E" w:rsidP="00087F16">
            <w:pPr>
              <w:pStyle w:val="Tabletext"/>
              <w:jc w:val="center"/>
              <w:rPr>
                <w:lang w:val="en-AU"/>
              </w:rPr>
            </w:pPr>
            <w:r w:rsidRPr="00D775A7">
              <w:rPr>
                <w:lang w:val="en-AU"/>
              </w:rPr>
              <w:t>5.0% (16.98%)</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42.7% (38.50%)</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41.3% (39.66%)</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CDF urine samples negative, mean (SD)</w:t>
            </w:r>
          </w:p>
        </w:tc>
        <w:tc>
          <w:tcPr>
            <w:tcW w:w="1276" w:type="dxa"/>
            <w:vAlign w:val="center"/>
          </w:tcPr>
          <w:p w:rsidR="00E02E7E" w:rsidRPr="00D775A7" w:rsidRDefault="00E02E7E" w:rsidP="00087F16">
            <w:pPr>
              <w:pStyle w:val="Tabletext"/>
              <w:jc w:val="center"/>
              <w:rPr>
                <w:lang w:val="en-AU"/>
              </w:rPr>
            </w:pPr>
            <w:r w:rsidRPr="00D775A7">
              <w:rPr>
                <w:lang w:val="en-AU"/>
              </w:rPr>
              <w:t>7.0% (19.34%)</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46.0% (39.58%)</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43.8% (40.24%)</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 xml:space="preserve">CDF </w:t>
            </w:r>
            <w:r w:rsidR="00AE7211" w:rsidRPr="00D775A7">
              <w:rPr>
                <w:lang w:val="en-AU"/>
              </w:rPr>
              <w:t>self-reports</w:t>
            </w:r>
            <w:r w:rsidRPr="00D775A7">
              <w:rPr>
                <w:lang w:val="en-AU"/>
              </w:rPr>
              <w:t xml:space="preserve"> negative illicit opioid use, mean (SD)</w:t>
            </w:r>
          </w:p>
        </w:tc>
        <w:tc>
          <w:tcPr>
            <w:tcW w:w="1276" w:type="dxa"/>
            <w:vAlign w:val="center"/>
          </w:tcPr>
          <w:p w:rsidR="00E02E7E" w:rsidRPr="00D775A7" w:rsidRDefault="00E02E7E" w:rsidP="00087F16">
            <w:pPr>
              <w:pStyle w:val="Tabletext"/>
              <w:jc w:val="center"/>
              <w:rPr>
                <w:lang w:val="en-AU"/>
              </w:rPr>
            </w:pPr>
            <w:r w:rsidRPr="00D775A7">
              <w:rPr>
                <w:lang w:val="en-AU"/>
              </w:rPr>
              <w:t>19.1% (31.41%)</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63.0% (38.59%)</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62.1% (39.56%)</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Subjects abstinent at week 24, n (%)</w:t>
            </w:r>
          </w:p>
        </w:tc>
        <w:tc>
          <w:tcPr>
            <w:tcW w:w="1276" w:type="dxa"/>
            <w:vAlign w:val="center"/>
          </w:tcPr>
          <w:p w:rsidR="00E02E7E" w:rsidRPr="00D775A7" w:rsidRDefault="00E02E7E" w:rsidP="00087F16">
            <w:pPr>
              <w:pStyle w:val="Tabletext"/>
              <w:jc w:val="center"/>
              <w:rPr>
                <w:lang w:val="en-AU"/>
              </w:rPr>
            </w:pPr>
            <w:r w:rsidRPr="00D775A7">
              <w:rPr>
                <w:lang w:val="en-AU"/>
              </w:rPr>
              <w:t>2 (2.0)</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71 (36.6)</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87 (44.4)</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Treatment success</w:t>
            </w:r>
            <w:proofErr w:type="gramStart"/>
            <w:r w:rsidRPr="00D775A7">
              <w:rPr>
                <w:lang w:val="en-AU"/>
              </w:rPr>
              <w:t>,*</w:t>
            </w:r>
            <w:proofErr w:type="gramEnd"/>
            <w:r w:rsidRPr="00D775A7">
              <w:rPr>
                <w:lang w:val="en-AU"/>
              </w:rPr>
              <w:t>* n (%)</w:t>
            </w:r>
          </w:p>
        </w:tc>
        <w:tc>
          <w:tcPr>
            <w:tcW w:w="1276" w:type="dxa"/>
            <w:vAlign w:val="center"/>
          </w:tcPr>
          <w:p w:rsidR="00E02E7E" w:rsidRPr="00D775A7" w:rsidRDefault="00E02E7E" w:rsidP="00087F16">
            <w:pPr>
              <w:pStyle w:val="Tabletext"/>
              <w:jc w:val="center"/>
              <w:rPr>
                <w:lang w:val="en-AU"/>
              </w:rPr>
            </w:pPr>
            <w:r w:rsidRPr="00D775A7">
              <w:rPr>
                <w:lang w:val="en-AU"/>
              </w:rPr>
              <w:t>2 (2.0)</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55 (28.4</w:t>
            </w:r>
            <w:r w:rsidR="00B23BDA" w:rsidRPr="00D775A7">
              <w:rPr>
                <w:lang w:val="en-AU"/>
              </w:rPr>
              <w:t>)</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57 (29.1</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 xml:space="preserve">Subjects who are completers, </w:t>
            </w:r>
            <w:proofErr w:type="gramStart"/>
            <w:r w:rsidRPr="00D775A7">
              <w:rPr>
                <w:lang w:val="en-AU"/>
              </w:rPr>
              <w:t>n(</w:t>
            </w:r>
            <w:proofErr w:type="gramEnd"/>
            <w:r w:rsidRPr="00D775A7">
              <w:rPr>
                <w:lang w:val="en-AU"/>
              </w:rPr>
              <w:t>%)</w:t>
            </w:r>
          </w:p>
        </w:tc>
        <w:tc>
          <w:tcPr>
            <w:tcW w:w="1276" w:type="dxa"/>
            <w:vAlign w:val="center"/>
          </w:tcPr>
          <w:p w:rsidR="00E02E7E" w:rsidRPr="00D775A7" w:rsidRDefault="00E02E7E" w:rsidP="00087F16">
            <w:pPr>
              <w:pStyle w:val="Tabletext"/>
              <w:jc w:val="center"/>
              <w:rPr>
                <w:lang w:val="en-AU"/>
              </w:rPr>
            </w:pPr>
            <w:r w:rsidRPr="00D775A7">
              <w:rPr>
                <w:lang w:val="en-AU"/>
              </w:rPr>
              <w:t>33 (33.3)</w:t>
            </w:r>
          </w:p>
        </w:tc>
        <w:tc>
          <w:tcPr>
            <w:tcW w:w="1417" w:type="dxa"/>
            <w:shd w:val="clear" w:color="auto" w:fill="auto"/>
            <w:vAlign w:val="center"/>
          </w:tcPr>
          <w:p w:rsidR="00E02E7E" w:rsidRPr="00D775A7" w:rsidRDefault="00E02E7E" w:rsidP="00087F16">
            <w:pPr>
              <w:pStyle w:val="Tabletext"/>
              <w:jc w:val="center"/>
              <w:rPr>
                <w:lang w:val="en-AU"/>
              </w:rPr>
            </w:pPr>
            <w:r w:rsidRPr="00D775A7">
              <w:rPr>
                <w:lang w:val="en-AU"/>
              </w:rPr>
              <w:t>119 (61.3)</w:t>
            </w:r>
          </w:p>
        </w:tc>
        <w:tc>
          <w:tcPr>
            <w:tcW w:w="888" w:type="dxa"/>
            <w:vAlign w:val="center"/>
          </w:tcPr>
          <w:p w:rsidR="00E02E7E" w:rsidRPr="00D775A7" w:rsidRDefault="00E02E7E" w:rsidP="00087F16">
            <w:pPr>
              <w:pStyle w:val="Tabletext"/>
              <w:jc w:val="center"/>
              <w:rPr>
                <w:lang w:val="en-AU"/>
              </w:rPr>
            </w:pPr>
            <w:r w:rsidRPr="00D775A7">
              <w:rPr>
                <w:lang w:val="en-AU"/>
              </w:rPr>
              <w:t>&lt;0.0001</w:t>
            </w:r>
          </w:p>
        </w:tc>
        <w:tc>
          <w:tcPr>
            <w:tcW w:w="1380" w:type="dxa"/>
            <w:shd w:val="clear" w:color="auto" w:fill="auto"/>
            <w:vAlign w:val="center"/>
          </w:tcPr>
          <w:p w:rsidR="00E02E7E" w:rsidRPr="00D775A7" w:rsidRDefault="00E02E7E" w:rsidP="00087F16">
            <w:pPr>
              <w:pStyle w:val="Tabletext"/>
              <w:jc w:val="center"/>
              <w:rPr>
                <w:lang w:val="en-AU"/>
              </w:rPr>
            </w:pPr>
            <w:r w:rsidRPr="00D775A7">
              <w:rPr>
                <w:lang w:val="en-AU"/>
              </w:rPr>
              <w:t>126 (64.3)</w:t>
            </w:r>
          </w:p>
        </w:tc>
        <w:tc>
          <w:tcPr>
            <w:tcW w:w="888" w:type="dxa"/>
            <w:shd w:val="clear" w:color="auto" w:fill="auto"/>
            <w:vAlign w:val="center"/>
          </w:tcPr>
          <w:p w:rsidR="00E02E7E" w:rsidRPr="00D775A7" w:rsidRDefault="00E02E7E" w:rsidP="00087F16">
            <w:pPr>
              <w:pStyle w:val="Tabletext"/>
              <w:jc w:val="center"/>
              <w:rPr>
                <w:lang w:val="en-AU"/>
              </w:rPr>
            </w:pPr>
            <w:r w:rsidRPr="00D775A7">
              <w:rPr>
                <w:lang w:val="en-AU"/>
              </w:rPr>
              <w:t>&lt;0.0001</w:t>
            </w:r>
          </w:p>
        </w:tc>
      </w:tr>
    </w:tbl>
    <w:p w:rsidR="00AC55A1" w:rsidRPr="00D775A7" w:rsidRDefault="00E02E7E" w:rsidP="00E02E7E">
      <w:pPr>
        <w:pStyle w:val="TableFooter"/>
      </w:pPr>
      <w:r w:rsidRPr="00D775A7">
        <w:t xml:space="preserve">Source: Table 2.46, p91, Table 2.47, p 94, Table 2.49, p96, Table 2.50, p 96, Table 2.51, p97, Table 2.52, p97 of the submission. </w:t>
      </w:r>
    </w:p>
    <w:p w:rsidR="00E02E7E" w:rsidRPr="00D775A7" w:rsidRDefault="00E02E7E" w:rsidP="00E02E7E">
      <w:pPr>
        <w:pStyle w:val="TableFooter"/>
      </w:pPr>
      <w:r w:rsidRPr="00D775A7">
        <w:t>CDF = cumulative distribution function; FAS = full analysis set; IDC = individual drug counselling; mg = milligram.</w:t>
      </w:r>
    </w:p>
    <w:p w:rsidR="00E02E7E" w:rsidRPr="00D775A7" w:rsidRDefault="00E02E7E" w:rsidP="00E02E7E">
      <w:pPr>
        <w:pStyle w:val="TableFooter"/>
      </w:pPr>
      <w:r w:rsidRPr="00D775A7">
        <w:t>Note: all treatment groups included IDC</w:t>
      </w:r>
    </w:p>
    <w:p w:rsidR="00E02E7E" w:rsidRPr="00D775A7" w:rsidRDefault="00E02E7E" w:rsidP="00E02E7E">
      <w:pPr>
        <w:pStyle w:val="TableFooter"/>
        <w:tabs>
          <w:tab w:val="left" w:pos="284"/>
        </w:tabs>
        <w:ind w:left="284" w:hanging="284"/>
      </w:pPr>
      <w:r w:rsidRPr="00D775A7">
        <w:t>*</w:t>
      </w:r>
      <w:r w:rsidRPr="00D775A7">
        <w:tab/>
      </w:r>
      <w:proofErr w:type="gramStart"/>
      <w:r w:rsidRPr="00D775A7">
        <w:t>versus</w:t>
      </w:r>
      <w:proofErr w:type="gramEnd"/>
      <w:r w:rsidRPr="00D775A7">
        <w:t xml:space="preserve"> placebo</w:t>
      </w:r>
    </w:p>
    <w:p w:rsidR="00E02E7E" w:rsidRPr="00D775A7" w:rsidRDefault="00E02E7E" w:rsidP="00E02E7E">
      <w:pPr>
        <w:pStyle w:val="TableFooter"/>
        <w:tabs>
          <w:tab w:val="left" w:pos="284"/>
        </w:tabs>
        <w:ind w:left="284" w:hanging="284"/>
      </w:pPr>
      <w:r w:rsidRPr="00D775A7">
        <w:t>**</w:t>
      </w:r>
      <w:r w:rsidRPr="00D775A7">
        <w:tab/>
        <w:t>treatment success was defined as any subject with ≥80% urine samples negative for opioids combined with self -reports negative for illicit opioid use between Weeks 5 and 24</w:t>
      </w:r>
    </w:p>
    <w:p w:rsidR="00E02E7E" w:rsidRPr="00D775A7" w:rsidRDefault="00E02E7E" w:rsidP="00E02E7E">
      <w:pPr>
        <w:widowControl/>
        <w:rPr>
          <w:color w:val="000000" w:themeColor="text1"/>
        </w:rPr>
      </w:pPr>
    </w:p>
    <w:p w:rsidR="00E02E7E" w:rsidRPr="00D775A7" w:rsidRDefault="00BC72D0" w:rsidP="00C42D38">
      <w:pPr>
        <w:pStyle w:val="ListParagraph"/>
        <w:widowControl/>
        <w:numPr>
          <w:ilvl w:val="1"/>
          <w:numId w:val="2"/>
        </w:numPr>
        <w:spacing w:before="120" w:after="120"/>
        <w:ind w:left="720" w:hanging="720"/>
        <w:rPr>
          <w:color w:val="000000" w:themeColor="text1"/>
        </w:rPr>
      </w:pPr>
      <w:r w:rsidRPr="00D775A7">
        <w:rPr>
          <w:rFonts w:asciiTheme="minorHAnsi" w:hAnsiTheme="minorHAnsi" w:cstheme="minorHAnsi"/>
          <w:szCs w:val="24"/>
        </w:rPr>
        <w:lastRenderedPageBreak/>
        <w:t>Figure</w:t>
      </w:r>
      <w:r w:rsidRPr="00D775A7">
        <w:rPr>
          <w:rFonts w:ascii="Arial Narrow" w:hAnsi="Arial Narrow"/>
          <w:sz w:val="20"/>
        </w:rPr>
        <w:t xml:space="preserve"> 1</w:t>
      </w:r>
      <w:r w:rsidR="00E02E7E" w:rsidRPr="00D775A7">
        <w:rPr>
          <w:rFonts w:asciiTheme="minorHAnsi" w:hAnsiTheme="minorHAnsi" w:cstheme="minorHAnsi"/>
          <w:szCs w:val="24"/>
        </w:rPr>
        <w:t xml:space="preserve"> p</w:t>
      </w:r>
      <w:r w:rsidR="00E02E7E" w:rsidRPr="00D775A7">
        <w:t xml:space="preserve">resents the results of the primary efficacy endpoint for the </w:t>
      </w:r>
      <w:r w:rsidR="00AC55A1" w:rsidRPr="00D775A7">
        <w:t xml:space="preserve">RB-US-13-001 trial: </w:t>
      </w:r>
      <w:r w:rsidR="00E02E7E" w:rsidRPr="00D775A7">
        <w:t>cumulative distribution function (CDF) of percentage abstinence, weeks 5-24.</w:t>
      </w:r>
    </w:p>
    <w:p w:rsidR="00E02E7E" w:rsidRPr="00D775A7" w:rsidRDefault="00AC55A1" w:rsidP="00AC55A1">
      <w:pPr>
        <w:pStyle w:val="Caption"/>
        <w:spacing w:after="0"/>
        <w:jc w:val="left"/>
        <w:rPr>
          <w:rStyle w:val="CommentReference"/>
          <w:b/>
          <w:color w:val="auto"/>
        </w:rPr>
      </w:pPr>
      <w:bookmarkStart w:id="18" w:name="_Ref532154687"/>
      <w:bookmarkStart w:id="19" w:name="_Ref532154680"/>
      <w:r w:rsidRPr="00D775A7">
        <w:rPr>
          <w:rFonts w:ascii="Arial Narrow" w:hAnsi="Arial Narrow"/>
          <w:color w:val="auto"/>
          <w:sz w:val="20"/>
        </w:rPr>
        <w:t xml:space="preserve">Figure </w:t>
      </w:r>
      <w:r w:rsidR="00BC72D0" w:rsidRPr="00D775A7">
        <w:rPr>
          <w:rFonts w:ascii="Arial Narrow" w:hAnsi="Arial Narrow"/>
          <w:color w:val="auto"/>
          <w:sz w:val="20"/>
        </w:rPr>
        <w:t>1</w:t>
      </w:r>
      <w:bookmarkEnd w:id="18"/>
      <w:r w:rsidR="00E02E7E" w:rsidRPr="00D775A7">
        <w:rPr>
          <w:rStyle w:val="CommentReference"/>
          <w:b/>
          <w:color w:val="auto"/>
        </w:rPr>
        <w:t>:</w:t>
      </w:r>
      <w:r w:rsidR="00E02E7E" w:rsidRPr="00D775A7">
        <w:rPr>
          <w:rStyle w:val="CommentReference"/>
          <w:color w:val="auto"/>
        </w:rPr>
        <w:t xml:space="preserve"> </w:t>
      </w:r>
      <w:r w:rsidR="00E02E7E" w:rsidRPr="00D775A7">
        <w:rPr>
          <w:rStyle w:val="CommentReference"/>
          <w:b/>
          <w:color w:val="auto"/>
        </w:rPr>
        <w:t>CDF of percentage abstinence, Weeks 5-24 FAS in RB-US-13-0001</w:t>
      </w:r>
      <w:bookmarkEnd w:id="19"/>
    </w:p>
    <w:p w:rsidR="00640098" w:rsidRPr="00D775A7" w:rsidRDefault="00640098" w:rsidP="00640098">
      <w:r w:rsidRPr="00D775A7">
        <w:rPr>
          <w:noProof/>
          <w:lang w:eastAsia="en-AU"/>
        </w:rPr>
        <w:drawing>
          <wp:inline distT="0" distB="0" distL="0" distR="0" wp14:anchorId="3A160255" wp14:editId="79643DD5">
            <wp:extent cx="4943475" cy="2818468"/>
            <wp:effectExtent l="0" t="0" r="0" b="1270"/>
            <wp:docPr id="2" name="Picture 2" title="Figure 1: CDF of percentage abstinence, Weeks 5-24 FAS in RB-US-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953886" cy="2824404"/>
                    </a:xfrm>
                    <a:prstGeom prst="rect">
                      <a:avLst/>
                    </a:prstGeom>
                  </pic:spPr>
                </pic:pic>
              </a:graphicData>
            </a:graphic>
          </wp:inline>
        </w:drawing>
      </w:r>
    </w:p>
    <w:p w:rsidR="00AC55A1" w:rsidRPr="00D775A7" w:rsidRDefault="00E02E7E" w:rsidP="00AC55A1">
      <w:pPr>
        <w:pStyle w:val="TableFooter"/>
        <w:jc w:val="left"/>
        <w:rPr>
          <w:rStyle w:val="CommentReference"/>
          <w:b w:val="0"/>
          <w:sz w:val="18"/>
          <w:szCs w:val="22"/>
        </w:rPr>
      </w:pPr>
      <w:r w:rsidRPr="00D775A7">
        <w:rPr>
          <w:rStyle w:val="CommentReference"/>
          <w:b w:val="0"/>
          <w:sz w:val="18"/>
          <w:szCs w:val="22"/>
        </w:rPr>
        <w:t xml:space="preserve">Source: Figure 2.6, p92 of the submission. </w:t>
      </w:r>
    </w:p>
    <w:p w:rsidR="00E02E7E" w:rsidRPr="00D775A7" w:rsidRDefault="00E02E7E" w:rsidP="00AC55A1">
      <w:pPr>
        <w:pStyle w:val="TableFooter"/>
        <w:jc w:val="left"/>
        <w:rPr>
          <w:rStyle w:val="CommentReference"/>
          <w:b w:val="0"/>
          <w:sz w:val="18"/>
          <w:szCs w:val="22"/>
        </w:rPr>
      </w:pPr>
      <w:r w:rsidRPr="00D775A7">
        <w:rPr>
          <w:rStyle w:val="CommentReference"/>
          <w:b w:val="0"/>
          <w:sz w:val="18"/>
          <w:szCs w:val="22"/>
        </w:rPr>
        <w:t>CDF = cumulative distribution function; FAS = full analysis set; IDC = individual drug counselling; mg = milligram;</w:t>
      </w:r>
    </w:p>
    <w:p w:rsidR="00E02E7E" w:rsidRPr="00D775A7" w:rsidRDefault="00E02E7E" w:rsidP="00AC55A1">
      <w:pPr>
        <w:pStyle w:val="TableFooter"/>
        <w:jc w:val="left"/>
        <w:rPr>
          <w:rStyle w:val="CommentReference"/>
          <w:b w:val="0"/>
          <w:sz w:val="18"/>
          <w:szCs w:val="22"/>
        </w:rPr>
      </w:pPr>
      <w:r w:rsidRPr="00D775A7">
        <w:rPr>
          <w:rStyle w:val="CommentReference"/>
          <w:b w:val="0"/>
          <w:sz w:val="18"/>
          <w:szCs w:val="22"/>
        </w:rPr>
        <w:t>Note:</w:t>
      </w:r>
      <w:r w:rsidR="00AC55A1" w:rsidRPr="00D775A7">
        <w:rPr>
          <w:rStyle w:val="CommentReference"/>
          <w:b w:val="0"/>
          <w:sz w:val="18"/>
          <w:szCs w:val="22"/>
        </w:rPr>
        <w:t xml:space="preserve"> </w:t>
      </w:r>
      <w:r w:rsidRPr="00D775A7">
        <w:rPr>
          <w:rStyle w:val="CommentReference"/>
          <w:b w:val="0"/>
          <w:sz w:val="18"/>
          <w:szCs w:val="22"/>
        </w:rPr>
        <w:t>300mg/100mg mean (SD): 42.7% (38.50%)</w:t>
      </w:r>
      <w:r w:rsidR="00AC55A1" w:rsidRPr="00D775A7">
        <w:rPr>
          <w:rStyle w:val="CommentReference"/>
          <w:b w:val="0"/>
          <w:sz w:val="18"/>
          <w:szCs w:val="22"/>
        </w:rPr>
        <w:t xml:space="preserve">; </w:t>
      </w:r>
      <w:r w:rsidRPr="00D775A7">
        <w:rPr>
          <w:rStyle w:val="CommentReference"/>
          <w:b w:val="0"/>
          <w:sz w:val="18"/>
          <w:szCs w:val="22"/>
        </w:rPr>
        <w:t>300mg/400mg mean (SD): 41.3% (39.66%)</w:t>
      </w:r>
      <w:r w:rsidR="00AC55A1" w:rsidRPr="00D775A7">
        <w:rPr>
          <w:rStyle w:val="CommentReference"/>
          <w:b w:val="0"/>
          <w:sz w:val="18"/>
          <w:szCs w:val="22"/>
        </w:rPr>
        <w:t xml:space="preserve">; </w:t>
      </w:r>
      <w:r w:rsidRPr="00D775A7">
        <w:rPr>
          <w:rStyle w:val="CommentReference"/>
          <w:b w:val="0"/>
          <w:sz w:val="18"/>
          <w:szCs w:val="22"/>
        </w:rPr>
        <w:t>Placebo mean (SD): 5.0% (16.9%)</w:t>
      </w:r>
    </w:p>
    <w:p w:rsidR="00E02E7E" w:rsidRPr="00D775A7" w:rsidRDefault="00E02E7E" w:rsidP="00C42D38">
      <w:pPr>
        <w:pStyle w:val="ListParagraph"/>
        <w:widowControl/>
        <w:numPr>
          <w:ilvl w:val="1"/>
          <w:numId w:val="2"/>
        </w:numPr>
        <w:spacing w:before="120" w:after="120"/>
        <w:ind w:left="720" w:hanging="720"/>
        <w:rPr>
          <w:color w:val="000000" w:themeColor="text1"/>
        </w:rPr>
      </w:pPr>
      <w:r w:rsidRPr="00D775A7">
        <w:rPr>
          <w:color w:val="000000" w:themeColor="text1"/>
        </w:rPr>
        <w:t>The</w:t>
      </w:r>
      <w:r w:rsidRPr="00D775A7">
        <w:t xml:space="preserve"> results indicated that both </w:t>
      </w:r>
      <w:proofErr w:type="spellStart"/>
      <w:r w:rsidRPr="00D775A7">
        <w:t>Sublocade</w:t>
      </w:r>
      <w:proofErr w:type="spellEnd"/>
      <w:r w:rsidRPr="00D775A7">
        <w:t xml:space="preserve"> groups </w:t>
      </w:r>
      <w:r w:rsidR="00AC55A1" w:rsidRPr="00D775A7">
        <w:t xml:space="preserve">(300mg initiation followed by 100mg/month or 300mg/month) </w:t>
      </w:r>
      <w:r w:rsidRPr="00D775A7">
        <w:t xml:space="preserve">were associated with statistically significant improvements in percentage abstinence by CDF compared to placebo. </w:t>
      </w:r>
    </w:p>
    <w:p w:rsidR="00E02F7A" w:rsidRPr="00D775A7" w:rsidRDefault="00E02E7E" w:rsidP="00C42D38">
      <w:pPr>
        <w:pStyle w:val="ListParagraph"/>
        <w:widowControl/>
        <w:numPr>
          <w:ilvl w:val="1"/>
          <w:numId w:val="2"/>
        </w:numPr>
        <w:spacing w:before="120" w:after="120"/>
        <w:ind w:left="720" w:hanging="720"/>
        <w:rPr>
          <w:color w:val="000000" w:themeColor="text1"/>
        </w:rPr>
      </w:pPr>
      <w:r w:rsidRPr="00D775A7">
        <w:rPr>
          <w:color w:val="000000" w:themeColor="text1"/>
        </w:rPr>
        <w:t>Overall</w:t>
      </w:r>
      <w:r w:rsidRPr="00D775A7">
        <w:t xml:space="preserve"> the evidence, suggests that </w:t>
      </w:r>
      <w:proofErr w:type="spellStart"/>
      <w:r w:rsidRPr="00D775A7">
        <w:t>Sublocade</w:t>
      </w:r>
      <w:proofErr w:type="spellEnd"/>
      <w:r w:rsidRPr="00D775A7">
        <w:t xml:space="preserve"> is more effective than placebo. The TGA first round Clinical </w:t>
      </w:r>
      <w:r w:rsidR="00492DBD" w:rsidRPr="00D775A7">
        <w:t>E</w:t>
      </w:r>
      <w:r w:rsidRPr="00D775A7">
        <w:t>v</w:t>
      </w:r>
      <w:r w:rsidR="00AC55A1" w:rsidRPr="00D775A7">
        <w:t>aluator concluded that the risk-</w:t>
      </w:r>
      <w:r w:rsidRPr="00D775A7">
        <w:t xml:space="preserve">benefit balance for </w:t>
      </w:r>
      <w:proofErr w:type="spellStart"/>
      <w:r w:rsidRPr="00D775A7">
        <w:t>Sublocade</w:t>
      </w:r>
      <w:proofErr w:type="spellEnd"/>
      <w:r w:rsidRPr="00D775A7">
        <w:t xml:space="preserve"> was favourable.</w:t>
      </w:r>
    </w:p>
    <w:p w:rsidR="00E02E7E" w:rsidRPr="00D775A7" w:rsidRDefault="00E02F7A" w:rsidP="00C42D38">
      <w:pPr>
        <w:pStyle w:val="ListParagraph"/>
        <w:widowControl/>
        <w:numPr>
          <w:ilvl w:val="1"/>
          <w:numId w:val="2"/>
        </w:numPr>
        <w:spacing w:before="120" w:after="120"/>
        <w:ind w:left="720" w:hanging="720"/>
      </w:pPr>
      <w:r w:rsidRPr="00D775A7">
        <w:rPr>
          <w:rFonts w:asciiTheme="minorHAnsi" w:hAnsiTheme="minorHAnsi" w:cstheme="minorHAnsi"/>
          <w:color w:val="000000" w:themeColor="text1"/>
          <w:szCs w:val="24"/>
        </w:rPr>
        <w:t xml:space="preserve">Table 5 </w:t>
      </w:r>
      <w:r w:rsidR="00E02E7E" w:rsidRPr="00D775A7">
        <w:t xml:space="preserve">presents key results of the Rosenthal (2013) trial. </w:t>
      </w:r>
    </w:p>
    <w:p w:rsidR="00BA34A8" w:rsidRDefault="00BA34A8">
      <w:pPr>
        <w:widowControl/>
        <w:jc w:val="left"/>
        <w:rPr>
          <w:rStyle w:val="CommentReference"/>
        </w:rPr>
      </w:pPr>
      <w:bookmarkStart w:id="20" w:name="_Ref532154767"/>
      <w:r>
        <w:rPr>
          <w:rStyle w:val="CommentReference"/>
        </w:rPr>
        <w:br w:type="page"/>
      </w:r>
    </w:p>
    <w:p w:rsidR="00E02E7E" w:rsidRPr="00D775A7" w:rsidRDefault="00E02E7E" w:rsidP="00E02E7E">
      <w:pPr>
        <w:pStyle w:val="BodyText"/>
        <w:jc w:val="both"/>
        <w:rPr>
          <w:rStyle w:val="CommentReference"/>
        </w:rPr>
      </w:pPr>
      <w:r w:rsidRPr="00D775A7">
        <w:rPr>
          <w:rStyle w:val="CommentReference"/>
        </w:rPr>
        <w:lastRenderedPageBreak/>
        <w:t>Table</w:t>
      </w:r>
      <w:r w:rsidR="003A0538" w:rsidRPr="00D775A7">
        <w:rPr>
          <w:rStyle w:val="CommentReference"/>
        </w:rPr>
        <w:t xml:space="preserve"> </w:t>
      </w:r>
      <w:r w:rsidR="00BC72D0" w:rsidRPr="00D775A7">
        <w:rPr>
          <w:rStyle w:val="CommentReference"/>
        </w:rPr>
        <w:t>5</w:t>
      </w:r>
      <w:bookmarkEnd w:id="20"/>
      <w:r w:rsidRPr="00D775A7">
        <w:rPr>
          <w:rStyle w:val="CommentReference"/>
        </w:rPr>
        <w:t>: Key results of Rosenthal (2013) trial</w:t>
      </w:r>
    </w:p>
    <w:tbl>
      <w:tblPr>
        <w:tblStyle w:val="Submissionstandard"/>
        <w:tblW w:w="9067" w:type="dxa"/>
        <w:tblLayout w:type="fixed"/>
        <w:tblCellMar>
          <w:left w:w="29" w:type="dxa"/>
          <w:right w:w="29" w:type="dxa"/>
        </w:tblCellMar>
        <w:tblLook w:val="04A0" w:firstRow="1" w:lastRow="0" w:firstColumn="1" w:lastColumn="0" w:noHBand="0" w:noVBand="1"/>
        <w:tblCaption w:val="Table 5: Key results of Rosenthal (2013) trial"/>
      </w:tblPr>
      <w:tblGrid>
        <w:gridCol w:w="2803"/>
        <w:gridCol w:w="1445"/>
        <w:gridCol w:w="1559"/>
        <w:gridCol w:w="992"/>
        <w:gridCol w:w="1418"/>
        <w:gridCol w:w="850"/>
      </w:tblGrid>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vMerge w:val="restart"/>
            <w:shd w:val="clear" w:color="auto" w:fill="auto"/>
            <w:vAlign w:val="bottom"/>
          </w:tcPr>
          <w:p w:rsidR="00E02E7E" w:rsidRPr="00D775A7" w:rsidRDefault="00E02E7E" w:rsidP="00087F16">
            <w:pPr>
              <w:pStyle w:val="Tabletext"/>
              <w:rPr>
                <w:lang w:val="en-AU"/>
              </w:rPr>
            </w:pPr>
            <w:r w:rsidRPr="00D775A7">
              <w:rPr>
                <w:lang w:val="en-AU"/>
              </w:rPr>
              <w:t>Endpoint</w:t>
            </w:r>
          </w:p>
        </w:tc>
        <w:tc>
          <w:tcPr>
            <w:tcW w:w="1445" w:type="dxa"/>
            <w:shd w:val="clear" w:color="auto" w:fill="auto"/>
          </w:tcPr>
          <w:p w:rsidR="00E02E7E" w:rsidRPr="00D775A7" w:rsidRDefault="00E02E7E" w:rsidP="00087F16">
            <w:pPr>
              <w:pStyle w:val="Tabletext"/>
              <w:jc w:val="center"/>
              <w:rPr>
                <w:lang w:val="en-AU"/>
              </w:rPr>
            </w:pPr>
            <w:r w:rsidRPr="00D775A7">
              <w:rPr>
                <w:lang w:val="en-AU"/>
              </w:rPr>
              <w:t>Placebo implants</w:t>
            </w:r>
          </w:p>
        </w:tc>
        <w:tc>
          <w:tcPr>
            <w:tcW w:w="2551" w:type="dxa"/>
            <w:gridSpan w:val="2"/>
            <w:shd w:val="clear" w:color="auto" w:fill="auto"/>
            <w:vAlign w:val="center"/>
          </w:tcPr>
          <w:p w:rsidR="00E02E7E" w:rsidRPr="00D775A7" w:rsidRDefault="00E02E7E" w:rsidP="00087F16">
            <w:pPr>
              <w:pStyle w:val="Tabletext"/>
              <w:jc w:val="center"/>
              <w:rPr>
                <w:lang w:val="en-AU"/>
              </w:rPr>
            </w:pPr>
            <w:r w:rsidRPr="00D775A7">
              <w:rPr>
                <w:lang w:val="en-AU"/>
              </w:rPr>
              <w:t>Buprenorphine implants</w:t>
            </w:r>
          </w:p>
        </w:tc>
        <w:tc>
          <w:tcPr>
            <w:tcW w:w="2268" w:type="dxa"/>
            <w:gridSpan w:val="2"/>
            <w:shd w:val="clear" w:color="auto" w:fill="auto"/>
            <w:vAlign w:val="center"/>
          </w:tcPr>
          <w:p w:rsidR="00E02E7E" w:rsidRPr="00D775A7" w:rsidRDefault="00E02E7E" w:rsidP="00087F16">
            <w:pPr>
              <w:pStyle w:val="Tabletext"/>
              <w:jc w:val="center"/>
              <w:rPr>
                <w:lang w:val="en-AU"/>
              </w:rPr>
            </w:pPr>
            <w:r w:rsidRPr="00D775A7">
              <w:rPr>
                <w:lang w:val="en-AU"/>
              </w:rPr>
              <w:t>BUP/NAL SL tablets</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1"/>
          <w:tblHeader/>
        </w:trPr>
        <w:tc>
          <w:tcPr>
            <w:tcW w:w="2803" w:type="dxa"/>
            <w:vMerge/>
            <w:shd w:val="clear" w:color="auto" w:fill="auto"/>
          </w:tcPr>
          <w:p w:rsidR="00E02E7E" w:rsidRPr="00D775A7" w:rsidRDefault="00E02E7E" w:rsidP="00087F16">
            <w:pPr>
              <w:pStyle w:val="Tabletext"/>
              <w:rPr>
                <w:b w:val="0"/>
                <w:lang w:val="en-AU"/>
              </w:rPr>
            </w:pPr>
          </w:p>
        </w:tc>
        <w:tc>
          <w:tcPr>
            <w:tcW w:w="1445" w:type="dxa"/>
            <w:vAlign w:val="center"/>
          </w:tcPr>
          <w:p w:rsidR="00E02E7E" w:rsidRPr="00D775A7" w:rsidRDefault="00E02E7E" w:rsidP="00087F16">
            <w:pPr>
              <w:pStyle w:val="Tabletext"/>
              <w:jc w:val="center"/>
              <w:rPr>
                <w:b w:val="0"/>
                <w:lang w:val="en-AU"/>
              </w:rPr>
            </w:pPr>
            <w:r w:rsidRPr="00D775A7">
              <w:rPr>
                <w:lang w:val="en-AU"/>
              </w:rPr>
              <w:t>N = 54</w:t>
            </w:r>
          </w:p>
        </w:tc>
        <w:tc>
          <w:tcPr>
            <w:tcW w:w="1559" w:type="dxa"/>
            <w:shd w:val="clear" w:color="auto" w:fill="auto"/>
            <w:vAlign w:val="center"/>
          </w:tcPr>
          <w:p w:rsidR="00E02E7E" w:rsidRPr="00D775A7" w:rsidRDefault="00E02E7E" w:rsidP="00087F16">
            <w:pPr>
              <w:pStyle w:val="Tabletext"/>
              <w:jc w:val="center"/>
              <w:rPr>
                <w:b w:val="0"/>
                <w:lang w:val="en-AU"/>
              </w:rPr>
            </w:pPr>
            <w:r w:rsidRPr="00D775A7">
              <w:rPr>
                <w:lang w:val="en-AU"/>
              </w:rPr>
              <w:t>N = 114</w:t>
            </w:r>
          </w:p>
        </w:tc>
        <w:tc>
          <w:tcPr>
            <w:tcW w:w="992" w:type="dxa"/>
            <w:vAlign w:val="center"/>
          </w:tcPr>
          <w:p w:rsidR="00E02E7E" w:rsidRPr="00D775A7" w:rsidRDefault="00E02E7E" w:rsidP="00087F16">
            <w:pPr>
              <w:pStyle w:val="Tabletext"/>
              <w:jc w:val="center"/>
              <w:rPr>
                <w:b w:val="0"/>
                <w:lang w:val="en-AU"/>
              </w:rPr>
            </w:pPr>
            <w:r w:rsidRPr="00D775A7">
              <w:rPr>
                <w:lang w:val="en-AU"/>
              </w:rPr>
              <w:t>P-Value*</w:t>
            </w:r>
          </w:p>
        </w:tc>
        <w:tc>
          <w:tcPr>
            <w:tcW w:w="1418" w:type="dxa"/>
            <w:shd w:val="clear" w:color="auto" w:fill="auto"/>
            <w:vAlign w:val="center"/>
          </w:tcPr>
          <w:p w:rsidR="00E02E7E" w:rsidRPr="00D775A7" w:rsidRDefault="00E02E7E" w:rsidP="00087F16">
            <w:pPr>
              <w:pStyle w:val="Tabletext"/>
              <w:jc w:val="center"/>
              <w:rPr>
                <w:b w:val="0"/>
                <w:lang w:val="en-AU"/>
              </w:rPr>
            </w:pPr>
            <w:r w:rsidRPr="00D775A7">
              <w:rPr>
                <w:lang w:val="en-AU"/>
              </w:rPr>
              <w:t>N = 119</w:t>
            </w:r>
          </w:p>
        </w:tc>
        <w:tc>
          <w:tcPr>
            <w:tcW w:w="850" w:type="dxa"/>
            <w:shd w:val="clear" w:color="auto" w:fill="auto"/>
            <w:vAlign w:val="center"/>
          </w:tcPr>
          <w:p w:rsidR="00E02E7E" w:rsidRPr="00D775A7" w:rsidRDefault="00E02E7E" w:rsidP="00087F16">
            <w:pPr>
              <w:pStyle w:val="Tabletext"/>
              <w:jc w:val="center"/>
              <w:rPr>
                <w:b w:val="0"/>
                <w:lang w:val="en-AU"/>
              </w:rPr>
            </w:pPr>
            <w:r w:rsidRPr="00D775A7">
              <w:rPr>
                <w:lang w:val="en-AU"/>
              </w:rPr>
              <w:t>P-Value**</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 xml:space="preserve">CDF urine samples negative, mean (95% CI) without imputation based on </w:t>
            </w:r>
            <w:r w:rsidR="00AE7211" w:rsidRPr="00D775A7">
              <w:rPr>
                <w:lang w:val="en-AU"/>
              </w:rPr>
              <w:t>self-report</w:t>
            </w:r>
          </w:p>
        </w:tc>
        <w:tc>
          <w:tcPr>
            <w:tcW w:w="1445" w:type="dxa"/>
            <w:vAlign w:val="center"/>
          </w:tcPr>
          <w:p w:rsidR="00E02E7E" w:rsidRPr="00D775A7" w:rsidRDefault="00E02E7E" w:rsidP="00087F16">
            <w:pPr>
              <w:pStyle w:val="Tabletext"/>
              <w:jc w:val="center"/>
              <w:rPr>
                <w:lang w:val="en-AU"/>
              </w:rPr>
            </w:pPr>
            <w:r w:rsidRPr="00D775A7">
              <w:rPr>
                <w:lang w:val="en-AU"/>
              </w:rPr>
              <w:t xml:space="preserve">13.4% </w:t>
            </w:r>
            <w:r w:rsidRPr="00D775A7">
              <w:rPr>
                <w:lang w:val="en-AU"/>
              </w:rPr>
              <w:br/>
              <w:t>(8.3 18.6)</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 xml:space="preserve">31.2% </w:t>
            </w:r>
          </w:p>
          <w:p w:rsidR="00E02E7E" w:rsidRPr="00D775A7" w:rsidRDefault="00E02E7E" w:rsidP="00087F16">
            <w:pPr>
              <w:pStyle w:val="Tabletext"/>
              <w:jc w:val="center"/>
              <w:rPr>
                <w:lang w:val="en-AU"/>
              </w:rPr>
            </w:pPr>
            <w:r w:rsidRPr="00D775A7">
              <w:rPr>
                <w:lang w:val="en-AU"/>
              </w:rPr>
              <w:t>(25.3, 37.1)</w:t>
            </w:r>
          </w:p>
        </w:tc>
        <w:tc>
          <w:tcPr>
            <w:tcW w:w="992" w:type="dxa"/>
            <w:vAlign w:val="center"/>
          </w:tcPr>
          <w:p w:rsidR="00E02E7E" w:rsidRPr="00D775A7" w:rsidRDefault="00E02E7E" w:rsidP="00087F16">
            <w:pPr>
              <w:pStyle w:val="Tabletext"/>
              <w:jc w:val="center"/>
              <w:rPr>
                <w:lang w:val="en-AU"/>
              </w:rPr>
            </w:pPr>
            <w:r w:rsidRPr="00D775A7">
              <w:rPr>
                <w:lang w:val="en-AU"/>
              </w:rPr>
              <w:t>NR</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 xml:space="preserve">33.5% </w:t>
            </w:r>
          </w:p>
          <w:p w:rsidR="00E02E7E" w:rsidRPr="00D775A7" w:rsidRDefault="00E02E7E" w:rsidP="00087F16">
            <w:pPr>
              <w:pStyle w:val="Tabletext"/>
              <w:jc w:val="center"/>
              <w:rPr>
                <w:lang w:val="en-AU"/>
              </w:rPr>
            </w:pPr>
            <w:r w:rsidRPr="00D775A7">
              <w:rPr>
                <w:lang w:val="en-AU"/>
              </w:rPr>
              <w:t>(27.3, 39.6)</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NR</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 xml:space="preserve">CDF urine samples negative, mean (95% CI) with imputation based on </w:t>
            </w:r>
            <w:r w:rsidR="00AE7211" w:rsidRPr="00D775A7">
              <w:rPr>
                <w:lang w:val="en-AU"/>
              </w:rPr>
              <w:t>self-report</w:t>
            </w:r>
          </w:p>
        </w:tc>
        <w:tc>
          <w:tcPr>
            <w:tcW w:w="1445" w:type="dxa"/>
            <w:vAlign w:val="center"/>
          </w:tcPr>
          <w:p w:rsidR="00E02E7E" w:rsidRPr="00D775A7" w:rsidRDefault="00E02E7E" w:rsidP="00087F16">
            <w:pPr>
              <w:pStyle w:val="Tabletext"/>
              <w:jc w:val="center"/>
              <w:rPr>
                <w:lang w:val="en-AU"/>
              </w:rPr>
            </w:pPr>
            <w:r w:rsidRPr="00D775A7">
              <w:rPr>
                <w:lang w:val="en-AU"/>
              </w:rPr>
              <w:t xml:space="preserve">12.8% </w:t>
            </w:r>
          </w:p>
          <w:p w:rsidR="00E02E7E" w:rsidRPr="00D775A7" w:rsidRDefault="00E02E7E" w:rsidP="00087F16">
            <w:pPr>
              <w:pStyle w:val="Tabletext"/>
              <w:jc w:val="center"/>
              <w:rPr>
                <w:lang w:val="en-AU"/>
              </w:rPr>
            </w:pPr>
            <w:r w:rsidRPr="00D775A7">
              <w:rPr>
                <w:lang w:val="en-AU"/>
              </w:rPr>
              <w:t>(7.1, 17.9)</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31.0%</w:t>
            </w:r>
          </w:p>
          <w:p w:rsidR="00E02E7E" w:rsidRPr="00D775A7" w:rsidRDefault="00E02E7E" w:rsidP="00087F16">
            <w:pPr>
              <w:pStyle w:val="Tabletext"/>
              <w:jc w:val="center"/>
              <w:rPr>
                <w:lang w:val="en-AU"/>
              </w:rPr>
            </w:pPr>
            <w:r w:rsidRPr="00D775A7">
              <w:rPr>
                <w:lang w:val="en-AU"/>
              </w:rPr>
              <w:t xml:space="preserve"> (25.1, 36.8)</w:t>
            </w:r>
          </w:p>
        </w:tc>
        <w:tc>
          <w:tcPr>
            <w:tcW w:w="992" w:type="dxa"/>
            <w:vAlign w:val="center"/>
          </w:tcPr>
          <w:p w:rsidR="00E02E7E" w:rsidRPr="00D775A7" w:rsidRDefault="00E02E7E" w:rsidP="00087F16">
            <w:pPr>
              <w:pStyle w:val="Tabletext"/>
              <w:jc w:val="center"/>
              <w:rPr>
                <w:lang w:val="en-AU"/>
              </w:rPr>
            </w:pPr>
            <w:r w:rsidRPr="00D775A7">
              <w:rPr>
                <w:lang w:val="en-AU"/>
              </w:rPr>
              <w:t>NR</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 xml:space="preserve">33.1% </w:t>
            </w:r>
          </w:p>
          <w:p w:rsidR="00E02E7E" w:rsidRPr="00D775A7" w:rsidRDefault="00E02E7E" w:rsidP="00087F16">
            <w:pPr>
              <w:pStyle w:val="Tabletext"/>
              <w:jc w:val="center"/>
              <w:rPr>
                <w:lang w:val="en-AU"/>
              </w:rPr>
            </w:pPr>
            <w:r w:rsidRPr="00D775A7">
              <w:rPr>
                <w:lang w:val="en-AU"/>
              </w:rPr>
              <w:t>(27.0, 39.2)</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NR</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Proportion of urine samples negative, weeks 1-24, mean</w:t>
            </w:r>
          </w:p>
        </w:tc>
        <w:tc>
          <w:tcPr>
            <w:tcW w:w="1445" w:type="dxa"/>
            <w:vAlign w:val="center"/>
          </w:tcPr>
          <w:p w:rsidR="00E02E7E" w:rsidRPr="00D775A7" w:rsidRDefault="00E02E7E" w:rsidP="00087F16">
            <w:pPr>
              <w:pStyle w:val="Tabletext"/>
              <w:jc w:val="center"/>
              <w:rPr>
                <w:lang w:val="en-AU"/>
              </w:rPr>
            </w:pPr>
            <w:r w:rsidRPr="00D775A7">
              <w:rPr>
                <w:lang w:val="en-AU"/>
              </w:rPr>
              <w:t>14.4%</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36.0%</w:t>
            </w:r>
          </w:p>
        </w:tc>
        <w:tc>
          <w:tcPr>
            <w:tcW w:w="992" w:type="dxa"/>
            <w:vAlign w:val="center"/>
          </w:tcPr>
          <w:p w:rsidR="00E02E7E" w:rsidRPr="00D775A7" w:rsidRDefault="00E02E7E" w:rsidP="00087F16">
            <w:pPr>
              <w:pStyle w:val="Tabletext"/>
              <w:jc w:val="center"/>
              <w:rPr>
                <w:lang w:val="en-AU"/>
              </w:rPr>
            </w:pPr>
            <w:r w:rsidRPr="00D775A7">
              <w:rPr>
                <w:lang w:val="en-AU"/>
              </w:rPr>
              <w:t>&lt;0.0001</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35.1%</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0.81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Proportion of urine samples negative weeks 1-16, mean</w:t>
            </w:r>
          </w:p>
        </w:tc>
        <w:tc>
          <w:tcPr>
            <w:tcW w:w="1445" w:type="dxa"/>
            <w:vAlign w:val="center"/>
          </w:tcPr>
          <w:p w:rsidR="00E02E7E" w:rsidRPr="00D775A7" w:rsidRDefault="00E02E7E" w:rsidP="00087F16">
            <w:pPr>
              <w:pStyle w:val="Tabletext"/>
              <w:jc w:val="center"/>
              <w:rPr>
                <w:lang w:val="en-AU"/>
              </w:rPr>
            </w:pPr>
            <w:r w:rsidRPr="00D775A7">
              <w:rPr>
                <w:lang w:val="en-AU"/>
              </w:rPr>
              <w:t>17.9%</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39.6%</w:t>
            </w:r>
          </w:p>
        </w:tc>
        <w:tc>
          <w:tcPr>
            <w:tcW w:w="992" w:type="dxa"/>
            <w:vAlign w:val="center"/>
          </w:tcPr>
          <w:p w:rsidR="00E02E7E" w:rsidRPr="00D775A7" w:rsidRDefault="00E02E7E" w:rsidP="00087F16">
            <w:pPr>
              <w:pStyle w:val="Tabletext"/>
              <w:jc w:val="center"/>
              <w:rPr>
                <w:lang w:val="en-AU"/>
              </w:rPr>
            </w:pPr>
            <w:r w:rsidRPr="00D775A7">
              <w:rPr>
                <w:lang w:val="en-AU"/>
              </w:rPr>
              <w:t>&lt;0.0001</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37.8%</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0.65</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Proportion of urine samples negative weeks 17-24, mean</w:t>
            </w:r>
          </w:p>
        </w:tc>
        <w:tc>
          <w:tcPr>
            <w:tcW w:w="1445" w:type="dxa"/>
            <w:vAlign w:val="center"/>
          </w:tcPr>
          <w:p w:rsidR="00E02E7E" w:rsidRPr="00D775A7" w:rsidRDefault="00E02E7E" w:rsidP="00087F16">
            <w:pPr>
              <w:pStyle w:val="Tabletext"/>
              <w:jc w:val="center"/>
              <w:rPr>
                <w:lang w:val="en-AU"/>
              </w:rPr>
            </w:pPr>
            <w:r w:rsidRPr="00D775A7">
              <w:rPr>
                <w:lang w:val="en-AU"/>
              </w:rPr>
              <w:t>7.2%</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28.9%</w:t>
            </w:r>
          </w:p>
        </w:tc>
        <w:tc>
          <w:tcPr>
            <w:tcW w:w="992" w:type="dxa"/>
            <w:vAlign w:val="center"/>
          </w:tcPr>
          <w:p w:rsidR="00E02E7E" w:rsidRPr="00D775A7" w:rsidRDefault="00E02E7E" w:rsidP="00087F16">
            <w:pPr>
              <w:pStyle w:val="Tabletext"/>
              <w:jc w:val="center"/>
              <w:rPr>
                <w:lang w:val="en-AU"/>
              </w:rPr>
            </w:pPr>
            <w:r w:rsidRPr="00D775A7">
              <w:rPr>
                <w:lang w:val="en-AU"/>
              </w:rPr>
              <w:t>&lt;0.0001</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29.6%</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0.86</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03" w:type="dxa"/>
            <w:shd w:val="clear" w:color="auto" w:fill="auto"/>
          </w:tcPr>
          <w:p w:rsidR="00E02E7E" w:rsidRPr="00D775A7" w:rsidRDefault="00E02E7E" w:rsidP="00087F16">
            <w:pPr>
              <w:pStyle w:val="Tabletext"/>
              <w:rPr>
                <w:lang w:val="en-AU"/>
              </w:rPr>
            </w:pPr>
            <w:r w:rsidRPr="00D775A7">
              <w:rPr>
                <w:lang w:val="en-AU"/>
              </w:rPr>
              <w:t xml:space="preserve">Subjects who completed treatment, </w:t>
            </w:r>
            <w:proofErr w:type="gramStart"/>
            <w:r w:rsidRPr="00D775A7">
              <w:rPr>
                <w:lang w:val="en-AU"/>
              </w:rPr>
              <w:t>n(</w:t>
            </w:r>
            <w:proofErr w:type="gramEnd"/>
            <w:r w:rsidRPr="00D775A7">
              <w:rPr>
                <w:lang w:val="en-AU"/>
              </w:rPr>
              <w:t>%)</w:t>
            </w:r>
          </w:p>
        </w:tc>
        <w:tc>
          <w:tcPr>
            <w:tcW w:w="1445" w:type="dxa"/>
            <w:vAlign w:val="center"/>
          </w:tcPr>
          <w:p w:rsidR="00E02E7E" w:rsidRPr="00D775A7" w:rsidRDefault="00E02E7E" w:rsidP="00087F16">
            <w:pPr>
              <w:pStyle w:val="Tabletext"/>
              <w:jc w:val="center"/>
              <w:rPr>
                <w:lang w:val="en-AU"/>
              </w:rPr>
            </w:pPr>
            <w:r w:rsidRPr="00D775A7">
              <w:rPr>
                <w:lang w:val="en-AU"/>
              </w:rPr>
              <w:t>14 (25.9%)</w:t>
            </w:r>
          </w:p>
        </w:tc>
        <w:tc>
          <w:tcPr>
            <w:tcW w:w="1559" w:type="dxa"/>
            <w:shd w:val="clear" w:color="auto" w:fill="auto"/>
            <w:vAlign w:val="center"/>
          </w:tcPr>
          <w:p w:rsidR="00E02E7E" w:rsidRPr="00D775A7" w:rsidRDefault="00E02E7E" w:rsidP="00087F16">
            <w:pPr>
              <w:pStyle w:val="Tabletext"/>
              <w:jc w:val="center"/>
              <w:rPr>
                <w:lang w:val="en-AU"/>
              </w:rPr>
            </w:pPr>
            <w:r w:rsidRPr="00D775A7">
              <w:rPr>
                <w:lang w:val="en-AU"/>
              </w:rPr>
              <w:t>73 (64.0%)</w:t>
            </w:r>
          </w:p>
        </w:tc>
        <w:tc>
          <w:tcPr>
            <w:tcW w:w="992" w:type="dxa"/>
            <w:vAlign w:val="center"/>
          </w:tcPr>
          <w:p w:rsidR="00E02E7E" w:rsidRPr="00D775A7" w:rsidRDefault="00E02E7E" w:rsidP="00087F16">
            <w:pPr>
              <w:pStyle w:val="Tabletext"/>
              <w:jc w:val="center"/>
              <w:rPr>
                <w:lang w:val="en-AU"/>
              </w:rPr>
            </w:pPr>
            <w:r w:rsidRPr="00D775A7">
              <w:rPr>
                <w:lang w:val="en-AU"/>
              </w:rPr>
              <w:t>&lt;0.0001</w:t>
            </w:r>
          </w:p>
        </w:tc>
        <w:tc>
          <w:tcPr>
            <w:tcW w:w="1418" w:type="dxa"/>
            <w:shd w:val="clear" w:color="auto" w:fill="auto"/>
            <w:vAlign w:val="center"/>
          </w:tcPr>
          <w:p w:rsidR="00E02E7E" w:rsidRPr="00D775A7" w:rsidRDefault="00E02E7E" w:rsidP="00087F16">
            <w:pPr>
              <w:pStyle w:val="Tabletext"/>
              <w:jc w:val="center"/>
              <w:rPr>
                <w:lang w:val="en-AU"/>
              </w:rPr>
            </w:pPr>
            <w:r w:rsidRPr="00D775A7">
              <w:rPr>
                <w:lang w:val="en-AU"/>
              </w:rPr>
              <w:t>76 (63.9%)</w:t>
            </w:r>
          </w:p>
        </w:tc>
        <w:tc>
          <w:tcPr>
            <w:tcW w:w="850" w:type="dxa"/>
            <w:shd w:val="clear" w:color="auto" w:fill="auto"/>
            <w:vAlign w:val="center"/>
          </w:tcPr>
          <w:p w:rsidR="00E02E7E" w:rsidRPr="00D775A7" w:rsidRDefault="00E02E7E" w:rsidP="00087F16">
            <w:pPr>
              <w:pStyle w:val="Tabletext"/>
              <w:jc w:val="center"/>
              <w:rPr>
                <w:lang w:val="en-AU"/>
              </w:rPr>
            </w:pPr>
            <w:r w:rsidRPr="00D775A7">
              <w:rPr>
                <w:lang w:val="en-AU"/>
              </w:rPr>
              <w:t>0.62</w:t>
            </w:r>
          </w:p>
        </w:tc>
      </w:tr>
    </w:tbl>
    <w:p w:rsidR="00AC55A1" w:rsidRPr="00D775A7" w:rsidRDefault="00E02E7E" w:rsidP="00E02E7E">
      <w:pPr>
        <w:pStyle w:val="TableFooter"/>
      </w:pPr>
      <w:r w:rsidRPr="00D775A7">
        <w:t xml:space="preserve">Source: Table 2.58 Table 2.59, and Table 2.60, p109, the submission. </w:t>
      </w:r>
    </w:p>
    <w:p w:rsidR="00E02E7E" w:rsidRPr="00D775A7" w:rsidRDefault="00E02E7E" w:rsidP="00E02E7E">
      <w:pPr>
        <w:pStyle w:val="TableFooter"/>
      </w:pPr>
      <w:r w:rsidRPr="00D775A7">
        <w:t>CDF = cumulative distribution function; CI = confidence interval; FAS = full analysis set; IDC = individual drug counselling; mg = milligram.</w:t>
      </w:r>
    </w:p>
    <w:p w:rsidR="00E02E7E" w:rsidRPr="00D775A7" w:rsidRDefault="00E02E7E" w:rsidP="00E02E7E">
      <w:pPr>
        <w:pStyle w:val="TableFooter"/>
      </w:pPr>
      <w:r w:rsidRPr="00D775A7">
        <w:t>Note: all treatment groups included IDC</w:t>
      </w:r>
    </w:p>
    <w:p w:rsidR="00E02E7E" w:rsidRPr="00D775A7" w:rsidRDefault="00E02E7E" w:rsidP="00E02E7E">
      <w:pPr>
        <w:pStyle w:val="TableFooter"/>
        <w:tabs>
          <w:tab w:val="left" w:pos="284"/>
        </w:tabs>
      </w:pPr>
      <w:r w:rsidRPr="00D775A7">
        <w:t>*</w:t>
      </w:r>
      <w:r w:rsidRPr="00D775A7">
        <w:tab/>
      </w:r>
      <w:proofErr w:type="gramStart"/>
      <w:r w:rsidRPr="00D775A7">
        <w:t>versus</w:t>
      </w:r>
      <w:proofErr w:type="gramEnd"/>
      <w:r w:rsidRPr="00D775A7">
        <w:t xml:space="preserve"> placebo</w:t>
      </w:r>
    </w:p>
    <w:p w:rsidR="00E02E7E" w:rsidRPr="00D775A7" w:rsidRDefault="00E02E7E" w:rsidP="00E02E7E">
      <w:pPr>
        <w:pStyle w:val="TableFooter"/>
        <w:tabs>
          <w:tab w:val="left" w:pos="284"/>
        </w:tabs>
      </w:pPr>
      <w:r w:rsidRPr="00D775A7">
        <w:t>**</w:t>
      </w:r>
      <w:r w:rsidRPr="00D775A7">
        <w:tab/>
      </w:r>
      <w:proofErr w:type="gramStart"/>
      <w:r w:rsidRPr="00D775A7">
        <w:t>buprenorphine</w:t>
      </w:r>
      <w:proofErr w:type="gramEnd"/>
      <w:r w:rsidRPr="00D775A7">
        <w:t xml:space="preserve"> implants vs BUP/NAL SL tablets </w:t>
      </w:r>
    </w:p>
    <w:p w:rsidR="00BE6FE4" w:rsidRPr="00D775A7" w:rsidRDefault="00E02E7E" w:rsidP="00C42D38">
      <w:pPr>
        <w:pStyle w:val="ListParagraph"/>
        <w:widowControl/>
        <w:numPr>
          <w:ilvl w:val="1"/>
          <w:numId w:val="2"/>
        </w:numPr>
        <w:spacing w:before="120" w:after="120"/>
        <w:ind w:left="720" w:hanging="720"/>
        <w:rPr>
          <w:color w:val="000000" w:themeColor="text1"/>
        </w:rPr>
      </w:pPr>
      <w:r w:rsidRPr="00D775A7">
        <w:t xml:space="preserve">Overall, as no statistical comparison was made between placebo and BUP/NAL SL </w:t>
      </w:r>
      <w:r w:rsidRPr="00D775A7">
        <w:rPr>
          <w:color w:val="000000" w:themeColor="text1"/>
        </w:rPr>
        <w:t>tablet</w:t>
      </w:r>
      <w:r w:rsidR="009763A0" w:rsidRPr="00D775A7">
        <w:t>, the</w:t>
      </w:r>
      <w:r w:rsidRPr="00D775A7">
        <w:t xml:space="preserve"> individual trial results are not informative.</w:t>
      </w:r>
      <w:r w:rsidR="0068483C" w:rsidRPr="00D775A7">
        <w:t xml:space="preserve"> </w:t>
      </w:r>
    </w:p>
    <w:p w:rsidR="00E02E7E" w:rsidRPr="00D775A7" w:rsidRDefault="00BE6FE4" w:rsidP="00C42D38">
      <w:pPr>
        <w:pStyle w:val="ListParagraph"/>
        <w:widowControl/>
        <w:numPr>
          <w:ilvl w:val="1"/>
          <w:numId w:val="2"/>
        </w:numPr>
        <w:spacing w:before="120" w:after="120"/>
        <w:ind w:left="720" w:hanging="720"/>
        <w:rPr>
          <w:color w:val="000000" w:themeColor="text1"/>
        </w:rPr>
      </w:pPr>
      <w:r w:rsidRPr="00D775A7">
        <w:rPr>
          <w:rStyle w:val="CommentReference"/>
          <w:rFonts w:ascii="Calibri" w:hAnsi="Calibri"/>
          <w:b w:val="0"/>
          <w:color w:val="000000" w:themeColor="text1"/>
          <w:sz w:val="24"/>
          <w:szCs w:val="22"/>
        </w:rPr>
        <w:t xml:space="preserve">The ESC noted the significant difference in the placebo response rate between the </w:t>
      </w:r>
      <w:r w:rsidR="001B028C" w:rsidRPr="00D775A7">
        <w:rPr>
          <w:rStyle w:val="CommentReference"/>
          <w:rFonts w:ascii="Calibri" w:hAnsi="Calibri"/>
          <w:b w:val="0"/>
          <w:color w:val="000000" w:themeColor="text1"/>
          <w:sz w:val="24"/>
          <w:szCs w:val="22"/>
        </w:rPr>
        <w:t xml:space="preserve">RB-US-0001 and Rosenthal </w:t>
      </w:r>
      <w:r w:rsidRPr="00D775A7">
        <w:rPr>
          <w:rStyle w:val="CommentReference"/>
          <w:rFonts w:ascii="Calibri" w:hAnsi="Calibri"/>
          <w:b w:val="0"/>
          <w:color w:val="000000" w:themeColor="text1"/>
          <w:sz w:val="24"/>
          <w:szCs w:val="22"/>
        </w:rPr>
        <w:t>trial</w:t>
      </w:r>
      <w:r w:rsidR="001B028C" w:rsidRPr="00D775A7">
        <w:rPr>
          <w:rStyle w:val="CommentReference"/>
          <w:rFonts w:ascii="Calibri" w:hAnsi="Calibri"/>
          <w:b w:val="0"/>
          <w:color w:val="000000" w:themeColor="text1"/>
          <w:sz w:val="24"/>
          <w:szCs w:val="22"/>
        </w:rPr>
        <w:t>s</w:t>
      </w:r>
      <w:r w:rsidRPr="00D775A7">
        <w:rPr>
          <w:rStyle w:val="CommentReference"/>
          <w:rFonts w:ascii="Calibri" w:hAnsi="Calibri"/>
          <w:b w:val="0"/>
          <w:color w:val="000000" w:themeColor="text1"/>
          <w:sz w:val="24"/>
          <w:szCs w:val="22"/>
        </w:rPr>
        <w:t xml:space="preserve"> raised transitivity concerns</w:t>
      </w:r>
      <w:r w:rsidR="00143330" w:rsidRPr="00D775A7">
        <w:rPr>
          <w:rStyle w:val="CommentReference"/>
          <w:rFonts w:ascii="Calibri" w:hAnsi="Calibri"/>
          <w:b w:val="0"/>
          <w:color w:val="000000" w:themeColor="text1"/>
          <w:sz w:val="24"/>
          <w:szCs w:val="22"/>
        </w:rPr>
        <w:t>. T</w:t>
      </w:r>
      <w:r w:rsidR="008208FB" w:rsidRPr="00D775A7">
        <w:rPr>
          <w:rStyle w:val="CommentReference"/>
          <w:rFonts w:ascii="Calibri" w:hAnsi="Calibri"/>
          <w:b w:val="0"/>
          <w:color w:val="000000" w:themeColor="text1"/>
          <w:sz w:val="24"/>
          <w:szCs w:val="22"/>
        </w:rPr>
        <w:t xml:space="preserve">he significance </w:t>
      </w:r>
      <w:r w:rsidR="003E6B05" w:rsidRPr="00D775A7">
        <w:rPr>
          <w:rStyle w:val="CommentReference"/>
          <w:rFonts w:ascii="Calibri" w:hAnsi="Calibri"/>
          <w:b w:val="0"/>
          <w:color w:val="000000" w:themeColor="text1"/>
          <w:sz w:val="24"/>
          <w:szCs w:val="22"/>
        </w:rPr>
        <w:t xml:space="preserve">of </w:t>
      </w:r>
      <w:r w:rsidR="008208FB" w:rsidRPr="00D775A7">
        <w:rPr>
          <w:rStyle w:val="CommentReference"/>
          <w:rFonts w:ascii="Calibri" w:hAnsi="Calibri"/>
          <w:b w:val="0"/>
          <w:color w:val="000000" w:themeColor="text1"/>
          <w:sz w:val="24"/>
          <w:szCs w:val="22"/>
        </w:rPr>
        <w:t>this</w:t>
      </w:r>
      <w:r w:rsidR="00143330" w:rsidRPr="00D775A7">
        <w:rPr>
          <w:rStyle w:val="CommentReference"/>
          <w:rFonts w:ascii="Calibri" w:hAnsi="Calibri"/>
          <w:b w:val="0"/>
          <w:color w:val="000000" w:themeColor="text1"/>
          <w:sz w:val="24"/>
          <w:szCs w:val="22"/>
        </w:rPr>
        <w:t xml:space="preserve"> difference</w:t>
      </w:r>
      <w:r w:rsidR="008208FB" w:rsidRPr="00D775A7">
        <w:rPr>
          <w:rStyle w:val="CommentReference"/>
          <w:rFonts w:ascii="Calibri" w:hAnsi="Calibri"/>
          <w:b w:val="0"/>
          <w:color w:val="000000" w:themeColor="text1"/>
          <w:sz w:val="24"/>
          <w:szCs w:val="22"/>
        </w:rPr>
        <w:t xml:space="preserve"> on the results of the indirect comparison</w:t>
      </w:r>
      <w:r w:rsidR="00143330" w:rsidRPr="00D775A7">
        <w:rPr>
          <w:rStyle w:val="CommentReference"/>
          <w:rFonts w:ascii="Calibri" w:hAnsi="Calibri"/>
          <w:b w:val="0"/>
          <w:color w:val="000000" w:themeColor="text1"/>
          <w:sz w:val="24"/>
          <w:szCs w:val="22"/>
        </w:rPr>
        <w:t>,</w:t>
      </w:r>
      <w:r w:rsidR="007A2E80" w:rsidRPr="00D775A7">
        <w:rPr>
          <w:rStyle w:val="CommentReference"/>
          <w:rFonts w:ascii="Calibri" w:hAnsi="Calibri"/>
          <w:b w:val="0"/>
          <w:color w:val="000000" w:themeColor="text1"/>
          <w:sz w:val="24"/>
          <w:szCs w:val="22"/>
        </w:rPr>
        <w:t xml:space="preserve"> particularly given the lack of reported baseline characteristics to determine comparability between trials</w:t>
      </w:r>
      <w:r w:rsidR="00143330" w:rsidRPr="00D775A7">
        <w:rPr>
          <w:rStyle w:val="CommentReference"/>
          <w:rFonts w:ascii="Calibri" w:hAnsi="Calibri"/>
          <w:b w:val="0"/>
          <w:color w:val="000000" w:themeColor="text1"/>
          <w:sz w:val="24"/>
          <w:szCs w:val="22"/>
        </w:rPr>
        <w:t xml:space="preserve">, </w:t>
      </w:r>
      <w:r w:rsidR="00492DBD" w:rsidRPr="00D775A7">
        <w:rPr>
          <w:rStyle w:val="CommentReference"/>
          <w:rFonts w:ascii="Calibri" w:hAnsi="Calibri"/>
          <w:b w:val="0"/>
          <w:color w:val="000000" w:themeColor="text1"/>
          <w:sz w:val="24"/>
          <w:szCs w:val="22"/>
        </w:rPr>
        <w:t>wa</w:t>
      </w:r>
      <w:r w:rsidR="00143330" w:rsidRPr="00D775A7">
        <w:rPr>
          <w:rStyle w:val="CommentReference"/>
          <w:rFonts w:ascii="Calibri" w:hAnsi="Calibri"/>
          <w:b w:val="0"/>
          <w:color w:val="000000" w:themeColor="text1"/>
          <w:sz w:val="24"/>
          <w:szCs w:val="22"/>
        </w:rPr>
        <w:t>s unknown</w:t>
      </w:r>
      <w:r w:rsidR="008208FB" w:rsidRPr="00D775A7">
        <w:rPr>
          <w:rStyle w:val="CommentReference"/>
          <w:rFonts w:ascii="Calibri" w:hAnsi="Calibri"/>
          <w:b w:val="0"/>
          <w:color w:val="000000" w:themeColor="text1"/>
          <w:sz w:val="24"/>
          <w:szCs w:val="22"/>
        </w:rPr>
        <w:t>.</w:t>
      </w:r>
    </w:p>
    <w:p w:rsidR="00E02E7E" w:rsidRPr="00D775A7" w:rsidRDefault="00BC72D0" w:rsidP="00C42D38">
      <w:pPr>
        <w:pStyle w:val="ListParagraph"/>
        <w:widowControl/>
        <w:numPr>
          <w:ilvl w:val="1"/>
          <w:numId w:val="2"/>
        </w:numPr>
        <w:spacing w:before="120" w:after="120"/>
        <w:ind w:left="720" w:hanging="720"/>
        <w:rPr>
          <w:color w:val="000000" w:themeColor="text1"/>
        </w:rPr>
      </w:pPr>
      <w:r w:rsidRPr="00D775A7">
        <w:rPr>
          <w:rStyle w:val="CommentReference"/>
          <w:rFonts w:asciiTheme="minorHAnsi" w:hAnsiTheme="minorHAnsi" w:cstheme="minorHAnsi"/>
          <w:b w:val="0"/>
          <w:sz w:val="24"/>
          <w:szCs w:val="24"/>
        </w:rPr>
        <w:t xml:space="preserve">Table </w:t>
      </w:r>
      <w:r w:rsidRPr="00D775A7">
        <w:rPr>
          <w:rStyle w:val="CommentReference"/>
          <w:rFonts w:asciiTheme="minorHAnsi" w:hAnsiTheme="minorHAnsi"/>
          <w:b w:val="0"/>
          <w:sz w:val="24"/>
          <w:szCs w:val="24"/>
        </w:rPr>
        <w:t>6</w:t>
      </w:r>
      <w:r w:rsidR="00AC55A1" w:rsidRPr="00D775A7">
        <w:rPr>
          <w:color w:val="000000" w:themeColor="text1"/>
        </w:rPr>
        <w:t xml:space="preserve"> </w:t>
      </w:r>
      <w:r w:rsidR="00E02E7E" w:rsidRPr="00D775A7">
        <w:rPr>
          <w:color w:val="000000" w:themeColor="text1"/>
        </w:rPr>
        <w:t xml:space="preserve">presents the results of the indirect comparison between </w:t>
      </w:r>
      <w:proofErr w:type="spellStart"/>
      <w:r w:rsidR="00E02E7E" w:rsidRPr="00D775A7">
        <w:rPr>
          <w:color w:val="000000" w:themeColor="text1"/>
        </w:rPr>
        <w:t>Sublocade</w:t>
      </w:r>
      <w:proofErr w:type="spellEnd"/>
      <w:r w:rsidR="00E02E7E" w:rsidRPr="00D775A7">
        <w:rPr>
          <w:color w:val="000000" w:themeColor="text1"/>
        </w:rPr>
        <w:t xml:space="preserve"> and BUP/NAL SL tablet</w:t>
      </w:r>
      <w:r w:rsidR="00AC55A1" w:rsidRPr="00D775A7">
        <w:rPr>
          <w:color w:val="000000" w:themeColor="text1"/>
        </w:rPr>
        <w:t>.</w:t>
      </w:r>
      <w:r w:rsidR="009B5B2A" w:rsidRPr="00D775A7">
        <w:rPr>
          <w:color w:val="000000" w:themeColor="text1"/>
        </w:rPr>
        <w:t xml:space="preserve"> </w:t>
      </w:r>
    </w:p>
    <w:p w:rsidR="00E02E7E" w:rsidRPr="00D775A7" w:rsidRDefault="00E02E7E" w:rsidP="00E02E7E">
      <w:pPr>
        <w:pStyle w:val="BodyText"/>
        <w:jc w:val="both"/>
        <w:rPr>
          <w:rStyle w:val="CommentReference"/>
        </w:rPr>
      </w:pPr>
      <w:bookmarkStart w:id="21" w:name="_Ref532154892"/>
      <w:r w:rsidRPr="00D775A7">
        <w:rPr>
          <w:rStyle w:val="CommentReference"/>
        </w:rPr>
        <w:t xml:space="preserve">Table </w:t>
      </w:r>
      <w:r w:rsidR="00BC72D0" w:rsidRPr="00D775A7">
        <w:rPr>
          <w:rStyle w:val="CommentReference"/>
        </w:rPr>
        <w:t>6</w:t>
      </w:r>
      <w:bookmarkEnd w:id="21"/>
      <w:r w:rsidRPr="00D775A7">
        <w:rPr>
          <w:rStyle w:val="CommentReference"/>
        </w:rPr>
        <w:t xml:space="preserve">: Results of indirect comparison of </w:t>
      </w:r>
      <w:proofErr w:type="spellStart"/>
      <w:r w:rsidRPr="00D775A7">
        <w:rPr>
          <w:rStyle w:val="CommentReference"/>
        </w:rPr>
        <w:t>Sublocade</w:t>
      </w:r>
      <w:proofErr w:type="spellEnd"/>
      <w:r w:rsidRPr="00D775A7">
        <w:rPr>
          <w:rStyle w:val="CommentReference"/>
        </w:rPr>
        <w:t xml:space="preserve"> versus sublingual buprenorphine / naloxone</w:t>
      </w:r>
    </w:p>
    <w:tbl>
      <w:tblPr>
        <w:tblStyle w:val="Submissionstandard"/>
        <w:tblW w:w="9209" w:type="dxa"/>
        <w:tblCellMar>
          <w:left w:w="29" w:type="dxa"/>
          <w:right w:w="29" w:type="dxa"/>
        </w:tblCellMar>
        <w:tblLook w:val="04A0" w:firstRow="1" w:lastRow="0" w:firstColumn="1" w:lastColumn="0" w:noHBand="0" w:noVBand="1"/>
        <w:tblCaption w:val="Table 6: Results of indirect comparison of Sublocade versus sublingual buprenorphine / naloxone"/>
      </w:tblPr>
      <w:tblGrid>
        <w:gridCol w:w="2830"/>
        <w:gridCol w:w="2552"/>
        <w:gridCol w:w="1559"/>
        <w:gridCol w:w="2268"/>
      </w:tblGrid>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2830" w:type="dxa"/>
            <w:shd w:val="clear" w:color="auto" w:fill="auto"/>
            <w:vAlign w:val="bottom"/>
          </w:tcPr>
          <w:p w:rsidR="00E02E7E" w:rsidRPr="00D775A7" w:rsidRDefault="00E02E7E" w:rsidP="001A723E">
            <w:pPr>
              <w:pStyle w:val="Tabletext"/>
              <w:rPr>
                <w:lang w:val="en-AU"/>
              </w:rPr>
            </w:pPr>
            <w:r w:rsidRPr="00D775A7">
              <w:rPr>
                <w:lang w:val="en-AU"/>
              </w:rPr>
              <w:t>Outcome</w:t>
            </w:r>
          </w:p>
        </w:tc>
        <w:tc>
          <w:tcPr>
            <w:tcW w:w="2552" w:type="dxa"/>
            <w:shd w:val="clear" w:color="auto" w:fill="auto"/>
            <w:vAlign w:val="center"/>
          </w:tcPr>
          <w:p w:rsidR="00E02E7E" w:rsidRPr="00D775A7" w:rsidRDefault="00E02E7E" w:rsidP="001A723E">
            <w:pPr>
              <w:pStyle w:val="Tabletext"/>
              <w:jc w:val="center"/>
              <w:rPr>
                <w:lang w:val="en-AU"/>
              </w:rPr>
            </w:pPr>
            <w:r w:rsidRPr="00D775A7">
              <w:rPr>
                <w:lang w:val="en-AU"/>
              </w:rPr>
              <w:t>RD( 95% CI)</w:t>
            </w:r>
          </w:p>
        </w:tc>
        <w:tc>
          <w:tcPr>
            <w:tcW w:w="1559" w:type="dxa"/>
            <w:shd w:val="clear" w:color="auto" w:fill="auto"/>
            <w:vAlign w:val="center"/>
          </w:tcPr>
          <w:p w:rsidR="00E02E7E" w:rsidRPr="00D775A7" w:rsidRDefault="00E02E7E" w:rsidP="001A723E">
            <w:pPr>
              <w:pStyle w:val="Tabletext"/>
              <w:jc w:val="center"/>
              <w:rPr>
                <w:lang w:val="en-AU"/>
              </w:rPr>
            </w:pPr>
            <w:r w:rsidRPr="00D775A7">
              <w:rPr>
                <w:lang w:val="en-AU"/>
              </w:rPr>
              <w:t>SE (ln RD)*</w:t>
            </w:r>
          </w:p>
        </w:tc>
        <w:tc>
          <w:tcPr>
            <w:tcW w:w="2268" w:type="dxa"/>
            <w:shd w:val="clear" w:color="auto" w:fill="auto"/>
          </w:tcPr>
          <w:p w:rsidR="00B93A37" w:rsidRPr="00D775A7" w:rsidRDefault="00E02E7E" w:rsidP="00087F16">
            <w:pPr>
              <w:pStyle w:val="Tabletext"/>
              <w:jc w:val="center"/>
              <w:rPr>
                <w:lang w:val="en-AU"/>
              </w:rPr>
            </w:pPr>
            <w:r w:rsidRPr="00D775A7">
              <w:rPr>
                <w:lang w:val="en-AU"/>
              </w:rPr>
              <w:t>P value</w:t>
            </w:r>
            <w:r w:rsidR="001A723E" w:rsidRPr="00D775A7">
              <w:rPr>
                <w:lang w:val="en-AU"/>
              </w:rPr>
              <w:t xml:space="preserve"> </w:t>
            </w:r>
            <w:r w:rsidR="00B93A37" w:rsidRPr="00D775A7">
              <w:rPr>
                <w:lang w:val="en-AU"/>
              </w:rPr>
              <w:t>(non-inferiority)</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9209" w:type="dxa"/>
            <w:gridSpan w:val="4"/>
            <w:shd w:val="clear" w:color="auto" w:fill="auto"/>
          </w:tcPr>
          <w:p w:rsidR="00E02E7E" w:rsidRPr="00D775A7" w:rsidRDefault="00E02E7E" w:rsidP="00087F16">
            <w:pPr>
              <w:pStyle w:val="Tabletext"/>
              <w:rPr>
                <w:b w:val="0"/>
                <w:lang w:val="en-AU"/>
              </w:rPr>
            </w:pPr>
            <w:proofErr w:type="spellStart"/>
            <w:r w:rsidRPr="00D775A7">
              <w:rPr>
                <w:lang w:val="en-AU"/>
              </w:rPr>
              <w:t>Sublocade</w:t>
            </w:r>
            <w:proofErr w:type="spellEnd"/>
            <w:r w:rsidRPr="00D775A7">
              <w:rPr>
                <w:lang w:val="en-AU"/>
              </w:rPr>
              <w:t xml:space="preserve"> 300/100mg versus </w:t>
            </w:r>
            <w:r w:rsidR="00885AD3" w:rsidRPr="00D775A7">
              <w:rPr>
                <w:lang w:val="en-AU"/>
              </w:rPr>
              <w:t>BUP/NAL</w:t>
            </w:r>
            <w:r w:rsidRPr="00D775A7">
              <w:rPr>
                <w:lang w:val="en-AU"/>
              </w:rPr>
              <w:t xml:space="preserve"> via placebo</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2830" w:type="dxa"/>
            <w:shd w:val="clear" w:color="auto" w:fill="auto"/>
          </w:tcPr>
          <w:p w:rsidR="00E02E7E" w:rsidRPr="00D775A7" w:rsidRDefault="00E02E7E" w:rsidP="00087F16">
            <w:pPr>
              <w:pStyle w:val="Tabletext"/>
              <w:rPr>
                <w:lang w:val="en-AU"/>
              </w:rPr>
            </w:pPr>
            <w:r w:rsidRPr="00D775A7">
              <w:rPr>
                <w:lang w:val="en-AU"/>
              </w:rPr>
              <w:t>CDF % abstinent (mean difference)</w:t>
            </w:r>
          </w:p>
        </w:tc>
        <w:tc>
          <w:tcPr>
            <w:tcW w:w="2552" w:type="dxa"/>
            <w:shd w:val="clear" w:color="auto" w:fill="auto"/>
          </w:tcPr>
          <w:p w:rsidR="00E02E7E" w:rsidRPr="0028680A" w:rsidRDefault="00E02E7E" w:rsidP="00087F16">
            <w:pPr>
              <w:pStyle w:val="Tabletext"/>
              <w:jc w:val="center"/>
              <w:rPr>
                <w:lang w:val="en-AU"/>
              </w:rPr>
            </w:pPr>
            <w:r w:rsidRPr="0028680A">
              <w:rPr>
                <w:lang w:val="en-AU"/>
              </w:rPr>
              <w:t>0.176 (0.</w:t>
            </w:r>
            <w:r w:rsidR="009B5B2A" w:rsidRPr="0028680A">
              <w:rPr>
                <w:lang w:val="en-AU"/>
              </w:rPr>
              <w:t>0</w:t>
            </w:r>
            <w:r w:rsidRPr="0028680A">
              <w:rPr>
                <w:lang w:val="en-AU"/>
              </w:rPr>
              <w:t>27, 0.325)</w:t>
            </w:r>
          </w:p>
        </w:tc>
        <w:tc>
          <w:tcPr>
            <w:tcW w:w="1559" w:type="dxa"/>
            <w:shd w:val="clear" w:color="auto" w:fill="auto"/>
            <w:vAlign w:val="bottom"/>
          </w:tcPr>
          <w:p w:rsidR="00E02E7E" w:rsidRPr="0028680A" w:rsidRDefault="00E02E7E" w:rsidP="00087F16">
            <w:pPr>
              <w:pStyle w:val="Tabletext"/>
              <w:jc w:val="center"/>
              <w:rPr>
                <w:lang w:val="en-AU"/>
              </w:rPr>
            </w:pPr>
            <w:r w:rsidRPr="0028680A">
              <w:rPr>
                <w:lang w:val="en-AU"/>
              </w:rPr>
              <w:t>0.076</w:t>
            </w:r>
          </w:p>
        </w:tc>
        <w:tc>
          <w:tcPr>
            <w:tcW w:w="2268" w:type="dxa"/>
            <w:vAlign w:val="bottom"/>
          </w:tcPr>
          <w:p w:rsidR="00E02E7E" w:rsidRPr="0028680A" w:rsidRDefault="00E02E7E" w:rsidP="00087F16">
            <w:pPr>
              <w:pStyle w:val="Tabletext"/>
              <w:jc w:val="center"/>
              <w:rPr>
                <w:b w:val="0"/>
                <w:lang w:val="en-AU"/>
              </w:rPr>
            </w:pPr>
            <w:r w:rsidRPr="0028680A">
              <w:rPr>
                <w:lang w:val="en-AU"/>
              </w:rPr>
              <w:t>0.020</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2830" w:type="dxa"/>
            <w:shd w:val="clear" w:color="auto" w:fill="auto"/>
          </w:tcPr>
          <w:p w:rsidR="00E02E7E" w:rsidRPr="00D775A7" w:rsidRDefault="00E02E7E" w:rsidP="00087F16">
            <w:pPr>
              <w:pStyle w:val="Tabletext"/>
              <w:rPr>
                <w:lang w:val="en-AU"/>
              </w:rPr>
            </w:pPr>
            <w:r w:rsidRPr="00D775A7">
              <w:rPr>
                <w:lang w:val="en-AU"/>
              </w:rPr>
              <w:t>Urine sample negative</w:t>
            </w:r>
          </w:p>
        </w:tc>
        <w:tc>
          <w:tcPr>
            <w:tcW w:w="2552" w:type="dxa"/>
            <w:shd w:val="clear" w:color="auto" w:fill="auto"/>
          </w:tcPr>
          <w:p w:rsidR="00E02E7E" w:rsidRPr="0028680A" w:rsidRDefault="00E02E7E" w:rsidP="00087F16">
            <w:pPr>
              <w:pStyle w:val="Tabletext"/>
              <w:jc w:val="center"/>
              <w:rPr>
                <w:lang w:val="en-AU"/>
              </w:rPr>
            </w:pPr>
            <w:r w:rsidRPr="0028680A">
              <w:rPr>
                <w:lang w:val="en-AU"/>
              </w:rPr>
              <w:t>0.183 (0.029, 0.337</w:t>
            </w:r>
          </w:p>
        </w:tc>
        <w:tc>
          <w:tcPr>
            <w:tcW w:w="1559" w:type="dxa"/>
            <w:shd w:val="clear" w:color="auto" w:fill="auto"/>
            <w:vAlign w:val="bottom"/>
          </w:tcPr>
          <w:p w:rsidR="00E02E7E" w:rsidRPr="0028680A" w:rsidRDefault="00E02E7E" w:rsidP="00087F16">
            <w:pPr>
              <w:pStyle w:val="Tabletext"/>
              <w:jc w:val="center"/>
              <w:rPr>
                <w:lang w:val="en-AU"/>
              </w:rPr>
            </w:pPr>
            <w:r w:rsidRPr="0028680A">
              <w:rPr>
                <w:lang w:val="en-AU"/>
              </w:rPr>
              <w:t>0.078</w:t>
            </w:r>
          </w:p>
        </w:tc>
        <w:tc>
          <w:tcPr>
            <w:tcW w:w="2268" w:type="dxa"/>
            <w:vAlign w:val="bottom"/>
          </w:tcPr>
          <w:p w:rsidR="00E02E7E" w:rsidRPr="0028680A" w:rsidRDefault="00E02E7E" w:rsidP="00087F16">
            <w:pPr>
              <w:pStyle w:val="Tabletext"/>
              <w:jc w:val="center"/>
              <w:rPr>
                <w:b w:val="0"/>
                <w:lang w:val="en-AU"/>
              </w:rPr>
            </w:pPr>
            <w:r w:rsidRPr="0028680A">
              <w:rPr>
                <w:lang w:val="en-AU"/>
              </w:rPr>
              <w:t>0.019</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83"/>
          <w:tblHeader/>
        </w:trPr>
        <w:tc>
          <w:tcPr>
            <w:tcW w:w="2830" w:type="dxa"/>
            <w:vAlign w:val="bottom"/>
          </w:tcPr>
          <w:p w:rsidR="00E02E7E" w:rsidRPr="00D775A7" w:rsidRDefault="00E02E7E" w:rsidP="00087F16">
            <w:pPr>
              <w:pStyle w:val="Tabletext"/>
              <w:rPr>
                <w:lang w:val="en-AU"/>
              </w:rPr>
            </w:pPr>
            <w:r w:rsidRPr="00D775A7">
              <w:rPr>
                <w:lang w:val="en-AU"/>
              </w:rPr>
              <w:t>Completers at week 24</w:t>
            </w:r>
          </w:p>
        </w:tc>
        <w:tc>
          <w:tcPr>
            <w:tcW w:w="2552" w:type="dxa"/>
            <w:shd w:val="clear" w:color="auto" w:fill="auto"/>
            <w:vAlign w:val="bottom"/>
          </w:tcPr>
          <w:p w:rsidR="00E02E7E" w:rsidRPr="0028680A" w:rsidRDefault="00E02E7E" w:rsidP="00087F16">
            <w:pPr>
              <w:pStyle w:val="Tabletext"/>
              <w:jc w:val="center"/>
              <w:rPr>
                <w:lang w:val="en-AU"/>
              </w:rPr>
            </w:pPr>
            <w:r w:rsidRPr="0028680A">
              <w:rPr>
                <w:lang w:val="en-AU"/>
              </w:rPr>
              <w:t>-0.</w:t>
            </w:r>
            <w:r w:rsidR="009B5B2A" w:rsidRPr="0028680A">
              <w:rPr>
                <w:lang w:val="en-AU"/>
              </w:rPr>
              <w:t>0</w:t>
            </w:r>
            <w:r w:rsidRPr="0028680A">
              <w:rPr>
                <w:lang w:val="en-AU"/>
              </w:rPr>
              <w:t>99 (-0.285, 0.086)</w:t>
            </w:r>
          </w:p>
        </w:tc>
        <w:tc>
          <w:tcPr>
            <w:tcW w:w="1559" w:type="dxa"/>
            <w:vAlign w:val="bottom"/>
          </w:tcPr>
          <w:p w:rsidR="00E02E7E" w:rsidRPr="0028680A" w:rsidRDefault="00E02E7E" w:rsidP="00087F16">
            <w:pPr>
              <w:pStyle w:val="Tabletext"/>
              <w:jc w:val="center"/>
              <w:rPr>
                <w:lang w:val="en-AU"/>
              </w:rPr>
            </w:pPr>
            <w:r w:rsidRPr="0028680A">
              <w:rPr>
                <w:lang w:val="en-AU"/>
              </w:rPr>
              <w:t>0.095</w:t>
            </w:r>
          </w:p>
        </w:tc>
        <w:tc>
          <w:tcPr>
            <w:tcW w:w="2268" w:type="dxa"/>
            <w:vAlign w:val="bottom"/>
          </w:tcPr>
          <w:p w:rsidR="00E02E7E" w:rsidRPr="0028680A" w:rsidRDefault="00E02E7E" w:rsidP="00087F16">
            <w:pPr>
              <w:pStyle w:val="Tabletext"/>
              <w:jc w:val="center"/>
              <w:rPr>
                <w:lang w:val="en-AU"/>
              </w:rPr>
            </w:pPr>
            <w:r w:rsidRPr="0028680A">
              <w:rPr>
                <w:lang w:val="en-AU"/>
              </w:rPr>
              <w:t>0.294</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9209" w:type="dxa"/>
            <w:gridSpan w:val="4"/>
            <w:vAlign w:val="bottom"/>
          </w:tcPr>
          <w:p w:rsidR="00E02E7E" w:rsidRPr="00D775A7" w:rsidRDefault="00E02E7E" w:rsidP="00087F16">
            <w:pPr>
              <w:pStyle w:val="Tabletext"/>
              <w:rPr>
                <w:b w:val="0"/>
                <w:lang w:val="en-AU"/>
              </w:rPr>
            </w:pPr>
            <w:proofErr w:type="spellStart"/>
            <w:r w:rsidRPr="00D775A7">
              <w:rPr>
                <w:lang w:val="en-AU"/>
              </w:rPr>
              <w:t>Sublocade</w:t>
            </w:r>
            <w:proofErr w:type="spellEnd"/>
            <w:r w:rsidRPr="00D775A7">
              <w:rPr>
                <w:lang w:val="en-AU"/>
              </w:rPr>
              <w:t xml:space="preserve"> 300/300mg versus </w:t>
            </w:r>
            <w:r w:rsidR="00885AD3" w:rsidRPr="00D775A7">
              <w:rPr>
                <w:lang w:val="en-AU"/>
              </w:rPr>
              <w:t>BUP/NAL</w:t>
            </w:r>
            <w:r w:rsidRPr="00D775A7">
              <w:rPr>
                <w:lang w:val="en-AU"/>
              </w:rPr>
              <w:t xml:space="preserve"> via placebo</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30" w:type="dxa"/>
          </w:tcPr>
          <w:p w:rsidR="00E02E7E" w:rsidRPr="00D775A7" w:rsidRDefault="00E02E7E" w:rsidP="00087F16">
            <w:pPr>
              <w:pStyle w:val="Tabletext"/>
              <w:rPr>
                <w:lang w:val="en-AU"/>
              </w:rPr>
            </w:pPr>
            <w:r w:rsidRPr="00D775A7">
              <w:rPr>
                <w:lang w:val="en-AU"/>
              </w:rPr>
              <w:t>CDF % abstinent (mean difference)</w:t>
            </w:r>
          </w:p>
        </w:tc>
        <w:tc>
          <w:tcPr>
            <w:tcW w:w="2552" w:type="dxa"/>
            <w:shd w:val="clear" w:color="auto" w:fill="auto"/>
            <w:vAlign w:val="bottom"/>
          </w:tcPr>
          <w:p w:rsidR="00E02E7E" w:rsidRPr="0028680A" w:rsidRDefault="00E02E7E" w:rsidP="00087F16">
            <w:pPr>
              <w:pStyle w:val="Tabletext"/>
              <w:jc w:val="center"/>
              <w:rPr>
                <w:lang w:val="en-AU"/>
              </w:rPr>
            </w:pPr>
            <w:r w:rsidRPr="0028680A">
              <w:rPr>
                <w:lang w:val="en-AU"/>
              </w:rPr>
              <w:t>0.162 (0.14, 0.310)</w:t>
            </w:r>
          </w:p>
        </w:tc>
        <w:tc>
          <w:tcPr>
            <w:tcW w:w="1559" w:type="dxa"/>
            <w:vAlign w:val="bottom"/>
          </w:tcPr>
          <w:p w:rsidR="00E02E7E" w:rsidRPr="0028680A" w:rsidRDefault="00E02E7E" w:rsidP="00087F16">
            <w:pPr>
              <w:pStyle w:val="Tabletext"/>
              <w:jc w:val="center"/>
              <w:rPr>
                <w:lang w:val="en-AU"/>
              </w:rPr>
            </w:pPr>
            <w:r w:rsidRPr="0028680A">
              <w:rPr>
                <w:lang w:val="en-AU"/>
              </w:rPr>
              <w:t>0.076</w:t>
            </w:r>
          </w:p>
        </w:tc>
        <w:tc>
          <w:tcPr>
            <w:tcW w:w="2268" w:type="dxa"/>
            <w:vAlign w:val="bottom"/>
          </w:tcPr>
          <w:p w:rsidR="00E02E7E" w:rsidRPr="0028680A" w:rsidRDefault="00E02E7E" w:rsidP="00087F16">
            <w:pPr>
              <w:pStyle w:val="Tabletext"/>
              <w:jc w:val="center"/>
              <w:rPr>
                <w:b w:val="0"/>
                <w:lang w:val="en-AU"/>
              </w:rPr>
            </w:pPr>
            <w:r w:rsidRPr="0028680A">
              <w:rPr>
                <w:lang w:val="en-AU"/>
              </w:rPr>
              <w:t>0.032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30" w:type="dxa"/>
          </w:tcPr>
          <w:p w:rsidR="00E02E7E" w:rsidRPr="00D775A7" w:rsidRDefault="00E02E7E" w:rsidP="00087F16">
            <w:pPr>
              <w:pStyle w:val="Tabletext"/>
              <w:rPr>
                <w:lang w:val="en-AU"/>
              </w:rPr>
            </w:pPr>
            <w:r w:rsidRPr="00D775A7">
              <w:rPr>
                <w:lang w:val="en-AU"/>
              </w:rPr>
              <w:t>Urine sample negative</w:t>
            </w:r>
          </w:p>
        </w:tc>
        <w:tc>
          <w:tcPr>
            <w:tcW w:w="2552" w:type="dxa"/>
            <w:shd w:val="clear" w:color="auto" w:fill="auto"/>
            <w:vAlign w:val="bottom"/>
          </w:tcPr>
          <w:p w:rsidR="00E02E7E" w:rsidRPr="0028680A" w:rsidRDefault="00E02E7E" w:rsidP="00087F16">
            <w:pPr>
              <w:pStyle w:val="Tabletext"/>
              <w:jc w:val="center"/>
              <w:rPr>
                <w:lang w:val="en-AU"/>
              </w:rPr>
            </w:pPr>
            <w:r w:rsidRPr="0028680A">
              <w:rPr>
                <w:lang w:val="en-AU"/>
              </w:rPr>
              <w:t>0.161 (0.008, 0.314)</w:t>
            </w:r>
          </w:p>
        </w:tc>
        <w:tc>
          <w:tcPr>
            <w:tcW w:w="1559" w:type="dxa"/>
            <w:vAlign w:val="bottom"/>
          </w:tcPr>
          <w:p w:rsidR="00E02E7E" w:rsidRPr="0028680A" w:rsidRDefault="00E02E7E" w:rsidP="00087F16">
            <w:pPr>
              <w:pStyle w:val="Tabletext"/>
              <w:jc w:val="center"/>
              <w:rPr>
                <w:lang w:val="en-AU"/>
              </w:rPr>
            </w:pPr>
            <w:r w:rsidRPr="0028680A">
              <w:rPr>
                <w:lang w:val="en-AU"/>
              </w:rPr>
              <w:t>0.078</w:t>
            </w:r>
          </w:p>
        </w:tc>
        <w:tc>
          <w:tcPr>
            <w:tcW w:w="2268" w:type="dxa"/>
            <w:vAlign w:val="bottom"/>
          </w:tcPr>
          <w:p w:rsidR="00E02E7E" w:rsidRPr="0028680A" w:rsidRDefault="00E02E7E" w:rsidP="00087F16">
            <w:pPr>
              <w:pStyle w:val="Tabletext"/>
              <w:jc w:val="center"/>
              <w:rPr>
                <w:b w:val="0"/>
                <w:lang w:val="en-AU"/>
              </w:rPr>
            </w:pPr>
            <w:r w:rsidRPr="0028680A">
              <w:rPr>
                <w:lang w:val="en-AU"/>
              </w:rPr>
              <w:t>0.039</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2830" w:type="dxa"/>
            <w:vAlign w:val="bottom"/>
          </w:tcPr>
          <w:p w:rsidR="00E02E7E" w:rsidRPr="00D775A7" w:rsidRDefault="00E02E7E" w:rsidP="00087F16">
            <w:pPr>
              <w:pStyle w:val="Tabletext"/>
              <w:rPr>
                <w:lang w:val="en-AU"/>
              </w:rPr>
            </w:pPr>
            <w:r w:rsidRPr="00D775A7">
              <w:rPr>
                <w:lang w:val="en-AU"/>
              </w:rPr>
              <w:t>Completers at week 24</w:t>
            </w:r>
          </w:p>
        </w:tc>
        <w:tc>
          <w:tcPr>
            <w:tcW w:w="2552" w:type="dxa"/>
            <w:shd w:val="clear" w:color="auto" w:fill="auto"/>
            <w:vAlign w:val="bottom"/>
          </w:tcPr>
          <w:p w:rsidR="00E02E7E" w:rsidRPr="0028680A" w:rsidRDefault="00E02E7E" w:rsidP="00087F16">
            <w:pPr>
              <w:pStyle w:val="Tabletext"/>
              <w:jc w:val="center"/>
              <w:rPr>
                <w:lang w:val="en-AU"/>
              </w:rPr>
            </w:pPr>
            <w:r w:rsidRPr="0028680A">
              <w:rPr>
                <w:lang w:val="en-AU"/>
              </w:rPr>
              <w:t>-0.070 (-0.255, 0.115)</w:t>
            </w:r>
          </w:p>
        </w:tc>
        <w:tc>
          <w:tcPr>
            <w:tcW w:w="1559" w:type="dxa"/>
            <w:vAlign w:val="bottom"/>
          </w:tcPr>
          <w:p w:rsidR="00E02E7E" w:rsidRPr="0028680A" w:rsidRDefault="00E02E7E" w:rsidP="00087F16">
            <w:pPr>
              <w:pStyle w:val="Tabletext"/>
              <w:jc w:val="center"/>
              <w:rPr>
                <w:lang w:val="en-AU"/>
              </w:rPr>
            </w:pPr>
            <w:r w:rsidRPr="0028680A">
              <w:rPr>
                <w:lang w:val="en-AU"/>
              </w:rPr>
              <w:t>0.094</w:t>
            </w:r>
          </w:p>
        </w:tc>
        <w:tc>
          <w:tcPr>
            <w:tcW w:w="2268" w:type="dxa"/>
            <w:vAlign w:val="bottom"/>
          </w:tcPr>
          <w:p w:rsidR="00E02E7E" w:rsidRPr="0028680A" w:rsidRDefault="00E02E7E" w:rsidP="00087F16">
            <w:pPr>
              <w:pStyle w:val="Tabletext"/>
              <w:jc w:val="center"/>
              <w:rPr>
                <w:lang w:val="en-AU"/>
              </w:rPr>
            </w:pPr>
            <w:r w:rsidRPr="0028680A">
              <w:rPr>
                <w:lang w:val="en-AU"/>
              </w:rPr>
              <w:t>0.459</w:t>
            </w:r>
          </w:p>
        </w:tc>
      </w:tr>
    </w:tbl>
    <w:p w:rsidR="00AC55A1" w:rsidRPr="00D775A7" w:rsidRDefault="00E02E7E" w:rsidP="00E02E7E">
      <w:pPr>
        <w:pStyle w:val="TableFooter"/>
        <w:rPr>
          <w:rStyle w:val="CommentReference"/>
          <w:b w:val="0"/>
          <w:sz w:val="18"/>
          <w:szCs w:val="22"/>
        </w:rPr>
      </w:pPr>
      <w:r w:rsidRPr="00D775A7">
        <w:rPr>
          <w:rStyle w:val="CommentReference"/>
          <w:b w:val="0"/>
          <w:sz w:val="18"/>
          <w:szCs w:val="22"/>
        </w:rPr>
        <w:t>Source: Table 2.77, and Table 2.78, pp131-132 of the submission</w:t>
      </w:r>
      <w:r w:rsidR="00D775A7">
        <w:rPr>
          <w:rStyle w:val="CommentReference"/>
          <w:b w:val="0"/>
          <w:sz w:val="18"/>
          <w:szCs w:val="22"/>
        </w:rPr>
        <w:t xml:space="preserve">. </w:t>
      </w:r>
    </w:p>
    <w:p w:rsidR="00E02E7E" w:rsidRPr="00D775A7" w:rsidRDefault="00E02E7E" w:rsidP="00E02E7E">
      <w:pPr>
        <w:pStyle w:val="TableFooter"/>
        <w:rPr>
          <w:rStyle w:val="CommentReference"/>
          <w:b w:val="0"/>
          <w:sz w:val="18"/>
          <w:szCs w:val="22"/>
        </w:rPr>
      </w:pPr>
      <w:r w:rsidRPr="00D775A7">
        <w:rPr>
          <w:rStyle w:val="CommentReference"/>
          <w:b w:val="0"/>
          <w:sz w:val="18"/>
          <w:szCs w:val="22"/>
        </w:rPr>
        <w:t>CDF = cumulative distribution function; CI = confidence interval; mg – milligram; RD = risk difference; SE = standard error TEAE = treatment emergent adverse event</w:t>
      </w:r>
      <w:r w:rsidR="00B93A37" w:rsidRPr="00D775A7">
        <w:rPr>
          <w:rStyle w:val="CommentReference"/>
          <w:b w:val="0"/>
          <w:sz w:val="18"/>
          <w:szCs w:val="22"/>
        </w:rPr>
        <w:t xml:space="preserve">; </w:t>
      </w:r>
      <w:r w:rsidR="00B93A37" w:rsidRPr="00D775A7">
        <w:rPr>
          <w:rStyle w:val="CommentReference"/>
          <w:sz w:val="18"/>
          <w:szCs w:val="22"/>
        </w:rPr>
        <w:t xml:space="preserve">Bold </w:t>
      </w:r>
      <w:r w:rsidR="00B93A37" w:rsidRPr="00D775A7">
        <w:rPr>
          <w:rStyle w:val="CommentReference"/>
          <w:b w:val="0"/>
          <w:sz w:val="18"/>
          <w:szCs w:val="22"/>
        </w:rPr>
        <w:t xml:space="preserve">indicated statistically significant result </w:t>
      </w:r>
    </w:p>
    <w:p w:rsidR="00E02E7E" w:rsidRPr="00D775A7" w:rsidRDefault="00E02E7E" w:rsidP="00AC55A1">
      <w:pPr>
        <w:pStyle w:val="TableFooter"/>
        <w:tabs>
          <w:tab w:val="left" w:pos="284"/>
        </w:tabs>
        <w:ind w:left="284" w:hanging="284"/>
        <w:rPr>
          <w:rStyle w:val="CommentReference"/>
          <w:b w:val="0"/>
          <w:sz w:val="18"/>
          <w:szCs w:val="22"/>
        </w:rPr>
      </w:pPr>
      <w:r w:rsidRPr="00D775A7">
        <w:rPr>
          <w:rStyle w:val="CommentReference"/>
          <w:b w:val="0"/>
          <w:sz w:val="18"/>
          <w:szCs w:val="22"/>
        </w:rPr>
        <w:t>*</w:t>
      </w:r>
      <w:r w:rsidR="00AC55A1" w:rsidRPr="00D775A7">
        <w:rPr>
          <w:rStyle w:val="CommentReference"/>
          <w:b w:val="0"/>
          <w:sz w:val="18"/>
          <w:szCs w:val="22"/>
        </w:rPr>
        <w:tab/>
      </w:r>
      <w:r w:rsidRPr="00D775A7">
        <w:rPr>
          <w:rStyle w:val="CommentReference"/>
          <w:b w:val="0"/>
          <w:sz w:val="18"/>
          <w:szCs w:val="22"/>
        </w:rPr>
        <w:t xml:space="preserve">the submission did not define the abbreviation’ ln’ – presumably natural log. Further details of the standard error calculation were not presented. </w:t>
      </w:r>
    </w:p>
    <w:p w:rsidR="00672ABA" w:rsidRPr="00D775A7" w:rsidRDefault="00E02E7E" w:rsidP="00961D9C">
      <w:pPr>
        <w:pStyle w:val="ListParagraph"/>
        <w:widowControl/>
        <w:numPr>
          <w:ilvl w:val="1"/>
          <w:numId w:val="2"/>
        </w:numPr>
        <w:spacing w:before="120" w:after="120"/>
        <w:ind w:left="720" w:hanging="720"/>
        <w:rPr>
          <w:rStyle w:val="CommentReference"/>
          <w:rFonts w:ascii="Calibri" w:hAnsi="Calibri"/>
          <w:b w:val="0"/>
          <w:color w:val="000000" w:themeColor="text1"/>
          <w:sz w:val="24"/>
          <w:szCs w:val="22"/>
        </w:rPr>
      </w:pPr>
      <w:r w:rsidRPr="00D775A7">
        <w:rPr>
          <w:rStyle w:val="CommentReference"/>
          <w:rFonts w:ascii="Calibri" w:hAnsi="Calibri"/>
          <w:b w:val="0"/>
          <w:color w:val="000000" w:themeColor="text1"/>
          <w:sz w:val="24"/>
          <w:szCs w:val="22"/>
        </w:rPr>
        <w:t xml:space="preserve">For the indirect comparison, the submission selected </w:t>
      </w:r>
      <w:r w:rsidR="00AC55A1" w:rsidRPr="00D775A7">
        <w:rPr>
          <w:rStyle w:val="CommentReference"/>
          <w:rFonts w:ascii="Calibri" w:hAnsi="Calibri"/>
          <w:b w:val="0"/>
          <w:color w:val="000000" w:themeColor="text1"/>
          <w:sz w:val="24"/>
          <w:szCs w:val="22"/>
        </w:rPr>
        <w:t>a</w:t>
      </w:r>
      <w:r w:rsidRPr="00D775A7">
        <w:rPr>
          <w:rStyle w:val="CommentReference"/>
          <w:rFonts w:ascii="Calibri" w:hAnsi="Calibri"/>
          <w:b w:val="0"/>
          <w:color w:val="000000" w:themeColor="text1"/>
          <w:sz w:val="24"/>
          <w:szCs w:val="22"/>
        </w:rPr>
        <w:t xml:space="preserve"> 15%</w:t>
      </w:r>
      <w:r w:rsidR="00A7631F" w:rsidRPr="00D775A7">
        <w:rPr>
          <w:rStyle w:val="CommentReference"/>
          <w:rFonts w:ascii="Calibri" w:hAnsi="Calibri"/>
          <w:b w:val="0"/>
          <w:color w:val="000000" w:themeColor="text1"/>
          <w:sz w:val="24"/>
          <w:szCs w:val="22"/>
        </w:rPr>
        <w:t xml:space="preserve"> non-inferiority</w:t>
      </w:r>
      <w:r w:rsidRPr="00D775A7">
        <w:rPr>
          <w:rStyle w:val="CommentReference"/>
          <w:rFonts w:ascii="Calibri" w:hAnsi="Calibri"/>
          <w:b w:val="0"/>
          <w:color w:val="000000" w:themeColor="text1"/>
          <w:sz w:val="24"/>
          <w:szCs w:val="22"/>
        </w:rPr>
        <w:t xml:space="preserve"> margin for CDF</w:t>
      </w:r>
      <w:r w:rsidR="00AC55A1" w:rsidRPr="00D775A7">
        <w:rPr>
          <w:rStyle w:val="CommentReference"/>
          <w:rFonts w:ascii="Calibri" w:hAnsi="Calibri"/>
          <w:b w:val="0"/>
          <w:color w:val="000000" w:themeColor="text1"/>
          <w:sz w:val="24"/>
          <w:szCs w:val="22"/>
        </w:rPr>
        <w:t xml:space="preserve"> (Rosenthal 2018)</w:t>
      </w:r>
      <w:r w:rsidRPr="00D775A7">
        <w:rPr>
          <w:rStyle w:val="CommentReference"/>
          <w:rFonts w:ascii="Calibri" w:hAnsi="Calibri"/>
          <w:b w:val="0"/>
          <w:color w:val="000000" w:themeColor="text1"/>
          <w:sz w:val="24"/>
          <w:szCs w:val="22"/>
        </w:rPr>
        <w:t>, 11% margin for mean proportion of opioid negative urine samples for 24 weeks</w:t>
      </w:r>
      <w:r w:rsidR="00AC55A1" w:rsidRPr="00D775A7">
        <w:rPr>
          <w:rStyle w:val="CommentReference"/>
          <w:rFonts w:ascii="Calibri" w:hAnsi="Calibri"/>
          <w:b w:val="0"/>
          <w:color w:val="000000" w:themeColor="text1"/>
          <w:sz w:val="24"/>
          <w:szCs w:val="22"/>
        </w:rPr>
        <w:t xml:space="preserve"> (</w:t>
      </w:r>
      <w:proofErr w:type="spellStart"/>
      <w:r w:rsidR="00AC55A1" w:rsidRPr="00D775A7">
        <w:rPr>
          <w:rStyle w:val="CommentReference"/>
          <w:rFonts w:ascii="Calibri" w:hAnsi="Calibri"/>
          <w:b w:val="0"/>
          <w:color w:val="000000" w:themeColor="text1"/>
          <w:sz w:val="24"/>
          <w:szCs w:val="22"/>
        </w:rPr>
        <w:t>Lofwall</w:t>
      </w:r>
      <w:proofErr w:type="spellEnd"/>
      <w:r w:rsidR="00AC55A1" w:rsidRPr="00D775A7">
        <w:rPr>
          <w:rStyle w:val="CommentReference"/>
          <w:rFonts w:ascii="Calibri" w:hAnsi="Calibri"/>
          <w:b w:val="0"/>
          <w:color w:val="000000" w:themeColor="text1"/>
          <w:sz w:val="24"/>
          <w:szCs w:val="22"/>
        </w:rPr>
        <w:t xml:space="preserve"> 2018)</w:t>
      </w:r>
      <w:r w:rsidRPr="00D775A7">
        <w:rPr>
          <w:rStyle w:val="CommentReference"/>
          <w:rFonts w:ascii="Calibri" w:hAnsi="Calibri"/>
          <w:b w:val="0"/>
          <w:color w:val="000000" w:themeColor="text1"/>
          <w:sz w:val="24"/>
          <w:szCs w:val="22"/>
        </w:rPr>
        <w:t>, and 15% margin for study retention</w:t>
      </w:r>
      <w:r w:rsidR="00AC55A1" w:rsidRPr="00D775A7">
        <w:rPr>
          <w:rStyle w:val="CommentReference"/>
          <w:rFonts w:ascii="Calibri" w:hAnsi="Calibri"/>
          <w:b w:val="0"/>
          <w:color w:val="000000" w:themeColor="text1"/>
          <w:sz w:val="24"/>
          <w:szCs w:val="22"/>
        </w:rPr>
        <w:t xml:space="preserve"> (</w:t>
      </w:r>
      <w:proofErr w:type="spellStart"/>
      <w:r w:rsidR="00AC55A1" w:rsidRPr="00D775A7">
        <w:rPr>
          <w:rStyle w:val="CommentReference"/>
          <w:rFonts w:ascii="Calibri" w:hAnsi="Calibri"/>
          <w:b w:val="0"/>
          <w:color w:val="000000" w:themeColor="text1"/>
          <w:sz w:val="24"/>
          <w:szCs w:val="22"/>
        </w:rPr>
        <w:t>Lofwall</w:t>
      </w:r>
      <w:proofErr w:type="spellEnd"/>
      <w:r w:rsidR="00AC55A1" w:rsidRPr="00D775A7">
        <w:rPr>
          <w:rStyle w:val="CommentReference"/>
          <w:rFonts w:ascii="Calibri" w:hAnsi="Calibri"/>
          <w:b w:val="0"/>
          <w:color w:val="000000" w:themeColor="text1"/>
          <w:sz w:val="24"/>
          <w:szCs w:val="22"/>
        </w:rPr>
        <w:t xml:space="preserve"> 2018)</w:t>
      </w:r>
      <w:r w:rsidRPr="00D775A7">
        <w:rPr>
          <w:rStyle w:val="CommentReference"/>
          <w:rFonts w:ascii="Calibri" w:hAnsi="Calibri"/>
          <w:b w:val="0"/>
          <w:color w:val="000000" w:themeColor="text1"/>
          <w:sz w:val="24"/>
          <w:szCs w:val="22"/>
        </w:rPr>
        <w:t>.</w:t>
      </w:r>
    </w:p>
    <w:p w:rsidR="003F197E" w:rsidRPr="00D775A7" w:rsidRDefault="00D01609" w:rsidP="00961D9C">
      <w:pPr>
        <w:pStyle w:val="ListParagraph"/>
        <w:widowControl/>
        <w:numPr>
          <w:ilvl w:val="1"/>
          <w:numId w:val="2"/>
        </w:numPr>
        <w:spacing w:before="120" w:after="120"/>
        <w:ind w:left="720" w:hanging="720"/>
        <w:rPr>
          <w:rStyle w:val="CommentReference"/>
          <w:rFonts w:ascii="Calibri" w:hAnsi="Calibri"/>
          <w:b w:val="0"/>
          <w:color w:val="000000" w:themeColor="text1"/>
          <w:sz w:val="24"/>
          <w:szCs w:val="22"/>
        </w:rPr>
      </w:pPr>
      <w:r w:rsidRPr="00D775A7">
        <w:rPr>
          <w:rStyle w:val="CommentReference"/>
          <w:rFonts w:ascii="Calibri" w:hAnsi="Calibri"/>
          <w:b w:val="0"/>
          <w:color w:val="000000" w:themeColor="text1"/>
          <w:sz w:val="24"/>
          <w:szCs w:val="22"/>
        </w:rPr>
        <w:lastRenderedPageBreak/>
        <w:t xml:space="preserve">The ESC noted </w:t>
      </w:r>
      <w:r w:rsidR="008208FB" w:rsidRPr="00D775A7">
        <w:rPr>
          <w:rStyle w:val="CommentReference"/>
          <w:rFonts w:ascii="Calibri" w:hAnsi="Calibri"/>
          <w:b w:val="0"/>
          <w:color w:val="000000" w:themeColor="text1"/>
          <w:sz w:val="24"/>
          <w:szCs w:val="22"/>
        </w:rPr>
        <w:t>that t</w:t>
      </w:r>
      <w:r w:rsidR="009B5B2A" w:rsidRPr="00D775A7">
        <w:rPr>
          <w:rStyle w:val="CommentReference"/>
          <w:rFonts w:ascii="Calibri" w:hAnsi="Calibri"/>
          <w:b w:val="0"/>
          <w:color w:val="000000" w:themeColor="text1"/>
          <w:sz w:val="24"/>
          <w:szCs w:val="22"/>
        </w:rPr>
        <w:t xml:space="preserve">he outcomes of CDF </w:t>
      </w:r>
      <w:r w:rsidR="00D34F22" w:rsidRPr="00D775A7">
        <w:rPr>
          <w:rStyle w:val="CommentReference"/>
          <w:rFonts w:ascii="Calibri" w:hAnsi="Calibri"/>
          <w:b w:val="0"/>
          <w:color w:val="000000" w:themeColor="text1"/>
          <w:sz w:val="24"/>
          <w:szCs w:val="22"/>
        </w:rPr>
        <w:t>percentage</w:t>
      </w:r>
      <w:r w:rsidR="009B5B2A" w:rsidRPr="00D775A7">
        <w:rPr>
          <w:rStyle w:val="CommentReference"/>
          <w:rFonts w:ascii="Calibri" w:hAnsi="Calibri"/>
          <w:b w:val="0"/>
          <w:color w:val="000000" w:themeColor="text1"/>
          <w:sz w:val="24"/>
          <w:szCs w:val="22"/>
        </w:rPr>
        <w:t xml:space="preserve"> abstinent and urine sample negative met the nominated non-inferiority margins and</w:t>
      </w:r>
      <w:r w:rsidR="009B5B2A" w:rsidRPr="00D775A7" w:rsidDel="009B5B2A">
        <w:rPr>
          <w:rStyle w:val="CommentReference"/>
          <w:rFonts w:ascii="Calibri" w:hAnsi="Calibri"/>
          <w:b w:val="0"/>
          <w:color w:val="000000" w:themeColor="text1"/>
          <w:sz w:val="24"/>
          <w:szCs w:val="22"/>
        </w:rPr>
        <w:t xml:space="preserve"> </w:t>
      </w:r>
      <w:r w:rsidR="003F197E" w:rsidRPr="00D775A7">
        <w:rPr>
          <w:rStyle w:val="CommentReference"/>
          <w:rFonts w:ascii="Calibri" w:hAnsi="Calibri"/>
          <w:b w:val="0"/>
          <w:color w:val="000000" w:themeColor="text1"/>
          <w:sz w:val="24"/>
          <w:szCs w:val="22"/>
        </w:rPr>
        <w:t xml:space="preserve">achieved statistical </w:t>
      </w:r>
      <w:r w:rsidR="00D775A7" w:rsidRPr="00D775A7">
        <w:rPr>
          <w:rStyle w:val="CommentReference"/>
          <w:rFonts w:ascii="Calibri" w:hAnsi="Calibri"/>
          <w:b w:val="0"/>
          <w:color w:val="000000" w:themeColor="text1"/>
          <w:sz w:val="24"/>
          <w:szCs w:val="22"/>
        </w:rPr>
        <w:t>significance;</w:t>
      </w:r>
      <w:r w:rsidR="009B5B2A" w:rsidRPr="00D775A7">
        <w:rPr>
          <w:rStyle w:val="CommentReference"/>
          <w:rFonts w:ascii="Calibri" w:hAnsi="Calibri"/>
          <w:b w:val="0"/>
          <w:color w:val="000000" w:themeColor="text1"/>
          <w:sz w:val="24"/>
          <w:szCs w:val="22"/>
        </w:rPr>
        <w:t xml:space="preserve"> </w:t>
      </w:r>
      <w:r w:rsidR="008208FB" w:rsidRPr="00D775A7">
        <w:rPr>
          <w:rStyle w:val="CommentReference"/>
          <w:rFonts w:ascii="Calibri" w:hAnsi="Calibri"/>
          <w:b w:val="0"/>
          <w:color w:val="000000" w:themeColor="text1"/>
          <w:sz w:val="24"/>
          <w:szCs w:val="22"/>
        </w:rPr>
        <w:t>h</w:t>
      </w:r>
      <w:r w:rsidR="009B5B2A" w:rsidRPr="00D775A7">
        <w:rPr>
          <w:rStyle w:val="CommentReference"/>
          <w:rFonts w:ascii="Calibri" w:hAnsi="Calibri"/>
          <w:b w:val="0"/>
          <w:color w:val="000000" w:themeColor="text1"/>
          <w:sz w:val="24"/>
          <w:szCs w:val="22"/>
        </w:rPr>
        <w:t xml:space="preserve">owever, the lower 95% confidence interval for the difference in completers at 24 weeks exceeded the nominated non-inferiority margin of 15% for both the </w:t>
      </w:r>
      <w:proofErr w:type="spellStart"/>
      <w:r w:rsidR="009B5B2A" w:rsidRPr="00D775A7">
        <w:rPr>
          <w:rStyle w:val="CommentReference"/>
          <w:rFonts w:ascii="Calibri" w:hAnsi="Calibri"/>
          <w:b w:val="0"/>
          <w:color w:val="000000" w:themeColor="text1"/>
          <w:sz w:val="24"/>
          <w:szCs w:val="22"/>
        </w:rPr>
        <w:t>Sublocade</w:t>
      </w:r>
      <w:proofErr w:type="spellEnd"/>
      <w:r w:rsidR="009B5B2A" w:rsidRPr="00D775A7">
        <w:rPr>
          <w:rStyle w:val="CommentReference"/>
          <w:rFonts w:ascii="Calibri" w:hAnsi="Calibri"/>
          <w:b w:val="0"/>
          <w:color w:val="000000" w:themeColor="text1"/>
          <w:sz w:val="24"/>
          <w:szCs w:val="22"/>
        </w:rPr>
        <w:t xml:space="preserve"> 300/100mg and the 300/300mg doses suggesting possible inferiority.</w:t>
      </w:r>
    </w:p>
    <w:p w:rsidR="00BE6A87" w:rsidRPr="00D775A7" w:rsidRDefault="00E66339" w:rsidP="00961D9C">
      <w:pPr>
        <w:pStyle w:val="ListParagraph"/>
        <w:widowControl/>
        <w:numPr>
          <w:ilvl w:val="1"/>
          <w:numId w:val="2"/>
        </w:numPr>
        <w:spacing w:before="120" w:after="120"/>
        <w:ind w:left="720" w:hanging="720"/>
        <w:rPr>
          <w:rStyle w:val="CommentReference"/>
          <w:rFonts w:ascii="Calibri" w:hAnsi="Calibri"/>
          <w:b w:val="0"/>
          <w:color w:val="000000" w:themeColor="text1"/>
          <w:sz w:val="24"/>
          <w:szCs w:val="22"/>
        </w:rPr>
      </w:pPr>
      <w:r w:rsidRPr="00D775A7">
        <w:t xml:space="preserve">Overall, the nominated margins were considered to be not informative as the indirect comparison was likely invalid due to significant differences in the Rosenthal </w:t>
      </w:r>
      <w:r w:rsidR="005D1C02" w:rsidRPr="00D775A7">
        <w:t>(2013) and RB-US-13-0001 trials</w:t>
      </w:r>
      <w:r w:rsidR="003F197E" w:rsidRPr="00D775A7">
        <w:t xml:space="preserve"> </w:t>
      </w:r>
      <w:r w:rsidRPr="00D775A7">
        <w:t>which limited exchangeability</w:t>
      </w:r>
      <w:r w:rsidR="00BE6A87" w:rsidRPr="00D775A7">
        <w:rPr>
          <w:rStyle w:val="CommentReference"/>
          <w:rFonts w:ascii="Calibri" w:hAnsi="Calibri"/>
          <w:b w:val="0"/>
          <w:color w:val="000000" w:themeColor="text1"/>
          <w:sz w:val="24"/>
          <w:szCs w:val="22"/>
        </w:rPr>
        <w:t>,</w:t>
      </w:r>
      <w:r w:rsidR="00E02E7E" w:rsidRPr="00D775A7">
        <w:rPr>
          <w:rStyle w:val="CommentReference"/>
          <w:rFonts w:ascii="Calibri" w:hAnsi="Calibri"/>
          <w:b w:val="0"/>
          <w:color w:val="000000" w:themeColor="text1"/>
          <w:sz w:val="24"/>
          <w:szCs w:val="22"/>
        </w:rPr>
        <w:t xml:space="preserve"> </w:t>
      </w:r>
      <w:r w:rsidR="00BE6A87" w:rsidRPr="00D775A7">
        <w:rPr>
          <w:rStyle w:val="CommentReference"/>
          <w:rFonts w:ascii="Calibri" w:hAnsi="Calibri"/>
          <w:b w:val="0"/>
          <w:color w:val="000000" w:themeColor="text1"/>
          <w:sz w:val="24"/>
          <w:szCs w:val="22"/>
        </w:rPr>
        <w:t xml:space="preserve">specifically: </w:t>
      </w:r>
    </w:p>
    <w:p w:rsidR="00E02E7E" w:rsidRPr="00D775A7" w:rsidRDefault="00BE6A87" w:rsidP="00961D9C">
      <w:pPr>
        <w:pStyle w:val="ListParagraph"/>
        <w:numPr>
          <w:ilvl w:val="0"/>
          <w:numId w:val="21"/>
        </w:numPr>
        <w:spacing w:before="120" w:after="120"/>
        <w:rPr>
          <w:rStyle w:val="CommentReference"/>
          <w:rFonts w:ascii="Calibri" w:hAnsi="Calibri"/>
          <w:b w:val="0"/>
          <w:i/>
          <w:sz w:val="24"/>
          <w:szCs w:val="22"/>
        </w:rPr>
      </w:pPr>
      <w:r w:rsidRPr="00D775A7">
        <w:rPr>
          <w:rStyle w:val="CommentReference"/>
          <w:rFonts w:ascii="Calibri" w:hAnsi="Calibri"/>
          <w:b w:val="0"/>
          <w:color w:val="000000" w:themeColor="text1"/>
          <w:sz w:val="24"/>
          <w:szCs w:val="22"/>
        </w:rPr>
        <w:t>Th</w:t>
      </w:r>
      <w:r w:rsidR="005D1C02" w:rsidRPr="00D775A7">
        <w:rPr>
          <w:rStyle w:val="CommentReference"/>
          <w:rFonts w:ascii="Calibri" w:hAnsi="Calibri"/>
          <w:b w:val="0"/>
          <w:color w:val="000000" w:themeColor="text1"/>
          <w:sz w:val="24"/>
          <w:szCs w:val="22"/>
        </w:rPr>
        <w:t>e open label nature of the BUP/</w:t>
      </w:r>
      <w:r w:rsidRPr="00D775A7">
        <w:rPr>
          <w:rStyle w:val="CommentReference"/>
          <w:rFonts w:ascii="Calibri" w:hAnsi="Calibri"/>
          <w:b w:val="0"/>
          <w:color w:val="000000" w:themeColor="text1"/>
          <w:sz w:val="24"/>
          <w:szCs w:val="22"/>
        </w:rPr>
        <w:t>NAL SL arm of Rosenthal (2013)</w:t>
      </w:r>
      <w:r w:rsidR="00E45088" w:rsidRPr="00D775A7">
        <w:rPr>
          <w:rStyle w:val="CommentReference"/>
          <w:rFonts w:ascii="Calibri" w:hAnsi="Calibri"/>
          <w:b w:val="0"/>
          <w:color w:val="000000" w:themeColor="text1"/>
          <w:sz w:val="24"/>
          <w:szCs w:val="22"/>
        </w:rPr>
        <w:t>.</w:t>
      </w:r>
      <w:r w:rsidR="00F5347B" w:rsidRPr="00D775A7">
        <w:rPr>
          <w:rStyle w:val="CommentReference"/>
          <w:rFonts w:ascii="Calibri" w:hAnsi="Calibri"/>
          <w:b w:val="0"/>
          <w:color w:val="000000" w:themeColor="text1"/>
          <w:sz w:val="24"/>
          <w:szCs w:val="22"/>
        </w:rPr>
        <w:t xml:space="preserve"> </w:t>
      </w:r>
      <w:r w:rsidR="00BB4A67" w:rsidRPr="00D775A7">
        <w:t xml:space="preserve">The Pre-Sub-Committee Response (PSCR) suggested that the open label nature of the Rosenthal trial was biased against </w:t>
      </w:r>
      <w:proofErr w:type="spellStart"/>
      <w:r w:rsidR="00BB4A67" w:rsidRPr="00D775A7">
        <w:t>Sublocade</w:t>
      </w:r>
      <w:proofErr w:type="spellEnd"/>
      <w:r w:rsidR="00BB4A67" w:rsidRPr="00D775A7">
        <w:t xml:space="preserve"> and was therefore appropri</w:t>
      </w:r>
      <w:r w:rsidR="005D1C02" w:rsidRPr="00D775A7">
        <w:t>ate. However, the ESC agreed</w:t>
      </w:r>
      <w:r w:rsidR="00BB4A67" w:rsidRPr="00D775A7">
        <w:t xml:space="preserve"> that the open label design of the Rosenthal trial may limit the comparability of trials for the purposes of an indirect comparison.</w:t>
      </w:r>
      <w:r w:rsidR="00BB4A67" w:rsidRPr="00D775A7">
        <w:rPr>
          <w:i/>
        </w:rPr>
        <w:t xml:space="preserve"> </w:t>
      </w:r>
    </w:p>
    <w:p w:rsidR="00BE6A87" w:rsidRPr="00D775A7" w:rsidRDefault="00BE6A87" w:rsidP="00961D9C">
      <w:pPr>
        <w:pStyle w:val="ListParagraph"/>
        <w:numPr>
          <w:ilvl w:val="0"/>
          <w:numId w:val="21"/>
        </w:numPr>
        <w:spacing w:before="120" w:after="120"/>
        <w:rPr>
          <w:rStyle w:val="CommentReference"/>
          <w:rFonts w:ascii="Calibri" w:hAnsi="Calibri"/>
          <w:b w:val="0"/>
          <w:color w:val="000000" w:themeColor="text1"/>
          <w:sz w:val="24"/>
          <w:szCs w:val="22"/>
        </w:rPr>
      </w:pPr>
      <w:r w:rsidRPr="00D775A7">
        <w:rPr>
          <w:rStyle w:val="CommentReference"/>
          <w:rFonts w:ascii="Calibri" w:hAnsi="Calibri"/>
          <w:b w:val="0"/>
          <w:color w:val="000000" w:themeColor="text1"/>
          <w:sz w:val="24"/>
          <w:szCs w:val="22"/>
        </w:rPr>
        <w:t>The potential s</w:t>
      </w:r>
      <w:r w:rsidR="00803858" w:rsidRPr="00D775A7">
        <w:rPr>
          <w:rStyle w:val="CommentReference"/>
          <w:rFonts w:ascii="Calibri" w:hAnsi="Calibri"/>
          <w:b w:val="0"/>
          <w:color w:val="000000" w:themeColor="text1"/>
          <w:sz w:val="24"/>
          <w:szCs w:val="22"/>
        </w:rPr>
        <w:t>ub-optimal dosing of BUP/ NAL SL</w:t>
      </w:r>
      <w:r w:rsidRPr="00D775A7">
        <w:rPr>
          <w:rStyle w:val="CommentReference"/>
          <w:rFonts w:ascii="Calibri" w:hAnsi="Calibri"/>
          <w:b w:val="0"/>
          <w:color w:val="000000" w:themeColor="text1"/>
          <w:sz w:val="24"/>
          <w:szCs w:val="22"/>
        </w:rPr>
        <w:t xml:space="preserve"> arm of Rosenthal (2013)</w:t>
      </w:r>
      <w:r w:rsidR="00E45088" w:rsidRPr="00D775A7">
        <w:rPr>
          <w:rStyle w:val="CommentReference"/>
          <w:rFonts w:ascii="Calibri" w:hAnsi="Calibri"/>
          <w:b w:val="0"/>
          <w:color w:val="000000" w:themeColor="text1"/>
          <w:sz w:val="24"/>
          <w:szCs w:val="22"/>
        </w:rPr>
        <w:t>.</w:t>
      </w:r>
      <w:r w:rsidR="00BB4A67" w:rsidRPr="00D775A7">
        <w:rPr>
          <w:rStyle w:val="CommentReference"/>
          <w:rFonts w:ascii="Calibri" w:hAnsi="Calibri"/>
          <w:b w:val="0"/>
          <w:color w:val="000000" w:themeColor="text1"/>
          <w:sz w:val="24"/>
          <w:szCs w:val="22"/>
        </w:rPr>
        <w:t xml:space="preserve"> </w:t>
      </w:r>
      <w:r w:rsidR="00F215DE" w:rsidRPr="00D775A7">
        <w:rPr>
          <w:color w:val="000000" w:themeColor="text1"/>
        </w:rPr>
        <w:t xml:space="preserve">The submission considered that mean dosing of Rosenthal (2013) was lower than what would be expected in the Australian treatment population. If this is accurate, BUP/NAL SL tablets may have been administered at sub-therapeutic doses, and doses lower than could be expected in other trials or in the Australian population. </w:t>
      </w:r>
      <w:r w:rsidR="00BB4A67" w:rsidRPr="00D775A7">
        <w:rPr>
          <w:rStyle w:val="CommentReference"/>
          <w:rFonts w:ascii="Calibri" w:hAnsi="Calibri"/>
          <w:b w:val="0"/>
          <w:color w:val="000000" w:themeColor="text1"/>
          <w:sz w:val="24"/>
          <w:szCs w:val="22"/>
        </w:rPr>
        <w:t>The PSCR considere</w:t>
      </w:r>
      <w:r w:rsidR="007A2E80" w:rsidRPr="00D775A7">
        <w:rPr>
          <w:rStyle w:val="CommentReference"/>
          <w:rFonts w:ascii="Calibri" w:hAnsi="Calibri"/>
          <w:b w:val="0"/>
          <w:color w:val="000000" w:themeColor="text1"/>
          <w:sz w:val="24"/>
          <w:szCs w:val="22"/>
        </w:rPr>
        <w:t>d that the dose was adequate</w:t>
      </w:r>
      <w:r w:rsidR="00B11F11" w:rsidRPr="00D775A7">
        <w:rPr>
          <w:rStyle w:val="CommentReference"/>
          <w:rFonts w:ascii="Calibri" w:hAnsi="Calibri"/>
          <w:b w:val="0"/>
          <w:color w:val="000000" w:themeColor="text1"/>
          <w:sz w:val="24"/>
          <w:szCs w:val="22"/>
        </w:rPr>
        <w:t>,</w:t>
      </w:r>
      <w:r w:rsidR="00BB4A67" w:rsidRPr="00D775A7">
        <w:rPr>
          <w:rStyle w:val="CommentReference"/>
          <w:rFonts w:ascii="Calibri" w:hAnsi="Calibri"/>
          <w:b w:val="0"/>
          <w:color w:val="000000" w:themeColor="text1"/>
          <w:sz w:val="24"/>
          <w:szCs w:val="22"/>
        </w:rPr>
        <w:t xml:space="preserve"> not sub</w:t>
      </w:r>
      <w:r w:rsidR="007A2E80" w:rsidRPr="00D775A7">
        <w:rPr>
          <w:rStyle w:val="CommentReference"/>
          <w:rFonts w:ascii="Calibri" w:hAnsi="Calibri"/>
          <w:b w:val="0"/>
          <w:color w:val="000000" w:themeColor="text1"/>
          <w:sz w:val="24"/>
          <w:szCs w:val="22"/>
        </w:rPr>
        <w:t>-</w:t>
      </w:r>
      <w:r w:rsidR="00BB4A67" w:rsidRPr="00D775A7">
        <w:rPr>
          <w:rStyle w:val="CommentReference"/>
          <w:rFonts w:ascii="Calibri" w:hAnsi="Calibri"/>
          <w:b w:val="0"/>
          <w:color w:val="000000" w:themeColor="text1"/>
          <w:sz w:val="24"/>
          <w:szCs w:val="22"/>
        </w:rPr>
        <w:t>therapeutic, and that patients in the Rosenthal trial represented an easier to treat population. The ESC considered that this further highlighted the exchangeability issues in the indirect comparison</w:t>
      </w:r>
      <w:r w:rsidR="00D775A7">
        <w:rPr>
          <w:rStyle w:val="CommentReference"/>
          <w:rFonts w:ascii="Calibri" w:hAnsi="Calibri"/>
          <w:b w:val="0"/>
          <w:color w:val="000000" w:themeColor="text1"/>
          <w:sz w:val="24"/>
          <w:szCs w:val="22"/>
        </w:rPr>
        <w:t xml:space="preserve">. </w:t>
      </w:r>
    </w:p>
    <w:p w:rsidR="00E45088" w:rsidRPr="00D775A7" w:rsidRDefault="001A723E" w:rsidP="00961D9C">
      <w:pPr>
        <w:pStyle w:val="ListParagraph"/>
        <w:numPr>
          <w:ilvl w:val="0"/>
          <w:numId w:val="21"/>
        </w:numPr>
        <w:spacing w:before="120" w:after="120"/>
        <w:rPr>
          <w:rStyle w:val="CommentReference"/>
          <w:rFonts w:ascii="Calibri" w:hAnsi="Calibri"/>
          <w:b w:val="0"/>
          <w:color w:val="000000" w:themeColor="text1"/>
          <w:sz w:val="24"/>
          <w:szCs w:val="22"/>
        </w:rPr>
      </w:pPr>
      <w:r w:rsidRPr="00D775A7">
        <w:rPr>
          <w:rStyle w:val="CommentReference"/>
          <w:rFonts w:ascii="Calibri" w:hAnsi="Calibri"/>
          <w:b w:val="0"/>
          <w:color w:val="000000" w:themeColor="text1"/>
          <w:sz w:val="24"/>
          <w:szCs w:val="22"/>
        </w:rPr>
        <w:t>T</w:t>
      </w:r>
      <w:r w:rsidR="00BE6A87" w:rsidRPr="00D775A7">
        <w:rPr>
          <w:rStyle w:val="CommentReference"/>
          <w:rFonts w:ascii="Calibri" w:hAnsi="Calibri"/>
          <w:b w:val="0"/>
          <w:color w:val="000000" w:themeColor="text1"/>
          <w:sz w:val="24"/>
          <w:szCs w:val="22"/>
        </w:rPr>
        <w:t xml:space="preserve">he lack of information on important baseline </w:t>
      </w:r>
      <w:r w:rsidR="007C7BAA" w:rsidRPr="00D775A7">
        <w:rPr>
          <w:rStyle w:val="CommentReference"/>
          <w:rFonts w:ascii="Calibri" w:hAnsi="Calibri"/>
          <w:b w:val="0"/>
          <w:color w:val="000000" w:themeColor="text1"/>
          <w:sz w:val="24"/>
          <w:szCs w:val="22"/>
        </w:rPr>
        <w:t>characteristics</w:t>
      </w:r>
      <w:r w:rsidR="00BE6A87" w:rsidRPr="00D775A7">
        <w:rPr>
          <w:rStyle w:val="CommentReference"/>
          <w:rFonts w:ascii="Calibri" w:hAnsi="Calibri"/>
          <w:b w:val="0"/>
          <w:color w:val="000000" w:themeColor="text1"/>
          <w:sz w:val="24"/>
          <w:szCs w:val="22"/>
        </w:rPr>
        <w:t xml:space="preserve"> of the Rosenthal (2013</w:t>
      </w:r>
      <w:r w:rsidR="00E45088" w:rsidRPr="00D775A7">
        <w:rPr>
          <w:rStyle w:val="CommentReference"/>
          <w:rFonts w:ascii="Calibri" w:hAnsi="Calibri"/>
          <w:b w:val="0"/>
          <w:color w:val="000000" w:themeColor="text1"/>
          <w:sz w:val="24"/>
          <w:szCs w:val="22"/>
        </w:rPr>
        <w:t>)</w:t>
      </w:r>
      <w:r w:rsidR="00BE6A87" w:rsidRPr="00D775A7">
        <w:rPr>
          <w:rStyle w:val="CommentReference"/>
          <w:rFonts w:ascii="Calibri" w:hAnsi="Calibri"/>
          <w:b w:val="0"/>
          <w:color w:val="000000" w:themeColor="text1"/>
          <w:sz w:val="24"/>
          <w:szCs w:val="22"/>
        </w:rPr>
        <w:t xml:space="preserve"> trial with regards to non-pharmacological predictors of treatment success (including but not limited to, marital status, housing status, employment status, education, severity of disease</w:t>
      </w:r>
      <w:r w:rsidR="00BE6A87" w:rsidRPr="00D775A7">
        <w:rPr>
          <w:rStyle w:val="CommentReference"/>
          <w:rFonts w:ascii="Calibri" w:hAnsi="Calibri"/>
          <w:b w:val="0"/>
          <w:i/>
          <w:color w:val="000000" w:themeColor="text1"/>
          <w:sz w:val="24"/>
          <w:szCs w:val="22"/>
        </w:rPr>
        <w:t>)</w:t>
      </w:r>
      <w:r w:rsidR="00E45088" w:rsidRPr="00D775A7">
        <w:rPr>
          <w:rStyle w:val="CommentReference"/>
          <w:rFonts w:ascii="Calibri" w:hAnsi="Calibri"/>
          <w:b w:val="0"/>
          <w:i/>
          <w:color w:val="000000" w:themeColor="text1"/>
          <w:sz w:val="24"/>
          <w:szCs w:val="22"/>
        </w:rPr>
        <w:t>.</w:t>
      </w:r>
      <w:r w:rsidR="00F0579C" w:rsidRPr="00D775A7">
        <w:rPr>
          <w:rStyle w:val="CommentReference"/>
          <w:rFonts w:ascii="Calibri" w:hAnsi="Calibri"/>
          <w:b w:val="0"/>
          <w:i/>
          <w:color w:val="000000" w:themeColor="text1"/>
          <w:sz w:val="24"/>
          <w:szCs w:val="22"/>
        </w:rPr>
        <w:t xml:space="preserve"> </w:t>
      </w:r>
      <w:r w:rsidR="00F0579C" w:rsidRPr="00D775A7">
        <w:rPr>
          <w:rStyle w:val="CommentReference"/>
          <w:rFonts w:ascii="Calibri" w:hAnsi="Calibri"/>
          <w:b w:val="0"/>
          <w:color w:val="000000" w:themeColor="text1"/>
          <w:sz w:val="24"/>
          <w:szCs w:val="22"/>
        </w:rPr>
        <w:t xml:space="preserve">The </w:t>
      </w:r>
      <w:r w:rsidR="004254E2" w:rsidRPr="00D775A7">
        <w:rPr>
          <w:rStyle w:val="CommentReference"/>
          <w:rFonts w:ascii="Calibri" w:hAnsi="Calibri"/>
          <w:b w:val="0"/>
          <w:color w:val="000000" w:themeColor="text1"/>
          <w:sz w:val="24"/>
          <w:szCs w:val="22"/>
        </w:rPr>
        <w:t xml:space="preserve">PSCR </w:t>
      </w:r>
      <w:r w:rsidR="008C7724" w:rsidRPr="00D775A7">
        <w:rPr>
          <w:rStyle w:val="CommentReference"/>
          <w:rFonts w:ascii="Calibri" w:hAnsi="Calibri"/>
          <w:b w:val="0"/>
          <w:color w:val="000000" w:themeColor="text1"/>
          <w:sz w:val="24"/>
          <w:szCs w:val="22"/>
        </w:rPr>
        <w:t>noted</w:t>
      </w:r>
      <w:r w:rsidR="005D1C02" w:rsidRPr="00D775A7">
        <w:rPr>
          <w:rStyle w:val="CommentReference"/>
          <w:rFonts w:ascii="Calibri" w:hAnsi="Calibri"/>
          <w:b w:val="0"/>
          <w:color w:val="000000" w:themeColor="text1"/>
          <w:sz w:val="24"/>
          <w:szCs w:val="22"/>
        </w:rPr>
        <w:t xml:space="preserve"> recent evidence</w:t>
      </w:r>
      <w:r w:rsidR="004254E2" w:rsidRPr="00D775A7">
        <w:rPr>
          <w:rStyle w:val="CommentReference"/>
          <w:rFonts w:ascii="Calibri" w:hAnsi="Calibri"/>
          <w:b w:val="0"/>
          <w:color w:val="000000" w:themeColor="text1"/>
          <w:sz w:val="24"/>
          <w:szCs w:val="22"/>
        </w:rPr>
        <w:t xml:space="preserve"> </w:t>
      </w:r>
      <w:r w:rsidR="008C7724" w:rsidRPr="00D775A7">
        <w:rPr>
          <w:rStyle w:val="CommentReference"/>
          <w:rFonts w:ascii="Calibri" w:hAnsi="Calibri"/>
          <w:b w:val="0"/>
          <w:color w:val="000000" w:themeColor="text1"/>
          <w:sz w:val="24"/>
          <w:szCs w:val="22"/>
        </w:rPr>
        <w:t xml:space="preserve">which </w:t>
      </w:r>
      <w:r w:rsidR="004254E2" w:rsidRPr="00D775A7">
        <w:rPr>
          <w:rStyle w:val="CommentReference"/>
          <w:rFonts w:ascii="Calibri" w:hAnsi="Calibri"/>
          <w:b w:val="0"/>
          <w:color w:val="000000" w:themeColor="text1"/>
          <w:sz w:val="24"/>
          <w:szCs w:val="22"/>
        </w:rPr>
        <w:t xml:space="preserve">found that only age and housing </w:t>
      </w:r>
      <w:r w:rsidR="008C7724" w:rsidRPr="00D775A7">
        <w:rPr>
          <w:rStyle w:val="CommentReference"/>
          <w:rFonts w:ascii="Calibri" w:hAnsi="Calibri"/>
          <w:b w:val="0"/>
          <w:color w:val="000000" w:themeColor="text1"/>
          <w:sz w:val="24"/>
          <w:szCs w:val="22"/>
        </w:rPr>
        <w:t>were</w:t>
      </w:r>
      <w:r w:rsidR="004254E2" w:rsidRPr="00D775A7">
        <w:rPr>
          <w:rStyle w:val="CommentReference"/>
          <w:rFonts w:ascii="Calibri" w:hAnsi="Calibri"/>
          <w:b w:val="0"/>
          <w:color w:val="000000" w:themeColor="text1"/>
          <w:sz w:val="24"/>
          <w:szCs w:val="22"/>
        </w:rPr>
        <w:t xml:space="preserve"> found to have an effect on treatment success</w:t>
      </w:r>
      <w:r w:rsidR="009C6228" w:rsidRPr="00D775A7">
        <w:rPr>
          <w:rStyle w:val="CommentReference"/>
          <w:rFonts w:ascii="Calibri" w:hAnsi="Calibri"/>
          <w:b w:val="0"/>
          <w:color w:val="000000" w:themeColor="text1"/>
          <w:sz w:val="24"/>
          <w:szCs w:val="22"/>
        </w:rPr>
        <w:t xml:space="preserve">, </w:t>
      </w:r>
      <w:r w:rsidR="005D1C02" w:rsidRPr="00D775A7">
        <w:rPr>
          <w:rStyle w:val="CommentReference"/>
          <w:rFonts w:ascii="Calibri" w:hAnsi="Calibri"/>
          <w:b w:val="0"/>
          <w:color w:val="000000" w:themeColor="text1"/>
          <w:sz w:val="24"/>
          <w:szCs w:val="22"/>
        </w:rPr>
        <w:t xml:space="preserve">and the ESC therefore considered that </w:t>
      </w:r>
      <w:r w:rsidR="004254E2" w:rsidRPr="00D775A7">
        <w:rPr>
          <w:rStyle w:val="CommentReference"/>
          <w:rFonts w:ascii="Calibri" w:hAnsi="Calibri"/>
          <w:b w:val="0"/>
          <w:color w:val="000000" w:themeColor="text1"/>
          <w:sz w:val="24"/>
          <w:szCs w:val="22"/>
        </w:rPr>
        <w:t>the tri</w:t>
      </w:r>
      <w:r w:rsidR="005D1C02" w:rsidRPr="00D775A7">
        <w:rPr>
          <w:rStyle w:val="CommentReference"/>
          <w:rFonts w:ascii="Calibri" w:hAnsi="Calibri"/>
          <w:b w:val="0"/>
          <w:color w:val="000000" w:themeColor="text1"/>
          <w:sz w:val="24"/>
          <w:szCs w:val="22"/>
        </w:rPr>
        <w:t>al results are likely reflective</w:t>
      </w:r>
      <w:r w:rsidR="004254E2" w:rsidRPr="00D775A7">
        <w:rPr>
          <w:rStyle w:val="CommentReference"/>
          <w:rFonts w:ascii="Calibri" w:hAnsi="Calibri"/>
          <w:b w:val="0"/>
          <w:color w:val="000000" w:themeColor="text1"/>
          <w:sz w:val="24"/>
          <w:szCs w:val="22"/>
        </w:rPr>
        <w:t xml:space="preserve"> of the Australian context.</w:t>
      </w:r>
    </w:p>
    <w:p w:rsidR="00BC72D0" w:rsidRPr="00D775A7" w:rsidRDefault="00E02E7E" w:rsidP="00961D9C">
      <w:pPr>
        <w:pStyle w:val="ListParagraph"/>
        <w:widowControl/>
        <w:numPr>
          <w:ilvl w:val="1"/>
          <w:numId w:val="2"/>
        </w:numPr>
        <w:spacing w:before="120" w:after="120"/>
        <w:ind w:left="720" w:hanging="720"/>
      </w:pPr>
      <w:r w:rsidRPr="00D775A7">
        <w:rPr>
          <w:rStyle w:val="CommentReference"/>
          <w:rFonts w:ascii="Calibri" w:hAnsi="Calibri"/>
          <w:b w:val="0"/>
          <w:color w:val="000000" w:themeColor="text1"/>
          <w:sz w:val="24"/>
          <w:szCs w:val="22"/>
        </w:rPr>
        <w:t>Overall, while the submission’s analysis suggests non-inferiority of the select</w:t>
      </w:r>
      <w:r w:rsidR="00AC55A1" w:rsidRPr="00D775A7">
        <w:rPr>
          <w:rStyle w:val="CommentReference"/>
          <w:rFonts w:ascii="Calibri" w:hAnsi="Calibri"/>
          <w:b w:val="0"/>
          <w:color w:val="000000" w:themeColor="text1"/>
          <w:sz w:val="24"/>
          <w:szCs w:val="22"/>
        </w:rPr>
        <w:t>ed</w:t>
      </w:r>
      <w:r w:rsidRPr="00D775A7">
        <w:rPr>
          <w:rStyle w:val="CommentReference"/>
          <w:rFonts w:ascii="Calibri" w:hAnsi="Calibri"/>
          <w:b w:val="0"/>
          <w:color w:val="000000" w:themeColor="text1"/>
          <w:sz w:val="24"/>
          <w:szCs w:val="22"/>
        </w:rPr>
        <w:t xml:space="preserve"> outcomes, due to critical differences in the trials lack of information in many important baseline characteristics, little confidence can be placed on the results of the indirect comparison</w:t>
      </w:r>
      <w:r w:rsidR="008C7724" w:rsidRPr="00D775A7">
        <w:rPr>
          <w:rStyle w:val="CommentReference"/>
          <w:rFonts w:ascii="Calibri" w:hAnsi="Calibri"/>
          <w:b w:val="0"/>
          <w:color w:val="000000" w:themeColor="text1"/>
          <w:sz w:val="24"/>
          <w:szCs w:val="22"/>
        </w:rPr>
        <w:t xml:space="preserve"> of </w:t>
      </w:r>
      <w:proofErr w:type="spellStart"/>
      <w:r w:rsidR="008C7724" w:rsidRPr="00D775A7">
        <w:rPr>
          <w:rStyle w:val="CommentReference"/>
          <w:rFonts w:ascii="Calibri" w:hAnsi="Calibri"/>
          <w:b w:val="0"/>
          <w:color w:val="000000" w:themeColor="text1"/>
          <w:sz w:val="24"/>
          <w:szCs w:val="22"/>
        </w:rPr>
        <w:t>Sublocade</w:t>
      </w:r>
      <w:proofErr w:type="spellEnd"/>
      <w:r w:rsidR="008C7724" w:rsidRPr="00D775A7">
        <w:rPr>
          <w:rStyle w:val="CommentReference"/>
          <w:rFonts w:ascii="Calibri" w:hAnsi="Calibri"/>
          <w:b w:val="0"/>
          <w:color w:val="000000" w:themeColor="text1"/>
          <w:sz w:val="24"/>
          <w:szCs w:val="22"/>
        </w:rPr>
        <w:t xml:space="preserve"> to BUP/NAL SL film</w:t>
      </w:r>
      <w:r w:rsidR="00AC55A1" w:rsidRPr="00D775A7">
        <w:rPr>
          <w:rStyle w:val="CommentReference"/>
          <w:rFonts w:ascii="Calibri" w:hAnsi="Calibri"/>
          <w:b w:val="0"/>
          <w:color w:val="000000" w:themeColor="text1"/>
          <w:sz w:val="24"/>
          <w:szCs w:val="22"/>
        </w:rPr>
        <w:t>.</w:t>
      </w:r>
      <w:r w:rsidR="008C2DE9" w:rsidRPr="00D775A7">
        <w:rPr>
          <w:rStyle w:val="CommentReference"/>
          <w:rFonts w:ascii="Calibri" w:hAnsi="Calibri"/>
          <w:b w:val="0"/>
          <w:color w:val="000000" w:themeColor="text1"/>
          <w:sz w:val="24"/>
          <w:szCs w:val="22"/>
        </w:rPr>
        <w:t xml:space="preserve"> The ESC agreed that due to exchangeability issues with the clinical evidence, it remained challenging to draw conclusions about the </w:t>
      </w:r>
      <w:r w:rsidR="005D1C02" w:rsidRPr="00D775A7">
        <w:rPr>
          <w:rStyle w:val="CommentReference"/>
          <w:rFonts w:ascii="Calibri" w:hAnsi="Calibri"/>
          <w:b w:val="0"/>
          <w:color w:val="000000" w:themeColor="text1"/>
          <w:sz w:val="24"/>
          <w:szCs w:val="22"/>
        </w:rPr>
        <w:t>non-inferiority claim</w:t>
      </w:r>
      <w:r w:rsidR="008C2DE9" w:rsidRPr="00D775A7">
        <w:rPr>
          <w:rStyle w:val="CommentReference"/>
          <w:rFonts w:ascii="Calibri" w:hAnsi="Calibri"/>
          <w:b w:val="0"/>
          <w:color w:val="000000" w:themeColor="text1"/>
          <w:sz w:val="24"/>
          <w:szCs w:val="22"/>
        </w:rPr>
        <w:t>.</w:t>
      </w:r>
      <w:r w:rsidR="008C2DE9" w:rsidRPr="00D775A7">
        <w:rPr>
          <w:rStyle w:val="CommentReference"/>
          <w:rFonts w:ascii="Calibri" w:hAnsi="Calibri"/>
          <w:b w:val="0"/>
          <w:i/>
          <w:color w:val="000000" w:themeColor="text1"/>
          <w:sz w:val="24"/>
          <w:szCs w:val="22"/>
        </w:rPr>
        <w:t xml:space="preserve"> </w:t>
      </w:r>
    </w:p>
    <w:p w:rsidR="00961D9C" w:rsidRDefault="00BC72D0" w:rsidP="00961D9C">
      <w:pPr>
        <w:pStyle w:val="ListParagraph"/>
        <w:widowControl/>
        <w:numPr>
          <w:ilvl w:val="1"/>
          <w:numId w:val="2"/>
        </w:numPr>
        <w:spacing w:before="120" w:after="120"/>
        <w:ind w:left="720" w:hanging="720"/>
        <w:rPr>
          <w:color w:val="000000" w:themeColor="text1"/>
        </w:rPr>
      </w:pPr>
      <w:r w:rsidRPr="00D775A7">
        <w:rPr>
          <w:rFonts w:asciiTheme="minorHAnsi" w:hAnsiTheme="minorHAnsi" w:cstheme="minorHAnsi"/>
          <w:color w:val="000000" w:themeColor="text1"/>
          <w:szCs w:val="24"/>
        </w:rPr>
        <w:t xml:space="preserve">Table </w:t>
      </w:r>
      <w:r w:rsidRPr="00D775A7">
        <w:rPr>
          <w:rStyle w:val="CommentReference"/>
          <w:rFonts w:asciiTheme="minorHAnsi" w:hAnsiTheme="minorHAnsi" w:cstheme="minorHAnsi"/>
          <w:b w:val="0"/>
          <w:sz w:val="24"/>
          <w:szCs w:val="24"/>
        </w:rPr>
        <w:t>7</w:t>
      </w:r>
      <w:r w:rsidR="004A7E61" w:rsidRPr="00D775A7">
        <w:rPr>
          <w:color w:val="000000" w:themeColor="text1"/>
        </w:rPr>
        <w:t xml:space="preserve"> presents the results of the indirect comparison between </w:t>
      </w:r>
      <w:proofErr w:type="spellStart"/>
      <w:r w:rsidR="004A7E61" w:rsidRPr="00D775A7">
        <w:rPr>
          <w:color w:val="000000" w:themeColor="text1"/>
        </w:rPr>
        <w:t>Sublocade</w:t>
      </w:r>
      <w:proofErr w:type="spellEnd"/>
      <w:r w:rsidR="004A7E61" w:rsidRPr="00D775A7">
        <w:rPr>
          <w:color w:val="000000" w:themeColor="text1"/>
        </w:rPr>
        <w:t xml:space="preserve"> and </w:t>
      </w:r>
      <w:proofErr w:type="spellStart"/>
      <w:r w:rsidR="004A7E61" w:rsidRPr="00D775A7">
        <w:rPr>
          <w:color w:val="000000" w:themeColor="text1"/>
        </w:rPr>
        <w:t>Buvidal</w:t>
      </w:r>
      <w:proofErr w:type="spellEnd"/>
      <w:r w:rsidR="008C2DE9" w:rsidRPr="00D775A7">
        <w:rPr>
          <w:color w:val="000000" w:themeColor="text1"/>
        </w:rPr>
        <w:t>.</w:t>
      </w:r>
    </w:p>
    <w:p w:rsidR="0015687A" w:rsidRPr="00961D9C" w:rsidRDefault="00961D9C" w:rsidP="00961D9C">
      <w:r>
        <w:br w:type="page"/>
      </w:r>
    </w:p>
    <w:p w:rsidR="00704963" w:rsidRPr="00D775A7" w:rsidRDefault="00704963" w:rsidP="00704963">
      <w:pPr>
        <w:pStyle w:val="BodyText"/>
        <w:jc w:val="both"/>
        <w:rPr>
          <w:rStyle w:val="CommentReference"/>
        </w:rPr>
      </w:pPr>
      <w:bookmarkStart w:id="22" w:name="_Ref534629085"/>
      <w:r w:rsidRPr="00D775A7">
        <w:rPr>
          <w:rStyle w:val="CommentReference"/>
        </w:rPr>
        <w:lastRenderedPageBreak/>
        <w:t xml:space="preserve">Table </w:t>
      </w:r>
      <w:r w:rsidR="00BC72D0" w:rsidRPr="00D775A7">
        <w:rPr>
          <w:rStyle w:val="CommentReference"/>
        </w:rPr>
        <w:t>7</w:t>
      </w:r>
      <w:bookmarkEnd w:id="22"/>
      <w:r w:rsidRPr="00D775A7">
        <w:rPr>
          <w:rStyle w:val="CommentReference"/>
        </w:rPr>
        <w:t xml:space="preserve">: Results of indirect comparison of </w:t>
      </w:r>
      <w:proofErr w:type="spellStart"/>
      <w:r w:rsidRPr="00D775A7">
        <w:rPr>
          <w:rStyle w:val="CommentReference"/>
        </w:rPr>
        <w:t>Sublocade</w:t>
      </w:r>
      <w:proofErr w:type="spellEnd"/>
      <w:r w:rsidRPr="00D775A7">
        <w:rPr>
          <w:rStyle w:val="CommentReference"/>
        </w:rPr>
        <w:t xml:space="preserve"> versus </w:t>
      </w:r>
      <w:proofErr w:type="spellStart"/>
      <w:r w:rsidRPr="00D775A7">
        <w:rPr>
          <w:rStyle w:val="CommentReference"/>
        </w:rPr>
        <w:t>Buvidal</w:t>
      </w:r>
      <w:proofErr w:type="spellEnd"/>
    </w:p>
    <w:tbl>
      <w:tblPr>
        <w:tblStyle w:val="Submissionstandard"/>
        <w:tblW w:w="9067" w:type="dxa"/>
        <w:tblLayout w:type="fixed"/>
        <w:tblCellMar>
          <w:left w:w="29" w:type="dxa"/>
          <w:right w:w="29" w:type="dxa"/>
        </w:tblCellMar>
        <w:tblLook w:val="04A0" w:firstRow="1" w:lastRow="0" w:firstColumn="1" w:lastColumn="0" w:noHBand="0" w:noVBand="1"/>
        <w:tblCaption w:val="Table 7: Results of indirect comparison of Sublocade versus Buvidal"/>
      </w:tblPr>
      <w:tblGrid>
        <w:gridCol w:w="3823"/>
        <w:gridCol w:w="2126"/>
        <w:gridCol w:w="1559"/>
        <w:gridCol w:w="1559"/>
      </w:tblGrid>
      <w:tr w:rsidR="00704963" w:rsidRPr="00D775A7" w:rsidTr="008C46AB">
        <w:trPr>
          <w:cnfStyle w:val="100000000000" w:firstRow="1" w:lastRow="0" w:firstColumn="0" w:lastColumn="0" w:oddVBand="0" w:evenVBand="0" w:oddHBand="0" w:evenHBand="0" w:firstRowFirstColumn="0" w:firstRowLastColumn="0" w:lastRowFirstColumn="0" w:lastRowLastColumn="0"/>
          <w:trHeight w:val="107"/>
          <w:tblHeader/>
        </w:trPr>
        <w:tc>
          <w:tcPr>
            <w:tcW w:w="3823" w:type="dxa"/>
            <w:shd w:val="clear" w:color="auto" w:fill="auto"/>
          </w:tcPr>
          <w:p w:rsidR="00704963" w:rsidRPr="00D775A7" w:rsidRDefault="00704963" w:rsidP="004C6A58">
            <w:pPr>
              <w:pStyle w:val="Tabletext"/>
              <w:rPr>
                <w:lang w:val="en-AU"/>
              </w:rPr>
            </w:pPr>
            <w:r w:rsidRPr="00D775A7">
              <w:rPr>
                <w:lang w:val="en-AU"/>
              </w:rPr>
              <w:t>Outcome</w:t>
            </w:r>
          </w:p>
        </w:tc>
        <w:tc>
          <w:tcPr>
            <w:tcW w:w="2126" w:type="dxa"/>
            <w:shd w:val="clear" w:color="auto" w:fill="auto"/>
          </w:tcPr>
          <w:p w:rsidR="00704963" w:rsidRPr="00D775A7" w:rsidRDefault="00704963" w:rsidP="004C6A58">
            <w:pPr>
              <w:pStyle w:val="Tabletext"/>
              <w:jc w:val="center"/>
              <w:rPr>
                <w:lang w:val="en-AU"/>
              </w:rPr>
            </w:pPr>
            <w:r w:rsidRPr="00D775A7">
              <w:rPr>
                <w:lang w:val="en-AU"/>
              </w:rPr>
              <w:t>RD( 95% CI)</w:t>
            </w:r>
          </w:p>
        </w:tc>
        <w:tc>
          <w:tcPr>
            <w:tcW w:w="1559" w:type="dxa"/>
            <w:shd w:val="clear" w:color="auto" w:fill="auto"/>
          </w:tcPr>
          <w:p w:rsidR="00704963" w:rsidRPr="00D775A7" w:rsidRDefault="00704963" w:rsidP="004C6A58">
            <w:pPr>
              <w:pStyle w:val="Tabletext"/>
              <w:jc w:val="center"/>
              <w:rPr>
                <w:lang w:val="en-AU"/>
              </w:rPr>
            </w:pPr>
            <w:r w:rsidRPr="00D775A7">
              <w:rPr>
                <w:lang w:val="en-AU"/>
              </w:rPr>
              <w:t>SE (ln RD)*</w:t>
            </w:r>
          </w:p>
        </w:tc>
        <w:tc>
          <w:tcPr>
            <w:tcW w:w="1559" w:type="dxa"/>
            <w:shd w:val="clear" w:color="auto" w:fill="auto"/>
          </w:tcPr>
          <w:p w:rsidR="00704963" w:rsidRPr="00D775A7" w:rsidRDefault="00704963" w:rsidP="004C6A58">
            <w:pPr>
              <w:pStyle w:val="Tabletext"/>
              <w:jc w:val="center"/>
              <w:rPr>
                <w:lang w:val="en-AU"/>
              </w:rPr>
            </w:pPr>
            <w:r w:rsidRPr="00D775A7">
              <w:rPr>
                <w:lang w:val="en-AU"/>
              </w:rPr>
              <w:t>P value</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rHeight w:val="107"/>
          <w:tblHeader/>
        </w:trPr>
        <w:tc>
          <w:tcPr>
            <w:tcW w:w="9067" w:type="dxa"/>
            <w:gridSpan w:val="4"/>
            <w:shd w:val="clear" w:color="auto" w:fill="auto"/>
          </w:tcPr>
          <w:p w:rsidR="00704963" w:rsidRPr="00D775A7" w:rsidRDefault="00704963" w:rsidP="004C6A58">
            <w:pPr>
              <w:pStyle w:val="Tabletext"/>
              <w:rPr>
                <w:b w:val="0"/>
                <w:lang w:val="en-AU"/>
              </w:rPr>
            </w:pPr>
            <w:proofErr w:type="spellStart"/>
            <w:r w:rsidRPr="00D775A7">
              <w:rPr>
                <w:lang w:val="en-AU"/>
              </w:rPr>
              <w:t>Sublocade</w:t>
            </w:r>
            <w:proofErr w:type="spellEnd"/>
            <w:r w:rsidRPr="00D775A7">
              <w:rPr>
                <w:lang w:val="en-AU"/>
              </w:rPr>
              <w:t xml:space="preserve"> 300/100mg versus </w:t>
            </w:r>
            <w:proofErr w:type="spellStart"/>
            <w:r w:rsidRPr="00D775A7">
              <w:rPr>
                <w:lang w:val="en-AU"/>
              </w:rPr>
              <w:t>Buvidal</w:t>
            </w:r>
            <w:proofErr w:type="spellEnd"/>
            <w:r w:rsidRPr="00D775A7">
              <w:rPr>
                <w:lang w:val="en-AU"/>
              </w:rPr>
              <w:t xml:space="preserve"> via placebo and BUP/NAL</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rHeight w:val="107"/>
          <w:tblHeader/>
        </w:trPr>
        <w:tc>
          <w:tcPr>
            <w:tcW w:w="3823" w:type="dxa"/>
            <w:shd w:val="clear" w:color="auto" w:fill="auto"/>
          </w:tcPr>
          <w:p w:rsidR="00704963" w:rsidRPr="00D775A7" w:rsidRDefault="00704963" w:rsidP="004C6A58">
            <w:pPr>
              <w:pStyle w:val="Tabletext"/>
              <w:rPr>
                <w:lang w:val="en-AU"/>
              </w:rPr>
            </w:pPr>
            <w:r w:rsidRPr="00D775A7">
              <w:rPr>
                <w:lang w:val="en-AU"/>
              </w:rPr>
              <w:t>CDF % abstinent (mean difference)</w:t>
            </w:r>
          </w:p>
        </w:tc>
        <w:tc>
          <w:tcPr>
            <w:tcW w:w="2126" w:type="dxa"/>
            <w:shd w:val="clear" w:color="auto" w:fill="auto"/>
          </w:tcPr>
          <w:p w:rsidR="00704963" w:rsidRPr="00D45CE2" w:rsidRDefault="00704963" w:rsidP="004C6A58">
            <w:pPr>
              <w:pStyle w:val="Tabletext"/>
              <w:jc w:val="center"/>
              <w:rPr>
                <w:lang w:val="en-AU"/>
              </w:rPr>
            </w:pPr>
            <w:r w:rsidRPr="00D45CE2">
              <w:rPr>
                <w:lang w:val="en-AU"/>
              </w:rPr>
              <w:t>0.092 ((-0.080, 0.264)</w:t>
            </w:r>
          </w:p>
        </w:tc>
        <w:tc>
          <w:tcPr>
            <w:tcW w:w="1559" w:type="dxa"/>
            <w:shd w:val="clear" w:color="auto" w:fill="auto"/>
            <w:vAlign w:val="bottom"/>
          </w:tcPr>
          <w:p w:rsidR="00704963" w:rsidRPr="00D45CE2" w:rsidRDefault="00704963" w:rsidP="004C6A58">
            <w:pPr>
              <w:pStyle w:val="Tabletext"/>
              <w:jc w:val="center"/>
              <w:rPr>
                <w:lang w:val="en-AU"/>
              </w:rPr>
            </w:pPr>
            <w:r w:rsidRPr="00D45CE2">
              <w:rPr>
                <w:lang w:val="en-AU"/>
              </w:rPr>
              <w:t>0.088</w:t>
            </w:r>
          </w:p>
        </w:tc>
        <w:tc>
          <w:tcPr>
            <w:tcW w:w="1559" w:type="dxa"/>
            <w:vAlign w:val="bottom"/>
          </w:tcPr>
          <w:p w:rsidR="00704963" w:rsidRPr="00D45CE2" w:rsidRDefault="00704963" w:rsidP="004C6A58">
            <w:pPr>
              <w:pStyle w:val="Tabletext"/>
              <w:jc w:val="center"/>
              <w:rPr>
                <w:lang w:val="en-AU"/>
              </w:rPr>
            </w:pPr>
            <w:r w:rsidRPr="00D45CE2">
              <w:rPr>
                <w:lang w:val="en-AU"/>
              </w:rPr>
              <w:t>0.296</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rHeight w:val="107"/>
          <w:tblHeader/>
        </w:trPr>
        <w:tc>
          <w:tcPr>
            <w:tcW w:w="3823" w:type="dxa"/>
            <w:shd w:val="clear" w:color="auto" w:fill="auto"/>
          </w:tcPr>
          <w:p w:rsidR="00704963" w:rsidRPr="00D775A7" w:rsidRDefault="00704963" w:rsidP="004C6A58">
            <w:pPr>
              <w:pStyle w:val="Tabletext"/>
              <w:rPr>
                <w:lang w:val="en-AU"/>
              </w:rPr>
            </w:pPr>
            <w:r w:rsidRPr="00D775A7">
              <w:rPr>
                <w:lang w:val="en-AU"/>
              </w:rPr>
              <w:t>Urine sample negative</w:t>
            </w:r>
          </w:p>
        </w:tc>
        <w:tc>
          <w:tcPr>
            <w:tcW w:w="2126" w:type="dxa"/>
            <w:shd w:val="clear" w:color="auto" w:fill="auto"/>
          </w:tcPr>
          <w:p w:rsidR="00704963" w:rsidRPr="00D45CE2" w:rsidRDefault="00704963" w:rsidP="004C6A58">
            <w:pPr>
              <w:pStyle w:val="Tabletext"/>
              <w:jc w:val="center"/>
              <w:rPr>
                <w:lang w:val="en-AU"/>
              </w:rPr>
            </w:pPr>
            <w:r w:rsidRPr="00D45CE2">
              <w:rPr>
                <w:lang w:val="en-AU"/>
              </w:rPr>
              <w:t>0.116 (-0.061, 0.293)</w:t>
            </w:r>
          </w:p>
        </w:tc>
        <w:tc>
          <w:tcPr>
            <w:tcW w:w="1559" w:type="dxa"/>
            <w:shd w:val="clear" w:color="auto" w:fill="auto"/>
            <w:vAlign w:val="bottom"/>
          </w:tcPr>
          <w:p w:rsidR="00704963" w:rsidRPr="00D45CE2" w:rsidRDefault="00704963" w:rsidP="004C6A58">
            <w:pPr>
              <w:pStyle w:val="Tabletext"/>
              <w:jc w:val="center"/>
              <w:rPr>
                <w:lang w:val="en-AU"/>
              </w:rPr>
            </w:pPr>
            <w:r w:rsidRPr="00D45CE2">
              <w:rPr>
                <w:lang w:val="en-AU"/>
              </w:rPr>
              <w:t>0.090</w:t>
            </w:r>
          </w:p>
        </w:tc>
        <w:tc>
          <w:tcPr>
            <w:tcW w:w="1559" w:type="dxa"/>
            <w:vAlign w:val="bottom"/>
          </w:tcPr>
          <w:p w:rsidR="00704963" w:rsidRPr="00D45CE2" w:rsidRDefault="00704963" w:rsidP="004C6A58">
            <w:pPr>
              <w:pStyle w:val="Tabletext"/>
              <w:jc w:val="center"/>
              <w:rPr>
                <w:lang w:val="en-AU"/>
              </w:rPr>
            </w:pPr>
            <w:r w:rsidRPr="00D45CE2">
              <w:rPr>
                <w:lang w:val="en-AU"/>
              </w:rPr>
              <w:t>0.199</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rHeight w:val="83"/>
          <w:tblHeader/>
        </w:trPr>
        <w:tc>
          <w:tcPr>
            <w:tcW w:w="3823" w:type="dxa"/>
            <w:vAlign w:val="bottom"/>
          </w:tcPr>
          <w:p w:rsidR="00704963" w:rsidRPr="00D775A7" w:rsidRDefault="00704963" w:rsidP="004C6A58">
            <w:pPr>
              <w:pStyle w:val="Tabletext"/>
              <w:rPr>
                <w:lang w:val="en-AU"/>
              </w:rPr>
            </w:pPr>
            <w:r w:rsidRPr="00D775A7">
              <w:rPr>
                <w:lang w:val="en-AU"/>
              </w:rPr>
              <w:t>Completers at week 24</w:t>
            </w:r>
          </w:p>
        </w:tc>
        <w:tc>
          <w:tcPr>
            <w:tcW w:w="2126" w:type="dxa"/>
            <w:shd w:val="clear" w:color="auto" w:fill="auto"/>
            <w:vAlign w:val="bottom"/>
          </w:tcPr>
          <w:p w:rsidR="00704963" w:rsidRPr="00D45CE2" w:rsidRDefault="00704963" w:rsidP="004C6A58">
            <w:pPr>
              <w:pStyle w:val="Tabletext"/>
              <w:jc w:val="center"/>
              <w:rPr>
                <w:lang w:val="en-AU"/>
              </w:rPr>
            </w:pPr>
            <w:r w:rsidRPr="00D45CE2">
              <w:rPr>
                <w:lang w:val="en-AU"/>
              </w:rPr>
              <w:t>-0.064 (-0.268, 0.141)</w:t>
            </w:r>
          </w:p>
        </w:tc>
        <w:tc>
          <w:tcPr>
            <w:tcW w:w="1559" w:type="dxa"/>
            <w:vAlign w:val="bottom"/>
          </w:tcPr>
          <w:p w:rsidR="00704963" w:rsidRPr="00D45CE2" w:rsidRDefault="00704963" w:rsidP="004C6A58">
            <w:pPr>
              <w:pStyle w:val="Tabletext"/>
              <w:jc w:val="center"/>
              <w:rPr>
                <w:lang w:val="en-AU"/>
              </w:rPr>
            </w:pPr>
            <w:r w:rsidRPr="00D45CE2">
              <w:rPr>
                <w:lang w:val="en-AU"/>
              </w:rPr>
              <w:t>0.104</w:t>
            </w:r>
          </w:p>
        </w:tc>
        <w:tc>
          <w:tcPr>
            <w:tcW w:w="1559" w:type="dxa"/>
            <w:vAlign w:val="bottom"/>
          </w:tcPr>
          <w:p w:rsidR="00704963" w:rsidRPr="00D45CE2" w:rsidRDefault="00704963" w:rsidP="004C6A58">
            <w:pPr>
              <w:pStyle w:val="Tabletext"/>
              <w:jc w:val="center"/>
              <w:rPr>
                <w:lang w:val="en-AU"/>
              </w:rPr>
            </w:pPr>
            <w:r w:rsidRPr="00D45CE2">
              <w:rPr>
                <w:lang w:val="en-AU"/>
              </w:rPr>
              <w:t>0.540</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blHeader/>
        </w:trPr>
        <w:tc>
          <w:tcPr>
            <w:tcW w:w="9067" w:type="dxa"/>
            <w:gridSpan w:val="4"/>
            <w:vAlign w:val="bottom"/>
          </w:tcPr>
          <w:p w:rsidR="00704963" w:rsidRPr="00D45CE2" w:rsidRDefault="00704963" w:rsidP="004C6A58">
            <w:pPr>
              <w:pStyle w:val="Tabletext"/>
              <w:rPr>
                <w:b w:val="0"/>
                <w:lang w:val="en-AU"/>
              </w:rPr>
            </w:pPr>
            <w:proofErr w:type="spellStart"/>
            <w:r w:rsidRPr="00D45CE2">
              <w:rPr>
                <w:lang w:val="en-AU"/>
              </w:rPr>
              <w:t>Sublocade</w:t>
            </w:r>
            <w:proofErr w:type="spellEnd"/>
            <w:r w:rsidRPr="00D45CE2">
              <w:rPr>
                <w:lang w:val="en-AU"/>
              </w:rPr>
              <w:t xml:space="preserve"> 300/300mg versus </w:t>
            </w:r>
            <w:proofErr w:type="spellStart"/>
            <w:r w:rsidRPr="00D45CE2">
              <w:rPr>
                <w:lang w:val="en-AU"/>
              </w:rPr>
              <w:t>Buvidal</w:t>
            </w:r>
            <w:proofErr w:type="spellEnd"/>
            <w:r w:rsidRPr="00D45CE2">
              <w:rPr>
                <w:lang w:val="en-AU"/>
              </w:rPr>
              <w:t xml:space="preserve"> via placebo and BUP/NAL</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blHeader/>
        </w:trPr>
        <w:tc>
          <w:tcPr>
            <w:tcW w:w="3823" w:type="dxa"/>
          </w:tcPr>
          <w:p w:rsidR="00704963" w:rsidRPr="00D775A7" w:rsidRDefault="00704963" w:rsidP="004C6A58">
            <w:pPr>
              <w:pStyle w:val="Tabletext"/>
              <w:rPr>
                <w:lang w:val="en-AU"/>
              </w:rPr>
            </w:pPr>
            <w:r w:rsidRPr="00D775A7">
              <w:rPr>
                <w:lang w:val="en-AU"/>
              </w:rPr>
              <w:t>CDF % abstinent (mean difference)</w:t>
            </w:r>
          </w:p>
        </w:tc>
        <w:tc>
          <w:tcPr>
            <w:tcW w:w="2126" w:type="dxa"/>
            <w:shd w:val="clear" w:color="auto" w:fill="auto"/>
            <w:vAlign w:val="bottom"/>
          </w:tcPr>
          <w:p w:rsidR="00704963" w:rsidRPr="00D45CE2" w:rsidRDefault="00704963" w:rsidP="004C6A58">
            <w:pPr>
              <w:pStyle w:val="Tabletext"/>
              <w:jc w:val="center"/>
              <w:rPr>
                <w:lang w:val="en-AU"/>
              </w:rPr>
            </w:pPr>
            <w:r w:rsidRPr="00D45CE2">
              <w:rPr>
                <w:lang w:val="en-AU"/>
              </w:rPr>
              <w:t>0.078 (-0.094, 0.250)</w:t>
            </w:r>
          </w:p>
        </w:tc>
        <w:tc>
          <w:tcPr>
            <w:tcW w:w="1559" w:type="dxa"/>
            <w:vAlign w:val="bottom"/>
          </w:tcPr>
          <w:p w:rsidR="00704963" w:rsidRPr="00D45CE2" w:rsidRDefault="00704963" w:rsidP="004C6A58">
            <w:pPr>
              <w:pStyle w:val="Tabletext"/>
              <w:jc w:val="center"/>
              <w:rPr>
                <w:lang w:val="en-AU"/>
              </w:rPr>
            </w:pPr>
            <w:r w:rsidRPr="00D45CE2">
              <w:rPr>
                <w:lang w:val="en-AU"/>
              </w:rPr>
              <w:t>0.088</w:t>
            </w:r>
          </w:p>
        </w:tc>
        <w:tc>
          <w:tcPr>
            <w:tcW w:w="1559" w:type="dxa"/>
            <w:vAlign w:val="bottom"/>
          </w:tcPr>
          <w:p w:rsidR="00704963" w:rsidRPr="00D45CE2" w:rsidRDefault="00704963" w:rsidP="004C6A58">
            <w:pPr>
              <w:pStyle w:val="Tabletext"/>
              <w:jc w:val="center"/>
              <w:rPr>
                <w:lang w:val="en-AU"/>
              </w:rPr>
            </w:pPr>
            <w:r w:rsidRPr="00D45CE2">
              <w:rPr>
                <w:lang w:val="en-AU"/>
              </w:rPr>
              <w:t>0.375</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blHeader/>
        </w:trPr>
        <w:tc>
          <w:tcPr>
            <w:tcW w:w="3823" w:type="dxa"/>
          </w:tcPr>
          <w:p w:rsidR="00704963" w:rsidRPr="00D775A7" w:rsidRDefault="00704963" w:rsidP="004C6A58">
            <w:pPr>
              <w:pStyle w:val="Tabletext"/>
              <w:rPr>
                <w:lang w:val="en-AU"/>
              </w:rPr>
            </w:pPr>
            <w:r w:rsidRPr="00D775A7">
              <w:rPr>
                <w:lang w:val="en-AU"/>
              </w:rPr>
              <w:t>Urine sample negative</w:t>
            </w:r>
          </w:p>
        </w:tc>
        <w:tc>
          <w:tcPr>
            <w:tcW w:w="2126" w:type="dxa"/>
            <w:shd w:val="clear" w:color="auto" w:fill="auto"/>
            <w:vAlign w:val="bottom"/>
          </w:tcPr>
          <w:p w:rsidR="00704963" w:rsidRPr="00D45CE2" w:rsidRDefault="00704963" w:rsidP="004C6A58">
            <w:pPr>
              <w:pStyle w:val="Tabletext"/>
              <w:jc w:val="center"/>
              <w:rPr>
                <w:lang w:val="en-AU"/>
              </w:rPr>
            </w:pPr>
            <w:r w:rsidRPr="00D45CE2">
              <w:rPr>
                <w:lang w:val="en-AU"/>
              </w:rPr>
              <w:t>0.094 (-0.083</w:t>
            </w:r>
            <w:r w:rsidR="009B5B2A" w:rsidRPr="00D45CE2">
              <w:rPr>
                <w:i/>
                <w:lang w:val="en-AU"/>
              </w:rPr>
              <w:t>, 0.271</w:t>
            </w:r>
            <w:r w:rsidRPr="00D45CE2">
              <w:rPr>
                <w:i/>
                <w:lang w:val="en-AU"/>
              </w:rPr>
              <w:t>)</w:t>
            </w:r>
          </w:p>
        </w:tc>
        <w:tc>
          <w:tcPr>
            <w:tcW w:w="1559" w:type="dxa"/>
            <w:vAlign w:val="bottom"/>
          </w:tcPr>
          <w:p w:rsidR="00704963" w:rsidRPr="00D45CE2" w:rsidRDefault="00704963" w:rsidP="004C6A58">
            <w:pPr>
              <w:pStyle w:val="Tabletext"/>
              <w:jc w:val="center"/>
              <w:rPr>
                <w:lang w:val="en-AU"/>
              </w:rPr>
            </w:pPr>
            <w:r w:rsidRPr="00D45CE2">
              <w:rPr>
                <w:lang w:val="en-AU"/>
              </w:rPr>
              <w:t>0.090</w:t>
            </w:r>
          </w:p>
        </w:tc>
        <w:tc>
          <w:tcPr>
            <w:tcW w:w="1559" w:type="dxa"/>
            <w:vAlign w:val="bottom"/>
          </w:tcPr>
          <w:p w:rsidR="00704963" w:rsidRPr="00D45CE2" w:rsidRDefault="00704963" w:rsidP="004C6A58">
            <w:pPr>
              <w:pStyle w:val="Tabletext"/>
              <w:jc w:val="center"/>
              <w:rPr>
                <w:lang w:val="en-AU"/>
              </w:rPr>
            </w:pPr>
            <w:r w:rsidRPr="00D45CE2">
              <w:rPr>
                <w:lang w:val="en-AU"/>
              </w:rPr>
              <w:t>0.297</w:t>
            </w:r>
          </w:p>
        </w:tc>
      </w:tr>
      <w:tr w:rsidR="00704963" w:rsidRPr="00D775A7" w:rsidTr="008C46AB">
        <w:trPr>
          <w:cnfStyle w:val="100000000000" w:firstRow="1" w:lastRow="0" w:firstColumn="0" w:lastColumn="0" w:oddVBand="0" w:evenVBand="0" w:oddHBand="0" w:evenHBand="0" w:firstRowFirstColumn="0" w:firstRowLastColumn="0" w:lastRowFirstColumn="0" w:lastRowLastColumn="0"/>
          <w:tblHeader/>
        </w:trPr>
        <w:tc>
          <w:tcPr>
            <w:tcW w:w="3823" w:type="dxa"/>
            <w:vAlign w:val="bottom"/>
          </w:tcPr>
          <w:p w:rsidR="00704963" w:rsidRPr="00D775A7" w:rsidRDefault="00704963" w:rsidP="004C6A58">
            <w:pPr>
              <w:pStyle w:val="Tabletext"/>
              <w:rPr>
                <w:lang w:val="en-AU"/>
              </w:rPr>
            </w:pPr>
            <w:r w:rsidRPr="00D775A7">
              <w:rPr>
                <w:lang w:val="en-AU"/>
              </w:rPr>
              <w:t>Completers at week 24</w:t>
            </w:r>
          </w:p>
        </w:tc>
        <w:tc>
          <w:tcPr>
            <w:tcW w:w="2126" w:type="dxa"/>
            <w:shd w:val="clear" w:color="auto" w:fill="auto"/>
            <w:vAlign w:val="bottom"/>
          </w:tcPr>
          <w:p w:rsidR="00704963" w:rsidRPr="00D45CE2" w:rsidRDefault="00704963" w:rsidP="004C6A58">
            <w:pPr>
              <w:pStyle w:val="Tabletext"/>
              <w:jc w:val="center"/>
              <w:rPr>
                <w:lang w:val="en-AU"/>
              </w:rPr>
            </w:pPr>
            <w:r w:rsidRPr="00D45CE2">
              <w:rPr>
                <w:lang w:val="en-AU"/>
              </w:rPr>
              <w:t>-0.034 (-0.239, 0.170)</w:t>
            </w:r>
          </w:p>
        </w:tc>
        <w:tc>
          <w:tcPr>
            <w:tcW w:w="1559" w:type="dxa"/>
            <w:vAlign w:val="bottom"/>
          </w:tcPr>
          <w:p w:rsidR="00704963" w:rsidRPr="00D45CE2" w:rsidRDefault="00704963" w:rsidP="004C6A58">
            <w:pPr>
              <w:pStyle w:val="Tabletext"/>
              <w:jc w:val="center"/>
              <w:rPr>
                <w:lang w:val="en-AU"/>
              </w:rPr>
            </w:pPr>
            <w:r w:rsidRPr="00D45CE2">
              <w:rPr>
                <w:lang w:val="en-AU"/>
              </w:rPr>
              <w:t>0.104</w:t>
            </w:r>
          </w:p>
        </w:tc>
        <w:tc>
          <w:tcPr>
            <w:tcW w:w="1559" w:type="dxa"/>
            <w:vAlign w:val="bottom"/>
          </w:tcPr>
          <w:p w:rsidR="00704963" w:rsidRPr="00D45CE2" w:rsidRDefault="00704963" w:rsidP="004C6A58">
            <w:pPr>
              <w:pStyle w:val="Tabletext"/>
              <w:jc w:val="center"/>
              <w:rPr>
                <w:lang w:val="en-AU"/>
              </w:rPr>
            </w:pPr>
            <w:r w:rsidRPr="00D45CE2">
              <w:rPr>
                <w:lang w:val="en-AU"/>
              </w:rPr>
              <w:t>0.741</w:t>
            </w:r>
          </w:p>
        </w:tc>
      </w:tr>
    </w:tbl>
    <w:p w:rsidR="00704963" w:rsidRPr="00D775A7" w:rsidRDefault="00704963" w:rsidP="00704963">
      <w:pPr>
        <w:pStyle w:val="TableFooter"/>
        <w:rPr>
          <w:rStyle w:val="CommentReference"/>
          <w:b w:val="0"/>
          <w:sz w:val="18"/>
          <w:szCs w:val="22"/>
        </w:rPr>
      </w:pPr>
      <w:r w:rsidRPr="00D775A7">
        <w:rPr>
          <w:rStyle w:val="CommentReference"/>
          <w:b w:val="0"/>
          <w:sz w:val="18"/>
          <w:szCs w:val="22"/>
        </w:rPr>
        <w:t>Source: Table 2.79, and Table 2.80, pp132-133 of the submission</w:t>
      </w:r>
      <w:r w:rsidR="00D775A7">
        <w:rPr>
          <w:rStyle w:val="CommentReference"/>
          <w:b w:val="0"/>
          <w:sz w:val="18"/>
          <w:szCs w:val="22"/>
        </w:rPr>
        <w:t xml:space="preserve">. </w:t>
      </w:r>
    </w:p>
    <w:p w:rsidR="00704963" w:rsidRPr="00D775A7" w:rsidRDefault="00704963" w:rsidP="00704963">
      <w:pPr>
        <w:pStyle w:val="TableFooter"/>
        <w:rPr>
          <w:rStyle w:val="CommentReference"/>
          <w:b w:val="0"/>
          <w:sz w:val="18"/>
          <w:szCs w:val="22"/>
        </w:rPr>
      </w:pPr>
      <w:r w:rsidRPr="00D775A7">
        <w:rPr>
          <w:rStyle w:val="CommentReference"/>
          <w:b w:val="0"/>
          <w:sz w:val="18"/>
          <w:szCs w:val="22"/>
        </w:rPr>
        <w:t>CDF = cumulative distribution function; CI = confidence interval; mg = milligram; RD = risk difference; SE = standard error TEAE = treatment emergent adverse event</w:t>
      </w:r>
    </w:p>
    <w:p w:rsidR="00704963" w:rsidRPr="00D775A7" w:rsidRDefault="00704963" w:rsidP="00704963">
      <w:pPr>
        <w:pStyle w:val="TableFooter"/>
        <w:ind w:left="284" w:hanging="284"/>
        <w:rPr>
          <w:rStyle w:val="CommentReference"/>
          <w:b w:val="0"/>
          <w:sz w:val="18"/>
          <w:szCs w:val="22"/>
        </w:rPr>
      </w:pPr>
      <w:r w:rsidRPr="00D775A7">
        <w:rPr>
          <w:rStyle w:val="CommentReference"/>
          <w:b w:val="0"/>
          <w:sz w:val="18"/>
          <w:szCs w:val="22"/>
        </w:rPr>
        <w:t>*</w:t>
      </w:r>
      <w:r w:rsidRPr="00D775A7">
        <w:rPr>
          <w:rStyle w:val="CommentReference"/>
          <w:b w:val="0"/>
          <w:sz w:val="18"/>
          <w:szCs w:val="22"/>
        </w:rPr>
        <w:tab/>
        <w:t xml:space="preserve">the submission did not define the abbreviation’ ln’ – presumably natural log. Further details of the standard error calculation were not presented. </w:t>
      </w:r>
    </w:p>
    <w:p w:rsidR="009B5B2A" w:rsidRPr="00D775A7" w:rsidRDefault="008C2DE9" w:rsidP="00961D9C">
      <w:pPr>
        <w:pStyle w:val="ListParagraph"/>
        <w:widowControl/>
        <w:numPr>
          <w:ilvl w:val="1"/>
          <w:numId w:val="2"/>
        </w:numPr>
        <w:spacing w:before="120" w:after="120"/>
        <w:ind w:left="720" w:hanging="720"/>
        <w:rPr>
          <w:rStyle w:val="CommentReference"/>
          <w:rFonts w:ascii="Calibri" w:hAnsi="Calibri"/>
          <w:b w:val="0"/>
          <w:color w:val="000000" w:themeColor="text1"/>
          <w:sz w:val="24"/>
          <w:szCs w:val="22"/>
        </w:rPr>
      </w:pPr>
      <w:r w:rsidRPr="00D775A7">
        <w:rPr>
          <w:rStyle w:val="CommentReference"/>
          <w:rFonts w:ascii="Calibri" w:hAnsi="Calibri"/>
          <w:b w:val="0"/>
          <w:color w:val="000000" w:themeColor="text1"/>
          <w:sz w:val="24"/>
          <w:szCs w:val="22"/>
        </w:rPr>
        <w:t>The ESC noted that</w:t>
      </w:r>
      <w:r w:rsidR="009B5B2A" w:rsidRPr="00D775A7">
        <w:rPr>
          <w:rStyle w:val="CommentReference"/>
          <w:rFonts w:ascii="Calibri" w:hAnsi="Calibri"/>
          <w:b w:val="0"/>
          <w:color w:val="000000" w:themeColor="text1"/>
          <w:sz w:val="24"/>
          <w:szCs w:val="22"/>
        </w:rPr>
        <w:t xml:space="preserve"> </w:t>
      </w:r>
      <w:r w:rsidRPr="00D775A7">
        <w:rPr>
          <w:rStyle w:val="CommentReference"/>
          <w:rFonts w:ascii="Calibri" w:hAnsi="Calibri"/>
          <w:b w:val="0"/>
          <w:color w:val="000000" w:themeColor="text1"/>
          <w:sz w:val="24"/>
          <w:szCs w:val="22"/>
        </w:rPr>
        <w:t>w</w:t>
      </w:r>
      <w:r w:rsidR="009B5B2A" w:rsidRPr="00D775A7">
        <w:rPr>
          <w:rStyle w:val="CommentReference"/>
          <w:rFonts w:ascii="Calibri" w:hAnsi="Calibri"/>
          <w:b w:val="0"/>
          <w:color w:val="000000" w:themeColor="text1"/>
          <w:sz w:val="24"/>
          <w:szCs w:val="22"/>
        </w:rPr>
        <w:t xml:space="preserve">hile the outcomes of CDF </w:t>
      </w:r>
      <w:r w:rsidR="00DD6131">
        <w:rPr>
          <w:rStyle w:val="CommentReference"/>
          <w:rFonts w:ascii="Calibri" w:hAnsi="Calibri"/>
          <w:b w:val="0"/>
          <w:color w:val="000000" w:themeColor="text1"/>
          <w:sz w:val="24"/>
          <w:szCs w:val="22"/>
        </w:rPr>
        <w:t>percentage</w:t>
      </w:r>
      <w:r w:rsidR="009B5B2A" w:rsidRPr="00D775A7">
        <w:rPr>
          <w:rStyle w:val="CommentReference"/>
          <w:rFonts w:ascii="Calibri" w:hAnsi="Calibri"/>
          <w:b w:val="0"/>
          <w:color w:val="000000" w:themeColor="text1"/>
          <w:sz w:val="24"/>
          <w:szCs w:val="22"/>
        </w:rPr>
        <w:t xml:space="preserve"> abstinent and urine sample negative were within the nominated non-inferiority margin, the </w:t>
      </w:r>
      <w:r w:rsidR="005D1C02" w:rsidRPr="00D775A7">
        <w:rPr>
          <w:rStyle w:val="CommentReference"/>
          <w:rFonts w:ascii="Calibri" w:hAnsi="Calibri"/>
          <w:b w:val="0"/>
          <w:color w:val="000000" w:themeColor="text1"/>
          <w:sz w:val="24"/>
          <w:szCs w:val="22"/>
        </w:rPr>
        <w:t xml:space="preserve">lower bound of the </w:t>
      </w:r>
      <w:r w:rsidR="009B5B2A" w:rsidRPr="00D775A7">
        <w:rPr>
          <w:rStyle w:val="CommentReference"/>
          <w:rFonts w:ascii="Calibri" w:hAnsi="Calibri"/>
          <w:b w:val="0"/>
          <w:color w:val="000000" w:themeColor="text1"/>
          <w:sz w:val="24"/>
          <w:szCs w:val="22"/>
        </w:rPr>
        <w:t>95% confidence interval for the outcome of completers at 24 weeks exceeded the nominated 15% non-inferiority margin.</w:t>
      </w:r>
      <w:r w:rsidR="009B5B2A" w:rsidRPr="00D775A7">
        <w:rPr>
          <w:rStyle w:val="CommentReference"/>
          <w:rFonts w:ascii="Calibri" w:hAnsi="Calibri"/>
          <w:b w:val="0"/>
          <w:i/>
          <w:color w:val="000000" w:themeColor="text1"/>
          <w:sz w:val="24"/>
          <w:szCs w:val="22"/>
        </w:rPr>
        <w:t xml:space="preserve"> </w:t>
      </w:r>
      <w:r w:rsidR="009B5B2A" w:rsidRPr="00D775A7">
        <w:rPr>
          <w:rStyle w:val="CommentReference"/>
          <w:rFonts w:ascii="Calibri" w:hAnsi="Calibri"/>
          <w:b w:val="0"/>
          <w:color w:val="000000" w:themeColor="text1"/>
          <w:sz w:val="24"/>
          <w:szCs w:val="22"/>
        </w:rPr>
        <w:t xml:space="preserve">However, as this comparison was made via two common comparators (placebo and BUP/NAL SL of the Rosenthal 2013 trial), all of the issues affecting the comparison of </w:t>
      </w:r>
      <w:proofErr w:type="spellStart"/>
      <w:r w:rsidR="009B5B2A" w:rsidRPr="00D775A7">
        <w:rPr>
          <w:rStyle w:val="CommentReference"/>
          <w:rFonts w:ascii="Calibri" w:hAnsi="Calibri"/>
          <w:b w:val="0"/>
          <w:color w:val="000000" w:themeColor="text1"/>
          <w:sz w:val="24"/>
          <w:szCs w:val="22"/>
        </w:rPr>
        <w:t>Sublocade</w:t>
      </w:r>
      <w:proofErr w:type="spellEnd"/>
      <w:r w:rsidR="009B5B2A" w:rsidRPr="00D775A7">
        <w:rPr>
          <w:rStyle w:val="CommentReference"/>
          <w:rFonts w:ascii="Calibri" w:hAnsi="Calibri"/>
          <w:b w:val="0"/>
          <w:color w:val="000000" w:themeColor="text1"/>
          <w:sz w:val="24"/>
          <w:szCs w:val="22"/>
        </w:rPr>
        <w:t xml:space="preserve"> and BUP/NAL SL also affected this comparison. </w:t>
      </w:r>
      <w:r w:rsidRPr="00D775A7">
        <w:rPr>
          <w:rStyle w:val="CommentReference"/>
          <w:rFonts w:ascii="Calibri" w:hAnsi="Calibri"/>
          <w:b w:val="0"/>
          <w:color w:val="000000" w:themeColor="text1"/>
          <w:sz w:val="24"/>
          <w:szCs w:val="22"/>
        </w:rPr>
        <w:t xml:space="preserve">The ESC agreed that </w:t>
      </w:r>
      <w:r w:rsidR="00DD6131" w:rsidRPr="00D775A7">
        <w:rPr>
          <w:rStyle w:val="CommentReference"/>
          <w:rFonts w:ascii="Calibri" w:hAnsi="Calibri"/>
          <w:b w:val="0"/>
          <w:color w:val="000000" w:themeColor="text1"/>
          <w:sz w:val="24"/>
          <w:szCs w:val="22"/>
        </w:rPr>
        <w:t>overall,</w:t>
      </w:r>
      <w:r w:rsidR="009B5B2A" w:rsidRPr="00D775A7">
        <w:rPr>
          <w:rStyle w:val="CommentReference"/>
          <w:rFonts w:ascii="Calibri" w:hAnsi="Calibri"/>
          <w:b w:val="0"/>
          <w:color w:val="000000" w:themeColor="text1"/>
          <w:sz w:val="24"/>
          <w:szCs w:val="22"/>
        </w:rPr>
        <w:t xml:space="preserve"> the results of this comparison </w:t>
      </w:r>
      <w:r w:rsidR="008C7724" w:rsidRPr="00D775A7">
        <w:rPr>
          <w:rStyle w:val="CommentReference"/>
          <w:rFonts w:ascii="Calibri" w:hAnsi="Calibri"/>
          <w:b w:val="0"/>
          <w:color w:val="000000" w:themeColor="text1"/>
          <w:sz w:val="24"/>
          <w:szCs w:val="22"/>
        </w:rPr>
        <w:t>we</w:t>
      </w:r>
      <w:r w:rsidR="009B5B2A" w:rsidRPr="00D775A7">
        <w:rPr>
          <w:rStyle w:val="CommentReference"/>
          <w:rFonts w:ascii="Calibri" w:hAnsi="Calibri"/>
          <w:b w:val="0"/>
          <w:color w:val="000000" w:themeColor="text1"/>
          <w:sz w:val="24"/>
          <w:szCs w:val="22"/>
        </w:rPr>
        <w:t xml:space="preserve">re not reliable. </w:t>
      </w:r>
    </w:p>
    <w:p w:rsidR="008C2DE9" w:rsidRPr="00D775A7" w:rsidRDefault="00E02E7E" w:rsidP="00961D9C">
      <w:pPr>
        <w:pStyle w:val="Heading2"/>
        <w:spacing w:before="120" w:after="120"/>
      </w:pPr>
      <w:bookmarkStart w:id="23" w:name="_Toc535915911"/>
      <w:r w:rsidRPr="00D775A7">
        <w:t>Comparative harms</w:t>
      </w:r>
      <w:bookmarkEnd w:id="23"/>
    </w:p>
    <w:p w:rsidR="00E02F7A" w:rsidRPr="00D775A7" w:rsidRDefault="00E02F7A" w:rsidP="00961D9C">
      <w:pPr>
        <w:pStyle w:val="ListParagraph"/>
        <w:widowControl/>
        <w:numPr>
          <w:ilvl w:val="1"/>
          <w:numId w:val="2"/>
        </w:numPr>
        <w:spacing w:before="120" w:after="120"/>
        <w:ind w:left="720" w:hanging="720"/>
      </w:pPr>
      <w:r w:rsidRPr="00D775A7">
        <w:t>Table 8 presents a summary of the safety results of RB-US-13-0001.</w:t>
      </w:r>
    </w:p>
    <w:p w:rsidR="00BA34A8" w:rsidRDefault="00BA34A8">
      <w:pPr>
        <w:widowControl/>
        <w:jc w:val="left"/>
        <w:rPr>
          <w:rStyle w:val="CommentReference"/>
        </w:rPr>
      </w:pPr>
      <w:bookmarkStart w:id="24" w:name="_Ref532155096"/>
      <w:bookmarkStart w:id="25" w:name="_Ref534629182"/>
      <w:r>
        <w:rPr>
          <w:rStyle w:val="CommentReference"/>
        </w:rPr>
        <w:br w:type="page"/>
      </w:r>
    </w:p>
    <w:p w:rsidR="00E02E7E" w:rsidRPr="00D775A7" w:rsidRDefault="00E02E7E" w:rsidP="00B93A37">
      <w:pPr>
        <w:widowControl/>
        <w:jc w:val="left"/>
        <w:rPr>
          <w:rStyle w:val="CommentReference"/>
        </w:rPr>
      </w:pPr>
      <w:r w:rsidRPr="00D775A7">
        <w:rPr>
          <w:rStyle w:val="CommentReference"/>
        </w:rPr>
        <w:lastRenderedPageBreak/>
        <w:t xml:space="preserve">Table </w:t>
      </w:r>
      <w:r w:rsidR="00BC72D0" w:rsidRPr="00D775A7">
        <w:rPr>
          <w:rStyle w:val="CommentReference"/>
        </w:rPr>
        <w:t>8</w:t>
      </w:r>
      <w:bookmarkEnd w:id="24"/>
      <w:bookmarkEnd w:id="25"/>
      <w:r w:rsidR="003A0538" w:rsidRPr="00D775A7">
        <w:rPr>
          <w:rFonts w:ascii="Arial Narrow" w:hAnsi="Arial Narrow"/>
          <w:b/>
          <w:sz w:val="20"/>
          <w:szCs w:val="16"/>
        </w:rPr>
        <w:t>:</w:t>
      </w:r>
      <w:r w:rsidRPr="00D775A7">
        <w:rPr>
          <w:rStyle w:val="CommentReference"/>
        </w:rPr>
        <w:t xml:space="preserve"> Summary of safety results for RB-US-13-0001</w:t>
      </w:r>
    </w:p>
    <w:tbl>
      <w:tblPr>
        <w:tblStyle w:val="Submissionstandard"/>
        <w:tblW w:w="9067" w:type="dxa"/>
        <w:tblCellMar>
          <w:left w:w="29" w:type="dxa"/>
          <w:right w:w="29" w:type="dxa"/>
        </w:tblCellMar>
        <w:tblLook w:val="04A0" w:firstRow="1" w:lastRow="0" w:firstColumn="1" w:lastColumn="0" w:noHBand="0" w:noVBand="1"/>
        <w:tblCaption w:val="Table 8: Summary of safety results for RB-US-13-0001"/>
      </w:tblPr>
      <w:tblGrid>
        <w:gridCol w:w="3114"/>
        <w:gridCol w:w="1190"/>
        <w:gridCol w:w="1191"/>
        <w:gridCol w:w="1190"/>
        <w:gridCol w:w="1191"/>
        <w:gridCol w:w="1191"/>
      </w:tblGrid>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vMerge w:val="restart"/>
            <w:shd w:val="clear" w:color="auto" w:fill="auto"/>
            <w:vAlign w:val="bottom"/>
          </w:tcPr>
          <w:p w:rsidR="00E02E7E" w:rsidRPr="00D775A7" w:rsidRDefault="00E02E7E" w:rsidP="00CF3963">
            <w:pPr>
              <w:pStyle w:val="Tabletext"/>
              <w:rPr>
                <w:lang w:val="en-AU"/>
              </w:rPr>
            </w:pPr>
            <w:r w:rsidRPr="00D775A7">
              <w:rPr>
                <w:lang w:val="en-AU"/>
              </w:rPr>
              <w:t>Endpoint</w:t>
            </w:r>
          </w:p>
        </w:tc>
        <w:tc>
          <w:tcPr>
            <w:tcW w:w="1190" w:type="dxa"/>
            <w:shd w:val="clear" w:color="auto" w:fill="auto"/>
          </w:tcPr>
          <w:p w:rsidR="00E02E7E" w:rsidRPr="00D775A7" w:rsidRDefault="00E02E7E" w:rsidP="00087F16">
            <w:pPr>
              <w:pStyle w:val="Tabletext"/>
              <w:jc w:val="center"/>
              <w:rPr>
                <w:lang w:val="en-AU"/>
              </w:rPr>
            </w:pPr>
            <w:r w:rsidRPr="00D775A7">
              <w:rPr>
                <w:lang w:val="en-AU"/>
              </w:rPr>
              <w:t>Placebo</w:t>
            </w:r>
          </w:p>
        </w:tc>
        <w:tc>
          <w:tcPr>
            <w:tcW w:w="2381" w:type="dxa"/>
            <w:gridSpan w:val="2"/>
            <w:shd w:val="clear" w:color="auto" w:fill="auto"/>
          </w:tcPr>
          <w:p w:rsidR="00E02E7E" w:rsidRPr="00D775A7" w:rsidRDefault="00E02E7E" w:rsidP="00087F16">
            <w:pPr>
              <w:pStyle w:val="Tabletext"/>
              <w:jc w:val="center"/>
              <w:rPr>
                <w:lang w:val="en-AU"/>
              </w:rPr>
            </w:pPr>
            <w:proofErr w:type="spellStart"/>
            <w:r w:rsidRPr="00D775A7">
              <w:rPr>
                <w:lang w:val="en-AU"/>
              </w:rPr>
              <w:t>Sublocade</w:t>
            </w:r>
            <w:proofErr w:type="spellEnd"/>
            <w:r w:rsidRPr="00D775A7">
              <w:rPr>
                <w:lang w:val="en-AU"/>
              </w:rPr>
              <w:t xml:space="preserve"> 300 mg/100 mg </w:t>
            </w:r>
          </w:p>
        </w:tc>
        <w:tc>
          <w:tcPr>
            <w:tcW w:w="2382" w:type="dxa"/>
            <w:gridSpan w:val="2"/>
            <w:shd w:val="clear" w:color="auto" w:fill="auto"/>
          </w:tcPr>
          <w:p w:rsidR="00E02E7E" w:rsidRPr="00D775A7" w:rsidRDefault="00E02E7E" w:rsidP="00087F16">
            <w:pPr>
              <w:pStyle w:val="Tabletext"/>
              <w:jc w:val="center"/>
              <w:rPr>
                <w:lang w:val="en-AU"/>
              </w:rPr>
            </w:pPr>
            <w:proofErr w:type="spellStart"/>
            <w:r w:rsidRPr="00D775A7">
              <w:rPr>
                <w:lang w:val="en-AU"/>
              </w:rPr>
              <w:t>Sublocade</w:t>
            </w:r>
            <w:proofErr w:type="spellEnd"/>
            <w:r w:rsidRPr="00D775A7">
              <w:rPr>
                <w:lang w:val="en-AU"/>
              </w:rPr>
              <w:t xml:space="preserve"> 300 mg/300 mg </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1"/>
          <w:tblHeader/>
        </w:trPr>
        <w:tc>
          <w:tcPr>
            <w:tcW w:w="3114" w:type="dxa"/>
            <w:vMerge/>
            <w:shd w:val="clear" w:color="auto" w:fill="auto"/>
          </w:tcPr>
          <w:p w:rsidR="00E02E7E" w:rsidRPr="00D775A7" w:rsidRDefault="00E02E7E" w:rsidP="00087F16">
            <w:pPr>
              <w:pStyle w:val="Tabletext"/>
              <w:rPr>
                <w:b w:val="0"/>
                <w:lang w:val="en-AU"/>
              </w:rPr>
            </w:pPr>
          </w:p>
        </w:tc>
        <w:tc>
          <w:tcPr>
            <w:tcW w:w="1190" w:type="dxa"/>
          </w:tcPr>
          <w:p w:rsidR="00E02E7E" w:rsidRPr="00D775A7" w:rsidRDefault="00E02E7E" w:rsidP="00087F16">
            <w:pPr>
              <w:pStyle w:val="Tabletext"/>
              <w:jc w:val="center"/>
              <w:rPr>
                <w:b w:val="0"/>
                <w:lang w:val="en-AU"/>
              </w:rPr>
            </w:pPr>
            <w:r w:rsidRPr="00D775A7">
              <w:rPr>
                <w:lang w:val="en-AU"/>
              </w:rPr>
              <w:t>N = 100</w:t>
            </w:r>
          </w:p>
        </w:tc>
        <w:tc>
          <w:tcPr>
            <w:tcW w:w="1191" w:type="dxa"/>
            <w:shd w:val="clear" w:color="auto" w:fill="auto"/>
          </w:tcPr>
          <w:p w:rsidR="00E02E7E" w:rsidRPr="00D775A7" w:rsidRDefault="00E02E7E" w:rsidP="00087F16">
            <w:pPr>
              <w:pStyle w:val="Tabletext"/>
              <w:jc w:val="center"/>
              <w:rPr>
                <w:b w:val="0"/>
                <w:lang w:val="en-AU"/>
              </w:rPr>
            </w:pPr>
            <w:r w:rsidRPr="00D775A7">
              <w:rPr>
                <w:lang w:val="en-AU"/>
              </w:rPr>
              <w:t>N = 203</w:t>
            </w:r>
          </w:p>
        </w:tc>
        <w:tc>
          <w:tcPr>
            <w:tcW w:w="1190" w:type="dxa"/>
          </w:tcPr>
          <w:p w:rsidR="00E02E7E" w:rsidRPr="00D775A7" w:rsidRDefault="00E02E7E" w:rsidP="00087F16">
            <w:pPr>
              <w:pStyle w:val="Tabletext"/>
              <w:jc w:val="center"/>
              <w:rPr>
                <w:b w:val="0"/>
                <w:lang w:val="en-AU"/>
              </w:rPr>
            </w:pPr>
            <w:r w:rsidRPr="00D775A7">
              <w:rPr>
                <w:lang w:val="en-AU"/>
              </w:rPr>
              <w:t>P-Value*</w:t>
            </w:r>
          </w:p>
        </w:tc>
        <w:tc>
          <w:tcPr>
            <w:tcW w:w="1191" w:type="dxa"/>
            <w:shd w:val="clear" w:color="auto" w:fill="auto"/>
          </w:tcPr>
          <w:p w:rsidR="00E02E7E" w:rsidRPr="00D775A7" w:rsidRDefault="00E02E7E" w:rsidP="00087F16">
            <w:pPr>
              <w:pStyle w:val="Tabletext"/>
              <w:jc w:val="center"/>
              <w:rPr>
                <w:b w:val="0"/>
                <w:lang w:val="en-AU"/>
              </w:rPr>
            </w:pPr>
            <w:r w:rsidRPr="00D775A7">
              <w:rPr>
                <w:lang w:val="en-AU"/>
              </w:rPr>
              <w:t>N = 201</w:t>
            </w:r>
          </w:p>
        </w:tc>
        <w:tc>
          <w:tcPr>
            <w:tcW w:w="1191" w:type="dxa"/>
            <w:shd w:val="clear" w:color="auto" w:fill="auto"/>
          </w:tcPr>
          <w:p w:rsidR="00E02E7E" w:rsidRPr="00D775A7" w:rsidRDefault="00E02E7E" w:rsidP="00087F16">
            <w:pPr>
              <w:pStyle w:val="Tabletext"/>
              <w:jc w:val="center"/>
              <w:rPr>
                <w:b w:val="0"/>
                <w:lang w:val="en-AU"/>
              </w:rPr>
            </w:pPr>
            <w:r w:rsidRPr="00D775A7">
              <w:rPr>
                <w:lang w:val="en-AU"/>
              </w:rPr>
              <w:t>P-Value</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1"/>
          <w:tblHeader/>
        </w:trPr>
        <w:tc>
          <w:tcPr>
            <w:tcW w:w="3114" w:type="dxa"/>
            <w:shd w:val="clear" w:color="auto" w:fill="auto"/>
          </w:tcPr>
          <w:p w:rsidR="00E02E7E" w:rsidRPr="00D775A7" w:rsidRDefault="00E02E7E" w:rsidP="00087F16">
            <w:pPr>
              <w:pStyle w:val="Tabletext"/>
              <w:rPr>
                <w:b w:val="0"/>
                <w:lang w:val="en-AU"/>
              </w:rPr>
            </w:pPr>
            <w:r w:rsidRPr="00D775A7">
              <w:rPr>
                <w:lang w:val="en-AU"/>
              </w:rPr>
              <w:t>Any TEAE</w:t>
            </w:r>
          </w:p>
        </w:tc>
        <w:tc>
          <w:tcPr>
            <w:tcW w:w="1190" w:type="dxa"/>
          </w:tcPr>
          <w:p w:rsidR="00E02E7E" w:rsidRPr="00D775A7" w:rsidRDefault="00E02E7E" w:rsidP="00087F16">
            <w:pPr>
              <w:pStyle w:val="Tabletext"/>
              <w:jc w:val="center"/>
              <w:rPr>
                <w:lang w:val="en-AU"/>
              </w:rPr>
            </w:pPr>
            <w:r w:rsidRPr="00D775A7">
              <w:rPr>
                <w:lang w:val="en-AU"/>
              </w:rPr>
              <w:t>56 (56.0)</w:t>
            </w:r>
          </w:p>
        </w:tc>
        <w:tc>
          <w:tcPr>
            <w:tcW w:w="1191" w:type="dxa"/>
            <w:shd w:val="clear" w:color="auto" w:fill="auto"/>
          </w:tcPr>
          <w:p w:rsidR="00E02E7E" w:rsidRPr="00D775A7" w:rsidRDefault="00E02E7E" w:rsidP="00087F16">
            <w:pPr>
              <w:pStyle w:val="Tabletext"/>
              <w:jc w:val="center"/>
              <w:rPr>
                <w:lang w:val="en-AU"/>
              </w:rPr>
            </w:pPr>
            <w:r w:rsidRPr="00D775A7">
              <w:rPr>
                <w:lang w:val="en-AU"/>
              </w:rPr>
              <w:t>155 (76.4)</w:t>
            </w:r>
          </w:p>
        </w:tc>
        <w:tc>
          <w:tcPr>
            <w:tcW w:w="1190" w:type="dxa"/>
          </w:tcPr>
          <w:p w:rsidR="00E02E7E" w:rsidRPr="00D775A7" w:rsidRDefault="00E02E7E" w:rsidP="00087F16">
            <w:pPr>
              <w:pStyle w:val="Tabletext"/>
              <w:jc w:val="center"/>
              <w:rPr>
                <w:lang w:val="en-AU"/>
              </w:rPr>
            </w:pPr>
            <w:r w:rsidRPr="00D775A7">
              <w:rPr>
                <w:lang w:val="en-AU"/>
              </w:rPr>
              <w:t>0.11</w:t>
            </w:r>
          </w:p>
        </w:tc>
        <w:tc>
          <w:tcPr>
            <w:tcW w:w="1191" w:type="dxa"/>
            <w:shd w:val="clear" w:color="auto" w:fill="auto"/>
          </w:tcPr>
          <w:p w:rsidR="00E02E7E" w:rsidRPr="00D775A7" w:rsidRDefault="00E02E7E" w:rsidP="00087F16">
            <w:pPr>
              <w:pStyle w:val="Tabletext"/>
              <w:jc w:val="center"/>
              <w:rPr>
                <w:lang w:val="en-AU"/>
              </w:rPr>
            </w:pPr>
            <w:r w:rsidRPr="00D775A7">
              <w:rPr>
                <w:lang w:val="en-AU"/>
              </w:rPr>
              <w:t>134 (66.7)</w:t>
            </w:r>
          </w:p>
        </w:tc>
        <w:tc>
          <w:tcPr>
            <w:tcW w:w="1191" w:type="dxa"/>
            <w:shd w:val="clear" w:color="auto" w:fill="auto"/>
          </w:tcPr>
          <w:p w:rsidR="00E02E7E" w:rsidRPr="00D775A7" w:rsidRDefault="00E02E7E" w:rsidP="00087F16">
            <w:pPr>
              <w:pStyle w:val="Tabletext"/>
              <w:jc w:val="center"/>
              <w:rPr>
                <w:lang w:val="en-AU"/>
              </w:rPr>
            </w:pPr>
            <w:r w:rsidRPr="00D775A7">
              <w:rPr>
                <w:lang w:val="en-AU"/>
              </w:rPr>
              <w:t>0.38</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Study Treatment-Related TEAEs (per investigator)</w:t>
            </w:r>
          </w:p>
        </w:tc>
        <w:tc>
          <w:tcPr>
            <w:tcW w:w="1190" w:type="dxa"/>
          </w:tcPr>
          <w:p w:rsidR="00E02E7E" w:rsidRPr="00D775A7" w:rsidRDefault="00E02E7E" w:rsidP="00087F16">
            <w:pPr>
              <w:pStyle w:val="Tabletext"/>
              <w:jc w:val="center"/>
              <w:rPr>
                <w:lang w:val="en-AU"/>
              </w:rPr>
            </w:pPr>
            <w:r w:rsidRPr="00D775A7">
              <w:rPr>
                <w:lang w:val="en-AU"/>
              </w:rPr>
              <w:t>23 (23.0)</w:t>
            </w:r>
          </w:p>
        </w:tc>
        <w:tc>
          <w:tcPr>
            <w:tcW w:w="1191" w:type="dxa"/>
            <w:shd w:val="clear" w:color="auto" w:fill="auto"/>
          </w:tcPr>
          <w:p w:rsidR="00E02E7E" w:rsidRPr="00D775A7" w:rsidRDefault="00E02E7E" w:rsidP="00087F16">
            <w:pPr>
              <w:pStyle w:val="Tabletext"/>
              <w:jc w:val="center"/>
              <w:rPr>
                <w:lang w:val="en-AU"/>
              </w:rPr>
            </w:pPr>
            <w:r w:rsidRPr="00D775A7">
              <w:rPr>
                <w:lang w:val="en-AU"/>
              </w:rPr>
              <w:t>67 (33.0)</w:t>
            </w:r>
          </w:p>
        </w:tc>
        <w:tc>
          <w:tcPr>
            <w:tcW w:w="1190" w:type="dxa"/>
          </w:tcPr>
          <w:p w:rsidR="00E02E7E" w:rsidRPr="00D775A7" w:rsidRDefault="00E02E7E" w:rsidP="00087F16">
            <w:pPr>
              <w:pStyle w:val="Tabletext"/>
              <w:jc w:val="center"/>
              <w:rPr>
                <w:lang w:val="en-AU"/>
              </w:rPr>
            </w:pPr>
            <w:r w:rsidRPr="00D775A7">
              <w:rPr>
                <w:lang w:val="en-AU"/>
              </w:rPr>
              <w:t>0.18</w:t>
            </w:r>
          </w:p>
        </w:tc>
        <w:tc>
          <w:tcPr>
            <w:tcW w:w="1191" w:type="dxa"/>
            <w:shd w:val="clear" w:color="auto" w:fill="auto"/>
          </w:tcPr>
          <w:p w:rsidR="00E02E7E" w:rsidRPr="00D775A7" w:rsidRDefault="00E02E7E" w:rsidP="00087F16">
            <w:pPr>
              <w:pStyle w:val="Tabletext"/>
              <w:jc w:val="center"/>
              <w:rPr>
                <w:lang w:val="en-AU"/>
              </w:rPr>
            </w:pPr>
            <w:r w:rsidRPr="00D775A7">
              <w:rPr>
                <w:lang w:val="en-AU"/>
              </w:rPr>
              <w:t>70 (34.8)</w:t>
            </w:r>
          </w:p>
        </w:tc>
        <w:tc>
          <w:tcPr>
            <w:tcW w:w="1191" w:type="dxa"/>
            <w:shd w:val="clear" w:color="auto" w:fill="auto"/>
          </w:tcPr>
          <w:p w:rsidR="00E02E7E" w:rsidRPr="00D775A7" w:rsidRDefault="00E02E7E" w:rsidP="00087F16">
            <w:pPr>
              <w:pStyle w:val="Tabletext"/>
              <w:jc w:val="center"/>
              <w:rPr>
                <w:lang w:val="en-AU"/>
              </w:rPr>
            </w:pPr>
            <w:r w:rsidRPr="00D775A7">
              <w:rPr>
                <w:lang w:val="en-AU"/>
              </w:rPr>
              <w:t>0.12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Serious TEAEs</w:t>
            </w:r>
          </w:p>
        </w:tc>
        <w:tc>
          <w:tcPr>
            <w:tcW w:w="1190" w:type="dxa"/>
          </w:tcPr>
          <w:p w:rsidR="00E02E7E" w:rsidRPr="00D775A7" w:rsidRDefault="00E02E7E" w:rsidP="00087F16">
            <w:pPr>
              <w:pStyle w:val="Tabletext"/>
              <w:jc w:val="center"/>
              <w:rPr>
                <w:lang w:val="en-AU"/>
              </w:rPr>
            </w:pPr>
            <w:r w:rsidRPr="00D775A7">
              <w:rPr>
                <w:lang w:val="en-AU"/>
              </w:rPr>
              <w:t>5 (5.0)</w:t>
            </w:r>
          </w:p>
        </w:tc>
        <w:tc>
          <w:tcPr>
            <w:tcW w:w="1191" w:type="dxa"/>
            <w:shd w:val="clear" w:color="auto" w:fill="auto"/>
          </w:tcPr>
          <w:p w:rsidR="00E02E7E" w:rsidRPr="00D775A7" w:rsidRDefault="00E02E7E" w:rsidP="00087F16">
            <w:pPr>
              <w:pStyle w:val="Tabletext"/>
              <w:jc w:val="center"/>
              <w:rPr>
                <w:lang w:val="en-AU"/>
              </w:rPr>
            </w:pPr>
            <w:r w:rsidRPr="00D775A7">
              <w:rPr>
                <w:lang w:val="en-AU"/>
              </w:rPr>
              <w:t>4 (2.0)</w:t>
            </w:r>
          </w:p>
        </w:tc>
        <w:tc>
          <w:tcPr>
            <w:tcW w:w="1190" w:type="dxa"/>
          </w:tcPr>
          <w:p w:rsidR="00E02E7E" w:rsidRPr="00D775A7" w:rsidRDefault="00E02E7E" w:rsidP="00087F16">
            <w:pPr>
              <w:pStyle w:val="Tabletext"/>
              <w:jc w:val="center"/>
              <w:rPr>
                <w:lang w:val="en-AU"/>
              </w:rPr>
            </w:pPr>
            <w:r w:rsidRPr="00D775A7">
              <w:rPr>
                <w:lang w:val="en-AU"/>
              </w:rPr>
              <w:t>0.15</w:t>
            </w:r>
          </w:p>
        </w:tc>
        <w:tc>
          <w:tcPr>
            <w:tcW w:w="1191" w:type="dxa"/>
            <w:shd w:val="clear" w:color="auto" w:fill="auto"/>
          </w:tcPr>
          <w:p w:rsidR="00E02E7E" w:rsidRPr="00D775A7" w:rsidRDefault="00E02E7E" w:rsidP="00087F16">
            <w:pPr>
              <w:pStyle w:val="Tabletext"/>
              <w:jc w:val="center"/>
              <w:rPr>
                <w:lang w:val="en-AU"/>
              </w:rPr>
            </w:pPr>
            <w:r w:rsidRPr="00D775A7">
              <w:rPr>
                <w:lang w:val="en-AU"/>
              </w:rPr>
              <w:t>7 (3.5)</w:t>
            </w:r>
          </w:p>
        </w:tc>
        <w:tc>
          <w:tcPr>
            <w:tcW w:w="1191" w:type="dxa"/>
            <w:shd w:val="clear" w:color="auto" w:fill="auto"/>
          </w:tcPr>
          <w:p w:rsidR="00E02E7E" w:rsidRPr="00D775A7" w:rsidRDefault="00E02E7E" w:rsidP="00087F16">
            <w:pPr>
              <w:pStyle w:val="Tabletext"/>
              <w:jc w:val="center"/>
              <w:rPr>
                <w:lang w:val="en-AU"/>
              </w:rPr>
            </w:pPr>
            <w:r w:rsidRPr="00D775A7">
              <w:rPr>
                <w:lang w:val="en-AU"/>
              </w:rPr>
              <w:t>0.37</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Serious Study Treatment-Related TEAEs (per investigator)</w:t>
            </w:r>
          </w:p>
        </w:tc>
        <w:tc>
          <w:tcPr>
            <w:tcW w:w="1190" w:type="dxa"/>
          </w:tcPr>
          <w:p w:rsidR="00E02E7E" w:rsidRPr="00D775A7" w:rsidRDefault="00E02E7E" w:rsidP="00087F16">
            <w:pPr>
              <w:pStyle w:val="Tabletext"/>
              <w:jc w:val="center"/>
              <w:rPr>
                <w:lang w:val="en-AU"/>
              </w:rPr>
            </w:pPr>
            <w:r w:rsidRPr="00D775A7">
              <w:rPr>
                <w:lang w:val="en-AU"/>
              </w:rPr>
              <w:t>0 (0.0)</w:t>
            </w:r>
          </w:p>
        </w:tc>
        <w:tc>
          <w:tcPr>
            <w:tcW w:w="1191" w:type="dxa"/>
            <w:shd w:val="clear" w:color="auto" w:fill="auto"/>
          </w:tcPr>
          <w:p w:rsidR="00E02E7E" w:rsidRPr="00D775A7" w:rsidRDefault="00E02E7E" w:rsidP="00087F16">
            <w:pPr>
              <w:pStyle w:val="Tabletext"/>
              <w:jc w:val="center"/>
              <w:rPr>
                <w:lang w:val="en-AU"/>
              </w:rPr>
            </w:pPr>
            <w:r w:rsidRPr="00D775A7">
              <w:rPr>
                <w:lang w:val="en-AU"/>
              </w:rPr>
              <w:t>0 (0.0)</w:t>
            </w:r>
          </w:p>
        </w:tc>
        <w:tc>
          <w:tcPr>
            <w:tcW w:w="1190" w:type="dxa"/>
          </w:tcPr>
          <w:p w:rsidR="00E02E7E" w:rsidRPr="00D775A7" w:rsidRDefault="00E02E7E" w:rsidP="00087F16">
            <w:pPr>
              <w:pStyle w:val="Tabletext"/>
              <w:jc w:val="center"/>
              <w:rPr>
                <w:lang w:val="en-AU"/>
              </w:rPr>
            </w:pPr>
            <w:r w:rsidRPr="00D775A7">
              <w:rPr>
                <w:lang w:val="en-AU"/>
              </w:rPr>
              <w:t>1.0</w:t>
            </w:r>
          </w:p>
        </w:tc>
        <w:tc>
          <w:tcPr>
            <w:tcW w:w="1191" w:type="dxa"/>
            <w:shd w:val="clear" w:color="auto" w:fill="auto"/>
          </w:tcPr>
          <w:p w:rsidR="00E02E7E" w:rsidRPr="00D775A7" w:rsidRDefault="00E02E7E" w:rsidP="00087F16">
            <w:pPr>
              <w:pStyle w:val="Tabletext"/>
              <w:jc w:val="center"/>
              <w:rPr>
                <w:lang w:val="en-AU"/>
              </w:rPr>
            </w:pPr>
            <w:r w:rsidRPr="00D775A7">
              <w:rPr>
                <w:lang w:val="en-AU"/>
              </w:rPr>
              <w:t>0 (0.0)</w:t>
            </w:r>
          </w:p>
        </w:tc>
        <w:tc>
          <w:tcPr>
            <w:tcW w:w="1191" w:type="dxa"/>
            <w:shd w:val="clear" w:color="auto" w:fill="auto"/>
          </w:tcPr>
          <w:p w:rsidR="00E02E7E" w:rsidRPr="00D775A7" w:rsidRDefault="00E02E7E" w:rsidP="00087F16">
            <w:pPr>
              <w:pStyle w:val="Tabletext"/>
              <w:jc w:val="center"/>
              <w:rPr>
                <w:lang w:val="en-AU"/>
              </w:rPr>
            </w:pPr>
            <w:r w:rsidRPr="00D775A7">
              <w:rPr>
                <w:lang w:val="en-AU"/>
              </w:rPr>
              <w:t>1.0</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Death</w:t>
            </w:r>
          </w:p>
        </w:tc>
        <w:tc>
          <w:tcPr>
            <w:tcW w:w="1190" w:type="dxa"/>
          </w:tcPr>
          <w:p w:rsidR="00E02E7E" w:rsidRPr="00D775A7" w:rsidRDefault="00E02E7E" w:rsidP="00087F16">
            <w:pPr>
              <w:pStyle w:val="Tabletext"/>
              <w:jc w:val="center"/>
              <w:rPr>
                <w:lang w:val="en-AU"/>
              </w:rPr>
            </w:pPr>
            <w:r w:rsidRPr="00D775A7">
              <w:rPr>
                <w:lang w:val="en-AU"/>
              </w:rPr>
              <w:t>0 (0.0)</w:t>
            </w:r>
          </w:p>
        </w:tc>
        <w:tc>
          <w:tcPr>
            <w:tcW w:w="1191" w:type="dxa"/>
            <w:shd w:val="clear" w:color="auto" w:fill="auto"/>
          </w:tcPr>
          <w:p w:rsidR="00E02E7E" w:rsidRPr="00D775A7" w:rsidRDefault="00E02E7E" w:rsidP="00087F16">
            <w:pPr>
              <w:pStyle w:val="Tabletext"/>
              <w:jc w:val="center"/>
              <w:rPr>
                <w:lang w:val="en-AU"/>
              </w:rPr>
            </w:pPr>
            <w:r w:rsidRPr="00D775A7">
              <w:rPr>
                <w:lang w:val="en-AU"/>
              </w:rPr>
              <w:t>0 (0.0)</w:t>
            </w:r>
          </w:p>
        </w:tc>
        <w:tc>
          <w:tcPr>
            <w:tcW w:w="1190" w:type="dxa"/>
          </w:tcPr>
          <w:p w:rsidR="00E02E7E" w:rsidRPr="00D775A7" w:rsidRDefault="00E02E7E" w:rsidP="00087F16">
            <w:pPr>
              <w:pStyle w:val="Tabletext"/>
              <w:jc w:val="center"/>
              <w:rPr>
                <w:lang w:val="en-AU"/>
              </w:rPr>
            </w:pPr>
            <w:r w:rsidRPr="00D775A7">
              <w:rPr>
                <w:lang w:val="en-AU"/>
              </w:rPr>
              <w:t>1.0</w:t>
            </w:r>
          </w:p>
        </w:tc>
        <w:tc>
          <w:tcPr>
            <w:tcW w:w="1191" w:type="dxa"/>
            <w:shd w:val="clear" w:color="auto" w:fill="auto"/>
          </w:tcPr>
          <w:p w:rsidR="00E02E7E" w:rsidRPr="00D775A7" w:rsidRDefault="00E02E7E" w:rsidP="00087F16">
            <w:pPr>
              <w:pStyle w:val="Tabletext"/>
              <w:jc w:val="center"/>
              <w:rPr>
                <w:lang w:val="en-AU"/>
              </w:rPr>
            </w:pPr>
            <w:r w:rsidRPr="00D775A7">
              <w:rPr>
                <w:lang w:val="en-AU"/>
              </w:rPr>
              <w:t>1 (0.5)</w:t>
            </w:r>
          </w:p>
        </w:tc>
        <w:tc>
          <w:tcPr>
            <w:tcW w:w="1191" w:type="dxa"/>
            <w:shd w:val="clear" w:color="auto" w:fill="auto"/>
          </w:tcPr>
          <w:p w:rsidR="00E02E7E" w:rsidRPr="00D775A7" w:rsidRDefault="00E02E7E" w:rsidP="00087F16">
            <w:pPr>
              <w:pStyle w:val="Tabletext"/>
              <w:jc w:val="center"/>
              <w:rPr>
                <w:lang w:val="en-AU"/>
              </w:rPr>
            </w:pPr>
            <w:r w:rsidRPr="00D775A7">
              <w:rPr>
                <w:lang w:val="en-AU"/>
              </w:rPr>
              <w:t>1.0</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Severe TEAEs</w:t>
            </w:r>
          </w:p>
        </w:tc>
        <w:tc>
          <w:tcPr>
            <w:tcW w:w="1190" w:type="dxa"/>
          </w:tcPr>
          <w:p w:rsidR="00E02E7E" w:rsidRPr="00D775A7" w:rsidRDefault="00E02E7E" w:rsidP="00087F16">
            <w:pPr>
              <w:pStyle w:val="Tabletext"/>
              <w:jc w:val="center"/>
              <w:rPr>
                <w:lang w:val="en-AU"/>
              </w:rPr>
            </w:pPr>
            <w:r w:rsidRPr="00D775A7">
              <w:rPr>
                <w:lang w:val="en-AU"/>
              </w:rPr>
              <w:t>4 (4.0)</w:t>
            </w:r>
          </w:p>
        </w:tc>
        <w:tc>
          <w:tcPr>
            <w:tcW w:w="1191" w:type="dxa"/>
            <w:shd w:val="clear" w:color="auto" w:fill="auto"/>
          </w:tcPr>
          <w:p w:rsidR="00E02E7E" w:rsidRPr="00D775A7" w:rsidRDefault="00E02E7E" w:rsidP="00087F16">
            <w:pPr>
              <w:pStyle w:val="Tabletext"/>
              <w:jc w:val="center"/>
              <w:rPr>
                <w:lang w:val="en-AU"/>
              </w:rPr>
            </w:pPr>
            <w:r w:rsidRPr="00D775A7">
              <w:rPr>
                <w:lang w:val="en-AU"/>
              </w:rPr>
              <w:t>15 (7.4)</w:t>
            </w:r>
          </w:p>
        </w:tc>
        <w:tc>
          <w:tcPr>
            <w:tcW w:w="1190" w:type="dxa"/>
          </w:tcPr>
          <w:p w:rsidR="00E02E7E" w:rsidRPr="00D775A7" w:rsidRDefault="00E02E7E" w:rsidP="00087F16">
            <w:pPr>
              <w:pStyle w:val="Tabletext"/>
              <w:jc w:val="center"/>
              <w:rPr>
                <w:lang w:val="en-AU"/>
              </w:rPr>
            </w:pPr>
            <w:r w:rsidRPr="00D775A7">
              <w:rPr>
                <w:lang w:val="en-AU"/>
              </w:rPr>
              <w:t>0.28</w:t>
            </w:r>
          </w:p>
        </w:tc>
        <w:tc>
          <w:tcPr>
            <w:tcW w:w="1191" w:type="dxa"/>
            <w:shd w:val="clear" w:color="auto" w:fill="auto"/>
          </w:tcPr>
          <w:p w:rsidR="00E02E7E" w:rsidRPr="00D775A7" w:rsidRDefault="00E02E7E" w:rsidP="00087F16">
            <w:pPr>
              <w:pStyle w:val="Tabletext"/>
              <w:jc w:val="center"/>
              <w:rPr>
                <w:lang w:val="en-AU"/>
              </w:rPr>
            </w:pPr>
            <w:r w:rsidRPr="00D775A7">
              <w:rPr>
                <w:lang w:val="en-AU"/>
              </w:rPr>
              <w:t>13 (6.5)</w:t>
            </w:r>
          </w:p>
        </w:tc>
        <w:tc>
          <w:tcPr>
            <w:tcW w:w="1191" w:type="dxa"/>
            <w:shd w:val="clear" w:color="auto" w:fill="auto"/>
          </w:tcPr>
          <w:p w:rsidR="00E02E7E" w:rsidRPr="00D775A7" w:rsidRDefault="00E02E7E" w:rsidP="00087F16">
            <w:pPr>
              <w:pStyle w:val="Tabletext"/>
              <w:jc w:val="center"/>
              <w:rPr>
                <w:lang w:val="en-AU"/>
              </w:rPr>
            </w:pPr>
            <w:r w:rsidRPr="00D775A7">
              <w:rPr>
                <w:lang w:val="en-AU"/>
              </w:rPr>
              <w:t>0.29</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lang w:val="en-AU"/>
              </w:rPr>
              <w:t>TEAEs Leading to Study Treatment Discontinuation</w:t>
            </w:r>
          </w:p>
        </w:tc>
        <w:tc>
          <w:tcPr>
            <w:tcW w:w="1190" w:type="dxa"/>
          </w:tcPr>
          <w:p w:rsidR="00E02E7E" w:rsidRPr="00D775A7" w:rsidRDefault="00E02E7E" w:rsidP="00087F16">
            <w:pPr>
              <w:pStyle w:val="Tabletext"/>
              <w:jc w:val="center"/>
              <w:rPr>
                <w:lang w:val="en-AU"/>
              </w:rPr>
            </w:pPr>
            <w:r w:rsidRPr="00D775A7">
              <w:rPr>
                <w:lang w:val="en-AU"/>
              </w:rPr>
              <w:t>2 (2.0)</w:t>
            </w:r>
          </w:p>
        </w:tc>
        <w:tc>
          <w:tcPr>
            <w:tcW w:w="1191" w:type="dxa"/>
            <w:shd w:val="clear" w:color="auto" w:fill="auto"/>
          </w:tcPr>
          <w:p w:rsidR="00E02E7E" w:rsidRPr="00D775A7" w:rsidRDefault="00E02E7E" w:rsidP="00087F16">
            <w:pPr>
              <w:pStyle w:val="Tabletext"/>
              <w:jc w:val="center"/>
              <w:rPr>
                <w:lang w:val="en-AU"/>
              </w:rPr>
            </w:pPr>
            <w:r w:rsidRPr="00D775A7">
              <w:rPr>
                <w:lang w:val="en-AU"/>
              </w:rPr>
              <w:t>7 (3.4)</w:t>
            </w:r>
          </w:p>
        </w:tc>
        <w:tc>
          <w:tcPr>
            <w:tcW w:w="1190" w:type="dxa"/>
          </w:tcPr>
          <w:p w:rsidR="00E02E7E" w:rsidRPr="00D775A7" w:rsidRDefault="00E02E7E" w:rsidP="00087F16">
            <w:pPr>
              <w:pStyle w:val="Tabletext"/>
              <w:jc w:val="center"/>
              <w:rPr>
                <w:lang w:val="en-AU"/>
              </w:rPr>
            </w:pPr>
            <w:r w:rsidRPr="00D775A7">
              <w:rPr>
                <w:lang w:val="en-AU"/>
              </w:rPr>
              <w:t>0.39</w:t>
            </w:r>
          </w:p>
        </w:tc>
        <w:tc>
          <w:tcPr>
            <w:tcW w:w="1191" w:type="dxa"/>
            <w:shd w:val="clear" w:color="auto" w:fill="auto"/>
          </w:tcPr>
          <w:p w:rsidR="00E02E7E" w:rsidRPr="00D775A7" w:rsidRDefault="00E02E7E" w:rsidP="00087F16">
            <w:pPr>
              <w:pStyle w:val="Tabletext"/>
              <w:jc w:val="center"/>
              <w:rPr>
                <w:lang w:val="en-AU"/>
              </w:rPr>
            </w:pPr>
            <w:r w:rsidRPr="00D775A7">
              <w:rPr>
                <w:lang w:val="en-AU"/>
              </w:rPr>
              <w:t>10 (5.0)</w:t>
            </w:r>
          </w:p>
        </w:tc>
        <w:tc>
          <w:tcPr>
            <w:tcW w:w="1191" w:type="dxa"/>
            <w:shd w:val="clear" w:color="auto" w:fill="auto"/>
          </w:tcPr>
          <w:p w:rsidR="00E02E7E" w:rsidRPr="00D775A7" w:rsidRDefault="00E02E7E" w:rsidP="00087F16">
            <w:pPr>
              <w:pStyle w:val="Tabletext"/>
              <w:jc w:val="center"/>
              <w:rPr>
                <w:lang w:val="en-AU"/>
              </w:rPr>
            </w:pPr>
            <w:r w:rsidRPr="00D775A7">
              <w:rPr>
                <w:lang w:val="en-AU"/>
              </w:rPr>
              <w:t>0.19</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Headache</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6 (6.0)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19 (9.4)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0.35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17 (8.5)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0.48</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Constipation</w:t>
            </w:r>
          </w:p>
        </w:tc>
        <w:tc>
          <w:tcPr>
            <w:tcW w:w="1190" w:type="dxa"/>
          </w:tcPr>
          <w:p w:rsidR="00E02E7E" w:rsidRPr="00D775A7" w:rsidRDefault="00E02E7E" w:rsidP="00087F16">
            <w:pPr>
              <w:pStyle w:val="Tabletext"/>
              <w:jc w:val="center"/>
              <w:rPr>
                <w:b w:val="0"/>
                <w:lang w:val="en-AU"/>
              </w:rPr>
            </w:pPr>
            <w:r w:rsidRPr="00D775A7">
              <w:rPr>
                <w:rFonts w:eastAsia="TimesNewRoman" w:cs="TimesNewRoman"/>
                <w:szCs w:val="18"/>
                <w:lang w:val="en-AU" w:bidi="ar-SA"/>
              </w:rPr>
              <w:t>0 (0.0)</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bidi="ar-SA"/>
              </w:rPr>
              <w:t>19 (9.4)</w:t>
            </w:r>
          </w:p>
        </w:tc>
        <w:tc>
          <w:tcPr>
            <w:tcW w:w="1190" w:type="dxa"/>
          </w:tcPr>
          <w:p w:rsidR="00E02E7E" w:rsidRPr="00D775A7" w:rsidRDefault="00E02E7E" w:rsidP="00087F16">
            <w:pPr>
              <w:pStyle w:val="Tabletext"/>
              <w:jc w:val="center"/>
              <w:rPr>
                <w:b w:val="0"/>
                <w:lang w:val="en-AU"/>
              </w:rPr>
            </w:pPr>
            <w:r w:rsidRPr="00D775A7">
              <w:rPr>
                <w:rFonts w:eastAsia="TimesNewRoman" w:cs="TimesNewRoman"/>
                <w:szCs w:val="18"/>
                <w:lang w:val="en-AU" w:bidi="ar-SA"/>
              </w:rPr>
              <w:t>0.0007</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bidi="ar-SA"/>
              </w:rPr>
              <w:t>16 (8.0)</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rPr>
              <w:t>0.0019</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Nausea</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5 (5.0)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18 (8.9)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0.19</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16 (8.0)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0.37</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Injection site pruritus</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4 (4.0)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13 (6.4)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0.30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19 (9.5)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0.01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Vomiting</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4 (4.0)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19 (9.4)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0.09</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11 (5.5)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0.41</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Insomnia</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11 (11.0)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13 (6.4)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0.20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17 (8.5)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0.52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lang w:val="en-AU"/>
              </w:rPr>
            </w:pPr>
            <w:r w:rsidRPr="00D775A7">
              <w:rPr>
                <w:szCs w:val="18"/>
                <w:lang w:val="en-AU"/>
              </w:rPr>
              <w:t>Upper respiratory tract infection</w:t>
            </w:r>
          </w:p>
        </w:tc>
        <w:tc>
          <w:tcPr>
            <w:tcW w:w="1190" w:type="dxa"/>
          </w:tcPr>
          <w:p w:rsidR="00E02E7E" w:rsidRPr="00D775A7" w:rsidRDefault="00E02E7E" w:rsidP="00087F16">
            <w:pPr>
              <w:pStyle w:val="Tabletext"/>
              <w:jc w:val="center"/>
              <w:rPr>
                <w:b w:val="0"/>
                <w:lang w:val="en-AU"/>
              </w:rPr>
            </w:pPr>
            <w:r w:rsidRPr="00D775A7">
              <w:rPr>
                <w:rFonts w:eastAsia="TimesNewRoman" w:cs="TimesNewRoman"/>
                <w:szCs w:val="18"/>
                <w:lang w:val="en-AU" w:bidi="ar-SA"/>
              </w:rPr>
              <w:t>1 (1.0)</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bidi="ar-SA"/>
              </w:rPr>
              <w:t>15 (7.4)</w:t>
            </w:r>
          </w:p>
        </w:tc>
        <w:tc>
          <w:tcPr>
            <w:tcW w:w="1190" w:type="dxa"/>
          </w:tcPr>
          <w:p w:rsidR="00E02E7E" w:rsidRPr="00D775A7" w:rsidRDefault="00E02E7E" w:rsidP="00087F16">
            <w:pPr>
              <w:pStyle w:val="Tabletext"/>
              <w:jc w:val="center"/>
              <w:rPr>
                <w:b w:val="0"/>
                <w:lang w:val="en-AU"/>
              </w:rPr>
            </w:pPr>
            <w:r w:rsidRPr="00D775A7">
              <w:rPr>
                <w:rFonts w:eastAsia="TimesNewRoman" w:cs="TimesNewRoman"/>
                <w:szCs w:val="18"/>
                <w:lang w:val="en-AU" w:bidi="ar-SA"/>
              </w:rPr>
              <w:t>0.017</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bidi="ar-SA"/>
              </w:rPr>
              <w:t>12 (6.0)</w:t>
            </w:r>
          </w:p>
        </w:tc>
        <w:tc>
          <w:tcPr>
            <w:tcW w:w="1191" w:type="dxa"/>
            <w:shd w:val="clear" w:color="auto" w:fill="auto"/>
          </w:tcPr>
          <w:p w:rsidR="00E02E7E" w:rsidRPr="00D775A7" w:rsidRDefault="00E02E7E" w:rsidP="00087F16">
            <w:pPr>
              <w:pStyle w:val="Tabletext"/>
              <w:jc w:val="center"/>
              <w:rPr>
                <w:b w:val="0"/>
                <w:lang w:val="en-AU"/>
              </w:rPr>
            </w:pPr>
            <w:r w:rsidRPr="00D775A7">
              <w:rPr>
                <w:rFonts w:eastAsia="TimesNewRoman" w:cs="TimesNewRoman"/>
                <w:szCs w:val="18"/>
                <w:lang w:val="en-AU"/>
              </w:rPr>
              <w:t>0.043</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highlight w:val="yellow"/>
                <w:lang w:val="en-AU"/>
              </w:rPr>
            </w:pPr>
            <w:r w:rsidRPr="00D775A7">
              <w:rPr>
                <w:szCs w:val="18"/>
                <w:lang w:val="en-AU"/>
              </w:rPr>
              <w:t>Injection site pain</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3 (3.0)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10 (4.9)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0.34</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12 (6.0)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0.22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proofErr w:type="spellStart"/>
            <w:r w:rsidRPr="00D775A7">
              <w:rPr>
                <w:szCs w:val="18"/>
                <w:lang w:val="en-AU"/>
              </w:rPr>
              <w:t>Nasopharyngitis</w:t>
            </w:r>
            <w:proofErr w:type="spellEnd"/>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1 (1.0)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11 (5.4)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0.06</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10 (5.0)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0.08</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r w:rsidRPr="00D775A7">
              <w:rPr>
                <w:szCs w:val="18"/>
                <w:lang w:val="en-AU"/>
              </w:rPr>
              <w:t>Fatigue</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3 (3.0)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8 (3.9)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0.49</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12 (6.0)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0.22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r w:rsidRPr="00D775A7">
              <w:rPr>
                <w:szCs w:val="18"/>
                <w:lang w:val="en-AU"/>
              </w:rPr>
              <w:t>Anxiety</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5 (5.0)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10 (4.9)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0.59</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8 (4.0)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0.70</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r w:rsidRPr="00D775A7">
              <w:rPr>
                <w:szCs w:val="18"/>
                <w:lang w:val="en-AU"/>
              </w:rPr>
              <w:t>Drug withdrawal syndrome</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6 (6.0)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9 (4.4)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0.57</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7 (3.5)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0.33</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r w:rsidRPr="00D775A7">
              <w:rPr>
                <w:szCs w:val="18"/>
                <w:lang w:val="en-AU"/>
              </w:rPr>
              <w:t xml:space="preserve">Blood </w:t>
            </w:r>
            <w:proofErr w:type="spellStart"/>
            <w:r w:rsidRPr="00D775A7">
              <w:rPr>
                <w:szCs w:val="18"/>
                <w:lang w:val="en-AU"/>
              </w:rPr>
              <w:t>creatine</w:t>
            </w:r>
            <w:proofErr w:type="spellEnd"/>
            <w:r w:rsidRPr="00D775A7">
              <w:rPr>
                <w:szCs w:val="18"/>
                <w:lang w:val="en-AU"/>
              </w:rPr>
              <w:t xml:space="preserve"> phosphokinase increased</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1 (1.0)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11 (5.4)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0.06</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5 (2.5)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0.36</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auto"/>
          </w:tcPr>
          <w:p w:rsidR="00E02E7E" w:rsidRPr="00D775A7" w:rsidRDefault="00E02E7E" w:rsidP="00087F16">
            <w:pPr>
              <w:pStyle w:val="Tabletext"/>
              <w:rPr>
                <w:szCs w:val="18"/>
                <w:lang w:val="en-AU"/>
              </w:rPr>
            </w:pPr>
            <w:r w:rsidRPr="00D775A7">
              <w:rPr>
                <w:szCs w:val="18"/>
                <w:lang w:val="en-AU"/>
              </w:rPr>
              <w:t>Diarrhoea</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5 (5.0)</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 xml:space="preserve">5 (2.5) </w:t>
            </w:r>
          </w:p>
        </w:tc>
        <w:tc>
          <w:tcPr>
            <w:tcW w:w="1190" w:type="dxa"/>
          </w:tcPr>
          <w:p w:rsidR="00E02E7E" w:rsidRPr="00D775A7" w:rsidRDefault="00E02E7E" w:rsidP="00087F16">
            <w:pPr>
              <w:pStyle w:val="Tabletext"/>
              <w:jc w:val="center"/>
              <w:rPr>
                <w:lang w:val="en-AU"/>
              </w:rPr>
            </w:pPr>
            <w:r w:rsidRPr="00D775A7">
              <w:rPr>
                <w:rFonts w:eastAsia="TimesNewRoman" w:cs="TimesNewRoman"/>
                <w:szCs w:val="18"/>
                <w:lang w:val="en-AU" w:bidi="ar-SA"/>
              </w:rPr>
              <w:t>0.21</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bidi="ar-SA"/>
              </w:rPr>
              <w:t>5 (2.5)</w:t>
            </w:r>
          </w:p>
        </w:tc>
        <w:tc>
          <w:tcPr>
            <w:tcW w:w="1191" w:type="dxa"/>
            <w:shd w:val="clear" w:color="auto" w:fill="auto"/>
          </w:tcPr>
          <w:p w:rsidR="00E02E7E" w:rsidRPr="00D775A7" w:rsidRDefault="00E02E7E" w:rsidP="00087F16">
            <w:pPr>
              <w:pStyle w:val="Tabletext"/>
              <w:jc w:val="center"/>
              <w:rPr>
                <w:lang w:val="en-AU"/>
              </w:rPr>
            </w:pPr>
            <w:r w:rsidRPr="00D775A7">
              <w:rPr>
                <w:rFonts w:eastAsia="TimesNewRoman" w:cs="TimesNewRoman"/>
                <w:szCs w:val="18"/>
                <w:lang w:val="en-AU"/>
              </w:rPr>
              <w:t>0.27</w:t>
            </w:r>
          </w:p>
        </w:tc>
      </w:tr>
    </w:tbl>
    <w:p w:rsidR="00E02E7E" w:rsidRPr="00D775A7" w:rsidRDefault="00E02E7E" w:rsidP="00E02E7E">
      <w:pPr>
        <w:pStyle w:val="TableFooter"/>
      </w:pPr>
      <w:r w:rsidRPr="00D775A7">
        <w:t xml:space="preserve">Source: Table 2.65, p117 and Table 2.66, p118 of the submission. </w:t>
      </w:r>
    </w:p>
    <w:p w:rsidR="00E02E7E" w:rsidRPr="00D775A7" w:rsidRDefault="00E02E7E" w:rsidP="00C954A6">
      <w:pPr>
        <w:pStyle w:val="ListParagraph"/>
        <w:widowControl/>
        <w:numPr>
          <w:ilvl w:val="1"/>
          <w:numId w:val="2"/>
        </w:numPr>
        <w:spacing w:before="120" w:after="120"/>
        <w:ind w:left="720" w:hanging="720"/>
      </w:pPr>
      <w:r w:rsidRPr="00D775A7">
        <w:t>Overall</w:t>
      </w:r>
      <w:r w:rsidR="00AC55A1" w:rsidRPr="00D775A7">
        <w:t>, compared to placebo</w:t>
      </w:r>
      <w:r w:rsidR="00CF3963" w:rsidRPr="00D775A7">
        <w:t>,</w:t>
      </w:r>
      <w:r w:rsidRPr="00D775A7">
        <w:t xml:space="preserve"> both doses of </w:t>
      </w:r>
      <w:proofErr w:type="spellStart"/>
      <w:r w:rsidRPr="00D775A7">
        <w:t>Sublocade</w:t>
      </w:r>
      <w:proofErr w:type="spellEnd"/>
      <w:r w:rsidRPr="00D775A7">
        <w:t xml:space="preserve"> had statistically significantly higher proportions of patients with constipation and upper respiratory tract infections. </w:t>
      </w:r>
    </w:p>
    <w:p w:rsidR="007C7BAA" w:rsidRPr="00D775A7" w:rsidRDefault="00E02E7E" w:rsidP="00C954A6">
      <w:pPr>
        <w:pStyle w:val="ListParagraph"/>
        <w:widowControl/>
        <w:numPr>
          <w:ilvl w:val="1"/>
          <w:numId w:val="2"/>
        </w:numPr>
        <w:spacing w:before="120" w:after="120"/>
        <w:ind w:left="720" w:hanging="720"/>
      </w:pPr>
      <w:r w:rsidRPr="00D775A7">
        <w:rPr>
          <w:color w:val="000000" w:themeColor="text1"/>
        </w:rPr>
        <w:t>There</w:t>
      </w:r>
      <w:r w:rsidRPr="00D775A7">
        <w:t xml:space="preserve"> did not appear to be any discernible patterns in serious treatment emergent adverse events (TEAE) between the treatment groups.</w:t>
      </w:r>
    </w:p>
    <w:p w:rsidR="00D264E4" w:rsidRPr="00D775A7" w:rsidRDefault="007C7BAA" w:rsidP="00C954A6">
      <w:pPr>
        <w:pStyle w:val="ListParagraph"/>
        <w:widowControl/>
        <w:numPr>
          <w:ilvl w:val="1"/>
          <w:numId w:val="2"/>
        </w:numPr>
        <w:spacing w:before="120" w:after="120"/>
        <w:ind w:left="720" w:hanging="720"/>
      </w:pPr>
      <w:r w:rsidRPr="00D775A7">
        <w:rPr>
          <w:color w:val="000000" w:themeColor="text1"/>
        </w:rPr>
        <w:t xml:space="preserve">As evidenced by FDA boxed warning against intravascular injection, and the consistent concern for tampering with the depot in the </w:t>
      </w:r>
      <w:proofErr w:type="spellStart"/>
      <w:r w:rsidRPr="00D775A7">
        <w:rPr>
          <w:color w:val="000000" w:themeColor="text1"/>
        </w:rPr>
        <w:t>Sublocade</w:t>
      </w:r>
      <w:proofErr w:type="spellEnd"/>
      <w:r w:rsidRPr="00D775A7">
        <w:rPr>
          <w:color w:val="000000" w:themeColor="text1"/>
        </w:rPr>
        <w:t xml:space="preserve"> trial program, there remains a risk (though no instances have been recorded) of attempts to tamper with and remove the depot. It would be expected that should </w:t>
      </w:r>
      <w:proofErr w:type="spellStart"/>
      <w:r w:rsidRPr="00D775A7">
        <w:rPr>
          <w:color w:val="000000" w:themeColor="text1"/>
        </w:rPr>
        <w:t>Sublocade</w:t>
      </w:r>
      <w:proofErr w:type="spellEnd"/>
      <w:r w:rsidRPr="00D775A7">
        <w:rPr>
          <w:color w:val="000000" w:themeColor="text1"/>
        </w:rPr>
        <w:t xml:space="preserve"> be made available to more patients, cases will occur. Secondly, the potential harms associated with misuse of </w:t>
      </w:r>
      <w:proofErr w:type="spellStart"/>
      <w:r w:rsidRPr="00D775A7">
        <w:rPr>
          <w:color w:val="000000" w:themeColor="text1"/>
        </w:rPr>
        <w:t>Sublocade</w:t>
      </w:r>
      <w:proofErr w:type="spellEnd"/>
      <w:r w:rsidRPr="00D775A7">
        <w:rPr>
          <w:color w:val="000000" w:themeColor="text1"/>
        </w:rPr>
        <w:t xml:space="preserve"> are serious - injury or death.</w:t>
      </w:r>
      <w:r w:rsidR="00D264E4" w:rsidRPr="00D775A7">
        <w:rPr>
          <w:color w:val="000000" w:themeColor="text1"/>
        </w:rPr>
        <w:t xml:space="preserve"> </w:t>
      </w:r>
    </w:p>
    <w:p w:rsidR="00CF3963" w:rsidRPr="00D775A7" w:rsidRDefault="00E02F7A" w:rsidP="00C954A6">
      <w:pPr>
        <w:pStyle w:val="ListParagraph"/>
        <w:widowControl/>
        <w:numPr>
          <w:ilvl w:val="1"/>
          <w:numId w:val="2"/>
        </w:numPr>
        <w:spacing w:before="120" w:after="120"/>
        <w:ind w:left="720" w:hanging="720"/>
        <w:rPr>
          <w:rStyle w:val="CommentReference"/>
          <w:rFonts w:ascii="Calibri" w:hAnsi="Calibri"/>
          <w:b w:val="0"/>
          <w:sz w:val="24"/>
          <w:szCs w:val="22"/>
        </w:rPr>
      </w:pPr>
      <w:r w:rsidRPr="00D775A7">
        <w:rPr>
          <w:rFonts w:asciiTheme="minorHAnsi" w:hAnsiTheme="minorHAnsi" w:cstheme="minorHAnsi"/>
          <w:szCs w:val="24"/>
        </w:rPr>
        <w:t xml:space="preserve">Table 9 </w:t>
      </w:r>
      <w:r w:rsidR="00E02E7E" w:rsidRPr="00D775A7">
        <w:t xml:space="preserve">presents the safety results of the submission’s indirect comparison. </w:t>
      </w:r>
      <w:bookmarkStart w:id="26" w:name="_Ref532155197"/>
    </w:p>
    <w:p w:rsidR="00BA34A8" w:rsidRDefault="00BA34A8">
      <w:pPr>
        <w:widowControl/>
        <w:jc w:val="left"/>
        <w:rPr>
          <w:rStyle w:val="CommentReference"/>
        </w:rPr>
      </w:pPr>
      <w:r>
        <w:rPr>
          <w:rStyle w:val="CommentReference"/>
        </w:rPr>
        <w:br w:type="page"/>
      </w:r>
    </w:p>
    <w:p w:rsidR="00E02E7E" w:rsidRPr="00D775A7" w:rsidRDefault="00AC55A1" w:rsidP="00E02F7A">
      <w:pPr>
        <w:widowControl/>
        <w:jc w:val="left"/>
        <w:rPr>
          <w:rStyle w:val="CommentReference"/>
          <w:b w:val="0"/>
        </w:rPr>
      </w:pPr>
      <w:r w:rsidRPr="00D775A7">
        <w:rPr>
          <w:rStyle w:val="CommentReference"/>
        </w:rPr>
        <w:lastRenderedPageBreak/>
        <w:t xml:space="preserve">Table </w:t>
      </w:r>
      <w:r w:rsidR="00BC72D0" w:rsidRPr="00D775A7">
        <w:rPr>
          <w:rStyle w:val="CommentReference"/>
        </w:rPr>
        <w:t>9</w:t>
      </w:r>
      <w:bookmarkEnd w:id="26"/>
      <w:r w:rsidR="003A0538" w:rsidRPr="00D775A7">
        <w:rPr>
          <w:rStyle w:val="CommentReference"/>
        </w:rPr>
        <w:t>:</w:t>
      </w:r>
      <w:r w:rsidR="00E02E7E" w:rsidRPr="00D775A7">
        <w:rPr>
          <w:rStyle w:val="CommentReference"/>
        </w:rPr>
        <w:t xml:space="preserve"> Results of indirect comparison of </w:t>
      </w:r>
      <w:proofErr w:type="spellStart"/>
      <w:r w:rsidR="00E02E7E" w:rsidRPr="00D775A7">
        <w:rPr>
          <w:rStyle w:val="CommentReference"/>
        </w:rPr>
        <w:t>Sublocade</w:t>
      </w:r>
      <w:proofErr w:type="spellEnd"/>
      <w:r w:rsidR="00E02E7E" w:rsidRPr="00D775A7">
        <w:rPr>
          <w:rStyle w:val="CommentReference"/>
        </w:rPr>
        <w:t xml:space="preserve"> versus sublingua</w:t>
      </w:r>
      <w:r w:rsidR="00E02E7E" w:rsidRPr="00D775A7">
        <w:rPr>
          <w:rStyle w:val="CommentReference"/>
          <w:color w:val="000000" w:themeColor="text1"/>
        </w:rPr>
        <w:t xml:space="preserve">l </w:t>
      </w:r>
      <w:r w:rsidR="00885AD3" w:rsidRPr="00950A50">
        <w:rPr>
          <w:rStyle w:val="CommentReference"/>
        </w:rPr>
        <w:t>BUP/NAL</w:t>
      </w:r>
    </w:p>
    <w:tbl>
      <w:tblPr>
        <w:tblStyle w:val="Submissionstandard"/>
        <w:tblW w:w="9209" w:type="dxa"/>
        <w:tblCellMar>
          <w:left w:w="29" w:type="dxa"/>
          <w:right w:w="29" w:type="dxa"/>
        </w:tblCellMar>
        <w:tblLook w:val="04A0" w:firstRow="1" w:lastRow="0" w:firstColumn="1" w:lastColumn="0" w:noHBand="0" w:noVBand="1"/>
        <w:tblCaption w:val="Table 9: Results of indirect comparison of Sublocade versus sublingual BUP/NAL"/>
      </w:tblPr>
      <w:tblGrid>
        <w:gridCol w:w="4169"/>
        <w:gridCol w:w="2430"/>
        <w:gridCol w:w="1440"/>
        <w:gridCol w:w="1170"/>
      </w:tblGrid>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4169" w:type="dxa"/>
            <w:shd w:val="clear" w:color="auto" w:fill="auto"/>
          </w:tcPr>
          <w:p w:rsidR="00E02E7E" w:rsidRPr="00D775A7" w:rsidRDefault="00E02E7E" w:rsidP="00087F16">
            <w:pPr>
              <w:pStyle w:val="Tabletext"/>
              <w:rPr>
                <w:lang w:val="en-AU"/>
              </w:rPr>
            </w:pPr>
            <w:r w:rsidRPr="00D775A7">
              <w:rPr>
                <w:lang w:val="en-AU"/>
              </w:rPr>
              <w:t>Outcome</w:t>
            </w:r>
          </w:p>
        </w:tc>
        <w:tc>
          <w:tcPr>
            <w:tcW w:w="2430" w:type="dxa"/>
            <w:shd w:val="clear" w:color="auto" w:fill="auto"/>
          </w:tcPr>
          <w:p w:rsidR="00E02E7E" w:rsidRPr="00D775A7" w:rsidRDefault="00E02E7E" w:rsidP="00087F16">
            <w:pPr>
              <w:pStyle w:val="Tabletext"/>
              <w:jc w:val="center"/>
              <w:rPr>
                <w:lang w:val="en-AU"/>
              </w:rPr>
            </w:pPr>
            <w:r w:rsidRPr="00D775A7">
              <w:rPr>
                <w:lang w:val="en-AU"/>
              </w:rPr>
              <w:t>RD( 95% CI)</w:t>
            </w:r>
          </w:p>
        </w:tc>
        <w:tc>
          <w:tcPr>
            <w:tcW w:w="1440" w:type="dxa"/>
            <w:shd w:val="clear" w:color="auto" w:fill="auto"/>
          </w:tcPr>
          <w:p w:rsidR="00E02E7E" w:rsidRPr="00D775A7" w:rsidRDefault="00E02E7E" w:rsidP="00087F16">
            <w:pPr>
              <w:pStyle w:val="Tabletext"/>
              <w:jc w:val="center"/>
              <w:rPr>
                <w:lang w:val="en-AU"/>
              </w:rPr>
            </w:pPr>
            <w:r w:rsidRPr="00D775A7">
              <w:rPr>
                <w:lang w:val="en-AU"/>
              </w:rPr>
              <w:t>SE (ln RD)*</w:t>
            </w:r>
          </w:p>
        </w:tc>
        <w:tc>
          <w:tcPr>
            <w:tcW w:w="1170" w:type="dxa"/>
            <w:shd w:val="clear" w:color="auto" w:fill="auto"/>
          </w:tcPr>
          <w:p w:rsidR="00E02E7E" w:rsidRPr="00D775A7" w:rsidRDefault="00E02E7E" w:rsidP="00087F16">
            <w:pPr>
              <w:pStyle w:val="Tabletext"/>
              <w:jc w:val="center"/>
              <w:rPr>
                <w:lang w:val="en-AU"/>
              </w:rPr>
            </w:pPr>
            <w:r w:rsidRPr="00D775A7">
              <w:rPr>
                <w:lang w:val="en-AU"/>
              </w:rPr>
              <w:t>P value</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9209" w:type="dxa"/>
            <w:gridSpan w:val="4"/>
            <w:shd w:val="clear" w:color="auto" w:fill="auto"/>
          </w:tcPr>
          <w:p w:rsidR="00E02E7E" w:rsidRPr="00D775A7" w:rsidRDefault="00E02E7E" w:rsidP="00087F16">
            <w:pPr>
              <w:pStyle w:val="Tabletext"/>
              <w:rPr>
                <w:b w:val="0"/>
                <w:lang w:val="en-AU"/>
              </w:rPr>
            </w:pPr>
            <w:proofErr w:type="spellStart"/>
            <w:r w:rsidRPr="00D775A7">
              <w:rPr>
                <w:lang w:val="en-AU"/>
              </w:rPr>
              <w:t>Sublocade</w:t>
            </w:r>
            <w:proofErr w:type="spellEnd"/>
            <w:r w:rsidRPr="00D775A7">
              <w:rPr>
                <w:lang w:val="en-AU"/>
              </w:rPr>
              <w:t xml:space="preserve"> 300/100mg versus </w:t>
            </w:r>
            <w:r w:rsidR="00885AD3" w:rsidRPr="00D775A7">
              <w:rPr>
                <w:lang w:val="en-AU"/>
              </w:rPr>
              <w:t>BUP/NAL</w:t>
            </w:r>
            <w:r w:rsidRPr="00D775A7">
              <w:rPr>
                <w:lang w:val="en-AU"/>
              </w:rPr>
              <w:t xml:space="preserve"> via placebo</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4169" w:type="dxa"/>
            <w:vAlign w:val="bottom"/>
          </w:tcPr>
          <w:p w:rsidR="00E02E7E" w:rsidRPr="00D775A7" w:rsidRDefault="00E02E7E" w:rsidP="00087F16">
            <w:pPr>
              <w:pStyle w:val="Tabletext"/>
              <w:rPr>
                <w:lang w:val="en-AU"/>
              </w:rPr>
            </w:pPr>
            <w:r w:rsidRPr="00D775A7">
              <w:rPr>
                <w:lang w:val="en-AU"/>
              </w:rPr>
              <w:t>Any TEAEs</w:t>
            </w:r>
          </w:p>
        </w:tc>
        <w:tc>
          <w:tcPr>
            <w:tcW w:w="2430" w:type="dxa"/>
            <w:shd w:val="clear" w:color="auto" w:fill="auto"/>
            <w:vAlign w:val="bottom"/>
          </w:tcPr>
          <w:p w:rsidR="00E02E7E" w:rsidRPr="00D45CE2" w:rsidRDefault="00E02E7E" w:rsidP="00087F16">
            <w:pPr>
              <w:pStyle w:val="Tabletext"/>
              <w:jc w:val="center"/>
              <w:rPr>
                <w:lang w:val="en-AU"/>
              </w:rPr>
            </w:pPr>
            <w:r w:rsidRPr="00D45CE2">
              <w:rPr>
                <w:lang w:val="en-AU"/>
              </w:rPr>
              <w:t>1.00 (-0.090, 0.291)</w:t>
            </w:r>
          </w:p>
        </w:tc>
        <w:tc>
          <w:tcPr>
            <w:tcW w:w="1440" w:type="dxa"/>
            <w:vAlign w:val="bottom"/>
          </w:tcPr>
          <w:p w:rsidR="00E02E7E" w:rsidRPr="00D45CE2" w:rsidRDefault="00E02E7E" w:rsidP="00087F16">
            <w:pPr>
              <w:pStyle w:val="Tabletext"/>
              <w:jc w:val="center"/>
              <w:rPr>
                <w:lang w:val="en-AU"/>
              </w:rPr>
            </w:pPr>
            <w:r w:rsidRPr="00D45CE2">
              <w:rPr>
                <w:lang w:val="en-AU"/>
              </w:rPr>
              <w:t>0.097</w:t>
            </w:r>
          </w:p>
        </w:tc>
        <w:tc>
          <w:tcPr>
            <w:tcW w:w="1170" w:type="dxa"/>
            <w:vAlign w:val="bottom"/>
          </w:tcPr>
          <w:p w:rsidR="00E02E7E" w:rsidRPr="00D45CE2" w:rsidRDefault="00E02E7E" w:rsidP="00087F16">
            <w:pPr>
              <w:pStyle w:val="Tabletext"/>
              <w:jc w:val="center"/>
              <w:rPr>
                <w:lang w:val="en-AU"/>
              </w:rPr>
            </w:pPr>
            <w:r w:rsidRPr="00D45CE2">
              <w:rPr>
                <w:lang w:val="en-AU"/>
              </w:rPr>
              <w:t>0.302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4169" w:type="dxa"/>
            <w:vAlign w:val="bottom"/>
          </w:tcPr>
          <w:p w:rsidR="00E02E7E" w:rsidRPr="00D775A7" w:rsidRDefault="00E02E7E" w:rsidP="00087F16">
            <w:pPr>
              <w:pStyle w:val="Tabletext"/>
              <w:rPr>
                <w:lang w:val="en-AU"/>
              </w:rPr>
            </w:pPr>
            <w:r w:rsidRPr="00D775A7">
              <w:rPr>
                <w:lang w:val="en-AU"/>
              </w:rPr>
              <w:t>Serious TEAEs (both fatal and non-fatal)</w:t>
            </w:r>
          </w:p>
        </w:tc>
        <w:tc>
          <w:tcPr>
            <w:tcW w:w="2430" w:type="dxa"/>
            <w:shd w:val="clear" w:color="auto" w:fill="auto"/>
            <w:vAlign w:val="bottom"/>
          </w:tcPr>
          <w:p w:rsidR="00E02E7E" w:rsidRPr="00D45CE2" w:rsidRDefault="00E02E7E" w:rsidP="00087F16">
            <w:pPr>
              <w:pStyle w:val="Tabletext"/>
              <w:jc w:val="center"/>
              <w:rPr>
                <w:lang w:val="en-AU"/>
              </w:rPr>
            </w:pPr>
            <w:r w:rsidRPr="00D45CE2">
              <w:rPr>
                <w:lang w:val="en-AU"/>
              </w:rPr>
              <w:t>-0.034 (-0.121, 0.054)</w:t>
            </w:r>
          </w:p>
        </w:tc>
        <w:tc>
          <w:tcPr>
            <w:tcW w:w="1440" w:type="dxa"/>
            <w:vAlign w:val="bottom"/>
          </w:tcPr>
          <w:p w:rsidR="00E02E7E" w:rsidRPr="00D45CE2" w:rsidRDefault="00E02E7E" w:rsidP="00087F16">
            <w:pPr>
              <w:pStyle w:val="Tabletext"/>
              <w:jc w:val="center"/>
              <w:rPr>
                <w:lang w:val="en-AU"/>
              </w:rPr>
            </w:pPr>
            <w:r w:rsidRPr="00D45CE2">
              <w:rPr>
                <w:lang w:val="en-AU"/>
              </w:rPr>
              <w:t>0.045</w:t>
            </w:r>
          </w:p>
        </w:tc>
        <w:tc>
          <w:tcPr>
            <w:tcW w:w="1170" w:type="dxa"/>
            <w:vAlign w:val="bottom"/>
          </w:tcPr>
          <w:p w:rsidR="00E02E7E" w:rsidRPr="00D45CE2" w:rsidRDefault="00E02E7E" w:rsidP="00087F16">
            <w:pPr>
              <w:pStyle w:val="Tabletext"/>
              <w:jc w:val="center"/>
              <w:rPr>
                <w:lang w:val="en-AU"/>
              </w:rPr>
            </w:pPr>
            <w:r w:rsidRPr="00D45CE2">
              <w:rPr>
                <w:lang w:val="en-AU"/>
              </w:rPr>
              <w:t>0.454</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9209" w:type="dxa"/>
            <w:gridSpan w:val="4"/>
            <w:vAlign w:val="bottom"/>
          </w:tcPr>
          <w:p w:rsidR="00E02E7E" w:rsidRPr="00D45CE2" w:rsidRDefault="00E02E7E" w:rsidP="00087F16">
            <w:pPr>
              <w:pStyle w:val="Tabletext"/>
              <w:rPr>
                <w:b w:val="0"/>
                <w:lang w:val="en-AU"/>
              </w:rPr>
            </w:pPr>
            <w:proofErr w:type="spellStart"/>
            <w:r w:rsidRPr="00D45CE2">
              <w:rPr>
                <w:lang w:val="en-AU"/>
              </w:rPr>
              <w:t>Sublocade</w:t>
            </w:r>
            <w:proofErr w:type="spellEnd"/>
            <w:r w:rsidRPr="00D45CE2">
              <w:rPr>
                <w:lang w:val="en-AU"/>
              </w:rPr>
              <w:t xml:space="preserve"> 300/300mg versus </w:t>
            </w:r>
            <w:r w:rsidR="00885AD3" w:rsidRPr="00D45CE2">
              <w:rPr>
                <w:lang w:val="en-AU"/>
              </w:rPr>
              <w:t>BUP/NAL</w:t>
            </w:r>
            <w:r w:rsidRPr="00D45CE2">
              <w:rPr>
                <w:lang w:val="en-AU"/>
              </w:rPr>
              <w:t xml:space="preserve"> via placebo</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rHeight w:val="77"/>
          <w:tblHeader/>
        </w:trPr>
        <w:tc>
          <w:tcPr>
            <w:tcW w:w="4169" w:type="dxa"/>
            <w:vAlign w:val="bottom"/>
          </w:tcPr>
          <w:p w:rsidR="00E02E7E" w:rsidRPr="00D775A7" w:rsidRDefault="00E02E7E" w:rsidP="00087F16">
            <w:pPr>
              <w:pStyle w:val="Tabletext"/>
              <w:rPr>
                <w:lang w:val="en-AU"/>
              </w:rPr>
            </w:pPr>
            <w:r w:rsidRPr="00D775A7">
              <w:rPr>
                <w:lang w:val="en-AU"/>
              </w:rPr>
              <w:t>Any TEAEs</w:t>
            </w:r>
          </w:p>
        </w:tc>
        <w:tc>
          <w:tcPr>
            <w:tcW w:w="2430" w:type="dxa"/>
            <w:shd w:val="clear" w:color="auto" w:fill="auto"/>
            <w:vAlign w:val="bottom"/>
          </w:tcPr>
          <w:p w:rsidR="00E02E7E" w:rsidRPr="00D45CE2" w:rsidRDefault="00E02E7E" w:rsidP="00087F16">
            <w:pPr>
              <w:pStyle w:val="Tabletext"/>
              <w:jc w:val="center"/>
              <w:rPr>
                <w:lang w:val="en-AU"/>
              </w:rPr>
            </w:pPr>
            <w:r w:rsidRPr="00D45CE2">
              <w:rPr>
                <w:lang w:val="en-AU"/>
              </w:rPr>
              <w:t>0.003 (-0.189, 0.196)</w:t>
            </w:r>
          </w:p>
        </w:tc>
        <w:tc>
          <w:tcPr>
            <w:tcW w:w="1440" w:type="dxa"/>
            <w:vAlign w:val="bottom"/>
          </w:tcPr>
          <w:p w:rsidR="00E02E7E" w:rsidRPr="00D45CE2" w:rsidRDefault="00E02E7E" w:rsidP="00087F16">
            <w:pPr>
              <w:pStyle w:val="Tabletext"/>
              <w:jc w:val="center"/>
              <w:rPr>
                <w:lang w:val="en-AU"/>
              </w:rPr>
            </w:pPr>
            <w:r w:rsidRPr="00D45CE2">
              <w:rPr>
                <w:lang w:val="en-AU"/>
              </w:rPr>
              <w:t>0.098</w:t>
            </w:r>
          </w:p>
        </w:tc>
        <w:tc>
          <w:tcPr>
            <w:tcW w:w="1170" w:type="dxa"/>
            <w:vAlign w:val="bottom"/>
          </w:tcPr>
          <w:p w:rsidR="00E02E7E" w:rsidRPr="00D45CE2" w:rsidRDefault="00E02E7E" w:rsidP="00087F16">
            <w:pPr>
              <w:pStyle w:val="Tabletext"/>
              <w:jc w:val="center"/>
              <w:rPr>
                <w:lang w:val="en-AU"/>
              </w:rPr>
            </w:pPr>
            <w:r w:rsidRPr="00D45CE2">
              <w:rPr>
                <w:lang w:val="en-AU"/>
              </w:rPr>
              <w:t>0.972</w:t>
            </w:r>
          </w:p>
        </w:tc>
      </w:tr>
      <w:tr w:rsidR="00E02E7E" w:rsidRPr="00D775A7" w:rsidTr="00C23DF8">
        <w:trPr>
          <w:cnfStyle w:val="100000000000" w:firstRow="1" w:lastRow="0" w:firstColumn="0" w:lastColumn="0" w:oddVBand="0" w:evenVBand="0" w:oddHBand="0" w:evenHBand="0" w:firstRowFirstColumn="0" w:firstRowLastColumn="0" w:lastRowFirstColumn="0" w:lastRowLastColumn="0"/>
          <w:tblHeader/>
        </w:trPr>
        <w:tc>
          <w:tcPr>
            <w:tcW w:w="4169" w:type="dxa"/>
            <w:vAlign w:val="bottom"/>
          </w:tcPr>
          <w:p w:rsidR="00E02E7E" w:rsidRPr="00D775A7" w:rsidRDefault="00E02E7E" w:rsidP="00087F16">
            <w:pPr>
              <w:pStyle w:val="Tabletext"/>
              <w:rPr>
                <w:lang w:val="en-AU"/>
              </w:rPr>
            </w:pPr>
            <w:r w:rsidRPr="00D775A7">
              <w:rPr>
                <w:lang w:val="en-AU"/>
              </w:rPr>
              <w:t>Serious TEAEs (both fatal and non-fatal)</w:t>
            </w:r>
          </w:p>
        </w:tc>
        <w:tc>
          <w:tcPr>
            <w:tcW w:w="2430" w:type="dxa"/>
            <w:shd w:val="clear" w:color="auto" w:fill="auto"/>
            <w:vAlign w:val="bottom"/>
          </w:tcPr>
          <w:p w:rsidR="00E02E7E" w:rsidRPr="00D45CE2" w:rsidRDefault="00E02E7E" w:rsidP="00087F16">
            <w:pPr>
              <w:pStyle w:val="Tabletext"/>
              <w:jc w:val="center"/>
              <w:rPr>
                <w:lang w:val="en-AU"/>
              </w:rPr>
            </w:pPr>
            <w:r w:rsidRPr="00D45CE2">
              <w:rPr>
                <w:lang w:val="en-AU"/>
              </w:rPr>
              <w:t>-0.018 (-0.108, 0.071)</w:t>
            </w:r>
          </w:p>
        </w:tc>
        <w:tc>
          <w:tcPr>
            <w:tcW w:w="1440" w:type="dxa"/>
            <w:vAlign w:val="bottom"/>
          </w:tcPr>
          <w:p w:rsidR="00E02E7E" w:rsidRPr="00D45CE2" w:rsidRDefault="00E02E7E" w:rsidP="00087F16">
            <w:pPr>
              <w:pStyle w:val="Tabletext"/>
              <w:jc w:val="center"/>
              <w:rPr>
                <w:lang w:val="en-AU"/>
              </w:rPr>
            </w:pPr>
            <w:r w:rsidRPr="00D45CE2">
              <w:rPr>
                <w:lang w:val="en-AU"/>
              </w:rPr>
              <w:t>0.046</w:t>
            </w:r>
          </w:p>
        </w:tc>
        <w:tc>
          <w:tcPr>
            <w:tcW w:w="1170" w:type="dxa"/>
            <w:vAlign w:val="bottom"/>
          </w:tcPr>
          <w:p w:rsidR="00E02E7E" w:rsidRPr="00D45CE2" w:rsidRDefault="00E02E7E" w:rsidP="00087F16">
            <w:pPr>
              <w:pStyle w:val="Tabletext"/>
              <w:jc w:val="center"/>
              <w:rPr>
                <w:lang w:val="en-AU"/>
              </w:rPr>
            </w:pPr>
            <w:r w:rsidRPr="00D45CE2">
              <w:rPr>
                <w:lang w:val="en-AU"/>
              </w:rPr>
              <w:t>0.686</w:t>
            </w:r>
          </w:p>
        </w:tc>
      </w:tr>
    </w:tbl>
    <w:p w:rsidR="00E3456D" w:rsidRPr="00D775A7" w:rsidRDefault="00E02E7E" w:rsidP="00E02E7E">
      <w:pPr>
        <w:pStyle w:val="TableFooter"/>
        <w:rPr>
          <w:rStyle w:val="CommentReference"/>
          <w:b w:val="0"/>
          <w:sz w:val="18"/>
          <w:szCs w:val="22"/>
        </w:rPr>
      </w:pPr>
      <w:r w:rsidRPr="00D775A7">
        <w:rPr>
          <w:rStyle w:val="CommentReference"/>
          <w:b w:val="0"/>
          <w:sz w:val="18"/>
          <w:szCs w:val="22"/>
        </w:rPr>
        <w:t>Source: Table 2.77, and Table 2.78, pp131-132 of the submission</w:t>
      </w:r>
      <w:r w:rsidR="00D775A7">
        <w:rPr>
          <w:rStyle w:val="CommentReference"/>
          <w:b w:val="0"/>
          <w:sz w:val="18"/>
          <w:szCs w:val="22"/>
        </w:rPr>
        <w:t xml:space="preserve">. </w:t>
      </w:r>
    </w:p>
    <w:p w:rsidR="00E02E7E" w:rsidRPr="00D775A7" w:rsidRDefault="00E02E7E" w:rsidP="00E02E7E">
      <w:pPr>
        <w:pStyle w:val="TableFooter"/>
        <w:rPr>
          <w:rStyle w:val="CommentReference"/>
          <w:b w:val="0"/>
          <w:sz w:val="18"/>
          <w:szCs w:val="22"/>
        </w:rPr>
      </w:pPr>
      <w:r w:rsidRPr="00D775A7">
        <w:rPr>
          <w:rStyle w:val="CommentReference"/>
          <w:b w:val="0"/>
          <w:sz w:val="18"/>
          <w:szCs w:val="22"/>
        </w:rPr>
        <w:t>CDF = cumulative distribution function; CI = confidence interval; mg – milligram; RD = risk difference; SE = standard error TEAE = treatment emergent adverse event</w:t>
      </w:r>
    </w:p>
    <w:p w:rsidR="00E02E7E" w:rsidRPr="00D775A7" w:rsidRDefault="00E02E7E" w:rsidP="00E3456D">
      <w:pPr>
        <w:pStyle w:val="TableFooter"/>
        <w:tabs>
          <w:tab w:val="left" w:pos="284"/>
        </w:tabs>
        <w:ind w:left="284" w:hanging="284"/>
        <w:rPr>
          <w:rStyle w:val="CommentReference"/>
          <w:b w:val="0"/>
          <w:sz w:val="18"/>
          <w:szCs w:val="22"/>
        </w:rPr>
      </w:pPr>
      <w:r w:rsidRPr="00D775A7">
        <w:rPr>
          <w:rStyle w:val="CommentReference"/>
          <w:b w:val="0"/>
          <w:sz w:val="18"/>
          <w:szCs w:val="22"/>
        </w:rPr>
        <w:t>*</w:t>
      </w:r>
      <w:r w:rsidR="00E3456D" w:rsidRPr="00D775A7">
        <w:rPr>
          <w:rStyle w:val="CommentReference"/>
          <w:b w:val="0"/>
          <w:sz w:val="18"/>
          <w:szCs w:val="22"/>
        </w:rPr>
        <w:tab/>
      </w:r>
      <w:r w:rsidRPr="00D775A7">
        <w:rPr>
          <w:rStyle w:val="CommentReference"/>
          <w:b w:val="0"/>
          <w:sz w:val="18"/>
          <w:szCs w:val="22"/>
        </w:rPr>
        <w:t xml:space="preserve">the submission did not define the abbreviation’ ln’ – presumably natural log. Further details of the standard error calculation were not presented. </w:t>
      </w:r>
    </w:p>
    <w:p w:rsidR="004A7E61" w:rsidRPr="00D775A7" w:rsidRDefault="0065205F" w:rsidP="00C954A6">
      <w:pPr>
        <w:pStyle w:val="ListParagraph"/>
        <w:widowControl/>
        <w:numPr>
          <w:ilvl w:val="1"/>
          <w:numId w:val="2"/>
        </w:numPr>
        <w:spacing w:before="120" w:after="120"/>
        <w:ind w:left="720" w:hanging="720"/>
        <w:rPr>
          <w:rStyle w:val="CommentReference"/>
          <w:rFonts w:ascii="Calibri" w:hAnsi="Calibri"/>
          <w:b w:val="0"/>
          <w:sz w:val="24"/>
          <w:szCs w:val="22"/>
        </w:rPr>
      </w:pPr>
      <w:r w:rsidRPr="00D775A7">
        <w:t xml:space="preserve">Table 10 </w:t>
      </w:r>
      <w:r w:rsidR="004A7E61" w:rsidRPr="00D775A7">
        <w:t xml:space="preserve">presents the indirect safety comparison of </w:t>
      </w:r>
      <w:proofErr w:type="spellStart"/>
      <w:r w:rsidR="00CF3963" w:rsidRPr="00D775A7">
        <w:t>S</w:t>
      </w:r>
      <w:r w:rsidR="004A7E61" w:rsidRPr="00D775A7">
        <w:t>ublocade</w:t>
      </w:r>
      <w:proofErr w:type="spellEnd"/>
      <w:r w:rsidR="004A7E61" w:rsidRPr="00D775A7">
        <w:t xml:space="preserve"> versus </w:t>
      </w:r>
      <w:proofErr w:type="spellStart"/>
      <w:r w:rsidR="004A7E61" w:rsidRPr="00D775A7">
        <w:t>Buvidal</w:t>
      </w:r>
      <w:proofErr w:type="spellEnd"/>
      <w:r w:rsidR="004A7E61" w:rsidRPr="00D775A7">
        <w:t xml:space="preserve"> presented in the submission. </w:t>
      </w:r>
    </w:p>
    <w:p w:rsidR="004A7E61" w:rsidRPr="00D775A7" w:rsidRDefault="004A7E61" w:rsidP="004A7E61">
      <w:pPr>
        <w:pStyle w:val="BodyText"/>
        <w:jc w:val="both"/>
        <w:rPr>
          <w:rStyle w:val="CommentReference"/>
        </w:rPr>
      </w:pPr>
      <w:bookmarkStart w:id="27" w:name="_Ref534629379"/>
      <w:r w:rsidRPr="00D775A7">
        <w:rPr>
          <w:rStyle w:val="CommentReference"/>
        </w:rPr>
        <w:t xml:space="preserve">Table </w:t>
      </w:r>
      <w:r w:rsidR="00BC72D0" w:rsidRPr="00D775A7">
        <w:rPr>
          <w:rStyle w:val="CommentReference"/>
        </w:rPr>
        <w:t>10</w:t>
      </w:r>
      <w:bookmarkEnd w:id="27"/>
      <w:r w:rsidRPr="00D775A7">
        <w:rPr>
          <w:rStyle w:val="CommentReference"/>
        </w:rPr>
        <w:t xml:space="preserve">: Results of indirect comparison of </w:t>
      </w:r>
      <w:proofErr w:type="spellStart"/>
      <w:r w:rsidRPr="00D775A7">
        <w:rPr>
          <w:rStyle w:val="CommentReference"/>
        </w:rPr>
        <w:t>Sublocade</w:t>
      </w:r>
      <w:proofErr w:type="spellEnd"/>
      <w:r w:rsidRPr="00D775A7">
        <w:rPr>
          <w:rStyle w:val="CommentReference"/>
        </w:rPr>
        <w:t xml:space="preserve"> versus </w:t>
      </w:r>
      <w:proofErr w:type="spellStart"/>
      <w:r w:rsidRPr="00D775A7">
        <w:rPr>
          <w:rStyle w:val="CommentReference"/>
        </w:rPr>
        <w:t>Buvidal</w:t>
      </w:r>
      <w:proofErr w:type="spellEnd"/>
    </w:p>
    <w:tbl>
      <w:tblPr>
        <w:tblStyle w:val="Submissionstandard"/>
        <w:tblW w:w="9067" w:type="dxa"/>
        <w:tblLayout w:type="fixed"/>
        <w:tblCellMar>
          <w:left w:w="29" w:type="dxa"/>
          <w:right w:w="29" w:type="dxa"/>
        </w:tblCellMar>
        <w:tblLook w:val="04A0" w:firstRow="1" w:lastRow="0" w:firstColumn="1" w:lastColumn="0" w:noHBand="0" w:noVBand="1"/>
        <w:tblCaption w:val="Table 10: Results of indirect comparison of Sublocade versus Buvidal"/>
      </w:tblPr>
      <w:tblGrid>
        <w:gridCol w:w="3823"/>
        <w:gridCol w:w="2126"/>
        <w:gridCol w:w="1559"/>
        <w:gridCol w:w="1559"/>
      </w:tblGrid>
      <w:tr w:rsidR="004A7E61"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3823" w:type="dxa"/>
            <w:shd w:val="clear" w:color="auto" w:fill="auto"/>
          </w:tcPr>
          <w:p w:rsidR="004A7E61" w:rsidRPr="00D775A7" w:rsidRDefault="004A7E61" w:rsidP="004C6A58">
            <w:pPr>
              <w:pStyle w:val="Tabletext"/>
              <w:rPr>
                <w:lang w:val="en-AU"/>
              </w:rPr>
            </w:pPr>
            <w:r w:rsidRPr="00D775A7">
              <w:rPr>
                <w:lang w:val="en-AU"/>
              </w:rPr>
              <w:t>Outcome</w:t>
            </w:r>
          </w:p>
        </w:tc>
        <w:tc>
          <w:tcPr>
            <w:tcW w:w="2126" w:type="dxa"/>
            <w:shd w:val="clear" w:color="auto" w:fill="auto"/>
          </w:tcPr>
          <w:p w:rsidR="004A7E61" w:rsidRPr="00D775A7" w:rsidRDefault="004A7E61" w:rsidP="004C6A58">
            <w:pPr>
              <w:pStyle w:val="Tabletext"/>
              <w:jc w:val="center"/>
              <w:rPr>
                <w:lang w:val="en-AU"/>
              </w:rPr>
            </w:pPr>
            <w:r w:rsidRPr="00D775A7">
              <w:rPr>
                <w:lang w:val="en-AU"/>
              </w:rPr>
              <w:t>RD( 95% CI)</w:t>
            </w:r>
          </w:p>
        </w:tc>
        <w:tc>
          <w:tcPr>
            <w:tcW w:w="1559" w:type="dxa"/>
            <w:shd w:val="clear" w:color="auto" w:fill="auto"/>
          </w:tcPr>
          <w:p w:rsidR="004A7E61" w:rsidRPr="00D775A7" w:rsidRDefault="004A7E61" w:rsidP="004C6A58">
            <w:pPr>
              <w:pStyle w:val="Tabletext"/>
              <w:jc w:val="center"/>
              <w:rPr>
                <w:lang w:val="en-AU"/>
              </w:rPr>
            </w:pPr>
            <w:r w:rsidRPr="00D775A7">
              <w:rPr>
                <w:lang w:val="en-AU"/>
              </w:rPr>
              <w:t>SE (ln RD)*</w:t>
            </w:r>
          </w:p>
        </w:tc>
        <w:tc>
          <w:tcPr>
            <w:tcW w:w="1559" w:type="dxa"/>
            <w:shd w:val="clear" w:color="auto" w:fill="auto"/>
          </w:tcPr>
          <w:p w:rsidR="004A7E61" w:rsidRPr="00D775A7" w:rsidRDefault="004A7E61" w:rsidP="004C6A58">
            <w:pPr>
              <w:pStyle w:val="Tabletext"/>
              <w:jc w:val="center"/>
              <w:rPr>
                <w:lang w:val="en-AU"/>
              </w:rPr>
            </w:pPr>
            <w:r w:rsidRPr="00D775A7">
              <w:rPr>
                <w:lang w:val="en-AU"/>
              </w:rPr>
              <w:t>P value</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rHeight w:val="107"/>
          <w:tblHeader/>
        </w:trPr>
        <w:tc>
          <w:tcPr>
            <w:tcW w:w="9067" w:type="dxa"/>
            <w:gridSpan w:val="4"/>
            <w:shd w:val="clear" w:color="auto" w:fill="auto"/>
          </w:tcPr>
          <w:p w:rsidR="004A7E61" w:rsidRPr="00D775A7" w:rsidRDefault="004A7E61" w:rsidP="004C6A58">
            <w:pPr>
              <w:pStyle w:val="Tabletext"/>
              <w:rPr>
                <w:b w:val="0"/>
                <w:lang w:val="en-AU"/>
              </w:rPr>
            </w:pPr>
            <w:proofErr w:type="spellStart"/>
            <w:r w:rsidRPr="00D775A7">
              <w:rPr>
                <w:lang w:val="en-AU"/>
              </w:rPr>
              <w:t>Sublocade</w:t>
            </w:r>
            <w:proofErr w:type="spellEnd"/>
            <w:r w:rsidRPr="00D775A7">
              <w:rPr>
                <w:lang w:val="en-AU"/>
              </w:rPr>
              <w:t xml:space="preserve"> 300/100mg versus </w:t>
            </w:r>
            <w:proofErr w:type="spellStart"/>
            <w:r w:rsidRPr="00D775A7">
              <w:rPr>
                <w:lang w:val="en-AU"/>
              </w:rPr>
              <w:t>Buvidal</w:t>
            </w:r>
            <w:proofErr w:type="spellEnd"/>
            <w:r w:rsidRPr="00D775A7">
              <w:rPr>
                <w:lang w:val="en-AU"/>
              </w:rPr>
              <w:t xml:space="preserve"> via placebo and BUP/NAL</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823" w:type="dxa"/>
            <w:vAlign w:val="bottom"/>
          </w:tcPr>
          <w:p w:rsidR="004A7E61" w:rsidRPr="00D775A7" w:rsidRDefault="004A7E61" w:rsidP="004C6A58">
            <w:pPr>
              <w:pStyle w:val="Tabletext"/>
              <w:rPr>
                <w:lang w:val="en-AU"/>
              </w:rPr>
            </w:pPr>
            <w:r w:rsidRPr="00D775A7">
              <w:rPr>
                <w:lang w:val="en-AU"/>
              </w:rPr>
              <w:t>Any TEAEs</w:t>
            </w:r>
          </w:p>
        </w:tc>
        <w:tc>
          <w:tcPr>
            <w:tcW w:w="2126" w:type="dxa"/>
            <w:shd w:val="clear" w:color="auto" w:fill="auto"/>
            <w:vAlign w:val="bottom"/>
          </w:tcPr>
          <w:p w:rsidR="004A7E61" w:rsidRPr="00ED57B5" w:rsidRDefault="004A7E61" w:rsidP="004C6A58">
            <w:pPr>
              <w:pStyle w:val="Tabletext"/>
              <w:jc w:val="center"/>
              <w:rPr>
                <w:lang w:val="en-AU"/>
              </w:rPr>
            </w:pPr>
            <w:r w:rsidRPr="00ED57B5">
              <w:rPr>
                <w:lang w:val="en-AU"/>
              </w:rPr>
              <w:t>0.053 (-0.159, 0.265)</w:t>
            </w:r>
          </w:p>
        </w:tc>
        <w:tc>
          <w:tcPr>
            <w:tcW w:w="1559" w:type="dxa"/>
            <w:vAlign w:val="bottom"/>
          </w:tcPr>
          <w:p w:rsidR="004A7E61" w:rsidRPr="00ED57B5" w:rsidRDefault="004A7E61" w:rsidP="004C6A58">
            <w:pPr>
              <w:pStyle w:val="Tabletext"/>
              <w:jc w:val="center"/>
              <w:rPr>
                <w:lang w:val="en-AU"/>
              </w:rPr>
            </w:pPr>
            <w:r w:rsidRPr="00ED57B5">
              <w:rPr>
                <w:lang w:val="en-AU"/>
              </w:rPr>
              <w:t>0.108</w:t>
            </w:r>
          </w:p>
        </w:tc>
        <w:tc>
          <w:tcPr>
            <w:tcW w:w="1559" w:type="dxa"/>
            <w:vAlign w:val="bottom"/>
          </w:tcPr>
          <w:p w:rsidR="004A7E61" w:rsidRPr="00ED57B5" w:rsidRDefault="004A7E61" w:rsidP="004C6A58">
            <w:pPr>
              <w:pStyle w:val="Tabletext"/>
              <w:jc w:val="center"/>
              <w:rPr>
                <w:lang w:val="en-AU"/>
              </w:rPr>
            </w:pPr>
            <w:r w:rsidRPr="00ED57B5">
              <w:rPr>
                <w:lang w:val="en-AU"/>
              </w:rPr>
              <w:t>0.625</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823" w:type="dxa"/>
            <w:vAlign w:val="bottom"/>
          </w:tcPr>
          <w:p w:rsidR="004A7E61" w:rsidRPr="00D775A7" w:rsidRDefault="004A7E61" w:rsidP="004C6A58">
            <w:pPr>
              <w:pStyle w:val="Tabletext"/>
              <w:rPr>
                <w:lang w:val="en-AU"/>
              </w:rPr>
            </w:pPr>
            <w:r w:rsidRPr="00D775A7">
              <w:rPr>
                <w:lang w:val="en-AU"/>
              </w:rPr>
              <w:t>Serious TEAEs (both fatal and non-fatal)</w:t>
            </w:r>
          </w:p>
        </w:tc>
        <w:tc>
          <w:tcPr>
            <w:tcW w:w="2126" w:type="dxa"/>
            <w:shd w:val="clear" w:color="auto" w:fill="auto"/>
            <w:vAlign w:val="bottom"/>
          </w:tcPr>
          <w:p w:rsidR="004A7E61" w:rsidRPr="00ED57B5" w:rsidRDefault="004A7E61" w:rsidP="004C6A58">
            <w:pPr>
              <w:pStyle w:val="Tabletext"/>
              <w:jc w:val="center"/>
              <w:rPr>
                <w:lang w:val="en-AU"/>
              </w:rPr>
            </w:pPr>
            <w:r w:rsidRPr="00ED57B5">
              <w:rPr>
                <w:lang w:val="en-AU"/>
              </w:rPr>
              <w:t>-0.001 (-0.097, 0.095)</w:t>
            </w:r>
          </w:p>
        </w:tc>
        <w:tc>
          <w:tcPr>
            <w:tcW w:w="1559" w:type="dxa"/>
            <w:vAlign w:val="bottom"/>
          </w:tcPr>
          <w:p w:rsidR="004A7E61" w:rsidRPr="00ED57B5" w:rsidRDefault="004A7E61" w:rsidP="004C6A58">
            <w:pPr>
              <w:pStyle w:val="Tabletext"/>
              <w:jc w:val="center"/>
              <w:rPr>
                <w:lang w:val="en-AU"/>
              </w:rPr>
            </w:pPr>
            <w:r w:rsidRPr="00ED57B5">
              <w:rPr>
                <w:lang w:val="en-AU"/>
              </w:rPr>
              <w:t>0.049</w:t>
            </w:r>
          </w:p>
        </w:tc>
        <w:tc>
          <w:tcPr>
            <w:tcW w:w="1559" w:type="dxa"/>
            <w:vAlign w:val="bottom"/>
          </w:tcPr>
          <w:p w:rsidR="004A7E61" w:rsidRPr="00ED57B5" w:rsidRDefault="004A7E61" w:rsidP="004C6A58">
            <w:pPr>
              <w:pStyle w:val="Tabletext"/>
              <w:jc w:val="center"/>
              <w:rPr>
                <w:lang w:val="en-AU"/>
              </w:rPr>
            </w:pPr>
            <w:r w:rsidRPr="00ED57B5">
              <w:rPr>
                <w:lang w:val="en-AU"/>
              </w:rPr>
              <w:t>0.979</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blHeader/>
        </w:trPr>
        <w:tc>
          <w:tcPr>
            <w:tcW w:w="9067" w:type="dxa"/>
            <w:gridSpan w:val="4"/>
            <w:vAlign w:val="bottom"/>
          </w:tcPr>
          <w:p w:rsidR="004A7E61" w:rsidRPr="00ED57B5" w:rsidRDefault="004A7E61" w:rsidP="004C6A58">
            <w:pPr>
              <w:pStyle w:val="Tabletext"/>
              <w:rPr>
                <w:b w:val="0"/>
                <w:lang w:val="en-AU"/>
              </w:rPr>
            </w:pPr>
            <w:proofErr w:type="spellStart"/>
            <w:r w:rsidRPr="00ED57B5">
              <w:rPr>
                <w:lang w:val="en-AU"/>
              </w:rPr>
              <w:t>Sublocade</w:t>
            </w:r>
            <w:proofErr w:type="spellEnd"/>
            <w:r w:rsidRPr="00ED57B5">
              <w:rPr>
                <w:lang w:val="en-AU"/>
              </w:rPr>
              <w:t xml:space="preserve"> 300/300mg versus </w:t>
            </w:r>
            <w:proofErr w:type="spellStart"/>
            <w:r w:rsidRPr="00ED57B5">
              <w:rPr>
                <w:lang w:val="en-AU"/>
              </w:rPr>
              <w:t>Buvidal</w:t>
            </w:r>
            <w:proofErr w:type="spellEnd"/>
            <w:r w:rsidRPr="00ED57B5">
              <w:rPr>
                <w:lang w:val="en-AU"/>
              </w:rPr>
              <w:t xml:space="preserve"> via placebo and BUP/NAL</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rHeight w:val="121"/>
          <w:tblHeader/>
        </w:trPr>
        <w:tc>
          <w:tcPr>
            <w:tcW w:w="3823" w:type="dxa"/>
            <w:vAlign w:val="bottom"/>
          </w:tcPr>
          <w:p w:rsidR="004A7E61" w:rsidRPr="00D775A7" w:rsidRDefault="004A7E61" w:rsidP="004C6A58">
            <w:pPr>
              <w:pStyle w:val="Tabletext"/>
              <w:rPr>
                <w:lang w:val="en-AU"/>
              </w:rPr>
            </w:pPr>
            <w:r w:rsidRPr="00D775A7">
              <w:rPr>
                <w:lang w:val="en-AU"/>
              </w:rPr>
              <w:t>Any TEAEs</w:t>
            </w:r>
          </w:p>
        </w:tc>
        <w:tc>
          <w:tcPr>
            <w:tcW w:w="2126" w:type="dxa"/>
            <w:shd w:val="clear" w:color="auto" w:fill="auto"/>
            <w:vAlign w:val="bottom"/>
          </w:tcPr>
          <w:p w:rsidR="004A7E61" w:rsidRPr="00ED57B5" w:rsidRDefault="004A7E61" w:rsidP="004C6A58">
            <w:pPr>
              <w:pStyle w:val="Tabletext"/>
              <w:jc w:val="center"/>
              <w:rPr>
                <w:lang w:val="en-AU"/>
              </w:rPr>
            </w:pPr>
            <w:r w:rsidRPr="00ED57B5">
              <w:rPr>
                <w:lang w:val="en-AU"/>
              </w:rPr>
              <w:t>-0.044 (-0.258, 0.170)</w:t>
            </w:r>
          </w:p>
        </w:tc>
        <w:tc>
          <w:tcPr>
            <w:tcW w:w="1559" w:type="dxa"/>
            <w:vAlign w:val="bottom"/>
          </w:tcPr>
          <w:p w:rsidR="004A7E61" w:rsidRPr="00ED57B5" w:rsidRDefault="004A7E61" w:rsidP="004C6A58">
            <w:pPr>
              <w:pStyle w:val="Tabletext"/>
              <w:jc w:val="center"/>
              <w:rPr>
                <w:lang w:val="en-AU"/>
              </w:rPr>
            </w:pPr>
            <w:r w:rsidRPr="00ED57B5">
              <w:rPr>
                <w:lang w:val="en-AU"/>
              </w:rPr>
              <w:t>0.109</w:t>
            </w:r>
          </w:p>
        </w:tc>
        <w:tc>
          <w:tcPr>
            <w:tcW w:w="1559" w:type="dxa"/>
            <w:vAlign w:val="bottom"/>
          </w:tcPr>
          <w:p w:rsidR="004A7E61" w:rsidRPr="00ED57B5" w:rsidRDefault="004A7E61" w:rsidP="004C6A58">
            <w:pPr>
              <w:pStyle w:val="Tabletext"/>
              <w:jc w:val="center"/>
              <w:rPr>
                <w:lang w:val="en-AU"/>
              </w:rPr>
            </w:pPr>
            <w:r w:rsidRPr="00ED57B5">
              <w:rPr>
                <w:lang w:val="en-AU"/>
              </w:rPr>
              <w:t>0.688</w:t>
            </w:r>
          </w:p>
        </w:tc>
      </w:tr>
      <w:tr w:rsidR="004A7E61" w:rsidRPr="00D775A7" w:rsidTr="00C23DF8">
        <w:trPr>
          <w:cnfStyle w:val="100000000000" w:firstRow="1" w:lastRow="0" w:firstColumn="0" w:lastColumn="0" w:oddVBand="0" w:evenVBand="0" w:oddHBand="0" w:evenHBand="0" w:firstRowFirstColumn="0" w:firstRowLastColumn="0" w:lastRowFirstColumn="0" w:lastRowLastColumn="0"/>
          <w:tblHeader/>
        </w:trPr>
        <w:tc>
          <w:tcPr>
            <w:tcW w:w="3823" w:type="dxa"/>
            <w:vAlign w:val="bottom"/>
          </w:tcPr>
          <w:p w:rsidR="004A7E61" w:rsidRPr="00D775A7" w:rsidRDefault="004A7E61" w:rsidP="004C6A58">
            <w:pPr>
              <w:pStyle w:val="Tabletext"/>
              <w:rPr>
                <w:lang w:val="en-AU"/>
              </w:rPr>
            </w:pPr>
            <w:r w:rsidRPr="00D775A7">
              <w:rPr>
                <w:lang w:val="en-AU"/>
              </w:rPr>
              <w:t>Serious TEAEs (both fatal and non-fatal)</w:t>
            </w:r>
          </w:p>
        </w:tc>
        <w:tc>
          <w:tcPr>
            <w:tcW w:w="2126" w:type="dxa"/>
            <w:shd w:val="clear" w:color="auto" w:fill="auto"/>
            <w:vAlign w:val="bottom"/>
          </w:tcPr>
          <w:p w:rsidR="004A7E61" w:rsidRPr="00ED57B5" w:rsidRDefault="004A7E61" w:rsidP="004C6A58">
            <w:pPr>
              <w:pStyle w:val="Tabletext"/>
              <w:jc w:val="center"/>
              <w:rPr>
                <w:lang w:val="en-AU"/>
              </w:rPr>
            </w:pPr>
            <w:r w:rsidRPr="00ED57B5">
              <w:rPr>
                <w:lang w:val="en-AU"/>
              </w:rPr>
              <w:t>0.014 (-0.084, 0.111)</w:t>
            </w:r>
          </w:p>
        </w:tc>
        <w:tc>
          <w:tcPr>
            <w:tcW w:w="1559" w:type="dxa"/>
            <w:vAlign w:val="bottom"/>
          </w:tcPr>
          <w:p w:rsidR="004A7E61" w:rsidRPr="00ED57B5" w:rsidRDefault="004A7E61" w:rsidP="004C6A58">
            <w:pPr>
              <w:pStyle w:val="Tabletext"/>
              <w:jc w:val="center"/>
              <w:rPr>
                <w:lang w:val="en-AU"/>
              </w:rPr>
            </w:pPr>
            <w:r w:rsidRPr="00ED57B5">
              <w:rPr>
                <w:lang w:val="en-AU"/>
              </w:rPr>
              <w:t>0.050</w:t>
            </w:r>
          </w:p>
        </w:tc>
        <w:tc>
          <w:tcPr>
            <w:tcW w:w="1559" w:type="dxa"/>
            <w:vAlign w:val="bottom"/>
          </w:tcPr>
          <w:p w:rsidR="004A7E61" w:rsidRPr="00ED57B5" w:rsidRDefault="004A7E61" w:rsidP="004C6A58">
            <w:pPr>
              <w:pStyle w:val="Tabletext"/>
              <w:jc w:val="center"/>
              <w:rPr>
                <w:lang w:val="en-AU"/>
              </w:rPr>
            </w:pPr>
            <w:r w:rsidRPr="00ED57B5">
              <w:rPr>
                <w:lang w:val="en-AU"/>
              </w:rPr>
              <w:t>0.781</w:t>
            </w:r>
          </w:p>
        </w:tc>
      </w:tr>
    </w:tbl>
    <w:p w:rsidR="004A7E61" w:rsidRPr="00D775A7" w:rsidRDefault="004A7E61" w:rsidP="004A7E61">
      <w:pPr>
        <w:pStyle w:val="TableFooter"/>
        <w:rPr>
          <w:rStyle w:val="CommentReference"/>
          <w:b w:val="0"/>
          <w:sz w:val="18"/>
          <w:szCs w:val="22"/>
        </w:rPr>
      </w:pPr>
      <w:r w:rsidRPr="00D775A7">
        <w:rPr>
          <w:rStyle w:val="CommentReference"/>
          <w:b w:val="0"/>
          <w:sz w:val="18"/>
          <w:szCs w:val="22"/>
        </w:rPr>
        <w:t>Source: Table 2.79, and Table 2.80, pp132-133 of the submission</w:t>
      </w:r>
      <w:r w:rsidR="00D775A7">
        <w:rPr>
          <w:rStyle w:val="CommentReference"/>
          <w:b w:val="0"/>
          <w:sz w:val="18"/>
          <w:szCs w:val="22"/>
        </w:rPr>
        <w:t xml:space="preserve">. </w:t>
      </w:r>
    </w:p>
    <w:p w:rsidR="004A7E61" w:rsidRPr="00D775A7" w:rsidRDefault="004A7E61" w:rsidP="004A7E61">
      <w:pPr>
        <w:pStyle w:val="TableFooter"/>
        <w:rPr>
          <w:rStyle w:val="CommentReference"/>
          <w:b w:val="0"/>
          <w:sz w:val="18"/>
          <w:szCs w:val="22"/>
        </w:rPr>
      </w:pPr>
      <w:r w:rsidRPr="00D775A7">
        <w:rPr>
          <w:rStyle w:val="CommentReference"/>
          <w:b w:val="0"/>
          <w:sz w:val="18"/>
          <w:szCs w:val="22"/>
        </w:rPr>
        <w:t>CDF = cumulative distribution function; CI = confidence interval; mg = milligram; RD = risk difference; SE = standard error TEAE = treatment emergent adverse event</w:t>
      </w:r>
    </w:p>
    <w:p w:rsidR="00BA34A8" w:rsidRDefault="004A7E61" w:rsidP="00BA34A8">
      <w:pPr>
        <w:pStyle w:val="TableFooter"/>
        <w:ind w:left="284" w:hanging="284"/>
        <w:rPr>
          <w:rStyle w:val="CommentReference"/>
          <w:b w:val="0"/>
          <w:sz w:val="18"/>
          <w:szCs w:val="22"/>
        </w:rPr>
      </w:pPr>
      <w:r w:rsidRPr="00D775A7">
        <w:rPr>
          <w:rStyle w:val="CommentReference"/>
          <w:b w:val="0"/>
          <w:sz w:val="18"/>
          <w:szCs w:val="22"/>
        </w:rPr>
        <w:t>*</w:t>
      </w:r>
      <w:r w:rsidRPr="00D775A7">
        <w:rPr>
          <w:rStyle w:val="CommentReference"/>
          <w:b w:val="0"/>
          <w:sz w:val="18"/>
          <w:szCs w:val="22"/>
        </w:rPr>
        <w:tab/>
        <w:t xml:space="preserve">the submission did not define the abbreviation’ ln’ – presumably natural log. Further details of the standard error calculation were not presented. </w:t>
      </w:r>
      <w:bookmarkStart w:id="28" w:name="_Toc535915913"/>
    </w:p>
    <w:p w:rsidR="00BA34A8" w:rsidRDefault="00BA34A8" w:rsidP="00BA34A8">
      <w:pPr>
        <w:pStyle w:val="TableFooter"/>
        <w:ind w:left="284" w:hanging="284"/>
      </w:pPr>
    </w:p>
    <w:p w:rsidR="00E02E7E" w:rsidRPr="00D775A7" w:rsidRDefault="00E02E7E" w:rsidP="00C954A6">
      <w:pPr>
        <w:pStyle w:val="Heading2"/>
        <w:spacing w:before="120" w:after="120"/>
      </w:pPr>
      <w:r w:rsidRPr="00D775A7">
        <w:t>Clinical claim</w:t>
      </w:r>
      <w:bookmarkEnd w:id="28"/>
    </w:p>
    <w:p w:rsidR="00E02E7E"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described </w:t>
      </w:r>
      <w:proofErr w:type="spellStart"/>
      <w:r w:rsidRPr="00D775A7">
        <w:rPr>
          <w:color w:val="000000" w:themeColor="text1"/>
        </w:rPr>
        <w:t>Sublocade</w:t>
      </w:r>
      <w:proofErr w:type="spellEnd"/>
      <w:r w:rsidRPr="00D775A7">
        <w:rPr>
          <w:color w:val="000000" w:themeColor="text1"/>
        </w:rPr>
        <w:t xml:space="preserve"> as non-inferior in efficacy</w:t>
      </w:r>
      <w:r w:rsidR="003716EC" w:rsidRPr="00D775A7">
        <w:rPr>
          <w:color w:val="000000" w:themeColor="text1"/>
        </w:rPr>
        <w:t xml:space="preserve"> compared to BUP/NAL SL film,</w:t>
      </w:r>
      <w:r w:rsidRPr="00D775A7">
        <w:rPr>
          <w:color w:val="000000" w:themeColor="text1"/>
        </w:rPr>
        <w:t xml:space="preserve"> and</w:t>
      </w:r>
      <w:r w:rsidR="003716EC" w:rsidRPr="00D775A7">
        <w:rPr>
          <w:color w:val="000000" w:themeColor="text1"/>
        </w:rPr>
        <w:t xml:space="preserve"> non-inferior in</w:t>
      </w:r>
      <w:r w:rsidRPr="00D775A7">
        <w:rPr>
          <w:color w:val="000000" w:themeColor="text1"/>
        </w:rPr>
        <w:t xml:space="preserve"> safety</w:t>
      </w:r>
      <w:r w:rsidR="003716EC" w:rsidRPr="00D775A7">
        <w:rPr>
          <w:color w:val="000000" w:themeColor="text1"/>
        </w:rPr>
        <w:t xml:space="preserve"> compared to BUP/NAL SL film</w:t>
      </w:r>
      <w:r w:rsidRPr="00D775A7">
        <w:rPr>
          <w:color w:val="000000" w:themeColor="text1"/>
        </w:rPr>
        <w:t xml:space="preserve"> in terms of treatment emergent adverse events</w:t>
      </w:r>
      <w:r w:rsidR="003716EC" w:rsidRPr="00D775A7">
        <w:rPr>
          <w:color w:val="000000" w:themeColor="text1"/>
        </w:rPr>
        <w:t xml:space="preserve">. The submission further described </w:t>
      </w:r>
      <w:proofErr w:type="spellStart"/>
      <w:r w:rsidR="003716EC" w:rsidRPr="00D775A7">
        <w:rPr>
          <w:color w:val="000000" w:themeColor="text1"/>
        </w:rPr>
        <w:t>Sublocade</w:t>
      </w:r>
      <w:proofErr w:type="spellEnd"/>
      <w:r w:rsidR="003716EC" w:rsidRPr="00D775A7">
        <w:rPr>
          <w:color w:val="000000" w:themeColor="text1"/>
        </w:rPr>
        <w:t xml:space="preserve"> as </w:t>
      </w:r>
      <w:r w:rsidRPr="00D775A7">
        <w:rPr>
          <w:color w:val="000000" w:themeColor="text1"/>
        </w:rPr>
        <w:t>supe</w:t>
      </w:r>
      <w:r w:rsidR="003716EC" w:rsidRPr="00D775A7">
        <w:rPr>
          <w:color w:val="000000" w:themeColor="text1"/>
        </w:rPr>
        <w:t xml:space="preserve">rior to BUP/NAL SL film in terms of harm reduction </w:t>
      </w:r>
      <w:r w:rsidR="003716EC" w:rsidRPr="00D775A7">
        <w:rPr>
          <w:rFonts w:cs="Calibri"/>
          <w:snapToGrid/>
          <w:color w:val="000000" w:themeColor="text1"/>
          <w:szCs w:val="24"/>
          <w:lang w:eastAsia="en-AU"/>
        </w:rPr>
        <w:t xml:space="preserve">based on an assumption of 0% misuse of </w:t>
      </w:r>
      <w:proofErr w:type="spellStart"/>
      <w:r w:rsidR="003716EC" w:rsidRPr="00D775A7">
        <w:rPr>
          <w:rFonts w:cs="Calibri"/>
          <w:snapToGrid/>
          <w:color w:val="000000" w:themeColor="text1"/>
          <w:szCs w:val="24"/>
          <w:lang w:eastAsia="en-AU"/>
        </w:rPr>
        <w:t>Sublocade</w:t>
      </w:r>
      <w:proofErr w:type="spellEnd"/>
      <w:r w:rsidR="003716EC" w:rsidRPr="00D775A7">
        <w:rPr>
          <w:rFonts w:cs="Calibri"/>
          <w:snapToGrid/>
          <w:color w:val="000000" w:themeColor="text1"/>
          <w:szCs w:val="24"/>
          <w:lang w:eastAsia="en-AU"/>
        </w:rPr>
        <w:t xml:space="preserve"> and estimates of diversion, and injection of diverted doses of BUP/NAL SL film from </w:t>
      </w:r>
      <w:proofErr w:type="spellStart"/>
      <w:r w:rsidR="003716EC" w:rsidRPr="00D775A7">
        <w:rPr>
          <w:rFonts w:cs="Calibri"/>
          <w:snapToGrid/>
          <w:color w:val="000000" w:themeColor="text1"/>
          <w:szCs w:val="24"/>
          <w:lang w:eastAsia="en-AU"/>
        </w:rPr>
        <w:t>Larance</w:t>
      </w:r>
      <w:proofErr w:type="spellEnd"/>
      <w:r w:rsidR="003716EC" w:rsidRPr="00D775A7">
        <w:rPr>
          <w:rFonts w:cs="Calibri"/>
          <w:snapToGrid/>
          <w:color w:val="000000" w:themeColor="text1"/>
          <w:szCs w:val="24"/>
          <w:lang w:eastAsia="en-AU"/>
        </w:rPr>
        <w:t xml:space="preserve"> (2016)</w:t>
      </w:r>
      <w:r w:rsidRPr="00D775A7">
        <w:rPr>
          <w:color w:val="000000" w:themeColor="text1"/>
        </w:rPr>
        <w:t>.</w:t>
      </w:r>
    </w:p>
    <w:p w:rsidR="007C7BAA" w:rsidRPr="00D775A7" w:rsidRDefault="007C7BAA" w:rsidP="00C954A6">
      <w:pPr>
        <w:pStyle w:val="ListParagraph"/>
        <w:widowControl/>
        <w:numPr>
          <w:ilvl w:val="1"/>
          <w:numId w:val="2"/>
        </w:numPr>
        <w:spacing w:before="120" w:after="120"/>
        <w:ind w:left="720" w:hanging="720"/>
        <w:rPr>
          <w:color w:val="000000" w:themeColor="text1"/>
        </w:rPr>
      </w:pPr>
      <w:r w:rsidRPr="00D775A7">
        <w:rPr>
          <w:color w:val="000000" w:themeColor="text1"/>
        </w:rPr>
        <w:t>The outcomes on which the submission based the claim of non-inferior efficacy were</w:t>
      </w:r>
      <w:r w:rsidR="00CF3963" w:rsidRPr="00D775A7">
        <w:rPr>
          <w:color w:val="000000" w:themeColor="text1"/>
        </w:rPr>
        <w:t>:</w:t>
      </w:r>
      <w:r w:rsidRPr="00D775A7">
        <w:rPr>
          <w:color w:val="000000" w:themeColor="text1"/>
        </w:rPr>
        <w:t xml:space="preserve"> </w:t>
      </w:r>
    </w:p>
    <w:p w:rsidR="007C7BAA" w:rsidRPr="00D775A7" w:rsidRDefault="007C7BAA" w:rsidP="00C954A6">
      <w:pPr>
        <w:pStyle w:val="ListParagraph"/>
        <w:numPr>
          <w:ilvl w:val="0"/>
          <w:numId w:val="1"/>
        </w:numPr>
        <w:spacing w:before="120" w:after="120"/>
        <w:ind w:left="1008" w:hanging="288"/>
      </w:pPr>
      <w:r w:rsidRPr="00D775A7">
        <w:t>cumulative distribution function (CDF) of the percentage of urine samples negative for opioids combined with self-reports negative for illicit opioid use;</w:t>
      </w:r>
    </w:p>
    <w:p w:rsidR="007C7BAA" w:rsidRPr="00D775A7" w:rsidRDefault="007C7BAA" w:rsidP="00C954A6">
      <w:pPr>
        <w:pStyle w:val="ListParagraph"/>
        <w:numPr>
          <w:ilvl w:val="0"/>
          <w:numId w:val="1"/>
        </w:numPr>
        <w:spacing w:before="120" w:after="120"/>
        <w:ind w:left="1008" w:hanging="288"/>
      </w:pPr>
      <w:r w:rsidRPr="00D775A7">
        <w:t>proportion of urine samples negative;</w:t>
      </w:r>
      <w:r w:rsidR="00CF3963" w:rsidRPr="00D775A7">
        <w:t xml:space="preserve"> and</w:t>
      </w:r>
    </w:p>
    <w:p w:rsidR="007C7BAA" w:rsidRPr="00D775A7" w:rsidRDefault="007C7BAA" w:rsidP="00C954A6">
      <w:pPr>
        <w:pStyle w:val="ListParagraph"/>
        <w:numPr>
          <w:ilvl w:val="0"/>
          <w:numId w:val="1"/>
        </w:numPr>
        <w:spacing w:before="120" w:after="120"/>
        <w:ind w:left="1008" w:hanging="288"/>
      </w:pPr>
      <w:proofErr w:type="gramStart"/>
      <w:r w:rsidRPr="00D775A7">
        <w:t>proportion</w:t>
      </w:r>
      <w:proofErr w:type="gramEnd"/>
      <w:r w:rsidRPr="00D775A7">
        <w:t xml:space="preserve"> of completers at week 24</w:t>
      </w:r>
      <w:r w:rsidR="00CF3963" w:rsidRPr="00D775A7">
        <w:t>.</w:t>
      </w:r>
    </w:p>
    <w:p w:rsidR="00F85144"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level of evidence presented to support the claim of non-inferior efficacy was </w:t>
      </w:r>
      <w:r w:rsidR="004254E2" w:rsidRPr="00D775A7">
        <w:rPr>
          <w:color w:val="000000" w:themeColor="text1"/>
        </w:rPr>
        <w:t xml:space="preserve">likely </w:t>
      </w:r>
      <w:r w:rsidRPr="00D775A7">
        <w:rPr>
          <w:color w:val="000000" w:themeColor="text1"/>
        </w:rPr>
        <w:t xml:space="preserve">insufficient to support the submission’s </w:t>
      </w:r>
      <w:r w:rsidR="00F215DE" w:rsidRPr="00D775A7">
        <w:rPr>
          <w:color w:val="000000" w:themeColor="text1"/>
        </w:rPr>
        <w:t xml:space="preserve">claim, as </w:t>
      </w:r>
      <w:r w:rsidR="00F215DE" w:rsidRPr="00466416">
        <w:rPr>
          <w:color w:val="000000" w:themeColor="text1"/>
        </w:rPr>
        <w:t>outlined in paragraph 6.1</w:t>
      </w:r>
      <w:r w:rsidR="00466416">
        <w:rPr>
          <w:color w:val="000000" w:themeColor="text1"/>
        </w:rPr>
        <w:t>7</w:t>
      </w:r>
      <w:r w:rsidR="00F215DE" w:rsidRPr="00466416">
        <w:rPr>
          <w:color w:val="000000" w:themeColor="text1"/>
        </w:rPr>
        <w:t xml:space="preserve">. </w:t>
      </w:r>
      <w:r w:rsidR="00F85144" w:rsidRPr="00466416">
        <w:rPr>
          <w:color w:val="000000" w:themeColor="text1"/>
        </w:rPr>
        <w:t>The ESC</w:t>
      </w:r>
      <w:r w:rsidR="00F85144" w:rsidRPr="00D775A7">
        <w:rPr>
          <w:color w:val="000000" w:themeColor="text1"/>
        </w:rPr>
        <w:t xml:space="preserve"> considered that the </w:t>
      </w:r>
      <w:r w:rsidR="00143330" w:rsidRPr="00D775A7">
        <w:rPr>
          <w:color w:val="000000" w:themeColor="text1"/>
        </w:rPr>
        <w:t>substantive limitations</w:t>
      </w:r>
      <w:r w:rsidR="00F85144" w:rsidRPr="00D775A7">
        <w:rPr>
          <w:color w:val="000000" w:themeColor="text1"/>
        </w:rPr>
        <w:t xml:space="preserve"> in the indirect comparison made it challenging to accept the non-inferiority claim, however on balance considered that this was likely to be reasonable.</w:t>
      </w:r>
      <w:r w:rsidR="00F85144" w:rsidRPr="00D775A7">
        <w:rPr>
          <w:i/>
          <w:color w:val="000000" w:themeColor="text1"/>
        </w:rPr>
        <w:t xml:space="preserve"> </w:t>
      </w:r>
    </w:p>
    <w:p w:rsidR="00E02E7E"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lastRenderedPageBreak/>
        <w:t xml:space="preserve">The submission’s claim of non-inferior safety had the same evidentiary problems as the efficacy claim. However, non-inferior safety in terms of treatment emergent adverse </w:t>
      </w:r>
      <w:r w:rsidR="009763A0" w:rsidRPr="00D775A7">
        <w:rPr>
          <w:color w:val="000000" w:themeColor="text1"/>
        </w:rPr>
        <w:t>events</w:t>
      </w:r>
      <w:r w:rsidRPr="00D775A7">
        <w:rPr>
          <w:color w:val="000000" w:themeColor="text1"/>
        </w:rPr>
        <w:t xml:space="preserve"> was generally supported by the trial evidence and indirect comparison with the exception of injection site reactions.</w:t>
      </w:r>
      <w:r w:rsidR="00F85144" w:rsidRPr="00D775A7">
        <w:rPr>
          <w:color w:val="000000" w:themeColor="text1"/>
        </w:rPr>
        <w:t xml:space="preserve"> The ESC considered that the claim of non-inferior safety was reasonable, noting that the nature of the differing formulations means that injection site reactions will be greater for </w:t>
      </w:r>
      <w:proofErr w:type="spellStart"/>
      <w:r w:rsidR="00F85144" w:rsidRPr="00D775A7">
        <w:rPr>
          <w:color w:val="000000" w:themeColor="text1"/>
        </w:rPr>
        <w:t>Sublocade</w:t>
      </w:r>
      <w:proofErr w:type="spellEnd"/>
      <w:r w:rsidR="00F85144" w:rsidRPr="00D775A7">
        <w:rPr>
          <w:color w:val="000000" w:themeColor="text1"/>
        </w:rPr>
        <w:t>.</w:t>
      </w:r>
      <w:r w:rsidR="00F85144" w:rsidRPr="00D775A7">
        <w:rPr>
          <w:i/>
          <w:color w:val="000000" w:themeColor="text1"/>
        </w:rPr>
        <w:t xml:space="preserve"> </w:t>
      </w:r>
    </w:p>
    <w:p w:rsidR="00E02E7E" w:rsidRPr="00D775A7" w:rsidRDefault="00C16F5F" w:rsidP="00C954A6">
      <w:pPr>
        <w:pStyle w:val="ListParagraph"/>
        <w:widowControl/>
        <w:numPr>
          <w:ilvl w:val="1"/>
          <w:numId w:val="2"/>
        </w:numPr>
        <w:spacing w:before="120" w:after="120"/>
        <w:ind w:left="720" w:hanging="720"/>
        <w:rPr>
          <w:color w:val="000000" w:themeColor="text1"/>
        </w:rPr>
      </w:pPr>
      <w:r w:rsidRPr="00D775A7">
        <w:t>Whilst it was conceivable that benefits in harm reduction</w:t>
      </w:r>
      <w:r w:rsidR="0035686A" w:rsidRPr="00D775A7">
        <w:t xml:space="preserve"> in</w:t>
      </w:r>
      <w:r w:rsidRPr="00D775A7">
        <w:t xml:space="preserve"> terms of reduced diversion may be somewhat realised in clinical practice, the size of these benefits </w:t>
      </w:r>
      <w:r w:rsidR="00143330" w:rsidRPr="00D775A7">
        <w:t>is</w:t>
      </w:r>
      <w:r w:rsidRPr="00D775A7">
        <w:t xml:space="preserve"> unknown, and thus some more exploration around this is required before a benefit is ascribed to prolonged release buprenorphine. </w:t>
      </w:r>
      <w:r w:rsidR="00E02E7E" w:rsidRPr="00D775A7">
        <w:rPr>
          <w:color w:val="000000" w:themeColor="text1"/>
        </w:rPr>
        <w:t>Several issues were identified with the submission’s claim of superior safety in terms of harm reduction, as follows:</w:t>
      </w:r>
    </w:p>
    <w:p w:rsidR="00E02E7E" w:rsidRPr="00D775A7" w:rsidRDefault="00E02E7E" w:rsidP="00C954A6">
      <w:pPr>
        <w:pStyle w:val="ListParagraph"/>
        <w:widowControl/>
        <w:numPr>
          <w:ilvl w:val="0"/>
          <w:numId w:val="10"/>
        </w:numPr>
        <w:spacing w:before="120" w:after="120"/>
        <w:ind w:left="993" w:hanging="284"/>
        <w:rPr>
          <w:color w:val="000000" w:themeColor="text1"/>
        </w:rPr>
      </w:pPr>
      <w:r w:rsidRPr="00D775A7">
        <w:rPr>
          <w:color w:val="000000" w:themeColor="text1"/>
        </w:rPr>
        <w:t>The harm reduction superiority claim was predicated on the acceptance of non-inferior efficacy and adverse events, which may not be accepted.</w:t>
      </w:r>
    </w:p>
    <w:p w:rsidR="00E02E7E" w:rsidRPr="00D775A7" w:rsidRDefault="00E02E7E" w:rsidP="00C954A6">
      <w:pPr>
        <w:pStyle w:val="ListParagraph"/>
        <w:widowControl/>
        <w:numPr>
          <w:ilvl w:val="0"/>
          <w:numId w:val="10"/>
        </w:numPr>
        <w:spacing w:before="120" w:after="120"/>
        <w:ind w:left="993" w:hanging="284"/>
        <w:rPr>
          <w:color w:val="000000" w:themeColor="text1"/>
        </w:rPr>
      </w:pPr>
      <w:r w:rsidRPr="00D775A7">
        <w:rPr>
          <w:color w:val="000000" w:themeColor="text1"/>
        </w:rPr>
        <w:t xml:space="preserve">While </w:t>
      </w:r>
      <w:proofErr w:type="spellStart"/>
      <w:r w:rsidRPr="00D775A7">
        <w:rPr>
          <w:color w:val="000000" w:themeColor="text1"/>
        </w:rPr>
        <w:t>Larance</w:t>
      </w:r>
      <w:proofErr w:type="spellEnd"/>
      <w:r w:rsidRPr="00D775A7">
        <w:rPr>
          <w:color w:val="000000" w:themeColor="text1"/>
        </w:rPr>
        <w:t xml:space="preserve"> (2016) indicates a small but existent proportion of patients </w:t>
      </w:r>
      <w:r w:rsidR="009B5B2A" w:rsidRPr="00D775A7">
        <w:rPr>
          <w:color w:val="000000" w:themeColor="text1"/>
        </w:rPr>
        <w:t xml:space="preserve">injecting </w:t>
      </w:r>
      <w:r w:rsidRPr="00D775A7">
        <w:rPr>
          <w:color w:val="000000" w:themeColor="text1"/>
        </w:rPr>
        <w:t xml:space="preserve">BUP/NAL SL film (in 2012 and 2013), the submission makes several assumptions regarding diversion in the Australian treatment landscape should </w:t>
      </w:r>
      <w:proofErr w:type="spellStart"/>
      <w:r w:rsidRPr="00D775A7">
        <w:rPr>
          <w:color w:val="000000" w:themeColor="text1"/>
        </w:rPr>
        <w:t>Sublocade</w:t>
      </w:r>
      <w:proofErr w:type="spellEnd"/>
      <w:r w:rsidRPr="00D775A7">
        <w:rPr>
          <w:color w:val="000000" w:themeColor="text1"/>
        </w:rPr>
        <w:t xml:space="preserve"> be listed. Firstly, as indicated by the FDA boxed warning against intravascular injection, and the consistent concern for tampering with the depot in the </w:t>
      </w:r>
      <w:proofErr w:type="spellStart"/>
      <w:r w:rsidRPr="00D775A7">
        <w:rPr>
          <w:color w:val="000000" w:themeColor="text1"/>
        </w:rPr>
        <w:t>Sublocade</w:t>
      </w:r>
      <w:proofErr w:type="spellEnd"/>
      <w:r w:rsidRPr="00D775A7">
        <w:rPr>
          <w:color w:val="000000" w:themeColor="text1"/>
        </w:rPr>
        <w:t xml:space="preserve"> trial program, there remains a risk (though no instances have been recorded) of attempts to tamper with and remove the depot. It would be expected that should </w:t>
      </w:r>
      <w:proofErr w:type="spellStart"/>
      <w:r w:rsidRPr="00D775A7">
        <w:rPr>
          <w:color w:val="000000" w:themeColor="text1"/>
        </w:rPr>
        <w:t>Sublocade</w:t>
      </w:r>
      <w:proofErr w:type="spellEnd"/>
      <w:r w:rsidRPr="00D775A7">
        <w:rPr>
          <w:color w:val="000000" w:themeColor="text1"/>
        </w:rPr>
        <w:t xml:space="preserve"> </w:t>
      </w:r>
      <w:r w:rsidR="009763A0" w:rsidRPr="00D775A7">
        <w:rPr>
          <w:color w:val="000000" w:themeColor="text1"/>
        </w:rPr>
        <w:t>be</w:t>
      </w:r>
      <w:r w:rsidRPr="00D775A7">
        <w:rPr>
          <w:color w:val="000000" w:themeColor="text1"/>
        </w:rPr>
        <w:t xml:space="preserve"> made available to more patients, </w:t>
      </w:r>
      <w:r w:rsidR="00143330" w:rsidRPr="00D775A7">
        <w:rPr>
          <w:color w:val="000000" w:themeColor="text1"/>
        </w:rPr>
        <w:t>such diversion could</w:t>
      </w:r>
      <w:r w:rsidRPr="00D775A7">
        <w:rPr>
          <w:color w:val="000000" w:themeColor="text1"/>
        </w:rPr>
        <w:t xml:space="preserve"> </w:t>
      </w:r>
      <w:r w:rsidR="00E3456D" w:rsidRPr="00D775A7">
        <w:rPr>
          <w:color w:val="000000" w:themeColor="text1"/>
        </w:rPr>
        <w:t>occu</w:t>
      </w:r>
      <w:r w:rsidRPr="00D775A7">
        <w:rPr>
          <w:color w:val="000000" w:themeColor="text1"/>
        </w:rPr>
        <w:t xml:space="preserve">r. Secondly, the potential harms associated with misuse of </w:t>
      </w:r>
      <w:proofErr w:type="spellStart"/>
      <w:r w:rsidRPr="00D775A7">
        <w:rPr>
          <w:color w:val="000000" w:themeColor="text1"/>
        </w:rPr>
        <w:t>Sublocade</w:t>
      </w:r>
      <w:proofErr w:type="spellEnd"/>
      <w:r w:rsidRPr="00D775A7">
        <w:rPr>
          <w:color w:val="000000" w:themeColor="text1"/>
        </w:rPr>
        <w:t xml:space="preserve"> are serious - injury or death, which means that even a small proportion of patients misu</w:t>
      </w:r>
      <w:r w:rsidR="00403228" w:rsidRPr="00D775A7">
        <w:rPr>
          <w:color w:val="000000" w:themeColor="text1"/>
        </w:rPr>
        <w:t xml:space="preserve">sing </w:t>
      </w:r>
      <w:proofErr w:type="spellStart"/>
      <w:r w:rsidR="00403228" w:rsidRPr="00D775A7">
        <w:rPr>
          <w:color w:val="000000" w:themeColor="text1"/>
        </w:rPr>
        <w:t>Sublocade</w:t>
      </w:r>
      <w:proofErr w:type="spellEnd"/>
      <w:r w:rsidR="00403228" w:rsidRPr="00D775A7">
        <w:rPr>
          <w:color w:val="000000" w:themeColor="text1"/>
        </w:rPr>
        <w:t xml:space="preserve"> could </w:t>
      </w:r>
      <w:r w:rsidRPr="00D775A7">
        <w:rPr>
          <w:color w:val="000000" w:themeColor="text1"/>
        </w:rPr>
        <w:t>invert the submissions’ claim of superiority in harm reduction</w:t>
      </w:r>
      <w:r w:rsidR="00D775A7">
        <w:rPr>
          <w:color w:val="000000" w:themeColor="text1"/>
        </w:rPr>
        <w:t xml:space="preserve">. </w:t>
      </w:r>
    </w:p>
    <w:p w:rsidR="00E02E7E" w:rsidRPr="00D775A7" w:rsidRDefault="00E02E7E" w:rsidP="00C954A6">
      <w:pPr>
        <w:pStyle w:val="ListParagraph"/>
        <w:widowControl/>
        <w:numPr>
          <w:ilvl w:val="0"/>
          <w:numId w:val="10"/>
        </w:numPr>
        <w:spacing w:before="120" w:after="120"/>
        <w:ind w:left="993" w:hanging="284"/>
        <w:rPr>
          <w:color w:val="000000" w:themeColor="text1"/>
        </w:rPr>
      </w:pPr>
      <w:r w:rsidRPr="00D775A7">
        <w:rPr>
          <w:color w:val="000000" w:themeColor="text1"/>
        </w:rPr>
        <w:t xml:space="preserve">The submission did not adequately address the benefits for some patients of receiving </w:t>
      </w:r>
      <w:r w:rsidR="00885AD3" w:rsidRPr="00D775A7">
        <w:t>BUP/NAL</w:t>
      </w:r>
      <w:r w:rsidRPr="00D775A7">
        <w:rPr>
          <w:color w:val="000000" w:themeColor="text1"/>
        </w:rPr>
        <w:t xml:space="preserve"> daily, particularly in accessing professional care daily, and reinforcing treatment goals. While the submission stressed that injection with </w:t>
      </w:r>
      <w:proofErr w:type="spellStart"/>
      <w:r w:rsidRPr="00D775A7">
        <w:rPr>
          <w:color w:val="000000" w:themeColor="text1"/>
        </w:rPr>
        <w:t>Sublocade</w:t>
      </w:r>
      <w:proofErr w:type="spellEnd"/>
      <w:r w:rsidRPr="00D775A7">
        <w:rPr>
          <w:color w:val="000000" w:themeColor="text1"/>
        </w:rPr>
        <w:t xml:space="preserve"> is completely supervised, patients potentially remain unsupervised or unmonitored </w:t>
      </w:r>
      <w:r w:rsidR="00E3456D" w:rsidRPr="00D775A7">
        <w:rPr>
          <w:color w:val="000000" w:themeColor="text1"/>
        </w:rPr>
        <w:t>for an</w:t>
      </w:r>
      <w:r w:rsidRPr="00D775A7">
        <w:rPr>
          <w:color w:val="000000" w:themeColor="text1"/>
        </w:rPr>
        <w:t xml:space="preserve"> entire month. </w:t>
      </w:r>
      <w:r w:rsidR="0035686A" w:rsidRPr="00D775A7">
        <w:rPr>
          <w:color w:val="000000" w:themeColor="text1"/>
        </w:rPr>
        <w:t>T</w:t>
      </w:r>
      <w:r w:rsidR="0035686A" w:rsidRPr="00D775A7">
        <w:t xml:space="preserve">here are likely to be some patients who may have an improved therapeutic response to opioid substitution therapies </w:t>
      </w:r>
      <w:r w:rsidR="00DD6131" w:rsidRPr="00D775A7">
        <w:t>because</w:t>
      </w:r>
      <w:r w:rsidR="0035686A" w:rsidRPr="00D775A7">
        <w:t xml:space="preserve"> of</w:t>
      </w:r>
      <w:r w:rsidR="00FD124B" w:rsidRPr="00D775A7">
        <w:t xml:space="preserve"> more</w:t>
      </w:r>
      <w:r w:rsidR="0035686A" w:rsidRPr="00D775A7">
        <w:t xml:space="preserve"> regular interaction with a healthcare provider.</w:t>
      </w:r>
    </w:p>
    <w:p w:rsidR="00143330" w:rsidRPr="00D775A7" w:rsidRDefault="00143330" w:rsidP="00C954A6">
      <w:pPr>
        <w:pStyle w:val="ListParagraph"/>
        <w:widowControl/>
        <w:numPr>
          <w:ilvl w:val="0"/>
          <w:numId w:val="10"/>
        </w:numPr>
        <w:spacing w:before="120" w:after="120"/>
        <w:ind w:left="993" w:hanging="284"/>
        <w:rPr>
          <w:color w:val="000000" w:themeColor="text1"/>
        </w:rPr>
      </w:pPr>
      <w:r w:rsidRPr="00D775A7">
        <w:t xml:space="preserve">The ESC considered the rate of diversion with the BUP/NAL SL film is likely to be overestimated, as the patients most likely to access </w:t>
      </w:r>
      <w:proofErr w:type="spellStart"/>
      <w:r w:rsidRPr="00D775A7">
        <w:t>Sublocade</w:t>
      </w:r>
      <w:proofErr w:type="spellEnd"/>
      <w:r w:rsidRPr="00D775A7">
        <w:t xml:space="preserve"> are patients stabilised on BUP/NAL SL film and responding well to treatment. These are likely to be existing patients not misusing treatment and therefore unlikely to be diverting. Consequently, the extent of further reduction in the rate of misuse is likely to be overestimated. The patients most likely to divert or misuse treatment may elect to stay on BUP/NAL SL film, rather than go on </w:t>
      </w:r>
      <w:proofErr w:type="spellStart"/>
      <w:r w:rsidRPr="00D775A7">
        <w:t>Sublocade</w:t>
      </w:r>
      <w:proofErr w:type="spellEnd"/>
      <w:r w:rsidRPr="00D775A7">
        <w:t>.</w:t>
      </w:r>
    </w:p>
    <w:p w:rsidR="00E02E7E" w:rsidRPr="00D775A7" w:rsidRDefault="00E02E7E" w:rsidP="00C954A6">
      <w:pPr>
        <w:pStyle w:val="ListParagraph"/>
        <w:widowControl/>
        <w:numPr>
          <w:ilvl w:val="0"/>
          <w:numId w:val="10"/>
        </w:numPr>
        <w:spacing w:before="120" w:after="120"/>
        <w:ind w:left="993" w:hanging="284"/>
        <w:rPr>
          <w:color w:val="000000" w:themeColor="text1"/>
        </w:rPr>
      </w:pPr>
      <w:r w:rsidRPr="00D775A7">
        <w:rPr>
          <w:color w:val="000000" w:themeColor="text1"/>
        </w:rPr>
        <w:t xml:space="preserve">Lastly, even if a small proportion of diverted doses </w:t>
      </w:r>
      <w:r w:rsidR="00143330" w:rsidRPr="00D775A7">
        <w:rPr>
          <w:color w:val="000000" w:themeColor="text1"/>
        </w:rPr>
        <w:t>of BUP/NAL S</w:t>
      </w:r>
      <w:r w:rsidR="001408BC" w:rsidRPr="00D775A7">
        <w:rPr>
          <w:color w:val="000000" w:themeColor="text1"/>
        </w:rPr>
        <w:t>L</w:t>
      </w:r>
      <w:r w:rsidR="00143330" w:rsidRPr="00D775A7">
        <w:rPr>
          <w:color w:val="000000" w:themeColor="text1"/>
        </w:rPr>
        <w:t xml:space="preserve"> film </w:t>
      </w:r>
      <w:r w:rsidRPr="00D775A7">
        <w:rPr>
          <w:color w:val="000000" w:themeColor="text1"/>
        </w:rPr>
        <w:t xml:space="preserve">were avoided due to listing of </w:t>
      </w:r>
      <w:proofErr w:type="spellStart"/>
      <w:r w:rsidRPr="00D775A7">
        <w:rPr>
          <w:color w:val="000000" w:themeColor="text1"/>
        </w:rPr>
        <w:t>Sublocade</w:t>
      </w:r>
      <w:proofErr w:type="spellEnd"/>
      <w:r w:rsidRPr="00D775A7">
        <w:rPr>
          <w:color w:val="000000" w:themeColor="text1"/>
        </w:rPr>
        <w:t xml:space="preserve">, no estimation of how this would translate to mortality or health-related quality of life was presented. </w:t>
      </w:r>
      <w:r w:rsidR="002E3E11" w:rsidRPr="00D775A7">
        <w:rPr>
          <w:color w:val="000000" w:themeColor="text1"/>
        </w:rPr>
        <w:t xml:space="preserve">The ESC considered that this was </w:t>
      </w:r>
      <w:r w:rsidR="002E3E11" w:rsidRPr="00D775A7">
        <w:rPr>
          <w:color w:val="000000" w:themeColor="text1"/>
        </w:rPr>
        <w:lastRenderedPageBreak/>
        <w:t xml:space="preserve">essential to determining the incremental cost-effectiveness of </w:t>
      </w:r>
      <w:proofErr w:type="spellStart"/>
      <w:r w:rsidR="002E3E11" w:rsidRPr="00D775A7">
        <w:rPr>
          <w:color w:val="000000" w:themeColor="text1"/>
        </w:rPr>
        <w:t>Sublocade</w:t>
      </w:r>
      <w:proofErr w:type="spellEnd"/>
      <w:r w:rsidR="002E3E11" w:rsidRPr="00D775A7">
        <w:rPr>
          <w:color w:val="000000" w:themeColor="text1"/>
        </w:rPr>
        <w:t xml:space="preserve"> over existing treatments. </w:t>
      </w:r>
    </w:p>
    <w:p w:rsidR="00403228"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Overall, should the non-inferior efficacy of </w:t>
      </w:r>
      <w:proofErr w:type="spellStart"/>
      <w:r w:rsidRPr="00D775A7">
        <w:rPr>
          <w:color w:val="000000" w:themeColor="text1"/>
        </w:rPr>
        <w:t>Sublocade</w:t>
      </w:r>
      <w:proofErr w:type="spellEnd"/>
      <w:r w:rsidRPr="00D775A7">
        <w:rPr>
          <w:color w:val="000000" w:themeColor="text1"/>
        </w:rPr>
        <w:t xml:space="preserve"> be accepted, it would potentially have a useful place in the Australian treatment setting for some patients. However, the advantages appear to have been overstated</w:t>
      </w:r>
      <w:r w:rsidR="00E3456D" w:rsidRPr="00D775A7">
        <w:rPr>
          <w:color w:val="000000" w:themeColor="text1"/>
        </w:rPr>
        <w:t>.</w:t>
      </w:r>
      <w:r w:rsidRPr="00D775A7">
        <w:rPr>
          <w:color w:val="000000" w:themeColor="text1"/>
        </w:rPr>
        <w:t xml:space="preserve"> </w:t>
      </w:r>
      <w:r w:rsidR="001406BE" w:rsidRPr="00D775A7">
        <w:rPr>
          <w:color w:val="000000" w:themeColor="text1"/>
        </w:rPr>
        <w:t xml:space="preserve">The ESC considered that the claim of superiority in terms of harm reduction was highly uncertain, and that the size of any such benefit is unknown. </w:t>
      </w:r>
    </w:p>
    <w:p w:rsidR="0065205F"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also described </w:t>
      </w:r>
      <w:proofErr w:type="spellStart"/>
      <w:r w:rsidRPr="00D775A7">
        <w:rPr>
          <w:color w:val="000000" w:themeColor="text1"/>
        </w:rPr>
        <w:t>Sublocade</w:t>
      </w:r>
      <w:proofErr w:type="spellEnd"/>
      <w:r w:rsidRPr="00D775A7">
        <w:rPr>
          <w:color w:val="000000" w:themeColor="text1"/>
        </w:rPr>
        <w:t xml:space="preserve"> as demonstrating non-inferiority in terms of efficacy and safety against </w:t>
      </w:r>
      <w:proofErr w:type="spellStart"/>
      <w:r w:rsidRPr="00D775A7">
        <w:rPr>
          <w:color w:val="000000" w:themeColor="text1"/>
        </w:rPr>
        <w:t>Buvidal</w:t>
      </w:r>
      <w:proofErr w:type="spellEnd"/>
      <w:r w:rsidRPr="00D775A7">
        <w:rPr>
          <w:color w:val="000000" w:themeColor="text1"/>
        </w:rPr>
        <w:t xml:space="preserve"> in patients with opioid use disorder.</w:t>
      </w:r>
      <w:r w:rsidR="001406BE" w:rsidRPr="00D775A7">
        <w:rPr>
          <w:color w:val="000000" w:themeColor="text1"/>
        </w:rPr>
        <w:t xml:space="preserve"> The ESC considered that the claim was unreliable based on the evidence provided in the submission, but that it was not unreasonable that the two products would provide similar clinical benefits</w:t>
      </w:r>
      <w:r w:rsidR="00D775A7">
        <w:rPr>
          <w:color w:val="000000" w:themeColor="text1"/>
        </w:rPr>
        <w:t xml:space="preserve">. </w:t>
      </w:r>
    </w:p>
    <w:p w:rsidR="0065205F" w:rsidRPr="00D775A7" w:rsidRDefault="0065205F" w:rsidP="00C954A6">
      <w:pPr>
        <w:pStyle w:val="ListParagraph"/>
        <w:widowControl/>
        <w:numPr>
          <w:ilvl w:val="1"/>
          <w:numId w:val="2"/>
        </w:numPr>
        <w:spacing w:before="120" w:after="120"/>
        <w:ind w:left="810" w:hanging="810"/>
        <w:rPr>
          <w:rFonts w:asciiTheme="minorHAnsi" w:hAnsiTheme="minorHAnsi"/>
          <w:szCs w:val="20"/>
        </w:rPr>
      </w:pPr>
      <w:r w:rsidRPr="00D775A7">
        <w:rPr>
          <w:rFonts w:asciiTheme="minorHAnsi" w:hAnsiTheme="minorHAnsi"/>
          <w:szCs w:val="20"/>
        </w:rPr>
        <w:t>The PBAC consid</w:t>
      </w:r>
      <w:r w:rsidR="00403228" w:rsidRPr="00D775A7">
        <w:rPr>
          <w:rFonts w:asciiTheme="minorHAnsi" w:hAnsiTheme="minorHAnsi"/>
          <w:szCs w:val="20"/>
        </w:rPr>
        <w:t xml:space="preserve">ered that the claim of </w:t>
      </w:r>
      <w:r w:rsidRPr="00D775A7">
        <w:rPr>
          <w:rFonts w:asciiTheme="minorHAnsi" w:hAnsiTheme="minorHAnsi"/>
          <w:szCs w:val="20"/>
        </w:rPr>
        <w:t>non-inferior comparati</w:t>
      </w:r>
      <w:r w:rsidR="00403228" w:rsidRPr="00D775A7">
        <w:rPr>
          <w:rFonts w:asciiTheme="minorHAnsi" w:hAnsiTheme="minorHAnsi"/>
          <w:szCs w:val="20"/>
        </w:rPr>
        <w:t xml:space="preserve">ve effectiveness </w:t>
      </w:r>
      <w:r w:rsidR="00AA0571" w:rsidRPr="00D775A7">
        <w:rPr>
          <w:rFonts w:asciiTheme="minorHAnsi" w:hAnsiTheme="minorHAnsi"/>
          <w:szCs w:val="20"/>
        </w:rPr>
        <w:t xml:space="preserve">compared to BUP/NAL SL film </w:t>
      </w:r>
      <w:r w:rsidR="00403228" w:rsidRPr="00D775A7">
        <w:rPr>
          <w:rFonts w:asciiTheme="minorHAnsi" w:hAnsiTheme="minorHAnsi"/>
          <w:szCs w:val="20"/>
        </w:rPr>
        <w:t xml:space="preserve">was reasonable. </w:t>
      </w:r>
    </w:p>
    <w:p w:rsidR="0065205F" w:rsidRDefault="0065205F" w:rsidP="00C954A6">
      <w:pPr>
        <w:pStyle w:val="ListParagraph"/>
        <w:widowControl/>
        <w:numPr>
          <w:ilvl w:val="1"/>
          <w:numId w:val="2"/>
        </w:numPr>
        <w:spacing w:before="120" w:after="120"/>
        <w:ind w:left="810" w:hanging="810"/>
        <w:rPr>
          <w:rFonts w:asciiTheme="minorHAnsi" w:hAnsiTheme="minorHAnsi"/>
          <w:szCs w:val="20"/>
        </w:rPr>
      </w:pPr>
      <w:r w:rsidRPr="00D775A7">
        <w:rPr>
          <w:rFonts w:asciiTheme="minorHAnsi" w:hAnsiTheme="minorHAnsi"/>
          <w:szCs w:val="20"/>
        </w:rPr>
        <w:t>The PBAC considered that</w:t>
      </w:r>
      <w:r w:rsidR="00403228" w:rsidRPr="00D775A7">
        <w:rPr>
          <w:rFonts w:asciiTheme="minorHAnsi" w:hAnsiTheme="minorHAnsi"/>
          <w:szCs w:val="20"/>
        </w:rPr>
        <w:t xml:space="preserve"> the claim of </w:t>
      </w:r>
      <w:r w:rsidRPr="00D775A7">
        <w:rPr>
          <w:rFonts w:asciiTheme="minorHAnsi" w:hAnsiTheme="minorHAnsi"/>
          <w:szCs w:val="20"/>
        </w:rPr>
        <w:t>non-inferior comparative safety</w:t>
      </w:r>
      <w:r w:rsidR="00AA0571" w:rsidRPr="00D775A7">
        <w:rPr>
          <w:rFonts w:asciiTheme="minorHAnsi" w:hAnsiTheme="minorHAnsi"/>
          <w:szCs w:val="20"/>
        </w:rPr>
        <w:t xml:space="preserve"> compared to BUP/NAL SL film</w:t>
      </w:r>
      <w:r w:rsidRPr="00D775A7">
        <w:rPr>
          <w:rFonts w:asciiTheme="minorHAnsi" w:hAnsiTheme="minorHAnsi"/>
          <w:szCs w:val="20"/>
        </w:rPr>
        <w:t xml:space="preserve"> </w:t>
      </w:r>
      <w:r w:rsidR="00403228" w:rsidRPr="00D775A7">
        <w:rPr>
          <w:rFonts w:asciiTheme="minorHAnsi" w:hAnsiTheme="minorHAnsi"/>
          <w:szCs w:val="20"/>
        </w:rPr>
        <w:t xml:space="preserve">in terms of treatment emergent adverse events </w:t>
      </w:r>
      <w:r w:rsidRPr="00D775A7">
        <w:rPr>
          <w:rFonts w:asciiTheme="minorHAnsi" w:hAnsiTheme="minorHAnsi"/>
          <w:szCs w:val="20"/>
        </w:rPr>
        <w:t>was reasonable</w:t>
      </w:r>
      <w:r w:rsidR="00403228" w:rsidRPr="00D775A7">
        <w:rPr>
          <w:rFonts w:asciiTheme="minorHAnsi" w:hAnsiTheme="minorHAnsi"/>
          <w:szCs w:val="20"/>
        </w:rPr>
        <w:t xml:space="preserve">. While the PBAC acknowledged that there may be additional benefits associated with treatment with a long acting injectable form of buprenorphine, including a reduced risk of diversion, it considered that the claim of superiority in terms of harm reduction </w:t>
      </w:r>
      <w:r w:rsidRPr="00D775A7">
        <w:rPr>
          <w:rFonts w:asciiTheme="minorHAnsi" w:hAnsiTheme="minorHAnsi"/>
          <w:szCs w:val="20"/>
        </w:rPr>
        <w:t>was not a</w:t>
      </w:r>
      <w:r w:rsidR="00403228" w:rsidRPr="00D775A7">
        <w:rPr>
          <w:rFonts w:asciiTheme="minorHAnsi" w:hAnsiTheme="minorHAnsi"/>
          <w:szCs w:val="20"/>
        </w:rPr>
        <w:t xml:space="preserve">dequately supported by the data presented in the submission. </w:t>
      </w:r>
    </w:p>
    <w:p w:rsidR="00E02E7E" w:rsidRPr="00D775A7" w:rsidRDefault="00E02E7E" w:rsidP="00C954A6">
      <w:pPr>
        <w:pStyle w:val="Heading2"/>
        <w:spacing w:before="120" w:after="120"/>
      </w:pPr>
      <w:bookmarkStart w:id="29" w:name="_Toc535915914"/>
      <w:r w:rsidRPr="00D775A7">
        <w:t>Economic analysis</w:t>
      </w:r>
      <w:bookmarkEnd w:id="29"/>
      <w:r w:rsidRPr="00D775A7">
        <w:t xml:space="preserve"> </w:t>
      </w:r>
    </w:p>
    <w:p w:rsidR="00E02E7E" w:rsidRPr="00D775A7" w:rsidRDefault="00E02E7E" w:rsidP="00C954A6">
      <w:pPr>
        <w:pStyle w:val="ListParagraph"/>
        <w:widowControl/>
        <w:numPr>
          <w:ilvl w:val="1"/>
          <w:numId w:val="2"/>
        </w:numPr>
        <w:spacing w:before="120" w:after="120"/>
        <w:ind w:left="720" w:hanging="720"/>
      </w:pPr>
      <w:r w:rsidRPr="00D775A7">
        <w:t xml:space="preserve">The submission presented a cost-minimisation analysis against </w:t>
      </w:r>
      <w:r w:rsidR="00885AD3" w:rsidRPr="00D775A7">
        <w:t>BUP/NAL</w:t>
      </w:r>
      <w:r w:rsidRPr="00D775A7">
        <w:t xml:space="preserve"> based on the clinical claim of non-inferior efficacy and adverse events. </w:t>
      </w:r>
    </w:p>
    <w:p w:rsidR="00E02E7E" w:rsidRPr="00D775A7" w:rsidRDefault="00E02E7E" w:rsidP="00C954A6">
      <w:pPr>
        <w:pStyle w:val="ListParagraph"/>
        <w:widowControl/>
        <w:numPr>
          <w:ilvl w:val="1"/>
          <w:numId w:val="2"/>
        </w:numPr>
        <w:spacing w:before="120" w:after="120"/>
        <w:ind w:left="720" w:hanging="720"/>
      </w:pPr>
      <w:r w:rsidRPr="00D775A7">
        <w:t xml:space="preserve">The proposed </w:t>
      </w:r>
      <w:proofErr w:type="spellStart"/>
      <w:r w:rsidRPr="00D775A7">
        <w:t>equi</w:t>
      </w:r>
      <w:proofErr w:type="spellEnd"/>
      <w:r w:rsidRPr="00D775A7">
        <w:t>-effective doses were:</w:t>
      </w:r>
    </w:p>
    <w:p w:rsidR="00E02E7E" w:rsidRPr="00D775A7" w:rsidRDefault="00E02E7E" w:rsidP="00C954A6">
      <w:pPr>
        <w:pStyle w:val="ListParagraph"/>
        <w:numPr>
          <w:ilvl w:val="0"/>
          <w:numId w:val="6"/>
        </w:numPr>
        <w:spacing w:before="120" w:after="120"/>
        <w:ind w:left="993" w:hanging="284"/>
      </w:pPr>
      <w:proofErr w:type="spellStart"/>
      <w:r w:rsidRPr="00D775A7">
        <w:t>Sublocade</w:t>
      </w:r>
      <w:proofErr w:type="spellEnd"/>
      <w:r w:rsidRPr="00D775A7">
        <w:t xml:space="preserve"> 300mg monthly and </w:t>
      </w:r>
      <w:proofErr w:type="spellStart"/>
      <w:r w:rsidRPr="00D775A7">
        <w:t>Sublocade</w:t>
      </w:r>
      <w:proofErr w:type="spellEnd"/>
      <w:r w:rsidRPr="00D775A7">
        <w:t xml:space="preserve"> 100mg monthly </w:t>
      </w:r>
      <w:r w:rsidR="0035686A" w:rsidRPr="00D775A7">
        <w:t xml:space="preserve">was equivalent to </w:t>
      </w:r>
      <w:r w:rsidRPr="00D775A7">
        <w:t>BUP/NAL SL film 19.6 mg daily</w:t>
      </w:r>
      <w:r w:rsidR="0097065B" w:rsidRPr="00D775A7">
        <w:t>; and</w:t>
      </w:r>
    </w:p>
    <w:p w:rsidR="00E02E7E" w:rsidRPr="00D775A7" w:rsidRDefault="00E02E7E" w:rsidP="00C954A6">
      <w:pPr>
        <w:pStyle w:val="ListParagraph"/>
        <w:numPr>
          <w:ilvl w:val="0"/>
          <w:numId w:val="6"/>
        </w:numPr>
        <w:spacing w:before="120" w:after="120"/>
        <w:ind w:left="993" w:hanging="284"/>
      </w:pPr>
      <w:proofErr w:type="spellStart"/>
      <w:r w:rsidRPr="00D775A7">
        <w:t>Sublocade</w:t>
      </w:r>
      <w:proofErr w:type="spellEnd"/>
      <w:r w:rsidRPr="00D775A7">
        <w:t xml:space="preserve"> 300mg monthly and </w:t>
      </w:r>
      <w:proofErr w:type="spellStart"/>
      <w:r w:rsidRPr="00D775A7">
        <w:t>Sublocade</w:t>
      </w:r>
      <w:proofErr w:type="spellEnd"/>
      <w:r w:rsidRPr="00D775A7">
        <w:t xml:space="preserve"> 100mg monthly </w:t>
      </w:r>
      <w:r w:rsidR="0035686A" w:rsidRPr="00D775A7">
        <w:t>was equivalent to</w:t>
      </w:r>
      <w:r w:rsidRPr="00D775A7">
        <w:t xml:space="preserve"> </w:t>
      </w:r>
      <w:proofErr w:type="spellStart"/>
      <w:r w:rsidRPr="00D775A7">
        <w:t>Buvidal</w:t>
      </w:r>
      <w:proofErr w:type="spellEnd"/>
      <w:r w:rsidRPr="00D775A7">
        <w:t xml:space="preserve"> 110.7mg monthly</w:t>
      </w:r>
      <w:r w:rsidR="0035686A" w:rsidRPr="00D775A7">
        <w:t xml:space="preserve">. </w:t>
      </w:r>
    </w:p>
    <w:p w:rsidR="00E02E7E" w:rsidRPr="00D775A7" w:rsidRDefault="00E02E7E" w:rsidP="00C954A6">
      <w:pPr>
        <w:pStyle w:val="ListParagraph"/>
        <w:widowControl/>
        <w:numPr>
          <w:ilvl w:val="1"/>
          <w:numId w:val="2"/>
        </w:numPr>
        <w:spacing w:before="120" w:after="120"/>
        <w:ind w:left="720" w:hanging="720"/>
      </w:pPr>
      <w:r w:rsidRPr="00D775A7">
        <w:t>The submission stated that a steady state dose cannot be determined in Rosenthal (2013) due to the protocol defined dosing an</w:t>
      </w:r>
      <w:r w:rsidR="00E3456D" w:rsidRPr="00D775A7">
        <w:t>d the use of rescue BUP/NAL SL tablets</w:t>
      </w:r>
      <w:r w:rsidRPr="00D775A7">
        <w:t xml:space="preserve">. The submission noted that </w:t>
      </w:r>
      <w:r w:rsidR="00E3456D" w:rsidRPr="00D775A7">
        <w:t>t</w:t>
      </w:r>
      <w:r w:rsidRPr="00D775A7">
        <w:t xml:space="preserve">he authors considered the use of rescue </w:t>
      </w:r>
      <w:r w:rsidR="00E3456D" w:rsidRPr="00D775A7">
        <w:t>BUP/NAL SL tablets</w:t>
      </w:r>
      <w:r w:rsidRPr="00D775A7">
        <w:t xml:space="preserve"> across all groups. Though it appeared that no patients in the </w:t>
      </w:r>
      <w:r w:rsidR="00E3456D" w:rsidRPr="00D775A7">
        <w:t>BUP/NAL SL tablet</w:t>
      </w:r>
      <w:r w:rsidRPr="00D775A7">
        <w:t xml:space="preserve"> arm used rescue </w:t>
      </w:r>
      <w:r w:rsidR="00F77974" w:rsidRPr="00D775A7">
        <w:t>BUP/NAL SL tablets</w:t>
      </w:r>
      <w:r w:rsidRPr="00D775A7">
        <w:t>, it appeared that the dosing may have been sub-optimal</w:t>
      </w:r>
      <w:r w:rsidR="00D775A7">
        <w:t xml:space="preserve">. </w:t>
      </w:r>
    </w:p>
    <w:p w:rsidR="00E02E7E" w:rsidRPr="00D775A7" w:rsidRDefault="00E02E7E" w:rsidP="00C954A6">
      <w:pPr>
        <w:pStyle w:val="ListParagraph"/>
        <w:widowControl/>
        <w:numPr>
          <w:ilvl w:val="1"/>
          <w:numId w:val="2"/>
        </w:numPr>
        <w:spacing w:before="120" w:after="120"/>
        <w:ind w:left="720" w:hanging="720"/>
      </w:pPr>
      <w:r w:rsidRPr="00D775A7">
        <w:t xml:space="preserve">However, </w:t>
      </w:r>
      <w:r w:rsidR="005F2FF1" w:rsidRPr="00D775A7">
        <w:t xml:space="preserve">as </w:t>
      </w:r>
      <w:r w:rsidRPr="00D775A7">
        <w:t>the claim of non-inferior efficacy was based on this dosage</w:t>
      </w:r>
      <w:r w:rsidR="005F2FF1" w:rsidRPr="00D775A7">
        <w:t xml:space="preserve"> from Rosenthal 2013</w:t>
      </w:r>
      <w:r w:rsidRPr="00D775A7">
        <w:t>, it was inappropriate t</w:t>
      </w:r>
      <w:r w:rsidR="005F2FF1" w:rsidRPr="00D775A7">
        <w:t xml:space="preserve">hat the higher dosage used in </w:t>
      </w:r>
      <w:proofErr w:type="spellStart"/>
      <w:r w:rsidR="005F2FF1" w:rsidRPr="00D775A7">
        <w:t>Lofwall</w:t>
      </w:r>
      <w:proofErr w:type="spellEnd"/>
      <w:r w:rsidR="005F2FF1" w:rsidRPr="00D775A7">
        <w:t xml:space="preserve"> was used as the basis of the </w:t>
      </w:r>
      <w:proofErr w:type="spellStart"/>
      <w:r w:rsidR="005F2FF1" w:rsidRPr="00D775A7">
        <w:t>equi</w:t>
      </w:r>
      <w:proofErr w:type="spellEnd"/>
      <w:r w:rsidR="005F2FF1" w:rsidRPr="00D775A7">
        <w:t>-effective dose calculation</w:t>
      </w:r>
      <w:r w:rsidRPr="00D775A7">
        <w:t xml:space="preserve"> for the cost-minimisation. </w:t>
      </w:r>
    </w:p>
    <w:p w:rsidR="00E02E7E" w:rsidRPr="00D775A7" w:rsidRDefault="00E02E7E" w:rsidP="00C954A6">
      <w:pPr>
        <w:pStyle w:val="ListParagraph"/>
        <w:widowControl/>
        <w:numPr>
          <w:ilvl w:val="1"/>
          <w:numId w:val="2"/>
        </w:numPr>
        <w:spacing w:before="120" w:after="120"/>
        <w:ind w:left="720" w:hanging="720"/>
      </w:pPr>
      <w:proofErr w:type="spellStart"/>
      <w:r w:rsidRPr="00D775A7">
        <w:t>Lo</w:t>
      </w:r>
      <w:r w:rsidR="00851821" w:rsidRPr="00D775A7">
        <w:t>fw</w:t>
      </w:r>
      <w:r w:rsidRPr="00D775A7">
        <w:t>all</w:t>
      </w:r>
      <w:proofErr w:type="spellEnd"/>
      <w:r w:rsidRPr="00D775A7">
        <w:t xml:space="preserve"> (2018) was the most recent variable-dose study of </w:t>
      </w:r>
      <w:r w:rsidR="00F77974" w:rsidRPr="00D775A7">
        <w:t>BUP/NAL SL tablets</w:t>
      </w:r>
      <w:r w:rsidRPr="00D775A7">
        <w:t xml:space="preserve"> available and reported a daily dose of at least 19.6mg in weeks 12-24 of the study. In </w:t>
      </w:r>
      <w:r w:rsidRPr="00D775A7">
        <w:lastRenderedPageBreak/>
        <w:t xml:space="preserve">addition, in weeks 12-24, supplemental weekly 8 mg SC injections of buprenorphine were administered to 17 of </w:t>
      </w:r>
      <w:r w:rsidR="00F77974" w:rsidRPr="00D775A7">
        <w:t>215 participants (7.9%) in the BUP/NAL SL tablet</w:t>
      </w:r>
      <w:r w:rsidRPr="00D775A7">
        <w:t xml:space="preserve"> group, which are not accounted in the above calc</w:t>
      </w:r>
      <w:r w:rsidR="00F77974" w:rsidRPr="00D775A7">
        <w:t xml:space="preserve">ulation of steady state doses. </w:t>
      </w:r>
      <w:r w:rsidRPr="00D775A7">
        <w:t>T</w:t>
      </w:r>
      <w:r w:rsidR="00F77974" w:rsidRPr="00D775A7">
        <w:t>he submission assumed that the P</w:t>
      </w:r>
      <w:r w:rsidRPr="00D775A7">
        <w:t xml:space="preserve">hase 2 dosage of </w:t>
      </w:r>
      <w:r w:rsidR="00F77974" w:rsidRPr="00D775A7">
        <w:t>BUP/NAL SL tablets</w:t>
      </w:r>
      <w:r w:rsidRPr="00D775A7">
        <w:t xml:space="preserve"> was steady state dosing. This was slightly higher than the 18.5mg of </w:t>
      </w:r>
      <w:r w:rsidR="00F77974" w:rsidRPr="00D775A7">
        <w:t>P</w:t>
      </w:r>
      <w:r w:rsidRPr="00D775A7">
        <w:t xml:space="preserve">hase 1, which did not include 8mg SC injections. </w:t>
      </w:r>
      <w:r w:rsidR="00AA0571" w:rsidRPr="00D775A7">
        <w:t>I</w:t>
      </w:r>
      <w:r w:rsidRPr="00D775A7">
        <w:t xml:space="preserve">t was likely that the frequency of visits, and number of take-home sublingual doses given contributed to differences in mean dosing. Using the </w:t>
      </w:r>
      <w:r w:rsidR="00FD124B" w:rsidRPr="00D775A7">
        <w:t xml:space="preserve">dose of </w:t>
      </w:r>
      <w:r w:rsidRPr="00D775A7">
        <w:t xml:space="preserve">19.6mg unreasonably increased the cost minimisation price. </w:t>
      </w:r>
    </w:p>
    <w:p w:rsidR="00E02E7E" w:rsidRPr="00D775A7" w:rsidRDefault="00E02E7E" w:rsidP="00C954A6">
      <w:pPr>
        <w:pStyle w:val="ListParagraph"/>
        <w:widowControl/>
        <w:numPr>
          <w:ilvl w:val="1"/>
          <w:numId w:val="2"/>
        </w:numPr>
        <w:spacing w:before="120" w:after="120"/>
        <w:ind w:left="720" w:hanging="720"/>
      </w:pPr>
      <w:r w:rsidRPr="00D775A7">
        <w:t xml:space="preserve">The </w:t>
      </w:r>
      <w:proofErr w:type="spellStart"/>
      <w:r w:rsidRPr="00D775A7">
        <w:t>Lo</w:t>
      </w:r>
      <w:r w:rsidR="00851821" w:rsidRPr="00D775A7">
        <w:t>fw</w:t>
      </w:r>
      <w:r w:rsidRPr="00D775A7">
        <w:t>all</w:t>
      </w:r>
      <w:proofErr w:type="spellEnd"/>
      <w:r w:rsidRPr="00D775A7">
        <w:t xml:space="preserve"> </w:t>
      </w:r>
      <w:r w:rsidR="00CC182A" w:rsidRPr="00D775A7">
        <w:t xml:space="preserve">(2018) </w:t>
      </w:r>
      <w:r w:rsidRPr="00D775A7">
        <w:t xml:space="preserve">estimate </w:t>
      </w:r>
      <w:r w:rsidR="00C16F5F" w:rsidRPr="00D775A7">
        <w:t xml:space="preserve">of </w:t>
      </w:r>
      <w:r w:rsidR="00CC182A" w:rsidRPr="00D775A7">
        <w:t xml:space="preserve">the </w:t>
      </w:r>
      <w:r w:rsidRPr="00D775A7">
        <w:t xml:space="preserve">mean dose of </w:t>
      </w:r>
      <w:r w:rsidR="00F77974" w:rsidRPr="00D775A7">
        <w:t>BUP/NAL SL tablets was derived from</w:t>
      </w:r>
      <w:r w:rsidRPr="00D775A7">
        <w:t xml:space="preserve"> trial completers. This could potentially be an overestimate.</w:t>
      </w:r>
      <w:r w:rsidR="00F77974" w:rsidRPr="00D775A7">
        <w:t xml:space="preserve"> Additionally, the submission </w:t>
      </w:r>
      <w:r w:rsidR="009763A0" w:rsidRPr="00D775A7">
        <w:t>calculated</w:t>
      </w:r>
      <w:r w:rsidR="00F77974" w:rsidRPr="00D775A7">
        <w:t xml:space="preserve"> </w:t>
      </w:r>
      <w:proofErr w:type="spellStart"/>
      <w:r w:rsidR="00F77974" w:rsidRPr="00D775A7">
        <w:t>equi</w:t>
      </w:r>
      <w:proofErr w:type="spellEnd"/>
      <w:r w:rsidR="00F77974" w:rsidRPr="00D775A7">
        <w:t>-effective doses for BUP/NAL SL tablets, whereas the comparator is SL film. Due to differences in the bioavailability in the film and tablet, it is possible that estimates based on tablet dosing may slightly overestimate sublingual film doses.</w:t>
      </w:r>
    </w:p>
    <w:p w:rsidR="00150428" w:rsidRPr="00D775A7" w:rsidRDefault="00150428" w:rsidP="00C954A6">
      <w:pPr>
        <w:pStyle w:val="ListParagraph"/>
        <w:widowControl/>
        <w:numPr>
          <w:ilvl w:val="1"/>
          <w:numId w:val="2"/>
        </w:numPr>
        <w:spacing w:before="120" w:after="120"/>
        <w:ind w:left="720" w:hanging="720"/>
      </w:pPr>
      <w:r w:rsidRPr="00D775A7">
        <w:t xml:space="preserve">The ESC considered that the </w:t>
      </w:r>
      <w:proofErr w:type="spellStart"/>
      <w:r w:rsidRPr="00D775A7">
        <w:t>equi</w:t>
      </w:r>
      <w:proofErr w:type="spellEnd"/>
      <w:r w:rsidRPr="00D775A7">
        <w:t xml:space="preserve">-effective dose was overestimated, and that a more reasonable estimate of </w:t>
      </w:r>
      <w:proofErr w:type="spellStart"/>
      <w:r w:rsidRPr="00D775A7">
        <w:t>equi</w:t>
      </w:r>
      <w:proofErr w:type="spellEnd"/>
      <w:r w:rsidRPr="00D775A7">
        <w:t xml:space="preserve">-effective dose is 14mg of BUP/NAL SL film daily. </w:t>
      </w:r>
    </w:p>
    <w:p w:rsidR="00E02E7E" w:rsidRPr="00D775A7" w:rsidRDefault="00E02E7E" w:rsidP="00C954A6">
      <w:pPr>
        <w:pStyle w:val="ListParagraph"/>
        <w:widowControl/>
        <w:numPr>
          <w:ilvl w:val="1"/>
          <w:numId w:val="2"/>
        </w:numPr>
        <w:spacing w:before="120" w:after="120"/>
        <w:ind w:left="720" w:hanging="720"/>
      </w:pPr>
      <w:r w:rsidRPr="00D775A7">
        <w:t>The submission included cost offsets for GP visits</w:t>
      </w:r>
      <w:r w:rsidR="005F2FF1" w:rsidRPr="00D775A7">
        <w:t>,</w:t>
      </w:r>
      <w:r w:rsidRPr="00D775A7">
        <w:t xml:space="preserve"> patient fees</w:t>
      </w:r>
      <w:r w:rsidR="00920775" w:rsidRPr="00D775A7">
        <w:t>,</w:t>
      </w:r>
      <w:r w:rsidRPr="00D775A7">
        <w:t xml:space="preserve"> and a price premium for being a long acting </w:t>
      </w:r>
      <w:r w:rsidR="005F2FF1" w:rsidRPr="00D775A7">
        <w:t>dosage form</w:t>
      </w:r>
      <w:r w:rsidRPr="00D775A7">
        <w:t>.</w:t>
      </w:r>
      <w:r w:rsidR="009C6228" w:rsidRPr="00D775A7">
        <w:t xml:space="preserve"> The ESC advised that </w:t>
      </w:r>
      <w:r w:rsidR="00861F8B" w:rsidRPr="00D775A7">
        <w:t>these cost-offse</w:t>
      </w:r>
      <w:r w:rsidR="001A2E7E" w:rsidRPr="00D775A7">
        <w:t>ts are over-estimated due to</w:t>
      </w:r>
      <w:r w:rsidR="00861F8B" w:rsidRPr="00D775A7">
        <w:t xml:space="preserve"> </w:t>
      </w:r>
      <w:r w:rsidR="001A2E7E" w:rsidRPr="00D775A7">
        <w:t>potential</w:t>
      </w:r>
      <w:r w:rsidR="009C6228" w:rsidRPr="00D775A7">
        <w:t xml:space="preserve"> increase</w:t>
      </w:r>
      <w:r w:rsidR="001A2E7E" w:rsidRPr="00D775A7">
        <w:t xml:space="preserve"> in</w:t>
      </w:r>
      <w:r w:rsidR="009C6228" w:rsidRPr="00D775A7">
        <w:t xml:space="preserve"> allied health services, such as psychosocial services, as a result of treatment success and GP referrals</w:t>
      </w:r>
      <w:r w:rsidR="00FD124B" w:rsidRPr="00D775A7">
        <w:t>,</w:t>
      </w:r>
      <w:r w:rsidR="001A2E7E" w:rsidRPr="00D775A7">
        <w:t xml:space="preserve"> and the nominated MBS </w:t>
      </w:r>
      <w:r w:rsidR="00FD124B" w:rsidRPr="00D775A7">
        <w:t>i</w:t>
      </w:r>
      <w:r w:rsidR="001A2E7E" w:rsidRPr="00D775A7">
        <w:t xml:space="preserve">tem code 3 </w:t>
      </w:r>
      <w:r w:rsidR="00861F8B" w:rsidRPr="00D775A7">
        <w:t xml:space="preserve">is unlikely </w:t>
      </w:r>
      <w:r w:rsidR="001A2E7E" w:rsidRPr="00D775A7">
        <w:t>to be used over MBS Item code 23</w:t>
      </w:r>
      <w:r w:rsidR="00861F8B" w:rsidRPr="00D775A7">
        <w:t>.</w:t>
      </w:r>
    </w:p>
    <w:p w:rsidR="002122E0" w:rsidRPr="00D775A7" w:rsidRDefault="002122E0" w:rsidP="00C954A6">
      <w:pPr>
        <w:pStyle w:val="ListParagraph"/>
        <w:widowControl/>
        <w:numPr>
          <w:ilvl w:val="1"/>
          <w:numId w:val="2"/>
        </w:numPr>
        <w:spacing w:before="120" w:after="120"/>
        <w:ind w:left="720" w:hanging="720"/>
      </w:pPr>
      <w:r w:rsidRPr="00D775A7">
        <w:t xml:space="preserve">The submission’s claim that GP visits would be reduced was based on </w:t>
      </w:r>
      <w:proofErr w:type="spellStart"/>
      <w:r w:rsidRPr="00D775A7">
        <w:t>Larance</w:t>
      </w:r>
      <w:proofErr w:type="spellEnd"/>
      <w:r w:rsidRPr="00D775A7">
        <w:t xml:space="preserve"> (2009) but </w:t>
      </w:r>
      <w:r w:rsidR="00150428" w:rsidRPr="00D775A7">
        <w:t xml:space="preserve">was also influenced by unsubstantiated </w:t>
      </w:r>
      <w:r w:rsidRPr="00D775A7">
        <w:t xml:space="preserve">assumptions. It may be more likely that GP visits would increase as </w:t>
      </w:r>
      <w:proofErr w:type="spellStart"/>
      <w:r w:rsidRPr="00D775A7">
        <w:t>Sublocade</w:t>
      </w:r>
      <w:proofErr w:type="spellEnd"/>
      <w:r w:rsidRPr="00D775A7">
        <w:t xml:space="preserve"> is administered monthly whereas treatment with BUP/NAL SL film would require GP visits every 3-6 months for a new script</w:t>
      </w:r>
      <w:r w:rsidR="00D775A7">
        <w:t xml:space="preserve">. </w:t>
      </w:r>
      <w:r w:rsidR="00D769E5" w:rsidRPr="00D775A7">
        <w:t>Nevertheless,</w:t>
      </w:r>
      <w:r w:rsidRPr="00D775A7">
        <w:t xml:space="preserve"> GP visits were not a key driver of the cost-minimisation price</w:t>
      </w:r>
      <w:r w:rsidR="00D775A7">
        <w:t xml:space="preserve">. </w:t>
      </w:r>
    </w:p>
    <w:p w:rsidR="002122E0" w:rsidRPr="00D775A7" w:rsidRDefault="00E02E7E" w:rsidP="00C954A6">
      <w:pPr>
        <w:pStyle w:val="ListParagraph"/>
        <w:widowControl/>
        <w:numPr>
          <w:ilvl w:val="1"/>
          <w:numId w:val="2"/>
        </w:numPr>
        <w:spacing w:before="120" w:after="120"/>
        <w:ind w:left="720" w:hanging="720"/>
      </w:pPr>
      <w:r w:rsidRPr="00D775A7">
        <w:t>Though patient fees would be expected to be reduced, it is possible that they would not be to the degree that is estimated by the submission a</w:t>
      </w:r>
      <w:r w:rsidR="00F77974" w:rsidRPr="00D775A7">
        <w:t xml:space="preserve">s some patients already access </w:t>
      </w:r>
      <w:r w:rsidRPr="00D775A7">
        <w:t xml:space="preserve">a month’s supply of BUP/NAL SL film. </w:t>
      </w:r>
      <w:r w:rsidR="00C90489" w:rsidRPr="00D775A7">
        <w:t xml:space="preserve">Nevertheless, patient fees are not typically included in cost-minimisation analyses. </w:t>
      </w:r>
    </w:p>
    <w:p w:rsidR="00E02E7E" w:rsidRPr="00D775A7" w:rsidRDefault="00E02E7E" w:rsidP="00C954A6">
      <w:pPr>
        <w:pStyle w:val="ListParagraph"/>
        <w:numPr>
          <w:ilvl w:val="1"/>
          <w:numId w:val="2"/>
        </w:numPr>
        <w:spacing w:before="120" w:after="120"/>
        <w:ind w:left="720" w:hanging="720"/>
      </w:pPr>
      <w:r w:rsidRPr="00D775A7">
        <w:t xml:space="preserve">The results of the cost-minimisation analysis are presented </w:t>
      </w:r>
      <w:r w:rsidR="00F77974" w:rsidRPr="008D60B7">
        <w:rPr>
          <w:rFonts w:asciiTheme="minorHAnsi" w:hAnsiTheme="minorHAnsi" w:cstheme="minorHAnsi"/>
          <w:szCs w:val="24"/>
        </w:rPr>
        <w:t xml:space="preserve">in </w:t>
      </w:r>
      <w:r w:rsidR="00BC72D0" w:rsidRPr="008D60B7">
        <w:rPr>
          <w:rStyle w:val="CommentReference"/>
          <w:rFonts w:asciiTheme="minorHAnsi" w:hAnsiTheme="minorHAnsi" w:cstheme="minorHAnsi"/>
          <w:b w:val="0"/>
          <w:sz w:val="24"/>
          <w:szCs w:val="24"/>
        </w:rPr>
        <w:t>Table</w:t>
      </w:r>
      <w:r w:rsidR="00BC72D0" w:rsidRPr="008D60B7">
        <w:rPr>
          <w:rFonts w:asciiTheme="minorHAnsi" w:hAnsiTheme="minorHAnsi" w:cstheme="minorHAnsi"/>
          <w:b/>
          <w:szCs w:val="24"/>
        </w:rPr>
        <w:t xml:space="preserve"> </w:t>
      </w:r>
      <w:r w:rsidR="00BC72D0" w:rsidRPr="008D60B7">
        <w:rPr>
          <w:rFonts w:asciiTheme="minorHAnsi" w:hAnsiTheme="minorHAnsi" w:cstheme="minorHAnsi"/>
          <w:szCs w:val="24"/>
        </w:rPr>
        <w:t>11</w:t>
      </w:r>
      <w:r w:rsidRPr="00D775A7">
        <w:t xml:space="preserve">. </w:t>
      </w:r>
    </w:p>
    <w:p w:rsidR="00BA34A8" w:rsidRDefault="00BA34A8" w:rsidP="00C954A6">
      <w:pPr>
        <w:widowControl/>
        <w:spacing w:before="120" w:after="120"/>
        <w:jc w:val="left"/>
        <w:rPr>
          <w:rFonts w:ascii="Arial Narrow" w:hAnsi="Arial Narrow"/>
          <w:b/>
          <w:sz w:val="20"/>
        </w:rPr>
      </w:pPr>
      <w:bookmarkStart w:id="30" w:name="_Ref532156061"/>
      <w:bookmarkStart w:id="31" w:name="_Toc535915915"/>
      <w:r>
        <w:rPr>
          <w:rFonts w:ascii="Arial Narrow" w:hAnsi="Arial Narrow"/>
          <w:b/>
          <w:sz w:val="20"/>
        </w:rPr>
        <w:br w:type="page"/>
      </w:r>
    </w:p>
    <w:p w:rsidR="00E02E7E" w:rsidRPr="00D775A7" w:rsidRDefault="00E02E7E" w:rsidP="0065205F">
      <w:pPr>
        <w:widowControl/>
        <w:jc w:val="left"/>
        <w:rPr>
          <w:rFonts w:ascii="Arial Narrow" w:hAnsi="Arial Narrow"/>
          <w:b/>
          <w:sz w:val="20"/>
        </w:rPr>
      </w:pPr>
      <w:r w:rsidRPr="00D775A7">
        <w:rPr>
          <w:rFonts w:ascii="Arial Narrow" w:hAnsi="Arial Narrow"/>
          <w:b/>
          <w:sz w:val="20"/>
        </w:rPr>
        <w:lastRenderedPageBreak/>
        <w:t xml:space="preserve">Table </w:t>
      </w:r>
      <w:r w:rsidR="00BC72D0" w:rsidRPr="00D775A7">
        <w:rPr>
          <w:rFonts w:ascii="Arial Narrow" w:hAnsi="Arial Narrow"/>
          <w:b/>
          <w:sz w:val="20"/>
        </w:rPr>
        <w:t>11</w:t>
      </w:r>
      <w:bookmarkEnd w:id="30"/>
      <w:r w:rsidRPr="00D775A7">
        <w:rPr>
          <w:rFonts w:ascii="Arial Narrow" w:hAnsi="Arial Narrow"/>
          <w:b/>
          <w:sz w:val="20"/>
        </w:rPr>
        <w:t>: Results of the cost-minimisation analysis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of the cost-minimisation analysis"/>
      </w:tblPr>
      <w:tblGrid>
        <w:gridCol w:w="2355"/>
        <w:gridCol w:w="2305"/>
        <w:gridCol w:w="2273"/>
        <w:gridCol w:w="2084"/>
      </w:tblGrid>
      <w:tr w:rsidR="00E02E7E" w:rsidRPr="00D775A7" w:rsidTr="00087F16">
        <w:tc>
          <w:tcPr>
            <w:tcW w:w="2355" w:type="dxa"/>
          </w:tcPr>
          <w:p w:rsidR="00E02E7E" w:rsidRPr="00D775A7" w:rsidRDefault="00E02E7E" w:rsidP="00087F16">
            <w:pPr>
              <w:pStyle w:val="Tabletext"/>
              <w:rPr>
                <w:b/>
              </w:rPr>
            </w:pPr>
            <w:r w:rsidRPr="00D775A7">
              <w:rPr>
                <w:b/>
              </w:rPr>
              <w:t>Component</w:t>
            </w:r>
          </w:p>
        </w:tc>
        <w:tc>
          <w:tcPr>
            <w:tcW w:w="2305" w:type="dxa"/>
            <w:vAlign w:val="center"/>
          </w:tcPr>
          <w:p w:rsidR="00E02E7E" w:rsidRPr="00D775A7" w:rsidRDefault="00E02E7E" w:rsidP="00087F16">
            <w:pPr>
              <w:pStyle w:val="Tabletext"/>
              <w:jc w:val="center"/>
              <w:rPr>
                <w:b/>
              </w:rPr>
            </w:pPr>
            <w:proofErr w:type="spellStart"/>
            <w:r w:rsidRPr="00D775A7">
              <w:rPr>
                <w:b/>
              </w:rPr>
              <w:t>Sublocade</w:t>
            </w:r>
            <w:proofErr w:type="spellEnd"/>
          </w:p>
        </w:tc>
        <w:tc>
          <w:tcPr>
            <w:tcW w:w="2273" w:type="dxa"/>
            <w:vAlign w:val="center"/>
          </w:tcPr>
          <w:p w:rsidR="00E02E7E" w:rsidRPr="00D775A7" w:rsidRDefault="00E02E7E" w:rsidP="00087F16">
            <w:pPr>
              <w:pStyle w:val="Tabletext"/>
              <w:jc w:val="center"/>
              <w:rPr>
                <w:b/>
              </w:rPr>
            </w:pPr>
            <w:r w:rsidRPr="00D775A7">
              <w:rPr>
                <w:b/>
              </w:rPr>
              <w:t>BUP/NAL SL film</w:t>
            </w:r>
          </w:p>
        </w:tc>
        <w:tc>
          <w:tcPr>
            <w:tcW w:w="2084" w:type="dxa"/>
          </w:tcPr>
          <w:p w:rsidR="00E02E7E" w:rsidRPr="00D775A7" w:rsidRDefault="00E02E7E" w:rsidP="00087F16">
            <w:pPr>
              <w:pStyle w:val="Tabletext"/>
              <w:jc w:val="center"/>
              <w:rPr>
                <w:b/>
              </w:rPr>
            </w:pPr>
            <w:r w:rsidRPr="00D775A7">
              <w:rPr>
                <w:b/>
              </w:rPr>
              <w:t>Increment</w:t>
            </w:r>
          </w:p>
        </w:tc>
      </w:tr>
      <w:tr w:rsidR="00E02E7E" w:rsidRPr="00D775A7" w:rsidTr="00087F16">
        <w:tc>
          <w:tcPr>
            <w:tcW w:w="2355" w:type="dxa"/>
          </w:tcPr>
          <w:p w:rsidR="00E02E7E" w:rsidRPr="00D775A7" w:rsidRDefault="00E02E7E" w:rsidP="00087F16">
            <w:pPr>
              <w:pStyle w:val="Tabletext"/>
            </w:pPr>
            <w:r w:rsidRPr="00D775A7">
              <w:t>Daily cost</w:t>
            </w:r>
          </w:p>
        </w:tc>
        <w:tc>
          <w:tcPr>
            <w:tcW w:w="2305" w:type="dxa"/>
            <w:vAlign w:val="center"/>
          </w:tcPr>
          <w:p w:rsidR="00E02E7E" w:rsidRPr="00D775A7" w:rsidRDefault="00E02E7E" w:rsidP="00087F16">
            <w:pPr>
              <w:pStyle w:val="Tabletext"/>
              <w:jc w:val="center"/>
            </w:pPr>
            <w:r w:rsidRPr="00D775A7">
              <w:t>-</w:t>
            </w:r>
          </w:p>
        </w:tc>
        <w:tc>
          <w:tcPr>
            <w:tcW w:w="2273" w:type="dxa"/>
            <w:vAlign w:val="center"/>
          </w:tcPr>
          <w:p w:rsidR="00E02E7E" w:rsidRPr="00D775A7" w:rsidRDefault="00E02E7E" w:rsidP="00087F16">
            <w:pPr>
              <w:pStyle w:val="Tabletext"/>
              <w:jc w:val="center"/>
            </w:pPr>
            <w:r w:rsidRPr="00D775A7">
              <w:t>$12.43</w:t>
            </w:r>
          </w:p>
        </w:tc>
        <w:tc>
          <w:tcPr>
            <w:tcW w:w="2084" w:type="dxa"/>
          </w:tcPr>
          <w:p w:rsidR="00E02E7E" w:rsidRPr="00D775A7" w:rsidRDefault="00E02E7E" w:rsidP="00087F16">
            <w:pPr>
              <w:pStyle w:val="Tabletext"/>
              <w:jc w:val="center"/>
            </w:pPr>
            <w:r w:rsidRPr="00D775A7">
              <w:t>-</w:t>
            </w:r>
          </w:p>
        </w:tc>
      </w:tr>
      <w:tr w:rsidR="00E02E7E" w:rsidRPr="00D775A7" w:rsidTr="00087F16">
        <w:tc>
          <w:tcPr>
            <w:tcW w:w="2355" w:type="dxa"/>
          </w:tcPr>
          <w:p w:rsidR="00E02E7E" w:rsidRPr="00D775A7" w:rsidRDefault="00E02E7E" w:rsidP="00087F16">
            <w:pPr>
              <w:pStyle w:val="Tabletext"/>
            </w:pPr>
            <w:r w:rsidRPr="00D775A7">
              <w:t>Monthly drug cost</w:t>
            </w:r>
          </w:p>
        </w:tc>
        <w:tc>
          <w:tcPr>
            <w:tcW w:w="2305" w:type="dxa"/>
            <w:vAlign w:val="center"/>
          </w:tcPr>
          <w:p w:rsidR="00E02E7E" w:rsidRPr="00ED57B5" w:rsidRDefault="00E02E7E" w:rsidP="00087F16">
            <w:pPr>
              <w:pStyle w:val="Tabletext"/>
              <w:jc w:val="center"/>
            </w:pPr>
            <w:r w:rsidRPr="00ED57B5">
              <w:t>$</w:t>
            </w:r>
            <w:r w:rsidR="005C5EC5">
              <w:rPr>
                <w:noProof/>
                <w:color w:val="000000"/>
                <w:highlight w:val="black"/>
              </w:rPr>
              <w:t>'''''''''''''''</w:t>
            </w:r>
          </w:p>
        </w:tc>
        <w:tc>
          <w:tcPr>
            <w:tcW w:w="2273" w:type="dxa"/>
            <w:vAlign w:val="center"/>
          </w:tcPr>
          <w:p w:rsidR="00E02E7E" w:rsidRPr="00D775A7" w:rsidRDefault="00E02E7E" w:rsidP="00087F16">
            <w:pPr>
              <w:pStyle w:val="Tabletext"/>
              <w:jc w:val="center"/>
            </w:pPr>
            <w:r w:rsidRPr="00D775A7">
              <w:t>$378.34</w:t>
            </w:r>
          </w:p>
        </w:tc>
        <w:tc>
          <w:tcPr>
            <w:tcW w:w="2084" w:type="dxa"/>
          </w:tcPr>
          <w:p w:rsidR="00E02E7E" w:rsidRPr="00ED57B5" w:rsidRDefault="00E02E7E" w:rsidP="00087F16">
            <w:pPr>
              <w:pStyle w:val="Tabletext"/>
              <w:jc w:val="center"/>
            </w:pPr>
            <w:r w:rsidRPr="00ED57B5">
              <w:t>$</w:t>
            </w:r>
            <w:r w:rsidR="005C5EC5">
              <w:rPr>
                <w:noProof/>
                <w:color w:val="000000"/>
                <w:highlight w:val="black"/>
              </w:rPr>
              <w:t>'''''''''''''''</w:t>
            </w:r>
          </w:p>
        </w:tc>
      </w:tr>
      <w:tr w:rsidR="00E02E7E" w:rsidRPr="00D775A7" w:rsidTr="00087F16">
        <w:tc>
          <w:tcPr>
            <w:tcW w:w="2355" w:type="dxa"/>
          </w:tcPr>
          <w:p w:rsidR="00E02E7E" w:rsidRPr="00D775A7" w:rsidRDefault="00E02E7E" w:rsidP="00087F16">
            <w:pPr>
              <w:pStyle w:val="Tabletext"/>
            </w:pPr>
            <w:r w:rsidRPr="00D775A7">
              <w:t>GP visits</w:t>
            </w:r>
          </w:p>
        </w:tc>
        <w:tc>
          <w:tcPr>
            <w:tcW w:w="2305" w:type="dxa"/>
            <w:vAlign w:val="center"/>
          </w:tcPr>
          <w:p w:rsidR="00E02E7E" w:rsidRPr="00ED57B5" w:rsidRDefault="00E02E7E" w:rsidP="00087F16">
            <w:pPr>
              <w:pStyle w:val="Tabletext"/>
              <w:jc w:val="center"/>
            </w:pPr>
            <w:r w:rsidRPr="00ED57B5">
              <w:t>$20.27</w:t>
            </w:r>
          </w:p>
        </w:tc>
        <w:tc>
          <w:tcPr>
            <w:tcW w:w="2273" w:type="dxa"/>
            <w:vAlign w:val="center"/>
          </w:tcPr>
          <w:p w:rsidR="00E02E7E" w:rsidRPr="00D775A7" w:rsidRDefault="00E02E7E" w:rsidP="00087F16">
            <w:pPr>
              <w:pStyle w:val="Tabletext"/>
              <w:jc w:val="center"/>
            </w:pPr>
            <w:r w:rsidRPr="00D775A7">
              <w:t>$25.76</w:t>
            </w:r>
          </w:p>
        </w:tc>
        <w:tc>
          <w:tcPr>
            <w:tcW w:w="2084" w:type="dxa"/>
          </w:tcPr>
          <w:p w:rsidR="00E02E7E" w:rsidRPr="00ED57B5" w:rsidRDefault="00E02E7E" w:rsidP="00087F16">
            <w:pPr>
              <w:pStyle w:val="Tabletext"/>
              <w:jc w:val="center"/>
            </w:pPr>
            <w:r w:rsidRPr="00ED57B5">
              <w:t>-$5.49</w:t>
            </w:r>
          </w:p>
        </w:tc>
      </w:tr>
      <w:tr w:rsidR="00E02E7E" w:rsidRPr="00D775A7" w:rsidTr="00087F16">
        <w:tc>
          <w:tcPr>
            <w:tcW w:w="2355" w:type="dxa"/>
          </w:tcPr>
          <w:p w:rsidR="00E02E7E" w:rsidRPr="00D775A7" w:rsidRDefault="00E02E7E" w:rsidP="00087F16">
            <w:pPr>
              <w:pStyle w:val="Tabletext"/>
            </w:pPr>
            <w:r w:rsidRPr="00D775A7">
              <w:t>Patient co-payments</w:t>
            </w:r>
          </w:p>
        </w:tc>
        <w:tc>
          <w:tcPr>
            <w:tcW w:w="2305" w:type="dxa"/>
            <w:vAlign w:val="center"/>
          </w:tcPr>
          <w:p w:rsidR="00E02E7E" w:rsidRPr="00ED57B5" w:rsidRDefault="00E02E7E" w:rsidP="00087F16">
            <w:pPr>
              <w:pStyle w:val="Tabletext"/>
              <w:jc w:val="center"/>
            </w:pPr>
            <w:r w:rsidRPr="00ED57B5">
              <w:t>$50</w:t>
            </w:r>
          </w:p>
        </w:tc>
        <w:tc>
          <w:tcPr>
            <w:tcW w:w="2273" w:type="dxa"/>
            <w:vAlign w:val="center"/>
          </w:tcPr>
          <w:p w:rsidR="00E02E7E" w:rsidRPr="00D775A7" w:rsidRDefault="00E02E7E" w:rsidP="00087F16">
            <w:pPr>
              <w:pStyle w:val="Tabletext"/>
              <w:jc w:val="center"/>
            </w:pPr>
            <w:r w:rsidRPr="00D775A7">
              <w:t>$199.95</w:t>
            </w:r>
          </w:p>
        </w:tc>
        <w:tc>
          <w:tcPr>
            <w:tcW w:w="2084" w:type="dxa"/>
          </w:tcPr>
          <w:p w:rsidR="00E02E7E" w:rsidRPr="00ED57B5" w:rsidRDefault="00E02E7E" w:rsidP="00087F16">
            <w:pPr>
              <w:pStyle w:val="Tabletext"/>
              <w:jc w:val="center"/>
            </w:pPr>
            <w:r w:rsidRPr="00ED57B5">
              <w:t>-$149.99</w:t>
            </w:r>
          </w:p>
        </w:tc>
      </w:tr>
      <w:tr w:rsidR="00E02E7E" w:rsidRPr="00D775A7" w:rsidTr="00087F16">
        <w:tc>
          <w:tcPr>
            <w:tcW w:w="2355" w:type="dxa"/>
          </w:tcPr>
          <w:p w:rsidR="00E02E7E" w:rsidRPr="00D775A7" w:rsidRDefault="00E02E7E" w:rsidP="00087F16">
            <w:pPr>
              <w:pStyle w:val="Tabletext"/>
            </w:pPr>
            <w:r w:rsidRPr="00D775A7">
              <w:t xml:space="preserve">Adverse event </w:t>
            </w:r>
          </w:p>
        </w:tc>
        <w:tc>
          <w:tcPr>
            <w:tcW w:w="2305" w:type="dxa"/>
            <w:vAlign w:val="center"/>
          </w:tcPr>
          <w:p w:rsidR="00E02E7E" w:rsidRPr="00ED57B5" w:rsidRDefault="00E02E7E" w:rsidP="00087F16">
            <w:pPr>
              <w:pStyle w:val="Tabletext"/>
              <w:jc w:val="center"/>
            </w:pPr>
            <w:r w:rsidRPr="00ED57B5">
              <w:t>$0.00</w:t>
            </w:r>
          </w:p>
        </w:tc>
        <w:tc>
          <w:tcPr>
            <w:tcW w:w="2273" w:type="dxa"/>
            <w:vAlign w:val="center"/>
          </w:tcPr>
          <w:p w:rsidR="00E02E7E" w:rsidRPr="00D775A7" w:rsidRDefault="00E02E7E" w:rsidP="00087F16">
            <w:pPr>
              <w:pStyle w:val="Tabletext"/>
              <w:jc w:val="center"/>
            </w:pPr>
            <w:r w:rsidRPr="00D775A7">
              <w:t>$0.00</w:t>
            </w:r>
          </w:p>
        </w:tc>
        <w:tc>
          <w:tcPr>
            <w:tcW w:w="2084" w:type="dxa"/>
          </w:tcPr>
          <w:p w:rsidR="00E02E7E" w:rsidRPr="00ED57B5" w:rsidRDefault="00E02E7E" w:rsidP="00087F16">
            <w:pPr>
              <w:pStyle w:val="Tabletext"/>
              <w:jc w:val="center"/>
            </w:pPr>
            <w:r w:rsidRPr="00ED57B5">
              <w:t>$0.00</w:t>
            </w:r>
          </w:p>
        </w:tc>
      </w:tr>
      <w:tr w:rsidR="00E02E7E" w:rsidRPr="00D775A7" w:rsidTr="00087F16">
        <w:tc>
          <w:tcPr>
            <w:tcW w:w="2355" w:type="dxa"/>
          </w:tcPr>
          <w:p w:rsidR="00E02E7E" w:rsidRPr="00D775A7" w:rsidRDefault="00E02E7E" w:rsidP="00087F16">
            <w:pPr>
              <w:pStyle w:val="Tabletext"/>
              <w:rPr>
                <w:b/>
              </w:rPr>
            </w:pPr>
            <w:r w:rsidRPr="00D775A7">
              <w:rPr>
                <w:b/>
              </w:rPr>
              <w:t>Cost including offsets</w:t>
            </w:r>
          </w:p>
        </w:tc>
        <w:tc>
          <w:tcPr>
            <w:tcW w:w="2305" w:type="dxa"/>
            <w:vAlign w:val="center"/>
          </w:tcPr>
          <w:p w:rsidR="00E02E7E" w:rsidRPr="00ED57B5" w:rsidRDefault="00E02E7E" w:rsidP="00087F16">
            <w:pPr>
              <w:pStyle w:val="Tabletext"/>
              <w:jc w:val="center"/>
            </w:pPr>
            <w:r w:rsidRPr="00ED57B5">
              <w:t>$</w:t>
            </w:r>
            <w:r w:rsidR="005C5EC5">
              <w:rPr>
                <w:noProof/>
                <w:color w:val="000000"/>
                <w:highlight w:val="black"/>
              </w:rPr>
              <w:t>'''''''''''''''''</w:t>
            </w:r>
          </w:p>
        </w:tc>
        <w:tc>
          <w:tcPr>
            <w:tcW w:w="2273" w:type="dxa"/>
            <w:vAlign w:val="center"/>
          </w:tcPr>
          <w:p w:rsidR="00E02E7E" w:rsidRPr="00D775A7" w:rsidRDefault="00E02E7E" w:rsidP="00087F16">
            <w:pPr>
              <w:pStyle w:val="Tabletext"/>
              <w:jc w:val="center"/>
            </w:pPr>
            <w:r w:rsidRPr="00D775A7">
              <w:t>$604.05</w:t>
            </w:r>
          </w:p>
        </w:tc>
        <w:tc>
          <w:tcPr>
            <w:tcW w:w="2084" w:type="dxa"/>
          </w:tcPr>
          <w:p w:rsidR="00E02E7E" w:rsidRPr="00ED57B5" w:rsidRDefault="00E02E7E" w:rsidP="00087F16">
            <w:pPr>
              <w:pStyle w:val="Tabletext"/>
              <w:jc w:val="center"/>
            </w:pPr>
            <w:r w:rsidRPr="00ED57B5">
              <w:t>$</w:t>
            </w:r>
            <w:r w:rsidR="005C5EC5">
              <w:rPr>
                <w:noProof/>
                <w:color w:val="000000"/>
                <w:highlight w:val="black"/>
              </w:rPr>
              <w:t>''''''''''</w:t>
            </w:r>
          </w:p>
        </w:tc>
      </w:tr>
      <w:tr w:rsidR="00E02E7E" w:rsidRPr="00D775A7" w:rsidTr="00087F16">
        <w:tc>
          <w:tcPr>
            <w:tcW w:w="2355" w:type="dxa"/>
          </w:tcPr>
          <w:p w:rsidR="00E02E7E" w:rsidRPr="00D775A7" w:rsidRDefault="00E02E7E" w:rsidP="00087F16">
            <w:pPr>
              <w:pStyle w:val="Tabletext"/>
            </w:pPr>
            <w:r w:rsidRPr="00D775A7">
              <w:t>Long-acting premium</w:t>
            </w:r>
          </w:p>
        </w:tc>
        <w:tc>
          <w:tcPr>
            <w:tcW w:w="2305" w:type="dxa"/>
            <w:vAlign w:val="center"/>
          </w:tcPr>
          <w:p w:rsidR="00E02E7E" w:rsidRPr="00ED57B5" w:rsidRDefault="00E02E7E" w:rsidP="00087F16">
            <w:pPr>
              <w:pStyle w:val="Tabletext"/>
              <w:jc w:val="center"/>
            </w:pPr>
            <w:r w:rsidRPr="00ED57B5">
              <w:t>$</w:t>
            </w:r>
            <w:r w:rsidR="005C5EC5">
              <w:rPr>
                <w:noProof/>
                <w:color w:val="000000"/>
                <w:highlight w:val="black"/>
              </w:rPr>
              <w:t>''''''''''''''''''</w:t>
            </w:r>
          </w:p>
        </w:tc>
        <w:tc>
          <w:tcPr>
            <w:tcW w:w="2273" w:type="dxa"/>
            <w:vAlign w:val="center"/>
          </w:tcPr>
          <w:p w:rsidR="00E02E7E" w:rsidRPr="00D775A7" w:rsidRDefault="00E02E7E" w:rsidP="00087F16">
            <w:pPr>
              <w:pStyle w:val="Tabletext"/>
              <w:jc w:val="center"/>
            </w:pPr>
            <w:r w:rsidRPr="00D775A7">
              <w:t>$0.00</w:t>
            </w:r>
          </w:p>
        </w:tc>
        <w:tc>
          <w:tcPr>
            <w:tcW w:w="2084" w:type="dxa"/>
          </w:tcPr>
          <w:p w:rsidR="00E02E7E" w:rsidRPr="00ED57B5" w:rsidRDefault="00E02E7E" w:rsidP="00087F16">
            <w:pPr>
              <w:pStyle w:val="Tabletext"/>
              <w:jc w:val="center"/>
            </w:pPr>
            <w:r w:rsidRPr="00ED57B5">
              <w:t>$</w:t>
            </w:r>
            <w:r w:rsidR="005C5EC5">
              <w:rPr>
                <w:noProof/>
                <w:color w:val="000000"/>
                <w:highlight w:val="black"/>
              </w:rPr>
              <w:t>'''''''''''''''''</w:t>
            </w:r>
          </w:p>
        </w:tc>
      </w:tr>
      <w:tr w:rsidR="00E02E7E" w:rsidRPr="00D775A7" w:rsidTr="00087F16">
        <w:tc>
          <w:tcPr>
            <w:tcW w:w="2355" w:type="dxa"/>
          </w:tcPr>
          <w:p w:rsidR="00E02E7E" w:rsidRPr="00D775A7" w:rsidRDefault="00E02E7E" w:rsidP="00087F16">
            <w:pPr>
              <w:pStyle w:val="Tabletext"/>
            </w:pPr>
            <w:r w:rsidRPr="00D775A7">
              <w:t xml:space="preserve">Cost with offsets and premium </w:t>
            </w:r>
          </w:p>
        </w:tc>
        <w:tc>
          <w:tcPr>
            <w:tcW w:w="2305" w:type="dxa"/>
            <w:vAlign w:val="center"/>
          </w:tcPr>
          <w:p w:rsidR="00E02E7E" w:rsidRPr="00ED57B5" w:rsidRDefault="00E02E7E" w:rsidP="00087F16">
            <w:pPr>
              <w:pStyle w:val="Tabletext"/>
              <w:jc w:val="center"/>
            </w:pPr>
            <w:r w:rsidRPr="00ED57B5">
              <w:rPr>
                <w:rFonts w:cs="Calibri"/>
                <w:szCs w:val="18"/>
                <w:lang w:eastAsia="en-AU"/>
              </w:rPr>
              <w:t>$</w:t>
            </w:r>
            <w:r w:rsidR="005C5EC5">
              <w:rPr>
                <w:rFonts w:cs="Calibri"/>
                <w:noProof/>
                <w:color w:val="000000"/>
                <w:szCs w:val="18"/>
                <w:highlight w:val="black"/>
                <w:lang w:eastAsia="en-AU"/>
              </w:rPr>
              <w:t>''''''''''''''''''</w:t>
            </w:r>
          </w:p>
        </w:tc>
        <w:tc>
          <w:tcPr>
            <w:tcW w:w="2273" w:type="dxa"/>
            <w:vAlign w:val="center"/>
          </w:tcPr>
          <w:p w:rsidR="00E02E7E" w:rsidRPr="00D775A7" w:rsidRDefault="00E02E7E" w:rsidP="00087F16">
            <w:pPr>
              <w:pStyle w:val="Tabletext"/>
              <w:jc w:val="center"/>
            </w:pPr>
            <w:r w:rsidRPr="00D775A7">
              <w:rPr>
                <w:rFonts w:cs="Calibri"/>
                <w:szCs w:val="18"/>
                <w:lang w:eastAsia="en-AU"/>
              </w:rPr>
              <w:t>$604.05</w:t>
            </w:r>
          </w:p>
        </w:tc>
        <w:tc>
          <w:tcPr>
            <w:tcW w:w="2084" w:type="dxa"/>
          </w:tcPr>
          <w:p w:rsidR="00E02E7E" w:rsidRPr="00ED57B5" w:rsidRDefault="00E02E7E" w:rsidP="00087F16">
            <w:pPr>
              <w:pStyle w:val="Tabletext"/>
              <w:jc w:val="center"/>
              <w:rPr>
                <w:rFonts w:cs="Calibri"/>
                <w:szCs w:val="18"/>
                <w:lang w:eastAsia="en-AU"/>
              </w:rPr>
            </w:pPr>
            <w:r w:rsidRPr="00ED57B5">
              <w:t>$</w:t>
            </w:r>
            <w:r w:rsidR="005C5EC5">
              <w:rPr>
                <w:noProof/>
                <w:color w:val="000000"/>
                <w:highlight w:val="black"/>
              </w:rPr>
              <w:t>'''''''''''''''''</w:t>
            </w:r>
          </w:p>
        </w:tc>
      </w:tr>
    </w:tbl>
    <w:p w:rsidR="00E02E7E" w:rsidRPr="00D775A7" w:rsidRDefault="00E02E7E" w:rsidP="00E02E7E">
      <w:pPr>
        <w:pStyle w:val="TableFooter"/>
      </w:pPr>
      <w:r w:rsidRPr="00D775A7">
        <w:t>Source: Table 3.8, p161 of the submission</w:t>
      </w:r>
    </w:p>
    <w:p w:rsidR="00E02E7E" w:rsidRPr="00D775A7" w:rsidRDefault="00E02E7E" w:rsidP="00C954A6">
      <w:pPr>
        <w:pStyle w:val="ListParagraph"/>
        <w:widowControl/>
        <w:numPr>
          <w:ilvl w:val="1"/>
          <w:numId w:val="2"/>
        </w:numPr>
        <w:spacing w:before="120" w:after="120"/>
        <w:ind w:left="720" w:hanging="720"/>
      </w:pPr>
      <w:r w:rsidRPr="00D775A7">
        <w:rPr>
          <w:color w:val="000000" w:themeColor="text1"/>
        </w:rPr>
        <w:t>The</w:t>
      </w:r>
      <w:r w:rsidRPr="00D775A7">
        <w:t xml:space="preserve"> submission’s claim of a long-acting injectable price premium of</w:t>
      </w:r>
      <w:r w:rsidRPr="00937DB7">
        <w:t xml:space="preserve"> </w:t>
      </w:r>
      <w:r w:rsidR="005C5EC5">
        <w:rPr>
          <w:noProof/>
          <w:color w:val="000000"/>
          <w:highlight w:val="black"/>
        </w:rPr>
        <w:t>'''''</w:t>
      </w:r>
      <w:r w:rsidRPr="00D775A7">
        <w:t>% was based on PBAC recommendations for different medicines in a different indication, and no valid justification was presented for why</w:t>
      </w:r>
      <w:r w:rsidR="00F77974" w:rsidRPr="00D775A7">
        <w:t xml:space="preserve"> such a premium would apply in o</w:t>
      </w:r>
      <w:r w:rsidRPr="00D775A7">
        <w:t xml:space="preserve">pioid dependence disorder. The submission further attempted to support this premium with the claim of superiority in terms of reduced harms, and a cost-effectiveness analysis. </w:t>
      </w:r>
      <w:r w:rsidR="002122E0" w:rsidRPr="00D775A7">
        <w:t xml:space="preserve">The PSCR states that the price premium proposed is based on the application of an accepted </w:t>
      </w:r>
      <w:r w:rsidR="005C5EC5">
        <w:rPr>
          <w:noProof/>
          <w:color w:val="000000"/>
          <w:highlight w:val="black"/>
        </w:rPr>
        <w:t>'''''</w:t>
      </w:r>
      <w:r w:rsidR="002122E0" w:rsidRPr="00D775A7">
        <w:t>% premium for long acting injections (LAIs). The ESC considered that this was incorrect as there is no such accepted premium for all LAIs, and</w:t>
      </w:r>
      <w:r w:rsidR="00CB2410" w:rsidRPr="00D775A7">
        <w:t xml:space="preserve"> that price premiums for long acting injectable antipsychotics referenced by the submission were inappropriate to use as a precedent. Therefore, the ESC considered</w:t>
      </w:r>
      <w:r w:rsidR="002122E0" w:rsidRPr="00D775A7">
        <w:t xml:space="preserve"> that the application of a price premium of this magnitude in the absence of reliable evidence to support a claim of superiority was inappropriate</w:t>
      </w:r>
      <w:r w:rsidR="00D775A7">
        <w:t xml:space="preserve">. </w:t>
      </w:r>
    </w:p>
    <w:p w:rsidR="00CB2410" w:rsidRPr="00D775A7" w:rsidRDefault="00CB2410" w:rsidP="00C954A6">
      <w:pPr>
        <w:pStyle w:val="ListParagraph"/>
        <w:widowControl/>
        <w:numPr>
          <w:ilvl w:val="1"/>
          <w:numId w:val="2"/>
        </w:numPr>
        <w:spacing w:before="120" w:after="120"/>
        <w:ind w:left="720" w:hanging="720"/>
      </w:pPr>
      <w:r w:rsidRPr="00D775A7">
        <w:rPr>
          <w:rFonts w:cs="Calibri"/>
          <w:snapToGrid/>
          <w:color w:val="000000" w:themeColor="text1"/>
          <w:szCs w:val="24"/>
          <w:lang w:eastAsia="en-AU"/>
        </w:rPr>
        <w:t>The ESC noted that BUP/NAL SL film attracted a premium over buprenorphine alone based on a claim of harm reduction due to reduced diversion</w:t>
      </w:r>
      <w:r w:rsidR="00D769E5">
        <w:rPr>
          <w:rFonts w:cs="Calibri"/>
          <w:snapToGrid/>
          <w:color w:val="000000" w:themeColor="text1"/>
          <w:szCs w:val="24"/>
          <w:lang w:eastAsia="en-AU"/>
        </w:rPr>
        <w:t>;</w:t>
      </w:r>
      <w:r w:rsidR="00D769E5" w:rsidRPr="00D775A7">
        <w:rPr>
          <w:rFonts w:cs="Calibri"/>
          <w:snapToGrid/>
          <w:color w:val="000000" w:themeColor="text1"/>
          <w:szCs w:val="24"/>
          <w:lang w:eastAsia="en-AU"/>
        </w:rPr>
        <w:t xml:space="preserve"> </w:t>
      </w:r>
      <w:r w:rsidRPr="00D775A7">
        <w:rPr>
          <w:rFonts w:cs="Calibri"/>
          <w:snapToGrid/>
          <w:color w:val="000000" w:themeColor="text1"/>
          <w:szCs w:val="24"/>
          <w:lang w:eastAsia="en-AU"/>
        </w:rPr>
        <w:t>however</w:t>
      </w:r>
      <w:r w:rsidR="00D769E5">
        <w:rPr>
          <w:rFonts w:cs="Calibri"/>
          <w:snapToGrid/>
          <w:color w:val="000000" w:themeColor="text1"/>
          <w:szCs w:val="24"/>
          <w:lang w:eastAsia="en-AU"/>
        </w:rPr>
        <w:t>,</w:t>
      </w:r>
      <w:r w:rsidRPr="00D775A7">
        <w:rPr>
          <w:rFonts w:cs="Calibri"/>
          <w:snapToGrid/>
          <w:color w:val="000000" w:themeColor="text1"/>
          <w:szCs w:val="24"/>
          <w:lang w:eastAsia="en-AU"/>
        </w:rPr>
        <w:t xml:space="preserve"> in practice reduction in diversion was less than claimed. </w:t>
      </w:r>
    </w:p>
    <w:p w:rsidR="00150428" w:rsidRPr="00D775A7" w:rsidRDefault="00C90489" w:rsidP="00C954A6">
      <w:pPr>
        <w:pStyle w:val="ListParagraph"/>
        <w:widowControl/>
        <w:numPr>
          <w:ilvl w:val="1"/>
          <w:numId w:val="2"/>
        </w:numPr>
        <w:spacing w:before="120" w:after="120"/>
        <w:ind w:left="720" w:hanging="720"/>
        <w:rPr>
          <w:rFonts w:ascii="Arial Narrow" w:hAnsi="Arial Narrow"/>
          <w:b/>
          <w:sz w:val="20"/>
        </w:rPr>
      </w:pPr>
      <w:r w:rsidRPr="00D775A7">
        <w:rPr>
          <w:color w:val="000000" w:themeColor="text1"/>
        </w:rPr>
        <w:t>An</w:t>
      </w:r>
      <w:r w:rsidRPr="00D775A7">
        <w:t xml:space="preserve"> additional cost-minimisation analysis was conducted during the evaluation in which the </w:t>
      </w:r>
      <w:proofErr w:type="spellStart"/>
      <w:r w:rsidRPr="00D775A7">
        <w:t>equi</w:t>
      </w:r>
      <w:proofErr w:type="spellEnd"/>
      <w:r w:rsidRPr="00D775A7">
        <w:t>-effectiv</w:t>
      </w:r>
      <w:r w:rsidR="008355EB" w:rsidRPr="00D775A7">
        <w:t xml:space="preserve">e dosing was changed to 18.5 </w:t>
      </w:r>
      <w:r w:rsidR="00150428" w:rsidRPr="00D775A7">
        <w:t>mg/</w:t>
      </w:r>
      <w:r w:rsidRPr="00D775A7">
        <w:t xml:space="preserve">day, the patient fees and GP visit offsets were removed and alternate premiums were presented. </w:t>
      </w:r>
      <w:r w:rsidR="0097065B" w:rsidRPr="00D775A7">
        <w:t>T</w:t>
      </w:r>
      <w:r w:rsidRPr="00D775A7">
        <w:t xml:space="preserve">his analysis is presented in </w:t>
      </w:r>
      <w:r w:rsidR="00BC72D0" w:rsidRPr="00D775A7">
        <w:t xml:space="preserve">Table </w:t>
      </w:r>
      <w:r w:rsidR="00BC72D0" w:rsidRPr="007935E6">
        <w:rPr>
          <w:rFonts w:asciiTheme="minorHAnsi" w:hAnsiTheme="minorHAnsi" w:cstheme="minorHAnsi"/>
          <w:szCs w:val="24"/>
        </w:rPr>
        <w:t>12</w:t>
      </w:r>
      <w:r w:rsidRPr="00D775A7">
        <w:t>.</w:t>
      </w:r>
      <w:r w:rsidR="002122E0" w:rsidRPr="00D775A7">
        <w:t xml:space="preserve"> </w:t>
      </w:r>
      <w:bookmarkStart w:id="32" w:name="_Ref534629982"/>
      <w:bookmarkStart w:id="33" w:name="_Toc535915916"/>
    </w:p>
    <w:p w:rsidR="00C90489" w:rsidRPr="00D775A7" w:rsidRDefault="00C90489" w:rsidP="00150428">
      <w:pPr>
        <w:widowControl/>
        <w:rPr>
          <w:rFonts w:ascii="Arial Narrow" w:hAnsi="Arial Narrow"/>
          <w:b/>
          <w:sz w:val="20"/>
        </w:rPr>
      </w:pPr>
      <w:r w:rsidRPr="00D775A7">
        <w:rPr>
          <w:rFonts w:ascii="Arial Narrow" w:hAnsi="Arial Narrow"/>
          <w:b/>
          <w:sz w:val="20"/>
        </w:rPr>
        <w:t xml:space="preserve">Table </w:t>
      </w:r>
      <w:r w:rsidR="00BC72D0" w:rsidRPr="00D775A7">
        <w:rPr>
          <w:rFonts w:ascii="Arial Narrow" w:hAnsi="Arial Narrow"/>
          <w:b/>
          <w:sz w:val="20"/>
        </w:rPr>
        <w:t>12</w:t>
      </w:r>
      <w:bookmarkEnd w:id="32"/>
      <w:r w:rsidRPr="00D775A7">
        <w:rPr>
          <w:rFonts w:ascii="Arial Narrow" w:hAnsi="Arial Narrow"/>
          <w:b/>
          <w:sz w:val="20"/>
        </w:rPr>
        <w:t>: Results of the cost-minimisation analysis (evaluation)</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Results of the cost-minimisation analysis (evaluation)"/>
      </w:tblPr>
      <w:tblGrid>
        <w:gridCol w:w="2355"/>
        <w:gridCol w:w="2305"/>
        <w:gridCol w:w="2273"/>
        <w:gridCol w:w="2084"/>
      </w:tblGrid>
      <w:tr w:rsidR="00C90489" w:rsidRPr="00D775A7" w:rsidTr="004C6A58">
        <w:tc>
          <w:tcPr>
            <w:tcW w:w="2355" w:type="dxa"/>
          </w:tcPr>
          <w:p w:rsidR="00C90489" w:rsidRPr="00D775A7" w:rsidRDefault="00C90489" w:rsidP="004C6A58">
            <w:pPr>
              <w:pStyle w:val="Tabletext"/>
              <w:rPr>
                <w:b/>
              </w:rPr>
            </w:pPr>
            <w:r w:rsidRPr="00D775A7">
              <w:rPr>
                <w:b/>
              </w:rPr>
              <w:t>Component</w:t>
            </w:r>
          </w:p>
        </w:tc>
        <w:tc>
          <w:tcPr>
            <w:tcW w:w="2305" w:type="dxa"/>
            <w:vAlign w:val="center"/>
          </w:tcPr>
          <w:p w:rsidR="00C90489" w:rsidRPr="00D775A7" w:rsidRDefault="00C90489" w:rsidP="004C6A58">
            <w:pPr>
              <w:pStyle w:val="Tabletext"/>
              <w:jc w:val="center"/>
              <w:rPr>
                <w:b/>
              </w:rPr>
            </w:pPr>
            <w:proofErr w:type="spellStart"/>
            <w:r w:rsidRPr="00D775A7">
              <w:rPr>
                <w:b/>
              </w:rPr>
              <w:t>Sublocade</w:t>
            </w:r>
            <w:proofErr w:type="spellEnd"/>
          </w:p>
        </w:tc>
        <w:tc>
          <w:tcPr>
            <w:tcW w:w="2273" w:type="dxa"/>
            <w:vAlign w:val="center"/>
          </w:tcPr>
          <w:p w:rsidR="00C90489" w:rsidRPr="00D775A7" w:rsidRDefault="00C90489" w:rsidP="004C6A58">
            <w:pPr>
              <w:pStyle w:val="Tabletext"/>
              <w:jc w:val="center"/>
              <w:rPr>
                <w:b/>
              </w:rPr>
            </w:pPr>
            <w:r w:rsidRPr="00D775A7">
              <w:rPr>
                <w:b/>
              </w:rPr>
              <w:t>BUP/NAL SL film</w:t>
            </w:r>
          </w:p>
        </w:tc>
        <w:tc>
          <w:tcPr>
            <w:tcW w:w="2084" w:type="dxa"/>
          </w:tcPr>
          <w:p w:rsidR="00C90489" w:rsidRPr="00D775A7" w:rsidRDefault="00C90489" w:rsidP="004C6A58">
            <w:pPr>
              <w:pStyle w:val="Tabletext"/>
              <w:jc w:val="center"/>
              <w:rPr>
                <w:b/>
              </w:rPr>
            </w:pPr>
            <w:r w:rsidRPr="00D775A7">
              <w:rPr>
                <w:b/>
              </w:rPr>
              <w:t>Increment</w:t>
            </w:r>
          </w:p>
        </w:tc>
      </w:tr>
      <w:tr w:rsidR="00C90489" w:rsidRPr="00D775A7" w:rsidTr="004C6A58">
        <w:tc>
          <w:tcPr>
            <w:tcW w:w="2355" w:type="dxa"/>
          </w:tcPr>
          <w:p w:rsidR="00C90489" w:rsidRPr="00D775A7" w:rsidRDefault="00C90489" w:rsidP="004C6A58">
            <w:pPr>
              <w:pStyle w:val="Tabletext"/>
            </w:pPr>
            <w:r w:rsidRPr="00D775A7">
              <w:t>Daily cost</w:t>
            </w:r>
          </w:p>
        </w:tc>
        <w:tc>
          <w:tcPr>
            <w:tcW w:w="2305" w:type="dxa"/>
            <w:vAlign w:val="center"/>
          </w:tcPr>
          <w:p w:rsidR="00C90489" w:rsidRPr="00D775A7" w:rsidRDefault="00C90489" w:rsidP="004C6A58">
            <w:pPr>
              <w:pStyle w:val="Tabletext"/>
              <w:jc w:val="center"/>
            </w:pPr>
            <w:r w:rsidRPr="00D775A7">
              <w:t>-</w:t>
            </w:r>
          </w:p>
        </w:tc>
        <w:tc>
          <w:tcPr>
            <w:tcW w:w="2273" w:type="dxa"/>
            <w:vAlign w:val="center"/>
          </w:tcPr>
          <w:p w:rsidR="00C90489" w:rsidRPr="00D775A7" w:rsidRDefault="00C90489" w:rsidP="004C6A58">
            <w:pPr>
              <w:pStyle w:val="Tabletext"/>
              <w:jc w:val="center"/>
            </w:pPr>
            <w:r w:rsidRPr="00D775A7">
              <w:t>$11.52</w:t>
            </w:r>
          </w:p>
        </w:tc>
        <w:tc>
          <w:tcPr>
            <w:tcW w:w="2084" w:type="dxa"/>
          </w:tcPr>
          <w:p w:rsidR="00C90489" w:rsidRPr="00D775A7" w:rsidRDefault="00C90489" w:rsidP="004C6A58">
            <w:pPr>
              <w:pStyle w:val="Tabletext"/>
              <w:jc w:val="center"/>
            </w:pPr>
            <w:r w:rsidRPr="00D775A7">
              <w:t>-</w:t>
            </w:r>
          </w:p>
        </w:tc>
      </w:tr>
      <w:tr w:rsidR="00C90489" w:rsidRPr="00D775A7" w:rsidTr="004C6A58">
        <w:tc>
          <w:tcPr>
            <w:tcW w:w="2355" w:type="dxa"/>
          </w:tcPr>
          <w:p w:rsidR="00C90489" w:rsidRPr="00D775A7" w:rsidRDefault="00C90489" w:rsidP="004C6A58">
            <w:pPr>
              <w:pStyle w:val="Tabletext"/>
            </w:pPr>
            <w:r w:rsidRPr="00D775A7">
              <w:t>Monthly drug cost</w:t>
            </w:r>
          </w:p>
        </w:tc>
        <w:tc>
          <w:tcPr>
            <w:tcW w:w="2305" w:type="dxa"/>
            <w:vAlign w:val="center"/>
          </w:tcPr>
          <w:p w:rsidR="00C90489" w:rsidRPr="00D775A7" w:rsidRDefault="0097065B" w:rsidP="004C6A58">
            <w:pPr>
              <w:pStyle w:val="Tabletext"/>
              <w:jc w:val="center"/>
            </w:pPr>
            <w:r w:rsidRPr="00D31853">
              <w:t>-</w:t>
            </w:r>
          </w:p>
        </w:tc>
        <w:tc>
          <w:tcPr>
            <w:tcW w:w="2273" w:type="dxa"/>
            <w:vAlign w:val="center"/>
          </w:tcPr>
          <w:p w:rsidR="00C90489" w:rsidRPr="00D775A7" w:rsidRDefault="00C90489" w:rsidP="004C6A58">
            <w:pPr>
              <w:pStyle w:val="Tabletext"/>
              <w:jc w:val="center"/>
            </w:pPr>
            <w:r w:rsidRPr="00D775A7">
              <w:t>$350.72</w:t>
            </w:r>
          </w:p>
        </w:tc>
        <w:tc>
          <w:tcPr>
            <w:tcW w:w="2084" w:type="dxa"/>
          </w:tcPr>
          <w:p w:rsidR="00C90489" w:rsidRPr="00D775A7" w:rsidRDefault="0097065B" w:rsidP="004C6A58">
            <w:pPr>
              <w:pStyle w:val="Tabletext"/>
              <w:jc w:val="center"/>
            </w:pPr>
            <w:r w:rsidRPr="00D31853">
              <w:t>-</w:t>
            </w:r>
          </w:p>
        </w:tc>
      </w:tr>
      <w:tr w:rsidR="00704963" w:rsidRPr="00D775A7" w:rsidTr="004C6A58">
        <w:tc>
          <w:tcPr>
            <w:tcW w:w="2355" w:type="dxa"/>
          </w:tcPr>
          <w:p w:rsidR="00704963" w:rsidRPr="00D775A7" w:rsidRDefault="00704963" w:rsidP="00704963">
            <w:pPr>
              <w:pStyle w:val="Tabletext"/>
            </w:pPr>
            <w:r w:rsidRPr="00D775A7">
              <w:t>Patient fees</w:t>
            </w:r>
          </w:p>
        </w:tc>
        <w:tc>
          <w:tcPr>
            <w:tcW w:w="2305" w:type="dxa"/>
            <w:vAlign w:val="center"/>
          </w:tcPr>
          <w:p w:rsidR="00704963" w:rsidRPr="00D775A7" w:rsidRDefault="00704963" w:rsidP="00704963">
            <w:pPr>
              <w:pStyle w:val="Tabletext"/>
              <w:jc w:val="center"/>
            </w:pPr>
            <w:r w:rsidRPr="00D775A7">
              <w:t>$0.00</w:t>
            </w:r>
          </w:p>
        </w:tc>
        <w:tc>
          <w:tcPr>
            <w:tcW w:w="2273" w:type="dxa"/>
            <w:vAlign w:val="center"/>
          </w:tcPr>
          <w:p w:rsidR="00704963" w:rsidRPr="00D775A7" w:rsidRDefault="00704963" w:rsidP="00704963">
            <w:pPr>
              <w:pStyle w:val="Tabletext"/>
              <w:jc w:val="center"/>
            </w:pPr>
            <w:r w:rsidRPr="00D775A7">
              <w:t>$0.00</w:t>
            </w:r>
          </w:p>
        </w:tc>
        <w:tc>
          <w:tcPr>
            <w:tcW w:w="2084" w:type="dxa"/>
          </w:tcPr>
          <w:p w:rsidR="00704963" w:rsidRPr="00D775A7" w:rsidRDefault="00704963" w:rsidP="00704963">
            <w:pPr>
              <w:pStyle w:val="Tabletext"/>
              <w:jc w:val="center"/>
            </w:pPr>
            <w:r w:rsidRPr="00D775A7">
              <w:t>$0.00</w:t>
            </w:r>
          </w:p>
        </w:tc>
      </w:tr>
      <w:tr w:rsidR="00704963" w:rsidRPr="00D775A7" w:rsidTr="004C6A58">
        <w:trPr>
          <w:trHeight w:val="78"/>
        </w:trPr>
        <w:tc>
          <w:tcPr>
            <w:tcW w:w="2355" w:type="dxa"/>
          </w:tcPr>
          <w:p w:rsidR="00704963" w:rsidRPr="00D775A7" w:rsidRDefault="00704963" w:rsidP="00704963">
            <w:pPr>
              <w:pStyle w:val="Tabletext"/>
            </w:pPr>
            <w:r w:rsidRPr="00D775A7">
              <w:t>GP visits</w:t>
            </w:r>
          </w:p>
        </w:tc>
        <w:tc>
          <w:tcPr>
            <w:tcW w:w="2305" w:type="dxa"/>
            <w:vAlign w:val="center"/>
          </w:tcPr>
          <w:p w:rsidR="00704963" w:rsidRPr="00D775A7" w:rsidRDefault="00704963" w:rsidP="00704963">
            <w:pPr>
              <w:pStyle w:val="Tabletext"/>
              <w:jc w:val="center"/>
            </w:pPr>
            <w:r w:rsidRPr="00D775A7">
              <w:t>$0.00</w:t>
            </w:r>
          </w:p>
        </w:tc>
        <w:tc>
          <w:tcPr>
            <w:tcW w:w="2273" w:type="dxa"/>
            <w:vAlign w:val="center"/>
          </w:tcPr>
          <w:p w:rsidR="00704963" w:rsidRPr="00D775A7" w:rsidRDefault="00704963" w:rsidP="00704963">
            <w:pPr>
              <w:pStyle w:val="Tabletext"/>
              <w:jc w:val="center"/>
            </w:pPr>
            <w:r w:rsidRPr="00D775A7">
              <w:t>$0.00</w:t>
            </w:r>
          </w:p>
        </w:tc>
        <w:tc>
          <w:tcPr>
            <w:tcW w:w="2084" w:type="dxa"/>
          </w:tcPr>
          <w:p w:rsidR="00704963" w:rsidRPr="00D775A7" w:rsidRDefault="00704963" w:rsidP="00704963">
            <w:pPr>
              <w:pStyle w:val="Tabletext"/>
              <w:jc w:val="center"/>
            </w:pPr>
            <w:r w:rsidRPr="00D775A7">
              <w:t>$0.00</w:t>
            </w:r>
          </w:p>
        </w:tc>
      </w:tr>
      <w:tr w:rsidR="00704963" w:rsidRPr="00D775A7" w:rsidTr="004C6A58">
        <w:tc>
          <w:tcPr>
            <w:tcW w:w="2355" w:type="dxa"/>
          </w:tcPr>
          <w:p w:rsidR="00704963" w:rsidRPr="00D775A7" w:rsidRDefault="00704963" w:rsidP="00704963">
            <w:pPr>
              <w:pStyle w:val="Tabletext"/>
            </w:pPr>
            <w:r w:rsidRPr="00D775A7">
              <w:t xml:space="preserve">Adverse event </w:t>
            </w:r>
          </w:p>
        </w:tc>
        <w:tc>
          <w:tcPr>
            <w:tcW w:w="2305" w:type="dxa"/>
            <w:vAlign w:val="center"/>
          </w:tcPr>
          <w:p w:rsidR="00704963" w:rsidRPr="00D775A7" w:rsidRDefault="00704963" w:rsidP="00704963">
            <w:pPr>
              <w:pStyle w:val="Tabletext"/>
              <w:jc w:val="center"/>
            </w:pPr>
            <w:r w:rsidRPr="00D775A7">
              <w:t>$0.00</w:t>
            </w:r>
          </w:p>
        </w:tc>
        <w:tc>
          <w:tcPr>
            <w:tcW w:w="2273" w:type="dxa"/>
            <w:vAlign w:val="center"/>
          </w:tcPr>
          <w:p w:rsidR="00704963" w:rsidRPr="00D775A7" w:rsidRDefault="00704963" w:rsidP="00704963">
            <w:pPr>
              <w:pStyle w:val="Tabletext"/>
              <w:jc w:val="center"/>
            </w:pPr>
            <w:r w:rsidRPr="00D775A7">
              <w:t>$0.00</w:t>
            </w:r>
          </w:p>
        </w:tc>
        <w:tc>
          <w:tcPr>
            <w:tcW w:w="2084" w:type="dxa"/>
          </w:tcPr>
          <w:p w:rsidR="00704963" w:rsidRPr="00D775A7" w:rsidRDefault="00704963" w:rsidP="00704963">
            <w:pPr>
              <w:pStyle w:val="Tabletext"/>
              <w:jc w:val="center"/>
            </w:pPr>
            <w:r w:rsidRPr="00D775A7">
              <w:t>$0.00</w:t>
            </w:r>
          </w:p>
        </w:tc>
      </w:tr>
      <w:tr w:rsidR="00704963" w:rsidRPr="00D775A7" w:rsidTr="004C6A58">
        <w:tc>
          <w:tcPr>
            <w:tcW w:w="2355" w:type="dxa"/>
          </w:tcPr>
          <w:p w:rsidR="00704963" w:rsidRPr="00D775A7" w:rsidRDefault="00704963" w:rsidP="00704963">
            <w:pPr>
              <w:pStyle w:val="Tabletext"/>
              <w:rPr>
                <w:b/>
              </w:rPr>
            </w:pPr>
            <w:r w:rsidRPr="00D775A7">
              <w:rPr>
                <w:b/>
              </w:rPr>
              <w:t>Cost excluding offsets</w:t>
            </w:r>
          </w:p>
        </w:tc>
        <w:tc>
          <w:tcPr>
            <w:tcW w:w="2305" w:type="dxa"/>
            <w:vAlign w:val="center"/>
          </w:tcPr>
          <w:p w:rsidR="00704963" w:rsidRPr="00937DB7" w:rsidRDefault="00704963" w:rsidP="00704963">
            <w:pPr>
              <w:pStyle w:val="Tabletext"/>
              <w:jc w:val="center"/>
            </w:pPr>
            <w:r w:rsidRPr="00937DB7">
              <w:t>$</w:t>
            </w:r>
            <w:r w:rsidRPr="00D31853">
              <w:t>350.72</w:t>
            </w:r>
          </w:p>
        </w:tc>
        <w:tc>
          <w:tcPr>
            <w:tcW w:w="2273" w:type="dxa"/>
            <w:vAlign w:val="center"/>
          </w:tcPr>
          <w:p w:rsidR="00704963" w:rsidRPr="00937DB7" w:rsidRDefault="00704963" w:rsidP="00704963">
            <w:pPr>
              <w:pStyle w:val="Tabletext"/>
              <w:jc w:val="center"/>
            </w:pPr>
            <w:r w:rsidRPr="00937DB7">
              <w:t>$350.72</w:t>
            </w:r>
          </w:p>
        </w:tc>
        <w:tc>
          <w:tcPr>
            <w:tcW w:w="2084" w:type="dxa"/>
          </w:tcPr>
          <w:p w:rsidR="00704963" w:rsidRPr="00937DB7" w:rsidRDefault="00704963" w:rsidP="00704963">
            <w:pPr>
              <w:pStyle w:val="Tabletext"/>
              <w:jc w:val="center"/>
            </w:pPr>
            <w:r w:rsidRPr="00937DB7">
              <w:t>$</w:t>
            </w:r>
            <w:r w:rsidRPr="00D31853">
              <w:t>0.00</w:t>
            </w:r>
          </w:p>
        </w:tc>
      </w:tr>
      <w:tr w:rsidR="00704963" w:rsidRPr="00D775A7" w:rsidTr="004C6A58">
        <w:tc>
          <w:tcPr>
            <w:tcW w:w="9017" w:type="dxa"/>
            <w:gridSpan w:val="4"/>
          </w:tcPr>
          <w:p w:rsidR="00704963" w:rsidRPr="00937DB7" w:rsidRDefault="00704963" w:rsidP="00704963">
            <w:pPr>
              <w:pStyle w:val="Tabletext"/>
            </w:pPr>
            <w:r w:rsidRPr="00937DB7">
              <w:rPr>
                <w:b/>
              </w:rPr>
              <w:t xml:space="preserve">Cost including </w:t>
            </w:r>
            <w:r w:rsidR="0097065B" w:rsidRPr="00937DB7">
              <w:rPr>
                <w:b/>
              </w:rPr>
              <w:t>l</w:t>
            </w:r>
            <w:r w:rsidRPr="00937DB7">
              <w:rPr>
                <w:b/>
              </w:rPr>
              <w:t>ong-acting premium</w:t>
            </w:r>
          </w:p>
        </w:tc>
      </w:tr>
      <w:tr w:rsidR="00704963" w:rsidRPr="00D775A7" w:rsidTr="004C6A58">
        <w:tc>
          <w:tcPr>
            <w:tcW w:w="2355" w:type="dxa"/>
          </w:tcPr>
          <w:p w:rsidR="00704963" w:rsidRPr="00D775A7" w:rsidRDefault="00704963" w:rsidP="00704963">
            <w:pPr>
              <w:pStyle w:val="Tabletext"/>
            </w:pPr>
            <w:r w:rsidRPr="00D775A7">
              <w:t xml:space="preserve">Cost with 10% premium </w:t>
            </w:r>
          </w:p>
        </w:tc>
        <w:tc>
          <w:tcPr>
            <w:tcW w:w="2305" w:type="dxa"/>
            <w:tcBorders>
              <w:top w:val="nil"/>
              <w:left w:val="single" w:sz="4" w:space="0" w:color="auto"/>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w:t>
            </w:r>
            <w:r w:rsidRPr="00D31853">
              <w:rPr>
                <w:rFonts w:cs="Calibri"/>
                <w:color w:val="000000"/>
                <w:szCs w:val="20"/>
              </w:rPr>
              <w:t>385.79</w:t>
            </w:r>
          </w:p>
        </w:tc>
        <w:tc>
          <w:tcPr>
            <w:tcW w:w="2273"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$350.72</w:t>
            </w:r>
          </w:p>
        </w:tc>
        <w:tc>
          <w:tcPr>
            <w:tcW w:w="2084"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pPr>
            <w:r w:rsidRPr="00937DB7">
              <w:rPr>
                <w:rFonts w:cs="Calibri"/>
                <w:color w:val="000000"/>
                <w:szCs w:val="20"/>
              </w:rPr>
              <w:t>$</w:t>
            </w:r>
            <w:r w:rsidRPr="00D31853">
              <w:rPr>
                <w:rFonts w:cs="Calibri"/>
                <w:color w:val="000000"/>
                <w:szCs w:val="20"/>
              </w:rPr>
              <w:t>35.07</w:t>
            </w:r>
          </w:p>
        </w:tc>
      </w:tr>
      <w:tr w:rsidR="00704963" w:rsidRPr="00D775A7" w:rsidTr="004C6A58">
        <w:tc>
          <w:tcPr>
            <w:tcW w:w="2355" w:type="dxa"/>
          </w:tcPr>
          <w:p w:rsidR="00704963" w:rsidRPr="00D775A7" w:rsidRDefault="00704963" w:rsidP="00704963">
            <w:pPr>
              <w:pStyle w:val="Tabletext"/>
            </w:pPr>
            <w:r w:rsidRPr="00D775A7">
              <w:t xml:space="preserve">Cost with 15% premium </w:t>
            </w:r>
          </w:p>
        </w:tc>
        <w:tc>
          <w:tcPr>
            <w:tcW w:w="2305" w:type="dxa"/>
            <w:tcBorders>
              <w:top w:val="nil"/>
              <w:left w:val="single" w:sz="4" w:space="0" w:color="auto"/>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w:t>
            </w:r>
            <w:r w:rsidRPr="00D31853">
              <w:rPr>
                <w:rFonts w:cs="Calibri"/>
                <w:color w:val="000000"/>
                <w:szCs w:val="20"/>
              </w:rPr>
              <w:t>403.32</w:t>
            </w:r>
          </w:p>
        </w:tc>
        <w:tc>
          <w:tcPr>
            <w:tcW w:w="2273"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$350.72</w:t>
            </w:r>
          </w:p>
        </w:tc>
        <w:tc>
          <w:tcPr>
            <w:tcW w:w="2084"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pPr>
            <w:r w:rsidRPr="00937DB7">
              <w:rPr>
                <w:rFonts w:cs="Calibri"/>
                <w:color w:val="000000"/>
                <w:szCs w:val="20"/>
              </w:rPr>
              <w:t>$</w:t>
            </w:r>
            <w:r w:rsidRPr="00D31853">
              <w:rPr>
                <w:rFonts w:cs="Calibri"/>
                <w:color w:val="000000"/>
                <w:szCs w:val="20"/>
              </w:rPr>
              <w:t>52.61</w:t>
            </w:r>
          </w:p>
        </w:tc>
      </w:tr>
      <w:tr w:rsidR="00704963" w:rsidRPr="00D775A7" w:rsidTr="004C6A58">
        <w:tc>
          <w:tcPr>
            <w:tcW w:w="2355" w:type="dxa"/>
          </w:tcPr>
          <w:p w:rsidR="00704963" w:rsidRPr="00D775A7" w:rsidRDefault="00704963" w:rsidP="00704963">
            <w:pPr>
              <w:pStyle w:val="Tabletext"/>
            </w:pPr>
            <w:r w:rsidRPr="00D775A7">
              <w:t xml:space="preserve">Cost with 20% premium </w:t>
            </w:r>
          </w:p>
        </w:tc>
        <w:tc>
          <w:tcPr>
            <w:tcW w:w="2305" w:type="dxa"/>
            <w:tcBorders>
              <w:top w:val="nil"/>
              <w:left w:val="single" w:sz="4" w:space="0" w:color="auto"/>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w:t>
            </w:r>
            <w:r w:rsidRPr="00D31853">
              <w:rPr>
                <w:rFonts w:cs="Calibri"/>
                <w:color w:val="000000"/>
                <w:szCs w:val="20"/>
              </w:rPr>
              <w:t>420.86</w:t>
            </w:r>
          </w:p>
        </w:tc>
        <w:tc>
          <w:tcPr>
            <w:tcW w:w="2273"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rPr>
                <w:rFonts w:cs="Calibri"/>
                <w:szCs w:val="18"/>
                <w:lang w:eastAsia="en-AU"/>
              </w:rPr>
            </w:pPr>
            <w:r w:rsidRPr="00937DB7">
              <w:rPr>
                <w:rFonts w:cs="Calibri"/>
                <w:color w:val="000000"/>
                <w:szCs w:val="20"/>
              </w:rPr>
              <w:t>$350.72</w:t>
            </w:r>
          </w:p>
        </w:tc>
        <w:tc>
          <w:tcPr>
            <w:tcW w:w="2084" w:type="dxa"/>
            <w:tcBorders>
              <w:top w:val="nil"/>
              <w:left w:val="nil"/>
              <w:bottom w:val="single" w:sz="4" w:space="0" w:color="auto"/>
              <w:right w:val="single" w:sz="4" w:space="0" w:color="auto"/>
            </w:tcBorders>
            <w:shd w:val="clear" w:color="auto" w:fill="auto"/>
            <w:vAlign w:val="center"/>
          </w:tcPr>
          <w:p w:rsidR="00704963" w:rsidRPr="00937DB7" w:rsidRDefault="00704963" w:rsidP="00704963">
            <w:pPr>
              <w:pStyle w:val="Tabletext"/>
              <w:jc w:val="center"/>
            </w:pPr>
            <w:r w:rsidRPr="00937DB7">
              <w:rPr>
                <w:rFonts w:cs="Calibri"/>
                <w:color w:val="000000"/>
                <w:szCs w:val="20"/>
              </w:rPr>
              <w:t>$</w:t>
            </w:r>
            <w:r w:rsidRPr="00D31853">
              <w:rPr>
                <w:rFonts w:cs="Calibri"/>
                <w:color w:val="000000"/>
                <w:szCs w:val="20"/>
              </w:rPr>
              <w:t>70.14</w:t>
            </w:r>
          </w:p>
        </w:tc>
      </w:tr>
    </w:tbl>
    <w:p w:rsidR="00C90489" w:rsidRPr="00D775A7" w:rsidRDefault="00C90489" w:rsidP="00C90489">
      <w:pPr>
        <w:pStyle w:val="TableFooter"/>
      </w:pPr>
      <w:r w:rsidRPr="00D775A7">
        <w:t>Source: changes made during evaluation to ‘Buprenorphine long-acting injectable (</w:t>
      </w:r>
      <w:proofErr w:type="spellStart"/>
      <w:r w:rsidRPr="00D775A7">
        <w:t>Sublocade</w:t>
      </w:r>
      <w:proofErr w:type="spellEnd"/>
      <w:r w:rsidRPr="00D775A7">
        <w:t>) Section 3 Workbook.xlsx’</w:t>
      </w:r>
    </w:p>
    <w:p w:rsidR="001466D5" w:rsidRPr="00D775A7" w:rsidRDefault="001466D5" w:rsidP="00C954A6">
      <w:pPr>
        <w:pStyle w:val="ListParagraph"/>
        <w:widowControl/>
        <w:numPr>
          <w:ilvl w:val="1"/>
          <w:numId w:val="2"/>
        </w:numPr>
        <w:spacing w:before="120" w:after="120"/>
        <w:ind w:left="720" w:hanging="720"/>
      </w:pPr>
      <w:r w:rsidRPr="00D775A7">
        <w:t xml:space="preserve">While the ESC considered that this was a more realistic estimation of </w:t>
      </w:r>
      <w:proofErr w:type="spellStart"/>
      <w:r w:rsidRPr="00D775A7">
        <w:t>equi</w:t>
      </w:r>
      <w:proofErr w:type="spellEnd"/>
      <w:r w:rsidRPr="00D775A7">
        <w:t xml:space="preserve">-effective doses, it was likely to still be overestimated, and further considered that a </w:t>
      </w:r>
      <w:r w:rsidR="000A0492" w:rsidRPr="00D775A7">
        <w:t xml:space="preserve">5% to </w:t>
      </w:r>
      <w:r w:rsidRPr="00D775A7">
        <w:t xml:space="preserve">10% price premium may be more reasonable for the benefits likely to be realised from the use of this product. Based on an </w:t>
      </w:r>
      <w:proofErr w:type="spellStart"/>
      <w:r w:rsidRPr="00D775A7">
        <w:t>equi</w:t>
      </w:r>
      <w:proofErr w:type="spellEnd"/>
      <w:r w:rsidRPr="00D775A7">
        <w:t xml:space="preserve">-effective dose of 14mg/day and </w:t>
      </w:r>
      <w:r w:rsidRPr="00D31853">
        <w:t>a 5% to 10%</w:t>
      </w:r>
      <w:r w:rsidRPr="00D775A7">
        <w:t xml:space="preserve"> </w:t>
      </w:r>
      <w:r w:rsidRPr="00D775A7">
        <w:lastRenderedPageBreak/>
        <w:t xml:space="preserve">price premium range, the cost-minimised monthly drug cost of </w:t>
      </w:r>
      <w:proofErr w:type="spellStart"/>
      <w:r w:rsidRPr="00D775A7">
        <w:t>Sublocade</w:t>
      </w:r>
      <w:proofErr w:type="spellEnd"/>
      <w:r w:rsidRPr="00D775A7">
        <w:t xml:space="preserve"> would </w:t>
      </w:r>
      <w:r w:rsidR="00CF54F0" w:rsidRPr="00D775A7">
        <w:t>range</w:t>
      </w:r>
      <w:r w:rsidRPr="00D775A7">
        <w:t xml:space="preserve"> </w:t>
      </w:r>
      <w:r w:rsidR="000A0492" w:rsidRPr="00D775A7">
        <w:t>from</w:t>
      </w:r>
      <w:r w:rsidRPr="00D775A7">
        <w:t xml:space="preserve"> </w:t>
      </w:r>
      <w:r w:rsidRPr="00D27881">
        <w:t>$</w:t>
      </w:r>
      <w:r w:rsidRPr="00F3005C">
        <w:t>249.61</w:t>
      </w:r>
      <w:r w:rsidRPr="00D27881">
        <w:t xml:space="preserve"> </w:t>
      </w:r>
      <w:r w:rsidR="000A0492" w:rsidRPr="00D27881">
        <w:t>to</w:t>
      </w:r>
      <w:r w:rsidRPr="00D27881">
        <w:t xml:space="preserve"> $</w:t>
      </w:r>
      <w:r w:rsidRPr="00F3005C">
        <w:t>261.49</w:t>
      </w:r>
      <w:r w:rsidRPr="00D27881">
        <w:t>.</w:t>
      </w:r>
    </w:p>
    <w:p w:rsidR="003239E6" w:rsidRPr="00D775A7" w:rsidRDefault="00861F8B" w:rsidP="00C954A6">
      <w:pPr>
        <w:pStyle w:val="ListParagraph"/>
        <w:widowControl/>
        <w:numPr>
          <w:ilvl w:val="1"/>
          <w:numId w:val="2"/>
        </w:numPr>
        <w:spacing w:before="120" w:after="120"/>
        <w:ind w:left="720" w:hanging="720"/>
        <w:rPr>
          <w:i/>
        </w:rPr>
      </w:pPr>
      <w:r w:rsidRPr="00D775A7">
        <w:t xml:space="preserve">The supplementary cost-effectiveness analysis presented in the submission was not a full economic evaluation. The </w:t>
      </w:r>
      <w:r w:rsidR="002122E0" w:rsidRPr="00D775A7">
        <w:t xml:space="preserve">ESC noted that the </w:t>
      </w:r>
      <w:r w:rsidRPr="00D775A7">
        <w:t xml:space="preserve">structure and rationale of the model was very simplistic and </w:t>
      </w:r>
      <w:r w:rsidR="002122E0" w:rsidRPr="00D775A7">
        <w:t xml:space="preserve">was </w:t>
      </w:r>
      <w:r w:rsidRPr="00D775A7">
        <w:t>uninformative</w:t>
      </w:r>
      <w:r w:rsidR="002122E0" w:rsidRPr="00D775A7">
        <w:t xml:space="preserve"> for decision-making</w:t>
      </w:r>
      <w:r w:rsidR="00150428" w:rsidRPr="00D775A7">
        <w:t xml:space="preserve"> due to the </w:t>
      </w:r>
      <w:r w:rsidRPr="00D775A7">
        <w:t xml:space="preserve"> implications </w:t>
      </w:r>
      <w:r w:rsidR="00150428" w:rsidRPr="00D775A7">
        <w:t xml:space="preserve">of any likely </w:t>
      </w:r>
      <w:r w:rsidRPr="00D775A7">
        <w:t>diversion not</w:t>
      </w:r>
      <w:r w:rsidR="002122E0" w:rsidRPr="00D775A7">
        <w:t xml:space="preserve"> being</w:t>
      </w:r>
      <w:r w:rsidRPr="00D775A7">
        <w:t xml:space="preserve"> quantified or applied in the model (both in terms of health and resource impacts). Therefore</w:t>
      </w:r>
      <w:r w:rsidR="00802F79" w:rsidRPr="00D775A7">
        <w:t>,</w:t>
      </w:r>
      <w:r w:rsidRPr="00D775A7">
        <w:t xml:space="preserve"> </w:t>
      </w:r>
      <w:r w:rsidR="00802F79" w:rsidRPr="00D775A7">
        <w:t xml:space="preserve">based on the cost-effectiveness analysis, </w:t>
      </w:r>
      <w:r w:rsidR="002122E0" w:rsidRPr="00D775A7">
        <w:t>the ESC considered that it was</w:t>
      </w:r>
      <w:r w:rsidRPr="00D775A7">
        <w:t xml:space="preserve"> not possible to judge whether the price premium was justified. </w:t>
      </w:r>
      <w:r w:rsidR="002122E0" w:rsidRPr="00D775A7">
        <w:t>The ESC considered that while both d</w:t>
      </w:r>
      <w:r w:rsidR="003B544E" w:rsidRPr="00D775A7">
        <w:t>iversion averted and improved ad</w:t>
      </w:r>
      <w:r w:rsidR="002122E0" w:rsidRPr="00D775A7">
        <w:t xml:space="preserve">herence could be modelled in a more comprehensive way, the overall </w:t>
      </w:r>
      <w:r w:rsidR="00802F79" w:rsidRPr="00D775A7">
        <w:t>benefit of conducting</w:t>
      </w:r>
      <w:r w:rsidR="002122E0" w:rsidRPr="00D775A7">
        <w:t xml:space="preserve"> </w:t>
      </w:r>
      <w:r w:rsidR="00802F79" w:rsidRPr="00D775A7">
        <w:t xml:space="preserve">a </w:t>
      </w:r>
      <w:r w:rsidR="002122E0" w:rsidRPr="00D775A7">
        <w:t>formalised cost-utility analysis were unclear</w:t>
      </w:r>
      <w:r w:rsidR="00150428" w:rsidRPr="00D775A7">
        <w:t xml:space="preserve"> given the available empirical information presented in the submission</w:t>
      </w:r>
      <w:r w:rsidR="002122E0" w:rsidRPr="00D775A7">
        <w:t>. As such, the ESC considered that a cost-minimisation analysis compared to BUP/NAL SL film was more appropriate</w:t>
      </w:r>
      <w:bookmarkStart w:id="34" w:name="_Toc535915917"/>
      <w:r w:rsidR="00D775A7">
        <w:t xml:space="preserve">. </w:t>
      </w:r>
    </w:p>
    <w:p w:rsidR="00E02E7E" w:rsidRPr="00F3005C" w:rsidRDefault="00E02E7E" w:rsidP="00C954A6">
      <w:pPr>
        <w:pStyle w:val="Heading2"/>
        <w:spacing w:before="120" w:after="120"/>
      </w:pPr>
      <w:r w:rsidRPr="00D775A7">
        <w:t>Drug cost/patient</w:t>
      </w:r>
      <w:r w:rsidRPr="00F3005C">
        <w:t>/year</w:t>
      </w:r>
      <w:bookmarkEnd w:id="34"/>
      <w:r w:rsidR="002122E0" w:rsidRPr="00F3005C">
        <w:t>: $</w:t>
      </w:r>
      <w:r w:rsidR="005C5EC5">
        <w:rPr>
          <w:noProof/>
          <w:color w:val="000000"/>
          <w:highlight w:val="black"/>
        </w:rPr>
        <w:t>'''''''''''''''</w:t>
      </w:r>
    </w:p>
    <w:p w:rsidR="00E02E7E" w:rsidRPr="00F3005C" w:rsidRDefault="00E02E7E" w:rsidP="00C954A6">
      <w:pPr>
        <w:pStyle w:val="ListParagraph"/>
        <w:widowControl/>
        <w:numPr>
          <w:ilvl w:val="1"/>
          <w:numId w:val="2"/>
        </w:numPr>
        <w:spacing w:before="120" w:after="120"/>
        <w:ind w:left="720" w:hanging="720"/>
      </w:pPr>
      <w:r w:rsidRPr="00F3005C">
        <w:rPr>
          <w:color w:val="000000" w:themeColor="text1"/>
        </w:rPr>
        <w:t xml:space="preserve">The drug cost per patient per </w:t>
      </w:r>
      <w:r w:rsidR="00F77974" w:rsidRPr="00F3005C">
        <w:rPr>
          <w:color w:val="000000" w:themeColor="text1"/>
        </w:rPr>
        <w:t xml:space="preserve">year of </w:t>
      </w:r>
      <w:proofErr w:type="spellStart"/>
      <w:r w:rsidR="00F77974" w:rsidRPr="00F3005C">
        <w:rPr>
          <w:color w:val="000000" w:themeColor="text1"/>
        </w:rPr>
        <w:t>Sublocade</w:t>
      </w:r>
      <w:proofErr w:type="spellEnd"/>
      <w:r w:rsidR="00F77974" w:rsidRPr="00F3005C">
        <w:rPr>
          <w:color w:val="000000" w:themeColor="text1"/>
        </w:rPr>
        <w:t xml:space="preserve"> is $</w:t>
      </w:r>
      <w:r w:rsidR="005C5EC5">
        <w:rPr>
          <w:noProof/>
          <w:color w:val="000000"/>
          <w:highlight w:val="black"/>
        </w:rPr>
        <w:t>'''''''''''''''</w:t>
      </w:r>
      <w:r w:rsidR="00F77974" w:rsidRPr="00F3005C">
        <w:rPr>
          <w:color w:val="000000" w:themeColor="text1"/>
        </w:rPr>
        <w:t>, b</w:t>
      </w:r>
      <w:r w:rsidRPr="00F3005C">
        <w:rPr>
          <w:color w:val="000000" w:themeColor="text1"/>
        </w:rPr>
        <w:t xml:space="preserve">ased on 12 injections </w:t>
      </w:r>
      <w:r w:rsidR="00F77974" w:rsidRPr="00F3005C">
        <w:rPr>
          <w:color w:val="000000" w:themeColor="text1"/>
        </w:rPr>
        <w:t xml:space="preserve">per year (one per month) </w:t>
      </w:r>
      <w:r w:rsidRPr="00F3005C">
        <w:rPr>
          <w:color w:val="000000" w:themeColor="text1"/>
        </w:rPr>
        <w:t xml:space="preserve">of either 100mg or 300mg </w:t>
      </w:r>
      <w:proofErr w:type="spellStart"/>
      <w:r w:rsidRPr="00F3005C">
        <w:rPr>
          <w:color w:val="000000" w:themeColor="text1"/>
        </w:rPr>
        <w:t>Sublo</w:t>
      </w:r>
      <w:r w:rsidR="00F77974" w:rsidRPr="00F3005C">
        <w:rPr>
          <w:color w:val="000000" w:themeColor="text1"/>
        </w:rPr>
        <w:t>cade</w:t>
      </w:r>
      <w:proofErr w:type="spellEnd"/>
      <w:r w:rsidR="00F77974" w:rsidRPr="00F3005C">
        <w:rPr>
          <w:color w:val="000000" w:themeColor="text1"/>
        </w:rPr>
        <w:t xml:space="preserve"> at the requested price of </w:t>
      </w:r>
      <w:r w:rsidRPr="00F3005C">
        <w:rPr>
          <w:color w:val="000000" w:themeColor="text1"/>
        </w:rPr>
        <w:t>$</w:t>
      </w:r>
      <w:r w:rsidR="005C5EC5">
        <w:rPr>
          <w:noProof/>
          <w:color w:val="000000"/>
          <w:highlight w:val="black"/>
        </w:rPr>
        <w:t>''''''''''''</w:t>
      </w:r>
      <w:r w:rsidRPr="00F3005C">
        <w:rPr>
          <w:color w:val="000000" w:themeColor="text1"/>
        </w:rPr>
        <w:t xml:space="preserve">. Treatment duration is indefinite with potential to be lifelong for many patients. </w:t>
      </w:r>
    </w:p>
    <w:p w:rsidR="0076677C" w:rsidRPr="00F3005C" w:rsidRDefault="00E02E7E" w:rsidP="00C954A6">
      <w:pPr>
        <w:pStyle w:val="ListParagraph"/>
        <w:widowControl/>
        <w:numPr>
          <w:ilvl w:val="1"/>
          <w:numId w:val="2"/>
        </w:numPr>
        <w:spacing w:before="120" w:after="120"/>
        <w:ind w:left="720" w:hanging="720"/>
      </w:pPr>
      <w:r w:rsidRPr="00F3005C">
        <w:rPr>
          <w:rFonts w:cs="Calibri"/>
          <w:snapToGrid/>
          <w:color w:val="000000" w:themeColor="text1"/>
          <w:szCs w:val="24"/>
          <w:lang w:eastAsia="en-AU"/>
        </w:rPr>
        <w:t xml:space="preserve">The drug cost per patient per year of the main comparator </w:t>
      </w:r>
      <w:r w:rsidR="00802F79" w:rsidRPr="00F3005C">
        <w:rPr>
          <w:rFonts w:cs="Calibri"/>
          <w:snapToGrid/>
          <w:color w:val="000000" w:themeColor="text1"/>
          <w:szCs w:val="24"/>
          <w:lang w:eastAsia="en-AU"/>
        </w:rPr>
        <w:t>BUP</w:t>
      </w:r>
      <w:r w:rsidR="003239E6" w:rsidRPr="00F3005C">
        <w:rPr>
          <w:rFonts w:cs="Calibri"/>
          <w:snapToGrid/>
          <w:color w:val="000000" w:themeColor="text1"/>
          <w:szCs w:val="24"/>
          <w:lang w:eastAsia="en-AU"/>
        </w:rPr>
        <w:t>/N</w:t>
      </w:r>
      <w:r w:rsidR="00802F79" w:rsidRPr="00F3005C">
        <w:rPr>
          <w:rFonts w:cs="Calibri"/>
          <w:snapToGrid/>
          <w:color w:val="000000" w:themeColor="text1"/>
          <w:szCs w:val="24"/>
          <w:lang w:eastAsia="en-AU"/>
        </w:rPr>
        <w:t>A</w:t>
      </w:r>
      <w:r w:rsidR="003239E6" w:rsidRPr="00F3005C">
        <w:rPr>
          <w:rFonts w:cs="Calibri"/>
          <w:snapToGrid/>
          <w:color w:val="000000" w:themeColor="text1"/>
          <w:szCs w:val="24"/>
          <w:lang w:eastAsia="en-AU"/>
        </w:rPr>
        <w:t>L</w:t>
      </w:r>
      <w:r w:rsidR="00802F79" w:rsidRPr="00F3005C">
        <w:rPr>
          <w:rFonts w:cs="Calibri"/>
          <w:snapToGrid/>
          <w:color w:val="000000" w:themeColor="text1"/>
          <w:szCs w:val="24"/>
          <w:lang w:eastAsia="en-AU"/>
        </w:rPr>
        <w:t xml:space="preserve"> SL film</w:t>
      </w:r>
      <w:r w:rsidRPr="00F3005C">
        <w:rPr>
          <w:rFonts w:cs="Calibri"/>
          <w:snapToGrid/>
          <w:color w:val="000000" w:themeColor="text1"/>
          <w:szCs w:val="24"/>
          <w:lang w:eastAsia="en-AU"/>
        </w:rPr>
        <w:t xml:space="preserve"> would be $</w:t>
      </w:r>
      <w:r w:rsidR="005C5EC5">
        <w:rPr>
          <w:rFonts w:cs="Calibri"/>
          <w:noProof/>
          <w:snapToGrid/>
          <w:color w:val="000000"/>
          <w:szCs w:val="24"/>
          <w:highlight w:val="black"/>
          <w:lang w:eastAsia="en-AU"/>
        </w:rPr>
        <w:t>'''''''''''''''</w:t>
      </w:r>
      <w:r w:rsidR="00F77974" w:rsidRPr="00F3005C">
        <w:rPr>
          <w:rFonts w:cs="Calibri"/>
          <w:snapToGrid/>
          <w:color w:val="000000" w:themeColor="text1"/>
          <w:szCs w:val="24"/>
          <w:lang w:eastAsia="en-AU"/>
        </w:rPr>
        <w:t>,</w:t>
      </w:r>
      <w:r w:rsidRPr="00F3005C">
        <w:rPr>
          <w:rFonts w:cs="Calibri"/>
          <w:snapToGrid/>
          <w:color w:val="000000" w:themeColor="text1"/>
          <w:szCs w:val="24"/>
          <w:lang w:eastAsia="en-AU"/>
        </w:rPr>
        <w:t xml:space="preserve"> based on a mean daily dose of 19.6mg and an average monthly </w:t>
      </w:r>
      <w:r w:rsidR="00F77974" w:rsidRPr="00F3005C">
        <w:rPr>
          <w:rFonts w:cs="Calibri"/>
          <w:snapToGrid/>
          <w:color w:val="000000" w:themeColor="text1"/>
          <w:szCs w:val="24"/>
          <w:lang w:eastAsia="en-AU"/>
        </w:rPr>
        <w:t>cost of $</w:t>
      </w:r>
      <w:r w:rsidR="005C5EC5">
        <w:rPr>
          <w:rFonts w:cs="Calibri"/>
          <w:noProof/>
          <w:snapToGrid/>
          <w:color w:val="000000"/>
          <w:szCs w:val="24"/>
          <w:highlight w:val="black"/>
          <w:lang w:eastAsia="en-AU"/>
        </w:rPr>
        <w:t>''''''''''''</w:t>
      </w:r>
      <w:r w:rsidR="00F77974" w:rsidRPr="00F3005C">
        <w:rPr>
          <w:rFonts w:cs="Calibri"/>
          <w:snapToGrid/>
          <w:color w:val="000000" w:themeColor="text1"/>
          <w:szCs w:val="24"/>
          <w:lang w:eastAsia="en-AU"/>
        </w:rPr>
        <w:t xml:space="preserve"> </w:t>
      </w:r>
      <w:r w:rsidRPr="00F3005C">
        <w:rPr>
          <w:rFonts w:cs="Calibri"/>
          <w:snapToGrid/>
          <w:color w:val="000000" w:themeColor="text1"/>
          <w:szCs w:val="24"/>
          <w:lang w:eastAsia="en-AU"/>
        </w:rPr>
        <w:t>as estimated by the submission. It was likely however</w:t>
      </w:r>
      <w:r w:rsidR="00F77974" w:rsidRPr="00F3005C">
        <w:rPr>
          <w:rFonts w:cs="Calibri"/>
          <w:snapToGrid/>
          <w:color w:val="000000" w:themeColor="text1"/>
          <w:szCs w:val="24"/>
          <w:lang w:eastAsia="en-AU"/>
        </w:rPr>
        <w:t>, that the d</w:t>
      </w:r>
      <w:r w:rsidRPr="00F3005C">
        <w:rPr>
          <w:rFonts w:cs="Calibri"/>
          <w:snapToGrid/>
          <w:color w:val="000000" w:themeColor="text1"/>
          <w:szCs w:val="24"/>
          <w:lang w:eastAsia="en-AU"/>
        </w:rPr>
        <w:t>osage could be lower in practice, and thus these costs were overestimated</w:t>
      </w:r>
      <w:r w:rsidR="00D775A7" w:rsidRPr="00F3005C">
        <w:rPr>
          <w:rFonts w:cs="Calibri"/>
          <w:snapToGrid/>
          <w:color w:val="000000" w:themeColor="text1"/>
          <w:szCs w:val="24"/>
          <w:lang w:eastAsia="en-AU"/>
        </w:rPr>
        <w:t xml:space="preserve">. </w:t>
      </w:r>
    </w:p>
    <w:p w:rsidR="00E02E7E" w:rsidRPr="00D775A7" w:rsidRDefault="00E02E7E" w:rsidP="00C954A6">
      <w:pPr>
        <w:pStyle w:val="Heading2"/>
        <w:spacing w:before="120" w:after="120"/>
      </w:pPr>
      <w:bookmarkStart w:id="35" w:name="_Toc535915918"/>
      <w:r w:rsidRPr="00D775A7">
        <w:t>Estimated PBS usage &amp; financial implications</w:t>
      </w:r>
      <w:bookmarkEnd w:id="35"/>
    </w:p>
    <w:p w:rsidR="00E02E7E" w:rsidRPr="00D775A7" w:rsidRDefault="00E02E7E" w:rsidP="00C954A6">
      <w:pPr>
        <w:pStyle w:val="ListParagraph"/>
        <w:widowControl/>
        <w:numPr>
          <w:ilvl w:val="1"/>
          <w:numId w:val="2"/>
        </w:numPr>
        <w:spacing w:before="120" w:after="120"/>
        <w:ind w:left="720" w:hanging="720"/>
      </w:pPr>
      <w:r w:rsidRPr="00D775A7">
        <w:rPr>
          <w:color w:val="000000" w:themeColor="text1"/>
        </w:rPr>
        <w:t>This</w:t>
      </w:r>
      <w:r w:rsidRPr="00D775A7">
        <w:t xml:space="preserve"> submission w</w:t>
      </w:r>
      <w:r w:rsidR="0096342F" w:rsidRPr="00D775A7">
        <w:t>as</w:t>
      </w:r>
      <w:r w:rsidRPr="00D775A7">
        <w:t xml:space="preserve"> not considered by DUSC. The submission used an epidemiological approach and a modified market share approach to estimate the number of patients with opioid use disorder eligible for treatment with </w:t>
      </w:r>
      <w:proofErr w:type="spellStart"/>
      <w:r w:rsidRPr="00D775A7">
        <w:t>Sublocade</w:t>
      </w:r>
      <w:proofErr w:type="spellEnd"/>
      <w:r w:rsidRPr="00D775A7">
        <w:t xml:space="preserve">. Both approaches calculate the number of patients who are eligible to receive </w:t>
      </w:r>
      <w:proofErr w:type="spellStart"/>
      <w:r w:rsidRPr="00D775A7">
        <w:t>Sublocade</w:t>
      </w:r>
      <w:proofErr w:type="spellEnd"/>
      <w:r w:rsidRPr="00D775A7">
        <w:t xml:space="preserve"> (rather than calculating prescriptions or units dispensed).</w:t>
      </w:r>
    </w:p>
    <w:p w:rsidR="00E02E7E" w:rsidRPr="00D775A7" w:rsidRDefault="00E02E7E" w:rsidP="00C954A6">
      <w:pPr>
        <w:pStyle w:val="ListParagraph"/>
        <w:widowControl/>
        <w:numPr>
          <w:ilvl w:val="1"/>
          <w:numId w:val="2"/>
        </w:numPr>
        <w:spacing w:before="120" w:after="120"/>
        <w:ind w:left="720" w:hanging="720"/>
      </w:pPr>
      <w:r w:rsidRPr="00D775A7">
        <w:t xml:space="preserve">The submission considered that there were two patient populations who may access </w:t>
      </w:r>
      <w:proofErr w:type="spellStart"/>
      <w:r w:rsidRPr="00D775A7">
        <w:t>Sublocade</w:t>
      </w:r>
      <w:proofErr w:type="spellEnd"/>
      <w:r w:rsidRPr="00D775A7">
        <w:t xml:space="preserve">: patients currently accessing opioid dependence treatment and persons not currently accessing opioid dependence treatment. The former population was estimated with assumed replacement rates </w:t>
      </w:r>
      <w:r w:rsidR="00D769E5">
        <w:t xml:space="preserve">of </w:t>
      </w:r>
      <w:r w:rsidRPr="00D775A7">
        <w:t xml:space="preserve">patients currently taking </w:t>
      </w:r>
      <w:r w:rsidR="003B544E" w:rsidRPr="00D775A7">
        <w:t>BUP/</w:t>
      </w:r>
      <w:r w:rsidR="003239E6" w:rsidRPr="00D775A7">
        <w:t>N</w:t>
      </w:r>
      <w:r w:rsidR="003B544E" w:rsidRPr="00D775A7">
        <w:t>A</w:t>
      </w:r>
      <w:r w:rsidR="003239E6" w:rsidRPr="00D775A7">
        <w:t>L</w:t>
      </w:r>
      <w:r w:rsidR="003B544E" w:rsidRPr="00D775A7">
        <w:t xml:space="preserve"> SL film</w:t>
      </w:r>
      <w:r w:rsidRPr="00D775A7">
        <w:t>, and the latter was estimated with a small</w:t>
      </w:r>
      <w:r w:rsidR="00D769E5">
        <w:t>,</w:t>
      </w:r>
      <w:r w:rsidRPr="00D775A7">
        <w:t xml:space="preserve"> assumed uptake rate of patients not currently on treatment. </w:t>
      </w:r>
    </w:p>
    <w:p w:rsidR="0097065B" w:rsidRPr="00D775A7" w:rsidRDefault="0097065B" w:rsidP="00C954A6">
      <w:pPr>
        <w:pStyle w:val="ListParagraph"/>
        <w:widowControl/>
        <w:numPr>
          <w:ilvl w:val="1"/>
          <w:numId w:val="2"/>
        </w:numPr>
        <w:spacing w:before="120" w:after="120"/>
        <w:ind w:left="720" w:hanging="720"/>
      </w:pPr>
      <w:r w:rsidRPr="00D775A7">
        <w:t xml:space="preserve">The key input for the financial estimates was uptake. It was unclear whether uptake was underestimated or overestimated given that </w:t>
      </w:r>
      <w:proofErr w:type="spellStart"/>
      <w:r w:rsidRPr="00D775A7">
        <w:t>Sublocade</w:t>
      </w:r>
      <w:proofErr w:type="spellEnd"/>
      <w:r w:rsidRPr="00D775A7">
        <w:t xml:space="preserve"> would constitute a new approach to treatment. The submission noted that the sponsor was willing to discuss a </w:t>
      </w:r>
      <w:r w:rsidR="00D769E5">
        <w:t>R</w:t>
      </w:r>
      <w:r w:rsidR="00D769E5" w:rsidRPr="00D775A7">
        <w:t xml:space="preserve">isk </w:t>
      </w:r>
      <w:r w:rsidR="00D769E5">
        <w:t>S</w:t>
      </w:r>
      <w:r w:rsidR="00D769E5" w:rsidRPr="00D775A7">
        <w:t xml:space="preserve">haring </w:t>
      </w:r>
      <w:r w:rsidR="00D769E5">
        <w:t>A</w:t>
      </w:r>
      <w:r w:rsidR="00D769E5" w:rsidRPr="00D775A7">
        <w:t>rrangement</w:t>
      </w:r>
      <w:r w:rsidRPr="00D775A7">
        <w:t xml:space="preserve">. This could potentially address concerns regarding uptake, however a </w:t>
      </w:r>
      <w:r w:rsidR="00D769E5">
        <w:t>R</w:t>
      </w:r>
      <w:r w:rsidR="00D769E5" w:rsidRPr="00D775A7">
        <w:t xml:space="preserve">isk </w:t>
      </w:r>
      <w:r w:rsidR="00D769E5">
        <w:t>S</w:t>
      </w:r>
      <w:r w:rsidR="00D769E5" w:rsidRPr="00D775A7">
        <w:t xml:space="preserve">haring </w:t>
      </w:r>
      <w:r w:rsidR="00D769E5">
        <w:t>A</w:t>
      </w:r>
      <w:r w:rsidR="00D769E5" w:rsidRPr="00D775A7">
        <w:t xml:space="preserve">rrangement </w:t>
      </w:r>
      <w:r w:rsidRPr="00D775A7">
        <w:t>may be challenging to implement in the context of the Opio</w:t>
      </w:r>
      <w:r w:rsidR="006E1B06" w:rsidRPr="00D775A7">
        <w:t xml:space="preserve">id Dependence Treatment Program. </w:t>
      </w:r>
    </w:p>
    <w:p w:rsidR="0097065B" w:rsidRPr="00D775A7" w:rsidRDefault="00813AC2" w:rsidP="00C954A6">
      <w:pPr>
        <w:pStyle w:val="ListParagraph"/>
        <w:widowControl/>
        <w:numPr>
          <w:ilvl w:val="1"/>
          <w:numId w:val="2"/>
        </w:numPr>
        <w:spacing w:before="120" w:after="120"/>
        <w:ind w:left="720" w:hanging="720"/>
      </w:pPr>
      <w:r w:rsidRPr="00D775A7">
        <w:lastRenderedPageBreak/>
        <w:t xml:space="preserve">To the extent that uptake was accurately estimated, the submission’s estimates likely underestimated costs to government due to overestimated annual average dose of </w:t>
      </w:r>
      <w:r w:rsidR="00802F79" w:rsidRPr="00D775A7">
        <w:t>BUP/NAL SL film</w:t>
      </w:r>
      <w:r w:rsidRPr="00D775A7">
        <w:t xml:space="preserve"> and slightly underestimating average annual dose of </w:t>
      </w:r>
      <w:proofErr w:type="spellStart"/>
      <w:r w:rsidRPr="00D775A7">
        <w:t>Sublocade</w:t>
      </w:r>
      <w:proofErr w:type="spellEnd"/>
      <w:r w:rsidRPr="00D775A7">
        <w:t>.</w:t>
      </w:r>
    </w:p>
    <w:p w:rsidR="00FD041A" w:rsidRPr="00D775A7" w:rsidRDefault="001408BC" w:rsidP="00C954A6">
      <w:pPr>
        <w:pStyle w:val="ListParagraph"/>
        <w:widowControl/>
        <w:numPr>
          <w:ilvl w:val="1"/>
          <w:numId w:val="2"/>
        </w:numPr>
        <w:spacing w:before="120" w:after="120"/>
        <w:ind w:left="720" w:hanging="720"/>
      </w:pPr>
      <w:bookmarkStart w:id="36" w:name="_Ref532156296"/>
      <w:r w:rsidRPr="00D775A7">
        <w:rPr>
          <w:rFonts w:asciiTheme="minorHAnsi" w:hAnsiTheme="minorHAnsi" w:cstheme="minorHAnsi"/>
          <w:szCs w:val="24"/>
        </w:rPr>
        <w:t>Table 13</w:t>
      </w:r>
      <w:r w:rsidR="00FD041A" w:rsidRPr="00D775A7">
        <w:rPr>
          <w:rFonts w:asciiTheme="minorHAnsi" w:hAnsiTheme="minorHAnsi" w:cstheme="minorHAnsi"/>
          <w:b/>
          <w:szCs w:val="24"/>
        </w:rPr>
        <w:t xml:space="preserve"> </w:t>
      </w:r>
      <w:r w:rsidR="00FD041A" w:rsidRPr="00D775A7">
        <w:t>presents the submission’s estimates of use and financial implications.</w:t>
      </w:r>
    </w:p>
    <w:p w:rsidR="00E02E7E" w:rsidRPr="00D775A7" w:rsidRDefault="00E02E7E" w:rsidP="00E02E7E">
      <w:pPr>
        <w:widowControl/>
      </w:pPr>
      <w:r w:rsidRPr="00D775A7">
        <w:rPr>
          <w:rStyle w:val="CommentReference"/>
        </w:rPr>
        <w:t xml:space="preserve">Table </w:t>
      </w:r>
      <w:r w:rsidR="00BC72D0" w:rsidRPr="00D775A7">
        <w:rPr>
          <w:rStyle w:val="CommentReference"/>
        </w:rPr>
        <w:t>13</w:t>
      </w:r>
      <w:bookmarkEnd w:id="36"/>
      <w:r w:rsidRPr="00D775A7">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w:tblPr>
      <w:tblGrid>
        <w:gridCol w:w="2000"/>
        <w:gridCol w:w="1156"/>
        <w:gridCol w:w="1157"/>
        <w:gridCol w:w="1157"/>
        <w:gridCol w:w="1157"/>
        <w:gridCol w:w="1157"/>
        <w:gridCol w:w="1155"/>
      </w:tblGrid>
      <w:tr w:rsidR="00E02E7E" w:rsidRPr="00D775A7" w:rsidTr="00087F16">
        <w:trPr>
          <w:tblHeader/>
        </w:trPr>
        <w:tc>
          <w:tcPr>
            <w:tcW w:w="1119" w:type="pct"/>
            <w:shd w:val="clear" w:color="auto" w:fill="auto"/>
            <w:vAlign w:val="center"/>
          </w:tcPr>
          <w:p w:rsidR="00E02E7E" w:rsidRPr="00D775A7" w:rsidRDefault="00E02E7E" w:rsidP="00087F16">
            <w:pPr>
              <w:pStyle w:val="Tabletext"/>
            </w:pPr>
          </w:p>
        </w:tc>
        <w:tc>
          <w:tcPr>
            <w:tcW w:w="647" w:type="pct"/>
            <w:shd w:val="clear" w:color="auto" w:fill="auto"/>
            <w:vAlign w:val="center"/>
          </w:tcPr>
          <w:p w:rsidR="00E02E7E" w:rsidRPr="00D775A7" w:rsidRDefault="00E02E7E" w:rsidP="00087F16">
            <w:pPr>
              <w:pStyle w:val="Tabletext"/>
              <w:jc w:val="center"/>
              <w:rPr>
                <w:b/>
              </w:rPr>
            </w:pPr>
            <w:r w:rsidRPr="00D775A7">
              <w:rPr>
                <w:b/>
              </w:rPr>
              <w:t>Year 1</w:t>
            </w:r>
          </w:p>
        </w:tc>
        <w:tc>
          <w:tcPr>
            <w:tcW w:w="647" w:type="pct"/>
            <w:shd w:val="clear" w:color="auto" w:fill="auto"/>
            <w:vAlign w:val="center"/>
          </w:tcPr>
          <w:p w:rsidR="00E02E7E" w:rsidRPr="00D775A7" w:rsidRDefault="00E02E7E" w:rsidP="00087F16">
            <w:pPr>
              <w:pStyle w:val="Tabletext"/>
              <w:jc w:val="center"/>
              <w:rPr>
                <w:b/>
              </w:rPr>
            </w:pPr>
            <w:r w:rsidRPr="00D775A7">
              <w:rPr>
                <w:b/>
              </w:rPr>
              <w:t>Year 2</w:t>
            </w:r>
          </w:p>
        </w:tc>
        <w:tc>
          <w:tcPr>
            <w:tcW w:w="647" w:type="pct"/>
            <w:shd w:val="clear" w:color="auto" w:fill="auto"/>
            <w:vAlign w:val="center"/>
          </w:tcPr>
          <w:p w:rsidR="00E02E7E" w:rsidRPr="00D775A7" w:rsidRDefault="00E02E7E" w:rsidP="00087F16">
            <w:pPr>
              <w:pStyle w:val="Tabletext"/>
              <w:jc w:val="center"/>
              <w:rPr>
                <w:b/>
              </w:rPr>
            </w:pPr>
            <w:r w:rsidRPr="00D775A7">
              <w:rPr>
                <w:b/>
              </w:rPr>
              <w:t>Year 3</w:t>
            </w:r>
          </w:p>
        </w:tc>
        <w:tc>
          <w:tcPr>
            <w:tcW w:w="647" w:type="pct"/>
            <w:shd w:val="clear" w:color="auto" w:fill="auto"/>
            <w:vAlign w:val="center"/>
          </w:tcPr>
          <w:p w:rsidR="00E02E7E" w:rsidRPr="00D775A7" w:rsidRDefault="00E02E7E" w:rsidP="00087F16">
            <w:pPr>
              <w:pStyle w:val="Tabletext"/>
              <w:jc w:val="center"/>
              <w:rPr>
                <w:b/>
              </w:rPr>
            </w:pPr>
            <w:r w:rsidRPr="00D775A7">
              <w:rPr>
                <w:b/>
              </w:rPr>
              <w:t>Year 4</w:t>
            </w:r>
          </w:p>
        </w:tc>
        <w:tc>
          <w:tcPr>
            <w:tcW w:w="647" w:type="pct"/>
            <w:shd w:val="clear" w:color="auto" w:fill="auto"/>
            <w:vAlign w:val="center"/>
          </w:tcPr>
          <w:p w:rsidR="00E02E7E" w:rsidRPr="00D775A7" w:rsidRDefault="00E02E7E" w:rsidP="00087F16">
            <w:pPr>
              <w:pStyle w:val="Tabletext"/>
              <w:jc w:val="center"/>
              <w:rPr>
                <w:b/>
              </w:rPr>
            </w:pPr>
            <w:r w:rsidRPr="00D775A7">
              <w:rPr>
                <w:b/>
              </w:rPr>
              <w:t>Year 5</w:t>
            </w:r>
          </w:p>
        </w:tc>
        <w:tc>
          <w:tcPr>
            <w:tcW w:w="646" w:type="pct"/>
          </w:tcPr>
          <w:p w:rsidR="00E02E7E" w:rsidRPr="00D775A7" w:rsidRDefault="00E02E7E" w:rsidP="00087F16">
            <w:pPr>
              <w:pStyle w:val="Tabletext"/>
              <w:jc w:val="center"/>
              <w:rPr>
                <w:b/>
              </w:rPr>
            </w:pPr>
            <w:r w:rsidRPr="00D775A7">
              <w:rPr>
                <w:b/>
              </w:rPr>
              <w:t>Year 6</w:t>
            </w:r>
          </w:p>
        </w:tc>
      </w:tr>
      <w:tr w:rsidR="00E02E7E" w:rsidRPr="00D775A7" w:rsidTr="00087F16">
        <w:tc>
          <w:tcPr>
            <w:tcW w:w="5000" w:type="pct"/>
            <w:gridSpan w:val="7"/>
            <w:shd w:val="clear" w:color="auto" w:fill="auto"/>
            <w:vAlign w:val="center"/>
          </w:tcPr>
          <w:p w:rsidR="00E02E7E" w:rsidRPr="00D775A7" w:rsidRDefault="00E02E7E" w:rsidP="00087F16">
            <w:pPr>
              <w:pStyle w:val="Tabletext"/>
              <w:rPr>
                <w:b/>
                <w:bCs/>
                <w:color w:val="000000"/>
              </w:rPr>
            </w:pPr>
            <w:r w:rsidRPr="00D775A7">
              <w:rPr>
                <w:b/>
                <w:bCs/>
                <w:color w:val="000000"/>
              </w:rPr>
              <w:t>Estimated extent of use</w:t>
            </w:r>
          </w:p>
        </w:tc>
      </w:tr>
      <w:tr w:rsidR="00E02E7E" w:rsidRPr="00C45C8F" w:rsidTr="00087F16">
        <w:tc>
          <w:tcPr>
            <w:tcW w:w="1119" w:type="pct"/>
            <w:shd w:val="clear" w:color="auto" w:fill="auto"/>
            <w:vAlign w:val="center"/>
          </w:tcPr>
          <w:p w:rsidR="00E02E7E" w:rsidRPr="00C45C8F" w:rsidRDefault="00E02E7E" w:rsidP="00087F16">
            <w:pPr>
              <w:pStyle w:val="Tabletext"/>
              <w:rPr>
                <w:rFonts w:ascii="Times" w:hAnsi="Times"/>
              </w:rPr>
            </w:pPr>
            <w:r w:rsidRPr="00C45C8F">
              <w:t>Number of patients treated</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c>
          <w:tcPr>
            <w:tcW w:w="646" w:type="pct"/>
            <w:vAlign w:val="center"/>
          </w:tcPr>
          <w:p w:rsidR="00E02E7E" w:rsidRPr="005C5EC5" w:rsidRDefault="005C5EC5" w:rsidP="00087F16">
            <w:pPr>
              <w:pStyle w:val="Tabletext"/>
              <w:jc w:val="center"/>
              <w:rPr>
                <w:bCs/>
                <w:color w:val="000000"/>
                <w:highlight w:val="black"/>
              </w:rPr>
            </w:pPr>
            <w:r>
              <w:rPr>
                <w:rFonts w:cs="Calibri"/>
                <w:noProof/>
                <w:color w:val="000000"/>
                <w:szCs w:val="20"/>
                <w:highlight w:val="black"/>
              </w:rPr>
              <w:t>'''''''''''''</w:t>
            </w:r>
          </w:p>
        </w:tc>
      </w:tr>
      <w:tr w:rsidR="00E02E7E" w:rsidRPr="00C45C8F" w:rsidTr="00087F16">
        <w:tc>
          <w:tcPr>
            <w:tcW w:w="1119" w:type="pct"/>
            <w:shd w:val="clear" w:color="auto" w:fill="auto"/>
            <w:vAlign w:val="center"/>
          </w:tcPr>
          <w:p w:rsidR="00E02E7E" w:rsidRPr="00C45C8F" w:rsidRDefault="00E02E7E" w:rsidP="00087F16">
            <w:pPr>
              <w:pStyle w:val="Tabletext"/>
              <w:rPr>
                <w:rFonts w:ascii="Times" w:hAnsi="Times"/>
              </w:rPr>
            </w:pPr>
            <w:r w:rsidRPr="00C45C8F">
              <w:t xml:space="preserve">Number of scripts </w:t>
            </w:r>
            <w:proofErr w:type="spellStart"/>
            <w:r w:rsidRPr="00C45C8F">
              <w:t>dispensed</w:t>
            </w:r>
            <w:r w:rsidRPr="00C45C8F">
              <w:rPr>
                <w:vertAlign w:val="superscript"/>
              </w:rPr>
              <w:t>a</w:t>
            </w:r>
            <w:proofErr w:type="spellEnd"/>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c>
          <w:tcPr>
            <w:tcW w:w="646" w:type="pct"/>
            <w:vAlign w:val="center"/>
          </w:tcPr>
          <w:p w:rsidR="00E02E7E" w:rsidRPr="005C5EC5" w:rsidRDefault="005C5EC5" w:rsidP="00087F16">
            <w:pPr>
              <w:pStyle w:val="Tabletext"/>
              <w:jc w:val="center"/>
              <w:rPr>
                <w:bCs/>
                <w:color w:val="000000"/>
                <w:highlight w:val="black"/>
              </w:rPr>
            </w:pPr>
            <w:r>
              <w:rPr>
                <w:rFonts w:cs="Arial"/>
                <w:bCs/>
                <w:noProof/>
                <w:color w:val="000000"/>
                <w:highlight w:val="black"/>
              </w:rPr>
              <w:t>''''''''''''''''</w:t>
            </w:r>
          </w:p>
        </w:tc>
      </w:tr>
      <w:tr w:rsidR="00E02E7E" w:rsidRPr="00C45C8F" w:rsidTr="00087F16">
        <w:tc>
          <w:tcPr>
            <w:tcW w:w="5000" w:type="pct"/>
            <w:gridSpan w:val="7"/>
            <w:shd w:val="clear" w:color="auto" w:fill="auto"/>
            <w:vAlign w:val="center"/>
          </w:tcPr>
          <w:p w:rsidR="00E02E7E" w:rsidRPr="00C45C8F" w:rsidRDefault="00E02E7E" w:rsidP="00B24CAB">
            <w:pPr>
              <w:pStyle w:val="Tabletext"/>
              <w:rPr>
                <w:b/>
                <w:bCs/>
                <w:color w:val="000000"/>
              </w:rPr>
            </w:pPr>
            <w:r w:rsidRPr="00C45C8F">
              <w:rPr>
                <w:b/>
                <w:bCs/>
                <w:color w:val="000000"/>
              </w:rPr>
              <w:t xml:space="preserve">Estimated </w:t>
            </w:r>
            <w:r w:rsidR="00B24CAB" w:rsidRPr="00C45C8F">
              <w:rPr>
                <w:b/>
                <w:bCs/>
                <w:color w:val="000000"/>
              </w:rPr>
              <w:t>financial implications of</w:t>
            </w:r>
            <w:r w:rsidR="0065028D" w:rsidRPr="00C45C8F">
              <w:t xml:space="preserve"> </w:t>
            </w:r>
            <w:r w:rsidR="0065028D" w:rsidRPr="00C45C8F">
              <w:rPr>
                <w:b/>
                <w:bCs/>
                <w:color w:val="000000"/>
              </w:rPr>
              <w:t>buprenorphine long acting injection</w:t>
            </w:r>
            <w:r w:rsidR="00B24CAB" w:rsidRPr="00C45C8F">
              <w:rPr>
                <w:b/>
                <w:bCs/>
                <w:color w:val="000000"/>
              </w:rPr>
              <w:t xml:space="preserve"> </w:t>
            </w:r>
          </w:p>
        </w:tc>
      </w:tr>
      <w:tr w:rsidR="00E02E7E" w:rsidRPr="00C45C8F" w:rsidTr="00087F16">
        <w:tc>
          <w:tcPr>
            <w:tcW w:w="1119" w:type="pct"/>
            <w:shd w:val="clear" w:color="auto" w:fill="auto"/>
            <w:vAlign w:val="center"/>
          </w:tcPr>
          <w:p w:rsidR="00E02E7E" w:rsidRPr="00C45C8F" w:rsidRDefault="00E02E7E" w:rsidP="00087F16">
            <w:pPr>
              <w:pStyle w:val="Tabletext"/>
              <w:rPr>
                <w:rFonts w:ascii="Times" w:hAnsi="Times"/>
              </w:rPr>
            </w:pPr>
            <w:r w:rsidRPr="00C45C8F">
              <w:rPr>
                <w:sz w:val="19"/>
                <w:szCs w:val="19"/>
              </w:rPr>
              <w:t>Cost to PBS/RPBS</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6" w:type="pct"/>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proofErr w:type="spellStart"/>
            <w:r w:rsidRPr="00C45C8F">
              <w:rPr>
                <w:sz w:val="19"/>
                <w:szCs w:val="19"/>
              </w:rPr>
              <w:t>Copayments</w:t>
            </w:r>
            <w:proofErr w:type="spellEnd"/>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6" w:type="pct"/>
          </w:tcPr>
          <w:p w:rsidR="00E02E7E" w:rsidRPr="00C45C8F" w:rsidRDefault="00E02E7E" w:rsidP="00087F16">
            <w:pPr>
              <w:pStyle w:val="Tabletext"/>
              <w:jc w:val="center"/>
              <w:rPr>
                <w:bCs/>
                <w:color w:val="000000"/>
              </w:rPr>
            </w:pPr>
            <w:r w:rsidRPr="00C45C8F">
              <w:rPr>
                <w:bCs/>
                <w:color w:val="000000"/>
              </w:rPr>
              <w:t>$0</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r w:rsidRPr="00C45C8F">
              <w:rPr>
                <w:sz w:val="19"/>
                <w:szCs w:val="19"/>
              </w:rPr>
              <w:t xml:space="preserve">Cost to PBS/RPBS less </w:t>
            </w:r>
            <w:proofErr w:type="spellStart"/>
            <w:r w:rsidRPr="00C45C8F">
              <w:rPr>
                <w:sz w:val="19"/>
                <w:szCs w:val="19"/>
              </w:rPr>
              <w:t>copayments</w:t>
            </w:r>
            <w:proofErr w:type="spellEnd"/>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5C5EC5" w:rsidRDefault="005C5EC5" w:rsidP="00087F16">
            <w:pPr>
              <w:pStyle w:val="Tabletext"/>
              <w:jc w:val="center"/>
              <w:rPr>
                <w:bCs/>
                <w:color w:val="000000"/>
                <w:highlight w:val="black"/>
              </w:rPr>
            </w:pPr>
            <w:r>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c>
          <w:tcPr>
            <w:tcW w:w="646" w:type="pct"/>
            <w:vAlign w:val="center"/>
          </w:tcPr>
          <w:p w:rsidR="00E02E7E" w:rsidRPr="00C45C8F" w:rsidRDefault="00E02E7E" w:rsidP="00087F16">
            <w:pPr>
              <w:pStyle w:val="Tabletext"/>
              <w:jc w:val="center"/>
              <w:rPr>
                <w:bCs/>
                <w:color w:val="000000"/>
              </w:rPr>
            </w:pPr>
            <w:r w:rsidRPr="00C45C8F">
              <w:rPr>
                <w:rFonts w:cs="Arial"/>
                <w:color w:val="000000"/>
              </w:rPr>
              <w:t>$</w:t>
            </w:r>
            <w:r w:rsidR="005C5EC5">
              <w:rPr>
                <w:rFonts w:cs="Arial"/>
                <w:noProof/>
                <w:color w:val="000000"/>
                <w:highlight w:val="black"/>
              </w:rPr>
              <w:t>'''''''''''''''''''''''''</w:t>
            </w:r>
          </w:p>
        </w:tc>
      </w:tr>
      <w:tr w:rsidR="00E02E7E" w:rsidRPr="00C45C8F" w:rsidTr="00087F16">
        <w:tc>
          <w:tcPr>
            <w:tcW w:w="5000" w:type="pct"/>
            <w:gridSpan w:val="7"/>
            <w:shd w:val="clear" w:color="auto" w:fill="auto"/>
            <w:vAlign w:val="center"/>
          </w:tcPr>
          <w:p w:rsidR="00E02E7E" w:rsidRPr="00C45C8F" w:rsidRDefault="00E02E7E" w:rsidP="00087F16">
            <w:pPr>
              <w:pStyle w:val="Tabletext"/>
              <w:rPr>
                <w:bCs/>
                <w:color w:val="000000"/>
              </w:rPr>
            </w:pPr>
            <w:r w:rsidRPr="00C45C8F">
              <w:rPr>
                <w:b/>
                <w:bCs/>
                <w:color w:val="000000"/>
              </w:rPr>
              <w:t xml:space="preserve">Estimated financial implications for </w:t>
            </w:r>
            <w:r w:rsidR="00885AD3" w:rsidRPr="00C45C8F">
              <w:rPr>
                <w:b/>
              </w:rPr>
              <w:t>BUP/NAL</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r w:rsidRPr="00C45C8F">
              <w:rPr>
                <w:sz w:val="19"/>
                <w:szCs w:val="19"/>
              </w:rPr>
              <w:t>Cost to PBS/RPBS</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6" w:type="pct"/>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proofErr w:type="spellStart"/>
            <w:r w:rsidRPr="00C45C8F">
              <w:rPr>
                <w:sz w:val="19"/>
                <w:szCs w:val="19"/>
              </w:rPr>
              <w:t>Copayments</w:t>
            </w:r>
            <w:proofErr w:type="spellEnd"/>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7" w:type="pct"/>
            <w:shd w:val="clear" w:color="auto" w:fill="auto"/>
            <w:vAlign w:val="center"/>
          </w:tcPr>
          <w:p w:rsidR="00E02E7E" w:rsidRPr="00C45C8F" w:rsidRDefault="00E02E7E" w:rsidP="00087F16">
            <w:pPr>
              <w:pStyle w:val="Tabletext"/>
              <w:jc w:val="center"/>
              <w:rPr>
                <w:bCs/>
                <w:color w:val="000000"/>
              </w:rPr>
            </w:pPr>
            <w:r w:rsidRPr="00C45C8F">
              <w:rPr>
                <w:bCs/>
                <w:color w:val="000000"/>
              </w:rPr>
              <w:t>$0</w:t>
            </w:r>
          </w:p>
        </w:tc>
        <w:tc>
          <w:tcPr>
            <w:tcW w:w="646" w:type="pct"/>
          </w:tcPr>
          <w:p w:rsidR="00E02E7E" w:rsidRPr="00C45C8F" w:rsidRDefault="00E02E7E" w:rsidP="00087F16">
            <w:pPr>
              <w:pStyle w:val="Tabletext"/>
              <w:jc w:val="center"/>
              <w:rPr>
                <w:bCs/>
                <w:color w:val="000000"/>
              </w:rPr>
            </w:pPr>
            <w:r w:rsidRPr="00C45C8F">
              <w:rPr>
                <w:bCs/>
                <w:color w:val="000000"/>
              </w:rPr>
              <w:t>$0</w:t>
            </w:r>
          </w:p>
        </w:tc>
      </w:tr>
      <w:tr w:rsidR="00E02E7E" w:rsidRPr="00C45C8F" w:rsidTr="00F77974">
        <w:tc>
          <w:tcPr>
            <w:tcW w:w="1119" w:type="pct"/>
            <w:shd w:val="clear" w:color="auto" w:fill="auto"/>
            <w:vAlign w:val="center"/>
          </w:tcPr>
          <w:p w:rsidR="00E02E7E" w:rsidRPr="00C45C8F" w:rsidRDefault="00E02E7E" w:rsidP="00087F16">
            <w:pPr>
              <w:pStyle w:val="Tabletext"/>
              <w:rPr>
                <w:sz w:val="19"/>
                <w:szCs w:val="19"/>
              </w:rPr>
            </w:pPr>
            <w:r w:rsidRPr="00C45C8F">
              <w:rPr>
                <w:sz w:val="19"/>
                <w:szCs w:val="19"/>
              </w:rPr>
              <w:t xml:space="preserve">Cost to PBS/RPBS less </w:t>
            </w:r>
            <w:proofErr w:type="spellStart"/>
            <w:r w:rsidRPr="00C45C8F">
              <w:rPr>
                <w:sz w:val="19"/>
                <w:szCs w:val="19"/>
              </w:rPr>
              <w:t>copayments</w:t>
            </w:r>
            <w:proofErr w:type="spellEnd"/>
          </w:p>
        </w:tc>
        <w:tc>
          <w:tcPr>
            <w:tcW w:w="647" w:type="pct"/>
            <w:shd w:val="clear" w:color="auto" w:fill="auto"/>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c>
          <w:tcPr>
            <w:tcW w:w="647" w:type="pct"/>
            <w:shd w:val="clear" w:color="auto" w:fill="auto"/>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c>
          <w:tcPr>
            <w:tcW w:w="647" w:type="pct"/>
            <w:shd w:val="clear" w:color="auto" w:fill="auto"/>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c>
          <w:tcPr>
            <w:tcW w:w="647" w:type="pct"/>
            <w:shd w:val="clear" w:color="auto" w:fill="auto"/>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c>
          <w:tcPr>
            <w:tcW w:w="647" w:type="pct"/>
            <w:shd w:val="clear" w:color="auto" w:fill="auto"/>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c>
          <w:tcPr>
            <w:tcW w:w="646" w:type="pct"/>
            <w:vAlign w:val="center"/>
          </w:tcPr>
          <w:p w:rsidR="00E02E7E" w:rsidRPr="00C45C8F" w:rsidRDefault="00E02E7E" w:rsidP="00F77974">
            <w:pPr>
              <w:pStyle w:val="Tabletext"/>
              <w:jc w:val="center"/>
              <w:rPr>
                <w:bCs/>
                <w:color w:val="000000"/>
              </w:rPr>
            </w:pPr>
            <w:r w:rsidRPr="00C45C8F">
              <w:t>$</w:t>
            </w:r>
            <w:r w:rsidR="005C5EC5">
              <w:rPr>
                <w:noProof/>
                <w:color w:val="000000"/>
                <w:highlight w:val="black"/>
              </w:rPr>
              <w:t>'''''''''''''''''''''''''''''</w:t>
            </w:r>
          </w:p>
        </w:tc>
      </w:tr>
      <w:tr w:rsidR="00E02E7E" w:rsidRPr="00C45C8F" w:rsidTr="00087F16">
        <w:tc>
          <w:tcPr>
            <w:tcW w:w="5000" w:type="pct"/>
            <w:gridSpan w:val="7"/>
            <w:shd w:val="clear" w:color="auto" w:fill="auto"/>
            <w:vAlign w:val="center"/>
          </w:tcPr>
          <w:p w:rsidR="00E02E7E" w:rsidRPr="00C45C8F" w:rsidRDefault="00E02E7E" w:rsidP="00087F16">
            <w:pPr>
              <w:pStyle w:val="Tabletext"/>
              <w:rPr>
                <w:b/>
                <w:bCs/>
                <w:color w:val="000000"/>
              </w:rPr>
            </w:pPr>
            <w:r w:rsidRPr="00C45C8F">
              <w:rPr>
                <w:b/>
                <w:bCs/>
                <w:color w:val="000000"/>
              </w:rPr>
              <w:t>Net financial implications</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r w:rsidRPr="00C45C8F">
              <w:rPr>
                <w:sz w:val="19"/>
                <w:szCs w:val="19"/>
              </w:rPr>
              <w:t>Net cost to PBS/RPBS</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6" w:type="pct"/>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r>
      <w:tr w:rsidR="00E02E7E" w:rsidRPr="00C45C8F" w:rsidTr="00087F16">
        <w:tc>
          <w:tcPr>
            <w:tcW w:w="1119" w:type="pct"/>
            <w:shd w:val="clear" w:color="auto" w:fill="auto"/>
            <w:vAlign w:val="center"/>
          </w:tcPr>
          <w:p w:rsidR="00E02E7E" w:rsidRPr="00C45C8F" w:rsidRDefault="00E02E7E" w:rsidP="00087F16">
            <w:pPr>
              <w:pStyle w:val="Tabletext"/>
              <w:rPr>
                <w:rFonts w:ascii="Times" w:hAnsi="Times"/>
              </w:rPr>
            </w:pPr>
            <w:r w:rsidRPr="00C45C8F">
              <w:rPr>
                <w:sz w:val="19"/>
                <w:szCs w:val="19"/>
              </w:rPr>
              <w:t>Net cost to MBS</w:t>
            </w:r>
          </w:p>
        </w:tc>
        <w:tc>
          <w:tcPr>
            <w:tcW w:w="647" w:type="pct"/>
            <w:shd w:val="clear" w:color="auto" w:fill="auto"/>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6" w:type="pct"/>
            <w:vAlign w:val="bottom"/>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r>
      <w:tr w:rsidR="00E02E7E" w:rsidRPr="00C45C8F" w:rsidTr="00087F16">
        <w:tc>
          <w:tcPr>
            <w:tcW w:w="1119" w:type="pct"/>
            <w:shd w:val="clear" w:color="auto" w:fill="auto"/>
            <w:vAlign w:val="center"/>
          </w:tcPr>
          <w:p w:rsidR="00E02E7E" w:rsidRPr="00C45C8F" w:rsidRDefault="00E02E7E" w:rsidP="00087F16">
            <w:pPr>
              <w:pStyle w:val="Tabletext"/>
              <w:rPr>
                <w:sz w:val="19"/>
                <w:szCs w:val="19"/>
              </w:rPr>
            </w:pPr>
            <w:r w:rsidRPr="00C45C8F">
              <w:rPr>
                <w:sz w:val="19"/>
                <w:szCs w:val="19"/>
              </w:rPr>
              <w:t>Net cost to Government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7" w:type="pct"/>
            <w:shd w:val="clear" w:color="auto" w:fill="auto"/>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c>
          <w:tcPr>
            <w:tcW w:w="646" w:type="pct"/>
          </w:tcPr>
          <w:p w:rsidR="00E02E7E" w:rsidRPr="00C45C8F" w:rsidRDefault="00E02E7E" w:rsidP="00087F16">
            <w:pPr>
              <w:pStyle w:val="Tabletext"/>
              <w:jc w:val="center"/>
              <w:rPr>
                <w:bCs/>
                <w:color w:val="000000"/>
              </w:rPr>
            </w:pPr>
            <w:r w:rsidRPr="00C45C8F">
              <w:t>$</w:t>
            </w:r>
            <w:r w:rsidR="005C5EC5">
              <w:rPr>
                <w:noProof/>
                <w:color w:val="000000"/>
                <w:highlight w:val="black"/>
              </w:rPr>
              <w:t>'''''''''''''''''''''''''</w:t>
            </w:r>
          </w:p>
        </w:tc>
      </w:tr>
    </w:tbl>
    <w:p w:rsidR="00E02E7E" w:rsidRPr="00C45C8F" w:rsidRDefault="00E02E7E" w:rsidP="00B14FC5">
      <w:pPr>
        <w:pStyle w:val="TableFooter"/>
        <w:tabs>
          <w:tab w:val="left" w:pos="142"/>
        </w:tabs>
        <w:ind w:left="142" w:hanging="142"/>
        <w:rPr>
          <w:szCs w:val="18"/>
        </w:rPr>
      </w:pPr>
      <w:proofErr w:type="spellStart"/>
      <w:proofErr w:type="gramStart"/>
      <w:r w:rsidRPr="00C45C8F">
        <w:rPr>
          <w:szCs w:val="18"/>
          <w:vertAlign w:val="superscript"/>
        </w:rPr>
        <w:t>a</w:t>
      </w:r>
      <w:proofErr w:type="spellEnd"/>
      <w:proofErr w:type="gramEnd"/>
      <w:r w:rsidRPr="00C45C8F">
        <w:rPr>
          <w:szCs w:val="18"/>
        </w:rPr>
        <w:tab/>
        <w:t xml:space="preserve">Assuming </w:t>
      </w:r>
      <w:r w:rsidR="005C5EC5">
        <w:rPr>
          <w:noProof/>
          <w:color w:val="000000"/>
          <w:szCs w:val="18"/>
          <w:highlight w:val="black"/>
        </w:rPr>
        <w:t>'''''''''''</w:t>
      </w:r>
      <w:r w:rsidRPr="00C45C8F">
        <w:rPr>
          <w:szCs w:val="18"/>
        </w:rPr>
        <w:t xml:space="preserve"> 100mg doses and </w:t>
      </w:r>
      <w:r w:rsidR="005C5EC5">
        <w:rPr>
          <w:noProof/>
          <w:color w:val="000000"/>
          <w:szCs w:val="18"/>
          <w:highlight w:val="black"/>
        </w:rPr>
        <w:t xml:space="preserve">''' </w:t>
      </w:r>
      <w:r w:rsidRPr="00C45C8F">
        <w:rPr>
          <w:szCs w:val="18"/>
        </w:rPr>
        <w:t>300mg doses in induction (</w:t>
      </w:r>
      <w:r w:rsidR="005C5EC5">
        <w:rPr>
          <w:noProof/>
          <w:color w:val="000000"/>
          <w:szCs w:val="18"/>
          <w:highlight w:val="black"/>
        </w:rPr>
        <w:t>'''''''''''''</w:t>
      </w:r>
      <w:r w:rsidRPr="00C45C8F">
        <w:rPr>
          <w:szCs w:val="18"/>
        </w:rPr>
        <w:t xml:space="preserve">% of patients) and </w:t>
      </w:r>
      <w:r w:rsidR="005C5EC5">
        <w:rPr>
          <w:noProof/>
          <w:color w:val="000000"/>
          <w:szCs w:val="18"/>
          <w:highlight w:val="black"/>
        </w:rPr>
        <w:t>''''''</w:t>
      </w:r>
      <w:r w:rsidRPr="00C45C8F">
        <w:rPr>
          <w:szCs w:val="18"/>
        </w:rPr>
        <w:t xml:space="preserve"> 100mg doses per year for maintenance patients (</w:t>
      </w:r>
      <w:r w:rsidR="005C5EC5">
        <w:rPr>
          <w:noProof/>
          <w:color w:val="000000"/>
          <w:szCs w:val="18"/>
          <w:highlight w:val="black"/>
        </w:rPr>
        <w:t>''''''''''''</w:t>
      </w:r>
      <w:r w:rsidRPr="00C45C8F">
        <w:rPr>
          <w:szCs w:val="18"/>
        </w:rPr>
        <w:t xml:space="preserve">% of patients) </w:t>
      </w:r>
      <w:r w:rsidR="00B14FC5" w:rsidRPr="00C45C8F">
        <w:rPr>
          <w:szCs w:val="18"/>
        </w:rPr>
        <w:t xml:space="preserve">as estimated by the submission. </w:t>
      </w:r>
      <w:r w:rsidRPr="00C45C8F">
        <w:rPr>
          <w:szCs w:val="18"/>
        </w:rPr>
        <w:t>Source: Table 4.11, p174, Table 4.16,</w:t>
      </w:r>
      <w:r w:rsidR="003C7301" w:rsidRPr="00C45C8F">
        <w:rPr>
          <w:szCs w:val="18"/>
        </w:rPr>
        <w:t xml:space="preserve"> p176, Table 4.26, p180, Table </w:t>
      </w:r>
      <w:r w:rsidRPr="00C45C8F">
        <w:rPr>
          <w:szCs w:val="18"/>
        </w:rPr>
        <w:t>4.35, p184and Section 4 workbook of the submission ‘cost to PBS &amp; RPBS’ worksheet.</w:t>
      </w:r>
    </w:p>
    <w:p w:rsidR="00DA18F8" w:rsidRPr="00DA18F8" w:rsidRDefault="00DA18F8" w:rsidP="00C954A6">
      <w:pPr>
        <w:pStyle w:val="TableFooter"/>
        <w:tabs>
          <w:tab w:val="left" w:pos="142"/>
        </w:tabs>
        <w:spacing w:before="120" w:after="120"/>
        <w:ind w:left="142" w:hanging="142"/>
        <w:rPr>
          <w:rFonts w:asciiTheme="minorHAnsi" w:hAnsiTheme="minorHAnsi" w:cstheme="minorHAnsi"/>
          <w:sz w:val="24"/>
          <w:szCs w:val="24"/>
        </w:rPr>
      </w:pPr>
      <w:r>
        <w:rPr>
          <w:rFonts w:asciiTheme="minorHAnsi" w:hAnsiTheme="minorHAnsi" w:cstheme="minorHAnsi"/>
          <w:sz w:val="24"/>
          <w:szCs w:val="24"/>
        </w:rPr>
        <w:t xml:space="preserve">The redacted table shows that at Year 6, the estimated number of patients was less than 10,000 and the net cost to the PBS/RPBS would be </w:t>
      </w:r>
      <w:r w:rsidR="00876621">
        <w:rPr>
          <w:rFonts w:asciiTheme="minorHAnsi" w:hAnsiTheme="minorHAnsi" w:cstheme="minorHAnsi"/>
          <w:sz w:val="24"/>
          <w:szCs w:val="24"/>
        </w:rPr>
        <w:t xml:space="preserve">$30 to $60 million. </w:t>
      </w:r>
    </w:p>
    <w:p w:rsidR="00E02E7E" w:rsidRPr="00D775A7" w:rsidRDefault="00E02E7E" w:rsidP="00C954A6">
      <w:pPr>
        <w:pStyle w:val="ListParagraph"/>
        <w:widowControl/>
        <w:numPr>
          <w:ilvl w:val="1"/>
          <w:numId w:val="2"/>
        </w:numPr>
        <w:spacing w:before="120" w:after="120"/>
        <w:ind w:left="720" w:hanging="720"/>
      </w:pPr>
      <w:r w:rsidRPr="00D775A7">
        <w:t xml:space="preserve">It was also possible that if </w:t>
      </w:r>
      <w:proofErr w:type="spellStart"/>
      <w:r w:rsidRPr="00D775A7">
        <w:t>Sublocade</w:t>
      </w:r>
      <w:proofErr w:type="spellEnd"/>
      <w:r w:rsidRPr="00D775A7">
        <w:t xml:space="preserve"> </w:t>
      </w:r>
      <w:r w:rsidR="00C700AE">
        <w:t>had improvements in compliance/</w:t>
      </w:r>
      <w:r w:rsidRPr="00D775A7">
        <w:t xml:space="preserve">adherence that was claimed in the submission patients would stay on treatment for a longer </w:t>
      </w:r>
      <w:r w:rsidR="00D769E5" w:rsidRPr="00D775A7">
        <w:t>period</w:t>
      </w:r>
      <w:r w:rsidRPr="00D775A7">
        <w:t xml:space="preserve"> than </w:t>
      </w:r>
      <w:r w:rsidR="00885AD3" w:rsidRPr="00D775A7">
        <w:t>BUP/NAL</w:t>
      </w:r>
      <w:r w:rsidR="00802F79" w:rsidRPr="00D775A7">
        <w:t xml:space="preserve"> SL film</w:t>
      </w:r>
      <w:r w:rsidRPr="00D775A7">
        <w:t xml:space="preserve"> and thus more patients would be on treatment than estimated by NOPSAD data. The submission made no adjustment for this</w:t>
      </w:r>
      <w:r w:rsidR="00F77974" w:rsidRPr="00D775A7">
        <w:t xml:space="preserve">. </w:t>
      </w:r>
    </w:p>
    <w:p w:rsidR="00802F79" w:rsidRPr="00D775A7" w:rsidRDefault="007325FE" w:rsidP="00C954A6">
      <w:pPr>
        <w:pStyle w:val="ListParagraph"/>
        <w:widowControl/>
        <w:numPr>
          <w:ilvl w:val="1"/>
          <w:numId w:val="2"/>
        </w:numPr>
        <w:spacing w:before="120" w:after="120"/>
        <w:ind w:left="720" w:hanging="720"/>
      </w:pPr>
      <w:r w:rsidRPr="00D775A7">
        <w:t xml:space="preserve">Utilisation of </w:t>
      </w:r>
      <w:proofErr w:type="spellStart"/>
      <w:r w:rsidRPr="00D775A7">
        <w:t>Sublocade</w:t>
      </w:r>
      <w:proofErr w:type="spellEnd"/>
      <w:r w:rsidRPr="00D775A7">
        <w:t>, and the likely substitution from other opioid substitution therapies, cannot be reliably determined until the practice model is known</w:t>
      </w:r>
      <w:r w:rsidR="00D769E5">
        <w:t xml:space="preserve">. The uncertainties include </w:t>
      </w:r>
      <w:r w:rsidRPr="00D775A7">
        <w:t>whether the product will be supplied through a patient’s usual dispensing site (including community pharmacy) or limited to use in alcohol and drug treatment clinics, public or private health clinics, or through general practice. Similarly, health system costs including the costs of administration and GP visits are reliant on the practice model adopted and therefore cannot be estimated</w:t>
      </w:r>
      <w:r w:rsidR="00D769E5">
        <w:t xml:space="preserve"> reliably</w:t>
      </w:r>
      <w:r w:rsidRPr="00D775A7">
        <w:t>. Though the submission presented some information regarding proposed practice model</w:t>
      </w:r>
      <w:r w:rsidR="00DF7F6F" w:rsidRPr="00D775A7">
        <w:t>s</w:t>
      </w:r>
      <w:r w:rsidR="004D7C1F" w:rsidRPr="00D775A7">
        <w:t xml:space="preserve"> (discussed in Section 2 above)</w:t>
      </w:r>
      <w:r w:rsidRPr="00D775A7">
        <w:t xml:space="preserve">, this will remain highly dependent on agreement with State and Territory Governments and specific details regarding supplying and dispensing </w:t>
      </w:r>
      <w:proofErr w:type="spellStart"/>
      <w:r w:rsidRPr="00D775A7">
        <w:t>Sublocade</w:t>
      </w:r>
      <w:proofErr w:type="spellEnd"/>
      <w:r w:rsidRPr="00D775A7">
        <w:t>.</w:t>
      </w:r>
      <w:r w:rsidR="00802F79" w:rsidRPr="00D775A7">
        <w:rPr>
          <w:i/>
        </w:rPr>
        <w:t xml:space="preserve"> </w:t>
      </w:r>
    </w:p>
    <w:p w:rsidR="007325FE" w:rsidRPr="00D775A7" w:rsidRDefault="00D769E5" w:rsidP="00C954A6">
      <w:pPr>
        <w:pStyle w:val="ListParagraph"/>
        <w:widowControl/>
        <w:numPr>
          <w:ilvl w:val="1"/>
          <w:numId w:val="2"/>
        </w:numPr>
        <w:spacing w:before="120" w:after="120"/>
        <w:ind w:left="720" w:hanging="720"/>
      </w:pPr>
      <w:r>
        <w:t>The submission did not consider the i</w:t>
      </w:r>
      <w:r w:rsidR="00802F79" w:rsidRPr="00D775A7">
        <w:t>mpacts on any adju</w:t>
      </w:r>
      <w:r w:rsidR="00DF7F6F" w:rsidRPr="00D775A7">
        <w:t xml:space="preserve">vant psychosocial treatments </w:t>
      </w:r>
      <w:r w:rsidR="00802F79" w:rsidRPr="00D775A7">
        <w:t xml:space="preserve">(for example that increased compliance may lead to greater use of psychological </w:t>
      </w:r>
      <w:r w:rsidR="00802F79" w:rsidRPr="00D775A7">
        <w:lastRenderedPageBreak/>
        <w:t>therapy) and overall the ESC considered that the MBS savings were poorly justified and unlikely to be realised. Furthermore, as cost savings from GP visits were factored into the cost-minimisation analysis, the ESC considered it inappropriate that they were also included as a financial cost offset</w:t>
      </w:r>
      <w:r w:rsidR="004947F2">
        <w:t xml:space="preserve"> (which </w:t>
      </w:r>
      <w:r w:rsidR="0036145E">
        <w:t xml:space="preserve">are </w:t>
      </w:r>
      <w:r w:rsidR="004947F2">
        <w:t xml:space="preserve">generally not included in the financial estimates in any case). </w:t>
      </w:r>
    </w:p>
    <w:p w:rsidR="00E02E7E" w:rsidRPr="00D775A7" w:rsidRDefault="00E02E7E" w:rsidP="00C954A6">
      <w:pPr>
        <w:pStyle w:val="Heading2"/>
        <w:spacing w:before="120" w:after="120"/>
      </w:pPr>
      <w:bookmarkStart w:id="37" w:name="_Toc535915919"/>
      <w:r w:rsidRPr="00D775A7">
        <w:t>Quality Use of Medicines</w:t>
      </w:r>
      <w:bookmarkEnd w:id="37"/>
    </w:p>
    <w:p w:rsidR="00E02E7E"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considered the availability of </w:t>
      </w:r>
      <w:proofErr w:type="spellStart"/>
      <w:r w:rsidRPr="00D775A7">
        <w:rPr>
          <w:color w:val="000000" w:themeColor="text1"/>
        </w:rPr>
        <w:t>Sublocade</w:t>
      </w:r>
      <w:proofErr w:type="spellEnd"/>
      <w:r w:rsidRPr="00D775A7">
        <w:rPr>
          <w:color w:val="000000" w:themeColor="text1"/>
        </w:rPr>
        <w:t xml:space="preserve"> to have the following quality use of medicine benefits:</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 xml:space="preserve">Sustained clinically meaningful benefits </w:t>
      </w:r>
      <w:r w:rsidR="008E7C94" w:rsidRPr="00D775A7">
        <w:rPr>
          <w:color w:val="000000" w:themeColor="text1"/>
        </w:rPr>
        <w:t>concerning</w:t>
      </w:r>
      <w:r w:rsidRPr="00D775A7">
        <w:rPr>
          <w:color w:val="000000" w:themeColor="text1"/>
        </w:rPr>
        <w:t xml:space="preserve"> reducing illicit opioid use with direct health and societal benefits</w:t>
      </w:r>
      <w:r w:rsidR="00F77974" w:rsidRPr="00D775A7">
        <w:rPr>
          <w:color w:val="000000" w:themeColor="text1"/>
        </w:rPr>
        <w:t>.</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As the treatment is administered by a professional and is not handled by the patient at any stage, there are great harm reduction benefits of zero misuse, abuse and diversion, with its resultant health and societal benefits</w:t>
      </w:r>
      <w:r w:rsidR="00F77974" w:rsidRPr="00D775A7">
        <w:rPr>
          <w:color w:val="000000" w:themeColor="text1"/>
        </w:rPr>
        <w:t>.</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Improved</w:t>
      </w:r>
      <w:r w:rsidR="00F77974" w:rsidRPr="00D775A7">
        <w:rPr>
          <w:color w:val="000000" w:themeColor="text1"/>
        </w:rPr>
        <w:t xml:space="preserve"> patient treatment compliance. </w:t>
      </w:r>
      <w:r w:rsidRPr="00D775A7">
        <w:rPr>
          <w:color w:val="000000" w:themeColor="text1"/>
        </w:rPr>
        <w:t>Reasons for the non</w:t>
      </w:r>
      <w:r w:rsidR="001408BC" w:rsidRPr="00D775A7">
        <w:rPr>
          <w:color w:val="000000" w:themeColor="text1"/>
        </w:rPr>
        <w:t>-</w:t>
      </w:r>
      <w:r w:rsidRPr="00D775A7">
        <w:rPr>
          <w:color w:val="000000" w:themeColor="text1"/>
        </w:rPr>
        <w:t>adherence to treatment include poor disease awareness, side effects, low efficacy and complicated posology</w:t>
      </w:r>
      <w:r w:rsidR="002A0BEF" w:rsidRPr="00D775A7">
        <w:rPr>
          <w:color w:val="000000" w:themeColor="text1"/>
        </w:rPr>
        <w:t>.</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Decreased</w:t>
      </w:r>
      <w:r w:rsidR="002A0BEF" w:rsidRPr="00D775A7">
        <w:rPr>
          <w:color w:val="000000" w:themeColor="text1"/>
        </w:rPr>
        <w:t xml:space="preserve"> unintended paediatric exposure.</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No known risk of accidental overdose</w:t>
      </w:r>
      <w:r w:rsidR="002A0BEF" w:rsidRPr="00D775A7">
        <w:rPr>
          <w:color w:val="000000" w:themeColor="text1"/>
        </w:rPr>
        <w:t>.</w:t>
      </w:r>
      <w:r w:rsidRPr="00D775A7">
        <w:rPr>
          <w:color w:val="000000" w:themeColor="text1"/>
        </w:rPr>
        <w:t xml:space="preserve"> </w:t>
      </w:r>
    </w:p>
    <w:p w:rsidR="00E02E7E" w:rsidRPr="00D775A7" w:rsidRDefault="00E02E7E" w:rsidP="00C954A6">
      <w:pPr>
        <w:pStyle w:val="ListParagraph"/>
        <w:widowControl/>
        <w:numPr>
          <w:ilvl w:val="0"/>
          <w:numId w:val="8"/>
        </w:numPr>
        <w:spacing w:before="120" w:after="120"/>
        <w:ind w:left="993" w:hanging="284"/>
        <w:rPr>
          <w:color w:val="000000" w:themeColor="text1"/>
        </w:rPr>
      </w:pPr>
      <w:r w:rsidRPr="00D775A7">
        <w:rPr>
          <w:color w:val="000000" w:themeColor="text1"/>
        </w:rPr>
        <w:t>Reduced administration and costs of tr</w:t>
      </w:r>
      <w:r w:rsidR="002A0BEF" w:rsidRPr="00D775A7">
        <w:rPr>
          <w:color w:val="000000" w:themeColor="text1"/>
        </w:rPr>
        <w:t>eatment compared with current OD</w:t>
      </w:r>
      <w:r w:rsidRPr="00D775A7">
        <w:rPr>
          <w:color w:val="000000" w:themeColor="text1"/>
        </w:rPr>
        <w:t>T treatments that require daily administration and supervision, including patient daily dispensing payments</w:t>
      </w:r>
      <w:r w:rsidR="002A0BEF" w:rsidRPr="00D775A7">
        <w:rPr>
          <w:color w:val="000000" w:themeColor="text1"/>
        </w:rPr>
        <w:t>.</w:t>
      </w:r>
    </w:p>
    <w:p w:rsidR="00E02E7E"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sponsor </w:t>
      </w:r>
      <w:r w:rsidR="001408BC" w:rsidRPr="00D775A7">
        <w:rPr>
          <w:color w:val="000000" w:themeColor="text1"/>
        </w:rPr>
        <w:t>was</w:t>
      </w:r>
      <w:r w:rsidRPr="00D775A7">
        <w:rPr>
          <w:color w:val="000000" w:themeColor="text1"/>
        </w:rPr>
        <w:t xml:space="preserve"> working with wholesalers to add additional warnings upon delivery of the product to health care providers.</w:t>
      </w:r>
    </w:p>
    <w:p w:rsidR="00E02E7E" w:rsidRPr="00D775A7"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noted that in the absence of any agreements from jurisdictions and or health care professionals, the sponsor </w:t>
      </w:r>
      <w:r w:rsidR="001408BC" w:rsidRPr="00D775A7">
        <w:rPr>
          <w:color w:val="000000" w:themeColor="text1"/>
        </w:rPr>
        <w:t xml:space="preserve">would </w:t>
      </w:r>
      <w:r w:rsidRPr="00D775A7">
        <w:rPr>
          <w:color w:val="000000" w:themeColor="text1"/>
        </w:rPr>
        <w:t xml:space="preserve">delay supply of the product until such agreements can be reached. </w:t>
      </w:r>
    </w:p>
    <w:p w:rsidR="00B214AE" w:rsidRPr="00D775A7" w:rsidRDefault="00B214AE" w:rsidP="00C954A6">
      <w:pPr>
        <w:pStyle w:val="ListParagraph"/>
        <w:widowControl/>
        <w:numPr>
          <w:ilvl w:val="1"/>
          <w:numId w:val="2"/>
        </w:numPr>
        <w:spacing w:before="120" w:after="120"/>
        <w:ind w:left="720" w:hanging="720"/>
      </w:pPr>
      <w:r w:rsidRPr="00D775A7">
        <w:t xml:space="preserve">Given the long acting formulation of prolonged release buprenorphine, it may be difficult to reverse the opioid effects in emergency situations, including accidental overdose. </w:t>
      </w:r>
      <w:r w:rsidR="00CC182A" w:rsidRPr="00D775A7">
        <w:t>U</w:t>
      </w:r>
      <w:r w:rsidRPr="00D775A7">
        <w:t xml:space="preserve">nder the current opioid substitution model, if a patient presents at a dispensing site for a daily dose whilst intoxicated with alcohol or other drugs, the daily dose of methadone/buprenorphine is withheld. However, due to the long acting formulation of prolonged release buprenorphine, there is a decreased ability for health practitioners to manage the risk of CNS depression in patients engaging in </w:t>
      </w:r>
      <w:proofErr w:type="spellStart"/>
      <w:r w:rsidRPr="00D775A7">
        <w:t>polydrug</w:t>
      </w:r>
      <w:proofErr w:type="spellEnd"/>
      <w:r w:rsidRPr="00D775A7">
        <w:t xml:space="preserve"> use. </w:t>
      </w:r>
    </w:p>
    <w:p w:rsidR="00B214AE" w:rsidRPr="00D775A7" w:rsidRDefault="00D452B5" w:rsidP="00C954A6">
      <w:pPr>
        <w:pStyle w:val="ListParagraph"/>
        <w:widowControl/>
        <w:numPr>
          <w:ilvl w:val="1"/>
          <w:numId w:val="2"/>
        </w:numPr>
        <w:spacing w:before="120" w:after="120"/>
        <w:ind w:left="720" w:hanging="720"/>
        <w:rPr>
          <w:color w:val="000000" w:themeColor="text1"/>
        </w:rPr>
      </w:pPr>
      <w:r w:rsidRPr="00D775A7">
        <w:t>Patients on buprenorphine who require pain management may have specific requirements and it is unclear how this will be managed in the context of prolonged release buprenorphine. Pain management should be carefully monitored, since patients with opioid use disorder often have decreased pain tolerance and cross-</w:t>
      </w:r>
      <w:r w:rsidRPr="00D775A7">
        <w:lastRenderedPageBreak/>
        <w:t>tolerance to opioid analgesics, resulting in a need for higher opioid doses and shorter dosing intervals. This issue should be addressed by the sponsor in a QUM plan.</w:t>
      </w:r>
    </w:p>
    <w:p w:rsidR="00D452B5" w:rsidRPr="00D775A7" w:rsidRDefault="00D452B5" w:rsidP="00C954A6">
      <w:pPr>
        <w:pStyle w:val="ListParagraph"/>
        <w:widowControl/>
        <w:numPr>
          <w:ilvl w:val="1"/>
          <w:numId w:val="2"/>
        </w:numPr>
        <w:spacing w:before="120" w:after="120"/>
        <w:ind w:left="720" w:hanging="720"/>
        <w:rPr>
          <w:color w:val="000000" w:themeColor="text1"/>
        </w:rPr>
      </w:pPr>
      <w:r w:rsidRPr="00D775A7">
        <w:t>The safety of stopping treatment with, or weaning from, prolonged release buprenorphine was unclear and should be addressed.</w:t>
      </w:r>
    </w:p>
    <w:p w:rsidR="00D452B5" w:rsidRDefault="00D452B5" w:rsidP="00C954A6">
      <w:pPr>
        <w:pStyle w:val="ListParagraph"/>
        <w:widowControl/>
        <w:numPr>
          <w:ilvl w:val="1"/>
          <w:numId w:val="2"/>
        </w:numPr>
        <w:spacing w:before="120" w:after="120"/>
        <w:ind w:left="720" w:hanging="720"/>
        <w:rPr>
          <w:color w:val="000000" w:themeColor="text1"/>
        </w:rPr>
      </w:pPr>
      <w:r w:rsidRPr="00D775A7">
        <w:rPr>
          <w:color w:val="000000" w:themeColor="text1"/>
        </w:rPr>
        <w:t>It was unclear what risk would be posed to patients by intravascular injection. No human studies of the risks and effects of intravascular injection of prolonged release buprenorphine were available</w:t>
      </w:r>
      <w:r w:rsidR="00CC182A" w:rsidRPr="00D775A7">
        <w:rPr>
          <w:color w:val="000000" w:themeColor="text1"/>
        </w:rPr>
        <w:t>.</w:t>
      </w:r>
    </w:p>
    <w:p w:rsidR="00E02E7E" w:rsidRPr="00D775A7" w:rsidRDefault="00E02E7E" w:rsidP="00C954A6">
      <w:pPr>
        <w:pStyle w:val="Heading2"/>
        <w:spacing w:before="120" w:after="120"/>
      </w:pPr>
      <w:bookmarkStart w:id="38" w:name="_Toc535915920"/>
      <w:r w:rsidRPr="00D775A7">
        <w:t>Financial Management – Risk Sharing Arrangements</w:t>
      </w:r>
      <w:bookmarkEnd w:id="38"/>
    </w:p>
    <w:p w:rsidR="00802F79" w:rsidRDefault="00E02E7E" w:rsidP="00C954A6">
      <w:pPr>
        <w:pStyle w:val="ListParagraph"/>
        <w:widowControl/>
        <w:numPr>
          <w:ilvl w:val="1"/>
          <w:numId w:val="2"/>
        </w:numPr>
        <w:spacing w:before="120" w:after="120"/>
        <w:ind w:left="720" w:hanging="720"/>
        <w:rPr>
          <w:color w:val="000000" w:themeColor="text1"/>
        </w:rPr>
      </w:pPr>
      <w:r w:rsidRPr="00D775A7">
        <w:rPr>
          <w:color w:val="000000" w:themeColor="text1"/>
        </w:rPr>
        <w:t xml:space="preserve">The submission noted that, if appropriate, the sponsor is willing to enter a </w:t>
      </w:r>
      <w:r w:rsidR="008E7C94">
        <w:rPr>
          <w:color w:val="000000" w:themeColor="text1"/>
        </w:rPr>
        <w:t>R</w:t>
      </w:r>
      <w:r w:rsidR="008E7C94" w:rsidRPr="00D775A7">
        <w:rPr>
          <w:color w:val="000000" w:themeColor="text1"/>
        </w:rPr>
        <w:t>isk</w:t>
      </w:r>
      <w:r w:rsidR="008E7C94">
        <w:rPr>
          <w:color w:val="000000" w:themeColor="text1"/>
        </w:rPr>
        <w:t xml:space="preserve"> S</w:t>
      </w:r>
      <w:r w:rsidRPr="00D775A7">
        <w:rPr>
          <w:color w:val="000000" w:themeColor="text1"/>
        </w:rPr>
        <w:t xml:space="preserve">hare </w:t>
      </w:r>
      <w:r w:rsidR="008E7C94">
        <w:rPr>
          <w:color w:val="000000" w:themeColor="text1"/>
        </w:rPr>
        <w:t>A</w:t>
      </w:r>
      <w:r w:rsidR="008E7C94" w:rsidRPr="00D775A7">
        <w:rPr>
          <w:color w:val="000000" w:themeColor="text1"/>
        </w:rPr>
        <w:t xml:space="preserve">rrangement </w:t>
      </w:r>
      <w:r w:rsidRPr="00D775A7">
        <w:rPr>
          <w:color w:val="000000" w:themeColor="text1"/>
        </w:rPr>
        <w:t>to mitigate the risk to government due to an unforeseen increase in</w:t>
      </w:r>
      <w:r w:rsidR="002A0BEF" w:rsidRPr="00D775A7">
        <w:rPr>
          <w:color w:val="000000" w:themeColor="text1"/>
        </w:rPr>
        <w:t xml:space="preserve"> patients accessing </w:t>
      </w:r>
      <w:proofErr w:type="spellStart"/>
      <w:r w:rsidR="002A0BEF" w:rsidRPr="00D775A7">
        <w:rPr>
          <w:color w:val="000000" w:themeColor="text1"/>
        </w:rPr>
        <w:t>Sublocade</w:t>
      </w:r>
      <w:proofErr w:type="spellEnd"/>
      <w:r w:rsidR="002A0BEF" w:rsidRPr="00D775A7">
        <w:rPr>
          <w:color w:val="000000" w:themeColor="text1"/>
        </w:rPr>
        <w:t xml:space="preserve">. </w:t>
      </w:r>
      <w:r w:rsidR="008E7C94">
        <w:rPr>
          <w:color w:val="000000" w:themeColor="text1"/>
        </w:rPr>
        <w:t>The sponsor did not provide any further details</w:t>
      </w:r>
      <w:r w:rsidRPr="00D775A7">
        <w:rPr>
          <w:color w:val="000000" w:themeColor="text1"/>
        </w:rPr>
        <w:t>.</w:t>
      </w:r>
    </w:p>
    <w:p w:rsidR="00762E5E" w:rsidRPr="00762E5E" w:rsidRDefault="00762E5E" w:rsidP="00C954A6">
      <w:pPr>
        <w:spacing w:before="120" w:after="120"/>
        <w:ind w:firstLine="709"/>
        <w:rPr>
          <w:rFonts w:asciiTheme="minorHAnsi" w:hAnsiTheme="minorHAnsi"/>
          <w:i/>
        </w:rPr>
      </w:pPr>
      <w:r w:rsidRPr="00762E5E">
        <w:rPr>
          <w:rFonts w:asciiTheme="minorHAnsi" w:hAnsiTheme="minorHAnsi"/>
          <w:i/>
        </w:rPr>
        <w:t>For more detail on PBAC’s view, see section 7 PBAC outcome.</w:t>
      </w:r>
    </w:p>
    <w:bookmarkEnd w:id="0"/>
    <w:bookmarkEnd w:id="1"/>
    <w:bookmarkEnd w:id="2"/>
    <w:bookmarkEnd w:id="3"/>
    <w:bookmarkEnd w:id="4"/>
    <w:p w:rsidR="00C13B89" w:rsidRPr="00762E5E" w:rsidRDefault="00C13B89" w:rsidP="00C954A6">
      <w:pPr>
        <w:pStyle w:val="PBACHeading1"/>
        <w:numPr>
          <w:ilvl w:val="0"/>
          <w:numId w:val="2"/>
        </w:numPr>
        <w:spacing w:before="120" w:after="120"/>
        <w:ind w:left="709" w:hanging="709"/>
      </w:pPr>
      <w:r w:rsidRPr="00762E5E">
        <w:t>PBAC Outcome</w:t>
      </w:r>
    </w:p>
    <w:p w:rsidR="00C13B89" w:rsidRPr="00D775A7" w:rsidRDefault="00C13B89" w:rsidP="00C954A6">
      <w:pPr>
        <w:widowControl/>
        <w:numPr>
          <w:ilvl w:val="1"/>
          <w:numId w:val="2"/>
        </w:numPr>
        <w:spacing w:before="120" w:after="120"/>
        <w:ind w:left="720" w:hanging="720"/>
        <w:rPr>
          <w:rFonts w:asciiTheme="minorHAnsi" w:hAnsiTheme="minorHAnsi"/>
          <w:bCs/>
          <w:szCs w:val="24"/>
        </w:rPr>
      </w:pPr>
      <w:r w:rsidRPr="00D775A7">
        <w:rPr>
          <w:rFonts w:asciiTheme="minorHAnsi" w:hAnsiTheme="minorHAnsi"/>
          <w:bCs/>
          <w:szCs w:val="24"/>
        </w:rPr>
        <w:t>The PBAC deferred its decision on whether to recommend the Section 100 (Opiate Dependence Treatment Program) listing for buprenorphine long-acting subcutaneous injection (</w:t>
      </w:r>
      <w:proofErr w:type="spellStart"/>
      <w:r w:rsidRPr="00D775A7">
        <w:rPr>
          <w:rFonts w:asciiTheme="minorHAnsi" w:hAnsiTheme="minorHAnsi"/>
          <w:bCs/>
          <w:szCs w:val="24"/>
        </w:rPr>
        <w:t>Sublocade</w:t>
      </w:r>
      <w:proofErr w:type="spellEnd"/>
      <w:r w:rsidRPr="00D775A7">
        <w:rPr>
          <w:rFonts w:asciiTheme="minorHAnsi" w:hAnsiTheme="minorHAnsi"/>
          <w:bCs/>
          <w:szCs w:val="24"/>
        </w:rPr>
        <w:t>®) for the treatment of opioid use disorder (OUD)</w:t>
      </w:r>
      <w:r w:rsidR="000C585B" w:rsidRPr="00D775A7">
        <w:rPr>
          <w:rFonts w:asciiTheme="minorHAnsi" w:hAnsiTheme="minorHAnsi"/>
          <w:bCs/>
          <w:szCs w:val="24"/>
        </w:rPr>
        <w:t xml:space="preserve">. </w:t>
      </w:r>
      <w:r w:rsidR="000C585B" w:rsidRPr="00D775A7">
        <w:rPr>
          <w:rFonts w:asciiTheme="minorHAnsi" w:hAnsiTheme="minorHAnsi"/>
          <w:bCs/>
        </w:rPr>
        <w:t xml:space="preserve">However, the PBAC was of a mind to recommend </w:t>
      </w:r>
      <w:proofErr w:type="spellStart"/>
      <w:r w:rsidR="000C585B" w:rsidRPr="00D775A7">
        <w:rPr>
          <w:rFonts w:asciiTheme="minorHAnsi" w:hAnsiTheme="minorHAnsi"/>
          <w:bCs/>
        </w:rPr>
        <w:t>Sublocade</w:t>
      </w:r>
      <w:proofErr w:type="spellEnd"/>
      <w:r w:rsidR="000C585B" w:rsidRPr="00D775A7">
        <w:rPr>
          <w:rFonts w:asciiTheme="minorHAnsi" w:hAnsiTheme="minorHAnsi"/>
          <w:bCs/>
        </w:rPr>
        <w:t xml:space="preserve"> on a cost minimisation basis to sublingual buprenorphine/naloxone (BUP/NAL SL film), pending provision of a positive TGA Delegate’s overview. </w:t>
      </w:r>
      <w:r w:rsidRPr="00D775A7">
        <w:rPr>
          <w:rFonts w:asciiTheme="minorHAnsi" w:hAnsiTheme="minorHAnsi"/>
          <w:bCs/>
          <w:szCs w:val="24"/>
        </w:rPr>
        <w:t>The PBAC acknowledged there was a clinical need for an alternative form of medication assisted treatment for opioid dependence, and that a long-acting subcutaneous injection was likely to have both clinical and social advantages for some patients in this treatment setting.</w:t>
      </w:r>
    </w:p>
    <w:p w:rsidR="00C13B89" w:rsidRPr="00D775A7" w:rsidRDefault="00C13B89" w:rsidP="00C954A6">
      <w:pPr>
        <w:widowControl/>
        <w:numPr>
          <w:ilvl w:val="1"/>
          <w:numId w:val="2"/>
        </w:numPr>
        <w:spacing w:before="120" w:after="120"/>
        <w:ind w:left="720" w:hanging="720"/>
        <w:rPr>
          <w:rFonts w:asciiTheme="minorHAnsi" w:hAnsiTheme="minorHAnsi"/>
          <w:bCs/>
          <w:szCs w:val="24"/>
        </w:rPr>
      </w:pPr>
      <w:r w:rsidRPr="00D775A7">
        <w:rPr>
          <w:rFonts w:asciiTheme="minorHAnsi" w:hAnsiTheme="minorHAnsi"/>
          <w:bCs/>
          <w:szCs w:val="24"/>
        </w:rPr>
        <w:t>The PBAC considered that any future listing of long-acting buprenorphine should be under the existing Section 100 (Opioid Dependence Treatment Program) noting the supply of the drug would be restricted to approved prescribers who would also administer the dose, and that this was most likely to occur in a general practice setting. The PBAC considered that this is a significant shift away from the current community pharmacy based model. The PBAC further noted that implementation of any future positive recommendation would require significant liaison with states and territories.</w:t>
      </w:r>
    </w:p>
    <w:p w:rsidR="00C13B89" w:rsidRPr="00D775A7" w:rsidRDefault="00C13B89" w:rsidP="00C954A6">
      <w:pPr>
        <w:widowControl/>
        <w:numPr>
          <w:ilvl w:val="1"/>
          <w:numId w:val="2"/>
        </w:numPr>
        <w:spacing w:before="120" w:after="120"/>
        <w:ind w:left="720" w:hanging="720"/>
        <w:rPr>
          <w:rFonts w:asciiTheme="minorHAnsi" w:hAnsiTheme="minorHAnsi"/>
          <w:bCs/>
          <w:szCs w:val="24"/>
        </w:rPr>
      </w:pPr>
      <w:r w:rsidRPr="00D775A7">
        <w:rPr>
          <w:rFonts w:asciiTheme="minorHAnsi" w:hAnsiTheme="minorHAnsi"/>
          <w:bCs/>
        </w:rPr>
        <w:t xml:space="preserve">The PBAC considered the nominated comparator, </w:t>
      </w:r>
      <w:r w:rsidRPr="00D775A7">
        <w:t>BUP/NAL SL film</w:t>
      </w:r>
      <w:r w:rsidRPr="00D775A7">
        <w:rPr>
          <w:rFonts w:asciiTheme="minorHAnsi" w:eastAsiaTheme="minorHAnsi" w:hAnsiTheme="minorHAnsi" w:cstheme="minorBidi"/>
          <w:bCs/>
        </w:rPr>
        <w:t>,</w:t>
      </w:r>
      <w:r w:rsidRPr="00D775A7">
        <w:rPr>
          <w:rFonts w:asciiTheme="minorHAnsi" w:hAnsiTheme="minorHAnsi"/>
          <w:bCs/>
        </w:rPr>
        <w:t xml:space="preserve"> was appropriate, and that buprenorphine prolonged release subcutaneous injection (</w:t>
      </w:r>
      <w:proofErr w:type="spellStart"/>
      <w:r w:rsidRPr="00D775A7">
        <w:rPr>
          <w:rFonts w:asciiTheme="minorHAnsi" w:hAnsiTheme="minorHAnsi"/>
          <w:bCs/>
        </w:rPr>
        <w:t>Buvidal</w:t>
      </w:r>
      <w:proofErr w:type="spellEnd"/>
      <w:r w:rsidRPr="00D775A7">
        <w:rPr>
          <w:rFonts w:asciiTheme="minorHAnsi" w:hAnsiTheme="minorHAnsi"/>
          <w:bCs/>
        </w:rPr>
        <w:t>®), was also an appropriate</w:t>
      </w:r>
      <w:r w:rsidR="00CD71BD">
        <w:rPr>
          <w:rFonts w:asciiTheme="minorHAnsi" w:hAnsiTheme="minorHAnsi"/>
          <w:bCs/>
        </w:rPr>
        <w:t xml:space="preserve"> near market</w:t>
      </w:r>
      <w:r w:rsidRPr="00D775A7">
        <w:rPr>
          <w:rFonts w:asciiTheme="minorHAnsi" w:hAnsiTheme="minorHAnsi"/>
          <w:bCs/>
        </w:rPr>
        <w:t xml:space="preserve"> comparator. </w:t>
      </w:r>
    </w:p>
    <w:p w:rsidR="00C13B89" w:rsidRDefault="00C13B89" w:rsidP="00C954A6">
      <w:pPr>
        <w:widowControl/>
        <w:numPr>
          <w:ilvl w:val="1"/>
          <w:numId w:val="2"/>
        </w:numPr>
        <w:spacing w:before="120" w:after="120"/>
        <w:ind w:left="720" w:hanging="720"/>
        <w:rPr>
          <w:rFonts w:asciiTheme="minorHAnsi" w:hAnsiTheme="minorHAnsi"/>
          <w:bCs/>
          <w:szCs w:val="24"/>
        </w:rPr>
      </w:pPr>
      <w:r w:rsidRPr="00D775A7">
        <w:rPr>
          <w:rFonts w:asciiTheme="minorHAnsi" w:hAnsiTheme="minorHAnsi"/>
          <w:bCs/>
          <w:szCs w:val="24"/>
        </w:rPr>
        <w:t>The PBAC acknowledged the limitations in the indirect comparison</w:t>
      </w:r>
      <w:r w:rsidR="000C585B" w:rsidRPr="00D775A7">
        <w:rPr>
          <w:rFonts w:asciiTheme="minorHAnsi" w:hAnsiTheme="minorHAnsi"/>
          <w:bCs/>
          <w:szCs w:val="24"/>
        </w:rPr>
        <w:t>s</w:t>
      </w:r>
      <w:r w:rsidRPr="00D775A7">
        <w:rPr>
          <w:rFonts w:asciiTheme="minorHAnsi" w:hAnsiTheme="minorHAnsi"/>
          <w:bCs/>
          <w:szCs w:val="24"/>
        </w:rPr>
        <w:t xml:space="preserve"> presented between </w:t>
      </w:r>
      <w:proofErr w:type="spellStart"/>
      <w:r w:rsidRPr="00D775A7">
        <w:rPr>
          <w:rFonts w:asciiTheme="minorHAnsi" w:hAnsiTheme="minorHAnsi"/>
          <w:bCs/>
          <w:szCs w:val="24"/>
        </w:rPr>
        <w:t>Sublocade</w:t>
      </w:r>
      <w:proofErr w:type="spellEnd"/>
      <w:r w:rsidRPr="00D775A7">
        <w:rPr>
          <w:rFonts w:asciiTheme="minorHAnsi" w:hAnsiTheme="minorHAnsi"/>
          <w:bCs/>
          <w:szCs w:val="24"/>
        </w:rPr>
        <w:t xml:space="preserve"> and BUP/NAL SL film, and between </w:t>
      </w:r>
      <w:proofErr w:type="spellStart"/>
      <w:r w:rsidRPr="00D775A7">
        <w:rPr>
          <w:rFonts w:asciiTheme="minorHAnsi" w:hAnsiTheme="minorHAnsi"/>
          <w:bCs/>
          <w:szCs w:val="24"/>
        </w:rPr>
        <w:t>Sublocade</w:t>
      </w:r>
      <w:proofErr w:type="spellEnd"/>
      <w:r w:rsidRPr="00D775A7">
        <w:rPr>
          <w:rFonts w:asciiTheme="minorHAnsi" w:hAnsiTheme="minorHAnsi"/>
          <w:bCs/>
          <w:szCs w:val="24"/>
        </w:rPr>
        <w:t xml:space="preserve"> and </w:t>
      </w:r>
      <w:proofErr w:type="spellStart"/>
      <w:r w:rsidRPr="00D775A7">
        <w:rPr>
          <w:rFonts w:asciiTheme="minorHAnsi" w:hAnsiTheme="minorHAnsi"/>
          <w:bCs/>
          <w:szCs w:val="24"/>
        </w:rPr>
        <w:t>Buvidal</w:t>
      </w:r>
      <w:proofErr w:type="spellEnd"/>
      <w:r w:rsidRPr="00D775A7">
        <w:rPr>
          <w:rFonts w:asciiTheme="minorHAnsi" w:hAnsiTheme="minorHAnsi"/>
          <w:bCs/>
          <w:szCs w:val="24"/>
        </w:rPr>
        <w:t xml:space="preserve">, and agreed with the ESC that, on balance, it was reasonable to accept that </w:t>
      </w:r>
      <w:proofErr w:type="spellStart"/>
      <w:r w:rsidRPr="00D775A7">
        <w:rPr>
          <w:rFonts w:asciiTheme="minorHAnsi" w:hAnsiTheme="minorHAnsi"/>
          <w:bCs/>
          <w:szCs w:val="24"/>
        </w:rPr>
        <w:t>Sublocade</w:t>
      </w:r>
      <w:proofErr w:type="spellEnd"/>
      <w:r w:rsidRPr="00D775A7">
        <w:rPr>
          <w:rFonts w:asciiTheme="minorHAnsi" w:hAnsiTheme="minorHAnsi"/>
          <w:bCs/>
          <w:szCs w:val="24"/>
        </w:rPr>
        <w:t xml:space="preserve"> was non-inferior in comparative efficacy and safety to the comparators. </w:t>
      </w:r>
    </w:p>
    <w:p w:rsidR="00EA3C74" w:rsidRPr="00EA3C74" w:rsidRDefault="00E4582C" w:rsidP="00C954A6">
      <w:pPr>
        <w:widowControl/>
        <w:numPr>
          <w:ilvl w:val="1"/>
          <w:numId w:val="2"/>
        </w:numPr>
        <w:spacing w:before="120" w:after="120"/>
        <w:ind w:left="720" w:hanging="720"/>
        <w:rPr>
          <w:rFonts w:asciiTheme="minorHAnsi" w:hAnsiTheme="minorHAnsi"/>
          <w:bCs/>
          <w:szCs w:val="24"/>
        </w:rPr>
      </w:pPr>
      <w:r>
        <w:rPr>
          <w:rFonts w:asciiTheme="minorHAnsi" w:hAnsiTheme="minorHAnsi" w:cstheme="minorHAnsi"/>
        </w:rPr>
        <w:t xml:space="preserve">The </w:t>
      </w:r>
      <w:r w:rsidR="002C5508" w:rsidRPr="002C5508">
        <w:rPr>
          <w:rFonts w:asciiTheme="minorHAnsi" w:hAnsiTheme="minorHAnsi" w:cstheme="minorHAnsi"/>
        </w:rPr>
        <w:t xml:space="preserve">PBAC did not accept that </w:t>
      </w:r>
      <w:proofErr w:type="spellStart"/>
      <w:r w:rsidR="002C5508" w:rsidRPr="002C5508">
        <w:rPr>
          <w:rFonts w:asciiTheme="minorHAnsi" w:hAnsiTheme="minorHAnsi" w:cstheme="minorHAnsi"/>
        </w:rPr>
        <w:t>Sublocade</w:t>
      </w:r>
      <w:proofErr w:type="spellEnd"/>
      <w:r w:rsidR="002C5508" w:rsidRPr="002C5508">
        <w:rPr>
          <w:rFonts w:asciiTheme="minorHAnsi" w:hAnsiTheme="minorHAnsi" w:cstheme="minorHAnsi"/>
        </w:rPr>
        <w:t xml:space="preserve"> was superior to BUP/NAL SL film in terms of harm reduction. </w:t>
      </w:r>
    </w:p>
    <w:p w:rsidR="00331306" w:rsidRPr="002C5508" w:rsidRDefault="00C13B89" w:rsidP="00C954A6">
      <w:pPr>
        <w:widowControl/>
        <w:numPr>
          <w:ilvl w:val="1"/>
          <w:numId w:val="2"/>
        </w:numPr>
        <w:spacing w:before="120" w:after="120"/>
        <w:ind w:left="720" w:hanging="720"/>
        <w:rPr>
          <w:rFonts w:asciiTheme="minorHAnsi" w:hAnsiTheme="minorHAnsi"/>
          <w:bCs/>
          <w:szCs w:val="24"/>
        </w:rPr>
      </w:pPr>
      <w:r w:rsidRPr="002C5508">
        <w:rPr>
          <w:rFonts w:asciiTheme="minorHAnsi" w:hAnsiTheme="minorHAnsi"/>
          <w:bCs/>
        </w:rPr>
        <w:lastRenderedPageBreak/>
        <w:t xml:space="preserve">The PBAC recognised that there were potential benefits of having a long-acting injectable treatment available for patients seeking treatment for opioid use disorder, including </w:t>
      </w:r>
      <w:r w:rsidRPr="002C5508">
        <w:rPr>
          <w:rFonts w:asciiTheme="minorHAnsi" w:hAnsiTheme="minorHAnsi" w:cstheme="minorHAnsi"/>
        </w:rPr>
        <w:t>retention in treatment and reduced risk of diversion</w:t>
      </w:r>
      <w:r w:rsidR="003E5E8E">
        <w:rPr>
          <w:rFonts w:asciiTheme="minorHAnsi" w:hAnsiTheme="minorHAnsi" w:cstheme="minorHAnsi"/>
        </w:rPr>
        <w:t>.</w:t>
      </w:r>
      <w:r w:rsidRPr="002C5508">
        <w:rPr>
          <w:rFonts w:asciiTheme="minorHAnsi" w:hAnsiTheme="minorHAnsi" w:cstheme="minorHAnsi"/>
        </w:rPr>
        <w:t xml:space="preserve">  </w:t>
      </w:r>
    </w:p>
    <w:p w:rsidR="004324E0" w:rsidRPr="00D775A7" w:rsidRDefault="004324E0" w:rsidP="00C954A6">
      <w:pPr>
        <w:widowControl/>
        <w:numPr>
          <w:ilvl w:val="1"/>
          <w:numId w:val="2"/>
        </w:numPr>
        <w:spacing w:before="120" w:after="120"/>
        <w:ind w:left="720" w:hanging="720"/>
        <w:rPr>
          <w:rFonts w:asciiTheme="minorHAnsi" w:hAnsiTheme="minorHAnsi"/>
          <w:bCs/>
          <w:szCs w:val="24"/>
        </w:rPr>
      </w:pPr>
      <w:r w:rsidRPr="00D775A7">
        <w:rPr>
          <w:rFonts w:asciiTheme="minorHAnsi" w:hAnsiTheme="minorHAnsi"/>
          <w:bCs/>
        </w:rPr>
        <w:t xml:space="preserve">The PBAC </w:t>
      </w:r>
      <w:r w:rsidR="00331306" w:rsidRPr="00D775A7">
        <w:rPr>
          <w:rFonts w:asciiTheme="minorHAnsi" w:hAnsiTheme="minorHAnsi"/>
          <w:bCs/>
        </w:rPr>
        <w:t xml:space="preserve">considered that a listing of </w:t>
      </w:r>
      <w:proofErr w:type="spellStart"/>
      <w:r w:rsidR="00331306" w:rsidRPr="00D775A7">
        <w:rPr>
          <w:rFonts w:asciiTheme="minorHAnsi" w:hAnsiTheme="minorHAnsi"/>
          <w:bCs/>
        </w:rPr>
        <w:t>Sublocade</w:t>
      </w:r>
      <w:proofErr w:type="spellEnd"/>
      <w:r w:rsidR="00331306" w:rsidRPr="00D775A7">
        <w:rPr>
          <w:rFonts w:asciiTheme="minorHAnsi" w:hAnsiTheme="minorHAnsi"/>
          <w:bCs/>
        </w:rPr>
        <w:t xml:space="preserve"> would be acceptably cost-effective if it was cost minimised to </w:t>
      </w:r>
      <w:r w:rsidR="000C585B" w:rsidRPr="00D775A7">
        <w:rPr>
          <w:rFonts w:asciiTheme="minorHAnsi" w:hAnsiTheme="minorHAnsi"/>
          <w:bCs/>
        </w:rPr>
        <w:t>BUP/NAL SL film</w:t>
      </w:r>
      <w:r w:rsidR="00331306" w:rsidRPr="00D775A7">
        <w:rPr>
          <w:rFonts w:asciiTheme="minorHAnsi" w:hAnsiTheme="minorHAnsi"/>
          <w:bCs/>
        </w:rPr>
        <w:t xml:space="preserve"> based on drugs costs alone,</w:t>
      </w:r>
      <w:r w:rsidRPr="00D775A7">
        <w:rPr>
          <w:rFonts w:asciiTheme="minorHAnsi" w:hAnsiTheme="minorHAnsi"/>
          <w:bCs/>
        </w:rPr>
        <w:t xml:space="preserve"> excluding patient fees and GP costs,</w:t>
      </w:r>
      <w:r w:rsidR="00331306" w:rsidRPr="00D775A7">
        <w:rPr>
          <w:rFonts w:asciiTheme="minorHAnsi" w:hAnsiTheme="minorHAnsi"/>
          <w:bCs/>
        </w:rPr>
        <w:t xml:space="preserve"> with a modest price premium to recognise the potential benefits of having a long-acting injectable treat</w:t>
      </w:r>
      <w:r w:rsidR="00870168" w:rsidRPr="00D775A7">
        <w:rPr>
          <w:rFonts w:asciiTheme="minorHAnsi" w:hAnsiTheme="minorHAnsi"/>
          <w:bCs/>
        </w:rPr>
        <w:t>ment available. I</w:t>
      </w:r>
      <w:r w:rsidR="00331306" w:rsidRPr="00D775A7">
        <w:rPr>
          <w:rFonts w:asciiTheme="minorHAnsi" w:hAnsiTheme="minorHAnsi"/>
          <w:bCs/>
        </w:rPr>
        <w:t xml:space="preserve">f </w:t>
      </w:r>
      <w:proofErr w:type="spellStart"/>
      <w:r w:rsidR="00331306" w:rsidRPr="00D775A7">
        <w:rPr>
          <w:rFonts w:asciiTheme="minorHAnsi" w:hAnsiTheme="minorHAnsi"/>
          <w:bCs/>
        </w:rPr>
        <w:t>Sublocade</w:t>
      </w:r>
      <w:proofErr w:type="spellEnd"/>
      <w:r w:rsidR="00331306" w:rsidRPr="00D775A7">
        <w:rPr>
          <w:rFonts w:asciiTheme="minorHAnsi" w:hAnsiTheme="minorHAnsi"/>
          <w:bCs/>
        </w:rPr>
        <w:t xml:space="preserve"> and </w:t>
      </w:r>
      <w:proofErr w:type="spellStart"/>
      <w:r w:rsidR="00331306" w:rsidRPr="00D775A7">
        <w:rPr>
          <w:rFonts w:asciiTheme="minorHAnsi" w:hAnsiTheme="minorHAnsi"/>
          <w:bCs/>
        </w:rPr>
        <w:t>Buvidal</w:t>
      </w:r>
      <w:proofErr w:type="spellEnd"/>
      <w:r w:rsidR="00331306" w:rsidRPr="00D775A7">
        <w:rPr>
          <w:rFonts w:asciiTheme="minorHAnsi" w:hAnsiTheme="minorHAnsi"/>
          <w:bCs/>
        </w:rPr>
        <w:t xml:space="preserve"> were both</w:t>
      </w:r>
      <w:r w:rsidR="00870168" w:rsidRPr="00D775A7">
        <w:rPr>
          <w:rFonts w:asciiTheme="minorHAnsi" w:hAnsiTheme="minorHAnsi"/>
          <w:bCs/>
        </w:rPr>
        <w:t xml:space="preserve"> PBS-</w:t>
      </w:r>
      <w:r w:rsidR="00331306" w:rsidRPr="00D775A7">
        <w:rPr>
          <w:rFonts w:asciiTheme="minorHAnsi" w:hAnsiTheme="minorHAnsi"/>
          <w:bCs/>
        </w:rPr>
        <w:t>listed, the</w:t>
      </w:r>
      <w:r w:rsidR="00870168" w:rsidRPr="00D775A7">
        <w:rPr>
          <w:rFonts w:asciiTheme="minorHAnsi" w:hAnsiTheme="minorHAnsi"/>
          <w:bCs/>
        </w:rPr>
        <w:t xml:space="preserve"> PBAC advised that the</w:t>
      </w:r>
      <w:r w:rsidR="00331306" w:rsidRPr="00D775A7">
        <w:rPr>
          <w:rFonts w:asciiTheme="minorHAnsi" w:hAnsiTheme="minorHAnsi"/>
          <w:bCs/>
        </w:rPr>
        <w:t xml:space="preserve"> price of </w:t>
      </w:r>
      <w:proofErr w:type="spellStart"/>
      <w:r w:rsidR="00331306" w:rsidRPr="00D775A7">
        <w:rPr>
          <w:rFonts w:asciiTheme="minorHAnsi" w:hAnsiTheme="minorHAnsi"/>
          <w:bCs/>
        </w:rPr>
        <w:t>Sublocade</w:t>
      </w:r>
      <w:proofErr w:type="spellEnd"/>
      <w:r w:rsidR="00331306" w:rsidRPr="00D775A7">
        <w:rPr>
          <w:rFonts w:asciiTheme="minorHAnsi" w:hAnsiTheme="minorHAnsi"/>
          <w:bCs/>
        </w:rPr>
        <w:t xml:space="preserve"> should be no higher than the price of </w:t>
      </w:r>
      <w:proofErr w:type="spellStart"/>
      <w:r w:rsidR="00331306" w:rsidRPr="00D775A7">
        <w:rPr>
          <w:rFonts w:asciiTheme="minorHAnsi" w:hAnsiTheme="minorHAnsi"/>
          <w:bCs/>
        </w:rPr>
        <w:t>Buvidal</w:t>
      </w:r>
      <w:proofErr w:type="spellEnd"/>
      <w:r w:rsidR="00331306" w:rsidRPr="00D775A7">
        <w:rPr>
          <w:rFonts w:asciiTheme="minorHAnsi" w:hAnsiTheme="minorHAnsi"/>
          <w:bCs/>
        </w:rPr>
        <w:t xml:space="preserve"> on a drug cost per patient per day basis. </w:t>
      </w:r>
      <w:r w:rsidRPr="00D775A7">
        <w:rPr>
          <w:rFonts w:asciiTheme="minorHAnsi" w:hAnsiTheme="minorHAnsi"/>
          <w:bCs/>
        </w:rPr>
        <w:t xml:space="preserve"> The PBAC did not accept the submission’</w:t>
      </w:r>
      <w:r w:rsidR="000C585B" w:rsidRPr="00D775A7">
        <w:rPr>
          <w:rFonts w:asciiTheme="minorHAnsi" w:hAnsiTheme="minorHAnsi"/>
          <w:bCs/>
        </w:rPr>
        <w:t>s request for</w:t>
      </w:r>
      <w:r w:rsidRPr="00D775A7">
        <w:rPr>
          <w:rFonts w:asciiTheme="minorHAnsi" w:hAnsiTheme="minorHAnsi"/>
          <w:bCs/>
        </w:rPr>
        <w:t xml:space="preserve"> a long-acting injectable</w:t>
      </w:r>
      <w:r w:rsidR="000C585B" w:rsidRPr="00D775A7">
        <w:rPr>
          <w:rFonts w:asciiTheme="minorHAnsi" w:hAnsiTheme="minorHAnsi"/>
          <w:bCs/>
        </w:rPr>
        <w:t xml:space="preserve"> price</w:t>
      </w:r>
      <w:r w:rsidRPr="00D775A7">
        <w:rPr>
          <w:rFonts w:asciiTheme="minorHAnsi" w:hAnsiTheme="minorHAnsi"/>
          <w:bCs/>
        </w:rPr>
        <w:t xml:space="preserve"> premium of </w:t>
      </w:r>
      <w:r w:rsidR="005C5EC5">
        <w:rPr>
          <w:rFonts w:asciiTheme="minorHAnsi" w:hAnsiTheme="minorHAnsi"/>
          <w:bCs/>
          <w:noProof/>
          <w:color w:val="000000"/>
          <w:highlight w:val="black"/>
        </w:rPr>
        <w:t>''''''</w:t>
      </w:r>
      <w:r w:rsidRPr="00D13D3C">
        <w:rPr>
          <w:rFonts w:asciiTheme="minorHAnsi" w:hAnsiTheme="minorHAnsi"/>
          <w:bCs/>
        </w:rPr>
        <w:t xml:space="preserve">%, and instead considered that a modest price premium of </w:t>
      </w:r>
      <w:r w:rsidR="005A4B51" w:rsidRPr="00D13D3C">
        <w:rPr>
          <w:rFonts w:asciiTheme="minorHAnsi" w:hAnsiTheme="minorHAnsi"/>
          <w:bCs/>
        </w:rPr>
        <w:t>10-</w:t>
      </w:r>
      <w:r w:rsidRPr="00D13D3C">
        <w:rPr>
          <w:rFonts w:asciiTheme="minorHAnsi" w:hAnsiTheme="minorHAnsi"/>
          <w:bCs/>
        </w:rPr>
        <w:t xml:space="preserve">15% over </w:t>
      </w:r>
      <w:r w:rsidR="000C585B" w:rsidRPr="00D13D3C">
        <w:rPr>
          <w:rFonts w:asciiTheme="minorHAnsi" w:hAnsiTheme="minorHAnsi"/>
          <w:bCs/>
        </w:rPr>
        <w:t>BUP/NAL SL</w:t>
      </w:r>
      <w:r w:rsidR="000C585B" w:rsidRPr="00D775A7">
        <w:rPr>
          <w:rFonts w:asciiTheme="minorHAnsi" w:hAnsiTheme="minorHAnsi"/>
          <w:bCs/>
        </w:rPr>
        <w:t xml:space="preserve"> film</w:t>
      </w:r>
      <w:r w:rsidRPr="00D775A7">
        <w:rPr>
          <w:rFonts w:asciiTheme="minorHAnsi" w:hAnsiTheme="minorHAnsi"/>
          <w:bCs/>
        </w:rPr>
        <w:t xml:space="preserve"> would be reasonable in this context</w:t>
      </w:r>
      <w:r w:rsidR="00D775A7">
        <w:rPr>
          <w:rFonts w:asciiTheme="minorHAnsi" w:hAnsiTheme="minorHAnsi"/>
          <w:bCs/>
        </w:rPr>
        <w:t xml:space="preserve">. </w:t>
      </w:r>
    </w:p>
    <w:p w:rsidR="004324E0" w:rsidRPr="00D775A7" w:rsidRDefault="004324E0" w:rsidP="00C954A6">
      <w:pPr>
        <w:numPr>
          <w:ilvl w:val="1"/>
          <w:numId w:val="2"/>
        </w:numPr>
        <w:spacing w:before="120" w:after="120"/>
        <w:ind w:left="709" w:hanging="709"/>
        <w:rPr>
          <w:rFonts w:asciiTheme="minorHAnsi" w:hAnsiTheme="minorHAnsi"/>
          <w:bCs/>
        </w:rPr>
      </w:pPr>
      <w:r w:rsidRPr="00D775A7">
        <w:rPr>
          <w:rFonts w:asciiTheme="minorHAnsi" w:hAnsiTheme="minorHAnsi"/>
          <w:bCs/>
        </w:rPr>
        <w:t xml:space="preserve">The PBAC considered the estimates of utilisation were reasonable, however noted there was some uncertainty as to the expected uptake of the prolonged release injection form of buprenorphine, particularly noting that the practice model is not yet known. The PBAC noted that as the drug cost per patient for </w:t>
      </w:r>
      <w:proofErr w:type="spellStart"/>
      <w:r w:rsidRPr="00D775A7">
        <w:rPr>
          <w:rFonts w:asciiTheme="minorHAnsi" w:hAnsiTheme="minorHAnsi"/>
          <w:bCs/>
        </w:rPr>
        <w:t>Sublocade</w:t>
      </w:r>
      <w:proofErr w:type="spellEnd"/>
      <w:r w:rsidRPr="00D775A7">
        <w:rPr>
          <w:rFonts w:asciiTheme="minorHAnsi" w:hAnsiTheme="minorHAnsi"/>
          <w:bCs/>
        </w:rPr>
        <w:t xml:space="preserve"> will be lower than estimated in the submission when the above parameters are adopted, the financial estimates would ap</w:t>
      </w:r>
      <w:r w:rsidR="000C585B" w:rsidRPr="00D775A7">
        <w:rPr>
          <w:rFonts w:asciiTheme="minorHAnsi" w:hAnsiTheme="minorHAnsi"/>
          <w:bCs/>
        </w:rPr>
        <w:t>propriately be reduced from those</w:t>
      </w:r>
      <w:r w:rsidRPr="00D775A7">
        <w:rPr>
          <w:rFonts w:asciiTheme="minorHAnsi" w:hAnsiTheme="minorHAnsi"/>
          <w:bCs/>
        </w:rPr>
        <w:t xml:space="preserve"> estimated in the submission. </w:t>
      </w:r>
    </w:p>
    <w:p w:rsidR="00331306" w:rsidRPr="00D775A7" w:rsidRDefault="004324E0" w:rsidP="00C954A6">
      <w:pPr>
        <w:numPr>
          <w:ilvl w:val="1"/>
          <w:numId w:val="2"/>
        </w:numPr>
        <w:spacing w:before="120" w:after="120"/>
        <w:ind w:left="709" w:hanging="709"/>
        <w:rPr>
          <w:rFonts w:asciiTheme="minorHAnsi" w:hAnsiTheme="minorHAnsi"/>
          <w:bCs/>
        </w:rPr>
      </w:pPr>
      <w:r w:rsidRPr="00D775A7">
        <w:rPr>
          <w:rFonts w:asciiTheme="minorHAnsi" w:hAnsiTheme="minorHAnsi"/>
          <w:bCs/>
        </w:rPr>
        <w:t xml:space="preserve">The PBAC noted that quality use of medicines issues including difficulty in reversing prolonged release buprenorphine in emergency situations, difficulty in managing pain, difficulty in managing the risk of CNS depression in cases of poly drug use, safety in stopping (weaning off) treatment, and treatment effects of reducing regular visits to a healthcare providers were all relevant considerations for prescribers when choosing to prescribe </w:t>
      </w:r>
      <w:proofErr w:type="spellStart"/>
      <w:r w:rsidRPr="00D775A7">
        <w:rPr>
          <w:rFonts w:asciiTheme="minorHAnsi" w:hAnsiTheme="minorHAnsi"/>
          <w:bCs/>
        </w:rPr>
        <w:t>Sublocade</w:t>
      </w:r>
      <w:proofErr w:type="spellEnd"/>
      <w:r w:rsidRPr="00D775A7">
        <w:rPr>
          <w:rFonts w:asciiTheme="minorHAnsi" w:hAnsiTheme="minorHAnsi"/>
          <w:bCs/>
        </w:rPr>
        <w:t xml:space="preserve"> to patients. </w:t>
      </w:r>
    </w:p>
    <w:p w:rsidR="00EA5077" w:rsidRPr="00D775A7" w:rsidRDefault="00EA5077" w:rsidP="00C954A6">
      <w:pPr>
        <w:widowControl/>
        <w:spacing w:before="120" w:after="120"/>
        <w:rPr>
          <w:rFonts w:asciiTheme="minorHAnsi" w:hAnsiTheme="minorHAnsi"/>
          <w:b/>
          <w:bCs/>
          <w:szCs w:val="24"/>
        </w:rPr>
      </w:pPr>
      <w:r w:rsidRPr="00D775A7">
        <w:rPr>
          <w:rFonts w:asciiTheme="minorHAnsi" w:hAnsiTheme="minorHAnsi"/>
          <w:b/>
          <w:bCs/>
          <w:szCs w:val="24"/>
        </w:rPr>
        <w:t>Outcome:</w:t>
      </w:r>
    </w:p>
    <w:p w:rsidR="00EA5077" w:rsidRDefault="004C2900" w:rsidP="00C954A6">
      <w:pPr>
        <w:widowControl/>
        <w:spacing w:before="120" w:after="120"/>
        <w:rPr>
          <w:rFonts w:asciiTheme="minorHAnsi" w:hAnsiTheme="minorHAnsi"/>
          <w:bCs/>
          <w:szCs w:val="24"/>
        </w:rPr>
      </w:pPr>
      <w:r w:rsidRPr="00D775A7">
        <w:rPr>
          <w:rFonts w:asciiTheme="minorHAnsi" w:hAnsiTheme="minorHAnsi"/>
          <w:bCs/>
          <w:szCs w:val="24"/>
        </w:rPr>
        <w:t>Deferred</w:t>
      </w:r>
    </w:p>
    <w:p w:rsidR="006E1FB7" w:rsidRPr="006E1FB7" w:rsidRDefault="006E1FB7" w:rsidP="00C954A6">
      <w:pPr>
        <w:pStyle w:val="PBACHeading1"/>
        <w:numPr>
          <w:ilvl w:val="0"/>
          <w:numId w:val="2"/>
        </w:numPr>
        <w:spacing w:before="120" w:after="120"/>
        <w:ind w:left="709" w:hanging="709"/>
      </w:pPr>
      <w:r w:rsidRPr="006E1FB7">
        <w:t>Context for Decision</w:t>
      </w:r>
    </w:p>
    <w:p w:rsidR="006E1FB7" w:rsidRPr="006E1FB7" w:rsidRDefault="006E1FB7" w:rsidP="00C954A6">
      <w:pPr>
        <w:spacing w:before="120" w:after="120"/>
        <w:ind w:left="709"/>
        <w:rPr>
          <w:rFonts w:asciiTheme="minorHAnsi" w:hAnsiTheme="minorHAnsi"/>
          <w:bCs/>
        </w:rPr>
      </w:pPr>
      <w:r w:rsidRPr="006E1FB7">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1FB7" w:rsidRPr="006E1FB7" w:rsidRDefault="006E1FB7" w:rsidP="00C954A6">
      <w:pPr>
        <w:pStyle w:val="PBACHeading1"/>
        <w:numPr>
          <w:ilvl w:val="0"/>
          <w:numId w:val="2"/>
        </w:numPr>
        <w:spacing w:before="120" w:after="120"/>
        <w:ind w:left="709" w:hanging="709"/>
      </w:pPr>
      <w:r w:rsidRPr="006E1FB7">
        <w:t>Spon</w:t>
      </w:r>
      <w:bookmarkStart w:id="39" w:name="_GoBack"/>
      <w:bookmarkEnd w:id="39"/>
      <w:r w:rsidRPr="006E1FB7">
        <w:t>sor’s Comment</w:t>
      </w:r>
    </w:p>
    <w:p w:rsidR="00EA5077" w:rsidRPr="00D775A7" w:rsidRDefault="006E1FB7" w:rsidP="00C954A6">
      <w:pPr>
        <w:spacing w:before="120" w:after="120"/>
        <w:ind w:left="709"/>
        <w:rPr>
          <w:i/>
          <w:u w:val="single"/>
        </w:rPr>
      </w:pPr>
      <w:r w:rsidRPr="00C07617">
        <w:rPr>
          <w:rFonts w:asciiTheme="minorHAnsi" w:hAnsiTheme="minorHAnsi"/>
          <w:bCs/>
        </w:rPr>
        <w:t>The sponsor had no comment.</w:t>
      </w:r>
    </w:p>
    <w:sectPr w:rsidR="00EA5077" w:rsidRPr="00D775A7" w:rsidSect="00EA5077">
      <w:headerReference w:type="default" r:id="rId9"/>
      <w:footerReference w:type="default" r:id="rId10"/>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15BD6" w16cid:durableId="209A51D0"/>
  <w16cid:commentId w16cid:paraId="20ED0FDD" w16cid:durableId="209A51D1"/>
  <w16cid:commentId w16cid:paraId="41865326" w16cid:durableId="209A51D2"/>
  <w16cid:commentId w16cid:paraId="5930A5AE" w16cid:durableId="209A51D3"/>
  <w16cid:commentId w16cid:paraId="3A50EBFD" w16cid:durableId="209A51D4"/>
  <w16cid:commentId w16cid:paraId="4D7A1257" w16cid:durableId="209A51D5"/>
  <w16cid:commentId w16cid:paraId="5F1E6DBE" w16cid:durableId="209A51D6"/>
  <w16cid:commentId w16cid:paraId="2D64FF92" w16cid:durableId="209A51D7"/>
  <w16cid:commentId w16cid:paraId="16AD4CF2" w16cid:durableId="209A51D8"/>
  <w16cid:commentId w16cid:paraId="116DAFA4" w16cid:durableId="209A51D9"/>
  <w16cid:commentId w16cid:paraId="37F7E43F" w16cid:durableId="209A51DA"/>
  <w16cid:commentId w16cid:paraId="3BFC0B2C" w16cid:durableId="209A51DB"/>
  <w16cid:commentId w16cid:paraId="4F4558FF" w16cid:durableId="209A51DC"/>
  <w16cid:commentId w16cid:paraId="32740973" w16cid:durableId="209A51DD"/>
  <w16cid:commentId w16cid:paraId="289B6050" w16cid:durableId="209A51DE"/>
  <w16cid:commentId w16cid:paraId="6BCAA73D" w16cid:durableId="209A51DF"/>
  <w16cid:commentId w16cid:paraId="587EC89E" w16cid:durableId="209A51E0"/>
  <w16cid:commentId w16cid:paraId="12E3402D" w16cid:durableId="209A51E1"/>
  <w16cid:commentId w16cid:paraId="2DC1280F" w16cid:durableId="209A51E2"/>
  <w16cid:commentId w16cid:paraId="662A9D9D" w16cid:durableId="209A51E3"/>
  <w16cid:commentId w16cid:paraId="0BED8BE5" w16cid:durableId="209A51E4"/>
  <w16cid:commentId w16cid:paraId="6966D81C" w16cid:durableId="209A51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C5" w:rsidRDefault="005C5EC5" w:rsidP="00124A51">
      <w:r>
        <w:separator/>
      </w:r>
    </w:p>
    <w:p w:rsidR="005C5EC5" w:rsidRDefault="005C5EC5"/>
  </w:endnote>
  <w:endnote w:type="continuationSeparator" w:id="0">
    <w:p w:rsidR="005C5EC5" w:rsidRDefault="005C5EC5" w:rsidP="00124A51">
      <w:r>
        <w:continuationSeparator/>
      </w:r>
    </w:p>
    <w:p w:rsidR="005C5EC5" w:rsidRDefault="005C5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274800"/>
      <w:docPartObj>
        <w:docPartGallery w:val="Page Numbers (Bottom of Page)"/>
        <w:docPartUnique/>
      </w:docPartObj>
    </w:sdtPr>
    <w:sdtEndPr>
      <w:rPr>
        <w:b/>
        <w:noProof/>
      </w:rPr>
    </w:sdtEndPr>
    <w:sdtContent>
      <w:p w:rsidR="00A97089" w:rsidRPr="004C1E7C" w:rsidRDefault="00A97089" w:rsidP="004C1E7C">
        <w:pPr>
          <w:pStyle w:val="Footer"/>
          <w:jc w:val="center"/>
          <w:rPr>
            <w:b/>
          </w:rPr>
        </w:pPr>
        <w:r w:rsidRPr="004C1E7C">
          <w:rPr>
            <w:b/>
          </w:rPr>
          <w:fldChar w:fldCharType="begin"/>
        </w:r>
        <w:r w:rsidRPr="004C1E7C">
          <w:rPr>
            <w:b/>
          </w:rPr>
          <w:instrText xml:space="preserve"> PAGE   \* MERGEFORMAT </w:instrText>
        </w:r>
        <w:r w:rsidRPr="004C1E7C">
          <w:rPr>
            <w:b/>
          </w:rPr>
          <w:fldChar w:fldCharType="separate"/>
        </w:r>
        <w:r w:rsidR="00B17909">
          <w:rPr>
            <w:b/>
            <w:noProof/>
          </w:rPr>
          <w:t>22</w:t>
        </w:r>
        <w:r w:rsidRPr="004C1E7C">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C5" w:rsidRDefault="005C5EC5" w:rsidP="00124A51">
      <w:r>
        <w:separator/>
      </w:r>
    </w:p>
    <w:p w:rsidR="005C5EC5" w:rsidRDefault="005C5EC5"/>
  </w:footnote>
  <w:footnote w:type="continuationSeparator" w:id="0">
    <w:p w:rsidR="005C5EC5" w:rsidRDefault="005C5EC5" w:rsidP="00124A51">
      <w:r>
        <w:continuationSeparator/>
      </w:r>
    </w:p>
    <w:p w:rsidR="005C5EC5" w:rsidRDefault="005C5EC5"/>
  </w:footnote>
  <w:footnote w:id="1">
    <w:p w:rsidR="00A97089" w:rsidRPr="00521A40" w:rsidRDefault="00A97089" w:rsidP="00E02E7E">
      <w:pPr>
        <w:pStyle w:val="FootnoteText"/>
        <w:rPr>
          <w:sz w:val="19"/>
          <w:szCs w:val="19"/>
          <w:lang w:val="en-US"/>
        </w:rPr>
      </w:pPr>
      <w:r>
        <w:rPr>
          <w:rStyle w:val="FootnoteReference"/>
        </w:rPr>
        <w:footnoteRef/>
      </w:r>
      <w:r>
        <w:t xml:space="preserve"> </w:t>
      </w:r>
      <w:proofErr w:type="spellStart"/>
      <w:r w:rsidRPr="00521A40">
        <w:rPr>
          <w:sz w:val="19"/>
          <w:szCs w:val="19"/>
        </w:rPr>
        <w:t>Center</w:t>
      </w:r>
      <w:proofErr w:type="spellEnd"/>
      <w:r w:rsidRPr="00521A40">
        <w:rPr>
          <w:sz w:val="19"/>
          <w:szCs w:val="19"/>
        </w:rPr>
        <w:t xml:space="preserve"> for </w:t>
      </w:r>
      <w:proofErr w:type="spellStart"/>
      <w:r w:rsidRPr="00521A40">
        <w:rPr>
          <w:sz w:val="19"/>
          <w:szCs w:val="19"/>
        </w:rPr>
        <w:t>Behavioral</w:t>
      </w:r>
      <w:proofErr w:type="spellEnd"/>
      <w:r w:rsidRPr="00521A40">
        <w:rPr>
          <w:sz w:val="19"/>
          <w:szCs w:val="19"/>
        </w:rPr>
        <w:t xml:space="preserve"> Health Statistics and Quality. (2016). Impact of the DSM-IV to DSM-5 Changes on the National Survey on Drug Use and Health. Substance Abuse and Mental Health Services Administration, Rockville, MD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089" w:rsidRPr="008B79EF" w:rsidRDefault="00A97089" w:rsidP="008B79EF">
    <w:pPr>
      <w:tabs>
        <w:tab w:val="left" w:pos="142"/>
        <w:tab w:val="right" w:pos="9027"/>
      </w:tabs>
      <w:jc w:val="center"/>
      <w:rPr>
        <w:i/>
        <w:color w:val="808080" w:themeColor="background1" w:themeShade="80"/>
        <w:szCs w:val="24"/>
      </w:rPr>
    </w:pPr>
    <w:r>
      <w:rPr>
        <w:i/>
        <w:color w:val="808080" w:themeColor="background1" w:themeShade="80"/>
        <w:szCs w:val="24"/>
      </w:rPr>
      <w:t xml:space="preserve">Public Summary Document </w:t>
    </w:r>
    <w:r w:rsidRPr="00C73F80">
      <w:rPr>
        <w:i/>
        <w:color w:val="808080" w:themeColor="background1" w:themeShade="80"/>
        <w:szCs w:val="24"/>
      </w:rPr>
      <w:t>– March 2019 PBAC Meeting</w:t>
    </w:r>
  </w:p>
  <w:p w:rsidR="00A97089" w:rsidRDefault="00A97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41653"/>
    <w:multiLevelType w:val="hybridMultilevel"/>
    <w:tmpl w:val="50DA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B6EC1"/>
    <w:multiLevelType w:val="hybridMultilevel"/>
    <w:tmpl w:val="B518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07AC"/>
    <w:multiLevelType w:val="hybridMultilevel"/>
    <w:tmpl w:val="DAAC83BA"/>
    <w:lvl w:ilvl="0" w:tplc="EAD48434">
      <w:start w:val="1"/>
      <w:numFmt w:val="bullet"/>
      <w:lvlText w:val=""/>
      <w:lvlJc w:val="left"/>
      <w:pPr>
        <w:ind w:left="432" w:hanging="216"/>
      </w:pPr>
      <w:rPr>
        <w:rFonts w:ascii="Symbol" w:hAnsi="Symbol" w:hint="default"/>
      </w:rPr>
    </w:lvl>
    <w:lvl w:ilvl="1" w:tplc="F8CA1A08">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102F9"/>
    <w:multiLevelType w:val="hybridMultilevel"/>
    <w:tmpl w:val="6B8EA7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969DE"/>
    <w:multiLevelType w:val="hybridMultilevel"/>
    <w:tmpl w:val="6F00D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5D0C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B0499D"/>
    <w:multiLevelType w:val="hybridMultilevel"/>
    <w:tmpl w:val="FDAA247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B7468"/>
    <w:multiLevelType w:val="hybridMultilevel"/>
    <w:tmpl w:val="15F2486A"/>
    <w:lvl w:ilvl="0" w:tplc="EAD4843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82D59"/>
    <w:multiLevelType w:val="hybridMultilevel"/>
    <w:tmpl w:val="FBF6BDE0"/>
    <w:lvl w:ilvl="0" w:tplc="EAD48434">
      <w:start w:val="1"/>
      <w:numFmt w:val="bullet"/>
      <w:lvlText w:val=""/>
      <w:lvlJc w:val="left"/>
      <w:pPr>
        <w:ind w:left="432" w:hanging="21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80B23"/>
    <w:multiLevelType w:val="hybridMultilevel"/>
    <w:tmpl w:val="D348244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15:restartNumberingAfterBreak="0">
    <w:nsid w:val="3F6E2B19"/>
    <w:multiLevelType w:val="hybridMultilevel"/>
    <w:tmpl w:val="D8C2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5F12C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54E94"/>
    <w:multiLevelType w:val="hybridMultilevel"/>
    <w:tmpl w:val="A4F2589A"/>
    <w:lvl w:ilvl="0" w:tplc="EAD48434">
      <w:start w:val="1"/>
      <w:numFmt w:val="bullet"/>
      <w:lvlText w:val=""/>
      <w:lvlJc w:val="left"/>
      <w:pPr>
        <w:ind w:left="432" w:hanging="21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8353C5"/>
    <w:multiLevelType w:val="hybridMultilevel"/>
    <w:tmpl w:val="03AE70BE"/>
    <w:lvl w:ilvl="0" w:tplc="6AB07F24">
      <w:numFmt w:val="bullet"/>
      <w:lvlText w:val="-"/>
      <w:lvlJc w:val="left"/>
      <w:pPr>
        <w:ind w:left="785" w:hanging="360"/>
      </w:pPr>
      <w:rPr>
        <w:rFonts w:ascii="Calibri" w:eastAsia="Times New Roman"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4C3421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423E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7E4942"/>
    <w:multiLevelType w:val="multilevel"/>
    <w:tmpl w:val="6EE6D134"/>
    <w:lvl w:ilvl="0">
      <w:start w:val="6"/>
      <w:numFmt w:val="decimal"/>
      <w:lvlText w:val="%1"/>
      <w:lvlJc w:val="left"/>
      <w:pPr>
        <w:ind w:left="420" w:hanging="420"/>
      </w:pPr>
      <w:rPr>
        <w:rFonts w:hint="default"/>
        <w:i w:val="0"/>
      </w:rPr>
    </w:lvl>
    <w:lvl w:ilvl="1">
      <w:start w:val="51"/>
      <w:numFmt w:val="decimal"/>
      <w:lvlText w:val="%1.%2"/>
      <w:lvlJc w:val="left"/>
      <w:pPr>
        <w:ind w:left="1140" w:hanging="4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29460E"/>
    <w:multiLevelType w:val="hybridMultilevel"/>
    <w:tmpl w:val="9A7C1A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8E21069"/>
    <w:multiLevelType w:val="hybridMultilevel"/>
    <w:tmpl w:val="93A8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126687"/>
    <w:multiLevelType w:val="hybridMultilevel"/>
    <w:tmpl w:val="4ECEC22C"/>
    <w:lvl w:ilvl="0" w:tplc="EAD48434">
      <w:start w:val="1"/>
      <w:numFmt w:val="bullet"/>
      <w:lvlText w:val=""/>
      <w:lvlJc w:val="left"/>
      <w:pPr>
        <w:ind w:left="216" w:hanging="216"/>
      </w:pPr>
      <w:rPr>
        <w:rFonts w:ascii="Symbol" w:hAnsi="Symbol" w:hint="default"/>
      </w:rPr>
    </w:lvl>
    <w:lvl w:ilvl="1" w:tplc="0C090003" w:tentative="1">
      <w:start w:val="1"/>
      <w:numFmt w:val="bullet"/>
      <w:lvlText w:val="o"/>
      <w:lvlJc w:val="left"/>
      <w:pPr>
        <w:ind w:left="1224" w:hanging="360"/>
      </w:pPr>
      <w:rPr>
        <w:rFonts w:ascii="Courier New" w:hAnsi="Courier New" w:cs="Courier New" w:hint="default"/>
      </w:rPr>
    </w:lvl>
    <w:lvl w:ilvl="2" w:tplc="0C090005" w:tentative="1">
      <w:start w:val="1"/>
      <w:numFmt w:val="bullet"/>
      <w:lvlText w:val=""/>
      <w:lvlJc w:val="left"/>
      <w:pPr>
        <w:ind w:left="1944" w:hanging="360"/>
      </w:pPr>
      <w:rPr>
        <w:rFonts w:ascii="Wingdings" w:hAnsi="Wingdings" w:hint="default"/>
      </w:rPr>
    </w:lvl>
    <w:lvl w:ilvl="3" w:tplc="0C090001" w:tentative="1">
      <w:start w:val="1"/>
      <w:numFmt w:val="bullet"/>
      <w:lvlText w:val=""/>
      <w:lvlJc w:val="left"/>
      <w:pPr>
        <w:ind w:left="2664" w:hanging="360"/>
      </w:pPr>
      <w:rPr>
        <w:rFonts w:ascii="Symbol" w:hAnsi="Symbol" w:hint="default"/>
      </w:rPr>
    </w:lvl>
    <w:lvl w:ilvl="4" w:tplc="0C090003" w:tentative="1">
      <w:start w:val="1"/>
      <w:numFmt w:val="bullet"/>
      <w:lvlText w:val="o"/>
      <w:lvlJc w:val="left"/>
      <w:pPr>
        <w:ind w:left="3384" w:hanging="360"/>
      </w:pPr>
      <w:rPr>
        <w:rFonts w:ascii="Courier New" w:hAnsi="Courier New" w:cs="Courier New" w:hint="default"/>
      </w:rPr>
    </w:lvl>
    <w:lvl w:ilvl="5" w:tplc="0C090005" w:tentative="1">
      <w:start w:val="1"/>
      <w:numFmt w:val="bullet"/>
      <w:lvlText w:val=""/>
      <w:lvlJc w:val="left"/>
      <w:pPr>
        <w:ind w:left="4104" w:hanging="360"/>
      </w:pPr>
      <w:rPr>
        <w:rFonts w:ascii="Wingdings" w:hAnsi="Wingdings" w:hint="default"/>
      </w:rPr>
    </w:lvl>
    <w:lvl w:ilvl="6" w:tplc="0C090001" w:tentative="1">
      <w:start w:val="1"/>
      <w:numFmt w:val="bullet"/>
      <w:lvlText w:val=""/>
      <w:lvlJc w:val="left"/>
      <w:pPr>
        <w:ind w:left="4824" w:hanging="360"/>
      </w:pPr>
      <w:rPr>
        <w:rFonts w:ascii="Symbol" w:hAnsi="Symbol" w:hint="default"/>
      </w:rPr>
    </w:lvl>
    <w:lvl w:ilvl="7" w:tplc="0C090003" w:tentative="1">
      <w:start w:val="1"/>
      <w:numFmt w:val="bullet"/>
      <w:lvlText w:val="o"/>
      <w:lvlJc w:val="left"/>
      <w:pPr>
        <w:ind w:left="5544" w:hanging="360"/>
      </w:pPr>
      <w:rPr>
        <w:rFonts w:ascii="Courier New" w:hAnsi="Courier New" w:cs="Courier New" w:hint="default"/>
      </w:rPr>
    </w:lvl>
    <w:lvl w:ilvl="8" w:tplc="0C090005" w:tentative="1">
      <w:start w:val="1"/>
      <w:numFmt w:val="bullet"/>
      <w:lvlText w:val=""/>
      <w:lvlJc w:val="left"/>
      <w:pPr>
        <w:ind w:left="6264" w:hanging="360"/>
      </w:pPr>
      <w:rPr>
        <w:rFonts w:ascii="Wingdings" w:hAnsi="Wingdings" w:hint="default"/>
      </w:rPr>
    </w:lvl>
  </w:abstractNum>
  <w:abstractNum w:abstractNumId="28" w15:restartNumberingAfterBreak="0">
    <w:nsid w:val="689F59DE"/>
    <w:multiLevelType w:val="hybridMultilevel"/>
    <w:tmpl w:val="C612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37E71"/>
    <w:multiLevelType w:val="hybridMultilevel"/>
    <w:tmpl w:val="1CB83474"/>
    <w:lvl w:ilvl="0" w:tplc="EAD4843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162DE"/>
    <w:multiLevelType w:val="hybridMultilevel"/>
    <w:tmpl w:val="30BA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05A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4D033C"/>
    <w:multiLevelType w:val="multilevel"/>
    <w:tmpl w:val="1EDC668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heme="minorHAnsi" w:hAnsiTheme="minorHAnsi"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3D1F6F"/>
    <w:multiLevelType w:val="hybridMultilevel"/>
    <w:tmpl w:val="579E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16"/>
  </w:num>
  <w:num w:numId="4">
    <w:abstractNumId w:val="29"/>
  </w:num>
  <w:num w:numId="5">
    <w:abstractNumId w:val="4"/>
  </w:num>
  <w:num w:numId="6">
    <w:abstractNumId w:val="11"/>
  </w:num>
  <w:num w:numId="7">
    <w:abstractNumId w:val="13"/>
  </w:num>
  <w:num w:numId="8">
    <w:abstractNumId w:val="30"/>
  </w:num>
  <w:num w:numId="9">
    <w:abstractNumId w:val="25"/>
  </w:num>
  <w:num w:numId="10">
    <w:abstractNumId w:val="28"/>
  </w:num>
  <w:num w:numId="11">
    <w:abstractNumId w:val="33"/>
  </w:num>
  <w:num w:numId="12">
    <w:abstractNumId w:val="18"/>
  </w:num>
  <w:num w:numId="13">
    <w:abstractNumId w:val="2"/>
  </w:num>
  <w:num w:numId="14">
    <w:abstractNumId w:val="6"/>
  </w:num>
  <w:num w:numId="15">
    <w:abstractNumId w:val="14"/>
  </w:num>
  <w:num w:numId="16">
    <w:abstractNumId w:val="27"/>
  </w:num>
  <w:num w:numId="17">
    <w:abstractNumId w:val="12"/>
  </w:num>
  <w:num w:numId="18">
    <w:abstractNumId w:val="17"/>
  </w:num>
  <w:num w:numId="19">
    <w:abstractNumId w:val="7"/>
  </w:num>
  <w:num w:numId="20">
    <w:abstractNumId w:val="24"/>
  </w:num>
  <w:num w:numId="21">
    <w:abstractNumId w:val="10"/>
  </w:num>
  <w:num w:numId="22">
    <w:abstractNumId w:val="20"/>
  </w:num>
  <w:num w:numId="23">
    <w:abstractNumId w:val="8"/>
  </w:num>
  <w:num w:numId="24">
    <w:abstractNumId w:val="19"/>
  </w:num>
  <w:num w:numId="25">
    <w:abstractNumId w:val="31"/>
  </w:num>
  <w:num w:numId="26">
    <w:abstractNumId w:val="15"/>
  </w:num>
  <w:num w:numId="27">
    <w:abstractNumId w:val="22"/>
  </w:num>
  <w:num w:numId="28">
    <w:abstractNumId w:val="23"/>
  </w:num>
  <w:num w:numId="29">
    <w:abstractNumId w:val="5"/>
  </w:num>
  <w:num w:numId="30">
    <w:abstractNumId w:val="0"/>
  </w:num>
  <w:num w:numId="31">
    <w:abstractNumId w:val="9"/>
  </w:num>
  <w:num w:numId="32">
    <w:abstractNumId w:val="1"/>
  </w:num>
  <w:num w:numId="33">
    <w:abstractNumId w:val="21"/>
  </w:num>
  <w:num w:numId="3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8B3"/>
    <w:rsid w:val="00003499"/>
    <w:rsid w:val="000039B7"/>
    <w:rsid w:val="000054AE"/>
    <w:rsid w:val="00005BCA"/>
    <w:rsid w:val="00006EBD"/>
    <w:rsid w:val="00010840"/>
    <w:rsid w:val="00013247"/>
    <w:rsid w:val="000154B9"/>
    <w:rsid w:val="00015886"/>
    <w:rsid w:val="000162EF"/>
    <w:rsid w:val="000205FB"/>
    <w:rsid w:val="0002225F"/>
    <w:rsid w:val="00022CC4"/>
    <w:rsid w:val="00023763"/>
    <w:rsid w:val="00025D30"/>
    <w:rsid w:val="00033863"/>
    <w:rsid w:val="00035DC0"/>
    <w:rsid w:val="000364CE"/>
    <w:rsid w:val="00036829"/>
    <w:rsid w:val="00040895"/>
    <w:rsid w:val="00042850"/>
    <w:rsid w:val="00043C37"/>
    <w:rsid w:val="00045017"/>
    <w:rsid w:val="00045A2B"/>
    <w:rsid w:val="0004698F"/>
    <w:rsid w:val="00047E6B"/>
    <w:rsid w:val="0005231D"/>
    <w:rsid w:val="000539D0"/>
    <w:rsid w:val="00054621"/>
    <w:rsid w:val="000546D7"/>
    <w:rsid w:val="00055D3A"/>
    <w:rsid w:val="000630FD"/>
    <w:rsid w:val="00066360"/>
    <w:rsid w:val="0006638C"/>
    <w:rsid w:val="0007115D"/>
    <w:rsid w:val="00071248"/>
    <w:rsid w:val="000720B9"/>
    <w:rsid w:val="000737F7"/>
    <w:rsid w:val="00075BF1"/>
    <w:rsid w:val="0007672F"/>
    <w:rsid w:val="000774F0"/>
    <w:rsid w:val="00077501"/>
    <w:rsid w:val="00077D8E"/>
    <w:rsid w:val="00080909"/>
    <w:rsid w:val="000812CA"/>
    <w:rsid w:val="0008258D"/>
    <w:rsid w:val="00082D9A"/>
    <w:rsid w:val="00083DBE"/>
    <w:rsid w:val="00083E99"/>
    <w:rsid w:val="000856C5"/>
    <w:rsid w:val="00085C60"/>
    <w:rsid w:val="000861FF"/>
    <w:rsid w:val="00087F16"/>
    <w:rsid w:val="00090C7E"/>
    <w:rsid w:val="00092600"/>
    <w:rsid w:val="0009262B"/>
    <w:rsid w:val="00093310"/>
    <w:rsid w:val="0009445C"/>
    <w:rsid w:val="00095FE5"/>
    <w:rsid w:val="00096284"/>
    <w:rsid w:val="000A0492"/>
    <w:rsid w:val="000A6CB5"/>
    <w:rsid w:val="000A7D08"/>
    <w:rsid w:val="000B0670"/>
    <w:rsid w:val="000B0E75"/>
    <w:rsid w:val="000B18E6"/>
    <w:rsid w:val="000B6CAC"/>
    <w:rsid w:val="000B7612"/>
    <w:rsid w:val="000C13E1"/>
    <w:rsid w:val="000C3DF9"/>
    <w:rsid w:val="000C585B"/>
    <w:rsid w:val="000C5AAB"/>
    <w:rsid w:val="000C5AB1"/>
    <w:rsid w:val="000C6713"/>
    <w:rsid w:val="000D1BFC"/>
    <w:rsid w:val="000D281A"/>
    <w:rsid w:val="000D326A"/>
    <w:rsid w:val="000D51FB"/>
    <w:rsid w:val="000E135D"/>
    <w:rsid w:val="000E3022"/>
    <w:rsid w:val="000E43B1"/>
    <w:rsid w:val="000F00BA"/>
    <w:rsid w:val="000F316A"/>
    <w:rsid w:val="000F3C74"/>
    <w:rsid w:val="000F425E"/>
    <w:rsid w:val="000F4BB8"/>
    <w:rsid w:val="000F7127"/>
    <w:rsid w:val="000F7C06"/>
    <w:rsid w:val="000F7C2C"/>
    <w:rsid w:val="001001FB"/>
    <w:rsid w:val="00100807"/>
    <w:rsid w:val="00100F8A"/>
    <w:rsid w:val="0010390E"/>
    <w:rsid w:val="00105AE2"/>
    <w:rsid w:val="00106B80"/>
    <w:rsid w:val="0011032E"/>
    <w:rsid w:val="0011348B"/>
    <w:rsid w:val="00115278"/>
    <w:rsid w:val="00115982"/>
    <w:rsid w:val="00116C53"/>
    <w:rsid w:val="0011739C"/>
    <w:rsid w:val="00121799"/>
    <w:rsid w:val="001222FC"/>
    <w:rsid w:val="001233E9"/>
    <w:rsid w:val="00124A51"/>
    <w:rsid w:val="00124B9E"/>
    <w:rsid w:val="00125559"/>
    <w:rsid w:val="00126621"/>
    <w:rsid w:val="001301E9"/>
    <w:rsid w:val="00131A04"/>
    <w:rsid w:val="00131D82"/>
    <w:rsid w:val="00133D36"/>
    <w:rsid w:val="00137645"/>
    <w:rsid w:val="0014015A"/>
    <w:rsid w:val="001406BE"/>
    <w:rsid w:val="001408BC"/>
    <w:rsid w:val="00140E99"/>
    <w:rsid w:val="001419D0"/>
    <w:rsid w:val="00143330"/>
    <w:rsid w:val="00143BC4"/>
    <w:rsid w:val="00145540"/>
    <w:rsid w:val="001456B0"/>
    <w:rsid w:val="001466D5"/>
    <w:rsid w:val="00150428"/>
    <w:rsid w:val="00156484"/>
    <w:rsid w:val="0015687A"/>
    <w:rsid w:val="00157130"/>
    <w:rsid w:val="001576B1"/>
    <w:rsid w:val="00157A5C"/>
    <w:rsid w:val="001605B6"/>
    <w:rsid w:val="00160A4C"/>
    <w:rsid w:val="00162913"/>
    <w:rsid w:val="00163EFF"/>
    <w:rsid w:val="00165307"/>
    <w:rsid w:val="001661FB"/>
    <w:rsid w:val="001665EC"/>
    <w:rsid w:val="00173565"/>
    <w:rsid w:val="00173B07"/>
    <w:rsid w:val="00175C4C"/>
    <w:rsid w:val="00175FA1"/>
    <w:rsid w:val="00181D9C"/>
    <w:rsid w:val="00183821"/>
    <w:rsid w:val="00186C73"/>
    <w:rsid w:val="0018752F"/>
    <w:rsid w:val="00187D01"/>
    <w:rsid w:val="00195222"/>
    <w:rsid w:val="00196473"/>
    <w:rsid w:val="001975D8"/>
    <w:rsid w:val="001A1C1D"/>
    <w:rsid w:val="001A22D8"/>
    <w:rsid w:val="001A2E7E"/>
    <w:rsid w:val="001A43FA"/>
    <w:rsid w:val="001A4A1A"/>
    <w:rsid w:val="001A4B1D"/>
    <w:rsid w:val="001A59FB"/>
    <w:rsid w:val="001A6354"/>
    <w:rsid w:val="001A723E"/>
    <w:rsid w:val="001A7AE8"/>
    <w:rsid w:val="001A7E41"/>
    <w:rsid w:val="001B028C"/>
    <w:rsid w:val="001B204E"/>
    <w:rsid w:val="001B29BD"/>
    <w:rsid w:val="001B3443"/>
    <w:rsid w:val="001B4D20"/>
    <w:rsid w:val="001B5B3D"/>
    <w:rsid w:val="001B7C38"/>
    <w:rsid w:val="001C262D"/>
    <w:rsid w:val="001C2A9B"/>
    <w:rsid w:val="001C3ED2"/>
    <w:rsid w:val="001C4299"/>
    <w:rsid w:val="001C5F94"/>
    <w:rsid w:val="001C6E66"/>
    <w:rsid w:val="001D7104"/>
    <w:rsid w:val="001D7B4A"/>
    <w:rsid w:val="001E238E"/>
    <w:rsid w:val="001E2483"/>
    <w:rsid w:val="001E2B1E"/>
    <w:rsid w:val="001E2DD3"/>
    <w:rsid w:val="001E30D4"/>
    <w:rsid w:val="001E4D00"/>
    <w:rsid w:val="001E52EB"/>
    <w:rsid w:val="001E61D2"/>
    <w:rsid w:val="001E740C"/>
    <w:rsid w:val="001F1235"/>
    <w:rsid w:val="001F1CB3"/>
    <w:rsid w:val="001F38B5"/>
    <w:rsid w:val="001F52CD"/>
    <w:rsid w:val="001F6E02"/>
    <w:rsid w:val="001F7361"/>
    <w:rsid w:val="002011B0"/>
    <w:rsid w:val="00203181"/>
    <w:rsid w:val="00203783"/>
    <w:rsid w:val="0020385F"/>
    <w:rsid w:val="00207021"/>
    <w:rsid w:val="0020732F"/>
    <w:rsid w:val="00207D00"/>
    <w:rsid w:val="002105C1"/>
    <w:rsid w:val="0021210D"/>
    <w:rsid w:val="002122E0"/>
    <w:rsid w:val="002140EC"/>
    <w:rsid w:val="002206ED"/>
    <w:rsid w:val="0022347B"/>
    <w:rsid w:val="00223B49"/>
    <w:rsid w:val="00223C28"/>
    <w:rsid w:val="00224DD4"/>
    <w:rsid w:val="002309CC"/>
    <w:rsid w:val="0023209F"/>
    <w:rsid w:val="002346D1"/>
    <w:rsid w:val="0023629D"/>
    <w:rsid w:val="00237255"/>
    <w:rsid w:val="00237D15"/>
    <w:rsid w:val="002424AF"/>
    <w:rsid w:val="00242D74"/>
    <w:rsid w:val="002439DC"/>
    <w:rsid w:val="00244DC8"/>
    <w:rsid w:val="00244FEA"/>
    <w:rsid w:val="00245256"/>
    <w:rsid w:val="002458BA"/>
    <w:rsid w:val="00245FD3"/>
    <w:rsid w:val="0024636C"/>
    <w:rsid w:val="00247925"/>
    <w:rsid w:val="002506DF"/>
    <w:rsid w:val="002511FB"/>
    <w:rsid w:val="0025309D"/>
    <w:rsid w:val="002530D3"/>
    <w:rsid w:val="00254DCF"/>
    <w:rsid w:val="0025534B"/>
    <w:rsid w:val="00255BB7"/>
    <w:rsid w:val="0025643D"/>
    <w:rsid w:val="00256A68"/>
    <w:rsid w:val="00257541"/>
    <w:rsid w:val="00257CF6"/>
    <w:rsid w:val="00257F8C"/>
    <w:rsid w:val="00261126"/>
    <w:rsid w:val="00262A1A"/>
    <w:rsid w:val="00262A87"/>
    <w:rsid w:val="00263240"/>
    <w:rsid w:val="00264698"/>
    <w:rsid w:val="0026483E"/>
    <w:rsid w:val="00264D26"/>
    <w:rsid w:val="00267642"/>
    <w:rsid w:val="00267AEA"/>
    <w:rsid w:val="002700E6"/>
    <w:rsid w:val="002725EE"/>
    <w:rsid w:val="0027294B"/>
    <w:rsid w:val="00273076"/>
    <w:rsid w:val="00275C5A"/>
    <w:rsid w:val="002779D8"/>
    <w:rsid w:val="00280165"/>
    <w:rsid w:val="00281014"/>
    <w:rsid w:val="00281710"/>
    <w:rsid w:val="00281FD6"/>
    <w:rsid w:val="002829F1"/>
    <w:rsid w:val="002862D2"/>
    <w:rsid w:val="0028680A"/>
    <w:rsid w:val="00290020"/>
    <w:rsid w:val="00290F7F"/>
    <w:rsid w:val="002920CE"/>
    <w:rsid w:val="00292FE6"/>
    <w:rsid w:val="00293FFA"/>
    <w:rsid w:val="00294278"/>
    <w:rsid w:val="00294DC7"/>
    <w:rsid w:val="002A09C4"/>
    <w:rsid w:val="002A0BEF"/>
    <w:rsid w:val="002A14AB"/>
    <w:rsid w:val="002A2F50"/>
    <w:rsid w:val="002A5C08"/>
    <w:rsid w:val="002A613D"/>
    <w:rsid w:val="002A6CAB"/>
    <w:rsid w:val="002A7C2C"/>
    <w:rsid w:val="002B0171"/>
    <w:rsid w:val="002B09A4"/>
    <w:rsid w:val="002B1C1F"/>
    <w:rsid w:val="002B432F"/>
    <w:rsid w:val="002B583E"/>
    <w:rsid w:val="002B623C"/>
    <w:rsid w:val="002B62B3"/>
    <w:rsid w:val="002B6754"/>
    <w:rsid w:val="002B6CCE"/>
    <w:rsid w:val="002C1872"/>
    <w:rsid w:val="002C2510"/>
    <w:rsid w:val="002C2775"/>
    <w:rsid w:val="002C27C1"/>
    <w:rsid w:val="002C5099"/>
    <w:rsid w:val="002C5508"/>
    <w:rsid w:val="002C5889"/>
    <w:rsid w:val="002C71CE"/>
    <w:rsid w:val="002D2A9E"/>
    <w:rsid w:val="002D53C1"/>
    <w:rsid w:val="002D577C"/>
    <w:rsid w:val="002D59F1"/>
    <w:rsid w:val="002E0678"/>
    <w:rsid w:val="002E15B9"/>
    <w:rsid w:val="002E2158"/>
    <w:rsid w:val="002E3E11"/>
    <w:rsid w:val="002E456B"/>
    <w:rsid w:val="002E4811"/>
    <w:rsid w:val="002E514A"/>
    <w:rsid w:val="002E7722"/>
    <w:rsid w:val="002F07BA"/>
    <w:rsid w:val="002F0DA9"/>
    <w:rsid w:val="002F1352"/>
    <w:rsid w:val="002F1AEC"/>
    <w:rsid w:val="002F643C"/>
    <w:rsid w:val="002F71C0"/>
    <w:rsid w:val="002F7B17"/>
    <w:rsid w:val="00301017"/>
    <w:rsid w:val="0030155F"/>
    <w:rsid w:val="0030587B"/>
    <w:rsid w:val="0030690C"/>
    <w:rsid w:val="00306D83"/>
    <w:rsid w:val="00306D98"/>
    <w:rsid w:val="0030786C"/>
    <w:rsid w:val="0031031A"/>
    <w:rsid w:val="00310981"/>
    <w:rsid w:val="00314CFE"/>
    <w:rsid w:val="003151B9"/>
    <w:rsid w:val="00315498"/>
    <w:rsid w:val="00316B1A"/>
    <w:rsid w:val="003176AC"/>
    <w:rsid w:val="00322107"/>
    <w:rsid w:val="00322846"/>
    <w:rsid w:val="003233B9"/>
    <w:rsid w:val="003239E6"/>
    <w:rsid w:val="00326DA7"/>
    <w:rsid w:val="003270E4"/>
    <w:rsid w:val="0033060C"/>
    <w:rsid w:val="00330F5C"/>
    <w:rsid w:val="00331306"/>
    <w:rsid w:val="00334DDC"/>
    <w:rsid w:val="00336006"/>
    <w:rsid w:val="003366C9"/>
    <w:rsid w:val="003371B0"/>
    <w:rsid w:val="00340DF1"/>
    <w:rsid w:val="0034275C"/>
    <w:rsid w:val="00342B52"/>
    <w:rsid w:val="00343644"/>
    <w:rsid w:val="00345550"/>
    <w:rsid w:val="0034647A"/>
    <w:rsid w:val="00346A9E"/>
    <w:rsid w:val="00346F96"/>
    <w:rsid w:val="003502C6"/>
    <w:rsid w:val="00351598"/>
    <w:rsid w:val="003517F9"/>
    <w:rsid w:val="003544EF"/>
    <w:rsid w:val="0035620E"/>
    <w:rsid w:val="0035686A"/>
    <w:rsid w:val="00360284"/>
    <w:rsid w:val="00360695"/>
    <w:rsid w:val="0036145E"/>
    <w:rsid w:val="003624C4"/>
    <w:rsid w:val="003654AC"/>
    <w:rsid w:val="00365C03"/>
    <w:rsid w:val="00370FBC"/>
    <w:rsid w:val="003710CF"/>
    <w:rsid w:val="003716EC"/>
    <w:rsid w:val="00371F72"/>
    <w:rsid w:val="0037257A"/>
    <w:rsid w:val="0037358A"/>
    <w:rsid w:val="00373B13"/>
    <w:rsid w:val="003750F6"/>
    <w:rsid w:val="003751D0"/>
    <w:rsid w:val="003760FC"/>
    <w:rsid w:val="00377816"/>
    <w:rsid w:val="00383340"/>
    <w:rsid w:val="0038365C"/>
    <w:rsid w:val="0038369B"/>
    <w:rsid w:val="00383B78"/>
    <w:rsid w:val="00385A9D"/>
    <w:rsid w:val="003902B1"/>
    <w:rsid w:val="003944DB"/>
    <w:rsid w:val="00394901"/>
    <w:rsid w:val="00395EC3"/>
    <w:rsid w:val="00396896"/>
    <w:rsid w:val="00396FD0"/>
    <w:rsid w:val="003A0538"/>
    <w:rsid w:val="003A1A7A"/>
    <w:rsid w:val="003A1F8A"/>
    <w:rsid w:val="003A2392"/>
    <w:rsid w:val="003A2831"/>
    <w:rsid w:val="003A3ED1"/>
    <w:rsid w:val="003A67BE"/>
    <w:rsid w:val="003A6A9B"/>
    <w:rsid w:val="003A73BC"/>
    <w:rsid w:val="003B1E8A"/>
    <w:rsid w:val="003B3192"/>
    <w:rsid w:val="003B3BC4"/>
    <w:rsid w:val="003B42CD"/>
    <w:rsid w:val="003B5354"/>
    <w:rsid w:val="003B544E"/>
    <w:rsid w:val="003B5B61"/>
    <w:rsid w:val="003B5E25"/>
    <w:rsid w:val="003B6083"/>
    <w:rsid w:val="003B7E39"/>
    <w:rsid w:val="003C0196"/>
    <w:rsid w:val="003C1654"/>
    <w:rsid w:val="003C3243"/>
    <w:rsid w:val="003C5DE8"/>
    <w:rsid w:val="003C7301"/>
    <w:rsid w:val="003C7D19"/>
    <w:rsid w:val="003D01B7"/>
    <w:rsid w:val="003D1828"/>
    <w:rsid w:val="003D1DE4"/>
    <w:rsid w:val="003D2422"/>
    <w:rsid w:val="003D36A0"/>
    <w:rsid w:val="003D39A1"/>
    <w:rsid w:val="003D3FBF"/>
    <w:rsid w:val="003D4A30"/>
    <w:rsid w:val="003D69BF"/>
    <w:rsid w:val="003D79BB"/>
    <w:rsid w:val="003D7C98"/>
    <w:rsid w:val="003E0543"/>
    <w:rsid w:val="003E1587"/>
    <w:rsid w:val="003E1CEA"/>
    <w:rsid w:val="003E446D"/>
    <w:rsid w:val="003E5E8E"/>
    <w:rsid w:val="003E6B05"/>
    <w:rsid w:val="003E6DFA"/>
    <w:rsid w:val="003F1892"/>
    <w:rsid w:val="003F197E"/>
    <w:rsid w:val="003F1DB9"/>
    <w:rsid w:val="003F1EA1"/>
    <w:rsid w:val="003F4156"/>
    <w:rsid w:val="003F6FB6"/>
    <w:rsid w:val="00400B29"/>
    <w:rsid w:val="004017A5"/>
    <w:rsid w:val="00403228"/>
    <w:rsid w:val="0040389E"/>
    <w:rsid w:val="00404D85"/>
    <w:rsid w:val="0040504B"/>
    <w:rsid w:val="00407664"/>
    <w:rsid w:val="00410708"/>
    <w:rsid w:val="00410EC7"/>
    <w:rsid w:val="00411B39"/>
    <w:rsid w:val="00413A1E"/>
    <w:rsid w:val="00414476"/>
    <w:rsid w:val="0041477B"/>
    <w:rsid w:val="00414C2E"/>
    <w:rsid w:val="00414C3F"/>
    <w:rsid w:val="004151CF"/>
    <w:rsid w:val="00416364"/>
    <w:rsid w:val="004165DC"/>
    <w:rsid w:val="004207CC"/>
    <w:rsid w:val="00420AA6"/>
    <w:rsid w:val="00420B9F"/>
    <w:rsid w:val="00421B81"/>
    <w:rsid w:val="00422260"/>
    <w:rsid w:val="0042413F"/>
    <w:rsid w:val="004254E2"/>
    <w:rsid w:val="00430BDE"/>
    <w:rsid w:val="004319F8"/>
    <w:rsid w:val="00431E55"/>
    <w:rsid w:val="004321F6"/>
    <w:rsid w:val="004324E0"/>
    <w:rsid w:val="00433044"/>
    <w:rsid w:val="00436760"/>
    <w:rsid w:val="004375B9"/>
    <w:rsid w:val="004375E7"/>
    <w:rsid w:val="004428D0"/>
    <w:rsid w:val="00442E90"/>
    <w:rsid w:val="004443A7"/>
    <w:rsid w:val="0044442C"/>
    <w:rsid w:val="004458A2"/>
    <w:rsid w:val="00445941"/>
    <w:rsid w:val="004464EB"/>
    <w:rsid w:val="00447D26"/>
    <w:rsid w:val="00450290"/>
    <w:rsid w:val="004542BD"/>
    <w:rsid w:val="00455134"/>
    <w:rsid w:val="004552DF"/>
    <w:rsid w:val="00455D45"/>
    <w:rsid w:val="00464595"/>
    <w:rsid w:val="00466416"/>
    <w:rsid w:val="00467276"/>
    <w:rsid w:val="0047030E"/>
    <w:rsid w:val="00472A79"/>
    <w:rsid w:val="00472FA7"/>
    <w:rsid w:val="00473F19"/>
    <w:rsid w:val="00475E22"/>
    <w:rsid w:val="0047672C"/>
    <w:rsid w:val="004769EA"/>
    <w:rsid w:val="00477C78"/>
    <w:rsid w:val="0048088E"/>
    <w:rsid w:val="00482720"/>
    <w:rsid w:val="00483317"/>
    <w:rsid w:val="004835E7"/>
    <w:rsid w:val="00484A81"/>
    <w:rsid w:val="0048650E"/>
    <w:rsid w:val="004867E2"/>
    <w:rsid w:val="0049037C"/>
    <w:rsid w:val="004908DF"/>
    <w:rsid w:val="00491B3A"/>
    <w:rsid w:val="00492CFD"/>
    <w:rsid w:val="00492DBD"/>
    <w:rsid w:val="00493B26"/>
    <w:rsid w:val="004947F2"/>
    <w:rsid w:val="00494DD5"/>
    <w:rsid w:val="004962D2"/>
    <w:rsid w:val="004A0DA1"/>
    <w:rsid w:val="004A4146"/>
    <w:rsid w:val="004A52E9"/>
    <w:rsid w:val="004A6597"/>
    <w:rsid w:val="004A7848"/>
    <w:rsid w:val="004A7E61"/>
    <w:rsid w:val="004B0B95"/>
    <w:rsid w:val="004B1CB4"/>
    <w:rsid w:val="004B229D"/>
    <w:rsid w:val="004B2F18"/>
    <w:rsid w:val="004B3DDB"/>
    <w:rsid w:val="004B44FD"/>
    <w:rsid w:val="004B5CFC"/>
    <w:rsid w:val="004B7437"/>
    <w:rsid w:val="004B774D"/>
    <w:rsid w:val="004C1E7C"/>
    <w:rsid w:val="004C2900"/>
    <w:rsid w:val="004C3EF0"/>
    <w:rsid w:val="004C4AED"/>
    <w:rsid w:val="004C6A58"/>
    <w:rsid w:val="004D1143"/>
    <w:rsid w:val="004D2C2D"/>
    <w:rsid w:val="004D4973"/>
    <w:rsid w:val="004D6DA1"/>
    <w:rsid w:val="004D7227"/>
    <w:rsid w:val="004D7C1F"/>
    <w:rsid w:val="004E0E7F"/>
    <w:rsid w:val="004E0EB8"/>
    <w:rsid w:val="004E1D33"/>
    <w:rsid w:val="004E2ADC"/>
    <w:rsid w:val="004E43B2"/>
    <w:rsid w:val="004E4E0A"/>
    <w:rsid w:val="004F039C"/>
    <w:rsid w:val="004F1D02"/>
    <w:rsid w:val="004F1F4D"/>
    <w:rsid w:val="004F2679"/>
    <w:rsid w:val="004F2F21"/>
    <w:rsid w:val="004F3196"/>
    <w:rsid w:val="004F503F"/>
    <w:rsid w:val="004F6913"/>
    <w:rsid w:val="004F6E27"/>
    <w:rsid w:val="004F777F"/>
    <w:rsid w:val="004F7865"/>
    <w:rsid w:val="0050219B"/>
    <w:rsid w:val="00503F17"/>
    <w:rsid w:val="00506928"/>
    <w:rsid w:val="00511237"/>
    <w:rsid w:val="00511A4F"/>
    <w:rsid w:val="00513A9C"/>
    <w:rsid w:val="005146F3"/>
    <w:rsid w:val="005152B5"/>
    <w:rsid w:val="00521319"/>
    <w:rsid w:val="00521A40"/>
    <w:rsid w:val="00522BC8"/>
    <w:rsid w:val="00523C28"/>
    <w:rsid w:val="00530C8A"/>
    <w:rsid w:val="00535D5A"/>
    <w:rsid w:val="00536F42"/>
    <w:rsid w:val="00537182"/>
    <w:rsid w:val="005379E4"/>
    <w:rsid w:val="00542743"/>
    <w:rsid w:val="00542C2D"/>
    <w:rsid w:val="00545FEE"/>
    <w:rsid w:val="00551378"/>
    <w:rsid w:val="0055185F"/>
    <w:rsid w:val="00551985"/>
    <w:rsid w:val="005526A3"/>
    <w:rsid w:val="00552BD3"/>
    <w:rsid w:val="00555109"/>
    <w:rsid w:val="00562280"/>
    <w:rsid w:val="0056696F"/>
    <w:rsid w:val="00572269"/>
    <w:rsid w:val="0057244A"/>
    <w:rsid w:val="00575D8D"/>
    <w:rsid w:val="005760F1"/>
    <w:rsid w:val="00576972"/>
    <w:rsid w:val="00581A01"/>
    <w:rsid w:val="00583699"/>
    <w:rsid w:val="00585CDD"/>
    <w:rsid w:val="00586172"/>
    <w:rsid w:val="00587058"/>
    <w:rsid w:val="00591957"/>
    <w:rsid w:val="0059238B"/>
    <w:rsid w:val="00597BF9"/>
    <w:rsid w:val="005A373D"/>
    <w:rsid w:val="005A3993"/>
    <w:rsid w:val="005A448D"/>
    <w:rsid w:val="005A4B51"/>
    <w:rsid w:val="005A7FF2"/>
    <w:rsid w:val="005B2280"/>
    <w:rsid w:val="005B5857"/>
    <w:rsid w:val="005C036C"/>
    <w:rsid w:val="005C1B83"/>
    <w:rsid w:val="005C2D55"/>
    <w:rsid w:val="005C346B"/>
    <w:rsid w:val="005C5EC5"/>
    <w:rsid w:val="005D044D"/>
    <w:rsid w:val="005D0ABD"/>
    <w:rsid w:val="005D0BB4"/>
    <w:rsid w:val="005D18AD"/>
    <w:rsid w:val="005D1C02"/>
    <w:rsid w:val="005D26B4"/>
    <w:rsid w:val="005D5AE6"/>
    <w:rsid w:val="005E2628"/>
    <w:rsid w:val="005E6CBC"/>
    <w:rsid w:val="005E73C0"/>
    <w:rsid w:val="005F0A57"/>
    <w:rsid w:val="005F131C"/>
    <w:rsid w:val="005F2706"/>
    <w:rsid w:val="005F2C00"/>
    <w:rsid w:val="005F2FF1"/>
    <w:rsid w:val="005F4D2B"/>
    <w:rsid w:val="005F6A8F"/>
    <w:rsid w:val="00603DB9"/>
    <w:rsid w:val="006040A2"/>
    <w:rsid w:val="00607669"/>
    <w:rsid w:val="00607AFD"/>
    <w:rsid w:val="00607C53"/>
    <w:rsid w:val="006126B3"/>
    <w:rsid w:val="006129BD"/>
    <w:rsid w:val="00612F97"/>
    <w:rsid w:val="0061345D"/>
    <w:rsid w:val="00616802"/>
    <w:rsid w:val="00617E12"/>
    <w:rsid w:val="00621477"/>
    <w:rsid w:val="00626A7A"/>
    <w:rsid w:val="00630B73"/>
    <w:rsid w:val="0063158F"/>
    <w:rsid w:val="00631D6B"/>
    <w:rsid w:val="0063244E"/>
    <w:rsid w:val="006330A1"/>
    <w:rsid w:val="00633A14"/>
    <w:rsid w:val="0063479F"/>
    <w:rsid w:val="006353F0"/>
    <w:rsid w:val="006364A1"/>
    <w:rsid w:val="00637BFD"/>
    <w:rsid w:val="00640098"/>
    <w:rsid w:val="006413AF"/>
    <w:rsid w:val="00641C4E"/>
    <w:rsid w:val="006427F5"/>
    <w:rsid w:val="006433EF"/>
    <w:rsid w:val="0064596E"/>
    <w:rsid w:val="00646969"/>
    <w:rsid w:val="006471CC"/>
    <w:rsid w:val="0065028D"/>
    <w:rsid w:val="0065037D"/>
    <w:rsid w:val="0065079F"/>
    <w:rsid w:val="0065205F"/>
    <w:rsid w:val="0065379F"/>
    <w:rsid w:val="0065415A"/>
    <w:rsid w:val="00661899"/>
    <w:rsid w:val="00661C6B"/>
    <w:rsid w:val="0066275F"/>
    <w:rsid w:val="00662BBD"/>
    <w:rsid w:val="00664287"/>
    <w:rsid w:val="00672605"/>
    <w:rsid w:val="00672ABA"/>
    <w:rsid w:val="006731BC"/>
    <w:rsid w:val="00673BF6"/>
    <w:rsid w:val="00674E42"/>
    <w:rsid w:val="00675DD6"/>
    <w:rsid w:val="00682112"/>
    <w:rsid w:val="0068483C"/>
    <w:rsid w:val="00686957"/>
    <w:rsid w:val="006872BA"/>
    <w:rsid w:val="0069110A"/>
    <w:rsid w:val="00691648"/>
    <w:rsid w:val="006917D7"/>
    <w:rsid w:val="00694749"/>
    <w:rsid w:val="00694F44"/>
    <w:rsid w:val="0069527D"/>
    <w:rsid w:val="006A122B"/>
    <w:rsid w:val="006A7E5F"/>
    <w:rsid w:val="006B1D15"/>
    <w:rsid w:val="006B261B"/>
    <w:rsid w:val="006B2C90"/>
    <w:rsid w:val="006B6DD0"/>
    <w:rsid w:val="006C0CAC"/>
    <w:rsid w:val="006C1961"/>
    <w:rsid w:val="006C2A8E"/>
    <w:rsid w:val="006C484C"/>
    <w:rsid w:val="006D24C6"/>
    <w:rsid w:val="006D3C7D"/>
    <w:rsid w:val="006D4D47"/>
    <w:rsid w:val="006D5D5F"/>
    <w:rsid w:val="006D7AFF"/>
    <w:rsid w:val="006E1B06"/>
    <w:rsid w:val="006E1FB7"/>
    <w:rsid w:val="006E342A"/>
    <w:rsid w:val="006E781D"/>
    <w:rsid w:val="006F1889"/>
    <w:rsid w:val="006F233F"/>
    <w:rsid w:val="006F306C"/>
    <w:rsid w:val="006F63A5"/>
    <w:rsid w:val="0070142B"/>
    <w:rsid w:val="00701EDA"/>
    <w:rsid w:val="0070276E"/>
    <w:rsid w:val="00702F8F"/>
    <w:rsid w:val="00704963"/>
    <w:rsid w:val="00706197"/>
    <w:rsid w:val="00706491"/>
    <w:rsid w:val="00706DE6"/>
    <w:rsid w:val="00711A36"/>
    <w:rsid w:val="0071320A"/>
    <w:rsid w:val="007139EC"/>
    <w:rsid w:val="00713FE3"/>
    <w:rsid w:val="007143A2"/>
    <w:rsid w:val="0071529C"/>
    <w:rsid w:val="0071632C"/>
    <w:rsid w:val="007172AD"/>
    <w:rsid w:val="00720B18"/>
    <w:rsid w:val="00722B1B"/>
    <w:rsid w:val="0072416F"/>
    <w:rsid w:val="00727C94"/>
    <w:rsid w:val="00730DD6"/>
    <w:rsid w:val="00731EAE"/>
    <w:rsid w:val="00732596"/>
    <w:rsid w:val="007325FE"/>
    <w:rsid w:val="00735033"/>
    <w:rsid w:val="00735328"/>
    <w:rsid w:val="007366BF"/>
    <w:rsid w:val="0073685B"/>
    <w:rsid w:val="00741342"/>
    <w:rsid w:val="00752142"/>
    <w:rsid w:val="007523F9"/>
    <w:rsid w:val="00753AE6"/>
    <w:rsid w:val="007573E8"/>
    <w:rsid w:val="00757EE7"/>
    <w:rsid w:val="00760C4E"/>
    <w:rsid w:val="00762E5E"/>
    <w:rsid w:val="00765551"/>
    <w:rsid w:val="00765B1A"/>
    <w:rsid w:val="0076677C"/>
    <w:rsid w:val="00766C56"/>
    <w:rsid w:val="00770DCD"/>
    <w:rsid w:val="0077130C"/>
    <w:rsid w:val="007723BD"/>
    <w:rsid w:val="0077518F"/>
    <w:rsid w:val="00777305"/>
    <w:rsid w:val="00780F4D"/>
    <w:rsid w:val="007843F2"/>
    <w:rsid w:val="00785F70"/>
    <w:rsid w:val="0078639A"/>
    <w:rsid w:val="0078662A"/>
    <w:rsid w:val="00787FA2"/>
    <w:rsid w:val="007935E6"/>
    <w:rsid w:val="00796199"/>
    <w:rsid w:val="00797B05"/>
    <w:rsid w:val="007A0A12"/>
    <w:rsid w:val="007A132D"/>
    <w:rsid w:val="007A2E80"/>
    <w:rsid w:val="007A36A7"/>
    <w:rsid w:val="007A45CD"/>
    <w:rsid w:val="007B0D68"/>
    <w:rsid w:val="007B12F9"/>
    <w:rsid w:val="007B251D"/>
    <w:rsid w:val="007B4F58"/>
    <w:rsid w:val="007B50C2"/>
    <w:rsid w:val="007B528D"/>
    <w:rsid w:val="007B77D1"/>
    <w:rsid w:val="007B7BF1"/>
    <w:rsid w:val="007C1CD9"/>
    <w:rsid w:val="007C2A7C"/>
    <w:rsid w:val="007C361D"/>
    <w:rsid w:val="007C4B84"/>
    <w:rsid w:val="007C7BAA"/>
    <w:rsid w:val="007D004F"/>
    <w:rsid w:val="007D0B38"/>
    <w:rsid w:val="007D1F56"/>
    <w:rsid w:val="007D2D02"/>
    <w:rsid w:val="007D5440"/>
    <w:rsid w:val="007D61F1"/>
    <w:rsid w:val="007D622D"/>
    <w:rsid w:val="007D6581"/>
    <w:rsid w:val="007D7F00"/>
    <w:rsid w:val="007E0592"/>
    <w:rsid w:val="007E0DA1"/>
    <w:rsid w:val="007E10A3"/>
    <w:rsid w:val="007E2A81"/>
    <w:rsid w:val="007E44B4"/>
    <w:rsid w:val="007F1017"/>
    <w:rsid w:val="007F4A3F"/>
    <w:rsid w:val="007F4A61"/>
    <w:rsid w:val="007F4E45"/>
    <w:rsid w:val="007F5495"/>
    <w:rsid w:val="007F61C2"/>
    <w:rsid w:val="007F71CB"/>
    <w:rsid w:val="00800E75"/>
    <w:rsid w:val="00801BF6"/>
    <w:rsid w:val="00802C8C"/>
    <w:rsid w:val="00802F79"/>
    <w:rsid w:val="00803858"/>
    <w:rsid w:val="00805142"/>
    <w:rsid w:val="00807A8B"/>
    <w:rsid w:val="00811383"/>
    <w:rsid w:val="00812149"/>
    <w:rsid w:val="00812CAC"/>
    <w:rsid w:val="00812D3C"/>
    <w:rsid w:val="00813AC2"/>
    <w:rsid w:val="00815408"/>
    <w:rsid w:val="008166EF"/>
    <w:rsid w:val="008168F3"/>
    <w:rsid w:val="00820823"/>
    <w:rsid w:val="008208FB"/>
    <w:rsid w:val="00825751"/>
    <w:rsid w:val="008264EB"/>
    <w:rsid w:val="00830FF2"/>
    <w:rsid w:val="00833B05"/>
    <w:rsid w:val="00834913"/>
    <w:rsid w:val="00834D2A"/>
    <w:rsid w:val="008355EB"/>
    <w:rsid w:val="008362B4"/>
    <w:rsid w:val="00836BD2"/>
    <w:rsid w:val="00840CA2"/>
    <w:rsid w:val="00841E1E"/>
    <w:rsid w:val="0084374F"/>
    <w:rsid w:val="00844082"/>
    <w:rsid w:val="00844B00"/>
    <w:rsid w:val="00847DF5"/>
    <w:rsid w:val="00850F43"/>
    <w:rsid w:val="00851821"/>
    <w:rsid w:val="0085309D"/>
    <w:rsid w:val="0085585F"/>
    <w:rsid w:val="00856897"/>
    <w:rsid w:val="00856E9A"/>
    <w:rsid w:val="0086075D"/>
    <w:rsid w:val="00861F8B"/>
    <w:rsid w:val="00862502"/>
    <w:rsid w:val="00864AA1"/>
    <w:rsid w:val="008660D4"/>
    <w:rsid w:val="00867A86"/>
    <w:rsid w:val="00870168"/>
    <w:rsid w:val="00871FA9"/>
    <w:rsid w:val="008728E9"/>
    <w:rsid w:val="008734F5"/>
    <w:rsid w:val="00876621"/>
    <w:rsid w:val="00877E5B"/>
    <w:rsid w:val="00881C3C"/>
    <w:rsid w:val="00882874"/>
    <w:rsid w:val="00883626"/>
    <w:rsid w:val="00883787"/>
    <w:rsid w:val="00883E7E"/>
    <w:rsid w:val="00884AD7"/>
    <w:rsid w:val="00885AD3"/>
    <w:rsid w:val="008868D0"/>
    <w:rsid w:val="00886CD2"/>
    <w:rsid w:val="00891E17"/>
    <w:rsid w:val="00892A36"/>
    <w:rsid w:val="00893016"/>
    <w:rsid w:val="0089309A"/>
    <w:rsid w:val="00893239"/>
    <w:rsid w:val="00894489"/>
    <w:rsid w:val="00894762"/>
    <w:rsid w:val="008963A5"/>
    <w:rsid w:val="008A280F"/>
    <w:rsid w:val="008A2F24"/>
    <w:rsid w:val="008A3363"/>
    <w:rsid w:val="008A3371"/>
    <w:rsid w:val="008A3575"/>
    <w:rsid w:val="008A3C3E"/>
    <w:rsid w:val="008A64AB"/>
    <w:rsid w:val="008A79DE"/>
    <w:rsid w:val="008B1757"/>
    <w:rsid w:val="008B2129"/>
    <w:rsid w:val="008B2D8C"/>
    <w:rsid w:val="008B3D18"/>
    <w:rsid w:val="008B6B68"/>
    <w:rsid w:val="008B79EF"/>
    <w:rsid w:val="008B7D7E"/>
    <w:rsid w:val="008C1D21"/>
    <w:rsid w:val="008C2DE9"/>
    <w:rsid w:val="008C39AF"/>
    <w:rsid w:val="008C46AB"/>
    <w:rsid w:val="008C7724"/>
    <w:rsid w:val="008C7ECB"/>
    <w:rsid w:val="008D4755"/>
    <w:rsid w:val="008D4C3D"/>
    <w:rsid w:val="008D60B7"/>
    <w:rsid w:val="008E0D3C"/>
    <w:rsid w:val="008E1B9E"/>
    <w:rsid w:val="008E55AB"/>
    <w:rsid w:val="008E6CD7"/>
    <w:rsid w:val="008E7C94"/>
    <w:rsid w:val="008F120A"/>
    <w:rsid w:val="008F27E0"/>
    <w:rsid w:val="008F48EB"/>
    <w:rsid w:val="008F4F0B"/>
    <w:rsid w:val="00903543"/>
    <w:rsid w:val="009046C4"/>
    <w:rsid w:val="009062A5"/>
    <w:rsid w:val="00910C96"/>
    <w:rsid w:val="00911272"/>
    <w:rsid w:val="009135D6"/>
    <w:rsid w:val="00914C77"/>
    <w:rsid w:val="00915405"/>
    <w:rsid w:val="00920775"/>
    <w:rsid w:val="0092150F"/>
    <w:rsid w:val="0092369B"/>
    <w:rsid w:val="00923802"/>
    <w:rsid w:val="009261BD"/>
    <w:rsid w:val="00926215"/>
    <w:rsid w:val="009274A5"/>
    <w:rsid w:val="00937DB7"/>
    <w:rsid w:val="009448BB"/>
    <w:rsid w:val="00950A50"/>
    <w:rsid w:val="009510A2"/>
    <w:rsid w:val="009516C6"/>
    <w:rsid w:val="0095275F"/>
    <w:rsid w:val="00953257"/>
    <w:rsid w:val="0095644C"/>
    <w:rsid w:val="009619F7"/>
    <w:rsid w:val="00961D9C"/>
    <w:rsid w:val="00962CB9"/>
    <w:rsid w:val="0096342F"/>
    <w:rsid w:val="00964312"/>
    <w:rsid w:val="009650EB"/>
    <w:rsid w:val="00965B8A"/>
    <w:rsid w:val="0097065B"/>
    <w:rsid w:val="009717AC"/>
    <w:rsid w:val="009763A0"/>
    <w:rsid w:val="00982A4B"/>
    <w:rsid w:val="00983E57"/>
    <w:rsid w:val="0098438D"/>
    <w:rsid w:val="00985E35"/>
    <w:rsid w:val="0098675D"/>
    <w:rsid w:val="00990A5E"/>
    <w:rsid w:val="0099142E"/>
    <w:rsid w:val="00992263"/>
    <w:rsid w:val="00993DFF"/>
    <w:rsid w:val="00996B1A"/>
    <w:rsid w:val="009A1F3E"/>
    <w:rsid w:val="009A32E7"/>
    <w:rsid w:val="009A4AFE"/>
    <w:rsid w:val="009A6135"/>
    <w:rsid w:val="009A6DC8"/>
    <w:rsid w:val="009A7F10"/>
    <w:rsid w:val="009B1527"/>
    <w:rsid w:val="009B282E"/>
    <w:rsid w:val="009B3E26"/>
    <w:rsid w:val="009B580B"/>
    <w:rsid w:val="009B5B2A"/>
    <w:rsid w:val="009B63D5"/>
    <w:rsid w:val="009C1204"/>
    <w:rsid w:val="009C3361"/>
    <w:rsid w:val="009C4332"/>
    <w:rsid w:val="009C6228"/>
    <w:rsid w:val="009C6CEA"/>
    <w:rsid w:val="009C7B85"/>
    <w:rsid w:val="009D0E36"/>
    <w:rsid w:val="009D5B91"/>
    <w:rsid w:val="009D792E"/>
    <w:rsid w:val="009E002E"/>
    <w:rsid w:val="009E0DFE"/>
    <w:rsid w:val="009E1222"/>
    <w:rsid w:val="009E4C07"/>
    <w:rsid w:val="009F1768"/>
    <w:rsid w:val="009F2B34"/>
    <w:rsid w:val="009F7732"/>
    <w:rsid w:val="00A01184"/>
    <w:rsid w:val="00A027BC"/>
    <w:rsid w:val="00A02C09"/>
    <w:rsid w:val="00A03D43"/>
    <w:rsid w:val="00A04380"/>
    <w:rsid w:val="00A104D8"/>
    <w:rsid w:val="00A11CD0"/>
    <w:rsid w:val="00A130A3"/>
    <w:rsid w:val="00A13948"/>
    <w:rsid w:val="00A139DE"/>
    <w:rsid w:val="00A150BE"/>
    <w:rsid w:val="00A1555B"/>
    <w:rsid w:val="00A155C5"/>
    <w:rsid w:val="00A16AD8"/>
    <w:rsid w:val="00A16B75"/>
    <w:rsid w:val="00A16FBA"/>
    <w:rsid w:val="00A21CF3"/>
    <w:rsid w:val="00A236D6"/>
    <w:rsid w:val="00A23A22"/>
    <w:rsid w:val="00A27AEC"/>
    <w:rsid w:val="00A320DB"/>
    <w:rsid w:val="00A35D16"/>
    <w:rsid w:val="00A37BCD"/>
    <w:rsid w:val="00A403F0"/>
    <w:rsid w:val="00A426DE"/>
    <w:rsid w:val="00A43C59"/>
    <w:rsid w:val="00A46EE0"/>
    <w:rsid w:val="00A50ECD"/>
    <w:rsid w:val="00A518F3"/>
    <w:rsid w:val="00A52729"/>
    <w:rsid w:val="00A53675"/>
    <w:rsid w:val="00A53865"/>
    <w:rsid w:val="00A538E4"/>
    <w:rsid w:val="00A54011"/>
    <w:rsid w:val="00A54F59"/>
    <w:rsid w:val="00A552B7"/>
    <w:rsid w:val="00A564D7"/>
    <w:rsid w:val="00A566C1"/>
    <w:rsid w:val="00A56B6A"/>
    <w:rsid w:val="00A56C3E"/>
    <w:rsid w:val="00A578DC"/>
    <w:rsid w:val="00A614E2"/>
    <w:rsid w:val="00A639B4"/>
    <w:rsid w:val="00A64139"/>
    <w:rsid w:val="00A6725B"/>
    <w:rsid w:val="00A70605"/>
    <w:rsid w:val="00A70F9F"/>
    <w:rsid w:val="00A73134"/>
    <w:rsid w:val="00A7631F"/>
    <w:rsid w:val="00A773DE"/>
    <w:rsid w:val="00A777B2"/>
    <w:rsid w:val="00A81B86"/>
    <w:rsid w:val="00A82909"/>
    <w:rsid w:val="00A86E8B"/>
    <w:rsid w:val="00A87164"/>
    <w:rsid w:val="00A87E6E"/>
    <w:rsid w:val="00A905E6"/>
    <w:rsid w:val="00A93072"/>
    <w:rsid w:val="00A937C4"/>
    <w:rsid w:val="00A93953"/>
    <w:rsid w:val="00A9516D"/>
    <w:rsid w:val="00A959D8"/>
    <w:rsid w:val="00A96D6B"/>
    <w:rsid w:val="00A97089"/>
    <w:rsid w:val="00AA0571"/>
    <w:rsid w:val="00AA113D"/>
    <w:rsid w:val="00AA13D1"/>
    <w:rsid w:val="00AA1ADA"/>
    <w:rsid w:val="00AA5F1B"/>
    <w:rsid w:val="00AA6C7D"/>
    <w:rsid w:val="00AA7FD6"/>
    <w:rsid w:val="00AB042A"/>
    <w:rsid w:val="00AB0E64"/>
    <w:rsid w:val="00AB2D34"/>
    <w:rsid w:val="00AB3430"/>
    <w:rsid w:val="00AB3559"/>
    <w:rsid w:val="00AB4AD1"/>
    <w:rsid w:val="00AB6859"/>
    <w:rsid w:val="00AB7CFA"/>
    <w:rsid w:val="00AC00BD"/>
    <w:rsid w:val="00AC0CDE"/>
    <w:rsid w:val="00AC1EF7"/>
    <w:rsid w:val="00AC55A1"/>
    <w:rsid w:val="00AC5B48"/>
    <w:rsid w:val="00AD196B"/>
    <w:rsid w:val="00AD5A49"/>
    <w:rsid w:val="00AD6502"/>
    <w:rsid w:val="00AE1415"/>
    <w:rsid w:val="00AE4D12"/>
    <w:rsid w:val="00AE7211"/>
    <w:rsid w:val="00AF1315"/>
    <w:rsid w:val="00AF19BF"/>
    <w:rsid w:val="00AF2DC3"/>
    <w:rsid w:val="00AF5354"/>
    <w:rsid w:val="00AF7212"/>
    <w:rsid w:val="00B021FC"/>
    <w:rsid w:val="00B033E5"/>
    <w:rsid w:val="00B03A63"/>
    <w:rsid w:val="00B1003F"/>
    <w:rsid w:val="00B11F11"/>
    <w:rsid w:val="00B12AA5"/>
    <w:rsid w:val="00B14847"/>
    <w:rsid w:val="00B14E9B"/>
    <w:rsid w:val="00B14FC5"/>
    <w:rsid w:val="00B17909"/>
    <w:rsid w:val="00B201A4"/>
    <w:rsid w:val="00B2111A"/>
    <w:rsid w:val="00B213A6"/>
    <w:rsid w:val="00B214AE"/>
    <w:rsid w:val="00B21711"/>
    <w:rsid w:val="00B23BDA"/>
    <w:rsid w:val="00B23C63"/>
    <w:rsid w:val="00B24CAB"/>
    <w:rsid w:val="00B24DF6"/>
    <w:rsid w:val="00B275CC"/>
    <w:rsid w:val="00B276E5"/>
    <w:rsid w:val="00B321C9"/>
    <w:rsid w:val="00B34E87"/>
    <w:rsid w:val="00B34FE2"/>
    <w:rsid w:val="00B357D8"/>
    <w:rsid w:val="00B3608A"/>
    <w:rsid w:val="00B360DB"/>
    <w:rsid w:val="00B37BFC"/>
    <w:rsid w:val="00B37F9C"/>
    <w:rsid w:val="00B40358"/>
    <w:rsid w:val="00B41614"/>
    <w:rsid w:val="00B42851"/>
    <w:rsid w:val="00B42F80"/>
    <w:rsid w:val="00B435CB"/>
    <w:rsid w:val="00B46DB3"/>
    <w:rsid w:val="00B47E71"/>
    <w:rsid w:val="00B509CF"/>
    <w:rsid w:val="00B50C3F"/>
    <w:rsid w:val="00B50DB8"/>
    <w:rsid w:val="00B51A20"/>
    <w:rsid w:val="00B53654"/>
    <w:rsid w:val="00B53905"/>
    <w:rsid w:val="00B54B5B"/>
    <w:rsid w:val="00B555F7"/>
    <w:rsid w:val="00B5562E"/>
    <w:rsid w:val="00B57000"/>
    <w:rsid w:val="00B60939"/>
    <w:rsid w:val="00B60AFD"/>
    <w:rsid w:val="00B60E66"/>
    <w:rsid w:val="00B61211"/>
    <w:rsid w:val="00B62715"/>
    <w:rsid w:val="00B6320B"/>
    <w:rsid w:val="00B66C04"/>
    <w:rsid w:val="00B66D80"/>
    <w:rsid w:val="00B67E56"/>
    <w:rsid w:val="00B743FD"/>
    <w:rsid w:val="00B80A70"/>
    <w:rsid w:val="00B818A4"/>
    <w:rsid w:val="00B84117"/>
    <w:rsid w:val="00B850C7"/>
    <w:rsid w:val="00B85AA2"/>
    <w:rsid w:val="00B8649C"/>
    <w:rsid w:val="00B87F0A"/>
    <w:rsid w:val="00B92D0B"/>
    <w:rsid w:val="00B93A37"/>
    <w:rsid w:val="00B94945"/>
    <w:rsid w:val="00B957A1"/>
    <w:rsid w:val="00B95B05"/>
    <w:rsid w:val="00BA179D"/>
    <w:rsid w:val="00BA322D"/>
    <w:rsid w:val="00BA34A8"/>
    <w:rsid w:val="00BA4BB8"/>
    <w:rsid w:val="00BB0BDD"/>
    <w:rsid w:val="00BB2A73"/>
    <w:rsid w:val="00BB3AAD"/>
    <w:rsid w:val="00BB4A67"/>
    <w:rsid w:val="00BB4ACC"/>
    <w:rsid w:val="00BB703E"/>
    <w:rsid w:val="00BB70CF"/>
    <w:rsid w:val="00BB7405"/>
    <w:rsid w:val="00BC31AF"/>
    <w:rsid w:val="00BC3631"/>
    <w:rsid w:val="00BC72D0"/>
    <w:rsid w:val="00BC7785"/>
    <w:rsid w:val="00BD0C48"/>
    <w:rsid w:val="00BD2120"/>
    <w:rsid w:val="00BD68A3"/>
    <w:rsid w:val="00BD68FD"/>
    <w:rsid w:val="00BD6938"/>
    <w:rsid w:val="00BD6CF3"/>
    <w:rsid w:val="00BD7CB1"/>
    <w:rsid w:val="00BE0596"/>
    <w:rsid w:val="00BE2180"/>
    <w:rsid w:val="00BE21F2"/>
    <w:rsid w:val="00BE27F6"/>
    <w:rsid w:val="00BE4275"/>
    <w:rsid w:val="00BE6A87"/>
    <w:rsid w:val="00BE6FE4"/>
    <w:rsid w:val="00BF0F95"/>
    <w:rsid w:val="00BF2433"/>
    <w:rsid w:val="00BF3643"/>
    <w:rsid w:val="00BF3D7E"/>
    <w:rsid w:val="00BF551D"/>
    <w:rsid w:val="00BF61C9"/>
    <w:rsid w:val="00BF6C94"/>
    <w:rsid w:val="00C00424"/>
    <w:rsid w:val="00C030C5"/>
    <w:rsid w:val="00C035A5"/>
    <w:rsid w:val="00C051BE"/>
    <w:rsid w:val="00C12C14"/>
    <w:rsid w:val="00C13B89"/>
    <w:rsid w:val="00C140CD"/>
    <w:rsid w:val="00C15163"/>
    <w:rsid w:val="00C16F5F"/>
    <w:rsid w:val="00C17725"/>
    <w:rsid w:val="00C17AF6"/>
    <w:rsid w:val="00C200AA"/>
    <w:rsid w:val="00C237ED"/>
    <w:rsid w:val="00C23DF8"/>
    <w:rsid w:val="00C24632"/>
    <w:rsid w:val="00C25033"/>
    <w:rsid w:val="00C25418"/>
    <w:rsid w:val="00C25D38"/>
    <w:rsid w:val="00C25D9C"/>
    <w:rsid w:val="00C2778B"/>
    <w:rsid w:val="00C30E7B"/>
    <w:rsid w:val="00C31247"/>
    <w:rsid w:val="00C3146B"/>
    <w:rsid w:val="00C31649"/>
    <w:rsid w:val="00C32B43"/>
    <w:rsid w:val="00C35188"/>
    <w:rsid w:val="00C35481"/>
    <w:rsid w:val="00C40385"/>
    <w:rsid w:val="00C420CB"/>
    <w:rsid w:val="00C42D38"/>
    <w:rsid w:val="00C43089"/>
    <w:rsid w:val="00C45C8F"/>
    <w:rsid w:val="00C475AA"/>
    <w:rsid w:val="00C53C75"/>
    <w:rsid w:val="00C53E91"/>
    <w:rsid w:val="00C5701D"/>
    <w:rsid w:val="00C60822"/>
    <w:rsid w:val="00C610E1"/>
    <w:rsid w:val="00C65576"/>
    <w:rsid w:val="00C66165"/>
    <w:rsid w:val="00C66C83"/>
    <w:rsid w:val="00C700AE"/>
    <w:rsid w:val="00C704D4"/>
    <w:rsid w:val="00C7151A"/>
    <w:rsid w:val="00C71F60"/>
    <w:rsid w:val="00C72094"/>
    <w:rsid w:val="00C72241"/>
    <w:rsid w:val="00C73294"/>
    <w:rsid w:val="00C7367D"/>
    <w:rsid w:val="00C73F80"/>
    <w:rsid w:val="00C750C8"/>
    <w:rsid w:val="00C7560F"/>
    <w:rsid w:val="00C80A0E"/>
    <w:rsid w:val="00C8213F"/>
    <w:rsid w:val="00C8251D"/>
    <w:rsid w:val="00C84502"/>
    <w:rsid w:val="00C8510A"/>
    <w:rsid w:val="00C8752B"/>
    <w:rsid w:val="00C8797A"/>
    <w:rsid w:val="00C87C54"/>
    <w:rsid w:val="00C900B8"/>
    <w:rsid w:val="00C90489"/>
    <w:rsid w:val="00C90C71"/>
    <w:rsid w:val="00C931CF"/>
    <w:rsid w:val="00C938CF"/>
    <w:rsid w:val="00C93D17"/>
    <w:rsid w:val="00C94833"/>
    <w:rsid w:val="00C95215"/>
    <w:rsid w:val="00C954A6"/>
    <w:rsid w:val="00C95809"/>
    <w:rsid w:val="00C9624D"/>
    <w:rsid w:val="00C969DA"/>
    <w:rsid w:val="00C974AD"/>
    <w:rsid w:val="00CA2C77"/>
    <w:rsid w:val="00CA444F"/>
    <w:rsid w:val="00CA5245"/>
    <w:rsid w:val="00CA71F4"/>
    <w:rsid w:val="00CA78D6"/>
    <w:rsid w:val="00CA7B09"/>
    <w:rsid w:val="00CB0643"/>
    <w:rsid w:val="00CB21F3"/>
    <w:rsid w:val="00CB2410"/>
    <w:rsid w:val="00CB2F2A"/>
    <w:rsid w:val="00CB5B1A"/>
    <w:rsid w:val="00CB6B22"/>
    <w:rsid w:val="00CB7F5F"/>
    <w:rsid w:val="00CC182A"/>
    <w:rsid w:val="00CC1B39"/>
    <w:rsid w:val="00CC1F51"/>
    <w:rsid w:val="00CC467F"/>
    <w:rsid w:val="00CC5867"/>
    <w:rsid w:val="00CC64DF"/>
    <w:rsid w:val="00CC6786"/>
    <w:rsid w:val="00CD11E4"/>
    <w:rsid w:val="00CD4B6B"/>
    <w:rsid w:val="00CD6346"/>
    <w:rsid w:val="00CD6ADC"/>
    <w:rsid w:val="00CD6F91"/>
    <w:rsid w:val="00CD71BD"/>
    <w:rsid w:val="00CE06C0"/>
    <w:rsid w:val="00CE6274"/>
    <w:rsid w:val="00CE709D"/>
    <w:rsid w:val="00CF2B8D"/>
    <w:rsid w:val="00CF3963"/>
    <w:rsid w:val="00CF456B"/>
    <w:rsid w:val="00CF54F0"/>
    <w:rsid w:val="00CF5A22"/>
    <w:rsid w:val="00D0003F"/>
    <w:rsid w:val="00D0115E"/>
    <w:rsid w:val="00D01609"/>
    <w:rsid w:val="00D0242E"/>
    <w:rsid w:val="00D0262E"/>
    <w:rsid w:val="00D103A5"/>
    <w:rsid w:val="00D110BD"/>
    <w:rsid w:val="00D11822"/>
    <w:rsid w:val="00D13675"/>
    <w:rsid w:val="00D13B53"/>
    <w:rsid w:val="00D13D3C"/>
    <w:rsid w:val="00D141E1"/>
    <w:rsid w:val="00D14B6D"/>
    <w:rsid w:val="00D14EE5"/>
    <w:rsid w:val="00D154CB"/>
    <w:rsid w:val="00D16749"/>
    <w:rsid w:val="00D17D6C"/>
    <w:rsid w:val="00D23282"/>
    <w:rsid w:val="00D250D1"/>
    <w:rsid w:val="00D264E4"/>
    <w:rsid w:val="00D2754D"/>
    <w:rsid w:val="00D27881"/>
    <w:rsid w:val="00D27B27"/>
    <w:rsid w:val="00D31853"/>
    <w:rsid w:val="00D32DC4"/>
    <w:rsid w:val="00D33BE9"/>
    <w:rsid w:val="00D34F22"/>
    <w:rsid w:val="00D357FF"/>
    <w:rsid w:val="00D424C7"/>
    <w:rsid w:val="00D43B2A"/>
    <w:rsid w:val="00D452B5"/>
    <w:rsid w:val="00D4593C"/>
    <w:rsid w:val="00D45CE2"/>
    <w:rsid w:val="00D474D7"/>
    <w:rsid w:val="00D47575"/>
    <w:rsid w:val="00D51592"/>
    <w:rsid w:val="00D5486A"/>
    <w:rsid w:val="00D645DE"/>
    <w:rsid w:val="00D651AA"/>
    <w:rsid w:val="00D65A1F"/>
    <w:rsid w:val="00D70F16"/>
    <w:rsid w:val="00D7313F"/>
    <w:rsid w:val="00D76680"/>
    <w:rsid w:val="00D769E5"/>
    <w:rsid w:val="00D76A44"/>
    <w:rsid w:val="00D775A7"/>
    <w:rsid w:val="00D80DFB"/>
    <w:rsid w:val="00D815EF"/>
    <w:rsid w:val="00D82CFA"/>
    <w:rsid w:val="00D85A1E"/>
    <w:rsid w:val="00D90B23"/>
    <w:rsid w:val="00D91923"/>
    <w:rsid w:val="00D91DB6"/>
    <w:rsid w:val="00D93753"/>
    <w:rsid w:val="00DA18F8"/>
    <w:rsid w:val="00DA3167"/>
    <w:rsid w:val="00DA4DC3"/>
    <w:rsid w:val="00DA58F1"/>
    <w:rsid w:val="00DA77A5"/>
    <w:rsid w:val="00DA7A04"/>
    <w:rsid w:val="00DB26B8"/>
    <w:rsid w:val="00DB484F"/>
    <w:rsid w:val="00DB65AB"/>
    <w:rsid w:val="00DB6E1B"/>
    <w:rsid w:val="00DB7EB8"/>
    <w:rsid w:val="00DC04F6"/>
    <w:rsid w:val="00DC1511"/>
    <w:rsid w:val="00DC375B"/>
    <w:rsid w:val="00DC3C57"/>
    <w:rsid w:val="00DC5501"/>
    <w:rsid w:val="00DD01A9"/>
    <w:rsid w:val="00DD273C"/>
    <w:rsid w:val="00DD3F28"/>
    <w:rsid w:val="00DD3F2C"/>
    <w:rsid w:val="00DD4537"/>
    <w:rsid w:val="00DD4E15"/>
    <w:rsid w:val="00DD6131"/>
    <w:rsid w:val="00DE3138"/>
    <w:rsid w:val="00DE37F8"/>
    <w:rsid w:val="00DE4FCB"/>
    <w:rsid w:val="00DE7832"/>
    <w:rsid w:val="00DF18FC"/>
    <w:rsid w:val="00DF52F4"/>
    <w:rsid w:val="00DF5D2B"/>
    <w:rsid w:val="00DF7F6F"/>
    <w:rsid w:val="00E00E8E"/>
    <w:rsid w:val="00E02E7E"/>
    <w:rsid w:val="00E02F7A"/>
    <w:rsid w:val="00E02FC9"/>
    <w:rsid w:val="00E05630"/>
    <w:rsid w:val="00E06DBB"/>
    <w:rsid w:val="00E10149"/>
    <w:rsid w:val="00E1502E"/>
    <w:rsid w:val="00E16372"/>
    <w:rsid w:val="00E16938"/>
    <w:rsid w:val="00E20505"/>
    <w:rsid w:val="00E20E4D"/>
    <w:rsid w:val="00E20ED6"/>
    <w:rsid w:val="00E21358"/>
    <w:rsid w:val="00E2249B"/>
    <w:rsid w:val="00E22A0D"/>
    <w:rsid w:val="00E253CE"/>
    <w:rsid w:val="00E2771E"/>
    <w:rsid w:val="00E301C0"/>
    <w:rsid w:val="00E3456D"/>
    <w:rsid w:val="00E34948"/>
    <w:rsid w:val="00E34B5F"/>
    <w:rsid w:val="00E3539A"/>
    <w:rsid w:val="00E37551"/>
    <w:rsid w:val="00E37569"/>
    <w:rsid w:val="00E41E30"/>
    <w:rsid w:val="00E43D70"/>
    <w:rsid w:val="00E45088"/>
    <w:rsid w:val="00E4582C"/>
    <w:rsid w:val="00E466F3"/>
    <w:rsid w:val="00E47B2C"/>
    <w:rsid w:val="00E505A4"/>
    <w:rsid w:val="00E51197"/>
    <w:rsid w:val="00E51560"/>
    <w:rsid w:val="00E54347"/>
    <w:rsid w:val="00E55063"/>
    <w:rsid w:val="00E55424"/>
    <w:rsid w:val="00E55BB5"/>
    <w:rsid w:val="00E57253"/>
    <w:rsid w:val="00E60514"/>
    <w:rsid w:val="00E64EA3"/>
    <w:rsid w:val="00E65E79"/>
    <w:rsid w:val="00E66339"/>
    <w:rsid w:val="00E66BA2"/>
    <w:rsid w:val="00E67416"/>
    <w:rsid w:val="00E701C9"/>
    <w:rsid w:val="00E70208"/>
    <w:rsid w:val="00E718B6"/>
    <w:rsid w:val="00E723BA"/>
    <w:rsid w:val="00E73581"/>
    <w:rsid w:val="00E73F24"/>
    <w:rsid w:val="00E82CD5"/>
    <w:rsid w:val="00E833F7"/>
    <w:rsid w:val="00E83BDF"/>
    <w:rsid w:val="00E85048"/>
    <w:rsid w:val="00E87A1D"/>
    <w:rsid w:val="00E9169F"/>
    <w:rsid w:val="00E926A5"/>
    <w:rsid w:val="00E942EA"/>
    <w:rsid w:val="00E9777B"/>
    <w:rsid w:val="00EA0FF5"/>
    <w:rsid w:val="00EA17C3"/>
    <w:rsid w:val="00EA205C"/>
    <w:rsid w:val="00EA2CAA"/>
    <w:rsid w:val="00EA3864"/>
    <w:rsid w:val="00EA3C74"/>
    <w:rsid w:val="00EA5077"/>
    <w:rsid w:val="00EA5D9A"/>
    <w:rsid w:val="00EA5F77"/>
    <w:rsid w:val="00EB15B6"/>
    <w:rsid w:val="00EB1D90"/>
    <w:rsid w:val="00EB4916"/>
    <w:rsid w:val="00EB63F9"/>
    <w:rsid w:val="00EC0074"/>
    <w:rsid w:val="00EC00C9"/>
    <w:rsid w:val="00EC2649"/>
    <w:rsid w:val="00EC3AA9"/>
    <w:rsid w:val="00ED41D7"/>
    <w:rsid w:val="00ED4583"/>
    <w:rsid w:val="00ED57B5"/>
    <w:rsid w:val="00ED57EA"/>
    <w:rsid w:val="00ED5F4C"/>
    <w:rsid w:val="00ED7931"/>
    <w:rsid w:val="00EE07D3"/>
    <w:rsid w:val="00EE22AF"/>
    <w:rsid w:val="00EF0171"/>
    <w:rsid w:val="00EF1B25"/>
    <w:rsid w:val="00EF4747"/>
    <w:rsid w:val="00EF4BF8"/>
    <w:rsid w:val="00EF57A4"/>
    <w:rsid w:val="00EF63B5"/>
    <w:rsid w:val="00F002F5"/>
    <w:rsid w:val="00F00792"/>
    <w:rsid w:val="00F0161A"/>
    <w:rsid w:val="00F02253"/>
    <w:rsid w:val="00F03C2E"/>
    <w:rsid w:val="00F04780"/>
    <w:rsid w:val="00F04A66"/>
    <w:rsid w:val="00F0516C"/>
    <w:rsid w:val="00F051B7"/>
    <w:rsid w:val="00F0579C"/>
    <w:rsid w:val="00F067A2"/>
    <w:rsid w:val="00F07FC1"/>
    <w:rsid w:val="00F115E2"/>
    <w:rsid w:val="00F1263A"/>
    <w:rsid w:val="00F1284E"/>
    <w:rsid w:val="00F13E82"/>
    <w:rsid w:val="00F215DE"/>
    <w:rsid w:val="00F24837"/>
    <w:rsid w:val="00F2575F"/>
    <w:rsid w:val="00F26E16"/>
    <w:rsid w:val="00F27565"/>
    <w:rsid w:val="00F3005C"/>
    <w:rsid w:val="00F310D4"/>
    <w:rsid w:val="00F31D5A"/>
    <w:rsid w:val="00F32D91"/>
    <w:rsid w:val="00F33DE9"/>
    <w:rsid w:val="00F3619A"/>
    <w:rsid w:val="00F402DB"/>
    <w:rsid w:val="00F40AAA"/>
    <w:rsid w:val="00F40BA7"/>
    <w:rsid w:val="00F46CB6"/>
    <w:rsid w:val="00F47DE8"/>
    <w:rsid w:val="00F5347B"/>
    <w:rsid w:val="00F542C1"/>
    <w:rsid w:val="00F55E73"/>
    <w:rsid w:val="00F55EDA"/>
    <w:rsid w:val="00F60092"/>
    <w:rsid w:val="00F65F4B"/>
    <w:rsid w:val="00F66168"/>
    <w:rsid w:val="00F666BA"/>
    <w:rsid w:val="00F70C9D"/>
    <w:rsid w:val="00F74CD9"/>
    <w:rsid w:val="00F77974"/>
    <w:rsid w:val="00F8028C"/>
    <w:rsid w:val="00F80A7B"/>
    <w:rsid w:val="00F80E5D"/>
    <w:rsid w:val="00F81717"/>
    <w:rsid w:val="00F82F4A"/>
    <w:rsid w:val="00F85144"/>
    <w:rsid w:val="00F851CE"/>
    <w:rsid w:val="00F90394"/>
    <w:rsid w:val="00F91042"/>
    <w:rsid w:val="00F91219"/>
    <w:rsid w:val="00F945B5"/>
    <w:rsid w:val="00F97A78"/>
    <w:rsid w:val="00FA0AEB"/>
    <w:rsid w:val="00FA0B20"/>
    <w:rsid w:val="00FA229A"/>
    <w:rsid w:val="00FA24E7"/>
    <w:rsid w:val="00FA32F8"/>
    <w:rsid w:val="00FA5203"/>
    <w:rsid w:val="00FB2FCB"/>
    <w:rsid w:val="00FB3292"/>
    <w:rsid w:val="00FB3A7F"/>
    <w:rsid w:val="00FC1074"/>
    <w:rsid w:val="00FC1884"/>
    <w:rsid w:val="00FC371D"/>
    <w:rsid w:val="00FC3869"/>
    <w:rsid w:val="00FC476A"/>
    <w:rsid w:val="00FC5F0B"/>
    <w:rsid w:val="00FC674E"/>
    <w:rsid w:val="00FD041A"/>
    <w:rsid w:val="00FD0A22"/>
    <w:rsid w:val="00FD124B"/>
    <w:rsid w:val="00FD175C"/>
    <w:rsid w:val="00FD2100"/>
    <w:rsid w:val="00FD364C"/>
    <w:rsid w:val="00FD436C"/>
    <w:rsid w:val="00FD446D"/>
    <w:rsid w:val="00FD45F9"/>
    <w:rsid w:val="00FD4E0B"/>
    <w:rsid w:val="00FD6394"/>
    <w:rsid w:val="00FE0962"/>
    <w:rsid w:val="00FE0E6C"/>
    <w:rsid w:val="00FE70C3"/>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0E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2D0"/>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 1,BulletPoints,List Paragraph1,Footnote,Bullet point,List Paragraph11,Recommendation,Table Legend"/>
    <w:basedOn w:val="Normal"/>
    <w:link w:val="ListParagraphChar"/>
    <w:uiPriority w:val="34"/>
    <w:qFormat/>
    <w:rsid w:val="00591957"/>
    <w:pPr>
      <w:spacing w:after="160"/>
      <w:ind w:left="720"/>
    </w:pPr>
  </w:style>
  <w:style w:type="character" w:customStyle="1" w:styleId="ListParagraphChar">
    <w:name w:val="List Paragraph Char"/>
    <w:aliases w:val="Numbered para Char,Bullet 1 Char,BulletPoints Char,List Paragraph1 Char,Footnote Char,Bullet point Char,List Paragraph11 Char,Recommendation Char,Table Legend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6E1B0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17AF6"/>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mall">
    <w:name w:val="Small"/>
    <w:basedOn w:val="DefaultParagraphFont"/>
    <w:uiPriority w:val="4"/>
    <w:qFormat/>
    <w:rsid w:val="00B360DB"/>
    <w:rPr>
      <w:rFonts w:ascii="Calibri" w:hAnsi="Calibri"/>
      <w:sz w:val="20"/>
    </w:rPr>
  </w:style>
  <w:style w:type="character" w:styleId="IntenseEmphasis">
    <w:name w:val="Intense Emphasis"/>
    <w:uiPriority w:val="21"/>
    <w:qFormat/>
    <w:rsid w:val="00F051B7"/>
    <w:rPr>
      <w:b/>
      <w:bCs/>
      <w:i/>
      <w:iCs/>
    </w:rPr>
  </w:style>
  <w:style w:type="paragraph" w:customStyle="1" w:styleId="TableLeft">
    <w:name w:val="Table Left"/>
    <w:basedOn w:val="Normal"/>
    <w:link w:val="TableLeftChar"/>
    <w:uiPriority w:val="99"/>
    <w:qFormat/>
    <w:rsid w:val="00F051B7"/>
    <w:pPr>
      <w:widowControl/>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F051B7"/>
    <w:rPr>
      <w:rFonts w:ascii="Calibri" w:eastAsiaTheme="majorEastAsia" w:hAnsi="Calibri" w:cstheme="majorBidi"/>
      <w:sz w:val="18"/>
      <w:szCs w:val="22"/>
      <w:lang w:eastAsia="en-US" w:bidi="en-US"/>
    </w:rPr>
  </w:style>
  <w:style w:type="table" w:customStyle="1" w:styleId="Submissionstandard">
    <w:name w:val="Submission standard"/>
    <w:basedOn w:val="TableNormal"/>
    <w:uiPriority w:val="99"/>
    <w:qFormat/>
    <w:rsid w:val="00292FE6"/>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Historic" w:hAnsi="Segoe UI Historic"/>
        <w:b/>
        <w:sz w:val="20"/>
      </w:rPr>
      <w:tblPr/>
      <w:tcPr>
        <w:shd w:val="clear" w:color="auto" w:fill="BFBFBF" w:themeFill="background1" w:themeFillShade="BF"/>
      </w:tcPr>
    </w:tblStylePr>
  </w:style>
  <w:style w:type="paragraph" w:customStyle="1" w:styleId="TableCentre">
    <w:name w:val="Table Centre"/>
    <w:basedOn w:val="Normal"/>
    <w:qFormat/>
    <w:rsid w:val="00292FE6"/>
    <w:pPr>
      <w:widowControl/>
      <w:jc w:val="center"/>
    </w:pPr>
    <w:rPr>
      <w:rFonts w:eastAsiaTheme="majorEastAsia" w:cstheme="majorBidi"/>
      <w:snapToGrid/>
      <w:sz w:val="18"/>
      <w:lang w:bidi="en-US"/>
    </w:rPr>
  </w:style>
  <w:style w:type="character" w:customStyle="1" w:styleId="normaltextrun">
    <w:name w:val="normaltextrun"/>
    <w:basedOn w:val="DefaultParagraphFont"/>
    <w:rsid w:val="00E34B5F"/>
  </w:style>
  <w:style w:type="paragraph" w:styleId="FootnoteText">
    <w:name w:val="footnote text"/>
    <w:basedOn w:val="Normal"/>
    <w:link w:val="FootnoteTextChar"/>
    <w:semiHidden/>
    <w:unhideWhenUsed/>
    <w:rsid w:val="003B7E39"/>
    <w:rPr>
      <w:sz w:val="20"/>
      <w:szCs w:val="20"/>
    </w:rPr>
  </w:style>
  <w:style w:type="character" w:customStyle="1" w:styleId="FootnoteTextChar">
    <w:name w:val="Footnote Text Char"/>
    <w:basedOn w:val="DefaultParagraphFont"/>
    <w:link w:val="FootnoteText"/>
    <w:semiHidden/>
    <w:rsid w:val="003B7E39"/>
    <w:rPr>
      <w:rFonts w:ascii="Calibri" w:hAnsi="Calibri" w:cs="Arial"/>
      <w:snapToGrid w:val="0"/>
      <w:lang w:eastAsia="en-US"/>
    </w:rPr>
  </w:style>
  <w:style w:type="character" w:styleId="FootnoteReference">
    <w:name w:val="footnote reference"/>
    <w:basedOn w:val="DefaultParagraphFont"/>
    <w:semiHidden/>
    <w:unhideWhenUsed/>
    <w:rsid w:val="003B7E39"/>
    <w:rPr>
      <w:vertAlign w:val="superscript"/>
    </w:rPr>
  </w:style>
  <w:style w:type="character" w:customStyle="1" w:styleId="apple-converted-space">
    <w:name w:val="apple-converted-space"/>
    <w:basedOn w:val="DefaultParagraphFont"/>
    <w:rsid w:val="00196473"/>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37551"/>
    <w:pPr>
      <w:widowControl/>
      <w:spacing w:after="160" w:line="240" w:lineRule="exact"/>
      <w:jc w:val="left"/>
    </w:pPr>
    <w:rPr>
      <w:rFonts w:ascii="Verdana" w:eastAsia="MS Mincho" w:hAnsi="Verdana" w:cs="Verdana"/>
      <w:snapToGrid/>
      <w:sz w:val="20"/>
      <w:szCs w:val="20"/>
      <w:lang w:val="en-US"/>
    </w:rPr>
  </w:style>
  <w:style w:type="paragraph" w:customStyle="1" w:styleId="TableText0">
    <w:name w:val="Table Text"/>
    <w:basedOn w:val="Normal"/>
    <w:qFormat/>
    <w:rsid w:val="00E55063"/>
    <w:pPr>
      <w:widowControl/>
      <w:spacing w:before="40" w:after="40"/>
      <w:jc w:val="left"/>
    </w:pPr>
    <w:rPr>
      <w:rFonts w:ascii="Arial Narrow" w:eastAsiaTheme="minorHAnsi" w:hAnsi="Arial Narrow" w:cstheme="minorBidi"/>
      <w:snapToGrid/>
      <w:sz w:val="20"/>
    </w:rPr>
  </w:style>
  <w:style w:type="paragraph" w:customStyle="1" w:styleId="Default">
    <w:name w:val="Default"/>
    <w:rsid w:val="00B276E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D80DFB"/>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1547">
      <w:bodyDiv w:val="1"/>
      <w:marLeft w:val="0"/>
      <w:marRight w:val="0"/>
      <w:marTop w:val="0"/>
      <w:marBottom w:val="0"/>
      <w:divBdr>
        <w:top w:val="none" w:sz="0" w:space="0" w:color="auto"/>
        <w:left w:val="none" w:sz="0" w:space="0" w:color="auto"/>
        <w:bottom w:val="none" w:sz="0" w:space="0" w:color="auto"/>
        <w:right w:val="none" w:sz="0" w:space="0" w:color="auto"/>
      </w:divBdr>
      <w:divsChild>
        <w:div w:id="1451241579">
          <w:marLeft w:val="0"/>
          <w:marRight w:val="0"/>
          <w:marTop w:val="0"/>
          <w:marBottom w:val="0"/>
          <w:divBdr>
            <w:top w:val="none" w:sz="0" w:space="0" w:color="auto"/>
            <w:left w:val="none" w:sz="0" w:space="0" w:color="auto"/>
            <w:bottom w:val="none" w:sz="0" w:space="0" w:color="auto"/>
            <w:right w:val="none" w:sz="0" w:space="0" w:color="auto"/>
          </w:divBdr>
          <w:divsChild>
            <w:div w:id="1278634657">
              <w:marLeft w:val="0"/>
              <w:marRight w:val="0"/>
              <w:marTop w:val="0"/>
              <w:marBottom w:val="0"/>
              <w:divBdr>
                <w:top w:val="none" w:sz="0" w:space="0" w:color="auto"/>
                <w:left w:val="none" w:sz="0" w:space="0" w:color="auto"/>
                <w:bottom w:val="none" w:sz="0" w:space="0" w:color="auto"/>
                <w:right w:val="none" w:sz="0" w:space="0" w:color="auto"/>
              </w:divBdr>
              <w:divsChild>
                <w:div w:id="1328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431">
      <w:bodyDiv w:val="1"/>
      <w:marLeft w:val="0"/>
      <w:marRight w:val="0"/>
      <w:marTop w:val="0"/>
      <w:marBottom w:val="0"/>
      <w:divBdr>
        <w:top w:val="none" w:sz="0" w:space="0" w:color="auto"/>
        <w:left w:val="none" w:sz="0" w:space="0" w:color="auto"/>
        <w:bottom w:val="none" w:sz="0" w:space="0" w:color="auto"/>
        <w:right w:val="none" w:sz="0" w:space="0" w:color="auto"/>
      </w:divBdr>
    </w:div>
    <w:div w:id="817302114">
      <w:bodyDiv w:val="1"/>
      <w:marLeft w:val="0"/>
      <w:marRight w:val="0"/>
      <w:marTop w:val="0"/>
      <w:marBottom w:val="0"/>
      <w:divBdr>
        <w:top w:val="none" w:sz="0" w:space="0" w:color="auto"/>
        <w:left w:val="none" w:sz="0" w:space="0" w:color="auto"/>
        <w:bottom w:val="none" w:sz="0" w:space="0" w:color="auto"/>
        <w:right w:val="none" w:sz="0" w:space="0" w:color="auto"/>
      </w:divBdr>
      <w:divsChild>
        <w:div w:id="1452355814">
          <w:marLeft w:val="547"/>
          <w:marRight w:val="0"/>
          <w:marTop w:val="0"/>
          <w:marBottom w:val="0"/>
          <w:divBdr>
            <w:top w:val="none" w:sz="0" w:space="0" w:color="auto"/>
            <w:left w:val="none" w:sz="0" w:space="0" w:color="auto"/>
            <w:bottom w:val="none" w:sz="0" w:space="0" w:color="auto"/>
            <w:right w:val="none" w:sz="0" w:space="0" w:color="auto"/>
          </w:divBdr>
        </w:div>
        <w:div w:id="1676688203">
          <w:marLeft w:val="1166"/>
          <w:marRight w:val="0"/>
          <w:marTop w:val="0"/>
          <w:marBottom w:val="0"/>
          <w:divBdr>
            <w:top w:val="none" w:sz="0" w:space="0" w:color="auto"/>
            <w:left w:val="none" w:sz="0" w:space="0" w:color="auto"/>
            <w:bottom w:val="none" w:sz="0" w:space="0" w:color="auto"/>
            <w:right w:val="none" w:sz="0" w:space="0" w:color="auto"/>
          </w:divBdr>
        </w:div>
        <w:div w:id="1605503057">
          <w:marLeft w:val="1166"/>
          <w:marRight w:val="0"/>
          <w:marTop w:val="0"/>
          <w:marBottom w:val="0"/>
          <w:divBdr>
            <w:top w:val="none" w:sz="0" w:space="0" w:color="auto"/>
            <w:left w:val="none" w:sz="0" w:space="0" w:color="auto"/>
            <w:bottom w:val="none" w:sz="0" w:space="0" w:color="auto"/>
            <w:right w:val="none" w:sz="0" w:space="0" w:color="auto"/>
          </w:divBdr>
        </w:div>
        <w:div w:id="1767841488">
          <w:marLeft w:val="2520"/>
          <w:marRight w:val="0"/>
          <w:marTop w:val="0"/>
          <w:marBottom w:val="0"/>
          <w:divBdr>
            <w:top w:val="none" w:sz="0" w:space="0" w:color="auto"/>
            <w:left w:val="none" w:sz="0" w:space="0" w:color="auto"/>
            <w:bottom w:val="none" w:sz="0" w:space="0" w:color="auto"/>
            <w:right w:val="none" w:sz="0" w:space="0" w:color="auto"/>
          </w:divBdr>
        </w:div>
        <w:div w:id="1829590441">
          <w:marLeft w:val="1166"/>
          <w:marRight w:val="0"/>
          <w:marTop w:val="0"/>
          <w:marBottom w:val="0"/>
          <w:divBdr>
            <w:top w:val="none" w:sz="0" w:space="0" w:color="auto"/>
            <w:left w:val="none" w:sz="0" w:space="0" w:color="auto"/>
            <w:bottom w:val="none" w:sz="0" w:space="0" w:color="auto"/>
            <w:right w:val="none" w:sz="0" w:space="0" w:color="auto"/>
          </w:divBdr>
        </w:div>
        <w:div w:id="643702635">
          <w:marLeft w:val="1166"/>
          <w:marRight w:val="0"/>
          <w:marTop w:val="0"/>
          <w:marBottom w:val="0"/>
          <w:divBdr>
            <w:top w:val="none" w:sz="0" w:space="0" w:color="auto"/>
            <w:left w:val="none" w:sz="0" w:space="0" w:color="auto"/>
            <w:bottom w:val="none" w:sz="0" w:space="0" w:color="auto"/>
            <w:right w:val="none" w:sz="0" w:space="0" w:color="auto"/>
          </w:divBdr>
        </w:div>
        <w:div w:id="1923298136">
          <w:marLeft w:val="1800"/>
          <w:marRight w:val="0"/>
          <w:marTop w:val="0"/>
          <w:marBottom w:val="0"/>
          <w:divBdr>
            <w:top w:val="none" w:sz="0" w:space="0" w:color="auto"/>
            <w:left w:val="none" w:sz="0" w:space="0" w:color="auto"/>
            <w:bottom w:val="none" w:sz="0" w:space="0" w:color="auto"/>
            <w:right w:val="none" w:sz="0" w:space="0" w:color="auto"/>
          </w:divBdr>
        </w:div>
        <w:div w:id="1616136882">
          <w:marLeft w:val="2520"/>
          <w:marRight w:val="0"/>
          <w:marTop w:val="0"/>
          <w:marBottom w:val="0"/>
          <w:divBdr>
            <w:top w:val="none" w:sz="0" w:space="0" w:color="auto"/>
            <w:left w:val="none" w:sz="0" w:space="0" w:color="auto"/>
            <w:bottom w:val="none" w:sz="0" w:space="0" w:color="auto"/>
            <w:right w:val="none" w:sz="0" w:space="0" w:color="auto"/>
          </w:divBdr>
        </w:div>
      </w:divsChild>
    </w:div>
    <w:div w:id="932514217">
      <w:bodyDiv w:val="1"/>
      <w:marLeft w:val="0"/>
      <w:marRight w:val="0"/>
      <w:marTop w:val="0"/>
      <w:marBottom w:val="0"/>
      <w:divBdr>
        <w:top w:val="none" w:sz="0" w:space="0" w:color="auto"/>
        <w:left w:val="none" w:sz="0" w:space="0" w:color="auto"/>
        <w:bottom w:val="none" w:sz="0" w:space="0" w:color="auto"/>
        <w:right w:val="none" w:sz="0" w:space="0" w:color="auto"/>
      </w:divBdr>
    </w:div>
    <w:div w:id="1593004071">
      <w:bodyDiv w:val="1"/>
      <w:marLeft w:val="0"/>
      <w:marRight w:val="0"/>
      <w:marTop w:val="0"/>
      <w:marBottom w:val="0"/>
      <w:divBdr>
        <w:top w:val="none" w:sz="0" w:space="0" w:color="auto"/>
        <w:left w:val="none" w:sz="0" w:space="0" w:color="auto"/>
        <w:bottom w:val="none" w:sz="0" w:space="0" w:color="auto"/>
        <w:right w:val="none" w:sz="0" w:space="0" w:color="auto"/>
      </w:divBdr>
    </w:div>
    <w:div w:id="1914466128">
      <w:bodyDiv w:val="1"/>
      <w:marLeft w:val="0"/>
      <w:marRight w:val="0"/>
      <w:marTop w:val="0"/>
      <w:marBottom w:val="0"/>
      <w:divBdr>
        <w:top w:val="none" w:sz="0" w:space="0" w:color="auto"/>
        <w:left w:val="none" w:sz="0" w:space="0" w:color="auto"/>
        <w:bottom w:val="none" w:sz="0" w:space="0" w:color="auto"/>
        <w:right w:val="none" w:sz="0" w:space="0" w:color="auto"/>
      </w:divBdr>
    </w:div>
    <w:div w:id="2146269012">
      <w:bodyDiv w:val="1"/>
      <w:marLeft w:val="0"/>
      <w:marRight w:val="0"/>
      <w:marTop w:val="0"/>
      <w:marBottom w:val="0"/>
      <w:divBdr>
        <w:top w:val="none" w:sz="0" w:space="0" w:color="auto"/>
        <w:left w:val="none" w:sz="0" w:space="0" w:color="auto"/>
        <w:bottom w:val="none" w:sz="0" w:space="0" w:color="auto"/>
        <w:right w:val="none" w:sz="0" w:space="0" w:color="auto"/>
      </w:divBdr>
      <w:divsChild>
        <w:div w:id="1866066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NSW18</b:Tag>
    <b:SourceType>Report</b:SourceType>
    <b:Guid>{D7D41BED-A317-4F77-8411-FD5A6CF54791}</b:Guid>
    <b:Author>
      <b:Author>
        <b:Corporate>NSW Ministry of Health</b:Corporate>
      </b:Author>
    </b:Author>
    <b:Title>NSW Clinical Guidelines: Treatment of Opioid Dependence - 2018</b:Title>
    <b:Year>2018</b:Year>
    <b:URL>https://www.health.nsw.gov.au/aod/Publications/nsw-clinical-guidelines-opioid.pdf</b:URL>
    <b:Publisher>NSW Ministry of Health</b:Publisher>
    <b:City>Sydney</b:City>
    <b:RefOrder>10</b:RefOrder>
  </b:Source>
  <b:Source>
    <b:Tag>Ros13</b:Tag>
    <b:SourceType>JournalArticle</b:SourceType>
    <b:Guid>{917BCC91-FD01-4310-9DA6-11990F7A1BF8}</b:Guid>
    <b:Author>
      <b:Author>
        <b:NameList>
          <b:Person>
            <b:Last>Rosenthal</b:Last>
            <b:First>RN</b:First>
          </b:Person>
          <b:Person>
            <b:Last>Ling</b:Last>
            <b:First>W</b:First>
          </b:Person>
          <b:Person>
            <b:Last>Casadonte</b:Last>
            <b:First>P</b:First>
          </b:Person>
          <b:Person>
            <b:Last>Vocci</b:Last>
            <b:First>F</b:First>
          </b:Person>
          <b:Person>
            <b:Last>Bailey</b:Last>
            <b:First>GL</b:First>
          </b:Person>
        </b:NameList>
      </b:Author>
    </b:Author>
    <b:Title>Buprenorphine implants for treatment of opioid dependence: randomized comparison to placebo and sublingual buprenorphine/naloxone</b:Title>
    <b:JournalName>Addiction</b:JournalName>
    <b:Year>2013</b:Year>
    <b:Pages>2141–2149</b:Pages>
    <b:Volume>108</b:Volume>
    <b:RefOrder>63</b:RefOrder>
  </b:Source>
  <b:Source>
    <b:Tag>Lof18</b:Tag>
    <b:SourceType>JournalArticle</b:SourceType>
    <b:Guid>{6809915C-780C-42B9-A6B1-D359D467F9E6}</b:Guid>
    <b:Title>Weekly and Monthly Subcutaneous Buprenorphine Depot Formulations vs Daily Sublingual Buprenorphine With Naloxone for Treatment of Opioid Use Disorder: A Randomized Clinical Trial</b:Title>
    <b:Year>2018</b:Year>
    <b:LCID>en-AU</b:LCID>
    <b:Author>
      <b:Author>
        <b:NameList>
          <b:Person>
            <b:Last>Lofwall MR</b:Last>
            <b:First>Walsh</b:First>
            <b:Middle>SL, Nunes EV, Bailey GL, Sigmon SC, Kampman KM, et al</b:Middle>
          </b:Person>
        </b:NameList>
      </b:Author>
    </b:Author>
    <b:JournalName>JAMA Intern Med</b:JournalName>
    <b:Pages>764-773</b:Pages>
    <b:Volume>178</b:Volume>
    <b:Issue>6</b:Issue>
    <b:RefOrder>62</b:RefOrder>
  </b:Source>
  <b:Source>
    <b:Tag>AIH188</b:Tag>
    <b:SourceType>DocumentFromInternetSite</b:SourceType>
    <b:Guid>{5009B767-50E2-4BBD-83A4-7B07A35D8525}</b:Guid>
    <b:Title>National opioid pharmacotherapy statistics (NOPSAD) 2017</b:Title>
    <b:Year>2018</b:Year>
    <b:InternetSiteTitle>Australian Institute of Health and Welfare</b:InternetSiteTitle>
    <b:Month>April</b:Month>
    <b:Day>09</b:Day>
    <b:URL>https://www.aihw.gov.au/reports/alcohol-other-drug-treatment-services/nopsad-2017/contents/summary</b:URL>
    <b:Author>
      <b:Author>
        <b:NameList>
          <b:Person>
            <b:Last>AIHW</b:Last>
          </b:Person>
        </b:NameList>
      </b:Author>
    </b:Author>
    <b:RefOrder>35</b:RefOrder>
  </b:Source>
</b:Sources>
</file>

<file path=customXml/itemProps1.xml><?xml version="1.0" encoding="utf-8"?>
<ds:datastoreItem xmlns:ds="http://schemas.openxmlformats.org/officeDocument/2006/customXml" ds:itemID="{292D0C99-3935-491A-AF93-A474C3B4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8750</Words>
  <Characters>50383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2019-06-24T00:59:00Z</dcterms:created>
  <dcterms:modified xsi:type="dcterms:W3CDTF">2019-07-15T01:02:00Z</dcterms:modified>
</cp:coreProperties>
</file>