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7C652F" w:rsidRDefault="00CC3FA5" w:rsidP="00CB799E">
      <w:pPr>
        <w:pStyle w:val="Title"/>
        <w:spacing w:before="120" w:after="160"/>
        <w:ind w:left="720" w:hanging="720"/>
        <w:rPr>
          <w:rFonts w:asciiTheme="minorHAnsi" w:hAnsiTheme="minorHAnsi"/>
          <w:sz w:val="36"/>
          <w:szCs w:val="36"/>
        </w:rPr>
      </w:pPr>
      <w:bookmarkStart w:id="0" w:name="_GoBack"/>
      <w:bookmarkEnd w:id="0"/>
      <w:r w:rsidRPr="007C652F">
        <w:rPr>
          <w:rFonts w:asciiTheme="minorHAnsi" w:hAnsiTheme="minorHAnsi"/>
          <w:sz w:val="36"/>
          <w:szCs w:val="36"/>
        </w:rPr>
        <w:t>7</w:t>
      </w:r>
      <w:r w:rsidR="006D6493" w:rsidRPr="007C652F">
        <w:rPr>
          <w:rFonts w:asciiTheme="minorHAnsi" w:hAnsiTheme="minorHAnsi"/>
          <w:sz w:val="36"/>
          <w:szCs w:val="36"/>
        </w:rPr>
        <w:t>.</w:t>
      </w:r>
      <w:r w:rsidRPr="007C652F">
        <w:rPr>
          <w:rFonts w:asciiTheme="minorHAnsi" w:hAnsiTheme="minorHAnsi"/>
          <w:sz w:val="36"/>
          <w:szCs w:val="36"/>
        </w:rPr>
        <w:t>15</w:t>
      </w:r>
      <w:r w:rsidR="006D6493" w:rsidRPr="007C652F">
        <w:rPr>
          <w:rFonts w:asciiTheme="minorHAnsi" w:hAnsiTheme="minorHAnsi"/>
          <w:sz w:val="36"/>
          <w:szCs w:val="36"/>
        </w:rPr>
        <w:tab/>
      </w:r>
      <w:r w:rsidRPr="007C652F">
        <w:rPr>
          <w:rFonts w:asciiTheme="minorHAnsi" w:hAnsiTheme="minorHAnsi"/>
          <w:sz w:val="36"/>
          <w:szCs w:val="36"/>
        </w:rPr>
        <w:t>BUDESONIDE</w:t>
      </w:r>
      <w:r w:rsidR="006D6493" w:rsidRPr="007C652F">
        <w:rPr>
          <w:rFonts w:asciiTheme="minorHAnsi" w:hAnsiTheme="minorHAnsi"/>
          <w:sz w:val="36"/>
          <w:szCs w:val="36"/>
        </w:rPr>
        <w:br/>
      </w:r>
      <w:r w:rsidRPr="007C652F">
        <w:rPr>
          <w:rFonts w:asciiTheme="minorHAnsi" w:hAnsiTheme="minorHAnsi"/>
          <w:sz w:val="36"/>
          <w:szCs w:val="36"/>
        </w:rPr>
        <w:t>Capsule (modified release) 3 mg</w:t>
      </w:r>
      <w:r w:rsidR="006D6493" w:rsidRPr="007C652F">
        <w:rPr>
          <w:rFonts w:asciiTheme="minorHAnsi" w:hAnsiTheme="minorHAnsi"/>
          <w:sz w:val="36"/>
          <w:szCs w:val="36"/>
        </w:rPr>
        <w:t xml:space="preserve">, </w:t>
      </w:r>
      <w:r w:rsidR="006D6493" w:rsidRPr="007C652F">
        <w:rPr>
          <w:rFonts w:asciiTheme="minorHAnsi" w:hAnsiTheme="minorHAnsi"/>
          <w:sz w:val="36"/>
          <w:szCs w:val="36"/>
        </w:rPr>
        <w:br/>
      </w:r>
      <w:r w:rsidRPr="007C652F">
        <w:rPr>
          <w:rFonts w:asciiTheme="minorHAnsi" w:hAnsiTheme="minorHAnsi"/>
          <w:sz w:val="36"/>
          <w:szCs w:val="36"/>
        </w:rPr>
        <w:t>Entocort</w:t>
      </w:r>
      <w:r w:rsidR="006D6493" w:rsidRPr="007C652F">
        <w:rPr>
          <w:rFonts w:asciiTheme="minorHAnsi" w:hAnsiTheme="minorHAnsi"/>
          <w:sz w:val="36"/>
          <w:szCs w:val="36"/>
          <w:vertAlign w:val="superscript"/>
        </w:rPr>
        <w:t>®</w:t>
      </w:r>
      <w:r w:rsidR="006D6493" w:rsidRPr="007C652F">
        <w:rPr>
          <w:rFonts w:asciiTheme="minorHAnsi" w:hAnsiTheme="minorHAnsi"/>
          <w:sz w:val="36"/>
          <w:szCs w:val="36"/>
        </w:rPr>
        <w:t>,</w:t>
      </w:r>
      <w:r w:rsidR="001F5C4D">
        <w:rPr>
          <w:rFonts w:asciiTheme="minorHAnsi" w:hAnsiTheme="minorHAnsi"/>
          <w:sz w:val="36"/>
          <w:szCs w:val="36"/>
        </w:rPr>
        <w:t xml:space="preserve"> </w:t>
      </w:r>
      <w:r w:rsidRPr="007C652F">
        <w:rPr>
          <w:rFonts w:asciiTheme="minorHAnsi" w:hAnsiTheme="minorHAnsi"/>
          <w:sz w:val="36"/>
          <w:szCs w:val="36"/>
        </w:rPr>
        <w:t>Emerge Health Pty Ltd</w:t>
      </w:r>
    </w:p>
    <w:p w:rsidR="008A50F1" w:rsidRPr="007C652F" w:rsidRDefault="00CE10C4" w:rsidP="00370FF0">
      <w:pPr>
        <w:pStyle w:val="PBACHeading1"/>
        <w:spacing w:before="240" w:after="120"/>
        <w:ind w:left="709" w:hanging="709"/>
        <w:rPr>
          <w:rFonts w:asciiTheme="minorHAnsi" w:hAnsiTheme="minorHAnsi"/>
          <w:sz w:val="32"/>
          <w:szCs w:val="32"/>
        </w:rPr>
      </w:pPr>
      <w:r w:rsidRPr="007C652F">
        <w:rPr>
          <w:rFonts w:asciiTheme="minorHAnsi" w:hAnsiTheme="minorHAnsi"/>
          <w:sz w:val="32"/>
          <w:szCs w:val="32"/>
        </w:rPr>
        <w:t xml:space="preserve">Purpose of </w:t>
      </w:r>
      <w:r w:rsidR="0004240E" w:rsidRPr="007C652F">
        <w:rPr>
          <w:rFonts w:asciiTheme="minorHAnsi" w:hAnsiTheme="minorHAnsi"/>
          <w:sz w:val="32"/>
          <w:szCs w:val="32"/>
        </w:rPr>
        <w:t>Application</w:t>
      </w:r>
    </w:p>
    <w:p w:rsidR="00E2558D" w:rsidRPr="007C652F" w:rsidRDefault="00EF44A0" w:rsidP="00370FF0">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The mi</w:t>
      </w:r>
      <w:r w:rsidR="00FF2801" w:rsidRPr="007C652F">
        <w:rPr>
          <w:rFonts w:asciiTheme="minorHAnsi" w:eastAsiaTheme="minorHAnsi" w:hAnsiTheme="minorHAnsi" w:cstheme="minorBidi"/>
          <w:snapToGrid/>
          <w:sz w:val="24"/>
          <w:szCs w:val="22"/>
        </w:rPr>
        <w:t xml:space="preserve">nor </w:t>
      </w:r>
      <w:r w:rsidR="00CC3FA5" w:rsidRPr="007C652F">
        <w:rPr>
          <w:rFonts w:asciiTheme="minorHAnsi" w:eastAsiaTheme="minorHAnsi" w:hAnsiTheme="minorHAnsi" w:cstheme="minorBidi"/>
          <w:snapToGrid/>
          <w:sz w:val="24"/>
          <w:szCs w:val="22"/>
        </w:rPr>
        <w:t>re</w:t>
      </w:r>
      <w:r w:rsidR="00FF2801" w:rsidRPr="007C652F">
        <w:rPr>
          <w:rFonts w:asciiTheme="minorHAnsi" w:eastAsiaTheme="minorHAnsi" w:hAnsiTheme="minorHAnsi" w:cstheme="minorBidi"/>
          <w:snapToGrid/>
          <w:sz w:val="24"/>
          <w:szCs w:val="22"/>
        </w:rPr>
        <w:t xml:space="preserve">submission </w:t>
      </w:r>
      <w:r w:rsidR="0082422F" w:rsidRPr="007C652F">
        <w:rPr>
          <w:rFonts w:asciiTheme="minorHAnsi" w:eastAsiaTheme="minorHAnsi" w:hAnsiTheme="minorHAnsi" w:cstheme="minorBidi"/>
          <w:snapToGrid/>
          <w:sz w:val="24"/>
          <w:szCs w:val="22"/>
        </w:rPr>
        <w:t>sought an</w:t>
      </w:r>
      <w:r w:rsidR="00CC3FA5" w:rsidRPr="007C652F">
        <w:rPr>
          <w:rFonts w:asciiTheme="minorHAnsi" w:eastAsiaTheme="minorHAnsi" w:hAnsiTheme="minorHAnsi" w:cstheme="minorBidi"/>
          <w:snapToGrid/>
          <w:sz w:val="24"/>
          <w:szCs w:val="22"/>
        </w:rPr>
        <w:t xml:space="preserve"> Authority Required (STREAMLINED) listing </w:t>
      </w:r>
      <w:r w:rsidR="00290FDF" w:rsidRPr="007C652F">
        <w:rPr>
          <w:rFonts w:asciiTheme="minorHAnsi" w:eastAsiaTheme="minorHAnsi" w:hAnsiTheme="minorHAnsi" w:cstheme="minorBidi"/>
          <w:snapToGrid/>
          <w:sz w:val="24"/>
          <w:szCs w:val="22"/>
        </w:rPr>
        <w:t xml:space="preserve">for budesonide </w:t>
      </w:r>
      <w:r w:rsidR="00290FDF" w:rsidRPr="007C652F">
        <w:rPr>
          <w:rFonts w:asciiTheme="minorHAnsi" w:hAnsiTheme="minorHAnsi"/>
          <w:sz w:val="24"/>
          <w:szCs w:val="22"/>
        </w:rPr>
        <w:t xml:space="preserve">controlled ileal release capsules (budesonide from herein) </w:t>
      </w:r>
      <w:r w:rsidR="00CC3FA5" w:rsidRPr="007C652F">
        <w:rPr>
          <w:rFonts w:asciiTheme="minorHAnsi" w:eastAsiaTheme="minorHAnsi" w:hAnsiTheme="minorHAnsi" w:cstheme="minorBidi"/>
          <w:snapToGrid/>
          <w:sz w:val="24"/>
          <w:szCs w:val="22"/>
        </w:rPr>
        <w:t xml:space="preserve">for the treatment of patients with mild to moderate Crohn’s disease affecting the ileum and/or ascending colon. </w:t>
      </w:r>
    </w:p>
    <w:p w:rsidR="00091398" w:rsidRPr="007C652F" w:rsidRDefault="00083D3D" w:rsidP="00370FF0">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In July 2018, t</w:t>
      </w:r>
      <w:r w:rsidR="00841C0C" w:rsidRPr="007C652F">
        <w:rPr>
          <w:rFonts w:asciiTheme="minorHAnsi" w:eastAsiaTheme="minorHAnsi" w:hAnsiTheme="minorHAnsi" w:cstheme="minorBidi"/>
          <w:snapToGrid/>
          <w:sz w:val="24"/>
          <w:szCs w:val="22"/>
        </w:rPr>
        <w:t xml:space="preserve">he PBAC recommended the listing of budesonide </w:t>
      </w:r>
      <w:r w:rsidRPr="007C652F">
        <w:rPr>
          <w:rFonts w:asciiTheme="minorHAnsi" w:eastAsiaTheme="minorHAnsi" w:hAnsiTheme="minorHAnsi" w:cstheme="minorBidi"/>
          <w:snapToGrid/>
          <w:sz w:val="24"/>
          <w:szCs w:val="22"/>
        </w:rPr>
        <w:t>for this indication based on the</w:t>
      </w:r>
      <w:r w:rsidR="00841C0C" w:rsidRPr="007C652F">
        <w:rPr>
          <w:rFonts w:asciiTheme="minorHAnsi" w:eastAsiaTheme="minorHAnsi" w:hAnsiTheme="minorHAnsi" w:cstheme="minorBidi"/>
          <w:snapToGrid/>
          <w:sz w:val="24"/>
          <w:szCs w:val="22"/>
        </w:rPr>
        <w:t xml:space="preserve"> mixed comparator of mesalazine and prednisolone</w:t>
      </w:r>
      <w:r w:rsidR="00E2558D" w:rsidRPr="007C652F">
        <w:rPr>
          <w:rFonts w:asciiTheme="minorHAnsi" w:eastAsiaTheme="minorHAnsi" w:hAnsiTheme="minorHAnsi" w:cstheme="minorBidi"/>
          <w:snapToGrid/>
          <w:sz w:val="24"/>
          <w:szCs w:val="22"/>
        </w:rPr>
        <w:t>. Wh</w:t>
      </w:r>
      <w:r w:rsidR="00841C0C" w:rsidRPr="007C652F">
        <w:rPr>
          <w:rFonts w:asciiTheme="minorHAnsi" w:eastAsiaTheme="minorHAnsi" w:hAnsiTheme="minorHAnsi" w:cstheme="minorBidi"/>
          <w:snapToGrid/>
          <w:sz w:val="24"/>
          <w:szCs w:val="22"/>
        </w:rPr>
        <w:t>ile the PBAC accepted the mixed comparator, it did not accept the proposed weighting</w:t>
      </w:r>
      <w:r w:rsidR="00E2558D" w:rsidRPr="007C652F">
        <w:rPr>
          <w:rFonts w:asciiTheme="minorHAnsi" w:eastAsiaTheme="minorHAnsi" w:hAnsiTheme="minorHAnsi" w:cstheme="minorBidi"/>
          <w:snapToGrid/>
          <w:sz w:val="24"/>
          <w:szCs w:val="22"/>
        </w:rPr>
        <w:t xml:space="preserve"> of mesalazine</w:t>
      </w:r>
      <w:r w:rsidR="00166B6F" w:rsidRPr="007C652F">
        <w:rPr>
          <w:rFonts w:asciiTheme="minorHAnsi" w:eastAsiaTheme="minorHAnsi" w:hAnsiTheme="minorHAnsi" w:cstheme="minorBidi"/>
          <w:snapToGrid/>
          <w:sz w:val="24"/>
          <w:szCs w:val="22"/>
        </w:rPr>
        <w:t xml:space="preserve"> (</w:t>
      </w:r>
      <w:r w:rsidR="0059576F">
        <w:rPr>
          <w:rFonts w:asciiTheme="minorHAnsi" w:eastAsiaTheme="minorHAnsi" w:hAnsiTheme="minorHAnsi" w:cstheme="minorBidi"/>
          <w:noProof/>
          <w:snapToGrid/>
          <w:color w:val="000000"/>
          <w:sz w:val="24"/>
          <w:szCs w:val="22"/>
          <w:highlight w:val="black"/>
        </w:rPr>
        <w:t>''''''''</w:t>
      </w:r>
      <w:r w:rsidR="00166B6F" w:rsidRPr="007C652F">
        <w:rPr>
          <w:rFonts w:asciiTheme="minorHAnsi" w:eastAsiaTheme="minorHAnsi" w:hAnsiTheme="minorHAnsi" w:cstheme="minorBidi"/>
          <w:snapToGrid/>
          <w:sz w:val="24"/>
          <w:szCs w:val="22"/>
        </w:rPr>
        <w:t>%)</w:t>
      </w:r>
      <w:r w:rsidR="00E2558D" w:rsidRPr="007C652F">
        <w:rPr>
          <w:rFonts w:asciiTheme="minorHAnsi" w:eastAsiaTheme="minorHAnsi" w:hAnsiTheme="minorHAnsi" w:cstheme="minorBidi"/>
          <w:snapToGrid/>
          <w:sz w:val="24"/>
          <w:szCs w:val="22"/>
        </w:rPr>
        <w:t xml:space="preserve"> and prednisolone</w:t>
      </w:r>
      <w:r w:rsidR="00166B6F" w:rsidRPr="007C652F">
        <w:rPr>
          <w:rFonts w:asciiTheme="minorHAnsi" w:eastAsiaTheme="minorHAnsi" w:hAnsiTheme="minorHAnsi" w:cstheme="minorBidi"/>
          <w:snapToGrid/>
          <w:sz w:val="24"/>
          <w:szCs w:val="22"/>
        </w:rPr>
        <w:t xml:space="preserve"> (</w:t>
      </w:r>
      <w:r w:rsidR="0059576F">
        <w:rPr>
          <w:rFonts w:asciiTheme="minorHAnsi" w:eastAsiaTheme="minorHAnsi" w:hAnsiTheme="minorHAnsi" w:cstheme="minorBidi"/>
          <w:noProof/>
          <w:snapToGrid/>
          <w:color w:val="000000"/>
          <w:sz w:val="24"/>
          <w:szCs w:val="22"/>
          <w:highlight w:val="black"/>
        </w:rPr>
        <w:t>''''''''</w:t>
      </w:r>
      <w:r w:rsidR="00166B6F" w:rsidRPr="007C652F">
        <w:rPr>
          <w:rFonts w:asciiTheme="minorHAnsi" w:eastAsiaTheme="minorHAnsi" w:hAnsiTheme="minorHAnsi" w:cstheme="minorBidi"/>
          <w:snapToGrid/>
          <w:sz w:val="24"/>
          <w:szCs w:val="22"/>
        </w:rPr>
        <w:t xml:space="preserve">%) </w:t>
      </w:r>
      <w:r w:rsidR="00E2558D" w:rsidRPr="007C652F">
        <w:rPr>
          <w:rFonts w:asciiTheme="minorHAnsi" w:eastAsiaTheme="minorHAnsi" w:hAnsiTheme="minorHAnsi" w:cstheme="minorBidi"/>
          <w:snapToGrid/>
          <w:sz w:val="24"/>
          <w:szCs w:val="22"/>
        </w:rPr>
        <w:t>to calculate the price for budesonide</w:t>
      </w:r>
      <w:r w:rsidR="00EA2425" w:rsidRPr="007C652F">
        <w:rPr>
          <w:rFonts w:asciiTheme="minorHAnsi" w:eastAsiaTheme="minorHAnsi" w:hAnsiTheme="minorHAnsi" w:cstheme="minorBidi"/>
          <w:snapToGrid/>
          <w:sz w:val="24"/>
          <w:szCs w:val="22"/>
        </w:rPr>
        <w:t xml:space="preserve"> and instead considered that a weighting that allows for </w:t>
      </w:r>
      <w:r w:rsidR="00EA2425" w:rsidRPr="006533E4">
        <w:rPr>
          <w:rFonts w:asciiTheme="minorHAnsi" w:eastAsiaTheme="minorHAnsi" w:hAnsiTheme="minorHAnsi" w:cstheme="minorBidi"/>
          <w:snapToGrid/>
          <w:sz w:val="24"/>
          <w:szCs w:val="22"/>
        </w:rPr>
        <w:t>one-fifth</w:t>
      </w:r>
      <w:r w:rsidR="00EA2425" w:rsidRPr="007C652F">
        <w:rPr>
          <w:rFonts w:asciiTheme="minorHAnsi" w:eastAsiaTheme="minorHAnsi" w:hAnsiTheme="minorHAnsi" w:cstheme="minorBidi"/>
          <w:snapToGrid/>
          <w:sz w:val="24"/>
          <w:szCs w:val="22"/>
        </w:rPr>
        <w:t xml:space="preserve"> to </w:t>
      </w:r>
      <w:r w:rsidR="00EA2425" w:rsidRPr="006533E4">
        <w:rPr>
          <w:rFonts w:asciiTheme="minorHAnsi" w:eastAsiaTheme="minorHAnsi" w:hAnsiTheme="minorHAnsi" w:cstheme="minorBidi"/>
          <w:snapToGrid/>
          <w:sz w:val="24"/>
          <w:szCs w:val="22"/>
        </w:rPr>
        <w:t>one quarter</w:t>
      </w:r>
      <w:r w:rsidR="00EA2425" w:rsidRPr="007C652F">
        <w:rPr>
          <w:rFonts w:asciiTheme="minorHAnsi" w:eastAsiaTheme="minorHAnsi" w:hAnsiTheme="minorHAnsi" w:cstheme="minorBidi"/>
          <w:snapToGrid/>
          <w:sz w:val="24"/>
          <w:szCs w:val="22"/>
        </w:rPr>
        <w:t xml:space="preserve"> of mesalazine is more appropriate</w:t>
      </w:r>
      <w:r w:rsidR="00841C0C" w:rsidRPr="007C652F">
        <w:rPr>
          <w:rFonts w:asciiTheme="minorHAnsi" w:eastAsiaTheme="minorHAnsi" w:hAnsiTheme="minorHAnsi" w:cstheme="minorBidi"/>
          <w:snapToGrid/>
          <w:sz w:val="24"/>
          <w:szCs w:val="22"/>
        </w:rPr>
        <w:t xml:space="preserve">. </w:t>
      </w:r>
    </w:p>
    <w:p w:rsidR="006A12A5" w:rsidRPr="007C652F" w:rsidRDefault="00091398" w:rsidP="00370FF0">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 xml:space="preserve">The basis of the minor resubmission’s request was </w:t>
      </w:r>
      <w:r w:rsidR="00DE6675" w:rsidRPr="007C652F">
        <w:rPr>
          <w:rFonts w:asciiTheme="minorHAnsi" w:eastAsiaTheme="minorHAnsi" w:hAnsiTheme="minorHAnsi" w:cstheme="minorBidi"/>
          <w:snapToGrid/>
          <w:sz w:val="24"/>
          <w:szCs w:val="22"/>
        </w:rPr>
        <w:t xml:space="preserve">to update the </w:t>
      </w:r>
      <w:r w:rsidRPr="007C652F">
        <w:rPr>
          <w:rFonts w:asciiTheme="minorHAnsi" w:eastAsiaTheme="minorHAnsi" w:hAnsiTheme="minorHAnsi" w:cstheme="minorBidi"/>
          <w:snapToGrid/>
          <w:sz w:val="24"/>
          <w:szCs w:val="22"/>
        </w:rPr>
        <w:t xml:space="preserve">weighting of </w:t>
      </w:r>
      <w:r w:rsidR="003D39C2" w:rsidRPr="007C652F">
        <w:rPr>
          <w:rFonts w:asciiTheme="minorHAnsi" w:eastAsiaTheme="minorHAnsi" w:hAnsiTheme="minorHAnsi" w:cstheme="minorBidi"/>
          <w:snapToGrid/>
          <w:sz w:val="24"/>
          <w:szCs w:val="22"/>
        </w:rPr>
        <w:t>the</w:t>
      </w:r>
      <w:r w:rsidRPr="007C652F">
        <w:rPr>
          <w:rFonts w:asciiTheme="minorHAnsi" w:eastAsiaTheme="minorHAnsi" w:hAnsiTheme="minorHAnsi" w:cstheme="minorBidi"/>
          <w:snapToGrid/>
          <w:sz w:val="24"/>
          <w:szCs w:val="22"/>
        </w:rPr>
        <w:t xml:space="preserve"> mixed comparator</w:t>
      </w:r>
      <w:r w:rsidR="00DE6675" w:rsidRPr="007C652F">
        <w:rPr>
          <w:rFonts w:asciiTheme="minorHAnsi" w:eastAsiaTheme="minorHAnsi" w:hAnsiTheme="minorHAnsi" w:cstheme="minorBidi"/>
          <w:snapToGrid/>
          <w:sz w:val="24"/>
          <w:szCs w:val="22"/>
        </w:rPr>
        <w:t xml:space="preserve"> </w:t>
      </w:r>
      <w:r w:rsidR="00496F16" w:rsidRPr="007C652F">
        <w:rPr>
          <w:rFonts w:asciiTheme="minorHAnsi" w:eastAsiaTheme="minorHAnsi" w:hAnsiTheme="minorHAnsi" w:cstheme="minorBidi"/>
          <w:snapToGrid/>
          <w:sz w:val="24"/>
          <w:szCs w:val="22"/>
        </w:rPr>
        <w:t>of mesalazine and prednisolone</w:t>
      </w:r>
      <w:r w:rsidR="00DE6675" w:rsidRPr="007C652F">
        <w:rPr>
          <w:rFonts w:asciiTheme="minorHAnsi" w:eastAsiaTheme="minorHAnsi" w:hAnsiTheme="minorHAnsi" w:cstheme="minorBidi"/>
          <w:snapToGrid/>
          <w:sz w:val="24"/>
          <w:szCs w:val="22"/>
        </w:rPr>
        <w:t xml:space="preserve"> </w:t>
      </w:r>
      <w:r w:rsidR="002E62D2" w:rsidRPr="007C652F">
        <w:rPr>
          <w:rFonts w:asciiTheme="minorHAnsi" w:eastAsiaTheme="minorHAnsi" w:hAnsiTheme="minorHAnsi" w:cstheme="minorBidi"/>
          <w:snapToGrid/>
          <w:sz w:val="24"/>
          <w:szCs w:val="22"/>
        </w:rPr>
        <w:t xml:space="preserve">to </w:t>
      </w:r>
      <w:r w:rsidR="0059576F">
        <w:rPr>
          <w:rFonts w:asciiTheme="minorHAnsi" w:eastAsiaTheme="minorHAnsi" w:hAnsiTheme="minorHAnsi" w:cstheme="minorBidi"/>
          <w:noProof/>
          <w:snapToGrid/>
          <w:color w:val="000000"/>
          <w:sz w:val="24"/>
          <w:szCs w:val="22"/>
          <w:highlight w:val="black"/>
        </w:rPr>
        <w:t>''''''''</w:t>
      </w:r>
      <w:r w:rsidR="002E62D2" w:rsidRPr="007C652F">
        <w:rPr>
          <w:rFonts w:asciiTheme="minorHAnsi" w:eastAsiaTheme="minorHAnsi" w:hAnsiTheme="minorHAnsi" w:cstheme="minorBidi"/>
          <w:snapToGrid/>
          <w:sz w:val="24"/>
          <w:szCs w:val="22"/>
        </w:rPr>
        <w:t xml:space="preserve">% and </w:t>
      </w:r>
      <w:r w:rsidR="0059576F">
        <w:rPr>
          <w:rFonts w:asciiTheme="minorHAnsi" w:eastAsiaTheme="minorHAnsi" w:hAnsiTheme="minorHAnsi" w:cstheme="minorBidi"/>
          <w:noProof/>
          <w:snapToGrid/>
          <w:color w:val="000000"/>
          <w:sz w:val="24"/>
          <w:szCs w:val="22"/>
          <w:highlight w:val="black"/>
        </w:rPr>
        <w:t>''''''''</w:t>
      </w:r>
      <w:r w:rsidR="002E62D2" w:rsidRPr="007C652F">
        <w:rPr>
          <w:rFonts w:asciiTheme="minorHAnsi" w:eastAsiaTheme="minorHAnsi" w:hAnsiTheme="minorHAnsi" w:cstheme="minorBidi"/>
          <w:snapToGrid/>
          <w:sz w:val="24"/>
          <w:szCs w:val="22"/>
        </w:rPr>
        <w:t xml:space="preserve">% respectively, </w:t>
      </w:r>
      <w:r w:rsidR="00DE6675" w:rsidRPr="007C652F">
        <w:rPr>
          <w:rFonts w:asciiTheme="minorHAnsi" w:eastAsiaTheme="minorHAnsi" w:hAnsiTheme="minorHAnsi" w:cstheme="minorBidi"/>
          <w:snapToGrid/>
          <w:sz w:val="24"/>
          <w:szCs w:val="22"/>
        </w:rPr>
        <w:t>using BEACH and NPS data</w:t>
      </w:r>
      <w:r w:rsidR="00496F16" w:rsidRPr="007C652F">
        <w:rPr>
          <w:rFonts w:asciiTheme="minorHAnsi" w:eastAsiaTheme="minorHAnsi" w:hAnsiTheme="minorHAnsi" w:cstheme="minorBidi"/>
          <w:snapToGrid/>
          <w:sz w:val="24"/>
          <w:szCs w:val="22"/>
        </w:rPr>
        <w:t xml:space="preserve"> </w:t>
      </w:r>
      <w:r w:rsidRPr="007C652F">
        <w:rPr>
          <w:rFonts w:asciiTheme="minorHAnsi" w:eastAsiaTheme="minorHAnsi" w:hAnsiTheme="minorHAnsi" w:cstheme="minorBidi"/>
          <w:snapToGrid/>
          <w:sz w:val="24"/>
          <w:szCs w:val="22"/>
        </w:rPr>
        <w:t>for pricing purposes</w:t>
      </w:r>
      <w:r w:rsidR="008076CA" w:rsidRPr="007C652F">
        <w:rPr>
          <w:rFonts w:asciiTheme="minorHAnsi" w:eastAsiaTheme="minorHAnsi" w:hAnsiTheme="minorHAnsi" w:cstheme="minorBidi"/>
          <w:snapToGrid/>
          <w:sz w:val="24"/>
          <w:szCs w:val="22"/>
        </w:rPr>
        <w:t>.</w:t>
      </w:r>
      <w:r w:rsidRPr="007C652F">
        <w:rPr>
          <w:rFonts w:asciiTheme="minorHAnsi" w:eastAsiaTheme="minorHAnsi" w:hAnsiTheme="minorHAnsi" w:cstheme="minorBidi"/>
          <w:snapToGrid/>
          <w:sz w:val="24"/>
          <w:szCs w:val="22"/>
        </w:rPr>
        <w:t xml:space="preserve"> </w:t>
      </w:r>
    </w:p>
    <w:p w:rsidR="006A12A5" w:rsidRPr="007C652F" w:rsidRDefault="006A12A5" w:rsidP="00370FF0">
      <w:pPr>
        <w:pStyle w:val="PBACHeading1"/>
        <w:spacing w:before="240" w:after="120"/>
        <w:ind w:left="709" w:hanging="709"/>
        <w:rPr>
          <w:rFonts w:asciiTheme="minorHAnsi" w:hAnsiTheme="minorHAnsi"/>
          <w:sz w:val="32"/>
          <w:szCs w:val="32"/>
        </w:rPr>
      </w:pPr>
      <w:r w:rsidRPr="007C652F">
        <w:rPr>
          <w:rFonts w:asciiTheme="minorHAnsi" w:hAnsiTheme="minorHAnsi"/>
          <w:sz w:val="32"/>
          <w:szCs w:val="32"/>
        </w:rPr>
        <w:t>Requested listing</w:t>
      </w:r>
    </w:p>
    <w:p w:rsidR="00E77BA8" w:rsidRPr="007C652F" w:rsidRDefault="00E77BA8" w:rsidP="00370FF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 xml:space="preserve">The resubmission requested the following listing based on advice provided by the PBAC at the July 2018 meeting. </w:t>
      </w:r>
    </w:p>
    <w:p w:rsidR="0067747D" w:rsidRDefault="0067747D" w:rsidP="00370FF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tbl>
      <w:tblPr>
        <w:tblW w:w="4915" w:type="pct"/>
        <w:tblLook w:val="0000" w:firstRow="0" w:lastRow="0" w:firstColumn="0" w:lastColumn="0" w:noHBand="0" w:noVBand="0"/>
      </w:tblPr>
      <w:tblGrid>
        <w:gridCol w:w="1901"/>
        <w:gridCol w:w="1335"/>
        <w:gridCol w:w="717"/>
        <w:gridCol w:w="867"/>
        <w:gridCol w:w="1589"/>
        <w:gridCol w:w="949"/>
        <w:gridCol w:w="1509"/>
        <w:gridCol w:w="6"/>
      </w:tblGrid>
      <w:tr w:rsidR="00D25A01" w:rsidRPr="007C652F" w:rsidTr="00E77BA8">
        <w:trPr>
          <w:cantSplit/>
          <w:trHeight w:val="465"/>
        </w:trPr>
        <w:tc>
          <w:tcPr>
            <w:tcW w:w="1829" w:type="pct"/>
            <w:gridSpan w:val="2"/>
            <w:tcBorders>
              <w:bottom w:val="single" w:sz="4" w:space="0" w:color="auto"/>
            </w:tcBorders>
          </w:tcPr>
          <w:p w:rsidR="00826F6D" w:rsidRPr="007C652F" w:rsidRDefault="00826F6D"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lastRenderedPageBreak/>
              <w:t>Name, Restriction,</w:t>
            </w:r>
          </w:p>
          <w:p w:rsidR="00826F6D" w:rsidRPr="007C652F" w:rsidRDefault="00826F6D"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Manner of administration and form</w:t>
            </w:r>
          </w:p>
        </w:tc>
        <w:tc>
          <w:tcPr>
            <w:tcW w:w="406" w:type="pct"/>
            <w:tcBorders>
              <w:bottom w:val="single" w:sz="4" w:space="0" w:color="auto"/>
            </w:tcBorders>
          </w:tcPr>
          <w:p w:rsidR="00826F6D" w:rsidRPr="007C652F" w:rsidRDefault="00826F6D"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Max.</w:t>
            </w:r>
          </w:p>
          <w:p w:rsidR="00826F6D" w:rsidRPr="007C652F" w:rsidRDefault="00826F6D"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Qty</w:t>
            </w:r>
          </w:p>
        </w:tc>
        <w:tc>
          <w:tcPr>
            <w:tcW w:w="490" w:type="pct"/>
            <w:tcBorders>
              <w:bottom w:val="single" w:sz="4" w:space="0" w:color="auto"/>
            </w:tcBorders>
          </w:tcPr>
          <w:p w:rsidR="00826F6D" w:rsidRPr="007C652F" w:rsidRDefault="00826F6D"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№.of</w:t>
            </w:r>
          </w:p>
          <w:p w:rsidR="00826F6D" w:rsidRPr="007C652F" w:rsidRDefault="00826F6D"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Rpts</w:t>
            </w:r>
          </w:p>
        </w:tc>
        <w:tc>
          <w:tcPr>
            <w:tcW w:w="897" w:type="pct"/>
            <w:tcBorders>
              <w:bottom w:val="single" w:sz="4" w:space="0" w:color="auto"/>
            </w:tcBorders>
          </w:tcPr>
          <w:p w:rsidR="00826F6D" w:rsidRPr="007C652F" w:rsidRDefault="00826F6D"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Dispensed Price for Max. Qty</w:t>
            </w:r>
          </w:p>
        </w:tc>
        <w:tc>
          <w:tcPr>
            <w:tcW w:w="1378" w:type="pct"/>
            <w:gridSpan w:val="3"/>
            <w:tcBorders>
              <w:bottom w:val="single" w:sz="4" w:space="0" w:color="auto"/>
            </w:tcBorders>
          </w:tcPr>
          <w:p w:rsidR="00826F6D" w:rsidRPr="003506CF" w:rsidRDefault="00826F6D"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Proprietary Name and Manufacturer</w:t>
            </w:r>
          </w:p>
        </w:tc>
      </w:tr>
      <w:tr w:rsidR="00D25A01" w:rsidRPr="007C652F" w:rsidTr="00E77BA8">
        <w:trPr>
          <w:cantSplit/>
          <w:trHeight w:val="567"/>
        </w:trPr>
        <w:tc>
          <w:tcPr>
            <w:tcW w:w="1829" w:type="pct"/>
            <w:gridSpan w:val="2"/>
          </w:tcPr>
          <w:p w:rsidR="00826F6D" w:rsidRPr="007C652F" w:rsidRDefault="00CF413B" w:rsidP="00CB799E">
            <w:pPr>
              <w:keepNext/>
              <w:spacing w:before="40" w:after="40"/>
              <w:jc w:val="both"/>
              <w:rPr>
                <w:rFonts w:ascii="Arial Narrow" w:hAnsi="Arial Narrow" w:cs="Arial"/>
                <w:sz w:val="20"/>
                <w:szCs w:val="20"/>
              </w:rPr>
            </w:pPr>
            <w:r w:rsidRPr="007C652F">
              <w:rPr>
                <w:rFonts w:ascii="Arial Narrow" w:hAnsi="Arial Narrow" w:cs="Arial"/>
                <w:smallCaps/>
                <w:sz w:val="20"/>
                <w:szCs w:val="20"/>
              </w:rPr>
              <w:t>BUDESONIDE</w:t>
            </w:r>
          </w:p>
          <w:p w:rsidR="00826F6D" w:rsidRPr="007C652F" w:rsidRDefault="00CF413B" w:rsidP="00CB799E">
            <w:pPr>
              <w:keepNext/>
              <w:spacing w:before="40" w:after="40"/>
              <w:jc w:val="both"/>
              <w:rPr>
                <w:rFonts w:ascii="Arial Narrow" w:hAnsi="Arial Narrow" w:cs="Arial"/>
                <w:sz w:val="20"/>
                <w:szCs w:val="20"/>
              </w:rPr>
            </w:pPr>
            <w:r w:rsidRPr="007C652F">
              <w:rPr>
                <w:rFonts w:ascii="Arial Narrow" w:hAnsi="Arial Narrow" w:cs="Arial"/>
                <w:sz w:val="20"/>
                <w:szCs w:val="20"/>
              </w:rPr>
              <w:t>Oral, 3 mg modified release capsule</w:t>
            </w:r>
          </w:p>
        </w:tc>
        <w:tc>
          <w:tcPr>
            <w:tcW w:w="406" w:type="pct"/>
          </w:tcPr>
          <w:p w:rsidR="00826F6D" w:rsidRPr="007C652F" w:rsidRDefault="00826F6D" w:rsidP="00CB799E">
            <w:pPr>
              <w:keepNext/>
              <w:spacing w:before="40" w:after="40"/>
              <w:jc w:val="both"/>
              <w:rPr>
                <w:rFonts w:ascii="Arial Narrow" w:hAnsi="Arial Narrow" w:cs="Arial"/>
                <w:sz w:val="20"/>
                <w:szCs w:val="20"/>
              </w:rPr>
            </w:pPr>
          </w:p>
          <w:p w:rsidR="00826F6D" w:rsidRPr="007C652F" w:rsidRDefault="00CF413B" w:rsidP="00CB799E">
            <w:pPr>
              <w:keepNext/>
              <w:spacing w:before="40" w:after="40"/>
              <w:jc w:val="both"/>
              <w:rPr>
                <w:rFonts w:ascii="Arial Narrow" w:hAnsi="Arial Narrow" w:cs="Arial"/>
                <w:sz w:val="20"/>
                <w:szCs w:val="20"/>
              </w:rPr>
            </w:pPr>
            <w:r w:rsidRPr="007C652F">
              <w:rPr>
                <w:rFonts w:ascii="Arial Narrow" w:hAnsi="Arial Narrow" w:cs="Arial"/>
                <w:sz w:val="20"/>
                <w:szCs w:val="20"/>
              </w:rPr>
              <w:t>90</w:t>
            </w:r>
          </w:p>
        </w:tc>
        <w:tc>
          <w:tcPr>
            <w:tcW w:w="490" w:type="pct"/>
          </w:tcPr>
          <w:p w:rsidR="00826F6D" w:rsidRPr="007C652F" w:rsidRDefault="00826F6D" w:rsidP="00CB799E">
            <w:pPr>
              <w:keepNext/>
              <w:spacing w:before="40" w:after="40"/>
              <w:jc w:val="both"/>
              <w:rPr>
                <w:rFonts w:ascii="Arial Narrow" w:hAnsi="Arial Narrow" w:cs="Arial"/>
                <w:sz w:val="20"/>
                <w:szCs w:val="20"/>
              </w:rPr>
            </w:pPr>
          </w:p>
          <w:p w:rsidR="00826F6D" w:rsidRPr="007C652F" w:rsidRDefault="00CF413B" w:rsidP="00CB799E">
            <w:pPr>
              <w:keepNext/>
              <w:spacing w:before="40" w:after="40"/>
              <w:jc w:val="both"/>
              <w:rPr>
                <w:rFonts w:ascii="Arial Narrow" w:hAnsi="Arial Narrow" w:cs="Arial"/>
                <w:sz w:val="20"/>
                <w:szCs w:val="20"/>
              </w:rPr>
            </w:pPr>
            <w:r w:rsidRPr="007C652F">
              <w:rPr>
                <w:rFonts w:ascii="Arial Narrow" w:hAnsi="Arial Narrow" w:cs="Arial"/>
                <w:sz w:val="20"/>
                <w:szCs w:val="20"/>
              </w:rPr>
              <w:t>2</w:t>
            </w:r>
          </w:p>
        </w:tc>
        <w:tc>
          <w:tcPr>
            <w:tcW w:w="897" w:type="pct"/>
          </w:tcPr>
          <w:p w:rsidR="00826F6D" w:rsidRPr="007C652F" w:rsidRDefault="00826F6D" w:rsidP="00CB799E">
            <w:pPr>
              <w:keepNext/>
              <w:spacing w:before="40" w:after="40"/>
              <w:jc w:val="both"/>
              <w:rPr>
                <w:rFonts w:ascii="Arial Narrow" w:hAnsi="Arial Narrow" w:cs="Arial"/>
                <w:sz w:val="20"/>
                <w:szCs w:val="20"/>
              </w:rPr>
            </w:pPr>
          </w:p>
          <w:p w:rsidR="00826F6D" w:rsidRPr="007C652F" w:rsidRDefault="00CF413B" w:rsidP="00CB799E">
            <w:pPr>
              <w:keepNext/>
              <w:spacing w:before="40" w:after="40"/>
              <w:jc w:val="both"/>
              <w:rPr>
                <w:rFonts w:ascii="Arial Narrow" w:hAnsi="Arial Narrow" w:cs="Arial"/>
                <w:sz w:val="20"/>
                <w:szCs w:val="20"/>
              </w:rPr>
            </w:pPr>
            <w:r w:rsidRPr="007C652F">
              <w:rPr>
                <w:rFonts w:ascii="Arial Narrow" w:hAnsi="Arial Narrow" w:cs="Arial"/>
                <w:sz w:val="20"/>
                <w:szCs w:val="20"/>
              </w:rPr>
              <w:t>$</w:t>
            </w:r>
            <w:r w:rsidR="0059576F">
              <w:rPr>
                <w:rFonts w:ascii="Arial Narrow" w:hAnsi="Arial Narrow" w:cs="Arial"/>
                <w:noProof/>
                <w:color w:val="000000"/>
                <w:sz w:val="20"/>
                <w:szCs w:val="20"/>
                <w:highlight w:val="black"/>
              </w:rPr>
              <w:t>'''''''''''''''''</w:t>
            </w:r>
            <w:r w:rsidR="00D57C6A" w:rsidRPr="007C652F">
              <w:rPr>
                <w:rFonts w:ascii="Arial Narrow" w:hAnsi="Arial Narrow" w:cs="Arial"/>
                <w:sz w:val="20"/>
                <w:szCs w:val="20"/>
              </w:rPr>
              <w:t>*</w:t>
            </w:r>
          </w:p>
        </w:tc>
        <w:tc>
          <w:tcPr>
            <w:tcW w:w="522" w:type="pct"/>
          </w:tcPr>
          <w:p w:rsidR="00C27B58" w:rsidRPr="007C652F" w:rsidRDefault="00C27B58" w:rsidP="00CB799E">
            <w:pPr>
              <w:keepNext/>
              <w:spacing w:before="40" w:after="40"/>
              <w:jc w:val="both"/>
              <w:rPr>
                <w:rFonts w:ascii="Arial Narrow" w:hAnsi="Arial Narrow" w:cs="Arial"/>
                <w:sz w:val="20"/>
                <w:szCs w:val="20"/>
              </w:rPr>
            </w:pPr>
          </w:p>
          <w:p w:rsidR="00826F6D" w:rsidRPr="007C652F" w:rsidRDefault="00CF413B" w:rsidP="00CB799E">
            <w:pPr>
              <w:keepNext/>
              <w:spacing w:before="40" w:after="40"/>
              <w:jc w:val="both"/>
              <w:rPr>
                <w:rFonts w:ascii="Arial Narrow" w:hAnsi="Arial Narrow" w:cs="Arial"/>
                <w:sz w:val="20"/>
                <w:szCs w:val="20"/>
              </w:rPr>
            </w:pPr>
            <w:r w:rsidRPr="007C652F">
              <w:rPr>
                <w:rFonts w:ascii="Arial Narrow" w:hAnsi="Arial Narrow" w:cs="Arial"/>
                <w:sz w:val="20"/>
                <w:szCs w:val="20"/>
              </w:rPr>
              <w:t>Entocort®</w:t>
            </w:r>
          </w:p>
        </w:tc>
        <w:tc>
          <w:tcPr>
            <w:tcW w:w="856" w:type="pct"/>
            <w:gridSpan w:val="2"/>
          </w:tcPr>
          <w:p w:rsidR="00C27B58" w:rsidRPr="007C652F" w:rsidRDefault="00C27B58" w:rsidP="00CB799E">
            <w:pPr>
              <w:keepNext/>
              <w:spacing w:before="40" w:after="40"/>
              <w:jc w:val="both"/>
              <w:rPr>
                <w:rFonts w:ascii="Arial Narrow" w:hAnsi="Arial Narrow" w:cs="Arial"/>
                <w:sz w:val="20"/>
                <w:szCs w:val="20"/>
              </w:rPr>
            </w:pPr>
          </w:p>
          <w:p w:rsidR="00826F6D" w:rsidRPr="007C652F" w:rsidRDefault="00CF413B" w:rsidP="00CB799E">
            <w:pPr>
              <w:keepNext/>
              <w:spacing w:before="40" w:after="40"/>
              <w:jc w:val="both"/>
              <w:rPr>
                <w:rFonts w:ascii="Arial Narrow" w:hAnsi="Arial Narrow" w:cs="Arial"/>
                <w:sz w:val="20"/>
                <w:szCs w:val="20"/>
              </w:rPr>
            </w:pPr>
            <w:r w:rsidRPr="007C652F">
              <w:rPr>
                <w:rFonts w:ascii="Arial Narrow" w:hAnsi="Arial Narrow" w:cs="Arial"/>
                <w:sz w:val="20"/>
                <w:szCs w:val="20"/>
              </w:rPr>
              <w:t>Emerge Health</w:t>
            </w:r>
          </w:p>
        </w:tc>
      </w:tr>
      <w:tr w:rsidR="00D25A01" w:rsidRPr="007C652F" w:rsidTr="003A3368">
        <w:trPr>
          <w:gridAfter w:val="1"/>
          <w:wAfter w:w="4" w:type="pct"/>
          <w:cantSplit/>
          <w:trHeight w:val="360"/>
        </w:trPr>
        <w:tc>
          <w:tcPr>
            <w:tcW w:w="4996" w:type="pct"/>
            <w:gridSpan w:val="7"/>
            <w:tcBorders>
              <w:bottom w:val="single" w:sz="4" w:space="0" w:color="auto"/>
            </w:tcBorders>
          </w:tcPr>
          <w:p w:rsidR="00826F6D" w:rsidRPr="007C652F" w:rsidRDefault="00826F6D" w:rsidP="00CB799E">
            <w:pPr>
              <w:keepNext/>
              <w:spacing w:before="40" w:after="40"/>
              <w:jc w:val="both"/>
              <w:rPr>
                <w:rFonts w:ascii="Arial Narrow" w:hAnsi="Arial Narrow" w:cs="Arial"/>
                <w:sz w:val="20"/>
                <w:szCs w:val="20"/>
              </w:rPr>
            </w:pPr>
          </w:p>
        </w:tc>
      </w:tr>
      <w:tr w:rsidR="00D25A01" w:rsidRPr="007C652F" w:rsidTr="00E77BA8">
        <w:trPr>
          <w:gridAfter w:val="1"/>
          <w:wAfter w:w="4"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826F6D" w:rsidRPr="007C652F" w:rsidRDefault="00826F6D"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 xml:space="preserve">Category / </w:t>
            </w:r>
          </w:p>
          <w:p w:rsidR="00826F6D" w:rsidRPr="007C652F" w:rsidRDefault="00826F6D"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Program</w:t>
            </w:r>
          </w:p>
        </w:tc>
        <w:tc>
          <w:tcPr>
            <w:tcW w:w="3922" w:type="pct"/>
            <w:gridSpan w:val="6"/>
            <w:tcBorders>
              <w:top w:val="single" w:sz="4" w:space="0" w:color="auto"/>
              <w:left w:val="single" w:sz="4" w:space="0" w:color="auto"/>
              <w:bottom w:val="single" w:sz="4" w:space="0" w:color="auto"/>
              <w:right w:val="single" w:sz="4" w:space="0" w:color="auto"/>
            </w:tcBorders>
          </w:tcPr>
          <w:p w:rsidR="00826F6D" w:rsidRPr="007C652F" w:rsidRDefault="00573996" w:rsidP="00CB799E">
            <w:pPr>
              <w:keepNext/>
              <w:spacing w:before="40"/>
              <w:rPr>
                <w:rFonts w:ascii="Arial Narrow" w:hAnsi="Arial Narrow" w:cs="Arial"/>
                <w:sz w:val="20"/>
                <w:szCs w:val="20"/>
              </w:rPr>
            </w:pPr>
            <w:r w:rsidRPr="007C652F">
              <w:rPr>
                <w:rFonts w:ascii="Arial Narrow" w:hAnsi="Arial Narrow" w:cs="Arial"/>
                <w:sz w:val="20"/>
                <w:szCs w:val="20"/>
              </w:rPr>
              <w:t>Section 85 (general schedule)</w:t>
            </w:r>
          </w:p>
        </w:tc>
      </w:tr>
      <w:tr w:rsidR="00D25A01" w:rsidRPr="007C652F" w:rsidTr="00E77BA8">
        <w:trPr>
          <w:gridAfter w:val="1"/>
          <w:wAfter w:w="4"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573996" w:rsidRPr="007C652F" w:rsidRDefault="00573996"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Prescriber type:</w:t>
            </w:r>
          </w:p>
        </w:tc>
        <w:tc>
          <w:tcPr>
            <w:tcW w:w="3922" w:type="pct"/>
            <w:gridSpan w:val="6"/>
            <w:tcBorders>
              <w:top w:val="single" w:sz="4" w:space="0" w:color="auto"/>
              <w:left w:val="single" w:sz="4" w:space="0" w:color="auto"/>
              <w:bottom w:val="single" w:sz="4" w:space="0" w:color="auto"/>
              <w:right w:val="single" w:sz="4" w:space="0" w:color="auto"/>
            </w:tcBorders>
            <w:vAlign w:val="center"/>
          </w:tcPr>
          <w:p w:rsidR="00573996" w:rsidRPr="007C652F" w:rsidRDefault="00573996" w:rsidP="00CB799E">
            <w:pPr>
              <w:keepNext/>
              <w:rPr>
                <w:rFonts w:ascii="Arial Narrow" w:hAnsi="Arial Narrow" w:cs="Arial"/>
                <w:sz w:val="20"/>
              </w:rPr>
            </w:pPr>
            <w:r w:rsidRPr="003506CF">
              <w:rPr>
                <w:rFonts w:ascii="Arial Narrow" w:hAnsi="Arial Narrow" w:cs="Arial"/>
                <w:sz w:val="20"/>
              </w:rPr>
              <w:fldChar w:fldCharType="begin">
                <w:ffData>
                  <w:name w:val="Check5"/>
                  <w:enabled/>
                  <w:calcOnExit w:val="0"/>
                  <w:checkBox>
                    <w:sizeAuto/>
                    <w:default w:val="0"/>
                  </w:checkBox>
                </w:ffData>
              </w:fldChar>
            </w:r>
            <w:r w:rsidRPr="007C652F">
              <w:rPr>
                <w:rFonts w:ascii="Arial Narrow" w:hAnsi="Arial Narrow" w:cs="Arial"/>
                <w:sz w:val="20"/>
              </w:rPr>
              <w:instrText xml:space="preserve"> FORMCHECKBOX </w:instrText>
            </w:r>
            <w:r w:rsidR="00B05064">
              <w:rPr>
                <w:rFonts w:ascii="Arial Narrow" w:hAnsi="Arial Narrow" w:cs="Arial"/>
                <w:sz w:val="20"/>
              </w:rPr>
            </w:r>
            <w:r w:rsidR="00B05064">
              <w:rPr>
                <w:rFonts w:ascii="Arial Narrow" w:hAnsi="Arial Narrow" w:cs="Arial"/>
                <w:sz w:val="20"/>
              </w:rPr>
              <w:fldChar w:fldCharType="separate"/>
            </w:r>
            <w:r w:rsidRPr="003506CF">
              <w:rPr>
                <w:rFonts w:ascii="Arial Narrow" w:hAnsi="Arial Narrow" w:cs="Arial"/>
                <w:sz w:val="20"/>
              </w:rPr>
              <w:fldChar w:fldCharType="end"/>
            </w:r>
            <w:r w:rsidRPr="007C652F">
              <w:rPr>
                <w:rFonts w:ascii="Arial Narrow" w:hAnsi="Arial Narrow" w:cs="Arial"/>
                <w:sz w:val="20"/>
              </w:rPr>
              <w:t xml:space="preserve">Dental  </w:t>
            </w:r>
            <w:r w:rsidRPr="003506CF">
              <w:rPr>
                <w:rFonts w:ascii="Arial Narrow" w:hAnsi="Arial Narrow" w:cs="Arial"/>
                <w:sz w:val="20"/>
              </w:rPr>
              <w:fldChar w:fldCharType="begin">
                <w:ffData>
                  <w:name w:val=""/>
                  <w:enabled/>
                  <w:calcOnExit w:val="0"/>
                  <w:checkBox>
                    <w:sizeAuto/>
                    <w:default w:val="1"/>
                  </w:checkBox>
                </w:ffData>
              </w:fldChar>
            </w:r>
            <w:r w:rsidRPr="007C652F">
              <w:rPr>
                <w:rFonts w:ascii="Arial Narrow" w:hAnsi="Arial Narrow" w:cs="Arial"/>
                <w:sz w:val="20"/>
              </w:rPr>
              <w:instrText xml:space="preserve"> FORMCHECKBOX </w:instrText>
            </w:r>
            <w:r w:rsidR="00B05064">
              <w:rPr>
                <w:rFonts w:ascii="Arial Narrow" w:hAnsi="Arial Narrow" w:cs="Arial"/>
                <w:sz w:val="20"/>
              </w:rPr>
            </w:r>
            <w:r w:rsidR="00B05064">
              <w:rPr>
                <w:rFonts w:ascii="Arial Narrow" w:hAnsi="Arial Narrow" w:cs="Arial"/>
                <w:sz w:val="20"/>
              </w:rPr>
              <w:fldChar w:fldCharType="separate"/>
            </w:r>
            <w:r w:rsidRPr="003506CF">
              <w:rPr>
                <w:rFonts w:ascii="Arial Narrow" w:hAnsi="Arial Narrow" w:cs="Arial"/>
                <w:sz w:val="20"/>
              </w:rPr>
              <w:fldChar w:fldCharType="end"/>
            </w:r>
            <w:r w:rsidRPr="007C652F">
              <w:rPr>
                <w:rFonts w:ascii="Arial Narrow" w:hAnsi="Arial Narrow" w:cs="Arial"/>
                <w:sz w:val="20"/>
              </w:rPr>
              <w:t xml:space="preserve">Medical Practitioners </w:t>
            </w:r>
            <w:r w:rsidR="00922983" w:rsidRPr="003506CF">
              <w:rPr>
                <w:rFonts w:ascii="Arial Narrow" w:hAnsi="Arial Narrow" w:cs="Arial"/>
                <w:sz w:val="20"/>
              </w:rPr>
              <w:fldChar w:fldCharType="begin">
                <w:ffData>
                  <w:name w:val=""/>
                  <w:enabled/>
                  <w:calcOnExit w:val="0"/>
                  <w:checkBox>
                    <w:sizeAuto/>
                    <w:default w:val="1"/>
                  </w:checkBox>
                </w:ffData>
              </w:fldChar>
            </w:r>
            <w:r w:rsidR="00922983" w:rsidRPr="007C652F">
              <w:rPr>
                <w:rFonts w:ascii="Arial Narrow" w:hAnsi="Arial Narrow" w:cs="Arial"/>
                <w:sz w:val="20"/>
              </w:rPr>
              <w:instrText xml:space="preserve"> FORMCHECKBOX </w:instrText>
            </w:r>
            <w:r w:rsidR="00B05064">
              <w:rPr>
                <w:rFonts w:ascii="Arial Narrow" w:hAnsi="Arial Narrow" w:cs="Arial"/>
                <w:sz w:val="20"/>
              </w:rPr>
            </w:r>
            <w:r w:rsidR="00B05064">
              <w:rPr>
                <w:rFonts w:ascii="Arial Narrow" w:hAnsi="Arial Narrow" w:cs="Arial"/>
                <w:sz w:val="20"/>
              </w:rPr>
              <w:fldChar w:fldCharType="separate"/>
            </w:r>
            <w:r w:rsidR="00922983" w:rsidRPr="003506CF">
              <w:rPr>
                <w:rFonts w:ascii="Arial Narrow" w:hAnsi="Arial Narrow" w:cs="Arial"/>
                <w:sz w:val="20"/>
              </w:rPr>
              <w:fldChar w:fldCharType="end"/>
            </w:r>
            <w:r w:rsidRPr="007C652F">
              <w:rPr>
                <w:rFonts w:ascii="Arial Narrow" w:hAnsi="Arial Narrow" w:cs="Arial"/>
                <w:sz w:val="20"/>
              </w:rPr>
              <w:t xml:space="preserve">Nurse practitioners  </w:t>
            </w:r>
            <w:r w:rsidRPr="003506CF">
              <w:rPr>
                <w:rFonts w:ascii="Arial Narrow" w:hAnsi="Arial Narrow" w:cs="Arial"/>
                <w:sz w:val="20"/>
              </w:rPr>
              <w:fldChar w:fldCharType="begin">
                <w:ffData>
                  <w:name w:val=""/>
                  <w:enabled/>
                  <w:calcOnExit w:val="0"/>
                  <w:checkBox>
                    <w:sizeAuto/>
                    <w:default w:val="0"/>
                  </w:checkBox>
                </w:ffData>
              </w:fldChar>
            </w:r>
            <w:r w:rsidRPr="007C652F">
              <w:rPr>
                <w:rFonts w:ascii="Arial Narrow" w:hAnsi="Arial Narrow" w:cs="Arial"/>
                <w:sz w:val="20"/>
              </w:rPr>
              <w:instrText xml:space="preserve"> FORMCHECKBOX </w:instrText>
            </w:r>
            <w:r w:rsidR="00B05064">
              <w:rPr>
                <w:rFonts w:ascii="Arial Narrow" w:hAnsi="Arial Narrow" w:cs="Arial"/>
                <w:sz w:val="20"/>
              </w:rPr>
            </w:r>
            <w:r w:rsidR="00B05064">
              <w:rPr>
                <w:rFonts w:ascii="Arial Narrow" w:hAnsi="Arial Narrow" w:cs="Arial"/>
                <w:sz w:val="20"/>
              </w:rPr>
              <w:fldChar w:fldCharType="separate"/>
            </w:r>
            <w:r w:rsidRPr="003506CF">
              <w:rPr>
                <w:rFonts w:ascii="Arial Narrow" w:hAnsi="Arial Narrow" w:cs="Arial"/>
                <w:sz w:val="20"/>
              </w:rPr>
              <w:fldChar w:fldCharType="end"/>
            </w:r>
            <w:r w:rsidRPr="007C652F">
              <w:rPr>
                <w:rFonts w:ascii="Arial Narrow" w:hAnsi="Arial Narrow" w:cs="Arial"/>
                <w:sz w:val="20"/>
              </w:rPr>
              <w:t>Optometrists</w:t>
            </w:r>
          </w:p>
          <w:p w:rsidR="00573996" w:rsidRPr="007C652F" w:rsidRDefault="00573996" w:rsidP="00CB799E">
            <w:pPr>
              <w:keepNext/>
              <w:spacing w:before="40" w:after="40"/>
              <w:rPr>
                <w:rFonts w:ascii="Arial Narrow" w:hAnsi="Arial Narrow" w:cs="Arial"/>
                <w:sz w:val="20"/>
                <w:szCs w:val="20"/>
              </w:rPr>
            </w:pPr>
            <w:r w:rsidRPr="003506CF">
              <w:rPr>
                <w:rFonts w:ascii="Arial Narrow" w:hAnsi="Arial Narrow" w:cs="Arial"/>
                <w:sz w:val="20"/>
              </w:rPr>
              <w:fldChar w:fldCharType="begin">
                <w:ffData>
                  <w:name w:val="Check5"/>
                  <w:enabled/>
                  <w:calcOnExit w:val="0"/>
                  <w:checkBox>
                    <w:sizeAuto/>
                    <w:default w:val="0"/>
                  </w:checkBox>
                </w:ffData>
              </w:fldChar>
            </w:r>
            <w:r w:rsidRPr="007C652F">
              <w:rPr>
                <w:rFonts w:ascii="Arial Narrow" w:hAnsi="Arial Narrow" w:cs="Arial"/>
                <w:sz w:val="20"/>
              </w:rPr>
              <w:instrText xml:space="preserve"> FORMCHECKBOX </w:instrText>
            </w:r>
            <w:r w:rsidR="00B05064">
              <w:rPr>
                <w:rFonts w:ascii="Arial Narrow" w:hAnsi="Arial Narrow" w:cs="Arial"/>
                <w:sz w:val="20"/>
              </w:rPr>
            </w:r>
            <w:r w:rsidR="00B05064">
              <w:rPr>
                <w:rFonts w:ascii="Arial Narrow" w:hAnsi="Arial Narrow" w:cs="Arial"/>
                <w:sz w:val="20"/>
              </w:rPr>
              <w:fldChar w:fldCharType="separate"/>
            </w:r>
            <w:r w:rsidRPr="003506CF">
              <w:rPr>
                <w:rFonts w:ascii="Arial Narrow" w:hAnsi="Arial Narrow" w:cs="Arial"/>
                <w:sz w:val="20"/>
              </w:rPr>
              <w:fldChar w:fldCharType="end"/>
            </w:r>
            <w:r w:rsidRPr="007C652F">
              <w:rPr>
                <w:rFonts w:ascii="Arial Narrow" w:hAnsi="Arial Narrow" w:cs="Arial"/>
                <w:sz w:val="20"/>
              </w:rPr>
              <w:t>Midwives</w:t>
            </w:r>
          </w:p>
        </w:tc>
      </w:tr>
      <w:tr w:rsidR="00D25A01" w:rsidRPr="007C652F" w:rsidTr="00E77BA8">
        <w:trPr>
          <w:gridAfter w:val="1"/>
          <w:wAfter w:w="4"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573996" w:rsidRPr="007C652F" w:rsidRDefault="00573996"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Episodicity:</w:t>
            </w:r>
          </w:p>
        </w:tc>
        <w:tc>
          <w:tcPr>
            <w:tcW w:w="3922" w:type="pct"/>
            <w:gridSpan w:val="6"/>
            <w:tcBorders>
              <w:top w:val="single" w:sz="4" w:space="0" w:color="auto"/>
              <w:left w:val="single" w:sz="4" w:space="0" w:color="auto"/>
              <w:bottom w:val="single" w:sz="4" w:space="0" w:color="auto"/>
              <w:right w:val="single" w:sz="4" w:space="0" w:color="auto"/>
            </w:tcBorders>
          </w:tcPr>
          <w:p w:rsidR="00573996" w:rsidRPr="007C652F" w:rsidRDefault="00573996" w:rsidP="00CB799E">
            <w:pPr>
              <w:keepNext/>
              <w:spacing w:before="40" w:after="40"/>
              <w:rPr>
                <w:rFonts w:ascii="Arial Narrow" w:hAnsi="Arial Narrow" w:cs="Arial"/>
                <w:sz w:val="20"/>
                <w:szCs w:val="20"/>
              </w:rPr>
            </w:pPr>
            <w:r w:rsidRPr="007C652F">
              <w:rPr>
                <w:rFonts w:ascii="Arial Narrow" w:hAnsi="Arial Narrow" w:cs="Arial"/>
                <w:sz w:val="20"/>
                <w:szCs w:val="20"/>
              </w:rPr>
              <w:t>N/A</w:t>
            </w:r>
          </w:p>
        </w:tc>
      </w:tr>
      <w:tr w:rsidR="00D25A01" w:rsidRPr="007C652F" w:rsidTr="00E77BA8">
        <w:trPr>
          <w:gridAfter w:val="1"/>
          <w:wAfter w:w="4"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573996" w:rsidRPr="007C652F" w:rsidRDefault="00573996"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Severity:</w:t>
            </w:r>
          </w:p>
        </w:tc>
        <w:tc>
          <w:tcPr>
            <w:tcW w:w="3922" w:type="pct"/>
            <w:gridSpan w:val="6"/>
            <w:tcBorders>
              <w:top w:val="single" w:sz="4" w:space="0" w:color="auto"/>
              <w:left w:val="single" w:sz="4" w:space="0" w:color="auto"/>
              <w:bottom w:val="single" w:sz="4" w:space="0" w:color="auto"/>
              <w:right w:val="single" w:sz="4" w:space="0" w:color="auto"/>
            </w:tcBorders>
          </w:tcPr>
          <w:p w:rsidR="00573996" w:rsidRPr="007C652F" w:rsidRDefault="00573996" w:rsidP="00CB799E">
            <w:pPr>
              <w:keepNext/>
              <w:spacing w:before="40" w:after="40"/>
              <w:rPr>
                <w:rFonts w:ascii="Arial Narrow" w:hAnsi="Arial Narrow" w:cs="Arial"/>
                <w:sz w:val="20"/>
                <w:szCs w:val="20"/>
              </w:rPr>
            </w:pPr>
            <w:r w:rsidRPr="007C652F">
              <w:rPr>
                <w:rFonts w:ascii="Arial Narrow" w:hAnsi="Arial Narrow" w:cs="Arial"/>
                <w:sz w:val="20"/>
                <w:szCs w:val="20"/>
              </w:rPr>
              <w:t>Mild to moderate</w:t>
            </w:r>
          </w:p>
        </w:tc>
      </w:tr>
      <w:tr w:rsidR="00D25A01" w:rsidRPr="007C652F" w:rsidTr="00E77BA8">
        <w:trPr>
          <w:gridAfter w:val="1"/>
          <w:wAfter w:w="4"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573996" w:rsidRPr="007C652F" w:rsidRDefault="00573996"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Condition:</w:t>
            </w:r>
          </w:p>
        </w:tc>
        <w:tc>
          <w:tcPr>
            <w:tcW w:w="3922" w:type="pct"/>
            <w:gridSpan w:val="6"/>
            <w:tcBorders>
              <w:top w:val="single" w:sz="4" w:space="0" w:color="auto"/>
              <w:left w:val="single" w:sz="4" w:space="0" w:color="auto"/>
              <w:bottom w:val="single" w:sz="4" w:space="0" w:color="auto"/>
              <w:right w:val="single" w:sz="4" w:space="0" w:color="auto"/>
            </w:tcBorders>
          </w:tcPr>
          <w:p w:rsidR="00573996" w:rsidRPr="007C652F" w:rsidRDefault="00573996" w:rsidP="00CB799E">
            <w:pPr>
              <w:keepNext/>
              <w:spacing w:before="40" w:after="40"/>
              <w:rPr>
                <w:rFonts w:ascii="Arial Narrow" w:hAnsi="Arial Narrow" w:cs="Arial"/>
                <w:sz w:val="20"/>
                <w:szCs w:val="20"/>
              </w:rPr>
            </w:pPr>
            <w:r w:rsidRPr="007C652F">
              <w:rPr>
                <w:rFonts w:ascii="Arial Narrow" w:hAnsi="Arial Narrow" w:cs="Arial"/>
                <w:sz w:val="20"/>
                <w:szCs w:val="20"/>
              </w:rPr>
              <w:t>Crohn’s disease</w:t>
            </w:r>
          </w:p>
        </w:tc>
      </w:tr>
      <w:tr w:rsidR="00D25A01" w:rsidRPr="007C652F" w:rsidTr="00E77BA8">
        <w:trPr>
          <w:gridAfter w:val="1"/>
          <w:wAfter w:w="4"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573996" w:rsidRPr="007C652F" w:rsidRDefault="00573996"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PBS Indication:</w:t>
            </w:r>
          </w:p>
        </w:tc>
        <w:tc>
          <w:tcPr>
            <w:tcW w:w="3922" w:type="pct"/>
            <w:gridSpan w:val="6"/>
            <w:tcBorders>
              <w:top w:val="single" w:sz="4" w:space="0" w:color="auto"/>
              <w:left w:val="single" w:sz="4" w:space="0" w:color="auto"/>
              <w:bottom w:val="single" w:sz="4" w:space="0" w:color="auto"/>
              <w:right w:val="single" w:sz="4" w:space="0" w:color="auto"/>
            </w:tcBorders>
          </w:tcPr>
          <w:p w:rsidR="00573996" w:rsidRPr="007C652F" w:rsidRDefault="00EB4238" w:rsidP="00CB799E">
            <w:pPr>
              <w:keepNext/>
              <w:spacing w:before="40" w:after="40"/>
              <w:rPr>
                <w:rFonts w:ascii="Arial Narrow" w:hAnsi="Arial Narrow" w:cs="Arial"/>
                <w:sz w:val="20"/>
                <w:szCs w:val="20"/>
              </w:rPr>
            </w:pPr>
            <w:r w:rsidRPr="007C652F">
              <w:rPr>
                <w:rFonts w:ascii="Arial Narrow" w:hAnsi="Arial Narrow" w:cs="Arial"/>
                <w:sz w:val="20"/>
                <w:szCs w:val="20"/>
              </w:rPr>
              <w:t>Mild to moderate Crohn’s disease</w:t>
            </w:r>
          </w:p>
        </w:tc>
      </w:tr>
      <w:tr w:rsidR="00D25A01" w:rsidRPr="007C652F" w:rsidTr="00E77BA8">
        <w:trPr>
          <w:gridAfter w:val="1"/>
          <w:wAfter w:w="4"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573996" w:rsidRPr="007C652F" w:rsidRDefault="00573996"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Restriction Level / Method:</w:t>
            </w:r>
          </w:p>
          <w:p w:rsidR="00573996" w:rsidRPr="007C652F" w:rsidRDefault="00573996" w:rsidP="00CB799E">
            <w:pPr>
              <w:keepNext/>
              <w:spacing w:before="40" w:after="40"/>
              <w:rPr>
                <w:rFonts w:ascii="Arial Narrow" w:hAnsi="Arial Narrow" w:cs="Arial"/>
                <w:sz w:val="20"/>
                <w:szCs w:val="20"/>
              </w:rPr>
            </w:pPr>
          </w:p>
        </w:tc>
        <w:tc>
          <w:tcPr>
            <w:tcW w:w="3922" w:type="pct"/>
            <w:gridSpan w:val="6"/>
            <w:tcBorders>
              <w:top w:val="single" w:sz="4" w:space="0" w:color="auto"/>
              <w:left w:val="single" w:sz="4" w:space="0" w:color="auto"/>
              <w:bottom w:val="single" w:sz="4" w:space="0" w:color="auto"/>
              <w:right w:val="single" w:sz="4" w:space="0" w:color="auto"/>
            </w:tcBorders>
          </w:tcPr>
          <w:p w:rsidR="00573996" w:rsidRPr="007C652F" w:rsidRDefault="00573996" w:rsidP="00CB799E">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Check1"/>
                  <w:enabled/>
                  <w:calcOnExit w:val="0"/>
                  <w:checkBox>
                    <w:sizeAuto/>
                    <w:default w:val="0"/>
                  </w:checkBox>
                </w:ffData>
              </w:fldChar>
            </w:r>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r w:rsidRPr="007C652F">
              <w:rPr>
                <w:rFonts w:ascii="Arial Narrow" w:hAnsi="Arial Narrow" w:cs="Arial"/>
                <w:sz w:val="20"/>
                <w:szCs w:val="20"/>
              </w:rPr>
              <w:t>Restricted benefit</w:t>
            </w:r>
          </w:p>
          <w:p w:rsidR="00573996" w:rsidRPr="007C652F" w:rsidRDefault="00573996" w:rsidP="00CB799E">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
                  <w:enabled/>
                  <w:calcOnExit w:val="0"/>
                  <w:checkBox>
                    <w:sizeAuto/>
                    <w:default w:val="0"/>
                  </w:checkBox>
                </w:ffData>
              </w:fldChar>
            </w:r>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r w:rsidRPr="007C652F">
              <w:rPr>
                <w:rFonts w:ascii="Arial Narrow" w:hAnsi="Arial Narrow" w:cs="Arial"/>
                <w:sz w:val="20"/>
                <w:szCs w:val="20"/>
              </w:rPr>
              <w:t>Authority Required - In Writing</w:t>
            </w:r>
          </w:p>
          <w:p w:rsidR="00573996" w:rsidRPr="007C652F" w:rsidRDefault="00573996" w:rsidP="00CB799E">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Check3"/>
                  <w:enabled/>
                  <w:calcOnExit w:val="0"/>
                  <w:checkBox>
                    <w:sizeAuto/>
                    <w:default w:val="0"/>
                  </w:checkBox>
                </w:ffData>
              </w:fldChar>
            </w:r>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r w:rsidRPr="007C652F">
              <w:rPr>
                <w:rFonts w:ascii="Arial Narrow" w:hAnsi="Arial Narrow" w:cs="Arial"/>
                <w:sz w:val="20"/>
                <w:szCs w:val="20"/>
              </w:rPr>
              <w:t>Authority Required - Telephone</w:t>
            </w:r>
          </w:p>
          <w:p w:rsidR="00573996" w:rsidRPr="007C652F" w:rsidRDefault="00573996" w:rsidP="00CB799E">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
                  <w:enabled/>
                  <w:calcOnExit w:val="0"/>
                  <w:checkBox>
                    <w:sizeAuto/>
                    <w:default w:val="0"/>
                  </w:checkBox>
                </w:ffData>
              </w:fldChar>
            </w:r>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r w:rsidRPr="007C652F">
              <w:rPr>
                <w:rFonts w:ascii="Arial Narrow" w:hAnsi="Arial Narrow" w:cs="Arial"/>
                <w:sz w:val="20"/>
                <w:szCs w:val="20"/>
              </w:rPr>
              <w:t>Authority Required – Emergency</w:t>
            </w:r>
          </w:p>
          <w:p w:rsidR="00573996" w:rsidRPr="007C652F" w:rsidRDefault="00573996" w:rsidP="00CB799E">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Check5"/>
                  <w:enabled/>
                  <w:calcOnExit w:val="0"/>
                  <w:checkBox>
                    <w:sizeAuto/>
                    <w:default w:val="0"/>
                  </w:checkBox>
                </w:ffData>
              </w:fldChar>
            </w:r>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r w:rsidRPr="007C652F">
              <w:rPr>
                <w:rFonts w:ascii="Arial Narrow" w:hAnsi="Arial Narrow" w:cs="Arial"/>
                <w:sz w:val="20"/>
                <w:szCs w:val="20"/>
              </w:rPr>
              <w:t>Authority Required - Electronic</w:t>
            </w:r>
          </w:p>
          <w:p w:rsidR="00573996" w:rsidRPr="007C652F" w:rsidRDefault="009E29E3" w:rsidP="00CB799E">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Check5"/>
                  <w:enabled/>
                  <w:calcOnExit w:val="0"/>
                  <w:checkBox>
                    <w:sizeAuto/>
                    <w:default w:val="1"/>
                  </w:checkBox>
                </w:ffData>
              </w:fldChar>
            </w:r>
            <w:bookmarkStart w:id="1" w:name="Check5"/>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bookmarkEnd w:id="1"/>
            <w:r w:rsidR="00573996" w:rsidRPr="007C652F">
              <w:rPr>
                <w:rFonts w:ascii="Arial Narrow" w:hAnsi="Arial Narrow" w:cs="Arial"/>
                <w:sz w:val="20"/>
                <w:szCs w:val="20"/>
              </w:rPr>
              <w:t>Streamlined</w:t>
            </w:r>
          </w:p>
        </w:tc>
      </w:tr>
      <w:tr w:rsidR="00D25A01" w:rsidRPr="007C652F" w:rsidTr="00E77BA8">
        <w:trPr>
          <w:gridAfter w:val="1"/>
          <w:wAfter w:w="4"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573996" w:rsidRPr="007C652F" w:rsidRDefault="00573996"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Clinical criteria</w:t>
            </w:r>
            <w:r w:rsidR="00CF413B" w:rsidRPr="007C652F">
              <w:rPr>
                <w:rFonts w:ascii="Arial Narrow" w:hAnsi="Arial Narrow" w:cs="Arial"/>
                <w:b/>
                <w:sz w:val="20"/>
                <w:szCs w:val="20"/>
              </w:rPr>
              <w:t>:</w:t>
            </w:r>
          </w:p>
        </w:tc>
        <w:tc>
          <w:tcPr>
            <w:tcW w:w="3922" w:type="pct"/>
            <w:gridSpan w:val="6"/>
            <w:tcBorders>
              <w:top w:val="single" w:sz="4" w:space="0" w:color="auto"/>
              <w:left w:val="single" w:sz="4" w:space="0" w:color="auto"/>
              <w:bottom w:val="single" w:sz="4" w:space="0" w:color="auto"/>
              <w:right w:val="single" w:sz="4" w:space="0" w:color="auto"/>
            </w:tcBorders>
          </w:tcPr>
          <w:p w:rsidR="00CF413B" w:rsidRPr="007C652F" w:rsidRDefault="00CF413B" w:rsidP="00CB799E">
            <w:pPr>
              <w:keepNext/>
              <w:contextualSpacing/>
              <w:rPr>
                <w:rFonts w:ascii="Arial Narrow" w:hAnsi="Arial Narrow" w:cs="Arial"/>
                <w:sz w:val="20"/>
              </w:rPr>
            </w:pPr>
            <w:r w:rsidRPr="007C652F">
              <w:rPr>
                <w:rFonts w:ascii="Arial Narrow" w:hAnsi="Arial Narrow" w:cs="Arial"/>
                <w:sz w:val="20"/>
              </w:rPr>
              <w:t xml:space="preserve">The condition must affect the ileum, </w:t>
            </w:r>
          </w:p>
          <w:p w:rsidR="00CF413B" w:rsidRPr="007C652F" w:rsidRDefault="00CF413B" w:rsidP="00CB799E">
            <w:pPr>
              <w:keepNext/>
              <w:contextualSpacing/>
              <w:rPr>
                <w:rFonts w:ascii="Arial Narrow" w:hAnsi="Arial Narrow" w:cs="Arial"/>
                <w:sz w:val="20"/>
              </w:rPr>
            </w:pPr>
            <w:r w:rsidRPr="007C652F">
              <w:rPr>
                <w:rFonts w:ascii="Arial Narrow" w:hAnsi="Arial Narrow" w:cs="Arial"/>
                <w:sz w:val="20"/>
              </w:rPr>
              <w:t>OR</w:t>
            </w:r>
          </w:p>
          <w:p w:rsidR="00CF413B" w:rsidRPr="007C652F" w:rsidRDefault="00CF413B" w:rsidP="00CB799E">
            <w:pPr>
              <w:keepNext/>
              <w:contextualSpacing/>
              <w:rPr>
                <w:rFonts w:ascii="Arial Narrow" w:hAnsi="Arial Narrow" w:cs="Arial"/>
                <w:sz w:val="20"/>
              </w:rPr>
            </w:pPr>
            <w:r w:rsidRPr="007C652F">
              <w:rPr>
                <w:rFonts w:ascii="Arial Narrow" w:hAnsi="Arial Narrow" w:cs="Arial"/>
                <w:sz w:val="20"/>
              </w:rPr>
              <w:t>The condition must affect the ascending colon,</w:t>
            </w:r>
          </w:p>
          <w:p w:rsidR="00CF413B" w:rsidRPr="007C652F" w:rsidRDefault="00CF413B" w:rsidP="00CB799E">
            <w:pPr>
              <w:keepNext/>
              <w:rPr>
                <w:rFonts w:ascii="Arial Narrow" w:hAnsi="Arial Narrow" w:cs="Arial"/>
                <w:sz w:val="20"/>
              </w:rPr>
            </w:pPr>
            <w:r w:rsidRPr="007C652F">
              <w:rPr>
                <w:rFonts w:ascii="Arial Narrow" w:hAnsi="Arial Narrow" w:cs="Arial"/>
                <w:sz w:val="20"/>
              </w:rPr>
              <w:t>OR</w:t>
            </w:r>
          </w:p>
          <w:p w:rsidR="00573996" w:rsidRPr="007C652F" w:rsidRDefault="00CF413B" w:rsidP="00CB799E">
            <w:pPr>
              <w:keepNext/>
              <w:spacing w:before="40" w:after="40"/>
              <w:rPr>
                <w:rFonts w:ascii="Arial Narrow" w:hAnsi="Arial Narrow" w:cs="Arial"/>
                <w:sz w:val="20"/>
                <w:szCs w:val="20"/>
              </w:rPr>
            </w:pPr>
            <w:r w:rsidRPr="007C652F">
              <w:rPr>
                <w:rFonts w:ascii="Arial Narrow" w:hAnsi="Arial Narrow" w:cs="Arial"/>
                <w:sz w:val="20"/>
              </w:rPr>
              <w:t>The condition must affect the ileum and ascending colon.</w:t>
            </w:r>
          </w:p>
        </w:tc>
      </w:tr>
      <w:tr w:rsidR="00D25A01" w:rsidRPr="007C652F" w:rsidTr="00E77BA8">
        <w:trPr>
          <w:gridAfter w:val="1"/>
          <w:wAfter w:w="4"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CF413B" w:rsidRPr="007C652F" w:rsidRDefault="00CF413B" w:rsidP="00CB799E">
            <w:pPr>
              <w:keepNext/>
              <w:spacing w:before="40" w:after="40"/>
              <w:jc w:val="both"/>
              <w:rPr>
                <w:rFonts w:ascii="Arial Narrow" w:hAnsi="Arial Narrow" w:cs="Arial"/>
                <w:b/>
                <w:strike/>
                <w:sz w:val="20"/>
                <w:szCs w:val="20"/>
              </w:rPr>
            </w:pPr>
            <w:r w:rsidRPr="007C652F">
              <w:rPr>
                <w:rFonts w:ascii="Arial Narrow" w:hAnsi="Arial Narrow" w:cs="Arial"/>
                <w:b/>
                <w:strike/>
                <w:sz w:val="20"/>
                <w:szCs w:val="20"/>
              </w:rPr>
              <w:t>Population criteria:</w:t>
            </w:r>
          </w:p>
        </w:tc>
        <w:tc>
          <w:tcPr>
            <w:tcW w:w="3922" w:type="pct"/>
            <w:gridSpan w:val="6"/>
            <w:tcBorders>
              <w:top w:val="single" w:sz="4" w:space="0" w:color="auto"/>
              <w:left w:val="single" w:sz="4" w:space="0" w:color="auto"/>
              <w:bottom w:val="single" w:sz="4" w:space="0" w:color="auto"/>
              <w:right w:val="single" w:sz="4" w:space="0" w:color="auto"/>
            </w:tcBorders>
          </w:tcPr>
          <w:p w:rsidR="00CF413B" w:rsidRPr="007C652F" w:rsidRDefault="00CF413B" w:rsidP="00CB799E">
            <w:pPr>
              <w:keepNext/>
              <w:contextualSpacing/>
              <w:rPr>
                <w:rFonts w:ascii="Arial Narrow" w:hAnsi="Arial Narrow" w:cs="Arial"/>
                <w:strike/>
                <w:sz w:val="20"/>
              </w:rPr>
            </w:pPr>
            <w:r w:rsidRPr="007C652F">
              <w:rPr>
                <w:rFonts w:ascii="Arial Narrow" w:hAnsi="Arial Narrow" w:cs="Arial"/>
                <w:strike/>
                <w:sz w:val="20"/>
              </w:rPr>
              <w:t xml:space="preserve">Patient must not have systemic or local bacterial, fungal or viral infections </w:t>
            </w:r>
          </w:p>
          <w:p w:rsidR="00CF413B" w:rsidRPr="007C652F" w:rsidRDefault="00CF413B" w:rsidP="00CB799E">
            <w:pPr>
              <w:keepNext/>
              <w:contextualSpacing/>
              <w:rPr>
                <w:rFonts w:ascii="Arial Narrow" w:hAnsi="Arial Narrow" w:cs="Arial"/>
                <w:strike/>
                <w:sz w:val="20"/>
              </w:rPr>
            </w:pPr>
            <w:r w:rsidRPr="007C652F">
              <w:rPr>
                <w:rFonts w:ascii="Arial Narrow" w:hAnsi="Arial Narrow" w:cs="Arial"/>
                <w:strike/>
                <w:sz w:val="20"/>
              </w:rPr>
              <w:t>AND</w:t>
            </w:r>
          </w:p>
          <w:p w:rsidR="00CF413B" w:rsidRPr="007C652F" w:rsidRDefault="00CF413B" w:rsidP="00CB799E">
            <w:pPr>
              <w:keepNext/>
              <w:spacing w:before="40" w:after="40"/>
              <w:rPr>
                <w:rFonts w:ascii="Arial Narrow" w:hAnsi="Arial Narrow" w:cs="Arial"/>
                <w:sz w:val="20"/>
                <w:szCs w:val="20"/>
              </w:rPr>
            </w:pPr>
            <w:r w:rsidRPr="007C652F">
              <w:rPr>
                <w:rFonts w:ascii="Arial Narrow" w:hAnsi="Arial Narrow" w:cs="Arial"/>
                <w:strike/>
                <w:sz w:val="20"/>
              </w:rPr>
              <w:t>Patients must not have hypersensitivity to any of the ingredients</w:t>
            </w:r>
            <w:r w:rsidRPr="007C652F">
              <w:rPr>
                <w:rFonts w:ascii="Arial Narrow" w:hAnsi="Arial Narrow" w:cs="Arial"/>
                <w:sz w:val="20"/>
              </w:rPr>
              <w:t xml:space="preserve">  </w:t>
            </w:r>
          </w:p>
        </w:tc>
      </w:tr>
      <w:tr w:rsidR="00D25A01" w:rsidRPr="007C652F" w:rsidTr="00E77BA8">
        <w:trPr>
          <w:gridAfter w:val="1"/>
          <w:wAfter w:w="4"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CF413B" w:rsidRPr="007C652F" w:rsidRDefault="00CF413B"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Prescriber Instructions</w:t>
            </w:r>
          </w:p>
          <w:p w:rsidR="00CF413B" w:rsidRPr="007C652F" w:rsidRDefault="00CF413B" w:rsidP="00CB799E">
            <w:pPr>
              <w:keepNext/>
              <w:spacing w:before="40" w:after="40"/>
              <w:jc w:val="both"/>
              <w:rPr>
                <w:rFonts w:ascii="Arial Narrow" w:hAnsi="Arial Narrow" w:cs="Arial"/>
                <w:sz w:val="20"/>
                <w:szCs w:val="20"/>
              </w:rPr>
            </w:pPr>
          </w:p>
        </w:tc>
        <w:tc>
          <w:tcPr>
            <w:tcW w:w="3922" w:type="pct"/>
            <w:gridSpan w:val="6"/>
            <w:tcBorders>
              <w:top w:val="single" w:sz="4" w:space="0" w:color="auto"/>
              <w:left w:val="single" w:sz="4" w:space="0" w:color="auto"/>
              <w:bottom w:val="single" w:sz="4" w:space="0" w:color="auto"/>
              <w:right w:val="single" w:sz="4" w:space="0" w:color="auto"/>
            </w:tcBorders>
            <w:vAlign w:val="center"/>
          </w:tcPr>
          <w:p w:rsidR="00CF413B" w:rsidRPr="007C652F" w:rsidRDefault="00CF413B" w:rsidP="00CB799E">
            <w:pPr>
              <w:keepNext/>
              <w:contextualSpacing/>
              <w:rPr>
                <w:rFonts w:ascii="Arial Narrow" w:hAnsi="Arial Narrow" w:cs="Arial"/>
                <w:strike/>
                <w:sz w:val="20"/>
              </w:rPr>
            </w:pPr>
            <w:r w:rsidRPr="007C652F">
              <w:rPr>
                <w:rFonts w:ascii="Arial Narrow" w:hAnsi="Arial Narrow" w:cs="Arial"/>
                <w:strike/>
                <w:sz w:val="20"/>
              </w:rPr>
              <w:t xml:space="preserve">When treatment with this drug </w:t>
            </w:r>
            <w:r w:rsidRPr="007C652F">
              <w:rPr>
                <w:rFonts w:ascii="Arial Narrow" w:hAnsi="Arial Narrow" w:cs="Arial"/>
                <w:i/>
                <w:strike/>
                <w:sz w:val="20"/>
              </w:rPr>
              <w:t>is</w:t>
            </w:r>
            <w:r w:rsidRPr="007C652F">
              <w:rPr>
                <w:rFonts w:ascii="Arial Narrow" w:hAnsi="Arial Narrow" w:cs="Arial"/>
                <w:strike/>
                <w:sz w:val="20"/>
              </w:rPr>
              <w:t xml:space="preserve"> to be discontinued, the dose should be tapered from 9 mg </w:t>
            </w:r>
            <w:r w:rsidRPr="007C652F">
              <w:rPr>
                <w:rFonts w:ascii="Arial Narrow" w:hAnsi="Arial Narrow" w:cs="Arial"/>
                <w:i/>
                <w:strike/>
                <w:sz w:val="20"/>
              </w:rPr>
              <w:t xml:space="preserve">daily </w:t>
            </w:r>
            <w:r w:rsidRPr="007C652F">
              <w:rPr>
                <w:rFonts w:ascii="Arial Narrow" w:hAnsi="Arial Narrow" w:cs="Arial"/>
                <w:strike/>
                <w:sz w:val="20"/>
              </w:rPr>
              <w:t>to 0 mg daily over the last 2 to 4 weeks of therapy and not stopped abruptly.</w:t>
            </w:r>
          </w:p>
          <w:p w:rsidR="00CF413B" w:rsidRPr="007C652F" w:rsidRDefault="00CF413B" w:rsidP="00CB799E">
            <w:pPr>
              <w:keepNext/>
              <w:contextualSpacing/>
              <w:rPr>
                <w:rFonts w:ascii="Arial Narrow" w:hAnsi="Arial Narrow" w:cs="Arial"/>
                <w:sz w:val="20"/>
              </w:rPr>
            </w:pPr>
          </w:p>
          <w:p w:rsidR="00CF413B" w:rsidRPr="007C652F" w:rsidRDefault="00CF413B" w:rsidP="00CB799E">
            <w:pPr>
              <w:keepNext/>
              <w:spacing w:before="40" w:after="40"/>
              <w:rPr>
                <w:rFonts w:ascii="Arial Narrow" w:hAnsi="Arial Narrow" w:cs="Arial"/>
                <w:sz w:val="20"/>
                <w:szCs w:val="20"/>
              </w:rPr>
            </w:pPr>
            <w:r w:rsidRPr="007C652F">
              <w:rPr>
                <w:rFonts w:ascii="Arial Narrow" w:hAnsi="Arial Narrow" w:cs="Arial"/>
                <w:sz w:val="20"/>
              </w:rPr>
              <w:t xml:space="preserve">The total duration of therapy should be no more than 12 weeks in any single course. </w:t>
            </w:r>
          </w:p>
        </w:tc>
      </w:tr>
      <w:tr w:rsidR="00D25A01" w:rsidRPr="007C652F" w:rsidTr="00E77BA8">
        <w:trPr>
          <w:gridAfter w:val="1"/>
          <w:wAfter w:w="4" w:type="pct"/>
          <w:cantSplit/>
          <w:trHeight w:val="360"/>
        </w:trPr>
        <w:tc>
          <w:tcPr>
            <w:tcW w:w="1074" w:type="pct"/>
            <w:tcBorders>
              <w:top w:val="single" w:sz="4" w:space="0" w:color="auto"/>
              <w:left w:val="single" w:sz="4" w:space="0" w:color="auto"/>
              <w:bottom w:val="single" w:sz="4" w:space="0" w:color="auto"/>
              <w:right w:val="single" w:sz="4" w:space="0" w:color="auto"/>
            </w:tcBorders>
          </w:tcPr>
          <w:p w:rsidR="00CF413B" w:rsidRPr="007C652F" w:rsidRDefault="00CF413B" w:rsidP="00CB799E">
            <w:pPr>
              <w:keepNext/>
              <w:spacing w:before="40" w:after="40"/>
              <w:jc w:val="both"/>
              <w:rPr>
                <w:rFonts w:ascii="Arial Narrow" w:hAnsi="Arial Narrow" w:cs="Arial"/>
                <w:b/>
                <w:sz w:val="20"/>
                <w:szCs w:val="20"/>
              </w:rPr>
            </w:pPr>
            <w:r w:rsidRPr="007C652F">
              <w:rPr>
                <w:rFonts w:ascii="Arial Narrow" w:hAnsi="Arial Narrow" w:cs="Arial"/>
                <w:b/>
                <w:sz w:val="20"/>
                <w:szCs w:val="20"/>
              </w:rPr>
              <w:t>Administrative Advice</w:t>
            </w:r>
          </w:p>
          <w:p w:rsidR="00CF413B" w:rsidRPr="007C652F" w:rsidRDefault="00CF413B" w:rsidP="00CB799E">
            <w:pPr>
              <w:keepNext/>
              <w:spacing w:before="40" w:after="40"/>
              <w:jc w:val="both"/>
              <w:rPr>
                <w:rFonts w:ascii="Arial Narrow" w:hAnsi="Arial Narrow" w:cs="Arial"/>
                <w:i/>
                <w:sz w:val="20"/>
                <w:szCs w:val="20"/>
              </w:rPr>
            </w:pPr>
          </w:p>
          <w:p w:rsidR="00CF413B" w:rsidRPr="007C652F" w:rsidRDefault="00CF413B" w:rsidP="00CB799E">
            <w:pPr>
              <w:keepNext/>
              <w:spacing w:before="40" w:after="40"/>
              <w:jc w:val="both"/>
              <w:rPr>
                <w:rFonts w:ascii="Arial Narrow" w:hAnsi="Arial Narrow" w:cs="Arial"/>
                <w:i/>
                <w:sz w:val="20"/>
                <w:szCs w:val="20"/>
              </w:rPr>
            </w:pPr>
          </w:p>
        </w:tc>
        <w:tc>
          <w:tcPr>
            <w:tcW w:w="3922" w:type="pct"/>
            <w:gridSpan w:val="6"/>
            <w:tcBorders>
              <w:top w:val="single" w:sz="4" w:space="0" w:color="auto"/>
              <w:left w:val="single" w:sz="4" w:space="0" w:color="auto"/>
              <w:bottom w:val="single" w:sz="4" w:space="0" w:color="auto"/>
              <w:right w:val="single" w:sz="4" w:space="0" w:color="auto"/>
            </w:tcBorders>
            <w:vAlign w:val="center"/>
          </w:tcPr>
          <w:p w:rsidR="00CF413B" w:rsidRPr="007C652F" w:rsidRDefault="00CF413B" w:rsidP="00CB799E">
            <w:pPr>
              <w:keepNext/>
              <w:spacing w:before="40" w:after="40"/>
              <w:rPr>
                <w:rFonts w:ascii="Arial Narrow" w:hAnsi="Arial Narrow" w:cs="Arial"/>
                <w:sz w:val="20"/>
                <w:szCs w:val="20"/>
              </w:rPr>
            </w:pPr>
            <w:r w:rsidRPr="007C652F">
              <w:rPr>
                <w:rFonts w:ascii="Arial Narrow" w:hAnsi="Arial Narrow" w:cs="Arial"/>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826F6D" w:rsidRPr="007C652F" w:rsidRDefault="00D57C6A" w:rsidP="00CB799E">
      <w:pPr>
        <w:rPr>
          <w:rFonts w:ascii="Arial Narrow" w:hAnsi="Arial Narrow" w:cs="Arial"/>
          <w:sz w:val="20"/>
        </w:rPr>
      </w:pPr>
      <w:r w:rsidRPr="007C652F">
        <w:rPr>
          <w:rFonts w:ascii="Arial Narrow" w:hAnsi="Arial Narrow" w:cs="Arial"/>
          <w:sz w:val="20"/>
        </w:rPr>
        <w:t xml:space="preserve">* Note: If the </w:t>
      </w:r>
      <w:r w:rsidR="0059576F">
        <w:rPr>
          <w:rFonts w:ascii="Arial Narrow" w:hAnsi="Arial Narrow" w:cs="Arial"/>
          <w:noProof/>
          <w:color w:val="000000"/>
          <w:sz w:val="20"/>
          <w:highlight w:val="black"/>
        </w:rPr>
        <w:t>'''''</w:t>
      </w:r>
      <w:r w:rsidRPr="007C652F">
        <w:rPr>
          <w:rFonts w:ascii="Arial Narrow" w:hAnsi="Arial Narrow" w:cs="Arial"/>
          <w:sz w:val="20"/>
        </w:rPr>
        <w:t>% safety premium is not accepted, then the DPMQ is $</w:t>
      </w:r>
      <w:r w:rsidR="0059576F">
        <w:rPr>
          <w:rFonts w:ascii="Arial Narrow" w:hAnsi="Arial Narrow" w:cs="Arial"/>
          <w:noProof/>
          <w:color w:val="000000"/>
          <w:sz w:val="20"/>
          <w:highlight w:val="black"/>
        </w:rPr>
        <w:t>''''''''''''''''''</w:t>
      </w:r>
    </w:p>
    <w:p w:rsidR="00D1455A" w:rsidRPr="007C652F" w:rsidRDefault="00D1455A" w:rsidP="00370FF0">
      <w:pPr>
        <w:pStyle w:val="Heading2"/>
        <w:keepLines/>
        <w:spacing w:before="120" w:after="120"/>
        <w:rPr>
          <w:rFonts w:asciiTheme="minorHAnsi" w:eastAsiaTheme="majorEastAsia" w:hAnsiTheme="minorHAnsi" w:cstheme="majorBidi"/>
          <w:sz w:val="28"/>
          <w:szCs w:val="28"/>
          <w:lang w:eastAsia="en-US"/>
        </w:rPr>
      </w:pPr>
      <w:r w:rsidRPr="007C652F">
        <w:rPr>
          <w:rFonts w:asciiTheme="minorHAnsi" w:eastAsiaTheme="majorEastAsia" w:hAnsiTheme="minorHAnsi" w:cstheme="majorBidi"/>
          <w:sz w:val="28"/>
          <w:szCs w:val="28"/>
          <w:lang w:eastAsia="en-US"/>
        </w:rPr>
        <w:t xml:space="preserve">Secretariat comments </w:t>
      </w:r>
      <w:r w:rsidR="00A77613" w:rsidRPr="007C652F">
        <w:rPr>
          <w:rFonts w:asciiTheme="minorHAnsi" w:eastAsiaTheme="majorEastAsia" w:hAnsiTheme="minorHAnsi" w:cstheme="majorBidi"/>
          <w:sz w:val="28"/>
          <w:szCs w:val="28"/>
          <w:lang w:eastAsia="en-US"/>
        </w:rPr>
        <w:t>on the restriction</w:t>
      </w:r>
    </w:p>
    <w:p w:rsidR="00317569" w:rsidRPr="007C652F" w:rsidRDefault="00D11E7C" w:rsidP="00370FF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T</w:t>
      </w:r>
      <w:r w:rsidR="00317569" w:rsidRPr="007C652F">
        <w:rPr>
          <w:rFonts w:asciiTheme="minorHAnsi" w:eastAsiaTheme="minorHAnsi" w:hAnsiTheme="minorHAnsi" w:cstheme="minorBidi"/>
          <w:snapToGrid/>
          <w:sz w:val="24"/>
          <w:szCs w:val="22"/>
        </w:rPr>
        <w:t>he treatment criter</w:t>
      </w:r>
      <w:r w:rsidR="00B0291F" w:rsidRPr="007C652F">
        <w:rPr>
          <w:rFonts w:asciiTheme="minorHAnsi" w:eastAsiaTheme="minorHAnsi" w:hAnsiTheme="minorHAnsi" w:cstheme="minorBidi"/>
          <w:snapToGrid/>
          <w:sz w:val="24"/>
          <w:szCs w:val="22"/>
        </w:rPr>
        <w:t>ion</w:t>
      </w:r>
      <w:r w:rsidR="00317569" w:rsidRPr="007C652F">
        <w:rPr>
          <w:rFonts w:asciiTheme="minorHAnsi" w:eastAsiaTheme="minorHAnsi" w:hAnsiTheme="minorHAnsi" w:cstheme="minorBidi"/>
          <w:snapToGrid/>
          <w:sz w:val="24"/>
          <w:szCs w:val="22"/>
        </w:rPr>
        <w:t xml:space="preserve"> “must be treated by a gastroenterologist” </w:t>
      </w:r>
      <w:r w:rsidR="00DB2780" w:rsidRPr="007C652F">
        <w:rPr>
          <w:rFonts w:asciiTheme="minorHAnsi" w:eastAsiaTheme="minorHAnsi" w:hAnsiTheme="minorHAnsi" w:cstheme="minorBidi"/>
          <w:snapToGrid/>
          <w:sz w:val="24"/>
          <w:szCs w:val="22"/>
        </w:rPr>
        <w:t>was</w:t>
      </w:r>
      <w:r w:rsidR="00113888" w:rsidRPr="007C652F">
        <w:rPr>
          <w:rFonts w:asciiTheme="minorHAnsi" w:eastAsiaTheme="minorHAnsi" w:hAnsiTheme="minorHAnsi" w:cstheme="minorBidi"/>
          <w:snapToGrid/>
          <w:sz w:val="24"/>
          <w:szCs w:val="22"/>
        </w:rPr>
        <w:t xml:space="preserve"> </w:t>
      </w:r>
      <w:r w:rsidR="00317569" w:rsidRPr="007C652F">
        <w:rPr>
          <w:rFonts w:asciiTheme="minorHAnsi" w:eastAsiaTheme="minorHAnsi" w:hAnsiTheme="minorHAnsi" w:cstheme="minorBidi"/>
          <w:snapToGrid/>
          <w:sz w:val="24"/>
          <w:szCs w:val="22"/>
        </w:rPr>
        <w:t>removed</w:t>
      </w:r>
      <w:r w:rsidR="00DB2780" w:rsidRPr="007C652F">
        <w:rPr>
          <w:rFonts w:asciiTheme="minorHAnsi" w:eastAsiaTheme="minorHAnsi" w:hAnsiTheme="minorHAnsi" w:cstheme="minorBidi"/>
          <w:snapToGrid/>
          <w:sz w:val="24"/>
          <w:szCs w:val="22"/>
        </w:rPr>
        <w:t xml:space="preserve"> from the proposed restriction</w:t>
      </w:r>
      <w:r w:rsidR="00317569" w:rsidRPr="007C652F">
        <w:rPr>
          <w:rFonts w:asciiTheme="minorHAnsi" w:eastAsiaTheme="minorHAnsi" w:hAnsiTheme="minorHAnsi" w:cstheme="minorBidi"/>
          <w:snapToGrid/>
          <w:sz w:val="24"/>
          <w:szCs w:val="22"/>
        </w:rPr>
        <w:t xml:space="preserve">. This follows the advice from the PBAC in July 2018 to align with the restrictions for mesalazine and prednisolone. </w:t>
      </w:r>
    </w:p>
    <w:p w:rsidR="003F5E01" w:rsidRPr="007C652F" w:rsidRDefault="00F42CDB" w:rsidP="00370FF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 xml:space="preserve">The Secretariat amended </w:t>
      </w:r>
      <w:r w:rsidR="00D11E7C" w:rsidRPr="007C652F">
        <w:rPr>
          <w:rFonts w:asciiTheme="minorHAnsi" w:eastAsiaTheme="minorHAnsi" w:hAnsiTheme="minorHAnsi" w:cstheme="minorBidi"/>
          <w:snapToGrid/>
          <w:sz w:val="24"/>
          <w:szCs w:val="22"/>
        </w:rPr>
        <w:t xml:space="preserve">the proposed listing </w:t>
      </w:r>
      <w:r w:rsidRPr="007C652F">
        <w:rPr>
          <w:rFonts w:asciiTheme="minorHAnsi" w:eastAsiaTheme="minorHAnsi" w:hAnsiTheme="minorHAnsi" w:cstheme="minorBidi"/>
          <w:snapToGrid/>
          <w:sz w:val="24"/>
          <w:szCs w:val="22"/>
        </w:rPr>
        <w:t xml:space="preserve">to include nurse practitioners as </w:t>
      </w:r>
      <w:r w:rsidR="00D11E7C" w:rsidRPr="007C652F">
        <w:rPr>
          <w:rFonts w:asciiTheme="minorHAnsi" w:eastAsiaTheme="minorHAnsi" w:hAnsiTheme="minorHAnsi" w:cstheme="minorBidi"/>
          <w:snapToGrid/>
          <w:sz w:val="24"/>
          <w:szCs w:val="22"/>
        </w:rPr>
        <w:t xml:space="preserve">the submission </w:t>
      </w:r>
      <w:r w:rsidR="008076CA" w:rsidRPr="007C652F">
        <w:rPr>
          <w:rFonts w:asciiTheme="minorHAnsi" w:eastAsiaTheme="minorHAnsi" w:hAnsiTheme="minorHAnsi" w:cstheme="minorBidi"/>
          <w:snapToGrid/>
          <w:sz w:val="24"/>
          <w:szCs w:val="22"/>
        </w:rPr>
        <w:t xml:space="preserve">did not include </w:t>
      </w:r>
      <w:r w:rsidR="00D11E7C" w:rsidRPr="007C652F">
        <w:rPr>
          <w:rFonts w:asciiTheme="minorHAnsi" w:eastAsiaTheme="minorHAnsi" w:hAnsiTheme="minorHAnsi" w:cstheme="minorBidi"/>
          <w:snapToGrid/>
          <w:sz w:val="24"/>
          <w:szCs w:val="22"/>
        </w:rPr>
        <w:t xml:space="preserve">it in </w:t>
      </w:r>
      <w:r w:rsidRPr="007C652F">
        <w:rPr>
          <w:rFonts w:asciiTheme="minorHAnsi" w:eastAsiaTheme="minorHAnsi" w:hAnsiTheme="minorHAnsi" w:cstheme="minorBidi"/>
          <w:snapToGrid/>
          <w:sz w:val="24"/>
          <w:szCs w:val="22"/>
        </w:rPr>
        <w:t>error</w:t>
      </w:r>
      <w:r w:rsidR="00D11E7C" w:rsidRPr="007C652F">
        <w:rPr>
          <w:rFonts w:asciiTheme="minorHAnsi" w:eastAsiaTheme="minorHAnsi" w:hAnsiTheme="minorHAnsi" w:cstheme="minorBidi"/>
          <w:snapToGrid/>
          <w:sz w:val="24"/>
          <w:szCs w:val="22"/>
        </w:rPr>
        <w:t>. T</w:t>
      </w:r>
      <w:r w:rsidRPr="007C652F">
        <w:rPr>
          <w:rFonts w:asciiTheme="minorHAnsi" w:eastAsiaTheme="minorHAnsi" w:hAnsiTheme="minorHAnsi" w:cstheme="minorBidi"/>
          <w:snapToGrid/>
          <w:sz w:val="24"/>
          <w:szCs w:val="22"/>
        </w:rPr>
        <w:t>he PBAC advised that budesonide is suitable for prescribing by nurse prac</w:t>
      </w:r>
      <w:r w:rsidR="00337E77" w:rsidRPr="007C652F">
        <w:rPr>
          <w:rFonts w:asciiTheme="minorHAnsi" w:eastAsiaTheme="minorHAnsi" w:hAnsiTheme="minorHAnsi" w:cstheme="minorBidi"/>
          <w:snapToGrid/>
          <w:sz w:val="24"/>
          <w:szCs w:val="22"/>
        </w:rPr>
        <w:t>titioners at its</w:t>
      </w:r>
      <w:r w:rsidRPr="007C652F">
        <w:rPr>
          <w:rFonts w:asciiTheme="minorHAnsi" w:eastAsiaTheme="minorHAnsi" w:hAnsiTheme="minorHAnsi" w:cstheme="minorBidi"/>
          <w:snapToGrid/>
          <w:sz w:val="24"/>
          <w:szCs w:val="22"/>
        </w:rPr>
        <w:t xml:space="preserve"> July 2018 meeting and the restriction table</w:t>
      </w:r>
      <w:r w:rsidR="00337E77" w:rsidRPr="007C652F">
        <w:rPr>
          <w:rFonts w:asciiTheme="minorHAnsi" w:eastAsiaTheme="minorHAnsi" w:hAnsiTheme="minorHAnsi" w:cstheme="minorBidi"/>
          <w:snapToGrid/>
          <w:sz w:val="24"/>
          <w:szCs w:val="22"/>
        </w:rPr>
        <w:t xml:space="preserve"> </w:t>
      </w:r>
      <w:r w:rsidR="00337E77" w:rsidRPr="007C652F">
        <w:rPr>
          <w:rFonts w:asciiTheme="minorHAnsi" w:eastAsiaTheme="minorHAnsi" w:hAnsiTheme="minorHAnsi" w:cstheme="minorBidi"/>
          <w:snapToGrid/>
          <w:sz w:val="24"/>
          <w:szCs w:val="22"/>
        </w:rPr>
        <w:lastRenderedPageBreak/>
        <w:t>presented in this minor resubmission</w:t>
      </w:r>
      <w:r w:rsidRPr="007C652F">
        <w:rPr>
          <w:rFonts w:asciiTheme="minorHAnsi" w:eastAsiaTheme="minorHAnsi" w:hAnsiTheme="minorHAnsi" w:cstheme="minorBidi"/>
          <w:snapToGrid/>
          <w:sz w:val="24"/>
          <w:szCs w:val="22"/>
        </w:rPr>
        <w:t xml:space="preserve"> refers to nurse practitioners in the administrative advice section. </w:t>
      </w:r>
    </w:p>
    <w:p w:rsidR="00DB2780" w:rsidRPr="007C652F" w:rsidRDefault="00DB2780" w:rsidP="00370FF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 xml:space="preserve">The Secretariat also removed the proposed prescriber instruction stating ‘When treatment with this drug is to be discontinued, the dose should be tapered from 9 mg daily to 0 mg daily over the last 2 to 4 weeks of therapy and not stopped abruptly’ as the PBAC previously considered that </w:t>
      </w:r>
      <w:r w:rsidR="009739EC" w:rsidRPr="007C652F">
        <w:rPr>
          <w:rFonts w:asciiTheme="minorHAnsi" w:eastAsiaTheme="minorHAnsi" w:hAnsiTheme="minorHAnsi" w:cstheme="minorBidi"/>
          <w:snapToGrid/>
          <w:sz w:val="24"/>
          <w:szCs w:val="22"/>
        </w:rPr>
        <w:t xml:space="preserve">this </w:t>
      </w:r>
      <w:r w:rsidRPr="007C652F">
        <w:rPr>
          <w:rFonts w:asciiTheme="minorHAnsi" w:eastAsiaTheme="minorHAnsi" w:hAnsiTheme="minorHAnsi" w:cstheme="minorBidi"/>
          <w:snapToGrid/>
          <w:sz w:val="24"/>
          <w:szCs w:val="22"/>
        </w:rPr>
        <w:t xml:space="preserve">was not required to administer the listing (paragraph 2.4, item 7.11 budesonide </w:t>
      </w:r>
      <w:r w:rsidR="0047033F">
        <w:rPr>
          <w:rFonts w:asciiTheme="minorHAnsi" w:eastAsiaTheme="minorHAnsi" w:hAnsiTheme="minorHAnsi" w:cstheme="minorBidi"/>
          <w:snapToGrid/>
          <w:sz w:val="24"/>
          <w:szCs w:val="22"/>
        </w:rPr>
        <w:t>Pubic Summary Document (</w:t>
      </w:r>
      <w:r w:rsidRPr="007C652F">
        <w:rPr>
          <w:rFonts w:asciiTheme="minorHAnsi" w:eastAsiaTheme="minorHAnsi" w:hAnsiTheme="minorHAnsi" w:cstheme="minorBidi"/>
          <w:snapToGrid/>
          <w:sz w:val="24"/>
          <w:szCs w:val="22"/>
        </w:rPr>
        <w:t>PSD</w:t>
      </w:r>
      <w:r w:rsidR="0047033F">
        <w:rPr>
          <w:rFonts w:asciiTheme="minorHAnsi" w:eastAsiaTheme="minorHAnsi" w:hAnsiTheme="minorHAnsi" w:cstheme="minorBidi"/>
          <w:snapToGrid/>
          <w:sz w:val="24"/>
          <w:szCs w:val="22"/>
        </w:rPr>
        <w:t>)</w:t>
      </w:r>
      <w:r w:rsidR="00AA6705" w:rsidRPr="007C652F">
        <w:rPr>
          <w:rFonts w:asciiTheme="minorHAnsi" w:eastAsiaTheme="minorHAnsi" w:hAnsiTheme="minorHAnsi" w:cstheme="minorBidi"/>
          <w:snapToGrid/>
          <w:sz w:val="24"/>
          <w:szCs w:val="22"/>
        </w:rPr>
        <w:t>, July 2018</w:t>
      </w:r>
      <w:r w:rsidRPr="007C652F">
        <w:rPr>
          <w:rFonts w:asciiTheme="minorHAnsi" w:eastAsiaTheme="minorHAnsi" w:hAnsiTheme="minorHAnsi" w:cstheme="minorBidi"/>
          <w:snapToGrid/>
          <w:sz w:val="24"/>
          <w:szCs w:val="22"/>
        </w:rPr>
        <w:t>).</w:t>
      </w:r>
    </w:p>
    <w:p w:rsidR="001B3975" w:rsidRPr="007C652F" w:rsidRDefault="005F3EF0" w:rsidP="00370FF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 xml:space="preserve">The PBAC is asked to advise, under Section 101 (4AACD) of the National Health Act, if Budenofalk and Entocort should be considered equivalent for the purposes of substitution (i.e. ‘a’ flagged in the Schedule). </w:t>
      </w:r>
      <w:r w:rsidRPr="007C652F">
        <w:rPr>
          <w:rFonts w:asciiTheme="minorHAnsi" w:eastAsiaTheme="minorHAnsi" w:hAnsiTheme="minorHAnsi" w:cstheme="minorBidi"/>
          <w:snapToGrid/>
          <w:sz w:val="24"/>
          <w:szCs w:val="24"/>
        </w:rPr>
        <w:t>The Secretariat noted that Budenofalk and Entocort have different capsule formulations. Entocort is described as a “hard gelatine capsule filled with gastric acid-resistant, prolonged release granules for oral use. The granules are practically insoluble in gastric juice and have prolonged release properties adjusted to release budesonide in the ileum and the ascending colon.” (Entocort approved PI, p1).</w:t>
      </w:r>
      <w:r w:rsidRPr="007C652F">
        <w:rPr>
          <w:sz w:val="24"/>
          <w:szCs w:val="24"/>
        </w:rPr>
        <w:t xml:space="preserve"> </w:t>
      </w:r>
      <w:r w:rsidRPr="007C652F">
        <w:rPr>
          <w:rFonts w:asciiTheme="minorHAnsi" w:eastAsiaTheme="minorHAnsi" w:hAnsiTheme="minorHAnsi" w:cstheme="minorBidi"/>
          <w:snapToGrid/>
          <w:sz w:val="24"/>
          <w:szCs w:val="24"/>
        </w:rPr>
        <w:t xml:space="preserve">Budenofalk is described as an enteric capsule in the approved Product Information (PI) (p1). The pre-PBAC response stated that Entocort is a unique formulation of budesonide that is distinct from other forms of budesonide available, such that budesonide is released at different pH levels for Entocort (pH 5.5) when compared to the other available brands (Budenofalk pH 6.4; Cortiment pH 7). </w:t>
      </w:r>
      <w:r w:rsidRPr="007C652F">
        <w:rPr>
          <w:rFonts w:asciiTheme="minorHAnsi" w:eastAsiaTheme="minorHAnsi" w:hAnsiTheme="minorHAnsi" w:cstheme="minorBidi"/>
          <w:snapToGrid/>
          <w:sz w:val="24"/>
          <w:szCs w:val="22"/>
        </w:rPr>
        <w:t xml:space="preserve">The </w:t>
      </w:r>
      <w:r w:rsidR="00AA09BC" w:rsidRPr="007C652F">
        <w:rPr>
          <w:rFonts w:asciiTheme="minorHAnsi" w:eastAsiaTheme="minorHAnsi" w:hAnsiTheme="minorHAnsi" w:cstheme="minorBidi"/>
          <w:snapToGrid/>
          <w:sz w:val="24"/>
          <w:szCs w:val="22"/>
        </w:rPr>
        <w:t>pre-PBAC response stated that Entocort should not be considered as substitut</w:t>
      </w:r>
      <w:r w:rsidR="000B5002" w:rsidRPr="007C652F">
        <w:rPr>
          <w:rFonts w:asciiTheme="minorHAnsi" w:eastAsiaTheme="minorHAnsi" w:hAnsiTheme="minorHAnsi" w:cstheme="minorBidi"/>
          <w:snapToGrid/>
          <w:sz w:val="24"/>
          <w:szCs w:val="22"/>
        </w:rPr>
        <w:t xml:space="preserve">able </w:t>
      </w:r>
      <w:r w:rsidR="00AA09BC" w:rsidRPr="007C652F">
        <w:rPr>
          <w:rFonts w:asciiTheme="minorHAnsi" w:eastAsiaTheme="minorHAnsi" w:hAnsiTheme="minorHAnsi" w:cstheme="minorBidi"/>
          <w:snapToGrid/>
          <w:sz w:val="24"/>
          <w:szCs w:val="22"/>
        </w:rPr>
        <w:t>with other brands</w:t>
      </w:r>
      <w:r w:rsidRPr="007C652F">
        <w:rPr>
          <w:rFonts w:asciiTheme="minorHAnsi" w:eastAsiaTheme="minorHAnsi" w:hAnsiTheme="minorHAnsi" w:cstheme="minorBidi"/>
          <w:snapToGrid/>
          <w:sz w:val="24"/>
          <w:szCs w:val="22"/>
        </w:rPr>
        <w:t>.</w:t>
      </w:r>
      <w:r w:rsidR="001B3975" w:rsidRPr="007C652F">
        <w:rPr>
          <w:rFonts w:asciiTheme="minorHAnsi" w:eastAsiaTheme="minorHAnsi" w:hAnsiTheme="minorHAnsi" w:cstheme="minorBidi"/>
          <w:snapToGrid/>
          <w:sz w:val="24"/>
          <w:szCs w:val="22"/>
        </w:rPr>
        <w:t xml:space="preserve"> </w:t>
      </w:r>
    </w:p>
    <w:p w:rsidR="005F3EF0" w:rsidRPr="007C652F" w:rsidRDefault="001B3975" w:rsidP="00370FF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 xml:space="preserve">The Secretariat noted that the requested restriction is simple. </w:t>
      </w:r>
    </w:p>
    <w:p w:rsidR="00622D21" w:rsidRPr="007C652F" w:rsidRDefault="00622D21" w:rsidP="00370FF0">
      <w:pPr>
        <w:spacing w:before="120" w:after="120"/>
        <w:rPr>
          <w:rFonts w:asciiTheme="minorHAnsi" w:eastAsiaTheme="minorHAnsi" w:hAnsiTheme="minorHAnsi" w:cstheme="minorBidi"/>
          <w:szCs w:val="22"/>
        </w:rPr>
      </w:pPr>
      <w:r w:rsidRPr="007C652F">
        <w:rPr>
          <w:rFonts w:asciiTheme="minorHAnsi" w:hAnsiTheme="minorHAnsi"/>
          <w:i/>
        </w:rPr>
        <w:t>For more detail on PBAC’s view, see section 7 PBAC outcome.</w:t>
      </w:r>
    </w:p>
    <w:p w:rsidR="007D7943" w:rsidRPr="007C652F" w:rsidRDefault="007D7943" w:rsidP="00370FF0">
      <w:pPr>
        <w:pStyle w:val="PBACHeading1"/>
        <w:spacing w:before="120" w:after="120"/>
        <w:ind w:left="709" w:hanging="709"/>
        <w:rPr>
          <w:rFonts w:asciiTheme="minorHAnsi" w:hAnsiTheme="minorHAnsi"/>
          <w:sz w:val="32"/>
          <w:szCs w:val="32"/>
        </w:rPr>
      </w:pPr>
      <w:r w:rsidRPr="007C652F">
        <w:rPr>
          <w:rFonts w:asciiTheme="minorHAnsi" w:hAnsiTheme="minorHAnsi"/>
          <w:sz w:val="32"/>
          <w:szCs w:val="32"/>
        </w:rPr>
        <w:t>Background</w:t>
      </w:r>
    </w:p>
    <w:p w:rsidR="007D7943" w:rsidRPr="007C652F" w:rsidRDefault="007D7943" w:rsidP="00370FF0">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Budesonide was TGA registered in January 1998 for induction of remission in adult patients with mild to moderate CD affecting the ileum and/or the ascending colon</w:t>
      </w:r>
      <w:r w:rsidR="007576EF">
        <w:rPr>
          <w:rFonts w:asciiTheme="minorHAnsi" w:eastAsiaTheme="minorHAnsi" w:hAnsiTheme="minorHAnsi" w:cstheme="minorBidi"/>
          <w:snapToGrid/>
          <w:sz w:val="24"/>
          <w:szCs w:val="22"/>
        </w:rPr>
        <w:t xml:space="preserve">. </w:t>
      </w:r>
      <w:r w:rsidRPr="007576EF">
        <w:rPr>
          <w:rFonts w:asciiTheme="minorHAnsi" w:eastAsiaTheme="minorHAnsi" w:hAnsiTheme="minorHAnsi" w:cstheme="minorBidi"/>
          <w:snapToGrid/>
          <w:sz w:val="24"/>
          <w:szCs w:val="22"/>
        </w:rPr>
        <w:t>It is noted that in Australia, budesonide is not registered for use in maintenance of remission</w:t>
      </w:r>
      <w:r w:rsidR="007576EF">
        <w:rPr>
          <w:rFonts w:asciiTheme="minorHAnsi" w:eastAsiaTheme="minorHAnsi" w:hAnsiTheme="minorHAnsi" w:cstheme="minorBidi"/>
          <w:snapToGrid/>
          <w:sz w:val="24"/>
          <w:szCs w:val="22"/>
        </w:rPr>
        <w:t xml:space="preserve">. </w:t>
      </w:r>
      <w:r w:rsidRPr="007576EF">
        <w:rPr>
          <w:rFonts w:asciiTheme="minorHAnsi" w:eastAsiaTheme="minorHAnsi" w:hAnsiTheme="minorHAnsi" w:cstheme="minorBidi"/>
          <w:snapToGrid/>
          <w:sz w:val="24"/>
          <w:szCs w:val="22"/>
        </w:rPr>
        <w:t>It is registered for maintenance therapy in some countries (e.g., USA, Canada), but due to the risk of glucocorticoid side effects associated with prolonged use, guidelines do not recommend budesonide be used in this manner</w:t>
      </w:r>
      <w:r w:rsidRPr="007C652F">
        <w:rPr>
          <w:vertAlign w:val="superscript"/>
        </w:rPr>
        <w:footnoteReference w:id="1"/>
      </w:r>
      <w:r w:rsidRPr="007C652F">
        <w:rPr>
          <w:vertAlign w:val="superscript"/>
        </w:rPr>
        <w:t>,</w:t>
      </w:r>
      <w:r w:rsidRPr="007C652F">
        <w:rPr>
          <w:vertAlign w:val="superscript"/>
        </w:rPr>
        <w:footnoteReference w:id="2"/>
      </w:r>
      <w:r w:rsidRPr="007C652F">
        <w:t>.</w:t>
      </w:r>
    </w:p>
    <w:p w:rsidR="007D7943" w:rsidRPr="007576EF" w:rsidRDefault="007D7943" w:rsidP="00370FF0">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7576EF">
        <w:rPr>
          <w:rFonts w:asciiTheme="minorHAnsi" w:eastAsiaTheme="minorHAnsi" w:hAnsiTheme="minorHAnsi" w:cstheme="minorBidi"/>
          <w:snapToGrid/>
          <w:sz w:val="24"/>
          <w:szCs w:val="22"/>
        </w:rPr>
        <w:t xml:space="preserve">Budesonide in this presentation was previously considered by the PBAC at its November 2017 meeting and July 2018 meeting. </w:t>
      </w:r>
    </w:p>
    <w:p w:rsidR="007D7943" w:rsidRPr="007576EF" w:rsidRDefault="007D7943" w:rsidP="00370FF0">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7576EF">
        <w:rPr>
          <w:rFonts w:asciiTheme="minorHAnsi" w:eastAsiaTheme="minorHAnsi" w:hAnsiTheme="minorHAnsi" w:cstheme="minorBidi"/>
          <w:snapToGrid/>
          <w:sz w:val="24"/>
          <w:szCs w:val="22"/>
        </w:rPr>
        <w:t>The PBAC did not recommend the listing of budesonide at the November 2017 meeting on the basis that</w:t>
      </w:r>
      <w:r w:rsidRPr="007576EF">
        <w:t xml:space="preserve"> </w:t>
      </w:r>
      <w:r w:rsidR="007576EF" w:rsidRPr="007576EF">
        <w:rPr>
          <w:rFonts w:asciiTheme="minorHAnsi" w:eastAsiaTheme="minorHAnsi" w:hAnsiTheme="minorHAnsi" w:cstheme="minorBidi"/>
          <w:snapToGrid/>
          <w:sz w:val="24"/>
          <w:szCs w:val="22"/>
        </w:rPr>
        <w:t>mesalazine,</w:t>
      </w:r>
      <w:r w:rsidRPr="007576EF">
        <w:rPr>
          <w:rFonts w:asciiTheme="minorHAnsi" w:eastAsiaTheme="minorHAnsi" w:hAnsiTheme="minorHAnsi" w:cstheme="minorBidi"/>
          <w:snapToGrid/>
          <w:sz w:val="24"/>
          <w:szCs w:val="22"/>
        </w:rPr>
        <w:t xml:space="preserve"> as the nominated comparator was </w:t>
      </w:r>
      <w:r w:rsidRPr="007576EF">
        <w:rPr>
          <w:rFonts w:asciiTheme="minorHAnsi" w:eastAsiaTheme="minorHAnsi" w:hAnsiTheme="minorHAnsi" w:cstheme="minorBidi"/>
          <w:snapToGrid/>
          <w:sz w:val="24"/>
          <w:szCs w:val="22"/>
        </w:rPr>
        <w:lastRenderedPageBreak/>
        <w:t>inappropriate based on current clinical practice. Prednisolone (or a similar oral corticosteroid) was considered by the PBAC as a more appropriate comparator for budesonide as it is the treatment most likely to be replaced in practice. The PBAC considered that the cost-effectiveness against an appropriate comparator had not been established (paragraph 7.1 and 7.4, budesonide PSD, November 2017).</w:t>
      </w:r>
    </w:p>
    <w:p w:rsidR="00E26127" w:rsidRPr="007C652F" w:rsidRDefault="00D71ABD" w:rsidP="00370FF0">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7576EF">
        <w:rPr>
          <w:rFonts w:asciiTheme="minorHAnsi" w:eastAsiaTheme="minorHAnsi" w:hAnsiTheme="minorHAnsi" w:cstheme="minorBidi"/>
          <w:snapToGrid/>
          <w:sz w:val="24"/>
          <w:szCs w:val="22"/>
        </w:rPr>
        <w:t xml:space="preserve">The PBAC recommended the listing of budesonide at the July 2018 meeting. The sponsor proposed a mixed comparator of mesalazine and prednisolone (with a weighting of </w:t>
      </w:r>
      <w:r w:rsidR="0059576F">
        <w:rPr>
          <w:rFonts w:asciiTheme="minorHAnsi" w:eastAsiaTheme="minorHAnsi" w:hAnsiTheme="minorHAnsi" w:cstheme="minorBidi"/>
          <w:noProof/>
          <w:snapToGrid/>
          <w:color w:val="000000"/>
          <w:sz w:val="24"/>
          <w:szCs w:val="22"/>
          <w:highlight w:val="black"/>
        </w:rPr>
        <w:t>''''''''</w:t>
      </w:r>
      <w:r w:rsidRPr="007576EF">
        <w:rPr>
          <w:rFonts w:asciiTheme="minorHAnsi" w:eastAsiaTheme="minorHAnsi" w:hAnsiTheme="minorHAnsi" w:cstheme="minorBidi"/>
          <w:snapToGrid/>
          <w:sz w:val="24"/>
          <w:szCs w:val="22"/>
        </w:rPr>
        <w:t xml:space="preserve">% and </w:t>
      </w:r>
      <w:r w:rsidR="0059576F">
        <w:rPr>
          <w:rFonts w:asciiTheme="minorHAnsi" w:eastAsiaTheme="minorHAnsi" w:hAnsiTheme="minorHAnsi" w:cstheme="minorBidi"/>
          <w:noProof/>
          <w:snapToGrid/>
          <w:color w:val="000000"/>
          <w:sz w:val="24"/>
          <w:szCs w:val="22"/>
          <w:highlight w:val="black"/>
        </w:rPr>
        <w:t>''''''''</w:t>
      </w:r>
      <w:r w:rsidRPr="007576EF">
        <w:rPr>
          <w:rFonts w:asciiTheme="minorHAnsi" w:eastAsiaTheme="minorHAnsi" w:hAnsiTheme="minorHAnsi" w:cstheme="minorBidi"/>
          <w:snapToGrid/>
          <w:sz w:val="24"/>
          <w:szCs w:val="22"/>
        </w:rPr>
        <w:t>%</w:t>
      </w:r>
      <w:r w:rsidR="004427B9" w:rsidRPr="007C652F">
        <w:rPr>
          <w:rFonts w:asciiTheme="minorHAnsi" w:eastAsiaTheme="minorHAnsi" w:hAnsiTheme="minorHAnsi" w:cstheme="minorBidi"/>
          <w:snapToGrid/>
          <w:sz w:val="24"/>
          <w:szCs w:val="22"/>
        </w:rPr>
        <w:t xml:space="preserve"> respectively</w:t>
      </w:r>
      <w:r w:rsidRPr="007C652F">
        <w:rPr>
          <w:rFonts w:asciiTheme="minorHAnsi" w:eastAsiaTheme="minorHAnsi" w:hAnsiTheme="minorHAnsi" w:cstheme="minorBidi"/>
          <w:snapToGrid/>
          <w:sz w:val="24"/>
          <w:szCs w:val="22"/>
        </w:rPr>
        <w:t>), and while the PBAC accepted the mixed comparator, it did not accept the proposed proportions</w:t>
      </w:r>
      <w:r w:rsidR="00541BD2" w:rsidRPr="007C652F">
        <w:rPr>
          <w:rFonts w:asciiTheme="minorHAnsi" w:eastAsiaTheme="minorHAnsi" w:hAnsiTheme="minorHAnsi" w:cstheme="minorBidi"/>
          <w:snapToGrid/>
          <w:sz w:val="24"/>
          <w:szCs w:val="22"/>
        </w:rPr>
        <w:t xml:space="preserve"> </w:t>
      </w:r>
      <w:r w:rsidR="00AC6984" w:rsidRPr="007C652F">
        <w:rPr>
          <w:rFonts w:asciiTheme="minorHAnsi" w:eastAsiaTheme="minorHAnsi" w:hAnsiTheme="minorHAnsi" w:cstheme="minorBidi"/>
          <w:snapToGrid/>
          <w:sz w:val="24"/>
          <w:szCs w:val="22"/>
        </w:rPr>
        <w:t>(paragraph 7.4, budesonide PSD, July 2018)</w:t>
      </w:r>
      <w:r w:rsidR="00FA4F14" w:rsidRPr="007C652F">
        <w:rPr>
          <w:rFonts w:asciiTheme="minorHAnsi" w:eastAsiaTheme="minorHAnsi" w:hAnsiTheme="minorHAnsi" w:cstheme="minorBidi"/>
          <w:snapToGrid/>
          <w:sz w:val="24"/>
          <w:szCs w:val="22"/>
        </w:rPr>
        <w:t xml:space="preserve">. </w:t>
      </w:r>
    </w:p>
    <w:p w:rsidR="00622D21" w:rsidRPr="007C652F" w:rsidRDefault="00622D21" w:rsidP="00370FF0">
      <w:pPr>
        <w:spacing w:before="120" w:after="120"/>
        <w:rPr>
          <w:rFonts w:asciiTheme="minorHAnsi" w:eastAsiaTheme="minorHAnsi" w:hAnsiTheme="minorHAnsi" w:cstheme="minorBidi"/>
          <w:szCs w:val="22"/>
        </w:rPr>
      </w:pPr>
      <w:r w:rsidRPr="007C652F">
        <w:rPr>
          <w:rFonts w:asciiTheme="minorHAnsi" w:hAnsiTheme="minorHAnsi"/>
          <w:i/>
        </w:rPr>
        <w:t>For more detail on PBAC’s view, see section 7 PBAC outcome.</w:t>
      </w:r>
    </w:p>
    <w:p w:rsidR="00CE10C4" w:rsidRPr="007C652F" w:rsidRDefault="00774DDF" w:rsidP="00370FF0">
      <w:pPr>
        <w:pStyle w:val="PBACHeading1"/>
        <w:spacing w:before="120" w:after="120"/>
        <w:ind w:left="709" w:hanging="709"/>
        <w:rPr>
          <w:rFonts w:asciiTheme="minorHAnsi" w:hAnsiTheme="minorHAnsi"/>
          <w:sz w:val="32"/>
          <w:szCs w:val="32"/>
        </w:rPr>
      </w:pPr>
      <w:r w:rsidRPr="007C652F">
        <w:rPr>
          <w:rFonts w:asciiTheme="minorHAnsi" w:hAnsiTheme="minorHAnsi"/>
          <w:sz w:val="32"/>
          <w:szCs w:val="32"/>
        </w:rPr>
        <w:t>Population and disease</w:t>
      </w:r>
    </w:p>
    <w:p w:rsidR="0028584C" w:rsidRPr="003506CF" w:rsidRDefault="0028584C" w:rsidP="00370FF0">
      <w:pPr>
        <w:pStyle w:val="ListParagraph"/>
        <w:widowControl/>
        <w:numPr>
          <w:ilvl w:val="1"/>
          <w:numId w:val="14"/>
        </w:numPr>
        <w:spacing w:before="120" w:after="120"/>
        <w:contextualSpacing w:val="0"/>
        <w:rPr>
          <w:rFonts w:asciiTheme="minorHAnsi" w:hAnsiTheme="minorHAnsi"/>
          <w:bCs/>
          <w:sz w:val="24"/>
          <w:szCs w:val="24"/>
        </w:rPr>
      </w:pPr>
      <w:r w:rsidRPr="003506CF">
        <w:rPr>
          <w:rFonts w:asciiTheme="minorHAnsi" w:hAnsiTheme="minorHAnsi"/>
          <w:bCs/>
          <w:sz w:val="24"/>
          <w:szCs w:val="24"/>
        </w:rPr>
        <w:t>The clinical place of budesonide in mild to moderate CD remains unchanged from the previous submission</w:t>
      </w:r>
      <w:r w:rsidR="000303D4" w:rsidRPr="003506CF">
        <w:rPr>
          <w:rFonts w:asciiTheme="minorHAnsi" w:hAnsiTheme="minorHAnsi"/>
          <w:bCs/>
          <w:sz w:val="24"/>
          <w:szCs w:val="24"/>
        </w:rPr>
        <w:t>s</w:t>
      </w:r>
      <w:r w:rsidRPr="003506CF">
        <w:rPr>
          <w:rFonts w:asciiTheme="minorHAnsi" w:hAnsiTheme="minorHAnsi"/>
          <w:bCs/>
          <w:sz w:val="24"/>
          <w:szCs w:val="24"/>
        </w:rPr>
        <w:t xml:space="preserve">. </w:t>
      </w:r>
      <w:r w:rsidR="00726C5C" w:rsidRPr="003506CF">
        <w:rPr>
          <w:rFonts w:asciiTheme="minorHAnsi" w:hAnsiTheme="minorHAnsi"/>
          <w:bCs/>
          <w:sz w:val="24"/>
          <w:szCs w:val="24"/>
        </w:rPr>
        <w:t xml:space="preserve">In </w:t>
      </w:r>
      <w:r w:rsidR="000303D4" w:rsidRPr="003506CF">
        <w:rPr>
          <w:rFonts w:asciiTheme="minorHAnsi" w:hAnsiTheme="minorHAnsi"/>
          <w:bCs/>
          <w:sz w:val="24"/>
          <w:szCs w:val="24"/>
        </w:rPr>
        <w:t>November 2017</w:t>
      </w:r>
      <w:r w:rsidR="00726C5C" w:rsidRPr="003506CF">
        <w:rPr>
          <w:rFonts w:asciiTheme="minorHAnsi" w:hAnsiTheme="minorHAnsi"/>
          <w:bCs/>
          <w:sz w:val="24"/>
          <w:szCs w:val="24"/>
        </w:rPr>
        <w:t>, t</w:t>
      </w:r>
      <w:r w:rsidRPr="003506CF">
        <w:rPr>
          <w:rFonts w:asciiTheme="minorHAnsi" w:hAnsiTheme="minorHAnsi"/>
          <w:bCs/>
          <w:sz w:val="24"/>
          <w:szCs w:val="24"/>
        </w:rPr>
        <w:t xml:space="preserve">he PBAC </w:t>
      </w:r>
      <w:r w:rsidR="005D5861" w:rsidRPr="003506CF">
        <w:rPr>
          <w:rFonts w:asciiTheme="minorHAnsi" w:hAnsiTheme="minorHAnsi"/>
          <w:bCs/>
          <w:sz w:val="24"/>
          <w:szCs w:val="24"/>
        </w:rPr>
        <w:t xml:space="preserve">accepted </w:t>
      </w:r>
      <w:r w:rsidRPr="003506CF">
        <w:rPr>
          <w:rFonts w:asciiTheme="minorHAnsi" w:hAnsiTheme="minorHAnsi"/>
          <w:bCs/>
          <w:sz w:val="24"/>
          <w:szCs w:val="24"/>
        </w:rPr>
        <w:t>that budesonide is likely to be used in first or second line treatment of mild to moderate CD.</w:t>
      </w:r>
    </w:p>
    <w:p w:rsidR="005A3173" w:rsidRPr="007C652F" w:rsidRDefault="005A3173" w:rsidP="00370FF0">
      <w:pPr>
        <w:pStyle w:val="PBACHeading1"/>
        <w:spacing w:before="120" w:after="120"/>
        <w:ind w:left="709" w:hanging="709"/>
        <w:rPr>
          <w:rFonts w:asciiTheme="minorHAnsi" w:hAnsiTheme="minorHAnsi"/>
          <w:sz w:val="32"/>
          <w:szCs w:val="32"/>
        </w:rPr>
      </w:pPr>
      <w:r w:rsidRPr="007C652F">
        <w:rPr>
          <w:rFonts w:asciiTheme="minorHAnsi" w:hAnsiTheme="minorHAnsi"/>
          <w:sz w:val="32"/>
          <w:szCs w:val="32"/>
        </w:rPr>
        <w:t>Comparator</w:t>
      </w:r>
    </w:p>
    <w:p w:rsidR="00BF74D8" w:rsidRPr="007576EF" w:rsidRDefault="00092EF5" w:rsidP="00370FF0">
      <w:pPr>
        <w:pStyle w:val="ListParagraph"/>
        <w:widowControl/>
        <w:numPr>
          <w:ilvl w:val="1"/>
          <w:numId w:val="14"/>
        </w:numPr>
        <w:spacing w:before="120" w:after="120"/>
        <w:rPr>
          <w:rFonts w:asciiTheme="minorHAnsi" w:eastAsiaTheme="minorHAnsi" w:hAnsiTheme="minorHAnsi" w:cstheme="minorBidi"/>
          <w:snapToGrid/>
          <w:sz w:val="24"/>
          <w:szCs w:val="22"/>
        </w:rPr>
      </w:pPr>
      <w:r w:rsidRPr="007576EF">
        <w:rPr>
          <w:rFonts w:asciiTheme="minorHAnsi" w:eastAsiaTheme="minorHAnsi" w:hAnsiTheme="minorHAnsi" w:cstheme="minorBidi"/>
          <w:snapToGrid/>
          <w:sz w:val="24"/>
          <w:szCs w:val="22"/>
        </w:rPr>
        <w:t xml:space="preserve">The previous </w:t>
      </w:r>
      <w:r w:rsidR="004427B9" w:rsidRPr="007576EF">
        <w:rPr>
          <w:rFonts w:asciiTheme="minorHAnsi" w:eastAsiaTheme="minorHAnsi" w:hAnsiTheme="minorHAnsi" w:cstheme="minorBidi"/>
          <w:snapToGrid/>
          <w:sz w:val="24"/>
          <w:szCs w:val="22"/>
        </w:rPr>
        <w:t>minor</w:t>
      </w:r>
      <w:r w:rsidRPr="007576EF">
        <w:rPr>
          <w:rFonts w:asciiTheme="minorHAnsi" w:eastAsiaTheme="minorHAnsi" w:hAnsiTheme="minorHAnsi" w:cstheme="minorBidi"/>
          <w:snapToGrid/>
          <w:sz w:val="24"/>
          <w:szCs w:val="22"/>
        </w:rPr>
        <w:t xml:space="preserve"> re</w:t>
      </w:r>
      <w:r w:rsidR="004427B9" w:rsidRPr="007576EF">
        <w:rPr>
          <w:rFonts w:asciiTheme="minorHAnsi" w:eastAsiaTheme="minorHAnsi" w:hAnsiTheme="minorHAnsi" w:cstheme="minorBidi"/>
          <w:snapToGrid/>
          <w:sz w:val="24"/>
          <w:szCs w:val="22"/>
        </w:rPr>
        <w:t>submission considered by the PBAC in July 2018 nominated mesalazine and prednisolone as comparators. This was unchanged</w:t>
      </w:r>
      <w:r w:rsidRPr="007576EF">
        <w:rPr>
          <w:rFonts w:asciiTheme="minorHAnsi" w:eastAsiaTheme="minorHAnsi" w:hAnsiTheme="minorHAnsi" w:cstheme="minorBidi"/>
          <w:snapToGrid/>
          <w:sz w:val="24"/>
          <w:szCs w:val="22"/>
        </w:rPr>
        <w:t xml:space="preserve"> in the</w:t>
      </w:r>
      <w:r w:rsidR="0079646C" w:rsidRPr="007576EF">
        <w:rPr>
          <w:rFonts w:asciiTheme="minorHAnsi" w:eastAsiaTheme="minorHAnsi" w:hAnsiTheme="minorHAnsi" w:cstheme="minorBidi"/>
          <w:snapToGrid/>
          <w:sz w:val="24"/>
          <w:szCs w:val="22"/>
        </w:rPr>
        <w:t xml:space="preserve"> current</w:t>
      </w:r>
      <w:r w:rsidRPr="007576EF">
        <w:rPr>
          <w:rFonts w:asciiTheme="minorHAnsi" w:eastAsiaTheme="minorHAnsi" w:hAnsiTheme="minorHAnsi" w:cstheme="minorBidi"/>
          <w:snapToGrid/>
          <w:sz w:val="24"/>
          <w:szCs w:val="22"/>
        </w:rPr>
        <w:t xml:space="preserve"> minor resubmission</w:t>
      </w:r>
      <w:r w:rsidR="004427B9" w:rsidRPr="007576EF">
        <w:rPr>
          <w:rFonts w:asciiTheme="minorHAnsi" w:eastAsiaTheme="minorHAnsi" w:hAnsiTheme="minorHAnsi" w:cstheme="minorBidi"/>
          <w:snapToGrid/>
          <w:sz w:val="24"/>
          <w:szCs w:val="22"/>
        </w:rPr>
        <w:t xml:space="preserve"> given that the PBAC</w:t>
      </w:r>
      <w:r w:rsidR="0021050F" w:rsidRPr="007576EF">
        <w:rPr>
          <w:rFonts w:asciiTheme="minorHAnsi" w:eastAsiaTheme="minorHAnsi" w:hAnsiTheme="minorHAnsi" w:cstheme="minorBidi"/>
          <w:snapToGrid/>
          <w:sz w:val="24"/>
          <w:szCs w:val="22"/>
        </w:rPr>
        <w:t xml:space="preserve"> accepted the mixed comparator.</w:t>
      </w:r>
    </w:p>
    <w:p w:rsidR="00450828" w:rsidRPr="007C652F" w:rsidRDefault="00450828" w:rsidP="00370FF0">
      <w:pPr>
        <w:pStyle w:val="PBACHeading1"/>
        <w:spacing w:before="120" w:after="120"/>
        <w:ind w:left="709" w:hanging="709"/>
        <w:rPr>
          <w:rFonts w:asciiTheme="minorHAnsi" w:hAnsiTheme="minorHAnsi"/>
          <w:sz w:val="32"/>
          <w:szCs w:val="32"/>
        </w:rPr>
      </w:pPr>
      <w:r w:rsidRPr="007C652F">
        <w:rPr>
          <w:rFonts w:asciiTheme="minorHAnsi" w:hAnsiTheme="minorHAnsi"/>
          <w:sz w:val="32"/>
          <w:szCs w:val="32"/>
        </w:rPr>
        <w:t>Consideration of the evidence</w:t>
      </w:r>
    </w:p>
    <w:p w:rsidR="00AC1285" w:rsidRPr="001F5C4D" w:rsidRDefault="00AC1285" w:rsidP="00370FF0">
      <w:pPr>
        <w:pStyle w:val="Heading2"/>
        <w:keepLines/>
        <w:spacing w:before="120" w:after="120"/>
        <w:rPr>
          <w:rFonts w:asciiTheme="minorHAnsi" w:eastAsiaTheme="majorEastAsia" w:hAnsiTheme="minorHAnsi" w:cstheme="majorBidi"/>
          <w:sz w:val="28"/>
          <w:szCs w:val="28"/>
          <w:lang w:eastAsia="en-US"/>
        </w:rPr>
      </w:pPr>
      <w:r w:rsidRPr="001F5C4D">
        <w:rPr>
          <w:rFonts w:asciiTheme="minorHAnsi" w:eastAsiaTheme="majorEastAsia" w:hAnsiTheme="minorHAnsi" w:cstheme="majorBidi"/>
          <w:sz w:val="28"/>
          <w:szCs w:val="28"/>
          <w:lang w:eastAsia="en-US"/>
        </w:rPr>
        <w:t>Sponsor hearing</w:t>
      </w:r>
    </w:p>
    <w:p w:rsidR="00AC1285" w:rsidRPr="007C652F" w:rsidRDefault="00AC1285" w:rsidP="00370FF0">
      <w:pPr>
        <w:widowControl w:val="0"/>
        <w:numPr>
          <w:ilvl w:val="1"/>
          <w:numId w:val="5"/>
        </w:numPr>
        <w:spacing w:before="120" w:after="120"/>
        <w:jc w:val="both"/>
        <w:rPr>
          <w:rFonts w:asciiTheme="minorHAnsi" w:hAnsiTheme="minorHAnsi" w:cs="Arial"/>
          <w:bCs/>
          <w:snapToGrid w:val="0"/>
        </w:rPr>
      </w:pPr>
      <w:r w:rsidRPr="007C652F">
        <w:rPr>
          <w:rFonts w:asciiTheme="minorHAnsi" w:hAnsiTheme="minorHAnsi" w:cs="Arial"/>
          <w:bCs/>
          <w:snapToGrid w:val="0"/>
        </w:rPr>
        <w:t>There was no hearing for this item as it was a minor submission.</w:t>
      </w:r>
    </w:p>
    <w:p w:rsidR="00AC1285" w:rsidRPr="001F5C4D" w:rsidRDefault="00AC1285" w:rsidP="00370FF0">
      <w:pPr>
        <w:pStyle w:val="Heading2"/>
        <w:keepLines/>
        <w:spacing w:before="120" w:after="120"/>
        <w:rPr>
          <w:rFonts w:asciiTheme="minorHAnsi" w:eastAsiaTheme="majorEastAsia" w:hAnsiTheme="minorHAnsi" w:cstheme="majorBidi"/>
          <w:sz w:val="28"/>
          <w:szCs w:val="28"/>
          <w:lang w:eastAsia="en-US"/>
        </w:rPr>
      </w:pPr>
      <w:r w:rsidRPr="001F5C4D">
        <w:rPr>
          <w:rFonts w:asciiTheme="minorHAnsi" w:eastAsiaTheme="majorEastAsia" w:hAnsiTheme="minorHAnsi" w:cstheme="majorBidi"/>
          <w:sz w:val="28"/>
          <w:szCs w:val="28"/>
          <w:lang w:eastAsia="en-US"/>
        </w:rPr>
        <w:t>Consumer comments</w:t>
      </w:r>
    </w:p>
    <w:p w:rsidR="00AC1285" w:rsidRPr="007C652F" w:rsidRDefault="00E05901" w:rsidP="00370FF0">
      <w:pPr>
        <w:widowControl w:val="0"/>
        <w:numPr>
          <w:ilvl w:val="1"/>
          <w:numId w:val="5"/>
        </w:numPr>
        <w:spacing w:before="120" w:after="120"/>
        <w:jc w:val="both"/>
        <w:rPr>
          <w:rFonts w:asciiTheme="minorHAnsi" w:hAnsiTheme="minorHAnsi" w:cs="Arial"/>
          <w:bCs/>
          <w:snapToGrid w:val="0"/>
        </w:rPr>
      </w:pPr>
      <w:r w:rsidRPr="007C652F">
        <w:rPr>
          <w:rFonts w:asciiTheme="minorHAnsi" w:hAnsiTheme="minorHAnsi" w:cs="Arial"/>
          <w:bCs/>
          <w:snapToGrid w:val="0"/>
        </w:rPr>
        <w:t xml:space="preserve">The PBAC noted and welcomed the input from individuals (2) via the Consumer Comments facility on the PBS website. The comments described the benefits of treatment with budesonide, such as the reduction of flares, and the lack of </w:t>
      </w:r>
      <w:r w:rsidR="007576EF" w:rsidRPr="007C652F">
        <w:rPr>
          <w:rFonts w:asciiTheme="minorHAnsi" w:hAnsiTheme="minorHAnsi" w:cs="Arial"/>
          <w:bCs/>
          <w:snapToGrid w:val="0"/>
        </w:rPr>
        <w:t>side effects</w:t>
      </w:r>
      <w:r w:rsidRPr="007C652F">
        <w:rPr>
          <w:rFonts w:asciiTheme="minorHAnsi" w:hAnsiTheme="minorHAnsi" w:cs="Arial"/>
          <w:bCs/>
          <w:snapToGrid w:val="0"/>
        </w:rPr>
        <w:t xml:space="preserve"> </w:t>
      </w:r>
      <w:r w:rsidR="00EC39AF" w:rsidRPr="007C652F">
        <w:rPr>
          <w:rFonts w:asciiTheme="minorHAnsi" w:hAnsiTheme="minorHAnsi" w:cs="Arial"/>
          <w:bCs/>
          <w:snapToGrid w:val="0"/>
        </w:rPr>
        <w:t xml:space="preserve">such as osteoporosis, insomnia and weight issues </w:t>
      </w:r>
      <w:r w:rsidRPr="007C652F">
        <w:rPr>
          <w:rFonts w:asciiTheme="minorHAnsi" w:hAnsiTheme="minorHAnsi" w:cs="Arial"/>
          <w:bCs/>
          <w:snapToGrid w:val="0"/>
        </w:rPr>
        <w:t>when compared to alternative treatments.</w:t>
      </w:r>
      <w:r w:rsidR="00AC1285" w:rsidRPr="007C652F">
        <w:rPr>
          <w:rFonts w:asciiTheme="minorHAnsi" w:hAnsiTheme="minorHAnsi" w:cs="Arial"/>
          <w:bCs/>
          <w:snapToGrid w:val="0"/>
        </w:rPr>
        <w:t xml:space="preserve"> </w:t>
      </w:r>
    </w:p>
    <w:p w:rsidR="00E45A65" w:rsidRPr="007C652F" w:rsidRDefault="00E45A65" w:rsidP="00370FF0">
      <w:pPr>
        <w:widowControl w:val="0"/>
        <w:numPr>
          <w:ilvl w:val="1"/>
          <w:numId w:val="5"/>
        </w:numPr>
        <w:spacing w:before="120" w:after="120"/>
        <w:jc w:val="both"/>
        <w:rPr>
          <w:rFonts w:asciiTheme="minorHAnsi" w:hAnsiTheme="minorHAnsi" w:cs="Arial"/>
          <w:bCs/>
          <w:snapToGrid w:val="0"/>
        </w:rPr>
      </w:pPr>
      <w:r w:rsidRPr="007C652F">
        <w:rPr>
          <w:rFonts w:asciiTheme="minorHAnsi" w:hAnsiTheme="minorHAnsi" w:cs="Arial"/>
          <w:bCs/>
          <w:snapToGrid w:val="0"/>
        </w:rPr>
        <w:t>The PBAC noted the consumer comment</w:t>
      </w:r>
      <w:r w:rsidR="00652571" w:rsidRPr="007C652F">
        <w:rPr>
          <w:rFonts w:asciiTheme="minorHAnsi" w:hAnsiTheme="minorHAnsi" w:cs="Arial"/>
          <w:bCs/>
          <w:snapToGrid w:val="0"/>
        </w:rPr>
        <w:t>s</w:t>
      </w:r>
      <w:r w:rsidRPr="007C652F">
        <w:rPr>
          <w:rFonts w:asciiTheme="minorHAnsi" w:hAnsiTheme="minorHAnsi" w:cs="Arial"/>
          <w:bCs/>
          <w:snapToGrid w:val="0"/>
        </w:rPr>
        <w:t xml:space="preserve"> highlighted the clinical need for treatment options in mild to moderate CD. </w:t>
      </w:r>
    </w:p>
    <w:p w:rsidR="00D84934" w:rsidRPr="007C652F" w:rsidRDefault="00D84934" w:rsidP="00370FF0">
      <w:pPr>
        <w:pStyle w:val="Heading2"/>
        <w:keepLines/>
        <w:spacing w:before="120" w:after="120"/>
        <w:rPr>
          <w:rFonts w:asciiTheme="minorHAnsi" w:eastAsiaTheme="majorEastAsia" w:hAnsiTheme="minorHAnsi" w:cstheme="majorBidi"/>
          <w:sz w:val="28"/>
          <w:szCs w:val="28"/>
          <w:lang w:eastAsia="en-US"/>
        </w:rPr>
      </w:pPr>
      <w:r w:rsidRPr="007C652F">
        <w:rPr>
          <w:rFonts w:asciiTheme="minorHAnsi" w:eastAsiaTheme="majorEastAsia" w:hAnsiTheme="minorHAnsi" w:cstheme="majorBidi"/>
          <w:sz w:val="28"/>
          <w:szCs w:val="28"/>
          <w:lang w:eastAsia="en-US"/>
        </w:rPr>
        <w:t>Clinical trials</w:t>
      </w:r>
    </w:p>
    <w:p w:rsidR="0076420C" w:rsidRPr="007C652F" w:rsidRDefault="0076420C" w:rsidP="00370FF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 xml:space="preserve">As a minor submission, </w:t>
      </w:r>
      <w:r w:rsidR="008139D6" w:rsidRPr="007C652F">
        <w:rPr>
          <w:rFonts w:asciiTheme="minorHAnsi" w:eastAsiaTheme="minorHAnsi" w:hAnsiTheme="minorHAnsi" w:cstheme="minorBidi"/>
          <w:snapToGrid/>
          <w:sz w:val="24"/>
          <w:szCs w:val="22"/>
        </w:rPr>
        <w:t xml:space="preserve">no new clinical trials were presented in the resubmission. </w:t>
      </w:r>
    </w:p>
    <w:p w:rsidR="003C2FB5" w:rsidRPr="007C652F" w:rsidRDefault="005A3173" w:rsidP="00370FF0">
      <w:pPr>
        <w:pStyle w:val="Heading2"/>
        <w:keepLines/>
        <w:spacing w:before="120" w:after="120"/>
        <w:rPr>
          <w:rFonts w:asciiTheme="minorHAnsi" w:eastAsiaTheme="majorEastAsia" w:hAnsiTheme="minorHAnsi" w:cstheme="majorBidi"/>
          <w:sz w:val="28"/>
          <w:szCs w:val="28"/>
          <w:lang w:eastAsia="en-US"/>
        </w:rPr>
      </w:pPr>
      <w:r w:rsidRPr="007C652F">
        <w:rPr>
          <w:rFonts w:asciiTheme="minorHAnsi" w:eastAsiaTheme="majorEastAsia" w:hAnsiTheme="minorHAnsi" w:cstheme="majorBidi"/>
          <w:sz w:val="28"/>
          <w:szCs w:val="28"/>
          <w:lang w:eastAsia="en-US"/>
        </w:rPr>
        <w:t>Clinical claim</w:t>
      </w:r>
    </w:p>
    <w:p w:rsidR="00B67224" w:rsidRPr="007C652F" w:rsidRDefault="001C372E" w:rsidP="00370FF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 xml:space="preserve">The minor resubmission claimed that there is clinical evidence </w:t>
      </w:r>
      <w:r w:rsidR="00A74663" w:rsidRPr="007C652F">
        <w:rPr>
          <w:rFonts w:asciiTheme="minorHAnsi" w:eastAsiaTheme="minorHAnsi" w:hAnsiTheme="minorHAnsi" w:cstheme="minorBidi"/>
          <w:snapToGrid/>
          <w:sz w:val="24"/>
          <w:szCs w:val="22"/>
        </w:rPr>
        <w:t>to demonstrate that</w:t>
      </w:r>
      <w:r w:rsidRPr="007C652F">
        <w:rPr>
          <w:rFonts w:asciiTheme="minorHAnsi" w:eastAsiaTheme="minorHAnsi" w:hAnsiTheme="minorHAnsi" w:cstheme="minorBidi"/>
          <w:snapToGrid/>
          <w:sz w:val="24"/>
          <w:szCs w:val="22"/>
        </w:rPr>
        <w:t xml:space="preserve"> budesonide is superior to mesalazine and non-inferior to prednisolone in terms of </w:t>
      </w:r>
      <w:r w:rsidRPr="007C652F">
        <w:rPr>
          <w:rFonts w:asciiTheme="minorHAnsi" w:eastAsiaTheme="minorHAnsi" w:hAnsiTheme="minorHAnsi" w:cstheme="minorBidi"/>
          <w:snapToGrid/>
          <w:sz w:val="24"/>
          <w:szCs w:val="22"/>
        </w:rPr>
        <w:lastRenderedPageBreak/>
        <w:t xml:space="preserve">comparative effectiveness, and that budesonide is superior to both mesalazine and prednisolone in terms of comparative safety. </w:t>
      </w:r>
      <w:r w:rsidR="0051082C" w:rsidRPr="007C652F">
        <w:rPr>
          <w:rFonts w:asciiTheme="minorHAnsi" w:eastAsiaTheme="minorHAnsi" w:hAnsiTheme="minorHAnsi" w:cstheme="minorBidi"/>
          <w:snapToGrid/>
          <w:sz w:val="24"/>
          <w:szCs w:val="22"/>
        </w:rPr>
        <w:t>The co</w:t>
      </w:r>
      <w:r w:rsidR="00AB136C" w:rsidRPr="007C652F">
        <w:rPr>
          <w:rFonts w:asciiTheme="minorHAnsi" w:eastAsiaTheme="minorHAnsi" w:hAnsiTheme="minorHAnsi" w:cstheme="minorBidi"/>
          <w:snapToGrid/>
          <w:sz w:val="24"/>
          <w:szCs w:val="22"/>
        </w:rPr>
        <w:t>mparative effectiveness claim</w:t>
      </w:r>
      <w:r w:rsidR="005C2118" w:rsidRPr="007C652F">
        <w:rPr>
          <w:rFonts w:asciiTheme="minorHAnsi" w:eastAsiaTheme="minorHAnsi" w:hAnsiTheme="minorHAnsi" w:cstheme="minorBidi"/>
          <w:snapToGrid/>
          <w:sz w:val="24"/>
          <w:szCs w:val="22"/>
        </w:rPr>
        <w:t xml:space="preserve"> in the resubmission</w:t>
      </w:r>
      <w:r w:rsidR="00AB136C" w:rsidRPr="007C652F">
        <w:rPr>
          <w:rFonts w:asciiTheme="minorHAnsi" w:eastAsiaTheme="minorHAnsi" w:hAnsiTheme="minorHAnsi" w:cstheme="minorBidi"/>
          <w:snapToGrid/>
          <w:sz w:val="24"/>
          <w:szCs w:val="22"/>
        </w:rPr>
        <w:t xml:space="preserve"> wa</w:t>
      </w:r>
      <w:r w:rsidR="0051082C" w:rsidRPr="007C652F">
        <w:rPr>
          <w:rFonts w:asciiTheme="minorHAnsi" w:eastAsiaTheme="minorHAnsi" w:hAnsiTheme="minorHAnsi" w:cstheme="minorBidi"/>
          <w:snapToGrid/>
          <w:sz w:val="24"/>
          <w:szCs w:val="22"/>
        </w:rPr>
        <w:t xml:space="preserve">s changed </w:t>
      </w:r>
      <w:r w:rsidR="00F03F24" w:rsidRPr="007C652F">
        <w:rPr>
          <w:rFonts w:asciiTheme="minorHAnsi" w:eastAsiaTheme="minorHAnsi" w:hAnsiTheme="minorHAnsi" w:cstheme="minorBidi"/>
          <w:snapToGrid/>
          <w:sz w:val="24"/>
          <w:szCs w:val="22"/>
        </w:rPr>
        <w:t>from the</w:t>
      </w:r>
      <w:r w:rsidR="0051082C" w:rsidRPr="007C652F">
        <w:rPr>
          <w:rFonts w:asciiTheme="minorHAnsi" w:eastAsiaTheme="minorHAnsi" w:hAnsiTheme="minorHAnsi" w:cstheme="minorBidi"/>
          <w:snapToGrid/>
          <w:sz w:val="24"/>
          <w:szCs w:val="22"/>
        </w:rPr>
        <w:t xml:space="preserve"> previously accepted</w:t>
      </w:r>
      <w:r w:rsidR="00EA2425" w:rsidRPr="007C652F">
        <w:rPr>
          <w:rFonts w:asciiTheme="minorHAnsi" w:eastAsiaTheme="minorHAnsi" w:hAnsiTheme="minorHAnsi" w:cstheme="minorBidi"/>
          <w:snapToGrid/>
          <w:sz w:val="24"/>
          <w:szCs w:val="22"/>
        </w:rPr>
        <w:t xml:space="preserve"> claim of non-inferiority</w:t>
      </w:r>
      <w:r w:rsidR="0051082C" w:rsidRPr="007C652F">
        <w:rPr>
          <w:rFonts w:asciiTheme="minorHAnsi" w:eastAsiaTheme="minorHAnsi" w:hAnsiTheme="minorHAnsi" w:cstheme="minorBidi"/>
          <w:snapToGrid/>
          <w:sz w:val="24"/>
          <w:szCs w:val="22"/>
        </w:rPr>
        <w:t>.</w:t>
      </w:r>
      <w:r w:rsidR="00635D97" w:rsidRPr="007C652F">
        <w:rPr>
          <w:rFonts w:asciiTheme="minorHAnsi" w:eastAsiaTheme="minorHAnsi" w:hAnsiTheme="minorHAnsi" w:cstheme="minorBidi"/>
          <w:snapToGrid/>
          <w:sz w:val="24"/>
          <w:szCs w:val="22"/>
        </w:rPr>
        <w:t xml:space="preserve"> </w:t>
      </w:r>
    </w:p>
    <w:p w:rsidR="00B67224" w:rsidRPr="007C652F" w:rsidRDefault="00AA38B0" w:rsidP="00370FF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 xml:space="preserve">In July 2018, </w:t>
      </w:r>
      <w:r w:rsidR="00B67224" w:rsidRPr="007C652F">
        <w:rPr>
          <w:rFonts w:asciiTheme="minorHAnsi" w:eastAsiaTheme="minorHAnsi" w:hAnsiTheme="minorHAnsi" w:cstheme="minorBidi"/>
          <w:snapToGrid/>
          <w:sz w:val="24"/>
          <w:szCs w:val="22"/>
        </w:rPr>
        <w:t xml:space="preserve">the PBAC considered that on balance the evidence presented in the minor resubmission supported a clinical claim that budesonide was non-inferior in terms of comparative effectiveness and superior in terms of comparative safety to both mesalazine and prednisolone. </w:t>
      </w:r>
      <w:r w:rsidR="00635D97" w:rsidRPr="007C652F">
        <w:rPr>
          <w:rFonts w:asciiTheme="minorHAnsi" w:eastAsiaTheme="minorHAnsi" w:hAnsiTheme="minorHAnsi" w:cstheme="minorBidi"/>
          <w:snapToGrid/>
          <w:sz w:val="24"/>
          <w:szCs w:val="22"/>
        </w:rPr>
        <w:t xml:space="preserve">A </w:t>
      </w:r>
      <w:r w:rsidR="0059576F">
        <w:rPr>
          <w:rFonts w:asciiTheme="minorHAnsi" w:eastAsiaTheme="minorHAnsi" w:hAnsiTheme="minorHAnsi" w:cstheme="minorBidi"/>
          <w:noProof/>
          <w:snapToGrid/>
          <w:color w:val="000000"/>
          <w:sz w:val="24"/>
          <w:szCs w:val="22"/>
          <w:highlight w:val="black"/>
        </w:rPr>
        <w:t>'''''</w:t>
      </w:r>
      <w:r w:rsidR="00635D97" w:rsidRPr="007C652F">
        <w:rPr>
          <w:rFonts w:asciiTheme="minorHAnsi" w:eastAsiaTheme="minorHAnsi" w:hAnsiTheme="minorHAnsi" w:cstheme="minorBidi"/>
          <w:snapToGrid/>
          <w:sz w:val="24"/>
          <w:szCs w:val="22"/>
        </w:rPr>
        <w:t xml:space="preserve">% premium </w:t>
      </w:r>
      <w:r w:rsidR="006C296D" w:rsidRPr="007C652F">
        <w:rPr>
          <w:rFonts w:asciiTheme="minorHAnsi" w:eastAsiaTheme="minorHAnsi" w:hAnsiTheme="minorHAnsi" w:cstheme="minorBidi"/>
          <w:snapToGrid/>
          <w:sz w:val="24"/>
          <w:szCs w:val="22"/>
        </w:rPr>
        <w:t>on the cost-minimised price of</w:t>
      </w:r>
      <w:r w:rsidR="006C296D" w:rsidRPr="007C652F">
        <w:rPr>
          <w:rFonts w:asciiTheme="minorHAnsi" w:eastAsiaTheme="minorHAnsi" w:hAnsiTheme="minorHAnsi" w:cstheme="minorBidi"/>
          <w:i/>
          <w:snapToGrid/>
          <w:sz w:val="24"/>
          <w:szCs w:val="22"/>
        </w:rPr>
        <w:t xml:space="preserve"> </w:t>
      </w:r>
      <w:r w:rsidR="006C296D" w:rsidRPr="007C652F">
        <w:rPr>
          <w:rFonts w:asciiTheme="minorHAnsi" w:eastAsiaTheme="minorHAnsi" w:hAnsiTheme="minorHAnsi" w:cstheme="minorBidi"/>
          <w:snapToGrid/>
          <w:sz w:val="24"/>
          <w:szCs w:val="22"/>
        </w:rPr>
        <w:t xml:space="preserve">budesonide was requested in the resubmission </w:t>
      </w:r>
      <w:r w:rsidR="00635D97" w:rsidRPr="007C652F">
        <w:rPr>
          <w:rFonts w:asciiTheme="minorHAnsi" w:eastAsiaTheme="minorHAnsi" w:hAnsiTheme="minorHAnsi" w:cstheme="minorBidi"/>
          <w:snapToGrid/>
          <w:sz w:val="24"/>
          <w:szCs w:val="22"/>
        </w:rPr>
        <w:t>based on the comparative safety claim.</w:t>
      </w:r>
      <w:r w:rsidR="005C5E4D" w:rsidRPr="007C652F">
        <w:rPr>
          <w:rFonts w:asciiTheme="minorHAnsi" w:eastAsiaTheme="minorHAnsi" w:hAnsiTheme="minorHAnsi" w:cstheme="minorBidi"/>
          <w:snapToGrid/>
          <w:sz w:val="24"/>
          <w:szCs w:val="22"/>
        </w:rPr>
        <w:t xml:space="preserve"> </w:t>
      </w:r>
    </w:p>
    <w:p w:rsidR="007F3979" w:rsidRPr="007C652F" w:rsidRDefault="007F3979" w:rsidP="00370FF0">
      <w:pPr>
        <w:pStyle w:val="Heading2"/>
        <w:keepLines/>
        <w:spacing w:before="120" w:after="120"/>
        <w:rPr>
          <w:rFonts w:asciiTheme="minorHAnsi" w:eastAsiaTheme="majorEastAsia" w:hAnsiTheme="minorHAnsi" w:cstheme="majorBidi"/>
          <w:sz w:val="28"/>
          <w:szCs w:val="28"/>
          <w:lang w:eastAsia="en-US"/>
        </w:rPr>
      </w:pPr>
      <w:r w:rsidRPr="007C652F">
        <w:rPr>
          <w:rFonts w:asciiTheme="minorHAnsi" w:eastAsiaTheme="majorEastAsia" w:hAnsiTheme="minorHAnsi" w:cstheme="majorBidi"/>
          <w:sz w:val="28"/>
          <w:szCs w:val="28"/>
          <w:lang w:eastAsia="en-US"/>
        </w:rPr>
        <w:t>P</w:t>
      </w:r>
      <w:r w:rsidR="001D5261" w:rsidRPr="007C652F">
        <w:rPr>
          <w:rFonts w:asciiTheme="minorHAnsi" w:eastAsiaTheme="majorEastAsia" w:hAnsiTheme="minorHAnsi" w:cstheme="majorBidi"/>
          <w:sz w:val="28"/>
          <w:szCs w:val="28"/>
          <w:lang w:eastAsia="en-US"/>
        </w:rPr>
        <w:t>ricing a</w:t>
      </w:r>
      <w:r w:rsidRPr="007C652F">
        <w:rPr>
          <w:rFonts w:asciiTheme="minorHAnsi" w:eastAsiaTheme="majorEastAsia" w:hAnsiTheme="minorHAnsi" w:cstheme="majorBidi"/>
          <w:sz w:val="28"/>
          <w:szCs w:val="28"/>
          <w:lang w:eastAsia="en-US"/>
        </w:rPr>
        <w:t xml:space="preserve">pproach – </w:t>
      </w:r>
      <w:r w:rsidR="00B309F0" w:rsidRPr="007C652F">
        <w:rPr>
          <w:rFonts w:asciiTheme="minorHAnsi" w:eastAsiaTheme="majorEastAsia" w:hAnsiTheme="minorHAnsi" w:cstheme="majorBidi"/>
          <w:sz w:val="28"/>
          <w:szCs w:val="28"/>
          <w:lang w:eastAsia="en-US"/>
        </w:rPr>
        <w:t xml:space="preserve">updated </w:t>
      </w:r>
      <w:r w:rsidRPr="007C652F">
        <w:rPr>
          <w:rFonts w:asciiTheme="minorHAnsi" w:eastAsiaTheme="majorEastAsia" w:hAnsiTheme="minorHAnsi" w:cstheme="majorBidi"/>
          <w:sz w:val="28"/>
          <w:szCs w:val="28"/>
          <w:lang w:eastAsia="en-US"/>
        </w:rPr>
        <w:t>weighted average pricing</w:t>
      </w:r>
    </w:p>
    <w:p w:rsidR="007F3979" w:rsidRPr="007C652F" w:rsidRDefault="001E1AD1" w:rsidP="00370FF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 xml:space="preserve">The minor resubmission presented an updated weighted average approach to determine the price of budesonide. </w:t>
      </w:r>
      <w:r w:rsidR="00C86D5C" w:rsidRPr="007C652F">
        <w:rPr>
          <w:rFonts w:asciiTheme="minorHAnsi" w:eastAsiaTheme="minorHAnsi" w:hAnsiTheme="minorHAnsi" w:cstheme="minorBidi"/>
          <w:snapToGrid/>
          <w:sz w:val="24"/>
          <w:szCs w:val="22"/>
        </w:rPr>
        <w:t>T</w:t>
      </w:r>
      <w:r w:rsidR="004F7928" w:rsidRPr="007C652F">
        <w:rPr>
          <w:rFonts w:asciiTheme="minorHAnsi" w:eastAsiaTheme="minorHAnsi" w:hAnsiTheme="minorHAnsi" w:cstheme="minorBidi"/>
          <w:snapToGrid/>
          <w:sz w:val="24"/>
          <w:szCs w:val="22"/>
        </w:rPr>
        <w:t xml:space="preserve">he minor resubmission nominated mesalazine and prednisolone as a mixed comparator, which </w:t>
      </w:r>
      <w:r w:rsidR="00EA2425" w:rsidRPr="007C652F">
        <w:rPr>
          <w:rFonts w:asciiTheme="minorHAnsi" w:eastAsiaTheme="minorHAnsi" w:hAnsiTheme="minorHAnsi" w:cstheme="minorBidi"/>
          <w:snapToGrid/>
          <w:sz w:val="24"/>
          <w:szCs w:val="22"/>
        </w:rPr>
        <w:t>wa</w:t>
      </w:r>
      <w:r w:rsidR="004F7928" w:rsidRPr="007C652F">
        <w:rPr>
          <w:rFonts w:asciiTheme="minorHAnsi" w:eastAsiaTheme="minorHAnsi" w:hAnsiTheme="minorHAnsi" w:cstheme="minorBidi"/>
          <w:snapToGrid/>
          <w:sz w:val="24"/>
          <w:szCs w:val="22"/>
        </w:rPr>
        <w:t xml:space="preserve">s unchanged from the minor resubmission at its July 2018 meeting. </w:t>
      </w:r>
    </w:p>
    <w:p w:rsidR="007B2D6C" w:rsidRPr="007C652F" w:rsidRDefault="007B2D6C" w:rsidP="00370FF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At its July 2018 meeting, the PBAC did not agree</w:t>
      </w:r>
      <w:r w:rsidR="001320F2" w:rsidRPr="007C652F">
        <w:rPr>
          <w:rFonts w:asciiTheme="minorHAnsi" w:eastAsiaTheme="minorHAnsi" w:hAnsiTheme="minorHAnsi" w:cstheme="minorBidi"/>
          <w:snapToGrid/>
          <w:sz w:val="24"/>
          <w:szCs w:val="22"/>
        </w:rPr>
        <w:t xml:space="preserve"> with</w:t>
      </w:r>
      <w:r w:rsidRPr="007C652F">
        <w:rPr>
          <w:rFonts w:asciiTheme="minorHAnsi" w:eastAsiaTheme="minorHAnsi" w:hAnsiTheme="minorHAnsi" w:cstheme="minorBidi"/>
          <w:snapToGrid/>
          <w:sz w:val="24"/>
          <w:szCs w:val="22"/>
        </w:rPr>
        <w:t xml:space="preserve"> the calculation of the weighted </w:t>
      </w:r>
      <w:r w:rsidR="00D57995" w:rsidRPr="007C652F">
        <w:rPr>
          <w:rFonts w:asciiTheme="minorHAnsi" w:eastAsiaTheme="minorHAnsi" w:hAnsiTheme="minorHAnsi" w:cstheme="minorBidi"/>
          <w:snapToGrid/>
          <w:sz w:val="24"/>
          <w:szCs w:val="22"/>
        </w:rPr>
        <w:t xml:space="preserve">average </w:t>
      </w:r>
      <w:r w:rsidRPr="007C652F">
        <w:rPr>
          <w:rFonts w:asciiTheme="minorHAnsi" w:eastAsiaTheme="minorHAnsi" w:hAnsiTheme="minorHAnsi" w:cstheme="minorBidi"/>
          <w:snapToGrid/>
          <w:sz w:val="24"/>
          <w:szCs w:val="22"/>
        </w:rPr>
        <w:t xml:space="preserve">price </w:t>
      </w:r>
      <w:r w:rsidR="001320F2" w:rsidRPr="007C652F">
        <w:rPr>
          <w:rFonts w:asciiTheme="minorHAnsi" w:eastAsiaTheme="minorHAnsi" w:hAnsiTheme="minorHAnsi" w:cstheme="minorBidi"/>
          <w:snapToGrid/>
          <w:sz w:val="24"/>
          <w:szCs w:val="22"/>
        </w:rPr>
        <w:t xml:space="preserve">using the </w:t>
      </w:r>
      <w:r w:rsidR="00FF58C7" w:rsidRPr="007C652F">
        <w:rPr>
          <w:rFonts w:asciiTheme="minorHAnsi" w:eastAsiaTheme="minorHAnsi" w:hAnsiTheme="minorHAnsi" w:cstheme="minorBidi"/>
          <w:snapToGrid/>
          <w:sz w:val="24"/>
          <w:szCs w:val="22"/>
        </w:rPr>
        <w:t xml:space="preserve">nominated </w:t>
      </w:r>
      <w:r w:rsidR="001320F2" w:rsidRPr="007C652F">
        <w:rPr>
          <w:rFonts w:asciiTheme="minorHAnsi" w:eastAsiaTheme="minorHAnsi" w:hAnsiTheme="minorHAnsi" w:cstheme="minorBidi"/>
          <w:snapToGrid/>
          <w:sz w:val="24"/>
          <w:szCs w:val="22"/>
        </w:rPr>
        <w:t xml:space="preserve">mixed comparators, </w:t>
      </w:r>
      <w:r w:rsidR="00B74294" w:rsidRPr="007C652F">
        <w:rPr>
          <w:rFonts w:asciiTheme="minorHAnsi" w:eastAsiaTheme="minorHAnsi" w:hAnsiTheme="minorHAnsi" w:cstheme="minorBidi"/>
          <w:snapToGrid/>
          <w:sz w:val="24"/>
          <w:szCs w:val="22"/>
        </w:rPr>
        <w:t>mesalazine and prednisolone</w:t>
      </w:r>
      <w:r w:rsidR="008772FF" w:rsidRPr="007C652F">
        <w:rPr>
          <w:rFonts w:asciiTheme="minorHAnsi" w:eastAsiaTheme="minorHAnsi" w:hAnsiTheme="minorHAnsi" w:cstheme="minorBidi"/>
          <w:snapToGrid/>
          <w:sz w:val="24"/>
          <w:szCs w:val="22"/>
        </w:rPr>
        <w:t xml:space="preserve">. </w:t>
      </w:r>
      <w:r w:rsidR="001320F2" w:rsidRPr="007C652F">
        <w:rPr>
          <w:rFonts w:asciiTheme="minorHAnsi" w:eastAsiaTheme="minorHAnsi" w:hAnsiTheme="minorHAnsi" w:cstheme="minorBidi"/>
          <w:snapToGrid/>
          <w:sz w:val="24"/>
          <w:szCs w:val="22"/>
        </w:rPr>
        <w:t>The proposed proportion of comparators was derived from BEACH data.</w:t>
      </w:r>
      <w:r w:rsidR="001320F2" w:rsidRPr="007C652F">
        <w:rPr>
          <w:rFonts w:asciiTheme="minorHAnsi" w:hAnsiTheme="minorHAnsi"/>
          <w:bCs/>
        </w:rPr>
        <w:t xml:space="preserve"> </w:t>
      </w:r>
      <w:r w:rsidR="001320F2" w:rsidRPr="007C652F">
        <w:rPr>
          <w:rFonts w:asciiTheme="minorHAnsi" w:hAnsiTheme="minorHAnsi"/>
          <w:sz w:val="24"/>
          <w:szCs w:val="24"/>
        </w:rPr>
        <w:t xml:space="preserve">The PBAC considered that, as the BEACH data were collected over a </w:t>
      </w:r>
      <w:r w:rsidR="007576EF" w:rsidRPr="007C652F">
        <w:rPr>
          <w:rFonts w:asciiTheme="minorHAnsi" w:hAnsiTheme="minorHAnsi"/>
          <w:sz w:val="24"/>
          <w:szCs w:val="24"/>
        </w:rPr>
        <w:t>5-year</w:t>
      </w:r>
      <w:r w:rsidR="001320F2" w:rsidRPr="007C652F">
        <w:rPr>
          <w:rFonts w:asciiTheme="minorHAnsi" w:hAnsiTheme="minorHAnsi"/>
          <w:sz w:val="24"/>
          <w:szCs w:val="24"/>
        </w:rPr>
        <w:t xml:space="preserve"> period from 2011 with a limited number of data points available, the weighting of mesalazine (</w:t>
      </w:r>
      <w:r w:rsidR="0059576F">
        <w:rPr>
          <w:rFonts w:asciiTheme="minorHAnsi" w:hAnsiTheme="minorHAnsi"/>
          <w:noProof/>
          <w:color w:val="000000"/>
          <w:sz w:val="24"/>
          <w:szCs w:val="24"/>
          <w:highlight w:val="black"/>
        </w:rPr>
        <w:t>''''''''</w:t>
      </w:r>
      <w:r w:rsidR="001320F2" w:rsidRPr="007C652F">
        <w:rPr>
          <w:rFonts w:asciiTheme="minorHAnsi" w:hAnsiTheme="minorHAnsi"/>
          <w:sz w:val="24"/>
          <w:szCs w:val="24"/>
        </w:rPr>
        <w:t>%) and prednisolone (</w:t>
      </w:r>
      <w:r w:rsidR="0059576F">
        <w:rPr>
          <w:rFonts w:asciiTheme="minorHAnsi" w:hAnsiTheme="minorHAnsi"/>
          <w:noProof/>
          <w:color w:val="000000"/>
          <w:sz w:val="24"/>
          <w:szCs w:val="24"/>
          <w:highlight w:val="black"/>
        </w:rPr>
        <w:t>'''''''''</w:t>
      </w:r>
      <w:r w:rsidR="001320F2" w:rsidRPr="007C652F">
        <w:rPr>
          <w:rFonts w:asciiTheme="minorHAnsi" w:hAnsiTheme="minorHAnsi"/>
          <w:sz w:val="24"/>
          <w:szCs w:val="24"/>
        </w:rPr>
        <w:t xml:space="preserve">%) determined was uncertain and unlikely to reflect the true proportion of patients in whom prednisolone is not an alternative therapy. While contemporary Australian guidelines acknowledge a role for mesalazine in CD, the PBAC considered it was a limited role. The PBAC considered that, unless more robust current data becomes available, a weighting that allows for </w:t>
      </w:r>
      <w:r w:rsidR="001320F2" w:rsidRPr="00534B8E">
        <w:rPr>
          <w:rFonts w:asciiTheme="minorHAnsi" w:hAnsiTheme="minorHAnsi"/>
          <w:sz w:val="24"/>
          <w:szCs w:val="24"/>
        </w:rPr>
        <w:t>one-fifth</w:t>
      </w:r>
      <w:r w:rsidR="001320F2" w:rsidRPr="007C652F">
        <w:rPr>
          <w:rFonts w:asciiTheme="minorHAnsi" w:hAnsiTheme="minorHAnsi"/>
          <w:sz w:val="24"/>
          <w:szCs w:val="24"/>
        </w:rPr>
        <w:t xml:space="preserve"> to </w:t>
      </w:r>
      <w:r w:rsidR="001320F2" w:rsidRPr="00534B8E">
        <w:rPr>
          <w:rFonts w:asciiTheme="minorHAnsi" w:hAnsiTheme="minorHAnsi"/>
          <w:sz w:val="24"/>
          <w:szCs w:val="24"/>
        </w:rPr>
        <w:t>one quarter</w:t>
      </w:r>
      <w:r w:rsidR="001320F2" w:rsidRPr="007C652F">
        <w:rPr>
          <w:rFonts w:asciiTheme="minorHAnsi" w:hAnsiTheme="minorHAnsi"/>
          <w:sz w:val="24"/>
          <w:szCs w:val="24"/>
        </w:rPr>
        <w:t xml:space="preserve">, but closer to </w:t>
      </w:r>
      <w:r w:rsidR="001320F2" w:rsidRPr="00534B8E">
        <w:rPr>
          <w:rFonts w:asciiTheme="minorHAnsi" w:hAnsiTheme="minorHAnsi"/>
          <w:sz w:val="24"/>
          <w:szCs w:val="24"/>
        </w:rPr>
        <w:t>one-fifth</w:t>
      </w:r>
      <w:r w:rsidR="001320F2" w:rsidRPr="007C652F">
        <w:rPr>
          <w:rFonts w:asciiTheme="minorHAnsi" w:hAnsiTheme="minorHAnsi"/>
          <w:sz w:val="24"/>
          <w:szCs w:val="24"/>
        </w:rPr>
        <w:t xml:space="preserve">, of use in which mesalazine is the alternative therapy </w:t>
      </w:r>
      <w:r w:rsidR="007576EF" w:rsidRPr="007C652F">
        <w:rPr>
          <w:rFonts w:asciiTheme="minorHAnsi" w:hAnsiTheme="minorHAnsi"/>
          <w:sz w:val="24"/>
          <w:szCs w:val="24"/>
        </w:rPr>
        <w:t>might</w:t>
      </w:r>
      <w:r w:rsidR="001320F2" w:rsidRPr="007C652F">
        <w:rPr>
          <w:rFonts w:asciiTheme="minorHAnsi" w:hAnsiTheme="minorHAnsi"/>
          <w:sz w:val="24"/>
          <w:szCs w:val="24"/>
        </w:rPr>
        <w:t xml:space="preserve"> be more appropriate, with the corresponding weighting for prednisolone applied accordingly. </w:t>
      </w:r>
    </w:p>
    <w:p w:rsidR="00DF5565" w:rsidRPr="007C652F" w:rsidRDefault="00DF5565" w:rsidP="00370FF0">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The resubmission disagreed with the PBAC’s recommend</w:t>
      </w:r>
      <w:r w:rsidR="00EA2425" w:rsidRPr="007C652F">
        <w:rPr>
          <w:rFonts w:asciiTheme="minorHAnsi" w:eastAsiaTheme="minorHAnsi" w:hAnsiTheme="minorHAnsi" w:cstheme="minorBidi"/>
          <w:snapToGrid/>
          <w:sz w:val="24"/>
          <w:szCs w:val="22"/>
        </w:rPr>
        <w:t>ed weighting</w:t>
      </w:r>
      <w:r w:rsidRPr="007C652F">
        <w:rPr>
          <w:rFonts w:asciiTheme="minorHAnsi" w:eastAsiaTheme="minorHAnsi" w:hAnsiTheme="minorHAnsi" w:cstheme="minorBidi"/>
          <w:snapToGrid/>
          <w:sz w:val="24"/>
          <w:szCs w:val="22"/>
        </w:rPr>
        <w:t xml:space="preserve"> </w:t>
      </w:r>
      <w:r w:rsidR="00997D90" w:rsidRPr="007C652F">
        <w:rPr>
          <w:rFonts w:asciiTheme="minorHAnsi" w:eastAsiaTheme="minorHAnsi" w:hAnsiTheme="minorHAnsi" w:cstheme="minorBidi"/>
          <w:snapToGrid/>
          <w:sz w:val="24"/>
          <w:szCs w:val="22"/>
        </w:rPr>
        <w:t xml:space="preserve">from July </w:t>
      </w:r>
      <w:r w:rsidR="007576EF" w:rsidRPr="007C652F">
        <w:rPr>
          <w:rFonts w:asciiTheme="minorHAnsi" w:eastAsiaTheme="minorHAnsi" w:hAnsiTheme="minorHAnsi" w:cstheme="minorBidi"/>
          <w:snapToGrid/>
          <w:sz w:val="24"/>
          <w:szCs w:val="22"/>
        </w:rPr>
        <w:t>2018,</w:t>
      </w:r>
      <w:r w:rsidR="00997D90" w:rsidRPr="007C652F">
        <w:rPr>
          <w:rFonts w:asciiTheme="minorHAnsi" w:eastAsiaTheme="minorHAnsi" w:hAnsiTheme="minorHAnsi" w:cstheme="minorBidi"/>
          <w:snapToGrid/>
          <w:sz w:val="24"/>
          <w:szCs w:val="22"/>
        </w:rPr>
        <w:t xml:space="preserve"> </w:t>
      </w:r>
      <w:r w:rsidR="0090748D" w:rsidRPr="007C652F">
        <w:rPr>
          <w:rFonts w:asciiTheme="minorHAnsi" w:eastAsiaTheme="minorHAnsi" w:hAnsiTheme="minorHAnsi" w:cstheme="minorBidi"/>
          <w:snapToGrid/>
          <w:sz w:val="24"/>
          <w:szCs w:val="22"/>
        </w:rPr>
        <w:t>as</w:t>
      </w:r>
      <w:r w:rsidR="00C13A2E" w:rsidRPr="007C652F">
        <w:rPr>
          <w:rFonts w:asciiTheme="minorHAnsi" w:eastAsiaTheme="minorHAnsi" w:hAnsiTheme="minorHAnsi" w:cstheme="minorBidi"/>
          <w:snapToGrid/>
          <w:sz w:val="24"/>
          <w:szCs w:val="22"/>
        </w:rPr>
        <w:t xml:space="preserve"> this was a non-empirical split. Additionally, use of this split would result in a price that </w:t>
      </w:r>
      <w:r w:rsidR="006965B9" w:rsidRPr="007C652F">
        <w:rPr>
          <w:rFonts w:asciiTheme="minorHAnsi" w:eastAsiaTheme="minorHAnsi" w:hAnsiTheme="minorHAnsi" w:cstheme="minorBidi"/>
          <w:snapToGrid/>
          <w:sz w:val="24"/>
          <w:szCs w:val="22"/>
        </w:rPr>
        <w:t xml:space="preserve">would not be sustainable for the sponsor to list </w:t>
      </w:r>
      <w:r w:rsidR="00C13A2E" w:rsidRPr="007C652F">
        <w:rPr>
          <w:rFonts w:asciiTheme="minorHAnsi" w:eastAsiaTheme="minorHAnsi" w:hAnsiTheme="minorHAnsi" w:cstheme="minorBidi"/>
          <w:snapToGrid/>
          <w:sz w:val="24"/>
          <w:szCs w:val="22"/>
        </w:rPr>
        <w:t>Entocort on the PBS.</w:t>
      </w:r>
    </w:p>
    <w:p w:rsidR="00CB326A" w:rsidRPr="007576EF" w:rsidRDefault="008A5471" w:rsidP="00370FF0">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Additional data w</w:t>
      </w:r>
      <w:r w:rsidR="007576EF">
        <w:rPr>
          <w:rFonts w:asciiTheme="minorHAnsi" w:eastAsiaTheme="minorHAnsi" w:hAnsiTheme="minorHAnsi" w:cstheme="minorBidi"/>
          <w:snapToGrid/>
          <w:sz w:val="24"/>
          <w:szCs w:val="22"/>
        </w:rPr>
        <w:t xml:space="preserve">ere </w:t>
      </w:r>
      <w:r w:rsidRPr="007576EF">
        <w:rPr>
          <w:rFonts w:asciiTheme="minorHAnsi" w:eastAsiaTheme="minorHAnsi" w:hAnsiTheme="minorHAnsi" w:cstheme="minorBidi"/>
          <w:snapToGrid/>
          <w:sz w:val="24"/>
          <w:szCs w:val="22"/>
        </w:rPr>
        <w:t xml:space="preserve">provided in the </w:t>
      </w:r>
      <w:r w:rsidR="00EA20D3" w:rsidRPr="007576EF">
        <w:rPr>
          <w:rFonts w:asciiTheme="minorHAnsi" w:eastAsiaTheme="minorHAnsi" w:hAnsiTheme="minorHAnsi" w:cstheme="minorBidi"/>
          <w:snapToGrid/>
          <w:sz w:val="24"/>
          <w:szCs w:val="22"/>
        </w:rPr>
        <w:t xml:space="preserve">current </w:t>
      </w:r>
      <w:r w:rsidRPr="007576EF">
        <w:rPr>
          <w:rFonts w:asciiTheme="minorHAnsi" w:eastAsiaTheme="minorHAnsi" w:hAnsiTheme="minorHAnsi" w:cstheme="minorBidi"/>
          <w:snapToGrid/>
          <w:sz w:val="24"/>
          <w:szCs w:val="22"/>
        </w:rPr>
        <w:t xml:space="preserve">minor resubmission to justify </w:t>
      </w:r>
      <w:r w:rsidR="00B47F3B" w:rsidRPr="007576EF">
        <w:rPr>
          <w:rFonts w:asciiTheme="minorHAnsi" w:eastAsiaTheme="minorHAnsi" w:hAnsiTheme="minorHAnsi" w:cstheme="minorBidi"/>
          <w:snapToGrid/>
          <w:sz w:val="24"/>
          <w:szCs w:val="22"/>
        </w:rPr>
        <w:t xml:space="preserve">an updated </w:t>
      </w:r>
      <w:r w:rsidRPr="007576EF">
        <w:rPr>
          <w:rFonts w:asciiTheme="minorHAnsi" w:eastAsiaTheme="minorHAnsi" w:hAnsiTheme="minorHAnsi" w:cstheme="minorBidi"/>
          <w:snapToGrid/>
          <w:sz w:val="24"/>
          <w:szCs w:val="22"/>
        </w:rPr>
        <w:t xml:space="preserve">weighted </w:t>
      </w:r>
      <w:r w:rsidR="00E24947" w:rsidRPr="007576EF">
        <w:rPr>
          <w:rFonts w:asciiTheme="minorHAnsi" w:eastAsiaTheme="minorHAnsi" w:hAnsiTheme="minorHAnsi" w:cstheme="minorBidi"/>
          <w:snapToGrid/>
          <w:sz w:val="24"/>
          <w:szCs w:val="22"/>
        </w:rPr>
        <w:t>split between mesalazine and prednisolone</w:t>
      </w:r>
      <w:r w:rsidRPr="007C652F">
        <w:rPr>
          <w:rFonts w:asciiTheme="minorHAnsi" w:eastAsiaTheme="minorHAnsi" w:hAnsiTheme="minorHAnsi" w:cstheme="minorBidi"/>
          <w:snapToGrid/>
          <w:sz w:val="24"/>
          <w:szCs w:val="22"/>
        </w:rPr>
        <w:t xml:space="preserve">. </w:t>
      </w:r>
      <w:r w:rsidR="00CB326A" w:rsidRPr="007C652F">
        <w:rPr>
          <w:rFonts w:asciiTheme="minorHAnsi" w:eastAsiaTheme="minorHAnsi" w:hAnsiTheme="minorHAnsi" w:cstheme="minorBidi"/>
          <w:snapToGrid/>
          <w:sz w:val="24"/>
          <w:szCs w:val="22"/>
        </w:rPr>
        <w:t xml:space="preserve">The weighting was based on </w:t>
      </w:r>
      <w:r w:rsidRPr="007C652F">
        <w:rPr>
          <w:rFonts w:asciiTheme="minorHAnsi" w:eastAsiaTheme="minorHAnsi" w:hAnsiTheme="minorHAnsi" w:cstheme="minorBidi"/>
          <w:snapToGrid/>
          <w:sz w:val="24"/>
          <w:szCs w:val="22"/>
        </w:rPr>
        <w:t xml:space="preserve">the same </w:t>
      </w:r>
      <w:r w:rsidR="00CB326A" w:rsidRPr="007C652F">
        <w:rPr>
          <w:rFonts w:asciiTheme="minorHAnsi" w:eastAsiaTheme="minorHAnsi" w:hAnsiTheme="minorHAnsi" w:cstheme="minorBidi"/>
          <w:snapToGrid/>
          <w:sz w:val="24"/>
          <w:szCs w:val="22"/>
        </w:rPr>
        <w:t>BEACH data (April 2011 to March 2016)</w:t>
      </w:r>
      <w:r w:rsidRPr="007C652F">
        <w:rPr>
          <w:rFonts w:asciiTheme="minorHAnsi" w:eastAsiaTheme="minorHAnsi" w:hAnsiTheme="minorHAnsi" w:cstheme="minorBidi"/>
          <w:snapToGrid/>
          <w:sz w:val="24"/>
          <w:szCs w:val="22"/>
        </w:rPr>
        <w:t xml:space="preserve"> as well as additional data from</w:t>
      </w:r>
      <w:r w:rsidR="00CB326A" w:rsidRPr="007C652F">
        <w:rPr>
          <w:rFonts w:asciiTheme="minorHAnsi" w:eastAsiaTheme="minorHAnsi" w:hAnsiTheme="minorHAnsi" w:cstheme="minorBidi"/>
          <w:snapToGrid/>
          <w:sz w:val="24"/>
          <w:szCs w:val="22"/>
        </w:rPr>
        <w:t xml:space="preserve"> Medicines Insight NPS data (</w:t>
      </w:r>
      <w:r w:rsidR="006965B9" w:rsidRPr="007C652F">
        <w:rPr>
          <w:rFonts w:asciiTheme="minorHAnsi" w:eastAsiaTheme="minorHAnsi" w:hAnsiTheme="minorHAnsi" w:cstheme="minorBidi"/>
          <w:snapToGrid/>
          <w:sz w:val="24"/>
          <w:szCs w:val="22"/>
        </w:rPr>
        <w:t xml:space="preserve">NPS data, </w:t>
      </w:r>
      <w:r w:rsidR="00CB326A" w:rsidRPr="007C652F">
        <w:rPr>
          <w:rFonts w:asciiTheme="minorHAnsi" w:eastAsiaTheme="minorHAnsi" w:hAnsiTheme="minorHAnsi" w:cstheme="minorBidi"/>
          <w:snapToGrid/>
          <w:sz w:val="24"/>
          <w:szCs w:val="22"/>
        </w:rPr>
        <w:t xml:space="preserve">2013 to 2018). </w:t>
      </w:r>
      <w:r w:rsidR="00DF5565" w:rsidRPr="007C652F">
        <w:rPr>
          <w:rFonts w:asciiTheme="minorHAnsi" w:eastAsiaTheme="minorHAnsi" w:hAnsiTheme="minorHAnsi" w:cstheme="minorBidi"/>
          <w:snapToGrid/>
          <w:sz w:val="24"/>
          <w:szCs w:val="22"/>
        </w:rPr>
        <w:t xml:space="preserve">The resubmission noted that findings of the NPS </w:t>
      </w:r>
      <w:r w:rsidR="00662A5E" w:rsidRPr="007C652F">
        <w:rPr>
          <w:rFonts w:asciiTheme="minorHAnsi" w:eastAsiaTheme="minorHAnsi" w:hAnsiTheme="minorHAnsi" w:cstheme="minorBidi"/>
          <w:snapToGrid/>
          <w:sz w:val="24"/>
          <w:szCs w:val="22"/>
        </w:rPr>
        <w:t xml:space="preserve">data </w:t>
      </w:r>
      <w:r w:rsidR="00DF5565" w:rsidRPr="007C652F">
        <w:rPr>
          <w:rFonts w:asciiTheme="minorHAnsi" w:eastAsiaTheme="minorHAnsi" w:hAnsiTheme="minorHAnsi" w:cstheme="minorBidi"/>
          <w:snapToGrid/>
          <w:sz w:val="24"/>
          <w:szCs w:val="22"/>
        </w:rPr>
        <w:t xml:space="preserve">align with the BEACH data and showed that treatment practices have remained largely unchanged. There were no significant differences in the annual proportions of patients with Crohn’s Disease prescribed prednisolone/prednisone or mesalazine between 2013 </w:t>
      </w:r>
      <w:r w:rsidR="007576EF">
        <w:rPr>
          <w:rFonts w:asciiTheme="minorHAnsi" w:eastAsiaTheme="minorHAnsi" w:hAnsiTheme="minorHAnsi" w:cstheme="minorBidi"/>
          <w:snapToGrid/>
          <w:sz w:val="24"/>
          <w:szCs w:val="22"/>
        </w:rPr>
        <w:t xml:space="preserve">and </w:t>
      </w:r>
      <w:r w:rsidR="00DF5565" w:rsidRPr="007576EF">
        <w:rPr>
          <w:rFonts w:asciiTheme="minorHAnsi" w:eastAsiaTheme="minorHAnsi" w:hAnsiTheme="minorHAnsi" w:cstheme="minorBidi"/>
          <w:snapToGrid/>
          <w:sz w:val="24"/>
          <w:szCs w:val="22"/>
        </w:rPr>
        <w:t xml:space="preserve">2018, suggesting that physician prescribing practices for prednisolone/prednisone and mesalazine have not changed significantly in the last </w:t>
      </w:r>
      <w:r w:rsidR="00E24947" w:rsidRPr="007576EF">
        <w:rPr>
          <w:rFonts w:asciiTheme="minorHAnsi" w:eastAsiaTheme="minorHAnsi" w:hAnsiTheme="minorHAnsi" w:cstheme="minorBidi"/>
          <w:snapToGrid/>
          <w:sz w:val="24"/>
          <w:szCs w:val="22"/>
        </w:rPr>
        <w:t>5 years. The resubmission stated</w:t>
      </w:r>
      <w:r w:rsidR="00DF5565" w:rsidRPr="007576EF">
        <w:rPr>
          <w:rFonts w:asciiTheme="minorHAnsi" w:eastAsiaTheme="minorHAnsi" w:hAnsiTheme="minorHAnsi" w:cstheme="minorBidi"/>
          <w:snapToGrid/>
          <w:sz w:val="24"/>
          <w:szCs w:val="22"/>
        </w:rPr>
        <w:t xml:space="preserve"> the additional data should alleviate concerns previously raised by the PBAC over the applicability of </w:t>
      </w:r>
      <w:r w:rsidR="00DF5565" w:rsidRPr="007576EF">
        <w:rPr>
          <w:rFonts w:asciiTheme="minorHAnsi" w:eastAsiaTheme="minorHAnsi" w:hAnsiTheme="minorHAnsi" w:cstheme="minorBidi"/>
          <w:snapToGrid/>
          <w:sz w:val="24"/>
          <w:szCs w:val="22"/>
        </w:rPr>
        <w:lastRenderedPageBreak/>
        <w:t xml:space="preserve">BEACH data to current clinical practice. </w:t>
      </w:r>
      <w:r w:rsidR="00CB326A" w:rsidRPr="007C652F">
        <w:rPr>
          <w:rFonts w:asciiTheme="minorHAnsi" w:eastAsiaTheme="minorHAnsi" w:hAnsiTheme="minorHAnsi" w:cstheme="minorBidi"/>
          <w:snapToGrid/>
          <w:sz w:val="24"/>
          <w:szCs w:val="22"/>
        </w:rPr>
        <w:t xml:space="preserve">The data </w:t>
      </w:r>
      <w:r w:rsidR="007576EF" w:rsidRPr="007C652F">
        <w:rPr>
          <w:rFonts w:asciiTheme="minorHAnsi" w:eastAsiaTheme="minorHAnsi" w:hAnsiTheme="minorHAnsi" w:cstheme="minorBidi"/>
          <w:snapToGrid/>
          <w:sz w:val="24"/>
          <w:szCs w:val="22"/>
        </w:rPr>
        <w:t>w</w:t>
      </w:r>
      <w:r w:rsidR="007576EF">
        <w:rPr>
          <w:rFonts w:asciiTheme="minorHAnsi" w:eastAsiaTheme="minorHAnsi" w:hAnsiTheme="minorHAnsi" w:cstheme="minorBidi"/>
          <w:snapToGrid/>
          <w:sz w:val="24"/>
          <w:szCs w:val="22"/>
        </w:rPr>
        <w:t>ere</w:t>
      </w:r>
      <w:r w:rsidR="007576EF" w:rsidRPr="007576EF">
        <w:rPr>
          <w:rFonts w:asciiTheme="minorHAnsi" w:eastAsiaTheme="minorHAnsi" w:hAnsiTheme="minorHAnsi" w:cstheme="minorBidi"/>
          <w:snapToGrid/>
          <w:sz w:val="24"/>
          <w:szCs w:val="22"/>
        </w:rPr>
        <w:t xml:space="preserve"> </w:t>
      </w:r>
      <w:r w:rsidR="00CB326A" w:rsidRPr="007576EF">
        <w:rPr>
          <w:rFonts w:asciiTheme="minorHAnsi" w:eastAsiaTheme="minorHAnsi" w:hAnsiTheme="minorHAnsi" w:cstheme="minorBidi"/>
          <w:snapToGrid/>
          <w:sz w:val="24"/>
          <w:szCs w:val="22"/>
        </w:rPr>
        <w:t xml:space="preserve">averaged to generate a comparator proportion. </w:t>
      </w:r>
      <w:r w:rsidR="00DF5565" w:rsidRPr="007576EF">
        <w:rPr>
          <w:rFonts w:asciiTheme="minorHAnsi" w:eastAsiaTheme="minorHAnsi" w:hAnsiTheme="minorHAnsi" w:cstheme="minorBidi"/>
          <w:snapToGrid/>
          <w:sz w:val="24"/>
          <w:szCs w:val="22"/>
        </w:rPr>
        <w:t xml:space="preserve">The weighting from the updated data was calculated to be </w:t>
      </w:r>
      <w:r w:rsidR="0059576F">
        <w:rPr>
          <w:rFonts w:asciiTheme="minorHAnsi" w:eastAsiaTheme="minorHAnsi" w:hAnsiTheme="minorHAnsi" w:cstheme="minorBidi"/>
          <w:noProof/>
          <w:snapToGrid/>
          <w:color w:val="000000"/>
          <w:sz w:val="24"/>
          <w:szCs w:val="22"/>
          <w:highlight w:val="black"/>
        </w:rPr>
        <w:t>'''''''''</w:t>
      </w:r>
      <w:r w:rsidR="00DF5565" w:rsidRPr="007576EF">
        <w:rPr>
          <w:rFonts w:asciiTheme="minorHAnsi" w:eastAsiaTheme="minorHAnsi" w:hAnsiTheme="minorHAnsi" w:cstheme="minorBidi"/>
          <w:snapToGrid/>
          <w:sz w:val="24"/>
          <w:szCs w:val="22"/>
        </w:rPr>
        <w:t xml:space="preserve">% for mesalazine and </w:t>
      </w:r>
      <w:r w:rsidR="0059576F">
        <w:rPr>
          <w:rFonts w:asciiTheme="minorHAnsi" w:eastAsiaTheme="minorHAnsi" w:hAnsiTheme="minorHAnsi" w:cstheme="minorBidi"/>
          <w:noProof/>
          <w:snapToGrid/>
          <w:color w:val="000000"/>
          <w:sz w:val="24"/>
          <w:szCs w:val="22"/>
          <w:highlight w:val="black"/>
        </w:rPr>
        <w:t>'''''''''</w:t>
      </w:r>
      <w:r w:rsidR="00DF5565" w:rsidRPr="007576EF">
        <w:rPr>
          <w:rFonts w:asciiTheme="minorHAnsi" w:eastAsiaTheme="minorHAnsi" w:hAnsiTheme="minorHAnsi" w:cstheme="minorBidi"/>
          <w:snapToGrid/>
          <w:sz w:val="24"/>
          <w:szCs w:val="22"/>
        </w:rPr>
        <w:t>% for prednisolone.</w:t>
      </w:r>
    </w:p>
    <w:p w:rsidR="001F5C4D" w:rsidRDefault="00DA02B4" w:rsidP="00370FF0">
      <w:pPr>
        <w:pStyle w:val="ListParagraph"/>
        <w:widowControl/>
        <w:numPr>
          <w:ilvl w:val="1"/>
          <w:numId w:val="5"/>
        </w:numPr>
        <w:spacing w:before="120" w:after="120"/>
        <w:contextualSpacing w:val="0"/>
        <w:rPr>
          <w:b/>
        </w:rPr>
      </w:pPr>
      <w:r w:rsidRPr="007576EF">
        <w:rPr>
          <w:rFonts w:asciiTheme="minorHAnsi" w:eastAsiaTheme="minorHAnsi" w:hAnsiTheme="minorHAnsi" w:cstheme="minorBidi"/>
          <w:snapToGrid/>
          <w:sz w:val="24"/>
          <w:szCs w:val="22"/>
        </w:rPr>
        <w:t>The resubmission stated the price of budesonide i</w:t>
      </w:r>
      <w:r w:rsidRPr="007C652F">
        <w:rPr>
          <w:rFonts w:asciiTheme="minorHAnsi" w:eastAsiaTheme="minorHAnsi" w:hAnsiTheme="minorHAnsi" w:cstheme="minorBidi"/>
          <w:snapToGrid/>
          <w:sz w:val="24"/>
          <w:szCs w:val="22"/>
        </w:rPr>
        <w:t xml:space="preserve">s based on a weighted average cost of mesalazine and prednisolone for 12 weeks. </w:t>
      </w:r>
      <w:r w:rsidR="00D57995" w:rsidRPr="007C652F">
        <w:rPr>
          <w:rFonts w:asciiTheme="minorHAnsi" w:eastAsiaTheme="minorHAnsi" w:hAnsiTheme="minorHAnsi" w:cstheme="minorBidi"/>
          <w:snapToGrid/>
          <w:sz w:val="24"/>
          <w:szCs w:val="22"/>
        </w:rPr>
        <w:t xml:space="preserve">This is unchanged from the previous resubmission. </w:t>
      </w:r>
      <w:r w:rsidR="00BF323D" w:rsidRPr="007C652F">
        <w:rPr>
          <w:rFonts w:asciiTheme="minorHAnsi" w:hAnsiTheme="minorHAnsi"/>
          <w:sz w:val="24"/>
          <w:szCs w:val="24"/>
        </w:rPr>
        <w:t>The cost of treatment for 12 weeks for each of the mesalazine brands listed for CD (Table 1), with the exception of Mesasal®, was calculated.</w:t>
      </w:r>
      <w:r w:rsidRPr="007C652F">
        <w:rPr>
          <w:rFonts w:asciiTheme="minorHAnsi" w:eastAsiaTheme="minorHAnsi" w:hAnsiTheme="minorHAnsi" w:cstheme="minorBidi"/>
          <w:snapToGrid/>
          <w:sz w:val="24"/>
          <w:szCs w:val="22"/>
        </w:rPr>
        <w:t xml:space="preserve"> </w:t>
      </w:r>
      <w:r w:rsidR="000F3071" w:rsidRPr="007C652F">
        <w:rPr>
          <w:rFonts w:asciiTheme="minorHAnsi" w:hAnsiTheme="minorHAnsi"/>
          <w:sz w:val="24"/>
          <w:szCs w:val="24"/>
        </w:rPr>
        <w:t xml:space="preserve">The cost of treatment was based on a dose of 4 g/day for the Pentasa® brands of mesalazine and a dose of 4.5 g/day followed by a 3 g/day taper dose (4 weeks) for the Salofalk® brand. The same was done for prednisolone based on a dose of 25 mg/day followed by a 5 mg/day taper dose (4 weeks). A weighted average cost for budesonide was then calculated based on the cheapest mesalazine and prednisolone brands, with the assumption of a </w:t>
      </w:r>
      <w:r w:rsidR="007576EF" w:rsidRPr="007C652F">
        <w:rPr>
          <w:rFonts w:asciiTheme="minorHAnsi" w:hAnsiTheme="minorHAnsi"/>
          <w:sz w:val="24"/>
          <w:szCs w:val="24"/>
        </w:rPr>
        <w:t>3-week</w:t>
      </w:r>
      <w:r w:rsidR="000F3071" w:rsidRPr="007C652F">
        <w:rPr>
          <w:rFonts w:asciiTheme="minorHAnsi" w:hAnsiTheme="minorHAnsi"/>
          <w:sz w:val="24"/>
          <w:szCs w:val="24"/>
        </w:rPr>
        <w:t xml:space="preserve"> taper period for budesonide (average of 2 and 4 weeks taper).</w:t>
      </w:r>
      <w:r w:rsidR="000F3071" w:rsidRPr="007C652F">
        <w:rPr>
          <w:b/>
        </w:rPr>
        <w:t xml:space="preserve"> </w:t>
      </w:r>
    </w:p>
    <w:p w:rsidR="00DA02B4" w:rsidRPr="007C652F" w:rsidRDefault="00DA02B4" w:rsidP="005A4EAB">
      <w:pPr>
        <w:pStyle w:val="PBACHeading1"/>
        <w:numPr>
          <w:ilvl w:val="0"/>
          <w:numId w:val="0"/>
        </w:numPr>
        <w:outlineLvl w:val="9"/>
        <w:rPr>
          <w:rFonts w:ascii="Arial Narrow" w:hAnsi="Arial Narrow"/>
          <w:sz w:val="20"/>
          <w:szCs w:val="20"/>
        </w:rPr>
      </w:pPr>
      <w:r w:rsidRPr="007C652F">
        <w:rPr>
          <w:rFonts w:ascii="Arial Narrow" w:hAnsi="Arial Narrow"/>
          <w:sz w:val="20"/>
          <w:szCs w:val="20"/>
        </w:rPr>
        <w:t>Table 1: Current PBS listings of mesalazine and prednisolone for use in CD</w:t>
      </w:r>
    </w:p>
    <w:tbl>
      <w:tblPr>
        <w:tblStyle w:val="TableGrid"/>
        <w:tblW w:w="5000" w:type="pct"/>
        <w:tblLook w:val="04A0" w:firstRow="1" w:lastRow="0" w:firstColumn="1" w:lastColumn="0" w:noHBand="0" w:noVBand="1"/>
        <w:tblCaption w:val="Current PBS listings of mesalazine and prednisolone for use in CD"/>
      </w:tblPr>
      <w:tblGrid>
        <w:gridCol w:w="1075"/>
        <w:gridCol w:w="2627"/>
        <w:gridCol w:w="2764"/>
        <w:gridCol w:w="2550"/>
      </w:tblGrid>
      <w:tr w:rsidR="00D25A01" w:rsidRPr="007C652F" w:rsidTr="002F2A87">
        <w:trPr>
          <w:tblHeader/>
        </w:trPr>
        <w:tc>
          <w:tcPr>
            <w:tcW w:w="596" w:type="pct"/>
            <w:vAlign w:val="center"/>
          </w:tcPr>
          <w:p w:rsidR="00DA02B4" w:rsidRPr="007C652F" w:rsidRDefault="00DA02B4" w:rsidP="001F5C4D">
            <w:pPr>
              <w:pStyle w:val="ListParagraph"/>
              <w:widowControl/>
              <w:spacing w:after="120"/>
              <w:ind w:left="0"/>
              <w:contextualSpacing w:val="0"/>
              <w:jc w:val="left"/>
              <w:rPr>
                <w:rFonts w:ascii="Arial Narrow" w:hAnsi="Arial Narrow"/>
                <w:b/>
                <w:sz w:val="20"/>
              </w:rPr>
            </w:pPr>
            <w:r w:rsidRPr="007C652F">
              <w:rPr>
                <w:rFonts w:ascii="Arial Narrow" w:hAnsi="Arial Narrow"/>
                <w:b/>
                <w:sz w:val="20"/>
              </w:rPr>
              <w:t>PBS Code</w:t>
            </w:r>
          </w:p>
        </w:tc>
        <w:tc>
          <w:tcPr>
            <w:tcW w:w="1457" w:type="pct"/>
            <w:vAlign w:val="center"/>
          </w:tcPr>
          <w:p w:rsidR="00DA02B4" w:rsidRPr="007C652F" w:rsidRDefault="00DA02B4" w:rsidP="00453613">
            <w:pPr>
              <w:pStyle w:val="ListParagraph"/>
              <w:widowControl/>
              <w:spacing w:after="120"/>
              <w:ind w:left="0"/>
              <w:contextualSpacing w:val="0"/>
              <w:jc w:val="center"/>
              <w:rPr>
                <w:rFonts w:ascii="Arial Narrow" w:hAnsi="Arial Narrow"/>
                <w:b/>
                <w:sz w:val="20"/>
              </w:rPr>
            </w:pPr>
            <w:r w:rsidRPr="007C652F">
              <w:rPr>
                <w:rFonts w:ascii="Arial Narrow" w:hAnsi="Arial Narrow"/>
                <w:b/>
                <w:sz w:val="20"/>
              </w:rPr>
              <w:t>Brand name</w:t>
            </w:r>
          </w:p>
        </w:tc>
        <w:tc>
          <w:tcPr>
            <w:tcW w:w="1533" w:type="pct"/>
            <w:vAlign w:val="center"/>
          </w:tcPr>
          <w:p w:rsidR="00DA02B4" w:rsidRPr="007C652F" w:rsidRDefault="00DA02B4" w:rsidP="00453613">
            <w:pPr>
              <w:pStyle w:val="ListParagraph"/>
              <w:widowControl/>
              <w:spacing w:after="120"/>
              <w:ind w:left="0"/>
              <w:contextualSpacing w:val="0"/>
              <w:jc w:val="center"/>
              <w:rPr>
                <w:rFonts w:ascii="Arial Narrow" w:hAnsi="Arial Narrow"/>
                <w:b/>
                <w:sz w:val="20"/>
              </w:rPr>
            </w:pPr>
            <w:r w:rsidRPr="007C652F">
              <w:rPr>
                <w:rFonts w:ascii="Arial Narrow" w:hAnsi="Arial Narrow"/>
                <w:b/>
                <w:sz w:val="20"/>
              </w:rPr>
              <w:t>Strength and form</w:t>
            </w:r>
          </w:p>
        </w:tc>
        <w:tc>
          <w:tcPr>
            <w:tcW w:w="1414" w:type="pct"/>
            <w:vAlign w:val="center"/>
          </w:tcPr>
          <w:p w:rsidR="00DA02B4" w:rsidRPr="007C652F" w:rsidRDefault="00DA02B4" w:rsidP="00453613">
            <w:pPr>
              <w:pStyle w:val="ListParagraph"/>
              <w:widowControl/>
              <w:spacing w:after="120"/>
              <w:ind w:left="0"/>
              <w:contextualSpacing w:val="0"/>
              <w:jc w:val="center"/>
              <w:rPr>
                <w:rFonts w:ascii="Arial Narrow" w:hAnsi="Arial Narrow"/>
                <w:b/>
                <w:sz w:val="20"/>
              </w:rPr>
            </w:pPr>
            <w:r w:rsidRPr="007C652F">
              <w:rPr>
                <w:rFonts w:ascii="Arial Narrow" w:hAnsi="Arial Narrow"/>
                <w:b/>
                <w:sz w:val="20"/>
              </w:rPr>
              <w:t>Restriction level</w:t>
            </w:r>
          </w:p>
        </w:tc>
      </w:tr>
      <w:tr w:rsidR="00D25A01" w:rsidRPr="007C652F" w:rsidTr="001F5C4D">
        <w:tc>
          <w:tcPr>
            <w:tcW w:w="596" w:type="pct"/>
            <w:vAlign w:val="center"/>
          </w:tcPr>
          <w:p w:rsidR="00DA02B4" w:rsidRPr="007C652F" w:rsidRDefault="00DA02B4" w:rsidP="001F5C4D">
            <w:pPr>
              <w:rPr>
                <w:rFonts w:ascii="Arial Narrow" w:hAnsi="Arial Narrow" w:cs="Arial"/>
                <w:sz w:val="20"/>
                <w:szCs w:val="20"/>
              </w:rPr>
            </w:pPr>
            <w:r w:rsidRPr="007C652F">
              <w:rPr>
                <w:rFonts w:ascii="Arial Narrow" w:hAnsi="Arial Narrow" w:cs="Arial"/>
                <w:sz w:val="20"/>
                <w:szCs w:val="20"/>
              </w:rPr>
              <w:t>1611T</w:t>
            </w:r>
          </w:p>
        </w:tc>
        <w:tc>
          <w:tcPr>
            <w:tcW w:w="1457" w:type="pct"/>
            <w:vAlign w:val="center"/>
          </w:tcPr>
          <w:p w:rsidR="00DA02B4" w:rsidRPr="007C652F" w:rsidRDefault="00DA02B4" w:rsidP="00453613">
            <w:pPr>
              <w:jc w:val="center"/>
              <w:rPr>
                <w:rFonts w:ascii="Arial Narrow" w:hAnsi="Arial Narrow" w:cs="Arial"/>
                <w:sz w:val="20"/>
                <w:szCs w:val="20"/>
                <w:vertAlign w:val="superscript"/>
              </w:rPr>
            </w:pPr>
            <w:r w:rsidRPr="007C652F">
              <w:rPr>
                <w:rFonts w:ascii="Arial Narrow" w:hAnsi="Arial Narrow" w:cs="Arial"/>
                <w:sz w:val="20"/>
                <w:szCs w:val="20"/>
              </w:rPr>
              <w:t>Mesasal (mesalazine)</w:t>
            </w:r>
            <w:r w:rsidRPr="007C652F">
              <w:rPr>
                <w:rFonts w:ascii="Arial Narrow" w:hAnsi="Arial Narrow" w:cs="Arial"/>
                <w:sz w:val="20"/>
                <w:szCs w:val="20"/>
                <w:vertAlign w:val="superscript"/>
              </w:rPr>
              <w:t>a</w:t>
            </w:r>
          </w:p>
        </w:tc>
        <w:tc>
          <w:tcPr>
            <w:tcW w:w="1533"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250 mg</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modified release tablet</w:t>
            </w:r>
          </w:p>
        </w:tc>
        <w:tc>
          <w:tcPr>
            <w:tcW w:w="1414"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AR (Streamlined)</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UC and CD</w:t>
            </w:r>
          </w:p>
        </w:tc>
      </w:tr>
      <w:tr w:rsidR="00D25A01" w:rsidRPr="007C652F" w:rsidTr="001F5C4D">
        <w:tc>
          <w:tcPr>
            <w:tcW w:w="596" w:type="pct"/>
            <w:vAlign w:val="center"/>
          </w:tcPr>
          <w:p w:rsidR="00DA02B4" w:rsidRPr="007C652F" w:rsidRDefault="00DA02B4" w:rsidP="001F5C4D">
            <w:pPr>
              <w:rPr>
                <w:rFonts w:ascii="Arial Narrow" w:hAnsi="Arial Narrow" w:cs="Arial"/>
                <w:sz w:val="20"/>
                <w:szCs w:val="20"/>
              </w:rPr>
            </w:pPr>
            <w:r w:rsidRPr="007C652F">
              <w:rPr>
                <w:rFonts w:ascii="Arial Narrow" w:hAnsi="Arial Narrow" w:cs="Arial"/>
                <w:sz w:val="20"/>
                <w:szCs w:val="20"/>
              </w:rPr>
              <w:t>2214M</w:t>
            </w:r>
          </w:p>
        </w:tc>
        <w:tc>
          <w:tcPr>
            <w:tcW w:w="1457"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Pentasa (mesalazine)</w:t>
            </w:r>
          </w:p>
        </w:tc>
        <w:tc>
          <w:tcPr>
            <w:tcW w:w="1533"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500 mg</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modified release tablet</w:t>
            </w:r>
          </w:p>
        </w:tc>
        <w:tc>
          <w:tcPr>
            <w:tcW w:w="1414"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AR (Streamlined)</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UC and CD</w:t>
            </w:r>
          </w:p>
        </w:tc>
      </w:tr>
      <w:tr w:rsidR="00D25A01" w:rsidRPr="007C652F" w:rsidTr="001F5C4D">
        <w:tc>
          <w:tcPr>
            <w:tcW w:w="596" w:type="pct"/>
            <w:vAlign w:val="center"/>
          </w:tcPr>
          <w:p w:rsidR="00DA02B4" w:rsidRPr="007C652F" w:rsidRDefault="00DA02B4" w:rsidP="001F5C4D">
            <w:pPr>
              <w:rPr>
                <w:rFonts w:ascii="Arial Narrow" w:hAnsi="Arial Narrow" w:cs="Arial"/>
                <w:sz w:val="20"/>
                <w:szCs w:val="20"/>
              </w:rPr>
            </w:pPr>
            <w:r w:rsidRPr="007C652F">
              <w:rPr>
                <w:rFonts w:ascii="Arial Narrow" w:hAnsi="Arial Narrow" w:cs="Arial"/>
                <w:sz w:val="20"/>
                <w:szCs w:val="20"/>
              </w:rPr>
              <w:t>2234N</w:t>
            </w:r>
          </w:p>
        </w:tc>
        <w:tc>
          <w:tcPr>
            <w:tcW w:w="1457"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Pentasa (mesalazine)</w:t>
            </w:r>
          </w:p>
        </w:tc>
        <w:tc>
          <w:tcPr>
            <w:tcW w:w="1533"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1 g</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modified release granules</w:t>
            </w:r>
          </w:p>
        </w:tc>
        <w:tc>
          <w:tcPr>
            <w:tcW w:w="1414"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AR (Streamlined)</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UC and CD</w:t>
            </w:r>
          </w:p>
        </w:tc>
      </w:tr>
      <w:tr w:rsidR="00D25A01" w:rsidRPr="007C652F" w:rsidTr="001F5C4D">
        <w:tc>
          <w:tcPr>
            <w:tcW w:w="596" w:type="pct"/>
            <w:vAlign w:val="center"/>
          </w:tcPr>
          <w:p w:rsidR="00DA02B4" w:rsidRPr="007C652F" w:rsidRDefault="00DA02B4" w:rsidP="001F5C4D">
            <w:pPr>
              <w:rPr>
                <w:rFonts w:ascii="Arial Narrow" w:hAnsi="Arial Narrow" w:cs="Arial"/>
                <w:sz w:val="20"/>
                <w:szCs w:val="20"/>
              </w:rPr>
            </w:pPr>
            <w:r w:rsidRPr="007C652F">
              <w:rPr>
                <w:rFonts w:ascii="Arial Narrow" w:hAnsi="Arial Narrow" w:cs="Arial"/>
                <w:sz w:val="20"/>
                <w:szCs w:val="20"/>
              </w:rPr>
              <w:t>2287J</w:t>
            </w:r>
          </w:p>
        </w:tc>
        <w:tc>
          <w:tcPr>
            <w:tcW w:w="1457"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Pentasa (mesalazine)</w:t>
            </w:r>
          </w:p>
        </w:tc>
        <w:tc>
          <w:tcPr>
            <w:tcW w:w="1533"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2 g</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modified release granules</w:t>
            </w:r>
          </w:p>
        </w:tc>
        <w:tc>
          <w:tcPr>
            <w:tcW w:w="1414"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AR (Streamlined)</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UC and CD</w:t>
            </w:r>
          </w:p>
        </w:tc>
      </w:tr>
      <w:tr w:rsidR="00D25A01" w:rsidRPr="007C652F" w:rsidTr="001F5C4D">
        <w:tc>
          <w:tcPr>
            <w:tcW w:w="596" w:type="pct"/>
            <w:vAlign w:val="center"/>
          </w:tcPr>
          <w:p w:rsidR="00DA02B4" w:rsidRPr="007C652F" w:rsidRDefault="00DA02B4" w:rsidP="001F5C4D">
            <w:pPr>
              <w:rPr>
                <w:rFonts w:ascii="Arial Narrow" w:hAnsi="Arial Narrow" w:cs="Arial"/>
                <w:sz w:val="20"/>
                <w:szCs w:val="20"/>
              </w:rPr>
            </w:pPr>
            <w:r w:rsidRPr="007C652F">
              <w:rPr>
                <w:rFonts w:ascii="Arial Narrow" w:hAnsi="Arial Narrow" w:cs="Arial"/>
                <w:sz w:val="20"/>
                <w:szCs w:val="20"/>
              </w:rPr>
              <w:t>3413P</w:t>
            </w:r>
          </w:p>
        </w:tc>
        <w:tc>
          <w:tcPr>
            <w:tcW w:w="1457"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Pentasa (mesalazine)</w:t>
            </w:r>
          </w:p>
        </w:tc>
        <w:tc>
          <w:tcPr>
            <w:tcW w:w="1533"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1 g</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modified release tablet</w:t>
            </w:r>
          </w:p>
        </w:tc>
        <w:tc>
          <w:tcPr>
            <w:tcW w:w="1414"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AR (Streamlined)</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UC and CD</w:t>
            </w:r>
          </w:p>
        </w:tc>
      </w:tr>
      <w:tr w:rsidR="00D25A01" w:rsidRPr="007C652F" w:rsidTr="001F5C4D">
        <w:tc>
          <w:tcPr>
            <w:tcW w:w="596" w:type="pct"/>
            <w:vAlign w:val="center"/>
          </w:tcPr>
          <w:p w:rsidR="00DA02B4" w:rsidRPr="007C652F" w:rsidRDefault="00DA02B4" w:rsidP="001F5C4D">
            <w:pPr>
              <w:rPr>
                <w:rFonts w:ascii="Arial Narrow" w:hAnsi="Arial Narrow" w:cs="Arial"/>
                <w:sz w:val="20"/>
                <w:szCs w:val="20"/>
              </w:rPr>
            </w:pPr>
            <w:r w:rsidRPr="007C652F">
              <w:rPr>
                <w:rFonts w:ascii="Arial Narrow" w:hAnsi="Arial Narrow" w:cs="Arial"/>
                <w:sz w:val="20"/>
                <w:szCs w:val="20"/>
              </w:rPr>
              <w:t>8731M</w:t>
            </w:r>
          </w:p>
        </w:tc>
        <w:tc>
          <w:tcPr>
            <w:tcW w:w="1457"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Salofalk (mesalazine)</w:t>
            </w:r>
          </w:p>
        </w:tc>
        <w:tc>
          <w:tcPr>
            <w:tcW w:w="1533"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500 mg</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enteric tablet</w:t>
            </w:r>
          </w:p>
        </w:tc>
        <w:tc>
          <w:tcPr>
            <w:tcW w:w="1414"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AR (Streamlined)</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UC and CD</w:t>
            </w:r>
          </w:p>
        </w:tc>
      </w:tr>
      <w:tr w:rsidR="00D25A01" w:rsidRPr="007C652F" w:rsidTr="001F5C4D">
        <w:tc>
          <w:tcPr>
            <w:tcW w:w="596" w:type="pct"/>
            <w:vAlign w:val="center"/>
          </w:tcPr>
          <w:p w:rsidR="00DA02B4" w:rsidRPr="007C652F" w:rsidRDefault="00DA02B4" w:rsidP="001F5C4D">
            <w:pPr>
              <w:rPr>
                <w:rFonts w:ascii="Arial Narrow" w:hAnsi="Arial Narrow" w:cs="Arial"/>
                <w:sz w:val="20"/>
                <w:szCs w:val="20"/>
              </w:rPr>
            </w:pPr>
            <w:r w:rsidRPr="007C652F">
              <w:rPr>
                <w:rFonts w:ascii="Arial Narrow" w:hAnsi="Arial Narrow" w:cs="Arial"/>
                <w:sz w:val="20"/>
                <w:szCs w:val="20"/>
              </w:rPr>
              <w:t>1916W</w:t>
            </w:r>
          </w:p>
        </w:tc>
        <w:tc>
          <w:tcPr>
            <w:tcW w:w="1457"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Panafcortelone/Solone (prednisolone)</w:t>
            </w:r>
          </w:p>
        </w:tc>
        <w:tc>
          <w:tcPr>
            <w:tcW w:w="1533"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25 mg</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tablet</w:t>
            </w:r>
          </w:p>
        </w:tc>
        <w:tc>
          <w:tcPr>
            <w:tcW w:w="1414" w:type="pct"/>
            <w:vAlign w:val="center"/>
          </w:tcPr>
          <w:p w:rsidR="00DA02B4" w:rsidRPr="007C652F" w:rsidRDefault="00DA02B4" w:rsidP="00453613">
            <w:pPr>
              <w:pStyle w:val="ListParagraph"/>
              <w:widowControl/>
              <w:spacing w:after="120"/>
              <w:ind w:left="0"/>
              <w:contextualSpacing w:val="0"/>
              <w:jc w:val="center"/>
              <w:rPr>
                <w:rFonts w:ascii="Arial Narrow" w:hAnsi="Arial Narrow"/>
                <w:sz w:val="20"/>
              </w:rPr>
            </w:pPr>
            <w:r w:rsidRPr="007C652F">
              <w:rPr>
                <w:rFonts w:ascii="Arial Narrow" w:hAnsi="Arial Narrow"/>
                <w:sz w:val="20"/>
              </w:rPr>
              <w:t>Unrestricted</w:t>
            </w:r>
          </w:p>
        </w:tc>
      </w:tr>
      <w:tr w:rsidR="00D25A01" w:rsidRPr="007C652F" w:rsidTr="001F5C4D">
        <w:tc>
          <w:tcPr>
            <w:tcW w:w="596" w:type="pct"/>
            <w:vAlign w:val="center"/>
          </w:tcPr>
          <w:p w:rsidR="00DA02B4" w:rsidRPr="007C652F" w:rsidRDefault="00DA02B4" w:rsidP="001F5C4D">
            <w:pPr>
              <w:rPr>
                <w:rFonts w:ascii="Arial Narrow" w:hAnsi="Arial Narrow" w:cs="Arial"/>
                <w:sz w:val="20"/>
                <w:szCs w:val="20"/>
              </w:rPr>
            </w:pPr>
            <w:r w:rsidRPr="007C652F">
              <w:rPr>
                <w:rFonts w:ascii="Arial Narrow" w:hAnsi="Arial Narrow" w:cs="Arial"/>
                <w:sz w:val="20"/>
                <w:szCs w:val="20"/>
              </w:rPr>
              <w:t>1917X</w:t>
            </w:r>
          </w:p>
        </w:tc>
        <w:tc>
          <w:tcPr>
            <w:tcW w:w="1457"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Panafcortelone/Solone (prednisolone)</w:t>
            </w:r>
          </w:p>
        </w:tc>
        <w:tc>
          <w:tcPr>
            <w:tcW w:w="1533"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5 mg</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tablet</w:t>
            </w:r>
          </w:p>
        </w:tc>
        <w:tc>
          <w:tcPr>
            <w:tcW w:w="1414" w:type="pct"/>
            <w:vAlign w:val="center"/>
          </w:tcPr>
          <w:p w:rsidR="00DA02B4" w:rsidRPr="007C652F" w:rsidRDefault="00DA02B4" w:rsidP="00453613">
            <w:pPr>
              <w:pStyle w:val="ListParagraph"/>
              <w:widowControl/>
              <w:spacing w:after="120"/>
              <w:ind w:left="0"/>
              <w:contextualSpacing w:val="0"/>
              <w:jc w:val="center"/>
              <w:rPr>
                <w:rFonts w:ascii="Arial Narrow" w:hAnsi="Arial Narrow"/>
                <w:sz w:val="20"/>
              </w:rPr>
            </w:pPr>
            <w:r w:rsidRPr="007C652F">
              <w:rPr>
                <w:rFonts w:ascii="Arial Narrow" w:hAnsi="Arial Narrow"/>
                <w:sz w:val="20"/>
              </w:rPr>
              <w:t>Unrestricted</w:t>
            </w:r>
          </w:p>
        </w:tc>
      </w:tr>
      <w:tr w:rsidR="00D25A01" w:rsidRPr="007C652F" w:rsidTr="001F5C4D">
        <w:trPr>
          <w:trHeight w:val="442"/>
        </w:trPr>
        <w:tc>
          <w:tcPr>
            <w:tcW w:w="596" w:type="pct"/>
            <w:vAlign w:val="center"/>
          </w:tcPr>
          <w:p w:rsidR="00DA02B4" w:rsidRPr="007C652F" w:rsidRDefault="00DA02B4" w:rsidP="001F5C4D">
            <w:pPr>
              <w:rPr>
                <w:rFonts w:ascii="Arial Narrow" w:hAnsi="Arial Narrow" w:cs="Arial"/>
                <w:sz w:val="20"/>
                <w:szCs w:val="20"/>
              </w:rPr>
            </w:pPr>
            <w:r w:rsidRPr="007C652F">
              <w:rPr>
                <w:rFonts w:ascii="Arial Narrow" w:hAnsi="Arial Narrow" w:cs="Arial"/>
                <w:sz w:val="20"/>
                <w:szCs w:val="20"/>
              </w:rPr>
              <w:t>3152X</w:t>
            </w:r>
          </w:p>
        </w:tc>
        <w:tc>
          <w:tcPr>
            <w:tcW w:w="1457"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Panafcortelone/Predsolone (prednisolone)</w:t>
            </w:r>
          </w:p>
        </w:tc>
        <w:tc>
          <w:tcPr>
            <w:tcW w:w="1533"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1 mg</w:t>
            </w:r>
          </w:p>
          <w:p w:rsidR="00DA02B4" w:rsidRPr="007C652F" w:rsidRDefault="00DA02B4" w:rsidP="00453613">
            <w:pPr>
              <w:jc w:val="center"/>
              <w:rPr>
                <w:rFonts w:ascii="Arial Narrow" w:hAnsi="Arial Narrow" w:cs="Arial"/>
                <w:sz w:val="20"/>
                <w:szCs w:val="20"/>
              </w:rPr>
            </w:pPr>
            <w:r w:rsidRPr="007C652F">
              <w:rPr>
                <w:rFonts w:ascii="Arial Narrow" w:hAnsi="Arial Narrow" w:cs="Arial"/>
                <w:sz w:val="20"/>
                <w:szCs w:val="20"/>
              </w:rPr>
              <w:t>tablet</w:t>
            </w:r>
          </w:p>
        </w:tc>
        <w:tc>
          <w:tcPr>
            <w:tcW w:w="1414" w:type="pct"/>
            <w:vAlign w:val="center"/>
          </w:tcPr>
          <w:p w:rsidR="00DA02B4" w:rsidRPr="007C652F" w:rsidRDefault="00DA02B4" w:rsidP="00453613">
            <w:pPr>
              <w:jc w:val="center"/>
              <w:rPr>
                <w:rFonts w:ascii="Arial Narrow" w:hAnsi="Arial Narrow" w:cs="Arial"/>
                <w:sz w:val="20"/>
                <w:szCs w:val="20"/>
              </w:rPr>
            </w:pPr>
            <w:r w:rsidRPr="007C652F">
              <w:rPr>
                <w:rFonts w:ascii="Arial Narrow" w:hAnsi="Arial Narrow"/>
                <w:sz w:val="20"/>
              </w:rPr>
              <w:t>Unrestricted</w:t>
            </w:r>
          </w:p>
        </w:tc>
      </w:tr>
    </w:tbl>
    <w:p w:rsidR="00DA02B4" w:rsidRPr="001F5C4D" w:rsidRDefault="00DA02B4" w:rsidP="005A4EAB">
      <w:pPr>
        <w:rPr>
          <w:rFonts w:ascii="Arial Narrow" w:hAnsi="Arial Narrow"/>
          <w:sz w:val="18"/>
        </w:rPr>
      </w:pPr>
      <w:r w:rsidRPr="001F5C4D">
        <w:rPr>
          <w:rFonts w:ascii="Arial Narrow" w:hAnsi="Arial Narrow"/>
          <w:sz w:val="18"/>
          <w:vertAlign w:val="superscript"/>
        </w:rPr>
        <w:t>a</w:t>
      </w:r>
      <w:r w:rsidRPr="001F5C4D">
        <w:rPr>
          <w:rFonts w:ascii="Arial Narrow" w:hAnsi="Arial Narrow"/>
          <w:sz w:val="18"/>
        </w:rPr>
        <w:t xml:space="preserve"> Mesasal was included in the November 2017 submission but excluded from the</w:t>
      </w:r>
      <w:r w:rsidR="000F3071" w:rsidRPr="001F5C4D">
        <w:rPr>
          <w:rFonts w:ascii="Arial Narrow" w:hAnsi="Arial Narrow"/>
          <w:sz w:val="18"/>
        </w:rPr>
        <w:t xml:space="preserve"> July 2018</w:t>
      </w:r>
      <w:r w:rsidRPr="001F5C4D">
        <w:rPr>
          <w:rFonts w:ascii="Arial Narrow" w:hAnsi="Arial Narrow"/>
          <w:sz w:val="18"/>
        </w:rPr>
        <w:t xml:space="preserve"> resubmission based on feedback that it is unlikely to be substituted with budesonide as the PI does not recommend doses above 1.5 g/day (paragraph 6.30, budesonide PSD, November 2017).</w:t>
      </w:r>
      <w:r w:rsidR="000F3071" w:rsidRPr="001F5C4D">
        <w:rPr>
          <w:rFonts w:ascii="Arial Narrow" w:hAnsi="Arial Narrow"/>
          <w:sz w:val="18"/>
        </w:rPr>
        <w:t xml:space="preserve"> This was unchanged in the March 2019 resubmission.</w:t>
      </w:r>
      <w:r w:rsidR="001F5C4D">
        <w:rPr>
          <w:rFonts w:ascii="Arial Narrow" w:hAnsi="Arial Narrow"/>
          <w:sz w:val="18"/>
        </w:rPr>
        <w:t xml:space="preserve">  </w:t>
      </w:r>
      <w:r w:rsidRPr="001F5C4D">
        <w:rPr>
          <w:rFonts w:ascii="Arial Narrow" w:hAnsi="Arial Narrow"/>
          <w:sz w:val="18"/>
        </w:rPr>
        <w:t>AR = Authority Required, UC = Ulcerative colitis, CD = Crohn disease.</w:t>
      </w:r>
    </w:p>
    <w:p w:rsidR="004F7928" w:rsidRPr="007576EF" w:rsidRDefault="00461E47" w:rsidP="00DA10E6">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7C652F">
        <w:rPr>
          <w:rFonts w:asciiTheme="minorHAnsi" w:eastAsiaTheme="minorHAnsi" w:hAnsiTheme="minorHAnsi" w:cstheme="minorBidi"/>
          <w:snapToGrid/>
          <w:sz w:val="24"/>
          <w:szCs w:val="22"/>
        </w:rPr>
        <w:t xml:space="preserve">A </w:t>
      </w:r>
      <w:r w:rsidR="0059576F">
        <w:rPr>
          <w:rFonts w:asciiTheme="minorHAnsi" w:eastAsiaTheme="minorHAnsi" w:hAnsiTheme="minorHAnsi" w:cstheme="minorBidi"/>
          <w:noProof/>
          <w:snapToGrid/>
          <w:color w:val="000000"/>
          <w:sz w:val="24"/>
          <w:szCs w:val="22"/>
          <w:highlight w:val="black"/>
        </w:rPr>
        <w:t>'''''''''</w:t>
      </w:r>
      <w:r w:rsidRPr="007C652F">
        <w:rPr>
          <w:rFonts w:asciiTheme="minorHAnsi" w:eastAsiaTheme="minorHAnsi" w:hAnsiTheme="minorHAnsi" w:cstheme="minorBidi"/>
          <w:snapToGrid/>
          <w:sz w:val="24"/>
          <w:szCs w:val="22"/>
        </w:rPr>
        <w:t>% weighting was applied to the $</w:t>
      </w:r>
      <w:r w:rsidR="00E35D48" w:rsidRPr="007C652F">
        <w:rPr>
          <w:rFonts w:asciiTheme="minorHAnsi" w:eastAsiaTheme="minorHAnsi" w:hAnsiTheme="minorHAnsi" w:cstheme="minorBidi"/>
          <w:snapToGrid/>
          <w:sz w:val="24"/>
          <w:szCs w:val="22"/>
        </w:rPr>
        <w:t>608.94</w:t>
      </w:r>
      <w:r w:rsidRPr="007C652F">
        <w:rPr>
          <w:rFonts w:asciiTheme="minorHAnsi" w:eastAsiaTheme="minorHAnsi" w:hAnsiTheme="minorHAnsi" w:cstheme="minorBidi"/>
          <w:snapToGrid/>
          <w:sz w:val="24"/>
          <w:szCs w:val="22"/>
        </w:rPr>
        <w:t xml:space="preserve"> cost for the cheapest </w:t>
      </w:r>
      <w:r w:rsidR="007B2D6C" w:rsidRPr="007C652F">
        <w:rPr>
          <w:rFonts w:asciiTheme="minorHAnsi" w:eastAsiaTheme="minorHAnsi" w:hAnsiTheme="minorHAnsi" w:cstheme="minorBidi"/>
          <w:snapToGrid/>
          <w:sz w:val="24"/>
          <w:szCs w:val="22"/>
        </w:rPr>
        <w:t xml:space="preserve">mesalazine for 12 weeks and a </w:t>
      </w:r>
      <w:r w:rsidR="0059576F">
        <w:rPr>
          <w:rFonts w:asciiTheme="minorHAnsi" w:eastAsiaTheme="minorHAnsi" w:hAnsiTheme="minorHAnsi" w:cstheme="minorBidi"/>
          <w:noProof/>
          <w:snapToGrid/>
          <w:color w:val="000000"/>
          <w:sz w:val="24"/>
          <w:szCs w:val="22"/>
          <w:highlight w:val="black"/>
        </w:rPr>
        <w:t>'''''''''</w:t>
      </w:r>
      <w:r w:rsidRPr="007C652F">
        <w:rPr>
          <w:rFonts w:asciiTheme="minorHAnsi" w:eastAsiaTheme="minorHAnsi" w:hAnsiTheme="minorHAnsi" w:cstheme="minorBidi"/>
          <w:snapToGrid/>
          <w:sz w:val="24"/>
          <w:szCs w:val="22"/>
        </w:rPr>
        <w:t xml:space="preserve">% weighting was applied to the $8.17 cost for the cheapest prednisolone </w:t>
      </w:r>
      <w:r w:rsidR="007B2D6C" w:rsidRPr="007C652F">
        <w:rPr>
          <w:rFonts w:asciiTheme="minorHAnsi" w:eastAsiaTheme="minorHAnsi" w:hAnsiTheme="minorHAnsi" w:cstheme="minorBidi"/>
          <w:snapToGrid/>
          <w:sz w:val="24"/>
          <w:szCs w:val="22"/>
        </w:rPr>
        <w:t xml:space="preserve">for 12 weeks. </w:t>
      </w:r>
      <w:r w:rsidR="00F641D0" w:rsidRPr="007C652F">
        <w:rPr>
          <w:rFonts w:asciiTheme="minorHAnsi" w:eastAsiaTheme="minorHAnsi" w:hAnsiTheme="minorHAnsi" w:cstheme="minorBidi"/>
          <w:snapToGrid/>
          <w:sz w:val="24"/>
          <w:szCs w:val="22"/>
        </w:rPr>
        <w:t>This resulted in a cost of $</w:t>
      </w:r>
      <w:r w:rsidR="0059576F">
        <w:rPr>
          <w:rFonts w:asciiTheme="minorHAnsi" w:eastAsiaTheme="minorHAnsi" w:hAnsiTheme="minorHAnsi" w:cstheme="minorBidi"/>
          <w:noProof/>
          <w:snapToGrid/>
          <w:color w:val="000000"/>
          <w:sz w:val="24"/>
          <w:szCs w:val="22"/>
          <w:highlight w:val="black"/>
        </w:rPr>
        <w:t>'''''''''''''</w:t>
      </w:r>
      <w:r w:rsidR="0090748D" w:rsidRPr="007C652F">
        <w:rPr>
          <w:rFonts w:asciiTheme="minorHAnsi" w:eastAsiaTheme="minorHAnsi" w:hAnsiTheme="minorHAnsi" w:cstheme="minorBidi"/>
          <w:snapToGrid/>
          <w:sz w:val="24"/>
          <w:szCs w:val="22"/>
        </w:rPr>
        <w:t xml:space="preserve"> </w:t>
      </w:r>
      <w:r w:rsidR="00F641D0" w:rsidRPr="007C652F">
        <w:rPr>
          <w:rFonts w:asciiTheme="minorHAnsi" w:eastAsiaTheme="minorHAnsi" w:hAnsiTheme="minorHAnsi" w:cstheme="minorBidi"/>
          <w:snapToGrid/>
          <w:sz w:val="24"/>
          <w:szCs w:val="22"/>
        </w:rPr>
        <w:t xml:space="preserve">for 12 weeks of budesonide use. </w:t>
      </w:r>
      <w:r w:rsidR="009C0F2D" w:rsidRPr="007C652F">
        <w:rPr>
          <w:rFonts w:asciiTheme="minorHAnsi" w:eastAsiaTheme="minorHAnsi" w:hAnsiTheme="minorHAnsi" w:cstheme="minorBidi"/>
          <w:snapToGrid/>
          <w:sz w:val="24"/>
          <w:szCs w:val="22"/>
        </w:rPr>
        <w:t>This is a reduction from $</w:t>
      </w:r>
      <w:r w:rsidR="0059576F">
        <w:rPr>
          <w:rFonts w:asciiTheme="minorHAnsi" w:hAnsiTheme="minorHAnsi"/>
          <w:noProof/>
          <w:color w:val="000000"/>
          <w:sz w:val="24"/>
          <w:szCs w:val="24"/>
          <w:highlight w:val="black"/>
        </w:rPr>
        <w:t>''''''''''''</w:t>
      </w:r>
      <w:r w:rsidR="009C0F2D" w:rsidRPr="007C652F">
        <w:rPr>
          <w:rFonts w:asciiTheme="minorHAnsi" w:hAnsiTheme="minorHAnsi"/>
          <w:sz w:val="24"/>
          <w:szCs w:val="24"/>
        </w:rPr>
        <w:t xml:space="preserve"> for 12 weeks of budesonide use calculated in the July 2018 submission. </w:t>
      </w:r>
      <w:r w:rsidR="00717E98" w:rsidRPr="007C652F">
        <w:rPr>
          <w:rFonts w:asciiTheme="minorHAnsi" w:hAnsiTheme="minorHAnsi"/>
          <w:sz w:val="24"/>
          <w:szCs w:val="24"/>
        </w:rPr>
        <w:t xml:space="preserve">The PBAC noted </w:t>
      </w:r>
      <w:r w:rsidR="00D111C2" w:rsidRPr="007C652F">
        <w:rPr>
          <w:rFonts w:asciiTheme="minorHAnsi" w:hAnsiTheme="minorHAnsi"/>
          <w:sz w:val="24"/>
          <w:szCs w:val="24"/>
        </w:rPr>
        <w:t xml:space="preserve">the cost of the cheapest mesalazine decreased </w:t>
      </w:r>
      <w:r w:rsidR="007576EF">
        <w:rPr>
          <w:rFonts w:asciiTheme="minorHAnsi" w:hAnsiTheme="minorHAnsi"/>
          <w:sz w:val="24"/>
          <w:szCs w:val="24"/>
        </w:rPr>
        <w:t xml:space="preserve">between submissions </w:t>
      </w:r>
      <w:r w:rsidR="00D111C2" w:rsidRPr="007576EF">
        <w:rPr>
          <w:rFonts w:asciiTheme="minorHAnsi" w:hAnsiTheme="minorHAnsi"/>
          <w:sz w:val="24"/>
          <w:szCs w:val="24"/>
        </w:rPr>
        <w:t xml:space="preserve">from $712.21 to $608.94 as </w:t>
      </w:r>
      <w:r w:rsidR="0090748D" w:rsidRPr="007576EF">
        <w:rPr>
          <w:rFonts w:asciiTheme="minorHAnsi" w:hAnsiTheme="minorHAnsi"/>
          <w:sz w:val="24"/>
          <w:szCs w:val="24"/>
        </w:rPr>
        <w:t>mesal</w:t>
      </w:r>
      <w:r w:rsidR="005A28B3" w:rsidRPr="007576EF">
        <w:rPr>
          <w:rFonts w:asciiTheme="minorHAnsi" w:hAnsiTheme="minorHAnsi"/>
          <w:sz w:val="24"/>
          <w:szCs w:val="24"/>
        </w:rPr>
        <w:t>a</w:t>
      </w:r>
      <w:r w:rsidR="0090748D" w:rsidRPr="007576EF">
        <w:rPr>
          <w:rFonts w:asciiTheme="minorHAnsi" w:hAnsiTheme="minorHAnsi"/>
          <w:sz w:val="24"/>
          <w:szCs w:val="24"/>
        </w:rPr>
        <w:t xml:space="preserve">zine </w:t>
      </w:r>
      <w:r w:rsidR="00D111C2" w:rsidRPr="007576EF">
        <w:rPr>
          <w:rFonts w:asciiTheme="minorHAnsi" w:hAnsiTheme="minorHAnsi"/>
          <w:sz w:val="24"/>
          <w:szCs w:val="24"/>
        </w:rPr>
        <w:t>underwent a statutory price reduction on 1 June 2018.</w:t>
      </w:r>
    </w:p>
    <w:p w:rsidR="005D18E0" w:rsidRPr="007C652F" w:rsidRDefault="005D18E0" w:rsidP="00DA10E6">
      <w:pPr>
        <w:pStyle w:val="ListParagraph"/>
        <w:widowControl/>
        <w:numPr>
          <w:ilvl w:val="1"/>
          <w:numId w:val="14"/>
        </w:numPr>
        <w:spacing w:before="120" w:after="120"/>
        <w:rPr>
          <w:rFonts w:asciiTheme="minorHAnsi" w:eastAsiaTheme="minorHAnsi" w:hAnsiTheme="minorHAnsi" w:cstheme="minorBidi"/>
          <w:snapToGrid/>
          <w:sz w:val="24"/>
          <w:szCs w:val="22"/>
        </w:rPr>
      </w:pPr>
      <w:r w:rsidRPr="007576EF">
        <w:rPr>
          <w:rFonts w:asciiTheme="minorHAnsi" w:eastAsiaTheme="minorHAnsi" w:hAnsiTheme="minorHAnsi" w:cstheme="minorBidi"/>
          <w:snapToGrid/>
          <w:sz w:val="24"/>
          <w:szCs w:val="22"/>
        </w:rPr>
        <w:t>The submission proposed an AEMP</w:t>
      </w:r>
      <w:r w:rsidR="00FC5E4F" w:rsidRPr="007576EF">
        <w:rPr>
          <w:rFonts w:asciiTheme="minorHAnsi" w:eastAsiaTheme="minorHAnsi" w:hAnsiTheme="minorHAnsi" w:cstheme="minorBidi"/>
          <w:snapToGrid/>
          <w:sz w:val="24"/>
          <w:szCs w:val="22"/>
        </w:rPr>
        <w:t xml:space="preserve"> for budesonide</w:t>
      </w:r>
      <w:r w:rsidRPr="007576EF">
        <w:rPr>
          <w:rFonts w:asciiTheme="minorHAnsi" w:eastAsiaTheme="minorHAnsi" w:hAnsiTheme="minorHAnsi" w:cstheme="minorBidi"/>
          <w:snapToGrid/>
          <w:sz w:val="24"/>
          <w:szCs w:val="22"/>
        </w:rPr>
        <w:t xml:space="preserve"> of $</w:t>
      </w:r>
      <w:r w:rsidR="0059576F">
        <w:rPr>
          <w:rFonts w:asciiTheme="minorHAnsi" w:eastAsiaTheme="minorHAnsi" w:hAnsiTheme="minorHAnsi" w:cstheme="minorBidi"/>
          <w:noProof/>
          <w:snapToGrid/>
          <w:color w:val="000000"/>
          <w:sz w:val="24"/>
          <w:szCs w:val="22"/>
          <w:highlight w:val="black"/>
        </w:rPr>
        <w:t>''''''''''''''</w:t>
      </w:r>
      <w:r w:rsidR="00184090" w:rsidRPr="007576EF">
        <w:rPr>
          <w:rFonts w:asciiTheme="minorHAnsi" w:eastAsiaTheme="minorHAnsi" w:hAnsiTheme="minorHAnsi" w:cstheme="minorBidi"/>
          <w:snapToGrid/>
          <w:sz w:val="24"/>
          <w:szCs w:val="22"/>
        </w:rPr>
        <w:t xml:space="preserve"> (cost-</w:t>
      </w:r>
      <w:r w:rsidR="00432A9C" w:rsidRPr="007576EF">
        <w:rPr>
          <w:rFonts w:asciiTheme="minorHAnsi" w:eastAsiaTheme="minorHAnsi" w:hAnsiTheme="minorHAnsi" w:cstheme="minorBidi"/>
          <w:snapToGrid/>
          <w:sz w:val="24"/>
          <w:szCs w:val="22"/>
        </w:rPr>
        <w:t xml:space="preserve">minimised </w:t>
      </w:r>
      <w:r w:rsidR="00184090" w:rsidRPr="007576EF">
        <w:rPr>
          <w:rFonts w:asciiTheme="minorHAnsi" w:eastAsiaTheme="minorHAnsi" w:hAnsiTheme="minorHAnsi" w:cstheme="minorBidi"/>
          <w:snapToGrid/>
          <w:sz w:val="24"/>
          <w:szCs w:val="22"/>
        </w:rPr>
        <w:t xml:space="preserve">price). The resubmission </w:t>
      </w:r>
      <w:r w:rsidR="00E24947" w:rsidRPr="007C652F">
        <w:rPr>
          <w:rFonts w:asciiTheme="minorHAnsi" w:eastAsiaTheme="minorHAnsi" w:hAnsiTheme="minorHAnsi" w:cstheme="minorBidi"/>
          <w:snapToGrid/>
          <w:sz w:val="24"/>
          <w:szCs w:val="22"/>
        </w:rPr>
        <w:t xml:space="preserve">also sought </w:t>
      </w:r>
      <w:r w:rsidR="00184090" w:rsidRPr="007C652F">
        <w:rPr>
          <w:rFonts w:asciiTheme="minorHAnsi" w:eastAsiaTheme="minorHAnsi" w:hAnsiTheme="minorHAnsi" w:cstheme="minorBidi"/>
          <w:snapToGrid/>
          <w:sz w:val="24"/>
          <w:szCs w:val="22"/>
        </w:rPr>
        <w:t xml:space="preserve">a </w:t>
      </w:r>
      <w:r w:rsidR="0059576F">
        <w:rPr>
          <w:rFonts w:asciiTheme="minorHAnsi" w:eastAsiaTheme="minorHAnsi" w:hAnsiTheme="minorHAnsi" w:cstheme="minorBidi"/>
          <w:noProof/>
          <w:snapToGrid/>
          <w:color w:val="000000"/>
          <w:sz w:val="24"/>
          <w:szCs w:val="22"/>
          <w:highlight w:val="black"/>
        </w:rPr>
        <w:t>'''''</w:t>
      </w:r>
      <w:r w:rsidR="00184090" w:rsidRPr="007C652F">
        <w:rPr>
          <w:rFonts w:asciiTheme="minorHAnsi" w:eastAsiaTheme="minorHAnsi" w:hAnsiTheme="minorHAnsi" w:cstheme="minorBidi"/>
          <w:snapToGrid/>
          <w:sz w:val="24"/>
          <w:szCs w:val="22"/>
        </w:rPr>
        <w:t xml:space="preserve">% premium for the superior safety profile of </w:t>
      </w:r>
      <w:r w:rsidR="00184090" w:rsidRPr="007C652F">
        <w:rPr>
          <w:rFonts w:asciiTheme="minorHAnsi" w:eastAsiaTheme="minorHAnsi" w:hAnsiTheme="minorHAnsi" w:cstheme="minorBidi"/>
          <w:snapToGrid/>
          <w:sz w:val="24"/>
          <w:szCs w:val="22"/>
        </w:rPr>
        <w:lastRenderedPageBreak/>
        <w:t>budesonide over mesalazine and prednisolone</w:t>
      </w:r>
      <w:r w:rsidR="00E24947" w:rsidRPr="007C652F">
        <w:rPr>
          <w:rFonts w:asciiTheme="minorHAnsi" w:eastAsiaTheme="minorHAnsi" w:hAnsiTheme="minorHAnsi" w:cstheme="minorBidi"/>
          <w:snapToGrid/>
          <w:sz w:val="24"/>
          <w:szCs w:val="22"/>
        </w:rPr>
        <w:t xml:space="preserve">. The </w:t>
      </w:r>
      <w:r w:rsidR="0059576F">
        <w:rPr>
          <w:rFonts w:asciiTheme="minorHAnsi" w:eastAsiaTheme="minorHAnsi" w:hAnsiTheme="minorHAnsi" w:cstheme="minorBidi"/>
          <w:noProof/>
          <w:snapToGrid/>
          <w:color w:val="000000"/>
          <w:sz w:val="24"/>
          <w:szCs w:val="22"/>
          <w:highlight w:val="black"/>
        </w:rPr>
        <w:t>'''''</w:t>
      </w:r>
      <w:r w:rsidR="00E24947" w:rsidRPr="007C652F">
        <w:rPr>
          <w:rFonts w:asciiTheme="minorHAnsi" w:eastAsiaTheme="minorHAnsi" w:hAnsiTheme="minorHAnsi" w:cstheme="minorBidi"/>
          <w:snapToGrid/>
          <w:sz w:val="24"/>
          <w:szCs w:val="22"/>
        </w:rPr>
        <w:t>% premium resulted</w:t>
      </w:r>
      <w:r w:rsidR="00184090" w:rsidRPr="007C652F">
        <w:rPr>
          <w:rFonts w:asciiTheme="minorHAnsi" w:eastAsiaTheme="minorHAnsi" w:hAnsiTheme="minorHAnsi" w:cstheme="minorBidi"/>
          <w:snapToGrid/>
          <w:sz w:val="24"/>
          <w:szCs w:val="22"/>
        </w:rPr>
        <w:t xml:space="preserve"> in an AEMP </w:t>
      </w:r>
      <w:r w:rsidR="00FC5E4F" w:rsidRPr="007C652F">
        <w:rPr>
          <w:rFonts w:asciiTheme="minorHAnsi" w:eastAsiaTheme="minorHAnsi" w:hAnsiTheme="minorHAnsi" w:cstheme="minorBidi"/>
          <w:snapToGrid/>
          <w:sz w:val="24"/>
          <w:szCs w:val="22"/>
        </w:rPr>
        <w:t xml:space="preserve">for budesonide </w:t>
      </w:r>
      <w:r w:rsidR="00184090" w:rsidRPr="007C652F">
        <w:rPr>
          <w:rFonts w:asciiTheme="minorHAnsi" w:eastAsiaTheme="minorHAnsi" w:hAnsiTheme="minorHAnsi" w:cstheme="minorBidi"/>
          <w:snapToGrid/>
          <w:sz w:val="24"/>
          <w:szCs w:val="22"/>
        </w:rPr>
        <w:t>of $</w:t>
      </w:r>
      <w:r w:rsidR="0059576F">
        <w:rPr>
          <w:rFonts w:asciiTheme="minorHAnsi" w:eastAsiaTheme="minorHAnsi" w:hAnsiTheme="minorHAnsi" w:cstheme="minorBidi"/>
          <w:noProof/>
          <w:snapToGrid/>
          <w:color w:val="000000"/>
          <w:sz w:val="24"/>
          <w:szCs w:val="22"/>
          <w:highlight w:val="black"/>
        </w:rPr>
        <w:t>''''''''''''</w:t>
      </w:r>
      <w:r w:rsidR="00184090" w:rsidRPr="007C652F">
        <w:rPr>
          <w:rFonts w:asciiTheme="minorHAnsi" w:eastAsiaTheme="minorHAnsi" w:hAnsiTheme="minorHAnsi" w:cstheme="minorBidi"/>
          <w:snapToGrid/>
          <w:sz w:val="24"/>
          <w:szCs w:val="22"/>
        </w:rPr>
        <w:t xml:space="preserve">. </w:t>
      </w:r>
      <w:r w:rsidR="00FC5E4F" w:rsidRPr="007C652F">
        <w:rPr>
          <w:rFonts w:asciiTheme="minorHAnsi" w:eastAsiaTheme="minorHAnsi" w:hAnsiTheme="minorHAnsi" w:cstheme="minorBidi"/>
          <w:snapToGrid/>
          <w:sz w:val="24"/>
          <w:szCs w:val="22"/>
        </w:rPr>
        <w:t>T</w:t>
      </w:r>
      <w:r w:rsidR="00184090" w:rsidRPr="007C652F">
        <w:rPr>
          <w:rFonts w:asciiTheme="minorHAnsi" w:eastAsiaTheme="minorHAnsi" w:hAnsiTheme="minorHAnsi" w:cstheme="minorBidi"/>
          <w:snapToGrid/>
          <w:sz w:val="24"/>
          <w:szCs w:val="22"/>
        </w:rPr>
        <w:t>he pric</w:t>
      </w:r>
      <w:r w:rsidR="00E24947" w:rsidRPr="007C652F">
        <w:rPr>
          <w:rFonts w:asciiTheme="minorHAnsi" w:eastAsiaTheme="minorHAnsi" w:hAnsiTheme="minorHAnsi" w:cstheme="minorBidi"/>
          <w:snapToGrid/>
          <w:sz w:val="24"/>
          <w:szCs w:val="22"/>
        </w:rPr>
        <w:t>es we</w:t>
      </w:r>
      <w:r w:rsidR="00184090" w:rsidRPr="007C652F">
        <w:rPr>
          <w:rFonts w:asciiTheme="minorHAnsi" w:eastAsiaTheme="minorHAnsi" w:hAnsiTheme="minorHAnsi" w:cstheme="minorBidi"/>
          <w:snapToGrid/>
          <w:sz w:val="24"/>
          <w:szCs w:val="22"/>
        </w:rPr>
        <w:t>re based on</w:t>
      </w:r>
      <w:r w:rsidRPr="007C652F">
        <w:rPr>
          <w:rFonts w:asciiTheme="minorHAnsi" w:eastAsiaTheme="minorHAnsi" w:hAnsiTheme="minorHAnsi" w:cstheme="minorBidi"/>
          <w:snapToGrid/>
          <w:sz w:val="24"/>
          <w:szCs w:val="22"/>
        </w:rPr>
        <w:t xml:space="preserve"> BEACH and NPS data, and the least expensive PBS listed form of mesalazine and prednisolone. </w:t>
      </w:r>
      <w:r w:rsidR="00E24947" w:rsidRPr="007C652F">
        <w:rPr>
          <w:rFonts w:asciiTheme="minorHAnsi" w:eastAsiaTheme="minorHAnsi" w:hAnsiTheme="minorHAnsi" w:cstheme="minorBidi"/>
          <w:snapToGrid/>
          <w:sz w:val="24"/>
          <w:szCs w:val="22"/>
        </w:rPr>
        <w:t xml:space="preserve">The PBAC could only recommend listing budesonide at a higher price than the alternative therapy or therapies if it is satisfied that it provides, for some patients, a significant improvement in efficacy or reduction of toxicity over the alternative therapy or therapies. </w:t>
      </w:r>
    </w:p>
    <w:p w:rsidR="003C2FB5" w:rsidRPr="007C652F" w:rsidRDefault="00A55FEE" w:rsidP="00DA10E6">
      <w:pPr>
        <w:pStyle w:val="Heading2"/>
        <w:keepLines/>
        <w:spacing w:before="120" w:after="120"/>
        <w:rPr>
          <w:rFonts w:asciiTheme="minorHAnsi" w:eastAsiaTheme="majorEastAsia" w:hAnsiTheme="minorHAnsi" w:cstheme="majorBidi"/>
          <w:sz w:val="28"/>
          <w:szCs w:val="28"/>
          <w:lang w:eastAsia="en-US"/>
        </w:rPr>
      </w:pPr>
      <w:r w:rsidRPr="007C652F">
        <w:rPr>
          <w:rFonts w:asciiTheme="minorHAnsi" w:eastAsiaTheme="majorEastAsia" w:hAnsiTheme="minorHAnsi" w:cstheme="majorBidi"/>
          <w:sz w:val="28"/>
          <w:szCs w:val="28"/>
          <w:lang w:eastAsia="en-US"/>
        </w:rPr>
        <w:t>Drug cost/patient/course</w:t>
      </w:r>
      <w:r w:rsidR="00773A56" w:rsidRPr="007C652F">
        <w:rPr>
          <w:rFonts w:asciiTheme="minorHAnsi" w:eastAsiaTheme="majorEastAsia" w:hAnsiTheme="minorHAnsi" w:cstheme="majorBidi"/>
          <w:sz w:val="28"/>
          <w:szCs w:val="28"/>
          <w:lang w:eastAsia="en-US"/>
        </w:rPr>
        <w:t xml:space="preserve"> in submission</w:t>
      </w:r>
      <w:r w:rsidR="007C2CE7" w:rsidRPr="007C652F">
        <w:rPr>
          <w:rFonts w:asciiTheme="minorHAnsi" w:eastAsiaTheme="majorEastAsia" w:hAnsiTheme="minorHAnsi" w:cstheme="majorBidi"/>
          <w:sz w:val="28"/>
          <w:szCs w:val="28"/>
          <w:lang w:eastAsia="en-US"/>
        </w:rPr>
        <w:t xml:space="preserve">: </w:t>
      </w:r>
      <w:r w:rsidR="00D111C2" w:rsidRPr="007C652F">
        <w:rPr>
          <w:rFonts w:asciiTheme="minorHAnsi" w:eastAsiaTheme="majorEastAsia" w:hAnsiTheme="minorHAnsi" w:cstheme="majorBidi"/>
          <w:sz w:val="28"/>
          <w:szCs w:val="28"/>
          <w:lang w:eastAsia="en-US"/>
        </w:rPr>
        <w:t>$</w:t>
      </w:r>
      <w:r w:rsidR="0059576F">
        <w:rPr>
          <w:rFonts w:asciiTheme="minorHAnsi" w:eastAsiaTheme="majorEastAsia" w:hAnsiTheme="minorHAnsi" w:cstheme="majorBidi"/>
          <w:noProof/>
          <w:color w:val="000000"/>
          <w:sz w:val="28"/>
          <w:szCs w:val="28"/>
          <w:highlight w:val="black"/>
          <w:lang w:eastAsia="en-US"/>
        </w:rPr>
        <w:t>''''''''''''''</w:t>
      </w:r>
    </w:p>
    <w:p w:rsidR="009D2A1F" w:rsidRPr="007C652F" w:rsidRDefault="007576EF" w:rsidP="00DA10E6">
      <w:pPr>
        <w:pStyle w:val="ListParagraph"/>
        <w:widowControl/>
        <w:numPr>
          <w:ilvl w:val="1"/>
          <w:numId w:val="14"/>
        </w:numPr>
        <w:spacing w:before="120" w:after="12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B</w:t>
      </w:r>
      <w:r w:rsidR="00357681" w:rsidRPr="007576EF">
        <w:rPr>
          <w:rFonts w:asciiTheme="minorHAnsi" w:eastAsiaTheme="minorHAnsi" w:hAnsiTheme="minorHAnsi" w:cstheme="minorBidi"/>
          <w:snapToGrid/>
          <w:sz w:val="24"/>
          <w:szCs w:val="22"/>
        </w:rPr>
        <w:t xml:space="preserve">ased on a </w:t>
      </w:r>
      <w:r w:rsidR="0059576F">
        <w:rPr>
          <w:rFonts w:asciiTheme="minorHAnsi" w:eastAsiaTheme="minorHAnsi" w:hAnsiTheme="minorHAnsi" w:cstheme="minorBidi"/>
          <w:noProof/>
          <w:snapToGrid/>
          <w:color w:val="000000"/>
          <w:sz w:val="24"/>
          <w:szCs w:val="22"/>
          <w:highlight w:val="black"/>
        </w:rPr>
        <w:t>''''''''</w:t>
      </w:r>
      <w:r w:rsidR="00B2140D" w:rsidRPr="007576EF">
        <w:rPr>
          <w:rFonts w:asciiTheme="minorHAnsi" w:eastAsiaTheme="minorHAnsi" w:hAnsiTheme="minorHAnsi" w:cstheme="minorBidi"/>
          <w:snapToGrid/>
          <w:sz w:val="24"/>
          <w:szCs w:val="22"/>
        </w:rPr>
        <w:t>%:</w:t>
      </w:r>
      <w:r w:rsidR="0059576F">
        <w:rPr>
          <w:rFonts w:asciiTheme="minorHAnsi" w:eastAsiaTheme="minorHAnsi" w:hAnsiTheme="minorHAnsi" w:cstheme="minorBidi"/>
          <w:noProof/>
          <w:snapToGrid/>
          <w:color w:val="000000"/>
          <w:sz w:val="24"/>
          <w:szCs w:val="22"/>
          <w:highlight w:val="black"/>
        </w:rPr>
        <w:t>'''''''''</w:t>
      </w:r>
      <w:r w:rsidR="00B2140D" w:rsidRPr="007576EF">
        <w:rPr>
          <w:rFonts w:asciiTheme="minorHAnsi" w:eastAsiaTheme="minorHAnsi" w:hAnsiTheme="minorHAnsi" w:cstheme="minorBidi"/>
          <w:snapToGrid/>
          <w:sz w:val="24"/>
          <w:szCs w:val="22"/>
        </w:rPr>
        <w:t xml:space="preserve">% </w:t>
      </w:r>
      <w:r w:rsidR="00357681" w:rsidRPr="007576EF">
        <w:rPr>
          <w:rFonts w:asciiTheme="minorHAnsi" w:eastAsiaTheme="minorHAnsi" w:hAnsiTheme="minorHAnsi" w:cstheme="minorBidi"/>
          <w:snapToGrid/>
          <w:sz w:val="24"/>
          <w:szCs w:val="22"/>
        </w:rPr>
        <w:t xml:space="preserve">weighted price comparison with both mesalazine and prednisolone for a </w:t>
      </w:r>
      <w:r w:rsidRPr="007576EF">
        <w:rPr>
          <w:rFonts w:asciiTheme="minorHAnsi" w:eastAsiaTheme="minorHAnsi" w:hAnsiTheme="minorHAnsi" w:cstheme="minorBidi"/>
          <w:snapToGrid/>
          <w:sz w:val="24"/>
          <w:szCs w:val="22"/>
        </w:rPr>
        <w:t>12-week</w:t>
      </w:r>
      <w:r w:rsidR="00357681" w:rsidRPr="007576EF">
        <w:rPr>
          <w:rFonts w:asciiTheme="minorHAnsi" w:eastAsiaTheme="minorHAnsi" w:hAnsiTheme="minorHAnsi" w:cstheme="minorBidi"/>
          <w:snapToGrid/>
          <w:sz w:val="24"/>
          <w:szCs w:val="22"/>
        </w:rPr>
        <w:t xml:space="preserve"> course with a </w:t>
      </w:r>
      <w:r w:rsidRPr="007576EF">
        <w:rPr>
          <w:rFonts w:asciiTheme="minorHAnsi" w:eastAsiaTheme="minorHAnsi" w:hAnsiTheme="minorHAnsi" w:cstheme="minorBidi"/>
          <w:snapToGrid/>
          <w:sz w:val="24"/>
          <w:szCs w:val="22"/>
        </w:rPr>
        <w:t>3-week</w:t>
      </w:r>
      <w:r w:rsidR="00357681" w:rsidRPr="007576EF">
        <w:rPr>
          <w:rFonts w:asciiTheme="minorHAnsi" w:eastAsiaTheme="minorHAnsi" w:hAnsiTheme="minorHAnsi" w:cstheme="minorBidi"/>
          <w:snapToGrid/>
          <w:sz w:val="24"/>
          <w:szCs w:val="22"/>
        </w:rPr>
        <w:t xml:space="preserve"> taper period</w:t>
      </w:r>
      <w:r w:rsidR="005F30B0" w:rsidRPr="007C652F">
        <w:rPr>
          <w:rFonts w:asciiTheme="minorHAnsi" w:eastAsiaTheme="minorHAnsi" w:hAnsiTheme="minorHAnsi" w:cstheme="minorBidi"/>
          <w:snapToGrid/>
          <w:sz w:val="24"/>
          <w:szCs w:val="22"/>
        </w:rPr>
        <w:t xml:space="preserve"> (2.45 packs)</w:t>
      </w:r>
      <w:r w:rsidR="00357681" w:rsidRPr="007C652F">
        <w:rPr>
          <w:rFonts w:asciiTheme="minorHAnsi" w:eastAsiaTheme="minorHAnsi" w:hAnsiTheme="minorHAnsi" w:cstheme="minorBidi"/>
          <w:snapToGrid/>
          <w:sz w:val="24"/>
          <w:szCs w:val="22"/>
        </w:rPr>
        <w:t xml:space="preserve">. This compares with </w:t>
      </w:r>
      <w:r w:rsidR="008737EB" w:rsidRPr="007C652F">
        <w:rPr>
          <w:rFonts w:asciiTheme="minorHAnsi" w:eastAsiaTheme="minorHAnsi" w:hAnsiTheme="minorHAnsi" w:cstheme="minorBidi"/>
          <w:snapToGrid/>
          <w:sz w:val="24"/>
          <w:szCs w:val="22"/>
        </w:rPr>
        <w:t>$8.17 per course for prednisolone and $</w:t>
      </w:r>
      <w:r w:rsidR="009B2D54" w:rsidRPr="007C652F">
        <w:rPr>
          <w:rFonts w:asciiTheme="minorHAnsi" w:eastAsiaTheme="minorHAnsi" w:hAnsiTheme="minorHAnsi" w:cstheme="minorBidi"/>
          <w:snapToGrid/>
          <w:sz w:val="24"/>
          <w:szCs w:val="22"/>
        </w:rPr>
        <w:t>608.94</w:t>
      </w:r>
      <w:r w:rsidR="008737EB" w:rsidRPr="007C652F">
        <w:rPr>
          <w:rFonts w:asciiTheme="minorHAnsi" w:eastAsiaTheme="minorHAnsi" w:hAnsiTheme="minorHAnsi" w:cstheme="minorBidi"/>
          <w:snapToGrid/>
          <w:sz w:val="24"/>
          <w:szCs w:val="22"/>
        </w:rPr>
        <w:t xml:space="preserve"> per course for mesalazine. </w:t>
      </w:r>
      <w:r w:rsidR="006F6D33" w:rsidRPr="007C652F">
        <w:rPr>
          <w:rFonts w:asciiTheme="minorHAnsi" w:eastAsiaTheme="minorHAnsi" w:hAnsiTheme="minorHAnsi" w:cstheme="minorBidi"/>
          <w:snapToGrid/>
          <w:sz w:val="24"/>
          <w:szCs w:val="22"/>
        </w:rPr>
        <w:t xml:space="preserve">No weighting was applied for the sulfasalazine </w:t>
      </w:r>
      <w:r w:rsidRPr="007C652F">
        <w:rPr>
          <w:rFonts w:asciiTheme="minorHAnsi" w:eastAsiaTheme="minorHAnsi" w:hAnsiTheme="minorHAnsi" w:cstheme="minorBidi"/>
          <w:snapToGrid/>
          <w:sz w:val="24"/>
          <w:szCs w:val="22"/>
        </w:rPr>
        <w:t>substitution that</w:t>
      </w:r>
      <w:r w:rsidR="006F6D33" w:rsidRPr="007C652F">
        <w:rPr>
          <w:rFonts w:asciiTheme="minorHAnsi" w:eastAsiaTheme="minorHAnsi" w:hAnsiTheme="minorHAnsi" w:cstheme="minorBidi"/>
          <w:snapToGrid/>
          <w:sz w:val="24"/>
          <w:szCs w:val="22"/>
        </w:rPr>
        <w:t xml:space="preserve"> is unchanged from the previous submission.</w:t>
      </w:r>
      <w:r w:rsidR="0081598C" w:rsidRPr="007C652F">
        <w:rPr>
          <w:rFonts w:asciiTheme="minorHAnsi" w:eastAsiaTheme="minorHAnsi" w:hAnsiTheme="minorHAnsi" w:cstheme="minorBidi"/>
          <w:snapToGrid/>
          <w:sz w:val="24"/>
          <w:szCs w:val="22"/>
        </w:rPr>
        <w:t xml:space="preserve"> </w:t>
      </w:r>
    </w:p>
    <w:p w:rsidR="0059053B" w:rsidRPr="007576EF" w:rsidRDefault="005F30B0" w:rsidP="00DA10E6">
      <w:pPr>
        <w:pStyle w:val="ListParagraph"/>
        <w:numPr>
          <w:ilvl w:val="1"/>
          <w:numId w:val="14"/>
        </w:numPr>
        <w:spacing w:before="120" w:after="120"/>
        <w:rPr>
          <w:rFonts w:asciiTheme="minorHAnsi" w:eastAsiaTheme="minorHAnsi" w:hAnsiTheme="minorHAnsi" w:cstheme="minorBidi"/>
          <w:sz w:val="24"/>
          <w:szCs w:val="22"/>
        </w:rPr>
      </w:pPr>
      <w:r w:rsidRPr="007C652F">
        <w:rPr>
          <w:rFonts w:asciiTheme="minorHAnsi" w:eastAsiaTheme="minorHAnsi" w:hAnsiTheme="minorHAnsi" w:cstheme="minorBidi"/>
          <w:snapToGrid/>
          <w:sz w:val="24"/>
          <w:szCs w:val="22"/>
        </w:rPr>
        <w:t>T</w:t>
      </w:r>
      <w:r w:rsidR="00A00FCA" w:rsidRPr="007C652F">
        <w:rPr>
          <w:rFonts w:asciiTheme="minorHAnsi" w:eastAsiaTheme="minorHAnsi" w:hAnsiTheme="minorHAnsi" w:cstheme="minorBidi"/>
          <w:snapToGrid/>
          <w:sz w:val="24"/>
          <w:szCs w:val="22"/>
        </w:rPr>
        <w:t xml:space="preserve">he drug-cost/patient/course was </w:t>
      </w:r>
      <w:r w:rsidR="007576EF" w:rsidRPr="007C652F">
        <w:rPr>
          <w:rFonts w:asciiTheme="minorHAnsi" w:eastAsiaTheme="minorHAnsi" w:hAnsiTheme="minorHAnsi" w:cstheme="minorBidi"/>
          <w:snapToGrid/>
          <w:sz w:val="24"/>
          <w:szCs w:val="22"/>
        </w:rPr>
        <w:t>underestimated,</w:t>
      </w:r>
      <w:r w:rsidR="00A00FCA" w:rsidRPr="007C652F">
        <w:rPr>
          <w:rFonts w:asciiTheme="minorHAnsi" w:eastAsiaTheme="minorHAnsi" w:hAnsiTheme="minorHAnsi" w:cstheme="minorBidi"/>
          <w:snapToGrid/>
          <w:sz w:val="24"/>
          <w:szCs w:val="22"/>
        </w:rPr>
        <w:t xml:space="preserve"> as it </w:t>
      </w:r>
      <w:r w:rsidR="0059053B" w:rsidRPr="007C652F">
        <w:rPr>
          <w:rFonts w:asciiTheme="minorHAnsi" w:eastAsiaTheme="minorHAnsi" w:hAnsiTheme="minorHAnsi" w:cstheme="minorBidi"/>
          <w:snapToGrid/>
          <w:sz w:val="24"/>
          <w:szCs w:val="22"/>
        </w:rPr>
        <w:t>did not consider wastage</w:t>
      </w:r>
      <w:r w:rsidR="007576EF">
        <w:rPr>
          <w:rFonts w:asciiTheme="minorHAnsi" w:eastAsiaTheme="minorHAnsi" w:hAnsiTheme="minorHAnsi" w:cstheme="minorBidi"/>
          <w:snapToGrid/>
          <w:sz w:val="24"/>
          <w:szCs w:val="22"/>
        </w:rPr>
        <w:t xml:space="preserve">. </w:t>
      </w:r>
      <w:r w:rsidR="00996824" w:rsidRPr="007576EF">
        <w:rPr>
          <w:rFonts w:asciiTheme="minorHAnsi" w:eastAsiaTheme="minorHAnsi" w:hAnsiTheme="minorHAnsi" w:cstheme="minorBidi"/>
          <w:snapToGrid/>
          <w:sz w:val="24"/>
          <w:szCs w:val="22"/>
        </w:rPr>
        <w:t>When a</w:t>
      </w:r>
      <w:r w:rsidR="00A00FCA" w:rsidRPr="007576EF">
        <w:rPr>
          <w:rFonts w:asciiTheme="minorHAnsi" w:eastAsiaTheme="minorHAnsi" w:hAnsiTheme="minorHAnsi" w:cstheme="minorBidi"/>
          <w:snapToGrid/>
          <w:sz w:val="24"/>
          <w:szCs w:val="22"/>
        </w:rPr>
        <w:t xml:space="preserve">ccounting for wastage, </w:t>
      </w:r>
      <w:r w:rsidR="007576EF" w:rsidRPr="007576EF">
        <w:rPr>
          <w:rFonts w:asciiTheme="minorHAnsi" w:eastAsiaTheme="minorHAnsi" w:hAnsiTheme="minorHAnsi" w:cstheme="minorBidi"/>
          <w:snapToGrid/>
          <w:sz w:val="24"/>
          <w:szCs w:val="22"/>
        </w:rPr>
        <w:t>based on</w:t>
      </w:r>
      <w:r w:rsidR="00A00FCA" w:rsidRPr="007576EF">
        <w:rPr>
          <w:rFonts w:asciiTheme="minorHAnsi" w:eastAsiaTheme="minorHAnsi" w:hAnsiTheme="minorHAnsi" w:cstheme="minorBidi"/>
          <w:snapToGrid/>
          <w:sz w:val="24"/>
          <w:szCs w:val="22"/>
        </w:rPr>
        <w:t xml:space="preserve"> a </w:t>
      </w:r>
      <w:r w:rsidR="0059576F">
        <w:rPr>
          <w:rFonts w:asciiTheme="minorHAnsi" w:eastAsiaTheme="minorHAnsi" w:hAnsiTheme="minorHAnsi" w:cstheme="minorBidi"/>
          <w:noProof/>
          <w:snapToGrid/>
          <w:color w:val="000000"/>
          <w:sz w:val="24"/>
          <w:szCs w:val="22"/>
          <w:highlight w:val="black"/>
        </w:rPr>
        <w:t>''''''''</w:t>
      </w:r>
      <w:r w:rsidR="00A00FCA" w:rsidRPr="007576EF">
        <w:rPr>
          <w:rFonts w:asciiTheme="minorHAnsi" w:eastAsiaTheme="minorHAnsi" w:hAnsiTheme="minorHAnsi" w:cstheme="minorBidi"/>
          <w:snapToGrid/>
          <w:sz w:val="24"/>
          <w:szCs w:val="22"/>
        </w:rPr>
        <w:t>%:</w:t>
      </w:r>
      <w:r w:rsidR="0059576F">
        <w:rPr>
          <w:rFonts w:asciiTheme="minorHAnsi" w:eastAsiaTheme="minorHAnsi" w:hAnsiTheme="minorHAnsi" w:cstheme="minorBidi"/>
          <w:noProof/>
          <w:snapToGrid/>
          <w:color w:val="000000"/>
          <w:sz w:val="24"/>
          <w:szCs w:val="22"/>
          <w:highlight w:val="black"/>
        </w:rPr>
        <w:t>'''''''''</w:t>
      </w:r>
      <w:r w:rsidR="00A00FCA" w:rsidRPr="007576EF">
        <w:rPr>
          <w:rFonts w:asciiTheme="minorHAnsi" w:eastAsiaTheme="minorHAnsi" w:hAnsiTheme="minorHAnsi" w:cstheme="minorBidi"/>
          <w:snapToGrid/>
          <w:sz w:val="24"/>
          <w:szCs w:val="22"/>
        </w:rPr>
        <w:t xml:space="preserve">% weighting the updated drug-cost/patient/course </w:t>
      </w:r>
      <w:r w:rsidR="00996824" w:rsidRPr="007576EF">
        <w:rPr>
          <w:rFonts w:asciiTheme="minorHAnsi" w:eastAsiaTheme="minorHAnsi" w:hAnsiTheme="minorHAnsi" w:cstheme="minorBidi"/>
          <w:snapToGrid/>
          <w:sz w:val="24"/>
          <w:szCs w:val="22"/>
        </w:rPr>
        <w:t xml:space="preserve">using 3 packs </w:t>
      </w:r>
      <w:r w:rsidR="00A00FCA" w:rsidRPr="007576EF">
        <w:rPr>
          <w:rFonts w:asciiTheme="minorHAnsi" w:eastAsiaTheme="minorHAnsi" w:hAnsiTheme="minorHAnsi" w:cstheme="minorBidi"/>
          <w:snapToGrid/>
          <w:sz w:val="24"/>
          <w:szCs w:val="22"/>
        </w:rPr>
        <w:t xml:space="preserve">is </w:t>
      </w:r>
      <w:r w:rsidR="00996824" w:rsidRPr="007576EF">
        <w:rPr>
          <w:rFonts w:asciiTheme="minorHAnsi" w:eastAsiaTheme="minorHAnsi" w:hAnsiTheme="minorHAnsi" w:cstheme="minorBidi"/>
          <w:snapToGrid/>
          <w:sz w:val="24"/>
          <w:szCs w:val="22"/>
        </w:rPr>
        <w:t>$</w:t>
      </w:r>
      <w:r w:rsidR="0059576F">
        <w:rPr>
          <w:rFonts w:asciiTheme="minorHAnsi" w:eastAsiaTheme="minorHAnsi" w:hAnsiTheme="minorHAnsi" w:cstheme="minorBidi"/>
          <w:noProof/>
          <w:snapToGrid/>
          <w:color w:val="000000"/>
          <w:sz w:val="24"/>
          <w:szCs w:val="22"/>
          <w:highlight w:val="black"/>
        </w:rPr>
        <w:t>''''''''''''''</w:t>
      </w:r>
      <w:r w:rsidR="00996824" w:rsidRPr="007576EF">
        <w:rPr>
          <w:rFonts w:asciiTheme="minorHAnsi" w:eastAsiaTheme="minorHAnsi" w:hAnsiTheme="minorHAnsi" w:cstheme="minorBidi"/>
          <w:snapToGrid/>
          <w:sz w:val="24"/>
          <w:szCs w:val="22"/>
        </w:rPr>
        <w:t>.</w:t>
      </w:r>
    </w:p>
    <w:p w:rsidR="005A3173" w:rsidRPr="007576EF" w:rsidRDefault="005A3173" w:rsidP="00DA10E6">
      <w:pPr>
        <w:pStyle w:val="Heading2"/>
        <w:keepLines/>
        <w:spacing w:before="120" w:after="120"/>
        <w:rPr>
          <w:rFonts w:asciiTheme="minorHAnsi" w:eastAsiaTheme="majorEastAsia" w:hAnsiTheme="minorHAnsi" w:cstheme="majorBidi"/>
          <w:sz w:val="28"/>
          <w:szCs w:val="28"/>
          <w:lang w:eastAsia="en-US"/>
        </w:rPr>
      </w:pPr>
      <w:r w:rsidRPr="003506CF">
        <w:rPr>
          <w:rFonts w:asciiTheme="minorHAnsi" w:eastAsiaTheme="majorEastAsia" w:hAnsiTheme="minorHAnsi" w:cstheme="majorBidi"/>
          <w:sz w:val="28"/>
          <w:szCs w:val="28"/>
          <w:lang w:eastAsia="en-US"/>
        </w:rPr>
        <w:t>Estim</w:t>
      </w:r>
      <w:r w:rsidRPr="007576EF">
        <w:rPr>
          <w:rFonts w:asciiTheme="minorHAnsi" w:eastAsiaTheme="majorEastAsia" w:hAnsiTheme="minorHAnsi" w:cstheme="majorBidi"/>
          <w:sz w:val="28"/>
          <w:szCs w:val="28"/>
          <w:lang w:eastAsia="en-US"/>
        </w:rPr>
        <w:t>ated PBS usage &amp; financial implications</w:t>
      </w:r>
    </w:p>
    <w:p w:rsidR="009C0F2D" w:rsidRPr="007C652F" w:rsidRDefault="00B9240D" w:rsidP="00DA10E6">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7576EF">
        <w:rPr>
          <w:rFonts w:asciiTheme="minorHAnsi" w:eastAsiaTheme="minorHAnsi" w:hAnsiTheme="minorHAnsi" w:cstheme="minorBidi"/>
          <w:snapToGrid/>
          <w:sz w:val="24"/>
          <w:szCs w:val="22"/>
        </w:rPr>
        <w:t>The minor resubmission used an epidemiological approach to estimate the likely extent of budesonide use and associated financial implications.</w:t>
      </w:r>
      <w:r w:rsidR="00471AB2" w:rsidRPr="007C652F">
        <w:rPr>
          <w:rFonts w:asciiTheme="minorHAnsi" w:eastAsiaTheme="minorHAnsi" w:hAnsiTheme="minorHAnsi" w:cstheme="minorBidi"/>
          <w:snapToGrid/>
          <w:sz w:val="24"/>
          <w:szCs w:val="22"/>
        </w:rPr>
        <w:t xml:space="preserve"> This </w:t>
      </w:r>
      <w:r w:rsidR="00370BF6" w:rsidRPr="007C652F">
        <w:rPr>
          <w:rFonts w:asciiTheme="minorHAnsi" w:eastAsiaTheme="minorHAnsi" w:hAnsiTheme="minorHAnsi" w:cstheme="minorBidi"/>
          <w:snapToGrid/>
          <w:sz w:val="24"/>
          <w:szCs w:val="22"/>
        </w:rPr>
        <w:t>was</w:t>
      </w:r>
      <w:r w:rsidR="00123111" w:rsidRPr="007C652F">
        <w:rPr>
          <w:rFonts w:asciiTheme="minorHAnsi" w:eastAsiaTheme="minorHAnsi" w:hAnsiTheme="minorHAnsi" w:cstheme="minorBidi"/>
          <w:snapToGrid/>
          <w:sz w:val="24"/>
          <w:szCs w:val="22"/>
        </w:rPr>
        <w:t xml:space="preserve"> unchanged from the July 2018 minor resubmission. </w:t>
      </w:r>
    </w:p>
    <w:p w:rsidR="009807D0" w:rsidRPr="007C652F" w:rsidRDefault="00432A9C" w:rsidP="00DA10E6">
      <w:pPr>
        <w:pStyle w:val="ListParagraph"/>
        <w:widowControl/>
        <w:numPr>
          <w:ilvl w:val="1"/>
          <w:numId w:val="5"/>
        </w:numPr>
        <w:spacing w:before="120" w:after="120"/>
        <w:contextualSpacing w:val="0"/>
        <w:rPr>
          <w:rFonts w:asciiTheme="minorHAnsi" w:hAnsiTheme="minorHAnsi"/>
          <w:i/>
          <w:sz w:val="24"/>
          <w:szCs w:val="24"/>
        </w:rPr>
      </w:pPr>
      <w:r w:rsidRPr="007C652F">
        <w:rPr>
          <w:rFonts w:asciiTheme="minorHAnsi" w:hAnsiTheme="minorHAnsi"/>
          <w:sz w:val="24"/>
          <w:szCs w:val="24"/>
        </w:rPr>
        <w:t>As previously noted by the PBAC in July 2018, t</w:t>
      </w:r>
      <w:r w:rsidR="002669E2" w:rsidRPr="007C652F">
        <w:rPr>
          <w:rFonts w:asciiTheme="minorHAnsi" w:hAnsiTheme="minorHAnsi"/>
          <w:sz w:val="24"/>
          <w:szCs w:val="24"/>
        </w:rPr>
        <w:t xml:space="preserve">he listing of budesonide on the PBS is expected to result in decreased utilisation of the therapies currently used to treat CD patients. The BEACH </w:t>
      </w:r>
      <w:r w:rsidR="00C550CF" w:rsidRPr="007C652F">
        <w:rPr>
          <w:rFonts w:asciiTheme="minorHAnsi" w:hAnsiTheme="minorHAnsi"/>
          <w:sz w:val="24"/>
          <w:szCs w:val="24"/>
        </w:rPr>
        <w:t xml:space="preserve">and NPS </w:t>
      </w:r>
      <w:r w:rsidR="002669E2" w:rsidRPr="007C652F">
        <w:rPr>
          <w:rFonts w:asciiTheme="minorHAnsi" w:hAnsiTheme="minorHAnsi"/>
          <w:sz w:val="24"/>
          <w:szCs w:val="24"/>
        </w:rPr>
        <w:t>data used to calculate the weighted price for budesonide was used to determine the split between mesalazine</w:t>
      </w:r>
      <w:r w:rsidR="005D18E0" w:rsidRPr="007C652F">
        <w:rPr>
          <w:rFonts w:asciiTheme="minorHAnsi" w:hAnsiTheme="minorHAnsi"/>
          <w:sz w:val="24"/>
          <w:szCs w:val="24"/>
        </w:rPr>
        <w:t xml:space="preserve"> and prednisolone </w:t>
      </w:r>
      <w:r w:rsidR="002669E2" w:rsidRPr="007C652F">
        <w:rPr>
          <w:rFonts w:asciiTheme="minorHAnsi" w:hAnsiTheme="minorHAnsi"/>
          <w:sz w:val="24"/>
          <w:szCs w:val="24"/>
        </w:rPr>
        <w:t xml:space="preserve">use in CD. As indicated in Table 1 the PBS listings for mesalazine in CD are confounded by use for UC and CD under the same item code and the PBS listings for prednisolone are unrestricted so no information on the condition for which the drug is prescribed is available. As the majority of the savings estimated in the resubmission are a result of replacement of higher-cost </w:t>
      </w:r>
      <w:r w:rsidR="007576EF" w:rsidRPr="007C652F">
        <w:rPr>
          <w:rFonts w:asciiTheme="minorHAnsi" w:hAnsiTheme="minorHAnsi"/>
          <w:sz w:val="24"/>
          <w:szCs w:val="24"/>
        </w:rPr>
        <w:t>mesalazine,</w:t>
      </w:r>
      <w:r w:rsidR="002669E2" w:rsidRPr="007C652F">
        <w:rPr>
          <w:rFonts w:asciiTheme="minorHAnsi" w:hAnsiTheme="minorHAnsi"/>
          <w:sz w:val="24"/>
          <w:szCs w:val="24"/>
        </w:rPr>
        <w:t xml:space="preserve"> the split between mesalazine and prednisolone will have a significant impact on the financial estimates. </w:t>
      </w:r>
    </w:p>
    <w:p w:rsidR="00C87270" w:rsidRDefault="002669E2" w:rsidP="00DA10E6">
      <w:pPr>
        <w:pStyle w:val="ListParagraph"/>
        <w:widowControl/>
        <w:numPr>
          <w:ilvl w:val="1"/>
          <w:numId w:val="5"/>
        </w:numPr>
        <w:spacing w:before="120" w:after="120"/>
        <w:contextualSpacing w:val="0"/>
        <w:rPr>
          <w:rFonts w:asciiTheme="minorHAnsi" w:hAnsiTheme="minorHAnsi"/>
          <w:sz w:val="24"/>
          <w:szCs w:val="24"/>
        </w:rPr>
      </w:pPr>
      <w:r w:rsidRPr="00C87270">
        <w:rPr>
          <w:rFonts w:asciiTheme="minorHAnsi" w:hAnsiTheme="minorHAnsi"/>
          <w:sz w:val="24"/>
          <w:szCs w:val="24"/>
        </w:rPr>
        <w:t xml:space="preserve">The resubmission estimated a net save to the PBS/RPBS of </w:t>
      </w:r>
      <w:r w:rsidR="007C03F2">
        <w:rPr>
          <w:rFonts w:asciiTheme="minorHAnsi" w:hAnsiTheme="minorHAnsi"/>
          <w:sz w:val="24"/>
          <w:szCs w:val="24"/>
        </w:rPr>
        <w:t>less than $10 million</w:t>
      </w:r>
      <w:r w:rsidR="00184C36" w:rsidRPr="00C87270">
        <w:rPr>
          <w:rFonts w:asciiTheme="minorHAnsi" w:hAnsiTheme="minorHAnsi"/>
          <w:sz w:val="24"/>
          <w:szCs w:val="24"/>
        </w:rPr>
        <w:t xml:space="preserve"> </w:t>
      </w:r>
      <w:r w:rsidRPr="00C87270">
        <w:rPr>
          <w:rFonts w:asciiTheme="minorHAnsi" w:hAnsiTheme="minorHAnsi"/>
          <w:sz w:val="24"/>
          <w:szCs w:val="24"/>
        </w:rPr>
        <w:t xml:space="preserve">in Year 6 of listing, with a total net save to the PBS/RPBS of </w:t>
      </w:r>
      <w:r w:rsidR="007C03F2">
        <w:rPr>
          <w:rFonts w:asciiTheme="minorHAnsi" w:hAnsiTheme="minorHAnsi"/>
          <w:sz w:val="24"/>
          <w:szCs w:val="24"/>
        </w:rPr>
        <w:t>less than $10 million</w:t>
      </w:r>
      <w:r w:rsidR="008819ED" w:rsidRPr="00C87270">
        <w:rPr>
          <w:rFonts w:asciiTheme="minorHAnsi" w:hAnsiTheme="minorHAnsi"/>
          <w:sz w:val="24"/>
          <w:szCs w:val="24"/>
        </w:rPr>
        <w:t xml:space="preserve"> </w:t>
      </w:r>
      <w:r w:rsidRPr="00C87270">
        <w:rPr>
          <w:rFonts w:asciiTheme="minorHAnsi" w:hAnsiTheme="minorHAnsi"/>
          <w:sz w:val="24"/>
          <w:szCs w:val="24"/>
        </w:rPr>
        <w:t>over the first 6 years of listing</w:t>
      </w:r>
      <w:r w:rsidR="0000285B" w:rsidRPr="00C87270">
        <w:rPr>
          <w:rFonts w:asciiTheme="minorHAnsi" w:hAnsiTheme="minorHAnsi"/>
          <w:sz w:val="24"/>
          <w:szCs w:val="24"/>
        </w:rPr>
        <w:t xml:space="preserve"> when using the cost-minimised price</w:t>
      </w:r>
      <w:r w:rsidRPr="00C87270">
        <w:rPr>
          <w:rFonts w:asciiTheme="minorHAnsi" w:hAnsiTheme="minorHAnsi"/>
          <w:sz w:val="24"/>
          <w:szCs w:val="24"/>
        </w:rPr>
        <w:t xml:space="preserve">. </w:t>
      </w:r>
      <w:r w:rsidR="0000285B" w:rsidRPr="00C87270">
        <w:rPr>
          <w:rFonts w:asciiTheme="minorHAnsi" w:hAnsiTheme="minorHAnsi"/>
          <w:sz w:val="24"/>
          <w:szCs w:val="24"/>
        </w:rPr>
        <w:t>When using the cost-effective pri</w:t>
      </w:r>
      <w:r w:rsidR="00B14435" w:rsidRPr="00C87270">
        <w:rPr>
          <w:rFonts w:asciiTheme="minorHAnsi" w:hAnsiTheme="minorHAnsi"/>
          <w:sz w:val="24"/>
          <w:szCs w:val="24"/>
        </w:rPr>
        <w:t xml:space="preserve">ce (price with the </w:t>
      </w:r>
      <w:r w:rsidR="0059576F">
        <w:rPr>
          <w:rFonts w:asciiTheme="minorHAnsi" w:hAnsiTheme="minorHAnsi"/>
          <w:noProof/>
          <w:color w:val="000000"/>
          <w:sz w:val="24"/>
          <w:szCs w:val="24"/>
          <w:highlight w:val="black"/>
        </w:rPr>
        <w:t>'''''</w:t>
      </w:r>
      <w:r w:rsidR="00B14435" w:rsidRPr="00C87270">
        <w:rPr>
          <w:rFonts w:asciiTheme="minorHAnsi" w:hAnsiTheme="minorHAnsi"/>
          <w:sz w:val="24"/>
          <w:szCs w:val="24"/>
        </w:rPr>
        <w:t xml:space="preserve">% premium </w:t>
      </w:r>
      <w:r w:rsidR="0000285B" w:rsidRPr="00C87270">
        <w:rPr>
          <w:rFonts w:asciiTheme="minorHAnsi" w:hAnsiTheme="minorHAnsi"/>
          <w:sz w:val="24"/>
          <w:szCs w:val="24"/>
        </w:rPr>
        <w:t>for safety</w:t>
      </w:r>
      <w:r w:rsidR="00DD300E" w:rsidRPr="00C87270">
        <w:rPr>
          <w:rFonts w:asciiTheme="minorHAnsi" w:hAnsiTheme="minorHAnsi"/>
          <w:sz w:val="24"/>
          <w:szCs w:val="24"/>
        </w:rPr>
        <w:t>)</w:t>
      </w:r>
      <w:r w:rsidR="0000285B" w:rsidRPr="00C87270">
        <w:rPr>
          <w:rFonts w:asciiTheme="minorHAnsi" w:hAnsiTheme="minorHAnsi"/>
          <w:sz w:val="24"/>
          <w:szCs w:val="24"/>
        </w:rPr>
        <w:t xml:space="preserve"> a net save to the PBS/RPBS of </w:t>
      </w:r>
      <w:r w:rsidR="00904664">
        <w:rPr>
          <w:rFonts w:asciiTheme="minorHAnsi" w:hAnsiTheme="minorHAnsi"/>
          <w:sz w:val="24"/>
          <w:szCs w:val="24"/>
        </w:rPr>
        <w:t>less than $10 million</w:t>
      </w:r>
      <w:r w:rsidR="00071E01" w:rsidRPr="00C87270">
        <w:rPr>
          <w:rFonts w:asciiTheme="minorHAnsi" w:hAnsiTheme="minorHAnsi"/>
          <w:sz w:val="24"/>
          <w:szCs w:val="24"/>
        </w:rPr>
        <w:t xml:space="preserve"> </w:t>
      </w:r>
      <w:r w:rsidR="0000285B" w:rsidRPr="00C87270">
        <w:rPr>
          <w:rFonts w:asciiTheme="minorHAnsi" w:hAnsiTheme="minorHAnsi"/>
          <w:sz w:val="24"/>
          <w:szCs w:val="24"/>
        </w:rPr>
        <w:t xml:space="preserve">in Year 6 of listing, with a total net save to the PBS/RPBS of </w:t>
      </w:r>
      <w:r w:rsidR="00904664">
        <w:rPr>
          <w:rFonts w:asciiTheme="minorHAnsi" w:hAnsiTheme="minorHAnsi"/>
          <w:sz w:val="24"/>
          <w:szCs w:val="24"/>
        </w:rPr>
        <w:t>less than $10 million</w:t>
      </w:r>
      <w:r w:rsidR="007F3E01" w:rsidRPr="00C87270">
        <w:rPr>
          <w:rFonts w:asciiTheme="minorHAnsi" w:hAnsiTheme="minorHAnsi"/>
          <w:sz w:val="24"/>
          <w:szCs w:val="24"/>
        </w:rPr>
        <w:t xml:space="preserve"> </w:t>
      </w:r>
      <w:r w:rsidR="0000285B" w:rsidRPr="00C87270">
        <w:rPr>
          <w:rFonts w:asciiTheme="minorHAnsi" w:hAnsiTheme="minorHAnsi"/>
          <w:sz w:val="24"/>
          <w:szCs w:val="24"/>
        </w:rPr>
        <w:t>over the first 6 years of listing</w:t>
      </w:r>
      <w:r w:rsidR="00B14435" w:rsidRPr="00C87270">
        <w:rPr>
          <w:rFonts w:asciiTheme="minorHAnsi" w:hAnsiTheme="minorHAnsi"/>
          <w:sz w:val="24"/>
          <w:szCs w:val="24"/>
        </w:rPr>
        <w:t xml:space="preserve"> was</w:t>
      </w:r>
      <w:r w:rsidR="00D25FF3" w:rsidRPr="00C87270">
        <w:rPr>
          <w:rFonts w:asciiTheme="minorHAnsi" w:hAnsiTheme="minorHAnsi"/>
          <w:sz w:val="24"/>
          <w:szCs w:val="24"/>
        </w:rPr>
        <w:t xml:space="preserve"> estimated</w:t>
      </w:r>
      <w:r w:rsidR="0000285B" w:rsidRPr="00C87270">
        <w:rPr>
          <w:rFonts w:asciiTheme="minorHAnsi" w:hAnsiTheme="minorHAnsi"/>
          <w:sz w:val="24"/>
          <w:szCs w:val="24"/>
        </w:rPr>
        <w:t>.</w:t>
      </w:r>
      <w:r w:rsidR="005A4EAB">
        <w:rPr>
          <w:rFonts w:asciiTheme="minorHAnsi" w:hAnsiTheme="minorHAnsi"/>
          <w:sz w:val="24"/>
          <w:szCs w:val="24"/>
        </w:rPr>
        <w:t xml:space="preserve"> This is summarised in Table 2</w:t>
      </w:r>
      <w:r w:rsidRPr="00C87270">
        <w:rPr>
          <w:rFonts w:asciiTheme="minorHAnsi" w:hAnsiTheme="minorHAnsi"/>
          <w:sz w:val="24"/>
          <w:szCs w:val="24"/>
        </w:rPr>
        <w:t xml:space="preserve"> below as well as the expected patient numbers.</w:t>
      </w:r>
    </w:p>
    <w:p w:rsidR="002669E2" w:rsidRPr="00C87270" w:rsidRDefault="002669E2" w:rsidP="00C87270">
      <w:pPr>
        <w:pStyle w:val="ListParagraph"/>
        <w:keepNext/>
        <w:keepLines/>
        <w:widowControl/>
        <w:ind w:left="0"/>
        <w:contextualSpacing w:val="0"/>
        <w:rPr>
          <w:rFonts w:ascii="Arial Narrow" w:hAnsi="Arial Narrow"/>
          <w:b/>
          <w:sz w:val="20"/>
        </w:rPr>
      </w:pPr>
      <w:r w:rsidRPr="00C87270">
        <w:rPr>
          <w:rFonts w:ascii="Arial Narrow" w:hAnsi="Arial Narrow"/>
          <w:b/>
          <w:sz w:val="20"/>
        </w:rPr>
        <w:lastRenderedPageBreak/>
        <w:t xml:space="preserve">Table </w:t>
      </w:r>
      <w:r w:rsidR="005A4EAB">
        <w:rPr>
          <w:rFonts w:ascii="Arial Narrow" w:hAnsi="Arial Narrow"/>
          <w:b/>
          <w:sz w:val="20"/>
        </w:rPr>
        <w:t>2</w:t>
      </w:r>
      <w:r w:rsidRPr="00C87270">
        <w:rPr>
          <w:rFonts w:ascii="Arial Narrow" w:hAnsi="Arial Narrow"/>
          <w:b/>
          <w:sz w:val="20"/>
        </w:rPr>
        <w:t>: Estimated use and financial implications</w:t>
      </w:r>
    </w:p>
    <w:tbl>
      <w:tblPr>
        <w:tblStyle w:val="TableGrid"/>
        <w:tblW w:w="5000" w:type="pct"/>
        <w:tblLook w:val="04A0" w:firstRow="1" w:lastRow="0" w:firstColumn="1" w:lastColumn="0" w:noHBand="0" w:noVBand="1"/>
        <w:tblCaption w:val="Estimated use and financial implications"/>
      </w:tblPr>
      <w:tblGrid>
        <w:gridCol w:w="2042"/>
        <w:gridCol w:w="1161"/>
        <w:gridCol w:w="1163"/>
        <w:gridCol w:w="1161"/>
        <w:gridCol w:w="1163"/>
        <w:gridCol w:w="1161"/>
        <w:gridCol w:w="1165"/>
      </w:tblGrid>
      <w:tr w:rsidR="00D25A01" w:rsidRPr="007C652F" w:rsidTr="005C4A08">
        <w:trPr>
          <w:tblHeader/>
        </w:trPr>
        <w:tc>
          <w:tcPr>
            <w:tcW w:w="1132" w:type="pct"/>
            <w:tcBorders>
              <w:top w:val="single" w:sz="4" w:space="0" w:color="auto"/>
              <w:left w:val="single" w:sz="4" w:space="0" w:color="auto"/>
              <w:bottom w:val="single" w:sz="4" w:space="0" w:color="auto"/>
              <w:right w:val="single" w:sz="4" w:space="0" w:color="auto"/>
            </w:tcBorders>
            <w:shd w:val="clear" w:color="auto" w:fill="auto"/>
            <w:hideMark/>
          </w:tcPr>
          <w:p w:rsidR="002669E2" w:rsidRPr="007C652F" w:rsidRDefault="002669E2" w:rsidP="00CB799E">
            <w:pPr>
              <w:pStyle w:val="TableText0"/>
              <w:keepNext/>
              <w:keepLines/>
              <w:rPr>
                <w:rFonts w:ascii="Arial Narrow" w:hAnsi="Arial Narrow" w:cs="Arial"/>
                <w:b/>
                <w:sz w:val="20"/>
                <w:szCs w:val="20"/>
              </w:rPr>
            </w:pPr>
          </w:p>
        </w:tc>
        <w:tc>
          <w:tcPr>
            <w:tcW w:w="644" w:type="pct"/>
            <w:tcBorders>
              <w:top w:val="single" w:sz="4" w:space="0" w:color="auto"/>
              <w:left w:val="single" w:sz="4" w:space="0" w:color="auto"/>
              <w:bottom w:val="single" w:sz="4" w:space="0" w:color="auto"/>
              <w:right w:val="single" w:sz="4" w:space="0" w:color="auto"/>
            </w:tcBorders>
            <w:shd w:val="clear" w:color="auto" w:fill="auto"/>
            <w:hideMark/>
          </w:tcPr>
          <w:p w:rsidR="002669E2" w:rsidRPr="007C652F" w:rsidRDefault="002669E2" w:rsidP="00CB799E">
            <w:pPr>
              <w:pStyle w:val="TableText0"/>
              <w:keepNext/>
              <w:keepLines/>
              <w:jc w:val="center"/>
              <w:rPr>
                <w:rFonts w:ascii="Arial Narrow" w:hAnsi="Arial Narrow" w:cs="Arial"/>
                <w:b/>
                <w:sz w:val="20"/>
                <w:szCs w:val="20"/>
              </w:rPr>
            </w:pPr>
            <w:r w:rsidRPr="007C652F">
              <w:rPr>
                <w:rFonts w:ascii="Arial Narrow" w:hAnsi="Arial Narrow" w:cs="Arial"/>
                <w:b/>
                <w:sz w:val="20"/>
                <w:szCs w:val="20"/>
              </w:rPr>
              <w:t>Year 1</w:t>
            </w:r>
          </w:p>
        </w:tc>
        <w:tc>
          <w:tcPr>
            <w:tcW w:w="645" w:type="pct"/>
            <w:tcBorders>
              <w:top w:val="single" w:sz="4" w:space="0" w:color="auto"/>
              <w:left w:val="single" w:sz="4" w:space="0" w:color="auto"/>
              <w:bottom w:val="single" w:sz="4" w:space="0" w:color="auto"/>
              <w:right w:val="single" w:sz="4" w:space="0" w:color="auto"/>
            </w:tcBorders>
            <w:shd w:val="clear" w:color="auto" w:fill="auto"/>
            <w:hideMark/>
          </w:tcPr>
          <w:p w:rsidR="002669E2" w:rsidRPr="007C652F" w:rsidRDefault="002669E2" w:rsidP="00CB799E">
            <w:pPr>
              <w:pStyle w:val="TableText0"/>
              <w:keepNext/>
              <w:keepLines/>
              <w:jc w:val="center"/>
              <w:rPr>
                <w:rFonts w:ascii="Arial Narrow" w:hAnsi="Arial Narrow" w:cs="Arial"/>
                <w:b/>
                <w:sz w:val="20"/>
                <w:szCs w:val="20"/>
              </w:rPr>
            </w:pPr>
            <w:r w:rsidRPr="007C652F">
              <w:rPr>
                <w:rFonts w:ascii="Arial Narrow" w:hAnsi="Arial Narrow" w:cs="Arial"/>
                <w:b/>
                <w:sz w:val="20"/>
                <w:szCs w:val="20"/>
              </w:rPr>
              <w:t>Year 2</w:t>
            </w:r>
          </w:p>
        </w:tc>
        <w:tc>
          <w:tcPr>
            <w:tcW w:w="644" w:type="pct"/>
            <w:tcBorders>
              <w:top w:val="single" w:sz="4" w:space="0" w:color="auto"/>
              <w:left w:val="single" w:sz="4" w:space="0" w:color="auto"/>
              <w:bottom w:val="single" w:sz="4" w:space="0" w:color="auto"/>
              <w:right w:val="single" w:sz="4" w:space="0" w:color="auto"/>
            </w:tcBorders>
            <w:shd w:val="clear" w:color="auto" w:fill="auto"/>
            <w:hideMark/>
          </w:tcPr>
          <w:p w:rsidR="002669E2" w:rsidRPr="007C652F" w:rsidRDefault="002669E2" w:rsidP="00CB799E">
            <w:pPr>
              <w:pStyle w:val="TableText0"/>
              <w:keepNext/>
              <w:keepLines/>
              <w:jc w:val="center"/>
              <w:rPr>
                <w:rFonts w:ascii="Arial Narrow" w:hAnsi="Arial Narrow" w:cs="Arial"/>
                <w:b/>
                <w:sz w:val="20"/>
                <w:szCs w:val="20"/>
              </w:rPr>
            </w:pPr>
            <w:r w:rsidRPr="007C652F">
              <w:rPr>
                <w:rFonts w:ascii="Arial Narrow" w:hAnsi="Arial Narrow" w:cs="Arial"/>
                <w:b/>
                <w:sz w:val="20"/>
                <w:szCs w:val="20"/>
              </w:rPr>
              <w:t>Year 3</w:t>
            </w:r>
          </w:p>
        </w:tc>
        <w:tc>
          <w:tcPr>
            <w:tcW w:w="645" w:type="pct"/>
            <w:tcBorders>
              <w:top w:val="single" w:sz="4" w:space="0" w:color="auto"/>
              <w:left w:val="single" w:sz="4" w:space="0" w:color="auto"/>
              <w:bottom w:val="single" w:sz="4" w:space="0" w:color="auto"/>
              <w:right w:val="single" w:sz="4" w:space="0" w:color="auto"/>
            </w:tcBorders>
            <w:shd w:val="clear" w:color="auto" w:fill="auto"/>
            <w:hideMark/>
          </w:tcPr>
          <w:p w:rsidR="002669E2" w:rsidRPr="007C652F" w:rsidRDefault="002669E2" w:rsidP="00CB799E">
            <w:pPr>
              <w:pStyle w:val="TableText0"/>
              <w:keepNext/>
              <w:keepLines/>
              <w:jc w:val="center"/>
              <w:rPr>
                <w:rFonts w:ascii="Arial Narrow" w:hAnsi="Arial Narrow" w:cs="Arial"/>
                <w:b/>
                <w:sz w:val="20"/>
                <w:szCs w:val="20"/>
              </w:rPr>
            </w:pPr>
            <w:r w:rsidRPr="007C652F">
              <w:rPr>
                <w:rFonts w:ascii="Arial Narrow" w:hAnsi="Arial Narrow" w:cs="Arial"/>
                <w:b/>
                <w:sz w:val="20"/>
                <w:szCs w:val="20"/>
              </w:rPr>
              <w:t>Year 4</w:t>
            </w:r>
          </w:p>
        </w:tc>
        <w:tc>
          <w:tcPr>
            <w:tcW w:w="644" w:type="pct"/>
            <w:tcBorders>
              <w:top w:val="single" w:sz="4" w:space="0" w:color="auto"/>
              <w:left w:val="single" w:sz="4" w:space="0" w:color="auto"/>
              <w:bottom w:val="single" w:sz="4" w:space="0" w:color="auto"/>
              <w:right w:val="single" w:sz="4" w:space="0" w:color="auto"/>
            </w:tcBorders>
            <w:shd w:val="clear" w:color="auto" w:fill="auto"/>
            <w:hideMark/>
          </w:tcPr>
          <w:p w:rsidR="002669E2" w:rsidRPr="007C652F" w:rsidRDefault="002669E2" w:rsidP="00CB799E">
            <w:pPr>
              <w:pStyle w:val="TableText0"/>
              <w:keepNext/>
              <w:keepLines/>
              <w:jc w:val="center"/>
              <w:rPr>
                <w:rFonts w:ascii="Arial Narrow" w:hAnsi="Arial Narrow" w:cs="Arial"/>
                <w:b/>
                <w:sz w:val="20"/>
                <w:szCs w:val="20"/>
              </w:rPr>
            </w:pPr>
            <w:r w:rsidRPr="007C652F">
              <w:rPr>
                <w:rFonts w:ascii="Arial Narrow" w:hAnsi="Arial Narrow" w:cs="Arial"/>
                <w:b/>
                <w:sz w:val="20"/>
                <w:szCs w:val="20"/>
              </w:rPr>
              <w:t>Year 5</w:t>
            </w:r>
          </w:p>
        </w:tc>
        <w:tc>
          <w:tcPr>
            <w:tcW w:w="646" w:type="pct"/>
            <w:tcBorders>
              <w:top w:val="single" w:sz="4" w:space="0" w:color="auto"/>
              <w:left w:val="single" w:sz="4" w:space="0" w:color="auto"/>
              <w:bottom w:val="single" w:sz="4" w:space="0" w:color="auto"/>
              <w:right w:val="single" w:sz="4" w:space="0" w:color="auto"/>
            </w:tcBorders>
          </w:tcPr>
          <w:p w:rsidR="002669E2" w:rsidRPr="007C652F" w:rsidRDefault="002669E2" w:rsidP="00CB799E">
            <w:pPr>
              <w:pStyle w:val="TableText0"/>
              <w:keepNext/>
              <w:keepLines/>
              <w:jc w:val="center"/>
              <w:rPr>
                <w:rFonts w:ascii="Arial Narrow" w:hAnsi="Arial Narrow" w:cs="Arial"/>
                <w:b/>
                <w:sz w:val="20"/>
                <w:szCs w:val="20"/>
              </w:rPr>
            </w:pPr>
            <w:r w:rsidRPr="007C652F">
              <w:rPr>
                <w:rFonts w:ascii="Arial Narrow" w:hAnsi="Arial Narrow" w:cs="Arial"/>
                <w:b/>
                <w:sz w:val="20"/>
                <w:szCs w:val="20"/>
              </w:rPr>
              <w:t>Year 6</w:t>
            </w:r>
          </w:p>
        </w:tc>
      </w:tr>
      <w:tr w:rsidR="00D25A01" w:rsidRPr="007C652F" w:rsidTr="005C4A08">
        <w:tc>
          <w:tcPr>
            <w:tcW w:w="1132" w:type="pct"/>
            <w:tcBorders>
              <w:top w:val="single" w:sz="4" w:space="0" w:color="auto"/>
              <w:left w:val="single" w:sz="4" w:space="0" w:color="auto"/>
              <w:bottom w:val="single" w:sz="4" w:space="0" w:color="auto"/>
              <w:right w:val="single" w:sz="4" w:space="0" w:color="auto"/>
            </w:tcBorders>
            <w:shd w:val="clear" w:color="auto" w:fill="auto"/>
            <w:hideMark/>
          </w:tcPr>
          <w:p w:rsidR="002669E2" w:rsidRPr="007C652F" w:rsidRDefault="002669E2" w:rsidP="00CB799E">
            <w:pPr>
              <w:keepNext/>
              <w:keepLines/>
              <w:jc w:val="both"/>
              <w:rPr>
                <w:rFonts w:ascii="Arial Narrow" w:hAnsi="Arial Narrow" w:cs="Arial"/>
                <w:sz w:val="20"/>
                <w:szCs w:val="20"/>
              </w:rPr>
            </w:pPr>
            <w:r w:rsidRPr="007C652F">
              <w:rPr>
                <w:rFonts w:ascii="Arial Narrow" w:hAnsi="Arial Narrow" w:cs="Arial"/>
                <w:sz w:val="20"/>
                <w:szCs w:val="20"/>
              </w:rPr>
              <w:t>CD patients per year</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sz w:val="20"/>
                <w:szCs w:val="20"/>
                <w:highlight w:val="black"/>
              </w:rPr>
            </w:pPr>
            <w:r>
              <w:rPr>
                <w:rFonts w:ascii="Arial Narrow" w:hAnsi="Arial Narrow" w:cs="Arial"/>
                <w:noProof/>
                <w:color w:val="000000"/>
                <w:sz w:val="20"/>
                <w:szCs w:val="20"/>
                <w:highlight w:val="black"/>
              </w:rPr>
              <w:t>'''''''''''''''''</w:t>
            </w:r>
          </w:p>
        </w:tc>
        <w:tc>
          <w:tcPr>
            <w:tcW w:w="646" w:type="pct"/>
            <w:tcBorders>
              <w:top w:val="single" w:sz="4" w:space="0" w:color="auto"/>
              <w:left w:val="single" w:sz="4" w:space="0" w:color="auto"/>
              <w:bottom w:val="single" w:sz="4" w:space="0" w:color="auto"/>
              <w:right w:val="single" w:sz="4" w:space="0" w:color="auto"/>
            </w:tcBorders>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D25A01" w:rsidRPr="007C652F" w:rsidTr="005C4A08">
        <w:tc>
          <w:tcPr>
            <w:tcW w:w="113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669E2" w:rsidRPr="007C652F" w:rsidRDefault="002669E2" w:rsidP="00CB799E">
            <w:pPr>
              <w:pStyle w:val="TableText0"/>
              <w:keepNext/>
              <w:keepLines/>
              <w:rPr>
                <w:rFonts w:ascii="Arial Narrow" w:hAnsi="Arial Narrow" w:cs="Arial"/>
                <w:sz w:val="20"/>
                <w:szCs w:val="20"/>
              </w:rPr>
            </w:pPr>
            <w:r w:rsidRPr="007C652F">
              <w:rPr>
                <w:rFonts w:ascii="Arial Narrow" w:hAnsi="Arial Narrow" w:cs="Arial"/>
                <w:sz w:val="20"/>
                <w:szCs w:val="20"/>
              </w:rPr>
              <w:t>% of population with mild to moderate CD eligible for first/second line treatment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7C652F" w:rsidRDefault="002669E2" w:rsidP="00CB799E">
            <w:pPr>
              <w:pStyle w:val="TableText0"/>
              <w:keepNext/>
              <w:keepLines/>
              <w:jc w:val="center"/>
              <w:rPr>
                <w:rFonts w:ascii="Arial Narrow" w:hAnsi="Arial Narrow"/>
                <w:sz w:val="20"/>
                <w:szCs w:val="20"/>
              </w:rPr>
            </w:pPr>
            <w:r w:rsidRPr="007C652F">
              <w:rPr>
                <w:rFonts w:ascii="Arial Narrow" w:hAnsi="Arial Narrow" w:cs="Arial"/>
                <w:sz w:val="20"/>
                <w:szCs w:val="20"/>
              </w:rPr>
              <w:t>44%</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7C652F" w:rsidRDefault="002669E2" w:rsidP="00CB799E">
            <w:pPr>
              <w:pStyle w:val="TableText0"/>
              <w:keepNext/>
              <w:keepLines/>
              <w:jc w:val="center"/>
              <w:rPr>
                <w:rFonts w:ascii="Arial Narrow" w:hAnsi="Arial Narrow"/>
                <w:sz w:val="20"/>
                <w:szCs w:val="20"/>
              </w:rPr>
            </w:pPr>
            <w:r w:rsidRPr="007C652F">
              <w:rPr>
                <w:rFonts w:ascii="Arial Narrow" w:hAnsi="Arial Narrow" w:cs="Arial"/>
                <w:sz w:val="20"/>
                <w:szCs w:val="20"/>
              </w:rPr>
              <w:t>44%</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7C652F" w:rsidRDefault="002669E2" w:rsidP="00CB799E">
            <w:pPr>
              <w:pStyle w:val="TableText0"/>
              <w:keepNext/>
              <w:keepLines/>
              <w:jc w:val="center"/>
              <w:rPr>
                <w:rFonts w:ascii="Arial Narrow" w:hAnsi="Arial Narrow"/>
                <w:sz w:val="20"/>
                <w:szCs w:val="20"/>
              </w:rPr>
            </w:pPr>
            <w:r w:rsidRPr="007C652F">
              <w:rPr>
                <w:rFonts w:ascii="Arial Narrow" w:hAnsi="Arial Narrow" w:cs="Arial"/>
                <w:sz w:val="20"/>
                <w:szCs w:val="20"/>
              </w:rPr>
              <w:t>44%</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7C652F" w:rsidRDefault="002669E2" w:rsidP="00CB799E">
            <w:pPr>
              <w:pStyle w:val="TableText0"/>
              <w:keepNext/>
              <w:keepLines/>
              <w:jc w:val="center"/>
              <w:rPr>
                <w:rFonts w:ascii="Arial Narrow" w:hAnsi="Arial Narrow"/>
                <w:sz w:val="20"/>
                <w:szCs w:val="20"/>
              </w:rPr>
            </w:pPr>
            <w:r w:rsidRPr="007C652F">
              <w:rPr>
                <w:rFonts w:ascii="Arial Narrow" w:hAnsi="Arial Narrow" w:cs="Arial"/>
                <w:sz w:val="20"/>
                <w:szCs w:val="20"/>
              </w:rPr>
              <w:t>44%</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7C652F" w:rsidRDefault="002669E2" w:rsidP="00CB799E">
            <w:pPr>
              <w:pStyle w:val="TableText0"/>
              <w:keepNext/>
              <w:keepLines/>
              <w:jc w:val="center"/>
              <w:rPr>
                <w:rFonts w:ascii="Arial Narrow" w:hAnsi="Arial Narrow"/>
                <w:sz w:val="20"/>
                <w:szCs w:val="20"/>
              </w:rPr>
            </w:pPr>
            <w:r w:rsidRPr="007C652F">
              <w:rPr>
                <w:rFonts w:ascii="Arial Narrow" w:hAnsi="Arial Narrow" w:cs="Arial"/>
                <w:sz w:val="20"/>
                <w:szCs w:val="20"/>
              </w:rPr>
              <w:t>44%</w:t>
            </w:r>
          </w:p>
        </w:tc>
        <w:tc>
          <w:tcPr>
            <w:tcW w:w="646" w:type="pct"/>
            <w:tcBorders>
              <w:top w:val="single" w:sz="4" w:space="0" w:color="auto"/>
              <w:left w:val="single" w:sz="4" w:space="0" w:color="auto"/>
              <w:bottom w:val="single" w:sz="4" w:space="0" w:color="auto"/>
              <w:right w:val="single" w:sz="4" w:space="0" w:color="auto"/>
            </w:tcBorders>
            <w:vAlign w:val="center"/>
          </w:tcPr>
          <w:p w:rsidR="002669E2" w:rsidRPr="007C652F" w:rsidRDefault="002669E2" w:rsidP="00CB799E">
            <w:pPr>
              <w:pStyle w:val="TableText0"/>
              <w:keepNext/>
              <w:keepLines/>
              <w:jc w:val="center"/>
              <w:rPr>
                <w:rFonts w:ascii="Arial Narrow" w:hAnsi="Arial Narrow" w:cs="Arial"/>
                <w:sz w:val="20"/>
                <w:szCs w:val="20"/>
              </w:rPr>
            </w:pPr>
            <w:r w:rsidRPr="007C652F">
              <w:rPr>
                <w:rFonts w:ascii="Arial Narrow" w:hAnsi="Arial Narrow" w:cs="Arial"/>
                <w:sz w:val="20"/>
                <w:szCs w:val="20"/>
              </w:rPr>
              <w:t>44%</w:t>
            </w:r>
          </w:p>
        </w:tc>
      </w:tr>
      <w:tr w:rsidR="00D25A01" w:rsidRPr="007C652F" w:rsidTr="005C4A08">
        <w:tc>
          <w:tcPr>
            <w:tcW w:w="1132" w:type="pct"/>
            <w:tcBorders>
              <w:top w:val="single" w:sz="4" w:space="0" w:color="auto"/>
              <w:left w:val="single" w:sz="4" w:space="0" w:color="auto"/>
              <w:bottom w:val="single" w:sz="4" w:space="0" w:color="auto"/>
              <w:right w:val="single" w:sz="4" w:space="0" w:color="auto"/>
            </w:tcBorders>
            <w:shd w:val="clear" w:color="auto" w:fill="auto"/>
          </w:tcPr>
          <w:p w:rsidR="002669E2" w:rsidRPr="007C652F" w:rsidRDefault="002669E2" w:rsidP="00CB799E">
            <w:pPr>
              <w:pStyle w:val="TableText0"/>
              <w:keepNext/>
              <w:keepLines/>
              <w:rPr>
                <w:rFonts w:ascii="Arial Narrow" w:hAnsi="Arial Narrow" w:cs="Arial"/>
                <w:sz w:val="20"/>
                <w:szCs w:val="20"/>
              </w:rPr>
            </w:pPr>
            <w:r w:rsidRPr="007C652F">
              <w:rPr>
                <w:rFonts w:ascii="Arial Narrow" w:hAnsi="Arial Narrow"/>
                <w:sz w:val="20"/>
                <w:szCs w:val="20"/>
              </w:rPr>
              <w:t>Population eligible for mesalazine, prednisolone or budesonide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6" w:type="pct"/>
            <w:tcBorders>
              <w:top w:val="single" w:sz="4" w:space="0" w:color="auto"/>
              <w:left w:val="single" w:sz="4" w:space="0" w:color="auto"/>
              <w:bottom w:val="single" w:sz="4" w:space="0" w:color="auto"/>
              <w:right w:val="single" w:sz="4" w:space="0" w:color="auto"/>
            </w:tcBorders>
            <w:vAlign w:val="center"/>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D25A01" w:rsidRPr="007C652F" w:rsidTr="005C4A08">
        <w:tc>
          <w:tcPr>
            <w:tcW w:w="1132" w:type="pct"/>
            <w:tcBorders>
              <w:top w:val="single" w:sz="4" w:space="0" w:color="auto"/>
              <w:left w:val="single" w:sz="4" w:space="0" w:color="auto"/>
              <w:bottom w:val="single" w:sz="4" w:space="0" w:color="auto"/>
              <w:right w:val="single" w:sz="4" w:space="0" w:color="auto"/>
            </w:tcBorders>
            <w:shd w:val="clear" w:color="auto" w:fill="auto"/>
            <w:hideMark/>
          </w:tcPr>
          <w:p w:rsidR="002669E2" w:rsidRPr="007C652F" w:rsidRDefault="002669E2" w:rsidP="00CB799E">
            <w:pPr>
              <w:pStyle w:val="TableText0"/>
              <w:keepNext/>
              <w:keepLines/>
              <w:rPr>
                <w:rFonts w:ascii="Arial Narrow" w:hAnsi="Arial Narrow" w:cs="Arial"/>
                <w:sz w:val="20"/>
                <w:szCs w:val="20"/>
              </w:rPr>
            </w:pPr>
            <w:r w:rsidRPr="007C652F">
              <w:rPr>
                <w:rFonts w:ascii="Arial Narrow" w:hAnsi="Arial Narrow" w:cs="Arial"/>
                <w:sz w:val="20"/>
                <w:szCs w:val="20"/>
              </w:rPr>
              <w:t>Rate of uptake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7C652F" w:rsidRDefault="002669E2" w:rsidP="00CB799E">
            <w:pPr>
              <w:pStyle w:val="TableText0"/>
              <w:keepNext/>
              <w:keepLines/>
              <w:jc w:val="center"/>
              <w:rPr>
                <w:rFonts w:ascii="Arial Narrow" w:hAnsi="Arial Narrow"/>
                <w:sz w:val="20"/>
                <w:szCs w:val="20"/>
              </w:rPr>
            </w:pPr>
            <w:r w:rsidRPr="007C652F">
              <w:rPr>
                <w:rFonts w:ascii="Arial Narrow" w:hAnsi="Arial Narrow"/>
                <w:sz w:val="20"/>
                <w:szCs w:val="20"/>
              </w:rPr>
              <w:t>20%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7C652F" w:rsidRDefault="002669E2" w:rsidP="00CB799E">
            <w:pPr>
              <w:pStyle w:val="TableText0"/>
              <w:keepNext/>
              <w:keepLines/>
              <w:jc w:val="center"/>
              <w:rPr>
                <w:rFonts w:ascii="Arial Narrow" w:hAnsi="Arial Narrow"/>
                <w:sz w:val="20"/>
                <w:szCs w:val="20"/>
              </w:rPr>
            </w:pPr>
            <w:r w:rsidRPr="007C652F">
              <w:rPr>
                <w:rFonts w:ascii="Arial Narrow" w:hAnsi="Arial Narrow"/>
                <w:sz w:val="20"/>
                <w:szCs w:val="20"/>
              </w:rPr>
              <w:t>25%</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7C652F" w:rsidRDefault="002669E2" w:rsidP="00CB799E">
            <w:pPr>
              <w:pStyle w:val="TableText0"/>
              <w:keepNext/>
              <w:keepLines/>
              <w:jc w:val="center"/>
              <w:rPr>
                <w:rFonts w:ascii="Arial Narrow" w:hAnsi="Arial Narrow"/>
                <w:sz w:val="20"/>
                <w:szCs w:val="20"/>
              </w:rPr>
            </w:pPr>
            <w:r w:rsidRPr="007C652F">
              <w:rPr>
                <w:rFonts w:ascii="Arial Narrow" w:hAnsi="Arial Narrow"/>
                <w:sz w:val="20"/>
                <w:szCs w:val="20"/>
              </w:rPr>
              <w:t>30%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7C652F" w:rsidRDefault="002669E2" w:rsidP="00CB799E">
            <w:pPr>
              <w:pStyle w:val="TableText0"/>
              <w:keepNext/>
              <w:keepLines/>
              <w:jc w:val="center"/>
              <w:rPr>
                <w:rFonts w:ascii="Arial Narrow" w:hAnsi="Arial Narrow"/>
                <w:sz w:val="20"/>
                <w:szCs w:val="20"/>
              </w:rPr>
            </w:pPr>
            <w:r w:rsidRPr="007C652F">
              <w:rPr>
                <w:rFonts w:ascii="Arial Narrow" w:hAnsi="Arial Narrow"/>
                <w:sz w:val="20"/>
                <w:szCs w:val="20"/>
              </w:rPr>
              <w:t>32%</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7C652F" w:rsidRDefault="002669E2" w:rsidP="00CB799E">
            <w:pPr>
              <w:pStyle w:val="TableText0"/>
              <w:keepNext/>
              <w:keepLines/>
              <w:jc w:val="center"/>
              <w:rPr>
                <w:rFonts w:ascii="Arial Narrow" w:hAnsi="Arial Narrow"/>
                <w:sz w:val="20"/>
                <w:szCs w:val="20"/>
              </w:rPr>
            </w:pPr>
            <w:r w:rsidRPr="007C652F">
              <w:rPr>
                <w:rFonts w:ascii="Arial Narrow" w:hAnsi="Arial Narrow"/>
                <w:sz w:val="20"/>
                <w:szCs w:val="20"/>
              </w:rPr>
              <w:t>34%</w:t>
            </w:r>
          </w:p>
        </w:tc>
        <w:tc>
          <w:tcPr>
            <w:tcW w:w="646" w:type="pct"/>
            <w:tcBorders>
              <w:top w:val="single" w:sz="4" w:space="0" w:color="auto"/>
              <w:left w:val="single" w:sz="4" w:space="0" w:color="auto"/>
              <w:bottom w:val="single" w:sz="4" w:space="0" w:color="auto"/>
              <w:right w:val="single" w:sz="4" w:space="0" w:color="auto"/>
            </w:tcBorders>
          </w:tcPr>
          <w:p w:rsidR="002669E2" w:rsidRPr="007C652F" w:rsidRDefault="002669E2" w:rsidP="00CB799E">
            <w:pPr>
              <w:pStyle w:val="TableText0"/>
              <w:keepNext/>
              <w:keepLines/>
              <w:jc w:val="center"/>
              <w:rPr>
                <w:rFonts w:ascii="Arial Narrow" w:hAnsi="Arial Narrow"/>
                <w:sz w:val="20"/>
                <w:szCs w:val="20"/>
              </w:rPr>
            </w:pPr>
            <w:r w:rsidRPr="007C652F">
              <w:rPr>
                <w:rFonts w:ascii="Arial Narrow" w:hAnsi="Arial Narrow"/>
                <w:sz w:val="20"/>
                <w:szCs w:val="20"/>
              </w:rPr>
              <w:t>35%</w:t>
            </w:r>
          </w:p>
        </w:tc>
      </w:tr>
      <w:tr w:rsidR="00D25A01" w:rsidRPr="007C652F" w:rsidTr="005C4A08">
        <w:tc>
          <w:tcPr>
            <w:tcW w:w="1132" w:type="pct"/>
            <w:tcBorders>
              <w:top w:val="single" w:sz="4" w:space="0" w:color="auto"/>
              <w:left w:val="single" w:sz="4" w:space="0" w:color="auto"/>
              <w:bottom w:val="single" w:sz="4" w:space="0" w:color="auto"/>
              <w:right w:val="single" w:sz="4" w:space="0" w:color="auto"/>
            </w:tcBorders>
            <w:shd w:val="clear" w:color="auto" w:fill="auto"/>
            <w:hideMark/>
          </w:tcPr>
          <w:p w:rsidR="002669E2" w:rsidRPr="007C652F" w:rsidRDefault="002669E2" w:rsidP="00CB799E">
            <w:pPr>
              <w:pStyle w:val="TableText0"/>
              <w:keepNext/>
              <w:keepLines/>
              <w:rPr>
                <w:rFonts w:ascii="Arial Narrow" w:hAnsi="Arial Narrow" w:cs="Arial"/>
                <w:sz w:val="20"/>
                <w:szCs w:val="20"/>
              </w:rPr>
            </w:pPr>
            <w:r w:rsidRPr="007C652F">
              <w:rPr>
                <w:rFonts w:ascii="Arial Narrow" w:hAnsi="Arial Narrow" w:cs="Arial"/>
                <w:sz w:val="20"/>
                <w:szCs w:val="20"/>
              </w:rPr>
              <w:t>Total patients treated with budesonide</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CB799E">
            <w:pPr>
              <w:pStyle w:val="TableText0"/>
              <w:keepNext/>
              <w:keepLines/>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646" w:type="pct"/>
            <w:tcBorders>
              <w:top w:val="single" w:sz="4" w:space="0" w:color="auto"/>
              <w:left w:val="single" w:sz="4" w:space="0" w:color="auto"/>
              <w:bottom w:val="single" w:sz="4" w:space="0" w:color="auto"/>
              <w:right w:val="single" w:sz="4" w:space="0" w:color="auto"/>
            </w:tcBorders>
            <w:vAlign w:val="center"/>
          </w:tcPr>
          <w:p w:rsidR="002669E2" w:rsidRPr="0059576F" w:rsidRDefault="0059576F" w:rsidP="00CB799E">
            <w:pPr>
              <w:pStyle w:val="TableText0"/>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25A01" w:rsidRPr="007C652F" w:rsidTr="00B42BB1">
        <w:tc>
          <w:tcPr>
            <w:tcW w:w="1132" w:type="pct"/>
            <w:tcBorders>
              <w:top w:val="single" w:sz="4" w:space="0" w:color="auto"/>
              <w:left w:val="single" w:sz="4" w:space="0" w:color="auto"/>
              <w:bottom w:val="single" w:sz="4" w:space="0" w:color="auto"/>
              <w:right w:val="single" w:sz="4" w:space="0" w:color="auto"/>
            </w:tcBorders>
            <w:shd w:val="clear" w:color="auto" w:fill="auto"/>
          </w:tcPr>
          <w:p w:rsidR="002669E2" w:rsidRPr="007C652F" w:rsidRDefault="002669E2" w:rsidP="00CB799E">
            <w:pPr>
              <w:pStyle w:val="TableText0"/>
              <w:keepNext/>
              <w:keepLines/>
              <w:rPr>
                <w:rFonts w:ascii="Arial Narrow" w:hAnsi="Arial Narrow" w:cs="Arial"/>
                <w:sz w:val="20"/>
                <w:szCs w:val="20"/>
                <w:vertAlign w:val="superscript"/>
              </w:rPr>
            </w:pPr>
            <w:r w:rsidRPr="007C652F">
              <w:rPr>
                <w:rFonts w:ascii="Arial Narrow" w:hAnsi="Arial Narrow" w:cs="Arial"/>
                <w:sz w:val="20"/>
                <w:szCs w:val="20"/>
              </w:rPr>
              <w:t>Number of scripts for budesonide</w:t>
            </w:r>
            <w:r w:rsidRPr="007C652F">
              <w:rPr>
                <w:rFonts w:ascii="Arial Narrow" w:hAnsi="Arial Narrow" w:cs="Arial"/>
                <w:sz w:val="20"/>
                <w:szCs w:val="20"/>
                <w:vertAlign w:val="superscript"/>
              </w:rPr>
              <w:t>1</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B42BB1">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B42BB1">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B42BB1">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B42BB1">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2669E2" w:rsidRPr="0059576F" w:rsidRDefault="0059576F" w:rsidP="00B42BB1">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6" w:type="pct"/>
            <w:tcBorders>
              <w:top w:val="single" w:sz="4" w:space="0" w:color="auto"/>
              <w:left w:val="single" w:sz="4" w:space="0" w:color="auto"/>
              <w:bottom w:val="single" w:sz="4" w:space="0" w:color="auto"/>
              <w:right w:val="single" w:sz="4" w:space="0" w:color="auto"/>
            </w:tcBorders>
            <w:vAlign w:val="center"/>
          </w:tcPr>
          <w:p w:rsidR="002669E2" w:rsidRPr="0059576F" w:rsidRDefault="0059576F" w:rsidP="00B42BB1">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25A01" w:rsidRPr="007C652F" w:rsidTr="005C4A08">
        <w:tc>
          <w:tcPr>
            <w:tcW w:w="5000" w:type="pct"/>
            <w:gridSpan w:val="7"/>
            <w:shd w:val="clear" w:color="auto" w:fill="BFBFBF" w:themeFill="background1" w:themeFillShade="BF"/>
            <w:vAlign w:val="center"/>
          </w:tcPr>
          <w:p w:rsidR="005C4A08" w:rsidRPr="007C652F" w:rsidRDefault="005C4A08" w:rsidP="00CB799E">
            <w:pPr>
              <w:rPr>
                <w:rFonts w:ascii="Arial Narrow" w:hAnsi="Arial Narrow"/>
                <w:sz w:val="20"/>
                <w:szCs w:val="20"/>
                <w:vertAlign w:val="superscript"/>
              </w:rPr>
            </w:pPr>
            <w:r w:rsidRPr="007C652F">
              <w:rPr>
                <w:rFonts w:ascii="Arial Narrow" w:hAnsi="Arial Narrow"/>
                <w:b/>
                <w:sz w:val="20"/>
                <w:szCs w:val="20"/>
              </w:rPr>
              <w:t>Cost-minimised price ($</w:t>
            </w:r>
            <w:r w:rsidR="0059576F">
              <w:rPr>
                <w:rFonts w:ascii="Arial Narrow" w:hAnsi="Arial Narrow"/>
                <w:b/>
                <w:noProof/>
                <w:color w:val="000000"/>
                <w:sz w:val="20"/>
                <w:szCs w:val="20"/>
                <w:highlight w:val="black"/>
              </w:rPr>
              <w:t>'''''''''''''</w:t>
            </w:r>
            <w:r w:rsidR="00D25FF3" w:rsidRPr="007C652F">
              <w:rPr>
                <w:rFonts w:ascii="Arial Narrow" w:hAnsi="Arial Narrow"/>
                <w:b/>
                <w:sz w:val="20"/>
                <w:szCs w:val="20"/>
              </w:rPr>
              <w:t xml:space="preserve"> DPMQ</w:t>
            </w:r>
            <w:r w:rsidRPr="007C652F">
              <w:rPr>
                <w:rFonts w:ascii="Arial Narrow" w:hAnsi="Arial Narrow"/>
                <w:b/>
                <w:sz w:val="20"/>
                <w:szCs w:val="20"/>
              </w:rPr>
              <w:t>)</w:t>
            </w:r>
            <w:r w:rsidR="00D25FF3" w:rsidRPr="007C652F">
              <w:rPr>
                <w:rFonts w:ascii="Arial Narrow" w:hAnsi="Arial Narrow"/>
                <w:b/>
                <w:sz w:val="20"/>
                <w:szCs w:val="20"/>
                <w:vertAlign w:val="superscript"/>
              </w:rPr>
              <w:t>2</w:t>
            </w:r>
          </w:p>
        </w:tc>
      </w:tr>
      <w:tr w:rsidR="00D25A01" w:rsidRPr="007C652F" w:rsidTr="005C4A08">
        <w:tc>
          <w:tcPr>
            <w:tcW w:w="1132" w:type="pct"/>
            <w:shd w:val="clear" w:color="auto" w:fill="auto"/>
          </w:tcPr>
          <w:p w:rsidR="00E442EF" w:rsidRPr="007C652F" w:rsidRDefault="00E442EF" w:rsidP="00CB799E">
            <w:pPr>
              <w:pStyle w:val="TableText0"/>
              <w:keepNext/>
              <w:keepLines/>
              <w:rPr>
                <w:rFonts w:ascii="Arial Narrow" w:hAnsi="Arial Narrow"/>
                <w:b/>
                <w:sz w:val="20"/>
                <w:szCs w:val="20"/>
              </w:rPr>
            </w:pPr>
            <w:r w:rsidRPr="007C652F">
              <w:rPr>
                <w:rFonts w:ascii="Arial Narrow" w:hAnsi="Arial Narrow"/>
                <w:sz w:val="20"/>
                <w:szCs w:val="20"/>
              </w:rPr>
              <w:t>Total budesonide cost to the PBS from listing</w:t>
            </w:r>
          </w:p>
        </w:tc>
        <w:tc>
          <w:tcPr>
            <w:tcW w:w="644"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6" w:type="pct"/>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r>
      <w:tr w:rsidR="00D25A01" w:rsidRPr="007C652F" w:rsidTr="005C4A08">
        <w:tc>
          <w:tcPr>
            <w:tcW w:w="1132" w:type="pct"/>
            <w:shd w:val="clear" w:color="auto" w:fill="auto"/>
          </w:tcPr>
          <w:p w:rsidR="00E442EF" w:rsidRPr="007C652F" w:rsidRDefault="00E442EF" w:rsidP="00CB799E">
            <w:pPr>
              <w:pStyle w:val="TableText0"/>
              <w:keepNext/>
              <w:keepLines/>
              <w:rPr>
                <w:rFonts w:ascii="Arial Narrow" w:hAnsi="Arial Narrow"/>
                <w:sz w:val="20"/>
                <w:szCs w:val="20"/>
              </w:rPr>
            </w:pPr>
            <w:r w:rsidRPr="007C652F">
              <w:rPr>
                <w:rFonts w:ascii="Arial Narrow" w:hAnsi="Arial Narrow"/>
                <w:sz w:val="20"/>
                <w:szCs w:val="20"/>
              </w:rPr>
              <w:t>Total decrease in cost to the PBS from substitution</w:t>
            </w:r>
          </w:p>
        </w:tc>
        <w:tc>
          <w:tcPr>
            <w:tcW w:w="644"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6" w:type="pct"/>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r>
      <w:tr w:rsidR="00D25A01" w:rsidRPr="007C652F" w:rsidTr="005C4A08">
        <w:tc>
          <w:tcPr>
            <w:tcW w:w="1132" w:type="pct"/>
            <w:shd w:val="clear" w:color="auto" w:fill="auto"/>
          </w:tcPr>
          <w:p w:rsidR="00E442EF" w:rsidRPr="007C652F" w:rsidRDefault="00E442EF" w:rsidP="00CB799E">
            <w:pPr>
              <w:pStyle w:val="TableText0"/>
              <w:keepNext/>
              <w:keepLines/>
              <w:rPr>
                <w:rFonts w:ascii="Arial Narrow" w:hAnsi="Arial Narrow"/>
                <w:sz w:val="20"/>
                <w:szCs w:val="20"/>
              </w:rPr>
            </w:pPr>
            <w:r w:rsidRPr="007C652F">
              <w:rPr>
                <w:rFonts w:ascii="Arial Narrow" w:hAnsi="Arial Narrow"/>
                <w:b/>
                <w:sz w:val="20"/>
                <w:szCs w:val="20"/>
              </w:rPr>
              <w:t>Net cost to PBS/RPBS</w:t>
            </w:r>
          </w:p>
        </w:tc>
        <w:tc>
          <w:tcPr>
            <w:tcW w:w="644"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6" w:type="pct"/>
            <w:vAlign w:val="center"/>
          </w:tcPr>
          <w:p w:rsidR="00E442EF" w:rsidRPr="007C652F" w:rsidRDefault="00E442EF"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r>
      <w:tr w:rsidR="00D25A01" w:rsidRPr="007C652F" w:rsidTr="00D25A01">
        <w:tc>
          <w:tcPr>
            <w:tcW w:w="5000" w:type="pct"/>
            <w:gridSpan w:val="7"/>
            <w:shd w:val="clear" w:color="auto" w:fill="BFBFBF" w:themeFill="background1" w:themeFillShade="BF"/>
            <w:vAlign w:val="center"/>
          </w:tcPr>
          <w:p w:rsidR="005C4A08" w:rsidRPr="007C652F" w:rsidRDefault="005C4A08" w:rsidP="00CB799E">
            <w:pPr>
              <w:rPr>
                <w:rFonts w:ascii="Arial Narrow" w:hAnsi="Arial Narrow"/>
                <w:sz w:val="20"/>
                <w:szCs w:val="20"/>
                <w:vertAlign w:val="superscript"/>
              </w:rPr>
            </w:pPr>
            <w:r w:rsidRPr="007C652F">
              <w:rPr>
                <w:rFonts w:ascii="Arial Narrow" w:hAnsi="Arial Narrow"/>
                <w:b/>
                <w:sz w:val="20"/>
                <w:szCs w:val="20"/>
              </w:rPr>
              <w:t>Cost-effective price ($</w:t>
            </w:r>
            <w:r w:rsidR="0059576F">
              <w:rPr>
                <w:rFonts w:ascii="Arial Narrow" w:hAnsi="Arial Narrow"/>
                <w:b/>
                <w:noProof/>
                <w:color w:val="000000"/>
                <w:sz w:val="20"/>
                <w:szCs w:val="20"/>
                <w:highlight w:val="black"/>
              </w:rPr>
              <w:t>''''''''''''''</w:t>
            </w:r>
            <w:r w:rsidR="00D25FF3" w:rsidRPr="007C652F">
              <w:rPr>
                <w:rFonts w:ascii="Arial Narrow" w:hAnsi="Arial Narrow"/>
                <w:b/>
                <w:sz w:val="20"/>
                <w:szCs w:val="20"/>
              </w:rPr>
              <w:t xml:space="preserve"> DPMQ</w:t>
            </w:r>
            <w:r w:rsidRPr="007C652F">
              <w:rPr>
                <w:rFonts w:ascii="Arial Narrow" w:hAnsi="Arial Narrow"/>
                <w:b/>
                <w:sz w:val="20"/>
                <w:szCs w:val="20"/>
              </w:rPr>
              <w:t>)</w:t>
            </w:r>
            <w:r w:rsidR="00D25FF3" w:rsidRPr="007C652F">
              <w:rPr>
                <w:rFonts w:ascii="Arial Narrow" w:hAnsi="Arial Narrow"/>
                <w:b/>
                <w:sz w:val="20"/>
                <w:szCs w:val="20"/>
                <w:vertAlign w:val="superscript"/>
              </w:rPr>
              <w:t>3</w:t>
            </w:r>
          </w:p>
        </w:tc>
      </w:tr>
      <w:tr w:rsidR="00D25A01" w:rsidRPr="007C652F" w:rsidTr="005C4A08">
        <w:tc>
          <w:tcPr>
            <w:tcW w:w="1132" w:type="pct"/>
            <w:shd w:val="clear" w:color="auto" w:fill="auto"/>
          </w:tcPr>
          <w:p w:rsidR="00610752" w:rsidRPr="007C652F" w:rsidRDefault="00610752" w:rsidP="00CB799E">
            <w:pPr>
              <w:pStyle w:val="TableText0"/>
              <w:keepNext/>
              <w:keepLines/>
              <w:rPr>
                <w:rFonts w:ascii="Arial Narrow" w:hAnsi="Arial Narrow"/>
                <w:b/>
                <w:sz w:val="20"/>
                <w:szCs w:val="20"/>
              </w:rPr>
            </w:pPr>
            <w:r w:rsidRPr="007C652F">
              <w:rPr>
                <w:rFonts w:ascii="Arial Narrow" w:hAnsi="Arial Narrow"/>
                <w:sz w:val="20"/>
                <w:szCs w:val="20"/>
              </w:rPr>
              <w:t>Total budesonide cost to the PBS from listing</w:t>
            </w:r>
          </w:p>
        </w:tc>
        <w:tc>
          <w:tcPr>
            <w:tcW w:w="644"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6" w:type="pct"/>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r>
      <w:tr w:rsidR="00D25A01" w:rsidRPr="007C652F" w:rsidTr="005C4A08">
        <w:tc>
          <w:tcPr>
            <w:tcW w:w="1132" w:type="pct"/>
            <w:shd w:val="clear" w:color="auto" w:fill="auto"/>
          </w:tcPr>
          <w:p w:rsidR="00610752" w:rsidRPr="007C652F" w:rsidRDefault="00610752" w:rsidP="00CB799E">
            <w:pPr>
              <w:pStyle w:val="TableText0"/>
              <w:keepNext/>
              <w:keepLines/>
              <w:rPr>
                <w:rFonts w:ascii="Arial Narrow" w:hAnsi="Arial Narrow"/>
                <w:b/>
                <w:sz w:val="20"/>
                <w:szCs w:val="20"/>
              </w:rPr>
            </w:pPr>
            <w:r w:rsidRPr="007C652F">
              <w:rPr>
                <w:rFonts w:ascii="Arial Narrow" w:hAnsi="Arial Narrow"/>
                <w:sz w:val="20"/>
                <w:szCs w:val="20"/>
              </w:rPr>
              <w:t>Total decrease in cost to the PBS from substitution</w:t>
            </w:r>
          </w:p>
        </w:tc>
        <w:tc>
          <w:tcPr>
            <w:tcW w:w="644"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6" w:type="pct"/>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r>
      <w:tr w:rsidR="00D25A01" w:rsidRPr="007C652F" w:rsidTr="005C4A08">
        <w:tc>
          <w:tcPr>
            <w:tcW w:w="1132" w:type="pct"/>
            <w:shd w:val="clear" w:color="auto" w:fill="auto"/>
          </w:tcPr>
          <w:p w:rsidR="00610752" w:rsidRPr="007C652F" w:rsidRDefault="00610752" w:rsidP="00CB799E">
            <w:pPr>
              <w:pStyle w:val="TableText0"/>
              <w:keepNext/>
              <w:keepLines/>
              <w:rPr>
                <w:rFonts w:ascii="Arial Narrow" w:hAnsi="Arial Narrow"/>
                <w:b/>
                <w:sz w:val="20"/>
                <w:szCs w:val="20"/>
              </w:rPr>
            </w:pPr>
            <w:r w:rsidRPr="007C652F">
              <w:rPr>
                <w:rFonts w:ascii="Arial Narrow" w:hAnsi="Arial Narrow"/>
                <w:b/>
                <w:sz w:val="20"/>
                <w:szCs w:val="20"/>
              </w:rPr>
              <w:t>Net cost to PBS/RPBS</w:t>
            </w:r>
          </w:p>
        </w:tc>
        <w:tc>
          <w:tcPr>
            <w:tcW w:w="644"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5"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4" w:type="pct"/>
            <w:shd w:val="clear" w:color="auto" w:fill="auto"/>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c>
          <w:tcPr>
            <w:tcW w:w="646" w:type="pct"/>
            <w:vAlign w:val="center"/>
          </w:tcPr>
          <w:p w:rsidR="00610752" w:rsidRPr="007C652F" w:rsidRDefault="00610752" w:rsidP="00CB799E">
            <w:pPr>
              <w:jc w:val="center"/>
              <w:rPr>
                <w:rFonts w:ascii="Arial Narrow" w:hAnsi="Arial Narrow"/>
                <w:sz w:val="20"/>
                <w:szCs w:val="20"/>
              </w:rPr>
            </w:pPr>
            <w:r w:rsidRPr="007C652F">
              <w:rPr>
                <w:rFonts w:ascii="Arial Narrow" w:hAnsi="Arial Narrow"/>
                <w:sz w:val="20"/>
                <w:szCs w:val="20"/>
              </w:rPr>
              <w:t>-$</w:t>
            </w:r>
            <w:r w:rsidR="0059576F">
              <w:rPr>
                <w:rFonts w:ascii="Arial Narrow" w:hAnsi="Arial Narrow"/>
                <w:noProof/>
                <w:color w:val="000000"/>
                <w:sz w:val="20"/>
                <w:szCs w:val="20"/>
                <w:highlight w:val="black"/>
              </w:rPr>
              <w:t>''''''''''''''''''''</w:t>
            </w:r>
          </w:p>
        </w:tc>
      </w:tr>
    </w:tbl>
    <w:p w:rsidR="002669E2" w:rsidRPr="001F5C4D" w:rsidRDefault="002669E2" w:rsidP="00CB799E">
      <w:pPr>
        <w:pStyle w:val="ListParagraph"/>
        <w:keepNext/>
        <w:keepLines/>
        <w:widowControl/>
        <w:ind w:left="0"/>
        <w:contextualSpacing w:val="0"/>
        <w:rPr>
          <w:rFonts w:ascii="Arial Narrow" w:hAnsi="Arial Narrow"/>
          <w:sz w:val="18"/>
          <w:szCs w:val="18"/>
        </w:rPr>
      </w:pPr>
      <w:r w:rsidRPr="001F5C4D">
        <w:rPr>
          <w:rFonts w:ascii="Arial Narrow" w:hAnsi="Arial Narrow"/>
          <w:sz w:val="18"/>
          <w:szCs w:val="18"/>
          <w:vertAlign w:val="superscript"/>
        </w:rPr>
        <w:t>1</w:t>
      </w:r>
      <w:r w:rsidRPr="001F5C4D">
        <w:rPr>
          <w:rFonts w:ascii="Arial Narrow" w:hAnsi="Arial Narrow"/>
          <w:sz w:val="18"/>
          <w:szCs w:val="18"/>
        </w:rPr>
        <w:t xml:space="preserve"> assumes 3 episodes per year with 2.3 scripts per episode (7 scripts per year).</w:t>
      </w:r>
    </w:p>
    <w:p w:rsidR="00D42802" w:rsidRPr="001F5C4D" w:rsidRDefault="00D25FF3" w:rsidP="00CB799E">
      <w:pPr>
        <w:pStyle w:val="ListParagraph"/>
        <w:keepNext/>
        <w:keepLines/>
        <w:widowControl/>
        <w:ind w:left="0"/>
        <w:contextualSpacing w:val="0"/>
        <w:rPr>
          <w:rFonts w:ascii="Arial Narrow" w:hAnsi="Arial Narrow"/>
          <w:sz w:val="18"/>
          <w:szCs w:val="18"/>
        </w:rPr>
      </w:pPr>
      <w:r w:rsidRPr="001F5C4D">
        <w:rPr>
          <w:rFonts w:ascii="Arial Narrow" w:hAnsi="Arial Narrow"/>
          <w:sz w:val="18"/>
          <w:szCs w:val="18"/>
          <w:vertAlign w:val="superscript"/>
        </w:rPr>
        <w:t xml:space="preserve">2 </w:t>
      </w:r>
      <w:r w:rsidR="00D42802" w:rsidRPr="001F5C4D">
        <w:rPr>
          <w:rFonts w:ascii="Arial Narrow" w:hAnsi="Arial Narrow"/>
          <w:sz w:val="18"/>
          <w:szCs w:val="18"/>
        </w:rPr>
        <w:t xml:space="preserve">Cost-minimised price= price without a </w:t>
      </w:r>
      <w:r w:rsidR="0059576F">
        <w:rPr>
          <w:rFonts w:ascii="Arial Narrow" w:hAnsi="Arial Narrow"/>
          <w:noProof/>
          <w:color w:val="000000"/>
          <w:sz w:val="18"/>
          <w:szCs w:val="18"/>
          <w:highlight w:val="black"/>
        </w:rPr>
        <w:t>''''''</w:t>
      </w:r>
      <w:r w:rsidR="00D42802" w:rsidRPr="001F5C4D">
        <w:rPr>
          <w:rFonts w:ascii="Arial Narrow" w:hAnsi="Arial Narrow"/>
          <w:sz w:val="18"/>
          <w:szCs w:val="18"/>
        </w:rPr>
        <w:t>% premium for the safety benefit of price of budesonide over prednisolone and mesalazine</w:t>
      </w:r>
    </w:p>
    <w:p w:rsidR="00D42802" w:rsidRPr="001F5C4D" w:rsidRDefault="00D25FF3" w:rsidP="00CB799E">
      <w:pPr>
        <w:pStyle w:val="ListParagraph"/>
        <w:keepNext/>
        <w:keepLines/>
        <w:widowControl/>
        <w:ind w:left="0"/>
        <w:contextualSpacing w:val="0"/>
        <w:rPr>
          <w:rFonts w:ascii="Arial Narrow" w:hAnsi="Arial Narrow"/>
          <w:sz w:val="18"/>
          <w:szCs w:val="18"/>
        </w:rPr>
      </w:pPr>
      <w:r w:rsidRPr="001F5C4D">
        <w:rPr>
          <w:rFonts w:ascii="Arial Narrow" w:hAnsi="Arial Narrow"/>
          <w:sz w:val="18"/>
          <w:szCs w:val="18"/>
          <w:vertAlign w:val="superscript"/>
        </w:rPr>
        <w:t xml:space="preserve">3 </w:t>
      </w:r>
      <w:r w:rsidR="00D42802" w:rsidRPr="001F5C4D">
        <w:rPr>
          <w:rFonts w:ascii="Arial Narrow" w:hAnsi="Arial Narrow"/>
          <w:sz w:val="18"/>
          <w:szCs w:val="18"/>
        </w:rPr>
        <w:t>Cost-effective price=</w:t>
      </w:r>
      <w:r w:rsidR="00D42802" w:rsidRPr="001F5C4D">
        <w:rPr>
          <w:sz w:val="18"/>
          <w:szCs w:val="18"/>
        </w:rPr>
        <w:t xml:space="preserve"> </w:t>
      </w:r>
      <w:r w:rsidR="00D42802" w:rsidRPr="001F5C4D">
        <w:rPr>
          <w:rFonts w:ascii="Arial Narrow" w:hAnsi="Arial Narrow"/>
          <w:sz w:val="18"/>
          <w:szCs w:val="18"/>
        </w:rPr>
        <w:t xml:space="preserve">cost-minimised price with a </w:t>
      </w:r>
      <w:r w:rsidR="0059576F">
        <w:rPr>
          <w:rFonts w:ascii="Arial Narrow" w:hAnsi="Arial Narrow"/>
          <w:noProof/>
          <w:color w:val="000000"/>
          <w:sz w:val="18"/>
          <w:szCs w:val="18"/>
          <w:highlight w:val="black"/>
        </w:rPr>
        <w:t>''''''</w:t>
      </w:r>
      <w:r w:rsidR="00D42802" w:rsidRPr="001F5C4D">
        <w:rPr>
          <w:rFonts w:ascii="Arial Narrow" w:hAnsi="Arial Narrow"/>
          <w:sz w:val="18"/>
          <w:szCs w:val="18"/>
        </w:rPr>
        <w:t>% premium for the safety benefit of price of budesonide over prednisolone and mesalazine</w:t>
      </w:r>
    </w:p>
    <w:p w:rsidR="00D25FF3" w:rsidRPr="001F5C4D" w:rsidRDefault="00D25FF3" w:rsidP="00CB799E">
      <w:pPr>
        <w:pStyle w:val="ListParagraph"/>
        <w:keepNext/>
        <w:keepLines/>
        <w:widowControl/>
        <w:ind w:left="0"/>
        <w:contextualSpacing w:val="0"/>
        <w:rPr>
          <w:rFonts w:ascii="Arial Narrow" w:hAnsi="Arial Narrow"/>
          <w:sz w:val="18"/>
          <w:szCs w:val="18"/>
        </w:rPr>
      </w:pPr>
      <w:r w:rsidRPr="001F5C4D">
        <w:rPr>
          <w:rFonts w:ascii="Arial Narrow" w:hAnsi="Arial Narrow"/>
          <w:sz w:val="18"/>
          <w:szCs w:val="18"/>
        </w:rPr>
        <w:t>DPMQ: Dispensed Price for Maximum Quantity</w:t>
      </w:r>
      <w:r w:rsidR="00B42BB1" w:rsidRPr="001F5C4D">
        <w:rPr>
          <w:rFonts w:ascii="Arial Narrow" w:hAnsi="Arial Narrow"/>
          <w:sz w:val="18"/>
          <w:szCs w:val="18"/>
        </w:rPr>
        <w:t>, CD = Crohn’s disease</w:t>
      </w:r>
    </w:p>
    <w:p w:rsidR="002669E2" w:rsidRPr="001F5C4D" w:rsidRDefault="002669E2" w:rsidP="00CB799E">
      <w:pPr>
        <w:pStyle w:val="ListParagraph"/>
        <w:keepNext/>
        <w:keepLines/>
        <w:widowControl/>
        <w:ind w:left="0"/>
        <w:contextualSpacing w:val="0"/>
        <w:rPr>
          <w:rFonts w:ascii="Arial Narrow" w:hAnsi="Arial Narrow"/>
          <w:sz w:val="18"/>
          <w:szCs w:val="18"/>
        </w:rPr>
      </w:pPr>
      <w:r w:rsidRPr="001F5C4D">
        <w:rPr>
          <w:rFonts w:ascii="Arial Narrow" w:hAnsi="Arial Narrow"/>
          <w:sz w:val="18"/>
          <w:szCs w:val="18"/>
        </w:rPr>
        <w:t xml:space="preserve">Source: </w:t>
      </w:r>
      <w:r w:rsidR="00E4535E" w:rsidRPr="001F5C4D">
        <w:rPr>
          <w:rFonts w:ascii="Arial Narrow" w:hAnsi="Arial Narrow"/>
          <w:sz w:val="18"/>
          <w:szCs w:val="18"/>
        </w:rPr>
        <w:t>Table 20 p4</w:t>
      </w:r>
      <w:r w:rsidRPr="001F5C4D">
        <w:rPr>
          <w:rFonts w:ascii="Arial Narrow" w:hAnsi="Arial Narrow"/>
          <w:sz w:val="18"/>
          <w:szCs w:val="18"/>
        </w:rPr>
        <w:t xml:space="preserve">9, </w:t>
      </w:r>
      <w:r w:rsidR="00E4535E" w:rsidRPr="001F5C4D">
        <w:rPr>
          <w:rFonts w:ascii="Arial Narrow" w:hAnsi="Arial Narrow"/>
          <w:sz w:val="18"/>
          <w:szCs w:val="18"/>
        </w:rPr>
        <w:t>Table 24 p50</w:t>
      </w:r>
      <w:r w:rsidR="00E442EF" w:rsidRPr="001F5C4D">
        <w:rPr>
          <w:rFonts w:ascii="Arial Narrow" w:hAnsi="Arial Narrow"/>
          <w:sz w:val="18"/>
          <w:szCs w:val="18"/>
        </w:rPr>
        <w:t>,</w:t>
      </w:r>
      <w:r w:rsidRPr="001F5C4D">
        <w:rPr>
          <w:rFonts w:ascii="Arial Narrow" w:hAnsi="Arial Narrow"/>
          <w:sz w:val="18"/>
          <w:szCs w:val="18"/>
        </w:rPr>
        <w:t xml:space="preserve"> Table 3</w:t>
      </w:r>
      <w:r w:rsidR="00E4535E" w:rsidRPr="001F5C4D">
        <w:rPr>
          <w:rFonts w:ascii="Arial Narrow" w:hAnsi="Arial Narrow"/>
          <w:sz w:val="18"/>
          <w:szCs w:val="18"/>
        </w:rPr>
        <w:t>4 p5</w:t>
      </w:r>
      <w:r w:rsidRPr="001F5C4D">
        <w:rPr>
          <w:rFonts w:ascii="Arial Narrow" w:hAnsi="Arial Narrow"/>
          <w:sz w:val="18"/>
          <w:szCs w:val="18"/>
        </w:rPr>
        <w:t xml:space="preserve">9 </w:t>
      </w:r>
      <w:r w:rsidR="00E442EF" w:rsidRPr="001F5C4D">
        <w:rPr>
          <w:rFonts w:ascii="Arial Narrow" w:hAnsi="Arial Narrow"/>
          <w:sz w:val="18"/>
          <w:szCs w:val="18"/>
        </w:rPr>
        <w:t xml:space="preserve">and Table 35 p59 </w:t>
      </w:r>
      <w:r w:rsidRPr="001F5C4D">
        <w:rPr>
          <w:rFonts w:ascii="Arial Narrow" w:hAnsi="Arial Narrow"/>
          <w:sz w:val="18"/>
          <w:szCs w:val="18"/>
        </w:rPr>
        <w:t>of the resubmission.</w:t>
      </w:r>
    </w:p>
    <w:p w:rsidR="002669E2" w:rsidRPr="007C652F" w:rsidRDefault="002669E2" w:rsidP="00DA10E6">
      <w:pPr>
        <w:pStyle w:val="ListParagraph"/>
        <w:keepNext/>
        <w:keepLines/>
        <w:widowControl/>
        <w:spacing w:before="120" w:after="120"/>
        <w:contextualSpacing w:val="0"/>
        <w:rPr>
          <w:rFonts w:ascii="Arial Narrow" w:hAnsi="Arial Narrow"/>
          <w:sz w:val="20"/>
        </w:rPr>
      </w:pPr>
    </w:p>
    <w:p w:rsidR="0000285B" w:rsidRPr="007C652F" w:rsidRDefault="002669E2" w:rsidP="00DA10E6">
      <w:pPr>
        <w:pStyle w:val="ListParagraph"/>
        <w:widowControl/>
        <w:numPr>
          <w:ilvl w:val="1"/>
          <w:numId w:val="5"/>
        </w:numPr>
        <w:spacing w:before="120" w:after="120"/>
        <w:contextualSpacing w:val="0"/>
        <w:rPr>
          <w:rFonts w:asciiTheme="minorHAnsi" w:hAnsiTheme="minorHAnsi"/>
          <w:sz w:val="24"/>
          <w:szCs w:val="24"/>
        </w:rPr>
      </w:pPr>
      <w:r w:rsidRPr="007C652F">
        <w:rPr>
          <w:rFonts w:asciiTheme="minorHAnsi" w:hAnsiTheme="minorHAnsi"/>
          <w:sz w:val="24"/>
          <w:szCs w:val="24"/>
        </w:rPr>
        <w:t xml:space="preserve">The net effect on the PBS/RPBS is highly dependent on the proportion of medicines substituted by budesonide upon listing. </w:t>
      </w:r>
      <w:r w:rsidR="009D00B5" w:rsidRPr="007C652F">
        <w:rPr>
          <w:rFonts w:asciiTheme="minorHAnsi" w:hAnsiTheme="minorHAnsi"/>
          <w:sz w:val="24"/>
          <w:szCs w:val="24"/>
        </w:rPr>
        <w:t xml:space="preserve">In July 2018, the PBAC considered </w:t>
      </w:r>
      <w:r w:rsidR="000E4721" w:rsidRPr="007C652F">
        <w:rPr>
          <w:rFonts w:asciiTheme="minorHAnsi" w:hAnsiTheme="minorHAnsi"/>
          <w:sz w:val="24"/>
          <w:szCs w:val="24"/>
        </w:rPr>
        <w:t xml:space="preserve">that there were significant uncertainties in the financial estimates presented that may lessen or reverse the overall estimated cost savings. </w:t>
      </w:r>
      <w:r w:rsidR="00802606" w:rsidRPr="007C652F">
        <w:rPr>
          <w:rFonts w:asciiTheme="minorHAnsi" w:hAnsiTheme="minorHAnsi"/>
          <w:sz w:val="24"/>
          <w:szCs w:val="24"/>
        </w:rPr>
        <w:t>At that time, t</w:t>
      </w:r>
      <w:r w:rsidR="000E4721" w:rsidRPr="007C652F">
        <w:rPr>
          <w:rFonts w:asciiTheme="minorHAnsi" w:hAnsiTheme="minorHAnsi"/>
          <w:sz w:val="24"/>
          <w:szCs w:val="24"/>
        </w:rPr>
        <w:t xml:space="preserve">he PBAC considered the budget impact for the proposed listing was highly uncertain and therefore recommended a risk sharing </w:t>
      </w:r>
      <w:r w:rsidR="00D1530F" w:rsidRPr="007C652F">
        <w:rPr>
          <w:rFonts w:asciiTheme="minorHAnsi" w:hAnsiTheme="minorHAnsi"/>
          <w:sz w:val="24"/>
          <w:szCs w:val="24"/>
        </w:rPr>
        <w:t>arrangement</w:t>
      </w:r>
      <w:r w:rsidR="000E4721" w:rsidRPr="007C652F">
        <w:rPr>
          <w:rFonts w:asciiTheme="minorHAnsi" w:hAnsiTheme="minorHAnsi"/>
          <w:sz w:val="24"/>
          <w:szCs w:val="24"/>
        </w:rPr>
        <w:t xml:space="preserve"> between the sponsor and the Commonwealth be entered into to reduce the financial impact of higher use of budesonide or lower levels of mesalazine substitution than predicted</w:t>
      </w:r>
      <w:r w:rsidR="009D00B5" w:rsidRPr="007C652F">
        <w:rPr>
          <w:rFonts w:asciiTheme="minorHAnsi" w:hAnsiTheme="minorHAnsi"/>
          <w:sz w:val="24"/>
          <w:szCs w:val="24"/>
        </w:rPr>
        <w:t xml:space="preserve"> (paragraph </w:t>
      </w:r>
      <w:r w:rsidR="000E4721" w:rsidRPr="007C652F">
        <w:rPr>
          <w:rFonts w:asciiTheme="minorHAnsi" w:hAnsiTheme="minorHAnsi"/>
          <w:sz w:val="24"/>
          <w:szCs w:val="24"/>
        </w:rPr>
        <w:t>7.9</w:t>
      </w:r>
      <w:r w:rsidR="009D00B5" w:rsidRPr="007C652F">
        <w:rPr>
          <w:rFonts w:asciiTheme="minorHAnsi" w:hAnsiTheme="minorHAnsi"/>
          <w:sz w:val="24"/>
          <w:szCs w:val="24"/>
        </w:rPr>
        <w:t xml:space="preserve">, item 7.11 budesonide PSD, July 2018). </w:t>
      </w:r>
      <w:r w:rsidR="009C0F2D" w:rsidRPr="007C652F">
        <w:rPr>
          <w:rFonts w:asciiTheme="minorHAnsi" w:hAnsiTheme="minorHAnsi"/>
          <w:sz w:val="24"/>
          <w:szCs w:val="24"/>
        </w:rPr>
        <w:t xml:space="preserve">No risk sharing arrangement </w:t>
      </w:r>
      <w:r w:rsidR="00397C13" w:rsidRPr="007C652F">
        <w:rPr>
          <w:rFonts w:asciiTheme="minorHAnsi" w:hAnsiTheme="minorHAnsi"/>
          <w:sz w:val="24"/>
          <w:szCs w:val="24"/>
        </w:rPr>
        <w:t xml:space="preserve">was </w:t>
      </w:r>
      <w:r w:rsidR="009C0F2D" w:rsidRPr="007C652F">
        <w:rPr>
          <w:rFonts w:asciiTheme="minorHAnsi" w:hAnsiTheme="minorHAnsi"/>
          <w:sz w:val="24"/>
          <w:szCs w:val="24"/>
        </w:rPr>
        <w:t xml:space="preserve">proposed in </w:t>
      </w:r>
      <w:r w:rsidR="009C0F2D" w:rsidRPr="007C652F">
        <w:rPr>
          <w:rFonts w:asciiTheme="minorHAnsi" w:hAnsiTheme="minorHAnsi"/>
          <w:sz w:val="24"/>
          <w:szCs w:val="24"/>
        </w:rPr>
        <w:lastRenderedPageBreak/>
        <w:t>the minor resubmission.</w:t>
      </w:r>
      <w:r w:rsidR="003755F9" w:rsidRPr="007C652F">
        <w:rPr>
          <w:rFonts w:asciiTheme="minorHAnsi" w:hAnsiTheme="minorHAnsi"/>
          <w:sz w:val="24"/>
          <w:szCs w:val="24"/>
        </w:rPr>
        <w:t xml:space="preserve"> The PBAC </w:t>
      </w:r>
      <w:r w:rsidR="00802606" w:rsidRPr="007C652F">
        <w:rPr>
          <w:rFonts w:asciiTheme="minorHAnsi" w:hAnsiTheme="minorHAnsi"/>
          <w:sz w:val="24"/>
          <w:szCs w:val="24"/>
        </w:rPr>
        <w:t xml:space="preserve">remained </w:t>
      </w:r>
      <w:r w:rsidR="003755F9" w:rsidRPr="007C652F">
        <w:rPr>
          <w:rFonts w:asciiTheme="minorHAnsi" w:hAnsiTheme="minorHAnsi"/>
          <w:sz w:val="24"/>
          <w:szCs w:val="24"/>
        </w:rPr>
        <w:t>of the view that a risk sharing arrangement may be appropriate.</w:t>
      </w:r>
      <w:r w:rsidR="009C0F2D" w:rsidRPr="007C652F">
        <w:rPr>
          <w:rFonts w:asciiTheme="minorHAnsi" w:hAnsiTheme="minorHAnsi"/>
          <w:sz w:val="24"/>
          <w:szCs w:val="24"/>
        </w:rPr>
        <w:t xml:space="preserve"> </w:t>
      </w:r>
    </w:p>
    <w:p w:rsidR="002669E2" w:rsidRPr="007C652F" w:rsidRDefault="002669E2" w:rsidP="00DA10E6">
      <w:pPr>
        <w:pStyle w:val="ListParagraph"/>
        <w:widowControl/>
        <w:numPr>
          <w:ilvl w:val="1"/>
          <w:numId w:val="5"/>
        </w:numPr>
        <w:spacing w:before="120" w:after="120"/>
        <w:contextualSpacing w:val="0"/>
        <w:rPr>
          <w:rFonts w:asciiTheme="minorHAnsi" w:hAnsiTheme="minorHAnsi"/>
          <w:sz w:val="24"/>
          <w:szCs w:val="24"/>
        </w:rPr>
      </w:pPr>
      <w:r w:rsidRPr="007C652F">
        <w:rPr>
          <w:rFonts w:asciiTheme="minorHAnsi" w:hAnsiTheme="minorHAnsi"/>
          <w:sz w:val="24"/>
          <w:szCs w:val="24"/>
        </w:rPr>
        <w:t xml:space="preserve">As a minor </w:t>
      </w:r>
      <w:r w:rsidR="007576EF" w:rsidRPr="007C652F">
        <w:rPr>
          <w:rFonts w:asciiTheme="minorHAnsi" w:hAnsiTheme="minorHAnsi"/>
          <w:sz w:val="24"/>
          <w:szCs w:val="24"/>
        </w:rPr>
        <w:t>submission,</w:t>
      </w:r>
      <w:r w:rsidRPr="007C652F">
        <w:rPr>
          <w:rFonts w:asciiTheme="minorHAnsi" w:hAnsiTheme="minorHAnsi"/>
          <w:sz w:val="24"/>
          <w:szCs w:val="24"/>
        </w:rPr>
        <w:t xml:space="preserve"> the financial estimates have not been independently evaluated.</w:t>
      </w:r>
    </w:p>
    <w:p w:rsidR="00622D21" w:rsidRPr="007C652F" w:rsidRDefault="00622D21" w:rsidP="00DA10E6">
      <w:pPr>
        <w:spacing w:before="120" w:after="120"/>
        <w:rPr>
          <w:rFonts w:asciiTheme="minorHAnsi" w:hAnsiTheme="minorHAnsi"/>
          <w:i/>
        </w:rPr>
      </w:pPr>
      <w:r w:rsidRPr="007C652F">
        <w:rPr>
          <w:rFonts w:asciiTheme="minorHAnsi" w:hAnsiTheme="minorHAnsi"/>
          <w:i/>
        </w:rPr>
        <w:t>For more detail on PBAC’s view, see section 7 PBAC outcome.</w:t>
      </w:r>
    </w:p>
    <w:p w:rsidR="00640E09" w:rsidRPr="007C652F" w:rsidRDefault="00640E09" w:rsidP="00DA10E6">
      <w:pPr>
        <w:widowControl w:val="0"/>
        <w:numPr>
          <w:ilvl w:val="0"/>
          <w:numId w:val="5"/>
        </w:numPr>
        <w:spacing w:before="120" w:after="120"/>
        <w:ind w:left="720"/>
        <w:jc w:val="both"/>
        <w:outlineLvl w:val="0"/>
        <w:rPr>
          <w:rFonts w:asciiTheme="minorHAnsi" w:hAnsiTheme="minorHAnsi" w:cs="Arial"/>
          <w:b/>
          <w:bCs/>
          <w:snapToGrid w:val="0"/>
          <w:sz w:val="32"/>
        </w:rPr>
      </w:pPr>
      <w:r w:rsidRPr="007C652F">
        <w:rPr>
          <w:rFonts w:asciiTheme="minorHAnsi" w:hAnsiTheme="minorHAnsi" w:cs="Arial"/>
          <w:b/>
          <w:bCs/>
          <w:snapToGrid w:val="0"/>
          <w:sz w:val="32"/>
        </w:rPr>
        <w:t>PBAC Outcome</w:t>
      </w:r>
    </w:p>
    <w:p w:rsidR="006A5782" w:rsidRPr="003506CF" w:rsidRDefault="006A5782" w:rsidP="00DA10E6">
      <w:pPr>
        <w:widowControl w:val="0"/>
        <w:numPr>
          <w:ilvl w:val="1"/>
          <w:numId w:val="5"/>
        </w:numPr>
        <w:spacing w:before="120" w:after="120"/>
        <w:jc w:val="both"/>
        <w:rPr>
          <w:rFonts w:asciiTheme="minorHAnsi" w:hAnsiTheme="minorHAnsi" w:cs="Arial"/>
          <w:bCs/>
          <w:snapToGrid w:val="0"/>
        </w:rPr>
      </w:pPr>
      <w:r w:rsidRPr="003506CF">
        <w:rPr>
          <w:rFonts w:asciiTheme="minorHAnsi" w:hAnsiTheme="minorHAnsi" w:cs="Arial"/>
          <w:bCs/>
          <w:snapToGrid w:val="0"/>
        </w:rPr>
        <w:t>The PBAC re</w:t>
      </w:r>
      <w:r w:rsidR="00802606" w:rsidRPr="003506CF">
        <w:rPr>
          <w:rFonts w:asciiTheme="minorHAnsi" w:hAnsiTheme="minorHAnsi" w:cs="Arial"/>
          <w:bCs/>
          <w:snapToGrid w:val="0"/>
        </w:rPr>
        <w:t>affirmed it</w:t>
      </w:r>
      <w:r w:rsidR="004A7B2A" w:rsidRPr="003506CF">
        <w:rPr>
          <w:rFonts w:asciiTheme="minorHAnsi" w:hAnsiTheme="minorHAnsi" w:cs="Arial"/>
          <w:bCs/>
          <w:snapToGrid w:val="0"/>
        </w:rPr>
        <w:t>s</w:t>
      </w:r>
      <w:r w:rsidR="00802606" w:rsidRPr="003506CF">
        <w:rPr>
          <w:rFonts w:asciiTheme="minorHAnsi" w:hAnsiTheme="minorHAnsi" w:cs="Arial"/>
          <w:bCs/>
          <w:snapToGrid w:val="0"/>
        </w:rPr>
        <w:t xml:space="preserve"> previous </w:t>
      </w:r>
      <w:r w:rsidR="004A7B2A" w:rsidRPr="003506CF">
        <w:rPr>
          <w:rFonts w:asciiTheme="minorHAnsi" w:hAnsiTheme="minorHAnsi" w:cs="Arial"/>
          <w:bCs/>
          <w:snapToGrid w:val="0"/>
        </w:rPr>
        <w:t>re</w:t>
      </w:r>
      <w:r w:rsidRPr="003506CF">
        <w:rPr>
          <w:rFonts w:asciiTheme="minorHAnsi" w:hAnsiTheme="minorHAnsi" w:cs="Arial"/>
          <w:bCs/>
          <w:snapToGrid w:val="0"/>
        </w:rPr>
        <w:t>commend</w:t>
      </w:r>
      <w:r w:rsidR="00802606" w:rsidRPr="003506CF">
        <w:rPr>
          <w:rFonts w:asciiTheme="minorHAnsi" w:hAnsiTheme="minorHAnsi" w:cs="Arial"/>
          <w:bCs/>
          <w:snapToGrid w:val="0"/>
        </w:rPr>
        <w:t xml:space="preserve">ation to </w:t>
      </w:r>
      <w:r w:rsidRPr="003506CF">
        <w:rPr>
          <w:rFonts w:asciiTheme="minorHAnsi" w:hAnsiTheme="minorHAnsi" w:cs="Arial"/>
          <w:bCs/>
          <w:snapToGrid w:val="0"/>
        </w:rPr>
        <w:t xml:space="preserve">list budesonide </w:t>
      </w:r>
      <w:r w:rsidR="00F97B86" w:rsidRPr="003506CF">
        <w:rPr>
          <w:rFonts w:asciiTheme="minorHAnsi" w:hAnsiTheme="minorHAnsi" w:cs="Arial"/>
          <w:bCs/>
          <w:snapToGrid w:val="0"/>
        </w:rPr>
        <w:t xml:space="preserve">(Entocort) </w:t>
      </w:r>
      <w:r w:rsidRPr="003506CF">
        <w:rPr>
          <w:rFonts w:asciiTheme="minorHAnsi" w:hAnsiTheme="minorHAnsi" w:cs="Arial"/>
          <w:bCs/>
          <w:snapToGrid w:val="0"/>
        </w:rPr>
        <w:t>for treatment of mild to moderate CD affecting the ileum and/or ascending colon</w:t>
      </w:r>
      <w:r w:rsidR="00B1491D" w:rsidRPr="003506CF">
        <w:rPr>
          <w:rFonts w:asciiTheme="minorHAnsi" w:hAnsiTheme="minorHAnsi" w:cs="Arial"/>
          <w:bCs/>
          <w:snapToGrid w:val="0"/>
        </w:rPr>
        <w:t xml:space="preserve"> </w:t>
      </w:r>
      <w:r w:rsidRPr="003506CF">
        <w:rPr>
          <w:rFonts w:asciiTheme="minorHAnsi" w:hAnsiTheme="minorHAnsi" w:cs="Arial"/>
          <w:bCs/>
          <w:snapToGrid w:val="0"/>
        </w:rPr>
        <w:t xml:space="preserve">on a cost minimisation basis against a weighted mixed comparator of mesalazine and prednisolone. </w:t>
      </w:r>
    </w:p>
    <w:p w:rsidR="00BA297F" w:rsidRPr="007C652F" w:rsidRDefault="00BA297F" w:rsidP="00DA10E6">
      <w:pPr>
        <w:pStyle w:val="ListParagraph"/>
        <w:widowControl/>
        <w:numPr>
          <w:ilvl w:val="1"/>
          <w:numId w:val="5"/>
        </w:numPr>
        <w:spacing w:before="120" w:after="120"/>
        <w:contextualSpacing w:val="0"/>
        <w:rPr>
          <w:rFonts w:asciiTheme="minorHAnsi" w:hAnsiTheme="minorHAnsi"/>
          <w:sz w:val="24"/>
          <w:szCs w:val="24"/>
        </w:rPr>
      </w:pPr>
      <w:r w:rsidRPr="007C652F">
        <w:rPr>
          <w:rFonts w:asciiTheme="minorHAnsi" w:hAnsiTheme="minorHAnsi"/>
          <w:sz w:val="24"/>
          <w:szCs w:val="24"/>
        </w:rPr>
        <w:t xml:space="preserve">The PBAC noted the consumer comments from two </w:t>
      </w:r>
      <w:r w:rsidR="007576EF" w:rsidRPr="007C652F">
        <w:rPr>
          <w:rFonts w:asciiTheme="minorHAnsi" w:hAnsiTheme="minorHAnsi"/>
          <w:sz w:val="24"/>
          <w:szCs w:val="24"/>
        </w:rPr>
        <w:t>individuals that</w:t>
      </w:r>
      <w:r w:rsidRPr="007C652F">
        <w:rPr>
          <w:rFonts w:asciiTheme="minorHAnsi" w:hAnsiTheme="minorHAnsi"/>
          <w:sz w:val="24"/>
          <w:szCs w:val="24"/>
        </w:rPr>
        <w:t xml:space="preserve"> highlighted the clinical need for treatment options in mild to moderate CD.</w:t>
      </w:r>
    </w:p>
    <w:p w:rsidR="00703FAB" w:rsidRPr="003506CF" w:rsidRDefault="00703FAB" w:rsidP="00DA10E6">
      <w:pPr>
        <w:widowControl w:val="0"/>
        <w:numPr>
          <w:ilvl w:val="1"/>
          <w:numId w:val="5"/>
        </w:numPr>
        <w:spacing w:before="120" w:after="120"/>
        <w:jc w:val="both"/>
        <w:rPr>
          <w:rFonts w:asciiTheme="minorHAnsi" w:hAnsiTheme="minorHAnsi" w:cs="Arial"/>
          <w:bCs/>
          <w:snapToGrid w:val="0"/>
        </w:rPr>
      </w:pPr>
      <w:r w:rsidRPr="003506CF">
        <w:rPr>
          <w:rFonts w:asciiTheme="minorHAnsi" w:hAnsiTheme="minorHAnsi" w:cs="Arial"/>
          <w:bCs/>
          <w:snapToGrid w:val="0"/>
        </w:rPr>
        <w:t xml:space="preserve">The PBAC recalled that in its consideration of budesonide in July 2018 it had considered that a comparison against mesalazine and prednisolone was appropriate; however, did not agree that the calculation of the weighted price presented in the submission was appropriate. </w:t>
      </w:r>
    </w:p>
    <w:p w:rsidR="003B20E2" w:rsidRPr="007576EF" w:rsidRDefault="00BA297F" w:rsidP="00DA10E6">
      <w:pPr>
        <w:widowControl w:val="0"/>
        <w:numPr>
          <w:ilvl w:val="1"/>
          <w:numId w:val="5"/>
        </w:numPr>
        <w:spacing w:before="120" w:after="120"/>
        <w:jc w:val="both"/>
        <w:rPr>
          <w:rFonts w:asciiTheme="minorHAnsi" w:hAnsiTheme="minorHAnsi" w:cs="Arial"/>
          <w:bCs/>
          <w:snapToGrid w:val="0"/>
        </w:rPr>
      </w:pPr>
      <w:r w:rsidRPr="007C652F">
        <w:rPr>
          <w:rFonts w:asciiTheme="minorHAnsi" w:hAnsiTheme="minorHAnsi" w:cs="Arial"/>
          <w:bCs/>
          <w:snapToGrid w:val="0"/>
        </w:rPr>
        <w:t>The PBAC maintained its views that</w:t>
      </w:r>
      <w:r w:rsidRPr="007576EF">
        <w:rPr>
          <w:rFonts w:asciiTheme="minorHAnsi" w:hAnsiTheme="minorHAnsi" w:cs="Arial"/>
          <w:bCs/>
          <w:snapToGrid w:val="0"/>
        </w:rPr>
        <w:t xml:space="preserve"> the evidence presented in the minor resubmission supported a clinical claim that budesonide was non-inferior in terms of comparative effectiveness and superior in terms of comparative safety to both mesalazine and prednisolone, as was presented in the July 2018 minor resubmission.</w:t>
      </w:r>
    </w:p>
    <w:p w:rsidR="00CC7C42" w:rsidRPr="007C652F" w:rsidRDefault="00CC7C42" w:rsidP="00DA10E6">
      <w:pPr>
        <w:widowControl w:val="0"/>
        <w:numPr>
          <w:ilvl w:val="1"/>
          <w:numId w:val="5"/>
        </w:numPr>
        <w:spacing w:before="120" w:after="120"/>
        <w:jc w:val="both"/>
        <w:rPr>
          <w:rFonts w:asciiTheme="minorHAnsi" w:hAnsiTheme="minorHAnsi" w:cs="Arial"/>
          <w:bCs/>
          <w:snapToGrid w:val="0"/>
        </w:rPr>
      </w:pPr>
      <w:r w:rsidRPr="007576EF">
        <w:rPr>
          <w:rFonts w:asciiTheme="minorHAnsi" w:hAnsiTheme="minorHAnsi" w:cs="Arial"/>
          <w:bCs/>
          <w:snapToGrid w:val="0"/>
        </w:rPr>
        <w:t>The PBAC noted that the equi-effective doses whi</w:t>
      </w:r>
      <w:r w:rsidR="005A4EAB">
        <w:rPr>
          <w:rFonts w:asciiTheme="minorHAnsi" w:hAnsiTheme="minorHAnsi" w:cs="Arial"/>
          <w:bCs/>
          <w:snapToGrid w:val="0"/>
        </w:rPr>
        <w:t>ch were recommended at the July </w:t>
      </w:r>
      <w:r w:rsidRPr="007576EF">
        <w:rPr>
          <w:rFonts w:asciiTheme="minorHAnsi" w:hAnsiTheme="minorHAnsi" w:cs="Arial"/>
          <w:bCs/>
          <w:snapToGrid w:val="0"/>
        </w:rPr>
        <w:t>2018 meeting remain</w:t>
      </w:r>
      <w:r w:rsidR="00703FAB" w:rsidRPr="007C652F">
        <w:rPr>
          <w:rFonts w:asciiTheme="minorHAnsi" w:hAnsiTheme="minorHAnsi" w:cs="Arial"/>
          <w:bCs/>
          <w:snapToGrid w:val="0"/>
        </w:rPr>
        <w:t>ed</w:t>
      </w:r>
      <w:r w:rsidRPr="007C652F">
        <w:rPr>
          <w:rFonts w:asciiTheme="minorHAnsi" w:hAnsiTheme="minorHAnsi" w:cs="Arial"/>
          <w:bCs/>
          <w:snapToGrid w:val="0"/>
        </w:rPr>
        <w:t xml:space="preserve"> the same: budesonide 9 mg/day for 9 weeks followed by 4.5 mg/day for 3 weeks; Pentasa® brands of mesalazine 4 g/day for 12 weeks; Salofalk® brands of mesalazine 4.5 g/day for 8 weeks followed by a 3 g/day for 4 weeks; and prednisolone 25 mg/day for 8 weeks followed by 5 mg/day for 4 weeks. </w:t>
      </w:r>
    </w:p>
    <w:p w:rsidR="00946D22" w:rsidRPr="003506CF" w:rsidRDefault="0029100C" w:rsidP="00DA10E6">
      <w:pPr>
        <w:widowControl w:val="0"/>
        <w:numPr>
          <w:ilvl w:val="1"/>
          <w:numId w:val="5"/>
        </w:numPr>
        <w:spacing w:before="120" w:after="120"/>
        <w:jc w:val="both"/>
        <w:rPr>
          <w:rFonts w:asciiTheme="minorHAnsi" w:hAnsiTheme="minorHAnsi" w:cs="Arial"/>
          <w:bCs/>
          <w:snapToGrid w:val="0"/>
        </w:rPr>
      </w:pPr>
      <w:r w:rsidRPr="003506CF">
        <w:rPr>
          <w:rFonts w:asciiTheme="minorHAnsi" w:hAnsiTheme="minorHAnsi" w:cs="Arial"/>
          <w:bCs/>
          <w:snapToGrid w:val="0"/>
        </w:rPr>
        <w:t xml:space="preserve">The </w:t>
      </w:r>
      <w:r w:rsidR="009E163F" w:rsidRPr="003506CF">
        <w:rPr>
          <w:rFonts w:asciiTheme="minorHAnsi" w:hAnsiTheme="minorHAnsi" w:cs="Arial"/>
          <w:bCs/>
          <w:snapToGrid w:val="0"/>
        </w:rPr>
        <w:t xml:space="preserve">current </w:t>
      </w:r>
      <w:r w:rsidRPr="003506CF">
        <w:rPr>
          <w:rFonts w:asciiTheme="minorHAnsi" w:hAnsiTheme="minorHAnsi" w:cs="Arial"/>
          <w:bCs/>
          <w:snapToGrid w:val="0"/>
        </w:rPr>
        <w:t xml:space="preserve">minor resubmission presented an updated comparator weighting of </w:t>
      </w:r>
      <w:r w:rsidR="0059576F">
        <w:rPr>
          <w:rFonts w:asciiTheme="minorHAnsi" w:hAnsiTheme="minorHAnsi" w:cs="Arial"/>
          <w:bCs/>
          <w:noProof/>
          <w:snapToGrid w:val="0"/>
          <w:color w:val="000000"/>
          <w:highlight w:val="black"/>
        </w:rPr>
        <w:t>''''''''</w:t>
      </w:r>
      <w:r w:rsidRPr="003506CF">
        <w:rPr>
          <w:rFonts w:asciiTheme="minorHAnsi" w:hAnsiTheme="minorHAnsi" w:cs="Arial"/>
          <w:bCs/>
          <w:snapToGrid w:val="0"/>
        </w:rPr>
        <w:t>%:</w:t>
      </w:r>
      <w:r w:rsidR="0059576F">
        <w:rPr>
          <w:rFonts w:asciiTheme="minorHAnsi" w:hAnsiTheme="minorHAnsi" w:cs="Arial"/>
          <w:bCs/>
          <w:noProof/>
          <w:snapToGrid w:val="0"/>
          <w:color w:val="000000"/>
          <w:highlight w:val="black"/>
        </w:rPr>
        <w:t>''''''''</w:t>
      </w:r>
      <w:r w:rsidRPr="003506CF">
        <w:rPr>
          <w:rFonts w:asciiTheme="minorHAnsi" w:hAnsiTheme="minorHAnsi" w:cs="Arial"/>
          <w:bCs/>
          <w:snapToGrid w:val="0"/>
        </w:rPr>
        <w:t>% (mesalazine:prednisolone)</w:t>
      </w:r>
      <w:r w:rsidR="00917C1D" w:rsidRPr="003506CF">
        <w:rPr>
          <w:rFonts w:asciiTheme="minorHAnsi" w:hAnsiTheme="minorHAnsi" w:cs="Arial"/>
          <w:bCs/>
          <w:snapToGrid w:val="0"/>
        </w:rPr>
        <w:t>. The weighting</w:t>
      </w:r>
      <w:r w:rsidR="00C0263F" w:rsidRPr="003506CF">
        <w:rPr>
          <w:rFonts w:asciiTheme="minorHAnsi" w:hAnsiTheme="minorHAnsi" w:cs="Arial"/>
          <w:bCs/>
          <w:snapToGrid w:val="0"/>
        </w:rPr>
        <w:t xml:space="preserve"> was </w:t>
      </w:r>
      <w:r w:rsidR="00917C1D" w:rsidRPr="007C652F">
        <w:rPr>
          <w:rFonts w:asciiTheme="minorHAnsi" w:eastAsiaTheme="minorHAnsi" w:hAnsiTheme="minorHAnsi" w:cstheme="minorBidi"/>
          <w:szCs w:val="22"/>
        </w:rPr>
        <w:t>based on the same BEACH data presented in July 2018 as well as additional data from Medicines Insigh</w:t>
      </w:r>
      <w:r w:rsidR="00917C1D" w:rsidRPr="007576EF">
        <w:rPr>
          <w:rFonts w:asciiTheme="minorHAnsi" w:eastAsiaTheme="minorHAnsi" w:hAnsiTheme="minorHAnsi" w:cstheme="minorBidi"/>
          <w:szCs w:val="22"/>
        </w:rPr>
        <w:t>t NPS data</w:t>
      </w:r>
      <w:r w:rsidRPr="003506CF">
        <w:rPr>
          <w:rFonts w:asciiTheme="minorHAnsi" w:hAnsiTheme="minorHAnsi" w:cs="Arial"/>
          <w:bCs/>
          <w:snapToGrid w:val="0"/>
        </w:rPr>
        <w:t xml:space="preserve">. </w:t>
      </w:r>
      <w:r w:rsidR="00F97BC3" w:rsidRPr="003506CF">
        <w:rPr>
          <w:rFonts w:asciiTheme="minorHAnsi" w:hAnsiTheme="minorHAnsi" w:cs="Arial"/>
          <w:bCs/>
          <w:snapToGrid w:val="0"/>
        </w:rPr>
        <w:t xml:space="preserve">The PBAC considered the inclusion of the additional NPS data did not </w:t>
      </w:r>
      <w:r w:rsidR="00694AA1" w:rsidRPr="003506CF">
        <w:rPr>
          <w:rFonts w:asciiTheme="minorHAnsi" w:hAnsiTheme="minorHAnsi" w:cs="Arial"/>
          <w:bCs/>
          <w:snapToGrid w:val="0"/>
        </w:rPr>
        <w:t>reduce the</w:t>
      </w:r>
      <w:r w:rsidR="00F97BC3" w:rsidRPr="003506CF">
        <w:rPr>
          <w:rFonts w:asciiTheme="minorHAnsi" w:hAnsiTheme="minorHAnsi" w:cs="Arial"/>
          <w:bCs/>
          <w:snapToGrid w:val="0"/>
        </w:rPr>
        <w:t xml:space="preserve"> uncertainty around </w:t>
      </w:r>
      <w:r w:rsidR="00703FAB" w:rsidRPr="003506CF">
        <w:rPr>
          <w:rFonts w:asciiTheme="minorHAnsi" w:hAnsiTheme="minorHAnsi" w:cs="Arial"/>
          <w:bCs/>
          <w:snapToGrid w:val="0"/>
        </w:rPr>
        <w:t xml:space="preserve">the </w:t>
      </w:r>
      <w:r w:rsidR="00946D22" w:rsidRPr="003506CF">
        <w:rPr>
          <w:rFonts w:asciiTheme="minorHAnsi" w:hAnsiTheme="minorHAnsi" w:cs="Arial"/>
          <w:bCs/>
          <w:snapToGrid w:val="0"/>
        </w:rPr>
        <w:t xml:space="preserve">true proportion of patients in whom prednisolone is not an alternative therapy and maintained its view that while contemporary Australian guidelines acknowledge a role for mesalazine in CD, </w:t>
      </w:r>
      <w:r w:rsidR="007D65F0" w:rsidRPr="003506CF">
        <w:rPr>
          <w:rFonts w:asciiTheme="minorHAnsi" w:hAnsiTheme="minorHAnsi" w:cs="Arial"/>
          <w:bCs/>
          <w:snapToGrid w:val="0"/>
        </w:rPr>
        <w:t xml:space="preserve">it is a limited </w:t>
      </w:r>
      <w:r w:rsidR="00946D22" w:rsidRPr="003506CF">
        <w:rPr>
          <w:rFonts w:asciiTheme="minorHAnsi" w:hAnsiTheme="minorHAnsi" w:cs="Arial"/>
          <w:bCs/>
          <w:snapToGrid w:val="0"/>
        </w:rPr>
        <w:t>role</w:t>
      </w:r>
      <w:r w:rsidR="00FB1A82" w:rsidRPr="003506CF">
        <w:rPr>
          <w:rFonts w:asciiTheme="minorHAnsi" w:hAnsiTheme="minorHAnsi" w:cs="Arial"/>
          <w:bCs/>
          <w:snapToGrid w:val="0"/>
        </w:rPr>
        <w:t xml:space="preserve">. </w:t>
      </w:r>
      <w:r w:rsidR="00946D22" w:rsidRPr="003506CF">
        <w:rPr>
          <w:rFonts w:asciiTheme="minorHAnsi" w:hAnsiTheme="minorHAnsi" w:cs="Arial"/>
          <w:bCs/>
          <w:snapToGrid w:val="0"/>
        </w:rPr>
        <w:t xml:space="preserve">Therefore, the PBAC </w:t>
      </w:r>
      <w:r w:rsidR="0081471E" w:rsidRPr="003506CF">
        <w:rPr>
          <w:rFonts w:asciiTheme="minorHAnsi" w:hAnsiTheme="minorHAnsi" w:cs="Arial"/>
          <w:bCs/>
          <w:snapToGrid w:val="0"/>
        </w:rPr>
        <w:t xml:space="preserve">was of the </w:t>
      </w:r>
      <w:r w:rsidR="00946D22" w:rsidRPr="003506CF">
        <w:rPr>
          <w:rFonts w:asciiTheme="minorHAnsi" w:hAnsiTheme="minorHAnsi" w:cs="Arial"/>
          <w:bCs/>
          <w:snapToGrid w:val="0"/>
        </w:rPr>
        <w:t xml:space="preserve">view that the price of Entocort </w:t>
      </w:r>
      <w:r w:rsidR="003E46D5" w:rsidRPr="003506CF">
        <w:rPr>
          <w:rFonts w:asciiTheme="minorHAnsi" w:hAnsiTheme="minorHAnsi" w:cs="Arial"/>
          <w:bCs/>
          <w:snapToGrid w:val="0"/>
        </w:rPr>
        <w:t xml:space="preserve">should </w:t>
      </w:r>
      <w:r w:rsidR="00B06FD6" w:rsidRPr="003506CF">
        <w:rPr>
          <w:rFonts w:asciiTheme="minorHAnsi" w:hAnsiTheme="minorHAnsi" w:cs="Arial"/>
          <w:bCs/>
          <w:snapToGrid w:val="0"/>
        </w:rPr>
        <w:t xml:space="preserve">continue to </w:t>
      </w:r>
      <w:r w:rsidR="00946D22" w:rsidRPr="003506CF">
        <w:rPr>
          <w:rFonts w:asciiTheme="minorHAnsi" w:hAnsiTheme="minorHAnsi" w:cs="Arial"/>
          <w:bCs/>
          <w:snapToGrid w:val="0"/>
        </w:rPr>
        <w:t xml:space="preserve">be based on a weighting of </w:t>
      </w:r>
      <w:r w:rsidR="0059576F">
        <w:rPr>
          <w:rFonts w:asciiTheme="minorHAnsi" w:hAnsiTheme="minorHAnsi" w:cs="Arial"/>
          <w:bCs/>
          <w:noProof/>
          <w:snapToGrid w:val="0"/>
          <w:color w:val="000000"/>
          <w:highlight w:val="black"/>
        </w:rPr>
        <w:t>'''''</w:t>
      </w:r>
      <w:r w:rsidR="00946D22" w:rsidRPr="003506CF">
        <w:rPr>
          <w:rFonts w:asciiTheme="minorHAnsi" w:hAnsiTheme="minorHAnsi" w:cs="Arial"/>
          <w:bCs/>
          <w:snapToGrid w:val="0"/>
        </w:rPr>
        <w:t>%:</w:t>
      </w:r>
      <w:r w:rsidR="0059576F">
        <w:rPr>
          <w:rFonts w:asciiTheme="minorHAnsi" w:hAnsiTheme="minorHAnsi" w:cs="Arial"/>
          <w:bCs/>
          <w:noProof/>
          <w:snapToGrid w:val="0"/>
          <w:color w:val="000000"/>
          <w:highlight w:val="black"/>
        </w:rPr>
        <w:t>'''''</w:t>
      </w:r>
      <w:r w:rsidR="00946D22" w:rsidRPr="003506CF">
        <w:rPr>
          <w:rFonts w:asciiTheme="minorHAnsi" w:hAnsiTheme="minorHAnsi" w:cs="Arial"/>
          <w:bCs/>
          <w:snapToGrid w:val="0"/>
        </w:rPr>
        <w:t>% (mesalazine:prednisolone)</w:t>
      </w:r>
      <w:r w:rsidR="00703FAB" w:rsidRPr="003506CF">
        <w:rPr>
          <w:rFonts w:asciiTheme="minorHAnsi" w:hAnsiTheme="minorHAnsi" w:cs="Arial"/>
          <w:bCs/>
          <w:snapToGrid w:val="0"/>
        </w:rPr>
        <w:t xml:space="preserve"> as recommended in July 2018</w:t>
      </w:r>
      <w:r w:rsidR="00773A56" w:rsidRPr="003506CF">
        <w:rPr>
          <w:rFonts w:asciiTheme="minorHAnsi" w:hAnsiTheme="minorHAnsi" w:cs="Arial"/>
          <w:bCs/>
          <w:snapToGrid w:val="0"/>
        </w:rPr>
        <w:t>.</w:t>
      </w:r>
    </w:p>
    <w:p w:rsidR="00592D89" w:rsidRPr="003506CF" w:rsidRDefault="00F97BC3" w:rsidP="00DA10E6">
      <w:pPr>
        <w:widowControl w:val="0"/>
        <w:numPr>
          <w:ilvl w:val="1"/>
          <w:numId w:val="5"/>
        </w:numPr>
        <w:spacing w:before="120" w:after="120"/>
        <w:jc w:val="both"/>
        <w:rPr>
          <w:rFonts w:asciiTheme="minorHAnsi" w:hAnsiTheme="minorHAnsi" w:cs="Arial"/>
          <w:bCs/>
          <w:snapToGrid w:val="0"/>
        </w:rPr>
      </w:pPr>
      <w:r w:rsidRPr="003506CF">
        <w:rPr>
          <w:rFonts w:asciiTheme="minorHAnsi" w:hAnsiTheme="minorHAnsi" w:cs="Arial"/>
          <w:bCs/>
          <w:snapToGrid w:val="0"/>
        </w:rPr>
        <w:t xml:space="preserve">The </w:t>
      </w:r>
      <w:r w:rsidR="00946D22" w:rsidRPr="003506CF">
        <w:rPr>
          <w:rFonts w:asciiTheme="minorHAnsi" w:hAnsiTheme="minorHAnsi" w:cs="Arial"/>
          <w:bCs/>
          <w:snapToGrid w:val="0"/>
        </w:rPr>
        <w:t xml:space="preserve">current minor resubmission estimated a net save to the PBS/RPBS with the listing of Entocort. </w:t>
      </w:r>
      <w:r w:rsidR="0081471E" w:rsidRPr="003506CF">
        <w:rPr>
          <w:rFonts w:asciiTheme="minorHAnsi" w:hAnsiTheme="minorHAnsi" w:cs="Arial"/>
          <w:bCs/>
          <w:snapToGrid w:val="0"/>
        </w:rPr>
        <w:t xml:space="preserve">The </w:t>
      </w:r>
      <w:r w:rsidRPr="003506CF">
        <w:rPr>
          <w:rFonts w:asciiTheme="minorHAnsi" w:hAnsiTheme="minorHAnsi" w:cs="Arial"/>
          <w:bCs/>
          <w:snapToGrid w:val="0"/>
        </w:rPr>
        <w:t xml:space="preserve">PBAC maintained that there were significant uncertainties in the financial estimates presented that may lessen or reverse the overall estimated cost savings, should there be a higher use of budesonide or lower levels of mesalazine substitution than predicted in the minor resubmission. </w:t>
      </w:r>
      <w:r w:rsidR="00946D22" w:rsidRPr="003506CF">
        <w:rPr>
          <w:rFonts w:asciiTheme="minorHAnsi" w:hAnsiTheme="minorHAnsi" w:cs="Arial"/>
          <w:bCs/>
          <w:snapToGrid w:val="0"/>
        </w:rPr>
        <w:t xml:space="preserve">Therefore, the PBAC </w:t>
      </w:r>
      <w:r w:rsidR="00522E1B" w:rsidRPr="003506CF">
        <w:rPr>
          <w:rFonts w:asciiTheme="minorHAnsi" w:hAnsiTheme="minorHAnsi" w:cs="Arial"/>
          <w:bCs/>
          <w:snapToGrid w:val="0"/>
        </w:rPr>
        <w:t xml:space="preserve">was of the </w:t>
      </w:r>
      <w:r w:rsidR="00522E1B" w:rsidRPr="003506CF">
        <w:rPr>
          <w:rFonts w:asciiTheme="minorHAnsi" w:hAnsiTheme="minorHAnsi" w:cs="Arial"/>
          <w:bCs/>
          <w:snapToGrid w:val="0"/>
        </w:rPr>
        <w:lastRenderedPageBreak/>
        <w:t xml:space="preserve">same view as in July </w:t>
      </w:r>
      <w:r w:rsidR="007D65F0" w:rsidRPr="003506CF">
        <w:rPr>
          <w:rFonts w:asciiTheme="minorHAnsi" w:hAnsiTheme="minorHAnsi" w:cs="Arial"/>
          <w:bCs/>
          <w:snapToGrid w:val="0"/>
        </w:rPr>
        <w:t>2018</w:t>
      </w:r>
      <w:r w:rsidR="00BC190D">
        <w:rPr>
          <w:rFonts w:asciiTheme="minorHAnsi" w:hAnsiTheme="minorHAnsi" w:cs="Arial"/>
          <w:bCs/>
          <w:snapToGrid w:val="0"/>
        </w:rPr>
        <w:t>,</w:t>
      </w:r>
      <w:r w:rsidR="007D65F0" w:rsidRPr="003506CF">
        <w:rPr>
          <w:rFonts w:asciiTheme="minorHAnsi" w:hAnsiTheme="minorHAnsi" w:cs="Arial"/>
          <w:bCs/>
          <w:snapToGrid w:val="0"/>
        </w:rPr>
        <w:t xml:space="preserve"> that</w:t>
      </w:r>
      <w:r w:rsidR="00946D22" w:rsidRPr="003506CF">
        <w:rPr>
          <w:rFonts w:asciiTheme="minorHAnsi" w:hAnsiTheme="minorHAnsi" w:cs="Arial"/>
          <w:bCs/>
          <w:snapToGrid w:val="0"/>
        </w:rPr>
        <w:t xml:space="preserve"> a risk sharing agreemen</w:t>
      </w:r>
      <w:r w:rsidR="0081471E" w:rsidRPr="003506CF">
        <w:rPr>
          <w:rFonts w:asciiTheme="minorHAnsi" w:hAnsiTheme="minorHAnsi" w:cs="Arial"/>
          <w:bCs/>
          <w:snapToGrid w:val="0"/>
        </w:rPr>
        <w:t xml:space="preserve">t </w:t>
      </w:r>
      <w:r w:rsidR="007576EF">
        <w:rPr>
          <w:rFonts w:asciiTheme="minorHAnsi" w:hAnsiTheme="minorHAnsi" w:cs="Arial"/>
          <w:bCs/>
          <w:snapToGrid w:val="0"/>
        </w:rPr>
        <w:t>is required to manage the</w:t>
      </w:r>
      <w:r w:rsidR="00BC190D">
        <w:rPr>
          <w:rFonts w:asciiTheme="minorHAnsi" w:hAnsiTheme="minorHAnsi" w:cs="Arial"/>
          <w:bCs/>
          <w:snapToGrid w:val="0"/>
        </w:rPr>
        <w:t>se</w:t>
      </w:r>
      <w:r w:rsidR="007576EF">
        <w:rPr>
          <w:rFonts w:asciiTheme="minorHAnsi" w:hAnsiTheme="minorHAnsi" w:cs="Arial"/>
          <w:bCs/>
          <w:snapToGrid w:val="0"/>
        </w:rPr>
        <w:t xml:space="preserve"> uncertainties</w:t>
      </w:r>
      <w:r w:rsidR="00BC190D">
        <w:rPr>
          <w:rFonts w:asciiTheme="minorHAnsi" w:hAnsiTheme="minorHAnsi" w:cs="Arial"/>
          <w:bCs/>
          <w:snapToGrid w:val="0"/>
        </w:rPr>
        <w:t>, set at the level of the projected financial estimates of budesonide</w:t>
      </w:r>
      <w:r w:rsidR="003E46D5" w:rsidRPr="003506CF">
        <w:rPr>
          <w:rFonts w:asciiTheme="minorHAnsi" w:hAnsiTheme="minorHAnsi" w:cs="Arial"/>
          <w:bCs/>
          <w:snapToGrid w:val="0"/>
        </w:rPr>
        <w:t>.</w:t>
      </w:r>
      <w:r w:rsidR="00946D22" w:rsidRPr="003506CF">
        <w:rPr>
          <w:rFonts w:asciiTheme="minorHAnsi" w:hAnsiTheme="minorHAnsi" w:cs="Arial"/>
          <w:bCs/>
          <w:snapToGrid w:val="0"/>
        </w:rPr>
        <w:t xml:space="preserve"> </w:t>
      </w:r>
    </w:p>
    <w:p w:rsidR="00557ACE" w:rsidRPr="007576EF" w:rsidRDefault="009068DF" w:rsidP="00DA10E6">
      <w:pPr>
        <w:widowControl w:val="0"/>
        <w:numPr>
          <w:ilvl w:val="1"/>
          <w:numId w:val="5"/>
        </w:numPr>
        <w:spacing w:before="120" w:after="120"/>
        <w:jc w:val="both"/>
        <w:rPr>
          <w:rFonts w:asciiTheme="minorHAnsi" w:eastAsiaTheme="minorHAnsi" w:hAnsiTheme="minorHAnsi" w:cstheme="minorBidi"/>
          <w:szCs w:val="22"/>
        </w:rPr>
      </w:pPr>
      <w:r w:rsidRPr="007C652F">
        <w:rPr>
          <w:rFonts w:asciiTheme="minorHAnsi" w:hAnsiTheme="minorHAnsi" w:cs="Arial"/>
          <w:bCs/>
          <w:snapToGrid w:val="0"/>
        </w:rPr>
        <w:t>The PBAC maintained its recommendation that budesonide be included as one of the prior sy</w:t>
      </w:r>
      <w:r w:rsidRPr="007576EF">
        <w:rPr>
          <w:rFonts w:asciiTheme="minorHAnsi" w:hAnsiTheme="minorHAnsi" w:cs="Arial"/>
          <w:bCs/>
          <w:snapToGrid w:val="0"/>
        </w:rPr>
        <w:t>stemic therapies that need to be failed prior to qualifying for subsidy of a biological medicine for severe CD. The PBAC noted that the flow-on restriction changes need to be developed for this including the appropriate dose and duration of treatment with budesonide.</w:t>
      </w:r>
      <w:r w:rsidR="00557ACE" w:rsidRPr="007576EF" w:rsidDel="009068DF">
        <w:rPr>
          <w:rFonts w:asciiTheme="minorHAnsi" w:hAnsiTheme="minorHAnsi" w:cs="Arial"/>
          <w:bCs/>
          <w:snapToGrid w:val="0"/>
        </w:rPr>
        <w:t xml:space="preserve"> </w:t>
      </w:r>
    </w:p>
    <w:p w:rsidR="009068DF" w:rsidRPr="007576EF" w:rsidRDefault="009068DF" w:rsidP="00DA10E6">
      <w:pPr>
        <w:widowControl w:val="0"/>
        <w:numPr>
          <w:ilvl w:val="1"/>
          <w:numId w:val="5"/>
        </w:numPr>
        <w:spacing w:before="120" w:after="120"/>
        <w:jc w:val="both"/>
        <w:rPr>
          <w:rFonts w:asciiTheme="minorHAnsi" w:eastAsiaTheme="minorHAnsi" w:hAnsiTheme="minorHAnsi" w:cstheme="minorBidi"/>
          <w:szCs w:val="22"/>
        </w:rPr>
      </w:pPr>
      <w:r w:rsidRPr="007576EF">
        <w:rPr>
          <w:rFonts w:asciiTheme="minorHAnsi" w:eastAsiaTheme="minorHAnsi" w:hAnsiTheme="minorHAnsi" w:cstheme="minorBidi"/>
          <w:szCs w:val="22"/>
        </w:rPr>
        <w:t>The PBAC</w:t>
      </w:r>
      <w:r w:rsidRPr="007C652F">
        <w:rPr>
          <w:rFonts w:asciiTheme="minorHAnsi" w:eastAsiaTheme="minorHAnsi" w:hAnsiTheme="minorHAnsi" w:cstheme="minorBidi"/>
          <w:szCs w:val="22"/>
        </w:rPr>
        <w:t xml:space="preserve"> advised the Minister that it considered under Section 101 (4AACD) of the </w:t>
      </w:r>
      <w:r w:rsidRPr="007576EF">
        <w:rPr>
          <w:rFonts w:asciiTheme="minorHAnsi" w:eastAsiaTheme="minorHAnsi" w:hAnsiTheme="minorHAnsi" w:cstheme="minorBidi"/>
          <w:i/>
          <w:szCs w:val="22"/>
        </w:rPr>
        <w:t>National Health Act</w:t>
      </w:r>
      <w:r w:rsidRPr="007576EF">
        <w:rPr>
          <w:rFonts w:asciiTheme="minorHAnsi" w:eastAsiaTheme="minorHAnsi" w:hAnsiTheme="minorHAnsi" w:cstheme="minorBidi"/>
          <w:szCs w:val="22"/>
        </w:rPr>
        <w:t xml:space="preserve">, that Budenofalk and Entocort brands of budesonide could be considered equivalent for the purposes of substitution by the pharmacist at the point of dispensing (i.e. ‘a’ flagged in the Schedule), as the active ingredient is designed to work locally in the small intestine and colon so the formulation differences are not expected to result in differences in outcomes. </w:t>
      </w:r>
    </w:p>
    <w:p w:rsidR="009068DF" w:rsidRPr="007576EF" w:rsidRDefault="009068DF" w:rsidP="00DA10E6">
      <w:pPr>
        <w:widowControl w:val="0"/>
        <w:numPr>
          <w:ilvl w:val="1"/>
          <w:numId w:val="5"/>
        </w:numPr>
        <w:spacing w:before="120" w:after="120"/>
        <w:jc w:val="both"/>
        <w:rPr>
          <w:rFonts w:asciiTheme="minorHAnsi" w:hAnsiTheme="minorHAnsi" w:cs="Arial"/>
          <w:bCs/>
          <w:snapToGrid w:val="0"/>
        </w:rPr>
      </w:pPr>
      <w:r w:rsidRPr="007576EF">
        <w:rPr>
          <w:rFonts w:asciiTheme="minorHAnsi" w:hAnsiTheme="minorHAnsi" w:cs="Arial"/>
          <w:bCs/>
          <w:snapToGrid w:val="0"/>
        </w:rPr>
        <w:t>The PBAC maintained its advice that budesonide is suitable for prescribing by nurse practitioners.</w:t>
      </w:r>
    </w:p>
    <w:p w:rsidR="009068DF" w:rsidRPr="007C652F" w:rsidRDefault="009068DF" w:rsidP="00DA10E6">
      <w:pPr>
        <w:widowControl w:val="0"/>
        <w:numPr>
          <w:ilvl w:val="1"/>
          <w:numId w:val="5"/>
        </w:numPr>
        <w:spacing w:before="120" w:after="120"/>
        <w:jc w:val="both"/>
        <w:rPr>
          <w:rFonts w:asciiTheme="minorHAnsi" w:hAnsiTheme="minorHAnsi" w:cs="Arial"/>
          <w:bCs/>
          <w:snapToGrid w:val="0"/>
        </w:rPr>
      </w:pPr>
      <w:r w:rsidRPr="007C652F">
        <w:rPr>
          <w:rFonts w:asciiTheme="minorHAnsi" w:hAnsiTheme="minorHAnsi" w:cs="Arial"/>
          <w:bCs/>
          <w:snapToGrid w:val="0"/>
        </w:rPr>
        <w:t>The PBAC maintained its recommendation that the Early Supply Rule should not apply.</w:t>
      </w:r>
    </w:p>
    <w:p w:rsidR="009068DF" w:rsidRPr="007C652F" w:rsidRDefault="009068DF" w:rsidP="00DA10E6">
      <w:pPr>
        <w:widowControl w:val="0"/>
        <w:numPr>
          <w:ilvl w:val="1"/>
          <w:numId w:val="5"/>
        </w:numPr>
        <w:spacing w:before="120" w:after="120"/>
        <w:jc w:val="both"/>
        <w:rPr>
          <w:rFonts w:asciiTheme="minorHAnsi" w:hAnsiTheme="minorHAnsi" w:cs="Arial"/>
          <w:bCs/>
          <w:snapToGrid w:val="0"/>
        </w:rPr>
      </w:pPr>
      <w:r w:rsidRPr="007C652F">
        <w:rPr>
          <w:rFonts w:asciiTheme="minorHAnsi" w:hAnsiTheme="minorHAnsi" w:cs="Arial"/>
          <w:bCs/>
          <w:snapToGrid w:val="0"/>
        </w:rPr>
        <w:t xml:space="preserve">The submission is not eligible for an Independent Review, because the PBAC has made a positive recommendation. </w:t>
      </w:r>
    </w:p>
    <w:p w:rsidR="00640E09" w:rsidRPr="003506CF" w:rsidRDefault="00640E09" w:rsidP="00DA10E6">
      <w:pPr>
        <w:spacing w:before="120" w:after="120"/>
        <w:jc w:val="both"/>
        <w:rPr>
          <w:rFonts w:asciiTheme="minorHAnsi" w:hAnsiTheme="minorHAnsi" w:cs="Arial"/>
          <w:b/>
          <w:bCs/>
          <w:snapToGrid w:val="0"/>
        </w:rPr>
      </w:pPr>
      <w:r w:rsidRPr="003506CF">
        <w:rPr>
          <w:rFonts w:asciiTheme="minorHAnsi" w:hAnsiTheme="minorHAnsi" w:cs="Arial"/>
          <w:b/>
          <w:bCs/>
          <w:snapToGrid w:val="0"/>
        </w:rPr>
        <w:t>Outcome:</w:t>
      </w:r>
      <w:r w:rsidR="003C2F47" w:rsidRPr="007C652F">
        <w:rPr>
          <w:rFonts w:asciiTheme="minorHAnsi" w:hAnsiTheme="minorHAnsi"/>
        </w:rPr>
        <w:t xml:space="preserve"> </w:t>
      </w:r>
    </w:p>
    <w:p w:rsidR="00640E09" w:rsidRPr="003506CF" w:rsidRDefault="00640E09" w:rsidP="00DA10E6">
      <w:pPr>
        <w:spacing w:before="120" w:after="120"/>
        <w:jc w:val="both"/>
        <w:rPr>
          <w:rFonts w:asciiTheme="minorHAnsi" w:hAnsiTheme="minorHAnsi" w:cs="Arial"/>
          <w:bCs/>
          <w:snapToGrid w:val="0"/>
        </w:rPr>
      </w:pPr>
      <w:r w:rsidRPr="003506CF">
        <w:rPr>
          <w:rFonts w:asciiTheme="minorHAnsi" w:hAnsiTheme="minorHAnsi" w:cs="Arial"/>
          <w:bCs/>
          <w:snapToGrid w:val="0"/>
        </w:rPr>
        <w:t>Recommended</w:t>
      </w:r>
    </w:p>
    <w:p w:rsidR="00640E09" w:rsidRPr="003506CF" w:rsidRDefault="00640E09" w:rsidP="00AE2D1F">
      <w:pPr>
        <w:widowControl w:val="0"/>
        <w:numPr>
          <w:ilvl w:val="0"/>
          <w:numId w:val="5"/>
        </w:numPr>
        <w:spacing w:before="240" w:after="120"/>
        <w:ind w:left="720"/>
        <w:jc w:val="both"/>
        <w:outlineLvl w:val="0"/>
        <w:rPr>
          <w:rFonts w:asciiTheme="minorHAnsi" w:hAnsiTheme="minorHAnsi" w:cs="Arial"/>
          <w:b/>
          <w:bCs/>
          <w:i/>
          <w:snapToGrid w:val="0"/>
          <w:sz w:val="32"/>
        </w:rPr>
      </w:pPr>
      <w:r w:rsidRPr="003506CF">
        <w:rPr>
          <w:rFonts w:asciiTheme="minorHAnsi" w:hAnsiTheme="minorHAnsi" w:cs="Arial"/>
          <w:b/>
          <w:bCs/>
          <w:snapToGrid w:val="0"/>
          <w:sz w:val="32"/>
        </w:rPr>
        <w:t>Recommended listing</w:t>
      </w:r>
    </w:p>
    <w:p w:rsidR="00FE05C6" w:rsidRPr="0027427A" w:rsidRDefault="00815BD7" w:rsidP="00FE05C6">
      <w:pPr>
        <w:widowControl w:val="0"/>
        <w:numPr>
          <w:ilvl w:val="1"/>
          <w:numId w:val="5"/>
        </w:numPr>
        <w:spacing w:after="120"/>
        <w:jc w:val="both"/>
        <w:rPr>
          <w:rFonts w:asciiTheme="minorHAnsi" w:hAnsiTheme="minorHAnsi" w:cs="Arial"/>
          <w:b/>
          <w:bCs/>
          <w:snapToGrid w:val="0"/>
        </w:rPr>
      </w:pPr>
      <w:r w:rsidRPr="007C652F">
        <w:rPr>
          <w:rFonts w:asciiTheme="minorHAnsi" w:hAnsiTheme="minorHAnsi" w:cs="Arial"/>
          <w:bCs/>
          <w:snapToGrid w:val="0"/>
        </w:rPr>
        <w:t xml:space="preserve">Add new item: </w:t>
      </w:r>
    </w:p>
    <w:tbl>
      <w:tblPr>
        <w:tblW w:w="4911" w:type="pct"/>
        <w:tblLook w:val="0000" w:firstRow="0" w:lastRow="0" w:firstColumn="0" w:lastColumn="0" w:noHBand="0" w:noVBand="0"/>
      </w:tblPr>
      <w:tblGrid>
        <w:gridCol w:w="1901"/>
        <w:gridCol w:w="1334"/>
        <w:gridCol w:w="716"/>
        <w:gridCol w:w="865"/>
        <w:gridCol w:w="948"/>
        <w:gridCol w:w="3101"/>
      </w:tblGrid>
      <w:tr w:rsidR="00FC1546" w:rsidRPr="007C652F" w:rsidTr="00B241C4">
        <w:trPr>
          <w:cantSplit/>
          <w:trHeight w:val="465"/>
        </w:trPr>
        <w:tc>
          <w:tcPr>
            <w:tcW w:w="1830" w:type="pct"/>
            <w:gridSpan w:val="2"/>
            <w:tcBorders>
              <w:bottom w:val="single" w:sz="4" w:space="0" w:color="auto"/>
            </w:tcBorders>
          </w:tcPr>
          <w:p w:rsidR="00FC1546" w:rsidRPr="007576EF" w:rsidRDefault="00FC1546" w:rsidP="00B241C4">
            <w:pPr>
              <w:keepNext/>
              <w:spacing w:before="40" w:after="40"/>
              <w:jc w:val="both"/>
              <w:rPr>
                <w:rFonts w:ascii="Arial Narrow" w:hAnsi="Arial Narrow" w:cs="Arial"/>
                <w:b/>
                <w:sz w:val="20"/>
                <w:szCs w:val="20"/>
              </w:rPr>
            </w:pPr>
            <w:r w:rsidRPr="007576EF">
              <w:rPr>
                <w:rFonts w:ascii="Arial Narrow" w:hAnsi="Arial Narrow" w:cs="Arial"/>
                <w:b/>
                <w:sz w:val="20"/>
                <w:szCs w:val="20"/>
              </w:rPr>
              <w:lastRenderedPageBreak/>
              <w:t>Name, Restriction,</w:t>
            </w:r>
          </w:p>
          <w:p w:rsidR="00FC1546" w:rsidRPr="007576EF" w:rsidRDefault="00FC1546" w:rsidP="00B241C4">
            <w:pPr>
              <w:keepNext/>
              <w:spacing w:before="40" w:after="40"/>
              <w:jc w:val="both"/>
              <w:rPr>
                <w:rFonts w:ascii="Arial Narrow" w:hAnsi="Arial Narrow" w:cs="Arial"/>
                <w:b/>
                <w:sz w:val="20"/>
                <w:szCs w:val="20"/>
              </w:rPr>
            </w:pPr>
            <w:r w:rsidRPr="007576EF">
              <w:rPr>
                <w:rFonts w:ascii="Arial Narrow" w:hAnsi="Arial Narrow" w:cs="Arial"/>
                <w:b/>
                <w:sz w:val="20"/>
                <w:szCs w:val="20"/>
              </w:rPr>
              <w:t>Manner of administration and form</w:t>
            </w:r>
          </w:p>
        </w:tc>
        <w:tc>
          <w:tcPr>
            <w:tcW w:w="406" w:type="pct"/>
            <w:tcBorders>
              <w:bottom w:val="single" w:sz="4" w:space="0" w:color="auto"/>
            </w:tcBorders>
          </w:tcPr>
          <w:p w:rsidR="00FC1546" w:rsidRPr="007576EF" w:rsidRDefault="00FC1546" w:rsidP="00B241C4">
            <w:pPr>
              <w:keepNext/>
              <w:spacing w:before="40" w:after="40"/>
              <w:jc w:val="both"/>
              <w:rPr>
                <w:rFonts w:ascii="Arial Narrow" w:hAnsi="Arial Narrow" w:cs="Arial"/>
                <w:b/>
                <w:sz w:val="20"/>
                <w:szCs w:val="20"/>
              </w:rPr>
            </w:pPr>
            <w:r w:rsidRPr="007576EF">
              <w:rPr>
                <w:rFonts w:ascii="Arial Narrow" w:hAnsi="Arial Narrow" w:cs="Arial"/>
                <w:b/>
                <w:sz w:val="20"/>
                <w:szCs w:val="20"/>
              </w:rPr>
              <w:t>Max.</w:t>
            </w:r>
          </w:p>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Qty</w:t>
            </w:r>
          </w:p>
        </w:tc>
        <w:tc>
          <w:tcPr>
            <w:tcW w:w="490" w:type="pct"/>
            <w:tcBorders>
              <w:bottom w:val="single" w:sz="4" w:space="0" w:color="auto"/>
            </w:tcBorders>
          </w:tcPr>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№.of</w:t>
            </w:r>
          </w:p>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Rpts</w:t>
            </w:r>
          </w:p>
        </w:tc>
        <w:tc>
          <w:tcPr>
            <w:tcW w:w="2274" w:type="pct"/>
            <w:gridSpan w:val="2"/>
            <w:tcBorders>
              <w:bottom w:val="single" w:sz="4" w:space="0" w:color="auto"/>
            </w:tcBorders>
          </w:tcPr>
          <w:p w:rsidR="00FC1546" w:rsidRPr="003506C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Proprietary Name and Manufacturer</w:t>
            </w:r>
          </w:p>
        </w:tc>
      </w:tr>
      <w:tr w:rsidR="00FC1546" w:rsidRPr="007C652F" w:rsidTr="00B241C4">
        <w:trPr>
          <w:cantSplit/>
          <w:trHeight w:val="567"/>
        </w:trPr>
        <w:tc>
          <w:tcPr>
            <w:tcW w:w="1830" w:type="pct"/>
            <w:gridSpan w:val="2"/>
          </w:tcPr>
          <w:p w:rsidR="00FC1546" w:rsidRPr="007C652F" w:rsidRDefault="00FC1546" w:rsidP="00B241C4">
            <w:pPr>
              <w:keepNext/>
              <w:spacing w:before="40" w:after="40"/>
              <w:jc w:val="both"/>
              <w:rPr>
                <w:rFonts w:ascii="Arial Narrow" w:hAnsi="Arial Narrow" w:cs="Arial"/>
                <w:sz w:val="20"/>
                <w:szCs w:val="20"/>
              </w:rPr>
            </w:pPr>
            <w:r w:rsidRPr="007C652F">
              <w:rPr>
                <w:rFonts w:ascii="Arial Narrow" w:hAnsi="Arial Narrow" w:cs="Arial"/>
                <w:smallCaps/>
                <w:sz w:val="20"/>
                <w:szCs w:val="20"/>
              </w:rPr>
              <w:t>BUDESONIDE</w:t>
            </w:r>
          </w:p>
          <w:p w:rsidR="00FC1546" w:rsidRPr="007C652F" w:rsidRDefault="00FC1546" w:rsidP="00B241C4">
            <w:pPr>
              <w:keepNext/>
              <w:spacing w:before="40" w:after="40"/>
              <w:jc w:val="both"/>
              <w:rPr>
                <w:rFonts w:ascii="Arial Narrow" w:hAnsi="Arial Narrow" w:cs="Arial"/>
                <w:sz w:val="20"/>
                <w:szCs w:val="20"/>
              </w:rPr>
            </w:pPr>
            <w:r w:rsidRPr="007C652F">
              <w:rPr>
                <w:rFonts w:ascii="Arial Narrow" w:hAnsi="Arial Narrow" w:cs="Arial"/>
                <w:sz w:val="20"/>
                <w:szCs w:val="20"/>
              </w:rPr>
              <w:t>Oral, 3 mg modified release capsule</w:t>
            </w:r>
          </w:p>
        </w:tc>
        <w:tc>
          <w:tcPr>
            <w:tcW w:w="406" w:type="pct"/>
          </w:tcPr>
          <w:p w:rsidR="00FC1546" w:rsidRPr="007C652F" w:rsidRDefault="00FC1546" w:rsidP="00B241C4">
            <w:pPr>
              <w:keepNext/>
              <w:spacing w:before="40" w:after="40"/>
              <w:jc w:val="both"/>
              <w:rPr>
                <w:rFonts w:ascii="Arial Narrow" w:hAnsi="Arial Narrow" w:cs="Arial"/>
                <w:sz w:val="20"/>
                <w:szCs w:val="20"/>
              </w:rPr>
            </w:pPr>
          </w:p>
          <w:p w:rsidR="00FC1546" w:rsidRPr="007C652F" w:rsidRDefault="00FC1546" w:rsidP="00B241C4">
            <w:pPr>
              <w:keepNext/>
              <w:spacing w:before="40" w:after="40"/>
              <w:jc w:val="both"/>
              <w:rPr>
                <w:rFonts w:ascii="Arial Narrow" w:hAnsi="Arial Narrow" w:cs="Arial"/>
                <w:sz w:val="20"/>
                <w:szCs w:val="20"/>
              </w:rPr>
            </w:pPr>
            <w:r w:rsidRPr="007C652F">
              <w:rPr>
                <w:rFonts w:ascii="Arial Narrow" w:hAnsi="Arial Narrow" w:cs="Arial"/>
                <w:sz w:val="20"/>
                <w:szCs w:val="20"/>
              </w:rPr>
              <w:t>90</w:t>
            </w:r>
          </w:p>
        </w:tc>
        <w:tc>
          <w:tcPr>
            <w:tcW w:w="490" w:type="pct"/>
          </w:tcPr>
          <w:p w:rsidR="00FC1546" w:rsidRPr="007C652F" w:rsidRDefault="00FC1546" w:rsidP="00B241C4">
            <w:pPr>
              <w:keepNext/>
              <w:spacing w:before="40" w:after="40"/>
              <w:jc w:val="both"/>
              <w:rPr>
                <w:rFonts w:ascii="Arial Narrow" w:hAnsi="Arial Narrow" w:cs="Arial"/>
                <w:sz w:val="20"/>
                <w:szCs w:val="20"/>
              </w:rPr>
            </w:pPr>
          </w:p>
          <w:p w:rsidR="00FC1546" w:rsidRPr="007C652F" w:rsidRDefault="00FC1546" w:rsidP="00B241C4">
            <w:pPr>
              <w:keepNext/>
              <w:spacing w:before="40" w:after="40"/>
              <w:jc w:val="both"/>
              <w:rPr>
                <w:rFonts w:ascii="Arial Narrow" w:hAnsi="Arial Narrow" w:cs="Arial"/>
                <w:sz w:val="20"/>
                <w:szCs w:val="20"/>
              </w:rPr>
            </w:pPr>
            <w:r w:rsidRPr="007C652F">
              <w:rPr>
                <w:rFonts w:ascii="Arial Narrow" w:hAnsi="Arial Narrow" w:cs="Arial"/>
                <w:sz w:val="20"/>
                <w:szCs w:val="20"/>
              </w:rPr>
              <w:t>2</w:t>
            </w:r>
          </w:p>
        </w:tc>
        <w:tc>
          <w:tcPr>
            <w:tcW w:w="523" w:type="pct"/>
          </w:tcPr>
          <w:p w:rsidR="00FC1546" w:rsidRPr="007C652F" w:rsidRDefault="00FC1546" w:rsidP="00B241C4">
            <w:pPr>
              <w:keepNext/>
              <w:spacing w:before="40" w:after="40"/>
              <w:jc w:val="both"/>
              <w:rPr>
                <w:rFonts w:ascii="Arial Narrow" w:hAnsi="Arial Narrow" w:cs="Arial"/>
                <w:sz w:val="20"/>
                <w:szCs w:val="20"/>
              </w:rPr>
            </w:pPr>
          </w:p>
          <w:p w:rsidR="00FC1546" w:rsidRPr="007C652F" w:rsidRDefault="00FC1546" w:rsidP="00B241C4">
            <w:pPr>
              <w:keepNext/>
              <w:spacing w:before="40" w:after="40"/>
              <w:jc w:val="both"/>
              <w:rPr>
                <w:rFonts w:ascii="Arial Narrow" w:hAnsi="Arial Narrow" w:cs="Arial"/>
                <w:sz w:val="20"/>
                <w:szCs w:val="20"/>
              </w:rPr>
            </w:pPr>
            <w:r w:rsidRPr="007C652F">
              <w:rPr>
                <w:rFonts w:ascii="Arial Narrow" w:hAnsi="Arial Narrow" w:cs="Arial"/>
                <w:sz w:val="20"/>
                <w:szCs w:val="20"/>
              </w:rPr>
              <w:t>Entocort®</w:t>
            </w:r>
          </w:p>
        </w:tc>
        <w:tc>
          <w:tcPr>
            <w:tcW w:w="1751" w:type="pct"/>
          </w:tcPr>
          <w:p w:rsidR="00FC1546" w:rsidRPr="007C652F" w:rsidRDefault="00FC1546" w:rsidP="00B241C4">
            <w:pPr>
              <w:keepNext/>
              <w:spacing w:before="40" w:after="40"/>
              <w:jc w:val="both"/>
              <w:rPr>
                <w:rFonts w:ascii="Arial Narrow" w:hAnsi="Arial Narrow" w:cs="Arial"/>
                <w:sz w:val="20"/>
                <w:szCs w:val="20"/>
              </w:rPr>
            </w:pPr>
          </w:p>
          <w:p w:rsidR="00FC1546" w:rsidRPr="007C652F" w:rsidRDefault="00FC1546" w:rsidP="00B241C4">
            <w:pPr>
              <w:keepNext/>
              <w:spacing w:before="40" w:after="40"/>
              <w:jc w:val="both"/>
              <w:rPr>
                <w:rFonts w:ascii="Arial Narrow" w:hAnsi="Arial Narrow" w:cs="Arial"/>
                <w:sz w:val="20"/>
                <w:szCs w:val="20"/>
              </w:rPr>
            </w:pPr>
            <w:r w:rsidRPr="007C652F">
              <w:rPr>
                <w:rFonts w:ascii="Arial Narrow" w:hAnsi="Arial Narrow" w:cs="Arial"/>
                <w:sz w:val="20"/>
                <w:szCs w:val="20"/>
              </w:rPr>
              <w:t>Emerge Health</w:t>
            </w:r>
          </w:p>
        </w:tc>
      </w:tr>
      <w:tr w:rsidR="00FC1546" w:rsidRPr="007C652F" w:rsidTr="00B241C4">
        <w:trPr>
          <w:cantSplit/>
          <w:trHeight w:val="360"/>
        </w:trPr>
        <w:tc>
          <w:tcPr>
            <w:tcW w:w="5000" w:type="pct"/>
            <w:gridSpan w:val="6"/>
            <w:tcBorders>
              <w:bottom w:val="single" w:sz="4" w:space="0" w:color="auto"/>
            </w:tcBorders>
          </w:tcPr>
          <w:p w:rsidR="00FC1546" w:rsidRPr="007C652F" w:rsidRDefault="00FC1546" w:rsidP="00B241C4">
            <w:pPr>
              <w:keepNext/>
              <w:spacing w:before="40" w:after="40"/>
              <w:jc w:val="both"/>
              <w:rPr>
                <w:rFonts w:ascii="Arial Narrow" w:hAnsi="Arial Narrow" w:cs="Arial"/>
                <w:sz w:val="20"/>
                <w:szCs w:val="20"/>
              </w:rPr>
            </w:pPr>
          </w:p>
        </w:tc>
      </w:tr>
      <w:tr w:rsidR="00FC1546" w:rsidRPr="007C652F" w:rsidTr="00B241C4">
        <w:trPr>
          <w:cantSplit/>
          <w:trHeight w:val="360"/>
        </w:trPr>
        <w:tc>
          <w:tcPr>
            <w:tcW w:w="1075" w:type="pct"/>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 xml:space="preserve">Category / </w:t>
            </w:r>
          </w:p>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Program</w:t>
            </w:r>
          </w:p>
        </w:tc>
        <w:tc>
          <w:tcPr>
            <w:tcW w:w="3925" w:type="pct"/>
            <w:gridSpan w:val="5"/>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rPr>
                <w:rFonts w:ascii="Arial Narrow" w:hAnsi="Arial Narrow" w:cs="Arial"/>
                <w:sz w:val="20"/>
                <w:szCs w:val="20"/>
              </w:rPr>
            </w:pPr>
            <w:r w:rsidRPr="007C652F">
              <w:rPr>
                <w:rFonts w:ascii="Arial Narrow" w:hAnsi="Arial Narrow" w:cs="Arial"/>
                <w:sz w:val="20"/>
                <w:szCs w:val="20"/>
              </w:rPr>
              <w:t>Section 85 (general schedule)</w:t>
            </w:r>
          </w:p>
        </w:tc>
      </w:tr>
      <w:tr w:rsidR="00FC1546" w:rsidRPr="007C652F" w:rsidTr="00B241C4">
        <w:trPr>
          <w:cantSplit/>
          <w:trHeight w:val="360"/>
        </w:trPr>
        <w:tc>
          <w:tcPr>
            <w:tcW w:w="1075" w:type="pct"/>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Prescriber type:</w:t>
            </w:r>
          </w:p>
        </w:tc>
        <w:tc>
          <w:tcPr>
            <w:tcW w:w="3925" w:type="pct"/>
            <w:gridSpan w:val="5"/>
            <w:tcBorders>
              <w:top w:val="single" w:sz="4" w:space="0" w:color="auto"/>
              <w:left w:val="single" w:sz="4" w:space="0" w:color="auto"/>
              <w:bottom w:val="single" w:sz="4" w:space="0" w:color="auto"/>
              <w:right w:val="single" w:sz="4" w:space="0" w:color="auto"/>
            </w:tcBorders>
            <w:vAlign w:val="center"/>
          </w:tcPr>
          <w:p w:rsidR="00FC1546" w:rsidRPr="007C652F" w:rsidRDefault="00FC1546" w:rsidP="00B241C4">
            <w:pPr>
              <w:keepNext/>
              <w:rPr>
                <w:rFonts w:ascii="Arial Narrow" w:hAnsi="Arial Narrow" w:cs="Arial"/>
                <w:sz w:val="20"/>
              </w:rPr>
            </w:pPr>
            <w:r w:rsidRPr="003506CF">
              <w:rPr>
                <w:rFonts w:ascii="Arial Narrow" w:hAnsi="Arial Narrow" w:cs="Arial"/>
                <w:sz w:val="20"/>
              </w:rPr>
              <w:fldChar w:fldCharType="begin">
                <w:ffData>
                  <w:name w:val="Check5"/>
                  <w:enabled/>
                  <w:calcOnExit w:val="0"/>
                  <w:checkBox>
                    <w:sizeAuto/>
                    <w:default w:val="0"/>
                  </w:checkBox>
                </w:ffData>
              </w:fldChar>
            </w:r>
            <w:r w:rsidRPr="007C652F">
              <w:rPr>
                <w:rFonts w:ascii="Arial Narrow" w:hAnsi="Arial Narrow" w:cs="Arial"/>
                <w:sz w:val="20"/>
              </w:rPr>
              <w:instrText xml:space="preserve"> FORMCHECKBOX </w:instrText>
            </w:r>
            <w:r w:rsidR="00B05064">
              <w:rPr>
                <w:rFonts w:ascii="Arial Narrow" w:hAnsi="Arial Narrow" w:cs="Arial"/>
                <w:sz w:val="20"/>
              </w:rPr>
            </w:r>
            <w:r w:rsidR="00B05064">
              <w:rPr>
                <w:rFonts w:ascii="Arial Narrow" w:hAnsi="Arial Narrow" w:cs="Arial"/>
                <w:sz w:val="20"/>
              </w:rPr>
              <w:fldChar w:fldCharType="separate"/>
            </w:r>
            <w:r w:rsidRPr="003506CF">
              <w:rPr>
                <w:rFonts w:ascii="Arial Narrow" w:hAnsi="Arial Narrow" w:cs="Arial"/>
                <w:sz w:val="20"/>
              </w:rPr>
              <w:fldChar w:fldCharType="end"/>
            </w:r>
            <w:r w:rsidRPr="007C652F">
              <w:rPr>
                <w:rFonts w:ascii="Arial Narrow" w:hAnsi="Arial Narrow" w:cs="Arial"/>
                <w:sz w:val="20"/>
              </w:rPr>
              <w:t xml:space="preserve">Dental  </w:t>
            </w:r>
            <w:r w:rsidRPr="003506CF">
              <w:rPr>
                <w:rFonts w:ascii="Arial Narrow" w:hAnsi="Arial Narrow" w:cs="Arial"/>
                <w:sz w:val="20"/>
              </w:rPr>
              <w:fldChar w:fldCharType="begin">
                <w:ffData>
                  <w:name w:val=""/>
                  <w:enabled/>
                  <w:calcOnExit w:val="0"/>
                  <w:checkBox>
                    <w:sizeAuto/>
                    <w:default w:val="1"/>
                  </w:checkBox>
                </w:ffData>
              </w:fldChar>
            </w:r>
            <w:r w:rsidRPr="007C652F">
              <w:rPr>
                <w:rFonts w:ascii="Arial Narrow" w:hAnsi="Arial Narrow" w:cs="Arial"/>
                <w:sz w:val="20"/>
              </w:rPr>
              <w:instrText xml:space="preserve"> FORMCHECKBOX </w:instrText>
            </w:r>
            <w:r w:rsidR="00B05064">
              <w:rPr>
                <w:rFonts w:ascii="Arial Narrow" w:hAnsi="Arial Narrow" w:cs="Arial"/>
                <w:sz w:val="20"/>
              </w:rPr>
            </w:r>
            <w:r w:rsidR="00B05064">
              <w:rPr>
                <w:rFonts w:ascii="Arial Narrow" w:hAnsi="Arial Narrow" w:cs="Arial"/>
                <w:sz w:val="20"/>
              </w:rPr>
              <w:fldChar w:fldCharType="separate"/>
            </w:r>
            <w:r w:rsidRPr="003506CF">
              <w:rPr>
                <w:rFonts w:ascii="Arial Narrow" w:hAnsi="Arial Narrow" w:cs="Arial"/>
                <w:sz w:val="20"/>
              </w:rPr>
              <w:fldChar w:fldCharType="end"/>
            </w:r>
            <w:r w:rsidRPr="007C652F">
              <w:rPr>
                <w:rFonts w:ascii="Arial Narrow" w:hAnsi="Arial Narrow" w:cs="Arial"/>
                <w:sz w:val="20"/>
              </w:rPr>
              <w:t xml:space="preserve">Medical Practitioners </w:t>
            </w:r>
            <w:r w:rsidRPr="003506CF">
              <w:rPr>
                <w:rFonts w:ascii="Arial Narrow" w:hAnsi="Arial Narrow" w:cs="Arial"/>
                <w:sz w:val="20"/>
              </w:rPr>
              <w:fldChar w:fldCharType="begin">
                <w:ffData>
                  <w:name w:val=""/>
                  <w:enabled/>
                  <w:calcOnExit w:val="0"/>
                  <w:checkBox>
                    <w:sizeAuto/>
                    <w:default w:val="1"/>
                  </w:checkBox>
                </w:ffData>
              </w:fldChar>
            </w:r>
            <w:r w:rsidRPr="007C652F">
              <w:rPr>
                <w:rFonts w:ascii="Arial Narrow" w:hAnsi="Arial Narrow" w:cs="Arial"/>
                <w:sz w:val="20"/>
              </w:rPr>
              <w:instrText xml:space="preserve"> FORMCHECKBOX </w:instrText>
            </w:r>
            <w:r w:rsidR="00B05064">
              <w:rPr>
                <w:rFonts w:ascii="Arial Narrow" w:hAnsi="Arial Narrow" w:cs="Arial"/>
                <w:sz w:val="20"/>
              </w:rPr>
            </w:r>
            <w:r w:rsidR="00B05064">
              <w:rPr>
                <w:rFonts w:ascii="Arial Narrow" w:hAnsi="Arial Narrow" w:cs="Arial"/>
                <w:sz w:val="20"/>
              </w:rPr>
              <w:fldChar w:fldCharType="separate"/>
            </w:r>
            <w:r w:rsidRPr="003506CF">
              <w:rPr>
                <w:rFonts w:ascii="Arial Narrow" w:hAnsi="Arial Narrow" w:cs="Arial"/>
                <w:sz w:val="20"/>
              </w:rPr>
              <w:fldChar w:fldCharType="end"/>
            </w:r>
            <w:r w:rsidRPr="007C652F">
              <w:rPr>
                <w:rFonts w:ascii="Arial Narrow" w:hAnsi="Arial Narrow" w:cs="Arial"/>
                <w:sz w:val="20"/>
              </w:rPr>
              <w:t xml:space="preserve">Nurse practitioners  </w:t>
            </w:r>
            <w:r w:rsidRPr="003506CF">
              <w:rPr>
                <w:rFonts w:ascii="Arial Narrow" w:hAnsi="Arial Narrow" w:cs="Arial"/>
                <w:sz w:val="20"/>
              </w:rPr>
              <w:fldChar w:fldCharType="begin">
                <w:ffData>
                  <w:name w:val=""/>
                  <w:enabled/>
                  <w:calcOnExit w:val="0"/>
                  <w:checkBox>
                    <w:sizeAuto/>
                    <w:default w:val="0"/>
                  </w:checkBox>
                </w:ffData>
              </w:fldChar>
            </w:r>
            <w:r w:rsidRPr="007C652F">
              <w:rPr>
                <w:rFonts w:ascii="Arial Narrow" w:hAnsi="Arial Narrow" w:cs="Arial"/>
                <w:sz w:val="20"/>
              </w:rPr>
              <w:instrText xml:space="preserve"> FORMCHECKBOX </w:instrText>
            </w:r>
            <w:r w:rsidR="00B05064">
              <w:rPr>
                <w:rFonts w:ascii="Arial Narrow" w:hAnsi="Arial Narrow" w:cs="Arial"/>
                <w:sz w:val="20"/>
              </w:rPr>
            </w:r>
            <w:r w:rsidR="00B05064">
              <w:rPr>
                <w:rFonts w:ascii="Arial Narrow" w:hAnsi="Arial Narrow" w:cs="Arial"/>
                <w:sz w:val="20"/>
              </w:rPr>
              <w:fldChar w:fldCharType="separate"/>
            </w:r>
            <w:r w:rsidRPr="003506CF">
              <w:rPr>
                <w:rFonts w:ascii="Arial Narrow" w:hAnsi="Arial Narrow" w:cs="Arial"/>
                <w:sz w:val="20"/>
              </w:rPr>
              <w:fldChar w:fldCharType="end"/>
            </w:r>
            <w:r w:rsidRPr="007C652F">
              <w:rPr>
                <w:rFonts w:ascii="Arial Narrow" w:hAnsi="Arial Narrow" w:cs="Arial"/>
                <w:sz w:val="20"/>
              </w:rPr>
              <w:t>Optometrists</w:t>
            </w:r>
          </w:p>
          <w:p w:rsidR="00FC1546" w:rsidRPr="007C652F" w:rsidRDefault="00FC1546" w:rsidP="00B241C4">
            <w:pPr>
              <w:keepNext/>
              <w:spacing w:before="40" w:after="40"/>
              <w:rPr>
                <w:rFonts w:ascii="Arial Narrow" w:hAnsi="Arial Narrow" w:cs="Arial"/>
                <w:sz w:val="20"/>
                <w:szCs w:val="20"/>
              </w:rPr>
            </w:pPr>
            <w:r w:rsidRPr="003506CF">
              <w:rPr>
                <w:rFonts w:ascii="Arial Narrow" w:hAnsi="Arial Narrow" w:cs="Arial"/>
                <w:sz w:val="20"/>
              </w:rPr>
              <w:fldChar w:fldCharType="begin">
                <w:ffData>
                  <w:name w:val="Check5"/>
                  <w:enabled/>
                  <w:calcOnExit w:val="0"/>
                  <w:checkBox>
                    <w:sizeAuto/>
                    <w:default w:val="0"/>
                  </w:checkBox>
                </w:ffData>
              </w:fldChar>
            </w:r>
            <w:r w:rsidRPr="007C652F">
              <w:rPr>
                <w:rFonts w:ascii="Arial Narrow" w:hAnsi="Arial Narrow" w:cs="Arial"/>
                <w:sz w:val="20"/>
              </w:rPr>
              <w:instrText xml:space="preserve"> FORMCHECKBOX </w:instrText>
            </w:r>
            <w:r w:rsidR="00B05064">
              <w:rPr>
                <w:rFonts w:ascii="Arial Narrow" w:hAnsi="Arial Narrow" w:cs="Arial"/>
                <w:sz w:val="20"/>
              </w:rPr>
            </w:r>
            <w:r w:rsidR="00B05064">
              <w:rPr>
                <w:rFonts w:ascii="Arial Narrow" w:hAnsi="Arial Narrow" w:cs="Arial"/>
                <w:sz w:val="20"/>
              </w:rPr>
              <w:fldChar w:fldCharType="separate"/>
            </w:r>
            <w:r w:rsidRPr="003506CF">
              <w:rPr>
                <w:rFonts w:ascii="Arial Narrow" w:hAnsi="Arial Narrow" w:cs="Arial"/>
                <w:sz w:val="20"/>
              </w:rPr>
              <w:fldChar w:fldCharType="end"/>
            </w:r>
            <w:r w:rsidRPr="007C652F">
              <w:rPr>
                <w:rFonts w:ascii="Arial Narrow" w:hAnsi="Arial Narrow" w:cs="Arial"/>
                <w:sz w:val="20"/>
              </w:rPr>
              <w:t>Midwives</w:t>
            </w:r>
          </w:p>
        </w:tc>
      </w:tr>
      <w:tr w:rsidR="00FC1546" w:rsidRPr="007C652F" w:rsidTr="00B241C4">
        <w:trPr>
          <w:cantSplit/>
          <w:trHeight w:val="360"/>
        </w:trPr>
        <w:tc>
          <w:tcPr>
            <w:tcW w:w="1075" w:type="pct"/>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Episodicity:</w:t>
            </w:r>
          </w:p>
        </w:tc>
        <w:tc>
          <w:tcPr>
            <w:tcW w:w="3925" w:type="pct"/>
            <w:gridSpan w:val="5"/>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rPr>
                <w:rFonts w:ascii="Arial Narrow" w:hAnsi="Arial Narrow" w:cs="Arial"/>
                <w:sz w:val="20"/>
                <w:szCs w:val="20"/>
              </w:rPr>
            </w:pPr>
            <w:r w:rsidRPr="007C652F">
              <w:rPr>
                <w:rFonts w:ascii="Arial Narrow" w:hAnsi="Arial Narrow" w:cs="Arial"/>
                <w:sz w:val="20"/>
                <w:szCs w:val="20"/>
              </w:rPr>
              <w:t>N/A</w:t>
            </w:r>
          </w:p>
        </w:tc>
      </w:tr>
      <w:tr w:rsidR="00FC1546" w:rsidRPr="007C652F" w:rsidTr="00B241C4">
        <w:trPr>
          <w:cantSplit/>
          <w:trHeight w:val="360"/>
        </w:trPr>
        <w:tc>
          <w:tcPr>
            <w:tcW w:w="1075" w:type="pct"/>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Severity:</w:t>
            </w:r>
          </w:p>
        </w:tc>
        <w:tc>
          <w:tcPr>
            <w:tcW w:w="3925" w:type="pct"/>
            <w:gridSpan w:val="5"/>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rPr>
                <w:rFonts w:ascii="Arial Narrow" w:hAnsi="Arial Narrow" w:cs="Arial"/>
                <w:sz w:val="20"/>
                <w:szCs w:val="20"/>
              </w:rPr>
            </w:pPr>
            <w:r w:rsidRPr="007C652F">
              <w:rPr>
                <w:rFonts w:ascii="Arial Narrow" w:hAnsi="Arial Narrow" w:cs="Arial"/>
                <w:sz w:val="20"/>
                <w:szCs w:val="20"/>
              </w:rPr>
              <w:t>Mild to moderate</w:t>
            </w:r>
          </w:p>
        </w:tc>
      </w:tr>
      <w:tr w:rsidR="00FC1546" w:rsidRPr="007C652F" w:rsidTr="00B241C4">
        <w:trPr>
          <w:cantSplit/>
          <w:trHeight w:val="360"/>
        </w:trPr>
        <w:tc>
          <w:tcPr>
            <w:tcW w:w="1075" w:type="pct"/>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Condition:</w:t>
            </w:r>
          </w:p>
        </w:tc>
        <w:tc>
          <w:tcPr>
            <w:tcW w:w="3925" w:type="pct"/>
            <w:gridSpan w:val="5"/>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rPr>
                <w:rFonts w:ascii="Arial Narrow" w:hAnsi="Arial Narrow" w:cs="Arial"/>
                <w:sz w:val="20"/>
                <w:szCs w:val="20"/>
              </w:rPr>
            </w:pPr>
            <w:r w:rsidRPr="007C652F">
              <w:rPr>
                <w:rFonts w:ascii="Arial Narrow" w:hAnsi="Arial Narrow" w:cs="Arial"/>
                <w:sz w:val="20"/>
                <w:szCs w:val="20"/>
              </w:rPr>
              <w:t>Crohn’s disease</w:t>
            </w:r>
          </w:p>
        </w:tc>
      </w:tr>
      <w:tr w:rsidR="00FC1546" w:rsidRPr="007C652F" w:rsidTr="00B241C4">
        <w:trPr>
          <w:cantSplit/>
          <w:trHeight w:val="360"/>
        </w:trPr>
        <w:tc>
          <w:tcPr>
            <w:tcW w:w="1075" w:type="pct"/>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PBS Indication:</w:t>
            </w:r>
          </w:p>
        </w:tc>
        <w:tc>
          <w:tcPr>
            <w:tcW w:w="3925" w:type="pct"/>
            <w:gridSpan w:val="5"/>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rPr>
                <w:rFonts w:ascii="Arial Narrow" w:hAnsi="Arial Narrow" w:cs="Arial"/>
                <w:sz w:val="20"/>
                <w:szCs w:val="20"/>
              </w:rPr>
            </w:pPr>
            <w:r w:rsidRPr="007C652F">
              <w:rPr>
                <w:rFonts w:ascii="Arial Narrow" w:hAnsi="Arial Narrow" w:cs="Arial"/>
                <w:sz w:val="20"/>
                <w:szCs w:val="20"/>
              </w:rPr>
              <w:t>Mild to moderate Crohn’s disease</w:t>
            </w:r>
          </w:p>
        </w:tc>
      </w:tr>
      <w:tr w:rsidR="00FC1546" w:rsidRPr="007C652F" w:rsidTr="00B241C4">
        <w:trPr>
          <w:cantSplit/>
          <w:trHeight w:val="360"/>
        </w:trPr>
        <w:tc>
          <w:tcPr>
            <w:tcW w:w="1075" w:type="pct"/>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Restriction Level / Method:</w:t>
            </w:r>
          </w:p>
          <w:p w:rsidR="00FC1546" w:rsidRPr="007C652F" w:rsidRDefault="00FC1546" w:rsidP="00B241C4">
            <w:pPr>
              <w:keepNext/>
              <w:spacing w:before="40" w:after="40"/>
              <w:rPr>
                <w:rFonts w:ascii="Arial Narrow" w:hAnsi="Arial Narrow" w:cs="Arial"/>
                <w:sz w:val="20"/>
                <w:szCs w:val="20"/>
              </w:rPr>
            </w:pPr>
          </w:p>
        </w:tc>
        <w:tc>
          <w:tcPr>
            <w:tcW w:w="3925" w:type="pct"/>
            <w:gridSpan w:val="5"/>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Check1"/>
                  <w:enabled/>
                  <w:calcOnExit w:val="0"/>
                  <w:checkBox>
                    <w:sizeAuto/>
                    <w:default w:val="0"/>
                  </w:checkBox>
                </w:ffData>
              </w:fldChar>
            </w:r>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r w:rsidRPr="007C652F">
              <w:rPr>
                <w:rFonts w:ascii="Arial Narrow" w:hAnsi="Arial Narrow" w:cs="Arial"/>
                <w:sz w:val="20"/>
                <w:szCs w:val="20"/>
              </w:rPr>
              <w:t>Restricted benefit</w:t>
            </w:r>
          </w:p>
          <w:p w:rsidR="00FC1546" w:rsidRPr="007C652F" w:rsidRDefault="00FC1546" w:rsidP="00B241C4">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
                  <w:enabled/>
                  <w:calcOnExit w:val="0"/>
                  <w:checkBox>
                    <w:sizeAuto/>
                    <w:default w:val="0"/>
                  </w:checkBox>
                </w:ffData>
              </w:fldChar>
            </w:r>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r w:rsidRPr="007C652F">
              <w:rPr>
                <w:rFonts w:ascii="Arial Narrow" w:hAnsi="Arial Narrow" w:cs="Arial"/>
                <w:sz w:val="20"/>
                <w:szCs w:val="20"/>
              </w:rPr>
              <w:t>Authority Required - In Writing</w:t>
            </w:r>
          </w:p>
          <w:p w:rsidR="00FC1546" w:rsidRPr="007C652F" w:rsidRDefault="00FC1546" w:rsidP="00B241C4">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Check3"/>
                  <w:enabled/>
                  <w:calcOnExit w:val="0"/>
                  <w:checkBox>
                    <w:sizeAuto/>
                    <w:default w:val="0"/>
                  </w:checkBox>
                </w:ffData>
              </w:fldChar>
            </w:r>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r w:rsidRPr="007C652F">
              <w:rPr>
                <w:rFonts w:ascii="Arial Narrow" w:hAnsi="Arial Narrow" w:cs="Arial"/>
                <w:sz w:val="20"/>
                <w:szCs w:val="20"/>
              </w:rPr>
              <w:t>Authority Required - Telephone</w:t>
            </w:r>
          </w:p>
          <w:p w:rsidR="00FC1546" w:rsidRPr="007C652F" w:rsidRDefault="00FC1546" w:rsidP="00B241C4">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
                  <w:enabled/>
                  <w:calcOnExit w:val="0"/>
                  <w:checkBox>
                    <w:sizeAuto/>
                    <w:default w:val="0"/>
                  </w:checkBox>
                </w:ffData>
              </w:fldChar>
            </w:r>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r w:rsidRPr="007C652F">
              <w:rPr>
                <w:rFonts w:ascii="Arial Narrow" w:hAnsi="Arial Narrow" w:cs="Arial"/>
                <w:sz w:val="20"/>
                <w:szCs w:val="20"/>
              </w:rPr>
              <w:t>Authority Required – Emergency</w:t>
            </w:r>
          </w:p>
          <w:p w:rsidR="00FC1546" w:rsidRPr="007C652F" w:rsidRDefault="00FC1546" w:rsidP="00B241C4">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Check5"/>
                  <w:enabled/>
                  <w:calcOnExit w:val="0"/>
                  <w:checkBox>
                    <w:sizeAuto/>
                    <w:default w:val="0"/>
                  </w:checkBox>
                </w:ffData>
              </w:fldChar>
            </w:r>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r w:rsidRPr="007C652F">
              <w:rPr>
                <w:rFonts w:ascii="Arial Narrow" w:hAnsi="Arial Narrow" w:cs="Arial"/>
                <w:sz w:val="20"/>
                <w:szCs w:val="20"/>
              </w:rPr>
              <w:t>Authority Required - Electronic</w:t>
            </w:r>
          </w:p>
          <w:p w:rsidR="00FC1546" w:rsidRPr="007C652F" w:rsidRDefault="00FC1546" w:rsidP="00B241C4">
            <w:pPr>
              <w:keepNext/>
              <w:spacing w:before="40" w:after="40"/>
              <w:rPr>
                <w:rFonts w:ascii="Arial Narrow" w:hAnsi="Arial Narrow" w:cs="Arial"/>
                <w:sz w:val="20"/>
                <w:szCs w:val="20"/>
              </w:rPr>
            </w:pPr>
            <w:r w:rsidRPr="003506CF">
              <w:rPr>
                <w:rFonts w:ascii="Arial Narrow" w:hAnsi="Arial Narrow" w:cs="Arial"/>
                <w:sz w:val="20"/>
                <w:szCs w:val="20"/>
              </w:rPr>
              <w:fldChar w:fldCharType="begin">
                <w:ffData>
                  <w:name w:val="Check5"/>
                  <w:enabled/>
                  <w:calcOnExit w:val="0"/>
                  <w:checkBox>
                    <w:sizeAuto/>
                    <w:default w:val="1"/>
                  </w:checkBox>
                </w:ffData>
              </w:fldChar>
            </w:r>
            <w:r w:rsidRPr="007C652F">
              <w:rPr>
                <w:rFonts w:ascii="Arial Narrow" w:hAnsi="Arial Narrow" w:cs="Arial"/>
                <w:sz w:val="20"/>
                <w:szCs w:val="20"/>
              </w:rPr>
              <w:instrText xml:space="preserve"> FORMCHECKBOX </w:instrText>
            </w:r>
            <w:r w:rsidR="00B05064">
              <w:rPr>
                <w:rFonts w:ascii="Arial Narrow" w:hAnsi="Arial Narrow" w:cs="Arial"/>
                <w:sz w:val="20"/>
                <w:szCs w:val="20"/>
              </w:rPr>
            </w:r>
            <w:r w:rsidR="00B05064">
              <w:rPr>
                <w:rFonts w:ascii="Arial Narrow" w:hAnsi="Arial Narrow" w:cs="Arial"/>
                <w:sz w:val="20"/>
                <w:szCs w:val="20"/>
              </w:rPr>
              <w:fldChar w:fldCharType="separate"/>
            </w:r>
            <w:r w:rsidRPr="003506CF">
              <w:rPr>
                <w:rFonts w:ascii="Arial Narrow" w:hAnsi="Arial Narrow" w:cs="Arial"/>
                <w:sz w:val="20"/>
                <w:szCs w:val="20"/>
              </w:rPr>
              <w:fldChar w:fldCharType="end"/>
            </w:r>
            <w:r w:rsidRPr="007C652F">
              <w:rPr>
                <w:rFonts w:ascii="Arial Narrow" w:hAnsi="Arial Narrow" w:cs="Arial"/>
                <w:sz w:val="20"/>
                <w:szCs w:val="20"/>
              </w:rPr>
              <w:t>Streamlined</w:t>
            </w:r>
          </w:p>
        </w:tc>
      </w:tr>
      <w:tr w:rsidR="00FC1546" w:rsidRPr="007C652F" w:rsidTr="00B241C4">
        <w:trPr>
          <w:cantSplit/>
          <w:trHeight w:val="360"/>
        </w:trPr>
        <w:tc>
          <w:tcPr>
            <w:tcW w:w="1075" w:type="pct"/>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Clinical criteria:</w:t>
            </w:r>
          </w:p>
        </w:tc>
        <w:tc>
          <w:tcPr>
            <w:tcW w:w="3925" w:type="pct"/>
            <w:gridSpan w:val="5"/>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contextualSpacing/>
              <w:rPr>
                <w:rFonts w:ascii="Arial Narrow" w:hAnsi="Arial Narrow" w:cs="Arial"/>
                <w:sz w:val="20"/>
              </w:rPr>
            </w:pPr>
            <w:r w:rsidRPr="007C652F">
              <w:rPr>
                <w:rFonts w:ascii="Arial Narrow" w:hAnsi="Arial Narrow" w:cs="Arial"/>
                <w:sz w:val="20"/>
              </w:rPr>
              <w:t xml:space="preserve">The condition must affect the ileum, </w:t>
            </w:r>
          </w:p>
          <w:p w:rsidR="00FC1546" w:rsidRPr="007C652F" w:rsidRDefault="00FC1546" w:rsidP="00B241C4">
            <w:pPr>
              <w:keepNext/>
              <w:contextualSpacing/>
              <w:rPr>
                <w:rFonts w:ascii="Arial Narrow" w:hAnsi="Arial Narrow" w:cs="Arial"/>
                <w:sz w:val="20"/>
              </w:rPr>
            </w:pPr>
            <w:r w:rsidRPr="007C652F">
              <w:rPr>
                <w:rFonts w:ascii="Arial Narrow" w:hAnsi="Arial Narrow" w:cs="Arial"/>
                <w:sz w:val="20"/>
              </w:rPr>
              <w:t>OR</w:t>
            </w:r>
          </w:p>
          <w:p w:rsidR="00FC1546" w:rsidRPr="007C652F" w:rsidRDefault="00FC1546" w:rsidP="00B241C4">
            <w:pPr>
              <w:keepNext/>
              <w:contextualSpacing/>
              <w:rPr>
                <w:rFonts w:ascii="Arial Narrow" w:hAnsi="Arial Narrow" w:cs="Arial"/>
                <w:sz w:val="20"/>
              </w:rPr>
            </w:pPr>
            <w:r w:rsidRPr="007C652F">
              <w:rPr>
                <w:rFonts w:ascii="Arial Narrow" w:hAnsi="Arial Narrow" w:cs="Arial"/>
                <w:sz w:val="20"/>
              </w:rPr>
              <w:t>The condition must affect the ascending colon,</w:t>
            </w:r>
          </w:p>
          <w:p w:rsidR="00FC1546" w:rsidRPr="007C652F" w:rsidRDefault="00FC1546" w:rsidP="00B241C4">
            <w:pPr>
              <w:keepNext/>
              <w:rPr>
                <w:rFonts w:ascii="Arial Narrow" w:hAnsi="Arial Narrow" w:cs="Arial"/>
                <w:sz w:val="20"/>
              </w:rPr>
            </w:pPr>
            <w:r w:rsidRPr="007C652F">
              <w:rPr>
                <w:rFonts w:ascii="Arial Narrow" w:hAnsi="Arial Narrow" w:cs="Arial"/>
                <w:sz w:val="20"/>
              </w:rPr>
              <w:t>OR</w:t>
            </w:r>
          </w:p>
          <w:p w:rsidR="00FC1546" w:rsidRPr="007C652F" w:rsidRDefault="00FC1546" w:rsidP="00B241C4">
            <w:pPr>
              <w:keepNext/>
              <w:spacing w:before="40" w:after="40"/>
              <w:rPr>
                <w:rFonts w:ascii="Arial Narrow" w:hAnsi="Arial Narrow" w:cs="Arial"/>
                <w:sz w:val="20"/>
                <w:szCs w:val="20"/>
              </w:rPr>
            </w:pPr>
            <w:r w:rsidRPr="007C652F">
              <w:rPr>
                <w:rFonts w:ascii="Arial Narrow" w:hAnsi="Arial Narrow" w:cs="Arial"/>
                <w:sz w:val="20"/>
              </w:rPr>
              <w:t>The condition must affect the ileum and ascending colon.</w:t>
            </w:r>
          </w:p>
        </w:tc>
      </w:tr>
      <w:tr w:rsidR="00FC1546" w:rsidRPr="007C652F" w:rsidTr="00B241C4">
        <w:trPr>
          <w:cantSplit/>
          <w:trHeight w:val="360"/>
        </w:trPr>
        <w:tc>
          <w:tcPr>
            <w:tcW w:w="1075" w:type="pct"/>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Prescriber Instructions</w:t>
            </w:r>
          </w:p>
        </w:tc>
        <w:tc>
          <w:tcPr>
            <w:tcW w:w="3925" w:type="pct"/>
            <w:gridSpan w:val="5"/>
            <w:tcBorders>
              <w:top w:val="single" w:sz="4" w:space="0" w:color="auto"/>
              <w:left w:val="single" w:sz="4" w:space="0" w:color="auto"/>
              <w:bottom w:val="single" w:sz="4" w:space="0" w:color="auto"/>
              <w:right w:val="single" w:sz="4" w:space="0" w:color="auto"/>
            </w:tcBorders>
            <w:vAlign w:val="center"/>
          </w:tcPr>
          <w:p w:rsidR="00FC1546" w:rsidRPr="007C652F" w:rsidRDefault="00FC1546" w:rsidP="00B241C4">
            <w:pPr>
              <w:keepNext/>
              <w:spacing w:before="40" w:after="40"/>
              <w:rPr>
                <w:rFonts w:ascii="Arial Narrow" w:hAnsi="Arial Narrow" w:cs="Arial"/>
                <w:sz w:val="20"/>
                <w:szCs w:val="20"/>
              </w:rPr>
            </w:pPr>
            <w:r w:rsidRPr="007C652F">
              <w:rPr>
                <w:rFonts w:ascii="Arial Narrow" w:hAnsi="Arial Narrow" w:cs="Arial"/>
                <w:sz w:val="20"/>
              </w:rPr>
              <w:t xml:space="preserve">The total duration of therapy should be no more than 12 weeks in any single course. </w:t>
            </w:r>
          </w:p>
        </w:tc>
      </w:tr>
      <w:tr w:rsidR="00FC1546" w:rsidRPr="007C652F" w:rsidTr="00B241C4">
        <w:trPr>
          <w:cantSplit/>
          <w:trHeight w:val="360"/>
        </w:trPr>
        <w:tc>
          <w:tcPr>
            <w:tcW w:w="1075" w:type="pct"/>
            <w:tcBorders>
              <w:top w:val="single" w:sz="4" w:space="0" w:color="auto"/>
              <w:left w:val="single" w:sz="4" w:space="0" w:color="auto"/>
              <w:bottom w:val="single" w:sz="4" w:space="0" w:color="auto"/>
              <w:right w:val="single" w:sz="4" w:space="0" w:color="auto"/>
            </w:tcBorders>
          </w:tcPr>
          <w:p w:rsidR="00FC1546" w:rsidRPr="007C652F" w:rsidRDefault="00FC1546" w:rsidP="00B241C4">
            <w:pPr>
              <w:keepNext/>
              <w:spacing w:before="40" w:after="40"/>
              <w:jc w:val="both"/>
              <w:rPr>
                <w:rFonts w:ascii="Arial Narrow" w:hAnsi="Arial Narrow" w:cs="Arial"/>
                <w:b/>
                <w:sz w:val="20"/>
                <w:szCs w:val="20"/>
              </w:rPr>
            </w:pPr>
            <w:r w:rsidRPr="007C652F">
              <w:rPr>
                <w:rFonts w:ascii="Arial Narrow" w:hAnsi="Arial Narrow" w:cs="Arial"/>
                <w:b/>
                <w:sz w:val="20"/>
                <w:szCs w:val="20"/>
              </w:rPr>
              <w:t>Administrative Advice</w:t>
            </w:r>
          </w:p>
          <w:p w:rsidR="00FC1546" w:rsidRPr="007C652F" w:rsidRDefault="00FC1546" w:rsidP="00B241C4">
            <w:pPr>
              <w:keepNext/>
              <w:spacing w:before="40" w:after="40"/>
              <w:jc w:val="both"/>
              <w:rPr>
                <w:rFonts w:ascii="Arial Narrow" w:hAnsi="Arial Narrow" w:cs="Arial"/>
                <w:i/>
                <w:sz w:val="20"/>
                <w:szCs w:val="20"/>
              </w:rPr>
            </w:pPr>
          </w:p>
          <w:p w:rsidR="00FC1546" w:rsidRPr="007C652F" w:rsidRDefault="00FC1546" w:rsidP="00B241C4">
            <w:pPr>
              <w:keepNext/>
              <w:spacing w:before="40" w:after="40"/>
              <w:jc w:val="both"/>
              <w:rPr>
                <w:rFonts w:ascii="Arial Narrow" w:hAnsi="Arial Narrow" w:cs="Arial"/>
                <w:i/>
                <w:sz w:val="20"/>
                <w:szCs w:val="20"/>
              </w:rPr>
            </w:pPr>
          </w:p>
        </w:tc>
        <w:tc>
          <w:tcPr>
            <w:tcW w:w="3925" w:type="pct"/>
            <w:gridSpan w:val="5"/>
            <w:tcBorders>
              <w:top w:val="single" w:sz="4" w:space="0" w:color="auto"/>
              <w:left w:val="single" w:sz="4" w:space="0" w:color="auto"/>
              <w:bottom w:val="single" w:sz="4" w:space="0" w:color="auto"/>
              <w:right w:val="single" w:sz="4" w:space="0" w:color="auto"/>
            </w:tcBorders>
            <w:vAlign w:val="center"/>
          </w:tcPr>
          <w:p w:rsidR="00FC1546" w:rsidRPr="007C652F" w:rsidRDefault="00FC1546" w:rsidP="00B241C4">
            <w:pPr>
              <w:keepNext/>
              <w:spacing w:before="40" w:after="40"/>
              <w:rPr>
                <w:rFonts w:ascii="Arial Narrow" w:hAnsi="Arial Narrow" w:cs="Arial"/>
                <w:sz w:val="20"/>
                <w:szCs w:val="20"/>
              </w:rPr>
            </w:pPr>
            <w:r w:rsidRPr="007C652F">
              <w:rPr>
                <w:rFonts w:ascii="Arial Narrow" w:hAnsi="Arial Narrow" w:cs="Arial"/>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FE05C6" w:rsidRPr="00FE05C6" w:rsidRDefault="00FE05C6" w:rsidP="00DA10E6">
      <w:pPr>
        <w:widowControl w:val="0"/>
        <w:numPr>
          <w:ilvl w:val="0"/>
          <w:numId w:val="5"/>
        </w:numPr>
        <w:spacing w:before="120" w:after="120"/>
        <w:ind w:left="720"/>
        <w:jc w:val="both"/>
        <w:outlineLvl w:val="0"/>
        <w:rPr>
          <w:rFonts w:asciiTheme="minorHAnsi" w:hAnsiTheme="minorHAnsi" w:cs="Arial"/>
          <w:b/>
          <w:bCs/>
          <w:snapToGrid w:val="0"/>
          <w:sz w:val="32"/>
        </w:rPr>
      </w:pPr>
      <w:r w:rsidRPr="00FE05C6">
        <w:rPr>
          <w:rFonts w:asciiTheme="minorHAnsi" w:hAnsiTheme="minorHAnsi" w:cs="Arial"/>
          <w:b/>
          <w:bCs/>
          <w:snapToGrid w:val="0"/>
          <w:sz w:val="32"/>
        </w:rPr>
        <w:t>Context for Decision</w:t>
      </w:r>
    </w:p>
    <w:p w:rsidR="00FE05C6" w:rsidRPr="007D5986" w:rsidRDefault="00FE05C6" w:rsidP="00DA10E6">
      <w:pPr>
        <w:widowControl w:val="0"/>
        <w:spacing w:before="120" w:after="120"/>
        <w:ind w:left="720"/>
        <w:jc w:val="both"/>
        <w:rPr>
          <w:rFonts w:asciiTheme="minorHAnsi" w:hAnsiTheme="minorHAnsi" w:cs="Arial"/>
          <w:bCs/>
          <w:snapToGrid w:val="0"/>
        </w:rPr>
      </w:pPr>
      <w:r w:rsidRPr="007D5986">
        <w:rPr>
          <w:rFonts w:asciiTheme="minorHAnsi" w:hAnsiTheme="minorHAnsi" w:cs="Arial"/>
          <w:bCs/>
          <w:snapToGrid w:val="0"/>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E05C6" w:rsidRPr="00FE05C6" w:rsidRDefault="00FE05C6" w:rsidP="00DA10E6">
      <w:pPr>
        <w:widowControl w:val="0"/>
        <w:numPr>
          <w:ilvl w:val="0"/>
          <w:numId w:val="5"/>
        </w:numPr>
        <w:spacing w:before="120" w:after="120"/>
        <w:ind w:left="720"/>
        <w:jc w:val="both"/>
        <w:outlineLvl w:val="0"/>
        <w:rPr>
          <w:rFonts w:asciiTheme="minorHAnsi" w:hAnsiTheme="minorHAnsi" w:cs="Arial"/>
          <w:b/>
          <w:bCs/>
          <w:snapToGrid w:val="0"/>
          <w:sz w:val="32"/>
        </w:rPr>
      </w:pPr>
      <w:r w:rsidRPr="00FE05C6">
        <w:rPr>
          <w:rFonts w:asciiTheme="minorHAnsi" w:hAnsiTheme="minorHAnsi" w:cs="Arial"/>
          <w:b/>
          <w:bCs/>
          <w:snapToGrid w:val="0"/>
          <w:sz w:val="32"/>
        </w:rPr>
        <w:t>Sponsor’s Comment</w:t>
      </w:r>
    </w:p>
    <w:p w:rsidR="00640E09" w:rsidRPr="00DA10E6" w:rsidRDefault="00212544" w:rsidP="00DA10E6">
      <w:pPr>
        <w:widowControl w:val="0"/>
        <w:spacing w:before="120" w:after="120"/>
        <w:ind w:left="720"/>
        <w:jc w:val="both"/>
        <w:rPr>
          <w:rFonts w:asciiTheme="minorHAnsi" w:hAnsiTheme="minorHAnsi" w:cstheme="minorHAnsi"/>
          <w:bCs/>
          <w:snapToGrid w:val="0"/>
        </w:rPr>
      </w:pPr>
      <w:bookmarkStart w:id="2" w:name="_Hlk11161789"/>
      <w:r w:rsidRPr="003E19D1">
        <w:rPr>
          <w:rFonts w:asciiTheme="minorHAnsi" w:hAnsiTheme="minorHAnsi" w:cstheme="minorHAnsi"/>
          <w:bCs/>
          <w:snapToGrid w:val="0"/>
        </w:rPr>
        <w:t xml:space="preserve">The Sponsor acknowledges that the PBAC accepts that the Entocort brand of budesonide offers a significant safety advantage over prednisolone and mesalazine in Crohn’s disease. It is also important that the committee agreed to a weighted comparator approach against the two alternate treatments. If the Committee had </w:t>
      </w:r>
      <w:r w:rsidRPr="003E19D1">
        <w:rPr>
          <w:rFonts w:asciiTheme="minorHAnsi" w:hAnsiTheme="minorHAnsi" w:cstheme="minorHAnsi"/>
          <w:bCs/>
          <w:snapToGrid w:val="0"/>
        </w:rPr>
        <w:lastRenderedPageBreak/>
        <w:t>maintained their view of selecting the cheapest alternate comparator, no listing would be possible and patients would be denied access to subsidised budesonide. The Sponsor and the PBAC, however, continue to disagree on the value of alternate sources of evidence to inform the weighting calculation.</w:t>
      </w:r>
      <w:bookmarkEnd w:id="2"/>
    </w:p>
    <w:p w:rsidR="002669E2" w:rsidRPr="007C652F" w:rsidRDefault="002669E2" w:rsidP="00DA10E6">
      <w:pPr>
        <w:spacing w:before="120" w:after="120"/>
        <w:rPr>
          <w:rFonts w:asciiTheme="minorHAnsi" w:hAnsiTheme="minorHAnsi"/>
          <w:b/>
          <w:i/>
          <w:u w:val="single"/>
        </w:rPr>
      </w:pPr>
    </w:p>
    <w:sectPr w:rsidR="002669E2" w:rsidRPr="007C652F"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76F" w:rsidRDefault="0059576F">
      <w:r>
        <w:separator/>
      </w:r>
    </w:p>
    <w:p w:rsidR="0059576F" w:rsidRDefault="0059576F"/>
  </w:endnote>
  <w:endnote w:type="continuationSeparator" w:id="0">
    <w:p w:rsidR="0059576F" w:rsidRDefault="0059576F">
      <w:r>
        <w:continuationSeparator/>
      </w:r>
    </w:p>
    <w:p w:rsidR="0059576F" w:rsidRDefault="00595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372C4" w:rsidTr="005A3173">
      <w:trPr>
        <w:trHeight w:val="151"/>
      </w:trPr>
      <w:tc>
        <w:tcPr>
          <w:tcW w:w="2250" w:type="pct"/>
          <w:tcBorders>
            <w:top w:val="nil"/>
            <w:left w:val="nil"/>
            <w:bottom w:val="single" w:sz="4" w:space="0" w:color="4F81BD"/>
            <w:right w:val="nil"/>
          </w:tcBorders>
        </w:tcPr>
        <w:p w:rsidR="00F372C4" w:rsidRPr="005A3173" w:rsidRDefault="00F372C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372C4" w:rsidRPr="005A3173" w:rsidRDefault="00F372C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372C4" w:rsidRPr="005A3173" w:rsidRDefault="00F372C4" w:rsidP="005A3173">
          <w:pPr>
            <w:pStyle w:val="Header"/>
            <w:spacing w:line="276" w:lineRule="auto"/>
            <w:rPr>
              <w:rFonts w:ascii="Calibri" w:eastAsia="MS Gothic" w:hAnsi="Calibri"/>
              <w:b/>
              <w:bCs/>
              <w:color w:val="4F81BD"/>
            </w:rPr>
          </w:pPr>
        </w:p>
      </w:tc>
    </w:tr>
    <w:tr w:rsidR="00F372C4" w:rsidTr="005A3173">
      <w:trPr>
        <w:trHeight w:val="150"/>
      </w:trPr>
      <w:tc>
        <w:tcPr>
          <w:tcW w:w="2250" w:type="pct"/>
          <w:tcBorders>
            <w:top w:val="single" w:sz="4" w:space="0" w:color="4F81BD"/>
            <w:left w:val="nil"/>
            <w:bottom w:val="nil"/>
            <w:right w:val="nil"/>
          </w:tcBorders>
        </w:tcPr>
        <w:p w:rsidR="00F372C4" w:rsidRPr="005A3173" w:rsidRDefault="00F372C4" w:rsidP="005A3173">
          <w:pPr>
            <w:pStyle w:val="Header"/>
            <w:spacing w:line="276" w:lineRule="auto"/>
            <w:rPr>
              <w:rFonts w:ascii="Calibri" w:eastAsia="MS Gothic" w:hAnsi="Calibri"/>
              <w:b/>
              <w:bCs/>
              <w:color w:val="4F81BD"/>
            </w:rPr>
          </w:pPr>
        </w:p>
      </w:tc>
      <w:tc>
        <w:tcPr>
          <w:tcW w:w="0" w:type="auto"/>
          <w:vMerge/>
          <w:vAlign w:val="center"/>
          <w:hideMark/>
        </w:tcPr>
        <w:p w:rsidR="00F372C4" w:rsidRPr="005A3173" w:rsidRDefault="00F372C4" w:rsidP="005A3173">
          <w:pPr>
            <w:rPr>
              <w:rFonts w:ascii="Calibri" w:hAnsi="Calibri"/>
              <w:color w:val="365F91"/>
              <w:sz w:val="22"/>
              <w:szCs w:val="22"/>
            </w:rPr>
          </w:pPr>
        </w:p>
      </w:tc>
      <w:tc>
        <w:tcPr>
          <w:tcW w:w="2250" w:type="pct"/>
          <w:tcBorders>
            <w:top w:val="single" w:sz="4" w:space="0" w:color="4F81BD"/>
            <w:left w:val="nil"/>
            <w:bottom w:val="nil"/>
            <w:right w:val="nil"/>
          </w:tcBorders>
        </w:tcPr>
        <w:p w:rsidR="00F372C4" w:rsidRPr="005A3173" w:rsidRDefault="00F372C4" w:rsidP="005A3173">
          <w:pPr>
            <w:pStyle w:val="Header"/>
            <w:spacing w:line="276" w:lineRule="auto"/>
            <w:rPr>
              <w:rFonts w:ascii="Calibri" w:eastAsia="MS Gothic" w:hAnsi="Calibri"/>
              <w:b/>
              <w:bCs/>
              <w:color w:val="4F81BD"/>
            </w:rPr>
          </w:pPr>
        </w:p>
      </w:tc>
    </w:tr>
  </w:tbl>
  <w:p w:rsidR="00F372C4" w:rsidRDefault="00F372C4"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72C4" w:rsidRDefault="00F372C4">
    <w:pPr>
      <w:pStyle w:val="Footer"/>
    </w:pPr>
  </w:p>
  <w:p w:rsidR="00F372C4" w:rsidRDefault="00F372C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2C4" w:rsidRPr="001F5C4D" w:rsidRDefault="00F372C4" w:rsidP="00EF44A0">
    <w:pPr>
      <w:pStyle w:val="Footer"/>
      <w:jc w:val="center"/>
      <w:rPr>
        <w:rFonts w:ascii="Arial" w:hAnsi="Arial" w:cs="Arial"/>
        <w:b/>
      </w:rPr>
    </w:pPr>
  </w:p>
  <w:p w:rsidR="00F372C4" w:rsidRPr="001F5C4D" w:rsidRDefault="00F372C4" w:rsidP="00A20ED5">
    <w:pPr>
      <w:pStyle w:val="Footer"/>
      <w:jc w:val="center"/>
      <w:rPr>
        <w:rFonts w:asciiTheme="minorHAnsi" w:hAnsiTheme="minorHAnsi" w:cs="Arial"/>
        <w:b/>
      </w:rPr>
    </w:pPr>
    <w:r w:rsidRPr="001F5C4D">
      <w:rPr>
        <w:rFonts w:ascii="Calibri" w:hAnsi="Calibri" w:cs="Arial"/>
        <w:b/>
      </w:rPr>
      <w:fldChar w:fldCharType="begin"/>
    </w:r>
    <w:r w:rsidRPr="001F5C4D">
      <w:rPr>
        <w:rFonts w:ascii="Calibri" w:hAnsi="Calibri" w:cs="Arial"/>
        <w:b/>
      </w:rPr>
      <w:instrText xml:space="preserve"> PAGE   \* MERGEFORMAT </w:instrText>
    </w:r>
    <w:r w:rsidRPr="001F5C4D">
      <w:rPr>
        <w:rFonts w:ascii="Calibri" w:hAnsi="Calibri" w:cs="Arial"/>
        <w:b/>
      </w:rPr>
      <w:fldChar w:fldCharType="separate"/>
    </w:r>
    <w:r w:rsidR="00B05064">
      <w:rPr>
        <w:rFonts w:ascii="Calibri" w:hAnsi="Calibri" w:cs="Arial"/>
        <w:b/>
        <w:noProof/>
      </w:rPr>
      <w:t>1</w:t>
    </w:r>
    <w:r w:rsidRPr="001F5C4D">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372C4" w:rsidTr="005A3173">
      <w:trPr>
        <w:trHeight w:val="151"/>
      </w:trPr>
      <w:tc>
        <w:tcPr>
          <w:tcW w:w="2250" w:type="pct"/>
          <w:tcBorders>
            <w:top w:val="nil"/>
            <w:left w:val="nil"/>
            <w:bottom w:val="single" w:sz="4" w:space="0" w:color="4F81BD"/>
            <w:right w:val="nil"/>
          </w:tcBorders>
        </w:tcPr>
        <w:p w:rsidR="00F372C4" w:rsidRPr="005A3173" w:rsidRDefault="00F372C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372C4" w:rsidRPr="005A3173" w:rsidRDefault="00F372C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372C4" w:rsidRPr="005A3173" w:rsidRDefault="00F372C4" w:rsidP="005A3173">
          <w:pPr>
            <w:pStyle w:val="Header"/>
            <w:spacing w:line="276" w:lineRule="auto"/>
            <w:rPr>
              <w:rFonts w:ascii="Calibri" w:eastAsia="MS Gothic" w:hAnsi="Calibri"/>
              <w:b/>
              <w:bCs/>
              <w:color w:val="4F81BD"/>
            </w:rPr>
          </w:pPr>
        </w:p>
      </w:tc>
    </w:tr>
    <w:tr w:rsidR="00F372C4" w:rsidTr="005A3173">
      <w:trPr>
        <w:trHeight w:val="150"/>
      </w:trPr>
      <w:tc>
        <w:tcPr>
          <w:tcW w:w="2250" w:type="pct"/>
          <w:tcBorders>
            <w:top w:val="single" w:sz="4" w:space="0" w:color="4F81BD"/>
            <w:left w:val="nil"/>
            <w:bottom w:val="nil"/>
            <w:right w:val="nil"/>
          </w:tcBorders>
        </w:tcPr>
        <w:p w:rsidR="00F372C4" w:rsidRPr="005A3173" w:rsidRDefault="00F372C4" w:rsidP="005A3173">
          <w:pPr>
            <w:pStyle w:val="Header"/>
            <w:spacing w:line="276" w:lineRule="auto"/>
            <w:rPr>
              <w:rFonts w:ascii="Calibri" w:eastAsia="MS Gothic" w:hAnsi="Calibri"/>
              <w:b/>
              <w:bCs/>
              <w:color w:val="4F81BD"/>
            </w:rPr>
          </w:pPr>
        </w:p>
      </w:tc>
      <w:tc>
        <w:tcPr>
          <w:tcW w:w="0" w:type="auto"/>
          <w:vMerge/>
          <w:vAlign w:val="center"/>
          <w:hideMark/>
        </w:tcPr>
        <w:p w:rsidR="00F372C4" w:rsidRPr="005A3173" w:rsidRDefault="00F372C4" w:rsidP="005A3173">
          <w:pPr>
            <w:rPr>
              <w:rFonts w:ascii="Calibri" w:hAnsi="Calibri"/>
              <w:color w:val="365F91"/>
              <w:sz w:val="22"/>
              <w:szCs w:val="22"/>
            </w:rPr>
          </w:pPr>
        </w:p>
      </w:tc>
      <w:tc>
        <w:tcPr>
          <w:tcW w:w="2250" w:type="pct"/>
          <w:tcBorders>
            <w:top w:val="single" w:sz="4" w:space="0" w:color="4F81BD"/>
            <w:left w:val="nil"/>
            <w:bottom w:val="nil"/>
            <w:right w:val="nil"/>
          </w:tcBorders>
        </w:tcPr>
        <w:p w:rsidR="00F372C4" w:rsidRPr="005A3173" w:rsidRDefault="00F372C4"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372C4" w:rsidTr="005A3173">
      <w:trPr>
        <w:trHeight w:val="151"/>
      </w:trPr>
      <w:tc>
        <w:tcPr>
          <w:tcW w:w="2250" w:type="pct"/>
          <w:tcBorders>
            <w:top w:val="nil"/>
            <w:left w:val="nil"/>
            <w:bottom w:val="single" w:sz="4" w:space="0" w:color="4F81BD"/>
            <w:right w:val="nil"/>
          </w:tcBorders>
        </w:tcPr>
        <w:p w:rsidR="00F372C4" w:rsidRPr="005A3173" w:rsidRDefault="00F372C4"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372C4" w:rsidRPr="005A3173" w:rsidRDefault="00F372C4"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372C4" w:rsidRPr="005A3173" w:rsidRDefault="00F372C4" w:rsidP="005A3173">
          <w:pPr>
            <w:pStyle w:val="Header"/>
            <w:spacing w:line="276" w:lineRule="auto"/>
            <w:rPr>
              <w:rFonts w:ascii="Calibri" w:eastAsia="MS Gothic" w:hAnsi="Calibri"/>
              <w:b/>
              <w:bCs/>
              <w:color w:val="4F81BD"/>
            </w:rPr>
          </w:pPr>
        </w:p>
      </w:tc>
    </w:tr>
    <w:tr w:rsidR="00F372C4" w:rsidTr="005A3173">
      <w:trPr>
        <w:trHeight w:val="150"/>
      </w:trPr>
      <w:tc>
        <w:tcPr>
          <w:tcW w:w="2250" w:type="pct"/>
          <w:tcBorders>
            <w:top w:val="single" w:sz="4" w:space="0" w:color="4F81BD"/>
            <w:left w:val="nil"/>
            <w:bottom w:val="nil"/>
            <w:right w:val="nil"/>
          </w:tcBorders>
        </w:tcPr>
        <w:p w:rsidR="00F372C4" w:rsidRPr="005A3173" w:rsidRDefault="00F372C4" w:rsidP="005A3173">
          <w:pPr>
            <w:pStyle w:val="Header"/>
            <w:spacing w:line="276" w:lineRule="auto"/>
            <w:rPr>
              <w:rFonts w:ascii="Calibri" w:eastAsia="MS Gothic" w:hAnsi="Calibri"/>
              <w:b/>
              <w:bCs/>
              <w:color w:val="4F81BD"/>
            </w:rPr>
          </w:pPr>
        </w:p>
      </w:tc>
      <w:tc>
        <w:tcPr>
          <w:tcW w:w="0" w:type="auto"/>
          <w:vMerge/>
          <w:vAlign w:val="center"/>
          <w:hideMark/>
        </w:tcPr>
        <w:p w:rsidR="00F372C4" w:rsidRPr="005A3173" w:rsidRDefault="00F372C4" w:rsidP="005A3173">
          <w:pPr>
            <w:rPr>
              <w:rFonts w:ascii="Calibri" w:hAnsi="Calibri"/>
              <w:color w:val="365F91"/>
              <w:sz w:val="22"/>
              <w:szCs w:val="22"/>
            </w:rPr>
          </w:pPr>
        </w:p>
      </w:tc>
      <w:tc>
        <w:tcPr>
          <w:tcW w:w="2250" w:type="pct"/>
          <w:tcBorders>
            <w:top w:val="single" w:sz="4" w:space="0" w:color="4F81BD"/>
            <w:left w:val="nil"/>
            <w:bottom w:val="nil"/>
            <w:right w:val="nil"/>
          </w:tcBorders>
        </w:tcPr>
        <w:p w:rsidR="00F372C4" w:rsidRPr="005A3173" w:rsidRDefault="00F372C4" w:rsidP="005A3173">
          <w:pPr>
            <w:pStyle w:val="Header"/>
            <w:spacing w:line="276" w:lineRule="auto"/>
            <w:rPr>
              <w:rFonts w:ascii="Calibri" w:eastAsia="MS Gothic" w:hAnsi="Calibri"/>
              <w:b/>
              <w:bCs/>
              <w:color w:val="4F81BD"/>
            </w:rPr>
          </w:pPr>
        </w:p>
      </w:tc>
    </w:tr>
  </w:tbl>
  <w:p w:rsidR="00F372C4" w:rsidRPr="007C0F57" w:rsidRDefault="00F372C4"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372C4" w:rsidRPr="007C0F57" w:rsidRDefault="00F372C4" w:rsidP="007C0F57">
    <w:pPr>
      <w:pStyle w:val="Footer"/>
      <w:jc w:val="center"/>
      <w:rPr>
        <w:b/>
        <w:i/>
        <w:sz w:val="20"/>
        <w:szCs w:val="20"/>
      </w:rPr>
    </w:pPr>
    <w:r w:rsidRPr="007C0F57">
      <w:rPr>
        <w:b/>
        <w:i/>
        <w:sz w:val="20"/>
        <w:szCs w:val="20"/>
      </w:rPr>
      <w:t>Commercial-in-Confidence</w:t>
    </w:r>
  </w:p>
  <w:p w:rsidR="00F372C4" w:rsidRDefault="00F372C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76F" w:rsidRDefault="0059576F">
      <w:r>
        <w:separator/>
      </w:r>
    </w:p>
    <w:p w:rsidR="0059576F" w:rsidRDefault="0059576F"/>
  </w:footnote>
  <w:footnote w:type="continuationSeparator" w:id="0">
    <w:p w:rsidR="0059576F" w:rsidRDefault="0059576F">
      <w:r>
        <w:continuationSeparator/>
      </w:r>
    </w:p>
    <w:p w:rsidR="0059576F" w:rsidRDefault="0059576F"/>
  </w:footnote>
  <w:footnote w:id="1">
    <w:p w:rsidR="00F372C4" w:rsidRDefault="00F372C4" w:rsidP="007D7943">
      <w:pPr>
        <w:pStyle w:val="FootnoteText"/>
      </w:pPr>
      <w:r>
        <w:rPr>
          <w:rStyle w:val="FootnoteReference"/>
        </w:rPr>
        <w:footnoteRef/>
      </w:r>
      <w:r>
        <w:t xml:space="preserve"> </w:t>
      </w:r>
      <w:r w:rsidRPr="007509D1">
        <w:t>Mowat C, Cole A, Windsor A, Ahmad T, Arnott I, Driscoll R, Mitton S, Orchard T, Rutter M, Younge L, Lees C, Ho GT, Satsangi J, Bloom S, IBD Section of the British Society of Gastroenterology</w:t>
      </w:r>
      <w:r>
        <w:t xml:space="preserve">, Guidelines for the management of inflammatory bowel disease in adults., Gut. 2011;60(5):571. </w:t>
      </w:r>
    </w:p>
  </w:footnote>
  <w:footnote w:id="2">
    <w:p w:rsidR="00F372C4" w:rsidRDefault="00F372C4" w:rsidP="007D7943">
      <w:pPr>
        <w:pStyle w:val="FootnoteText"/>
      </w:pPr>
      <w:r>
        <w:rPr>
          <w:rStyle w:val="FootnoteReference"/>
        </w:rPr>
        <w:footnoteRef/>
      </w:r>
      <w:r>
        <w:t xml:space="preserve"> </w:t>
      </w:r>
      <w:r w:rsidRPr="00710904">
        <w:t>Hanauer SB, Sandborn W, Practice Parameters Committee of the American College of Gastroenterology</w:t>
      </w:r>
      <w:r>
        <w:t>,</w:t>
      </w:r>
      <w:r w:rsidRPr="00710904">
        <w:t xml:space="preserve"> </w:t>
      </w:r>
      <w:r>
        <w:t xml:space="preserve">Management of Crohn's disease in adults. </w:t>
      </w:r>
      <w:r w:rsidRPr="00AD3BE1">
        <w:t>Am J Gastroenterol. 2001;96(3):635.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372C4" w:rsidRPr="008E0D90" w:rsidTr="00A06225">
      <w:trPr>
        <w:trHeight w:val="151"/>
      </w:trPr>
      <w:tc>
        <w:tcPr>
          <w:tcW w:w="2389" w:type="pct"/>
          <w:tcBorders>
            <w:top w:val="nil"/>
            <w:left w:val="nil"/>
            <w:bottom w:val="single" w:sz="4" w:space="0" w:color="4F81BD"/>
            <w:right w:val="nil"/>
          </w:tcBorders>
        </w:tcPr>
        <w:p w:rsidR="00F372C4" w:rsidRPr="00A06225" w:rsidRDefault="00F372C4">
          <w:pPr>
            <w:pStyle w:val="Header"/>
            <w:spacing w:line="276" w:lineRule="auto"/>
            <w:rPr>
              <w:rFonts w:ascii="Cambria" w:eastAsia="MS Gothic" w:hAnsi="Cambria"/>
              <w:b/>
              <w:bCs/>
              <w:color w:val="4F81BD"/>
            </w:rPr>
          </w:pPr>
        </w:p>
      </w:tc>
      <w:tc>
        <w:tcPr>
          <w:tcW w:w="333" w:type="pct"/>
          <w:vMerge w:val="restart"/>
          <w:noWrap/>
          <w:vAlign w:val="center"/>
          <w:hideMark/>
        </w:tcPr>
        <w:p w:rsidR="00F372C4" w:rsidRPr="00A06225" w:rsidRDefault="00F372C4"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372C4" w:rsidRPr="00A06225" w:rsidRDefault="00F372C4">
          <w:pPr>
            <w:pStyle w:val="Header"/>
            <w:spacing w:line="276" w:lineRule="auto"/>
            <w:rPr>
              <w:rFonts w:ascii="Cambria" w:eastAsia="MS Gothic" w:hAnsi="Cambria"/>
              <w:b/>
              <w:bCs/>
              <w:color w:val="4F81BD"/>
            </w:rPr>
          </w:pPr>
        </w:p>
      </w:tc>
    </w:tr>
    <w:tr w:rsidR="00F372C4" w:rsidRPr="008E0D90" w:rsidTr="00A06225">
      <w:trPr>
        <w:trHeight w:val="150"/>
      </w:trPr>
      <w:tc>
        <w:tcPr>
          <w:tcW w:w="2389" w:type="pct"/>
          <w:tcBorders>
            <w:top w:val="single" w:sz="4" w:space="0" w:color="4F81BD"/>
            <w:left w:val="nil"/>
            <w:bottom w:val="nil"/>
            <w:right w:val="nil"/>
          </w:tcBorders>
        </w:tcPr>
        <w:p w:rsidR="00F372C4" w:rsidRPr="00A06225" w:rsidRDefault="00F372C4">
          <w:pPr>
            <w:pStyle w:val="Header"/>
            <w:spacing w:line="276" w:lineRule="auto"/>
            <w:rPr>
              <w:rFonts w:ascii="Cambria" w:eastAsia="MS Gothic" w:hAnsi="Cambria"/>
              <w:b/>
              <w:bCs/>
              <w:color w:val="4F81BD"/>
            </w:rPr>
          </w:pPr>
        </w:p>
      </w:tc>
      <w:tc>
        <w:tcPr>
          <w:tcW w:w="0" w:type="auto"/>
          <w:vMerge/>
          <w:vAlign w:val="center"/>
          <w:hideMark/>
        </w:tcPr>
        <w:p w:rsidR="00F372C4" w:rsidRPr="00A06225" w:rsidRDefault="00F372C4">
          <w:pPr>
            <w:rPr>
              <w:rFonts w:ascii="Cambria" w:hAnsi="Cambria"/>
              <w:color w:val="4F81BD"/>
              <w:sz w:val="22"/>
              <w:szCs w:val="22"/>
            </w:rPr>
          </w:pPr>
        </w:p>
      </w:tc>
      <w:tc>
        <w:tcPr>
          <w:tcW w:w="2278" w:type="pct"/>
          <w:tcBorders>
            <w:top w:val="single" w:sz="4" w:space="0" w:color="4F81BD"/>
            <w:left w:val="nil"/>
            <w:bottom w:val="nil"/>
            <w:right w:val="nil"/>
          </w:tcBorders>
        </w:tcPr>
        <w:p w:rsidR="00F372C4" w:rsidRPr="00A06225" w:rsidRDefault="00F372C4">
          <w:pPr>
            <w:pStyle w:val="Header"/>
            <w:spacing w:line="276" w:lineRule="auto"/>
            <w:rPr>
              <w:rFonts w:ascii="Cambria" w:eastAsia="MS Gothic" w:hAnsi="Cambria"/>
              <w:b/>
              <w:bCs/>
              <w:color w:val="4F81BD"/>
            </w:rPr>
          </w:pPr>
        </w:p>
      </w:tc>
    </w:tr>
  </w:tbl>
  <w:p w:rsidR="00F372C4" w:rsidRDefault="00F372C4">
    <w:pPr>
      <w:pStyle w:val="Header"/>
    </w:pPr>
  </w:p>
  <w:p w:rsidR="00F372C4" w:rsidRDefault="00F372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2C4" w:rsidRPr="001F5C4D" w:rsidRDefault="00F372C4" w:rsidP="00DA1671">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Pr="001F5C4D">
      <w:rPr>
        <w:rFonts w:asciiTheme="minorHAnsi" w:hAnsiTheme="minorHAnsi" w:cs="Arial"/>
        <w:i/>
        <w:color w:val="808080"/>
      </w:rPr>
      <w:t xml:space="preserve"> – March 2019 PBAC Meeting</w:t>
    </w:r>
  </w:p>
  <w:p w:rsidR="00F372C4" w:rsidRDefault="00F372C4"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76F" w:rsidRDefault="00595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AF5AA5"/>
    <w:multiLevelType w:val="hybridMultilevel"/>
    <w:tmpl w:val="D2187D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F66677"/>
    <w:multiLevelType w:val="hybridMultilevel"/>
    <w:tmpl w:val="090C66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E5AEE2B4"/>
    <w:lvl w:ilvl="0">
      <w:start w:val="1"/>
      <w:numFmt w:val="decimal"/>
      <w:pStyle w:val="PBACHeading1"/>
      <w:lvlText w:val="%1"/>
      <w:lvlJc w:val="left"/>
      <w:pPr>
        <w:ind w:left="862"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
  </w:num>
  <w:num w:numId="3">
    <w:abstractNumId w:val="6"/>
  </w:num>
  <w:num w:numId="4">
    <w:abstractNumId w:val="15"/>
  </w:num>
  <w:num w:numId="5">
    <w:abstractNumId w:val="20"/>
  </w:num>
  <w:num w:numId="6">
    <w:abstractNumId w:val="7"/>
  </w:num>
  <w:num w:numId="7">
    <w:abstractNumId w:val="13"/>
  </w:num>
  <w:num w:numId="8">
    <w:abstractNumId w:val="4"/>
  </w:num>
  <w:num w:numId="9">
    <w:abstractNumId w:val="12"/>
  </w:num>
  <w:num w:numId="10">
    <w:abstractNumId w:val="11"/>
  </w:num>
  <w:num w:numId="11">
    <w:abstractNumId w:val="10"/>
  </w:num>
  <w:num w:numId="12">
    <w:abstractNumId w:val="1"/>
  </w:num>
  <w:num w:numId="13">
    <w:abstractNumId w:val="0"/>
  </w:num>
  <w:num w:numId="14">
    <w:abstractNumId w:val="20"/>
  </w:num>
  <w:num w:numId="15">
    <w:abstractNumId w:val="14"/>
  </w:num>
  <w:num w:numId="16">
    <w:abstractNumId w:val="18"/>
  </w:num>
  <w:num w:numId="17">
    <w:abstractNumId w:val="16"/>
  </w:num>
  <w:num w:numId="18">
    <w:abstractNumId w:val="17"/>
  </w:num>
  <w:num w:numId="19">
    <w:abstractNumId w:val="5"/>
  </w:num>
  <w:num w:numId="20">
    <w:abstractNumId w:val="2"/>
  </w:num>
  <w:num w:numId="21">
    <w:abstractNumId w:val="9"/>
  </w:num>
  <w:num w:numId="2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195F"/>
    <w:rsid w:val="000025AD"/>
    <w:rsid w:val="0000285B"/>
    <w:rsid w:val="0000335D"/>
    <w:rsid w:val="00005A73"/>
    <w:rsid w:val="0002464A"/>
    <w:rsid w:val="00024AF2"/>
    <w:rsid w:val="000303D4"/>
    <w:rsid w:val="0003106B"/>
    <w:rsid w:val="00033D2D"/>
    <w:rsid w:val="000421A1"/>
    <w:rsid w:val="0004240E"/>
    <w:rsid w:val="00044C72"/>
    <w:rsid w:val="00045E26"/>
    <w:rsid w:val="000514B5"/>
    <w:rsid w:val="00052EDD"/>
    <w:rsid w:val="0005543B"/>
    <w:rsid w:val="00060449"/>
    <w:rsid w:val="00060E64"/>
    <w:rsid w:val="00066755"/>
    <w:rsid w:val="00070D08"/>
    <w:rsid w:val="00071E01"/>
    <w:rsid w:val="00073AE3"/>
    <w:rsid w:val="00076C5D"/>
    <w:rsid w:val="00077143"/>
    <w:rsid w:val="00082169"/>
    <w:rsid w:val="00083D3D"/>
    <w:rsid w:val="00084020"/>
    <w:rsid w:val="0008552F"/>
    <w:rsid w:val="00091398"/>
    <w:rsid w:val="00092EF5"/>
    <w:rsid w:val="000969AD"/>
    <w:rsid w:val="000A103B"/>
    <w:rsid w:val="000B5002"/>
    <w:rsid w:val="000B558D"/>
    <w:rsid w:val="000C1D67"/>
    <w:rsid w:val="000C6996"/>
    <w:rsid w:val="000D1109"/>
    <w:rsid w:val="000D23BA"/>
    <w:rsid w:val="000E43F1"/>
    <w:rsid w:val="000E4721"/>
    <w:rsid w:val="000E681E"/>
    <w:rsid w:val="000F0003"/>
    <w:rsid w:val="000F0FAF"/>
    <w:rsid w:val="000F3071"/>
    <w:rsid w:val="000F4E6A"/>
    <w:rsid w:val="000F5D96"/>
    <w:rsid w:val="00104227"/>
    <w:rsid w:val="001107BF"/>
    <w:rsid w:val="00111390"/>
    <w:rsid w:val="00113888"/>
    <w:rsid w:val="00114DB6"/>
    <w:rsid w:val="001158A8"/>
    <w:rsid w:val="00123111"/>
    <w:rsid w:val="0012417C"/>
    <w:rsid w:val="001320F2"/>
    <w:rsid w:val="00133255"/>
    <w:rsid w:val="00142395"/>
    <w:rsid w:val="00142714"/>
    <w:rsid w:val="001452ED"/>
    <w:rsid w:val="0014551B"/>
    <w:rsid w:val="00154143"/>
    <w:rsid w:val="00157A30"/>
    <w:rsid w:val="00157BB4"/>
    <w:rsid w:val="00163329"/>
    <w:rsid w:val="00164623"/>
    <w:rsid w:val="00165B64"/>
    <w:rsid w:val="00166A54"/>
    <w:rsid w:val="00166B6F"/>
    <w:rsid w:val="00176CA7"/>
    <w:rsid w:val="001778F4"/>
    <w:rsid w:val="00180713"/>
    <w:rsid w:val="00182C34"/>
    <w:rsid w:val="001830CE"/>
    <w:rsid w:val="00184090"/>
    <w:rsid w:val="001847AA"/>
    <w:rsid w:val="00184C36"/>
    <w:rsid w:val="0018643B"/>
    <w:rsid w:val="00195B42"/>
    <w:rsid w:val="00196307"/>
    <w:rsid w:val="001A13EC"/>
    <w:rsid w:val="001A33EA"/>
    <w:rsid w:val="001B017F"/>
    <w:rsid w:val="001B2BBC"/>
    <w:rsid w:val="001B3975"/>
    <w:rsid w:val="001B5129"/>
    <w:rsid w:val="001C03F1"/>
    <w:rsid w:val="001C1195"/>
    <w:rsid w:val="001C2EE0"/>
    <w:rsid w:val="001C372E"/>
    <w:rsid w:val="001C5AF3"/>
    <w:rsid w:val="001C7FF9"/>
    <w:rsid w:val="001D3613"/>
    <w:rsid w:val="001D3F06"/>
    <w:rsid w:val="001D5261"/>
    <w:rsid w:val="001E1AD1"/>
    <w:rsid w:val="001F039A"/>
    <w:rsid w:val="001F1850"/>
    <w:rsid w:val="001F5C4D"/>
    <w:rsid w:val="001F6594"/>
    <w:rsid w:val="00203FAC"/>
    <w:rsid w:val="0021050F"/>
    <w:rsid w:val="00212544"/>
    <w:rsid w:val="00213CFB"/>
    <w:rsid w:val="00216547"/>
    <w:rsid w:val="00217BE1"/>
    <w:rsid w:val="00226DE8"/>
    <w:rsid w:val="00237374"/>
    <w:rsid w:val="00243B0E"/>
    <w:rsid w:val="00243DFF"/>
    <w:rsid w:val="002528E6"/>
    <w:rsid w:val="002669E2"/>
    <w:rsid w:val="00271BA1"/>
    <w:rsid w:val="0027427A"/>
    <w:rsid w:val="00274F42"/>
    <w:rsid w:val="002762FA"/>
    <w:rsid w:val="00277505"/>
    <w:rsid w:val="0028584C"/>
    <w:rsid w:val="00290FDF"/>
    <w:rsid w:val="0029100C"/>
    <w:rsid w:val="0029458F"/>
    <w:rsid w:val="002A104C"/>
    <w:rsid w:val="002A4960"/>
    <w:rsid w:val="002B1873"/>
    <w:rsid w:val="002B1AE6"/>
    <w:rsid w:val="002B2DE8"/>
    <w:rsid w:val="002B30F8"/>
    <w:rsid w:val="002B4529"/>
    <w:rsid w:val="002B5596"/>
    <w:rsid w:val="002C212F"/>
    <w:rsid w:val="002C5EAB"/>
    <w:rsid w:val="002D1849"/>
    <w:rsid w:val="002D4543"/>
    <w:rsid w:val="002E3153"/>
    <w:rsid w:val="002E62D2"/>
    <w:rsid w:val="002E72CA"/>
    <w:rsid w:val="002F2A87"/>
    <w:rsid w:val="002F600D"/>
    <w:rsid w:val="00300AD6"/>
    <w:rsid w:val="003016F2"/>
    <w:rsid w:val="00314451"/>
    <w:rsid w:val="00317569"/>
    <w:rsid w:val="003179F7"/>
    <w:rsid w:val="00317C6C"/>
    <w:rsid w:val="00326E79"/>
    <w:rsid w:val="003329FA"/>
    <w:rsid w:val="0033518A"/>
    <w:rsid w:val="003367EF"/>
    <w:rsid w:val="00337E77"/>
    <w:rsid w:val="00341AE4"/>
    <w:rsid w:val="0034337C"/>
    <w:rsid w:val="0034440D"/>
    <w:rsid w:val="003506CF"/>
    <w:rsid w:val="00357681"/>
    <w:rsid w:val="00357EDB"/>
    <w:rsid w:val="00360ECA"/>
    <w:rsid w:val="00366B64"/>
    <w:rsid w:val="00370BF6"/>
    <w:rsid w:val="00370FF0"/>
    <w:rsid w:val="00374086"/>
    <w:rsid w:val="003751E4"/>
    <w:rsid w:val="003755F9"/>
    <w:rsid w:val="00383D01"/>
    <w:rsid w:val="003872CF"/>
    <w:rsid w:val="00392FF4"/>
    <w:rsid w:val="0039389F"/>
    <w:rsid w:val="0039782C"/>
    <w:rsid w:val="00397C13"/>
    <w:rsid w:val="003A0C58"/>
    <w:rsid w:val="003A3368"/>
    <w:rsid w:val="003A5B4A"/>
    <w:rsid w:val="003A6F14"/>
    <w:rsid w:val="003B20E2"/>
    <w:rsid w:val="003B23C5"/>
    <w:rsid w:val="003B2A75"/>
    <w:rsid w:val="003B3146"/>
    <w:rsid w:val="003B4361"/>
    <w:rsid w:val="003B6124"/>
    <w:rsid w:val="003C2254"/>
    <w:rsid w:val="003C2805"/>
    <w:rsid w:val="003C2F47"/>
    <w:rsid w:val="003C2FB5"/>
    <w:rsid w:val="003D39C2"/>
    <w:rsid w:val="003D4AC4"/>
    <w:rsid w:val="003D63B7"/>
    <w:rsid w:val="003E19D1"/>
    <w:rsid w:val="003E468B"/>
    <w:rsid w:val="003E46D5"/>
    <w:rsid w:val="003E7CE1"/>
    <w:rsid w:val="003E7FF4"/>
    <w:rsid w:val="003F3228"/>
    <w:rsid w:val="003F5C8C"/>
    <w:rsid w:val="003F5E01"/>
    <w:rsid w:val="00400020"/>
    <w:rsid w:val="00405254"/>
    <w:rsid w:val="00407B8E"/>
    <w:rsid w:val="00424FB1"/>
    <w:rsid w:val="004252EC"/>
    <w:rsid w:val="00432A9C"/>
    <w:rsid w:val="00432D1C"/>
    <w:rsid w:val="00437900"/>
    <w:rsid w:val="00442124"/>
    <w:rsid w:val="004427B9"/>
    <w:rsid w:val="004427DE"/>
    <w:rsid w:val="00444D29"/>
    <w:rsid w:val="004465BD"/>
    <w:rsid w:val="00450828"/>
    <w:rsid w:val="00453613"/>
    <w:rsid w:val="00457D10"/>
    <w:rsid w:val="00461E47"/>
    <w:rsid w:val="00466ADA"/>
    <w:rsid w:val="00467ED5"/>
    <w:rsid w:val="0047033F"/>
    <w:rsid w:val="00471AB2"/>
    <w:rsid w:val="00476245"/>
    <w:rsid w:val="00482A14"/>
    <w:rsid w:val="00483035"/>
    <w:rsid w:val="00483101"/>
    <w:rsid w:val="00483C6A"/>
    <w:rsid w:val="00484A7B"/>
    <w:rsid w:val="00485940"/>
    <w:rsid w:val="00487ED7"/>
    <w:rsid w:val="00496F16"/>
    <w:rsid w:val="004A2484"/>
    <w:rsid w:val="004A5A85"/>
    <w:rsid w:val="004A71D1"/>
    <w:rsid w:val="004A7B2A"/>
    <w:rsid w:val="004B5640"/>
    <w:rsid w:val="004C043C"/>
    <w:rsid w:val="004C1BD7"/>
    <w:rsid w:val="004C31FE"/>
    <w:rsid w:val="004C691D"/>
    <w:rsid w:val="004C6C07"/>
    <w:rsid w:val="004D4796"/>
    <w:rsid w:val="004E3865"/>
    <w:rsid w:val="004E5ADD"/>
    <w:rsid w:val="004E692D"/>
    <w:rsid w:val="004F5813"/>
    <w:rsid w:val="004F7928"/>
    <w:rsid w:val="00501554"/>
    <w:rsid w:val="00502FDC"/>
    <w:rsid w:val="0051082C"/>
    <w:rsid w:val="00514336"/>
    <w:rsid w:val="00514CD7"/>
    <w:rsid w:val="00514D93"/>
    <w:rsid w:val="00522E1B"/>
    <w:rsid w:val="00527455"/>
    <w:rsid w:val="005319B2"/>
    <w:rsid w:val="0053234F"/>
    <w:rsid w:val="00532402"/>
    <w:rsid w:val="00532C74"/>
    <w:rsid w:val="005337C5"/>
    <w:rsid w:val="005349A2"/>
    <w:rsid w:val="00534B8E"/>
    <w:rsid w:val="00534E2E"/>
    <w:rsid w:val="00536207"/>
    <w:rsid w:val="00536B4E"/>
    <w:rsid w:val="00541BD2"/>
    <w:rsid w:val="00544552"/>
    <w:rsid w:val="00547DAF"/>
    <w:rsid w:val="00551F48"/>
    <w:rsid w:val="00557ACE"/>
    <w:rsid w:val="00563AEC"/>
    <w:rsid w:val="00567E5A"/>
    <w:rsid w:val="00573996"/>
    <w:rsid w:val="005761A5"/>
    <w:rsid w:val="00577C4D"/>
    <w:rsid w:val="00581932"/>
    <w:rsid w:val="0059053B"/>
    <w:rsid w:val="00590D9A"/>
    <w:rsid w:val="00592D89"/>
    <w:rsid w:val="0059576F"/>
    <w:rsid w:val="005963BB"/>
    <w:rsid w:val="005A28B3"/>
    <w:rsid w:val="005A3173"/>
    <w:rsid w:val="005A3223"/>
    <w:rsid w:val="005A3DA3"/>
    <w:rsid w:val="005A4EAB"/>
    <w:rsid w:val="005A52C4"/>
    <w:rsid w:val="005B3944"/>
    <w:rsid w:val="005B3F0C"/>
    <w:rsid w:val="005B4EC5"/>
    <w:rsid w:val="005C13F5"/>
    <w:rsid w:val="005C2118"/>
    <w:rsid w:val="005C4A08"/>
    <w:rsid w:val="005C5E4D"/>
    <w:rsid w:val="005D03AB"/>
    <w:rsid w:val="005D18E0"/>
    <w:rsid w:val="005D5017"/>
    <w:rsid w:val="005D5861"/>
    <w:rsid w:val="005E1333"/>
    <w:rsid w:val="005F106E"/>
    <w:rsid w:val="005F30B0"/>
    <w:rsid w:val="005F3EF0"/>
    <w:rsid w:val="006009A7"/>
    <w:rsid w:val="00601A91"/>
    <w:rsid w:val="00602BA3"/>
    <w:rsid w:val="00606EED"/>
    <w:rsid w:val="00610752"/>
    <w:rsid w:val="00612E34"/>
    <w:rsid w:val="00614159"/>
    <w:rsid w:val="00617C00"/>
    <w:rsid w:val="00620D12"/>
    <w:rsid w:val="00622D21"/>
    <w:rsid w:val="006263BF"/>
    <w:rsid w:val="0062748A"/>
    <w:rsid w:val="00630A2C"/>
    <w:rsid w:val="006331BB"/>
    <w:rsid w:val="00635D97"/>
    <w:rsid w:val="0063682E"/>
    <w:rsid w:val="00640E09"/>
    <w:rsid w:val="00643147"/>
    <w:rsid w:val="006436CD"/>
    <w:rsid w:val="006441E5"/>
    <w:rsid w:val="00651169"/>
    <w:rsid w:val="00652571"/>
    <w:rsid w:val="006533E4"/>
    <w:rsid w:val="0065366F"/>
    <w:rsid w:val="00653D69"/>
    <w:rsid w:val="00654B95"/>
    <w:rsid w:val="00656319"/>
    <w:rsid w:val="00657AD0"/>
    <w:rsid w:val="00661B0A"/>
    <w:rsid w:val="00662A5E"/>
    <w:rsid w:val="0066703E"/>
    <w:rsid w:val="006670BE"/>
    <w:rsid w:val="00670A76"/>
    <w:rsid w:val="006711AA"/>
    <w:rsid w:val="00672B57"/>
    <w:rsid w:val="00673E47"/>
    <w:rsid w:val="006740A1"/>
    <w:rsid w:val="00675622"/>
    <w:rsid w:val="0067747D"/>
    <w:rsid w:val="006906DB"/>
    <w:rsid w:val="00691E6C"/>
    <w:rsid w:val="00694AA1"/>
    <w:rsid w:val="00696129"/>
    <w:rsid w:val="006965B9"/>
    <w:rsid w:val="00697CF2"/>
    <w:rsid w:val="006A12A5"/>
    <w:rsid w:val="006A5782"/>
    <w:rsid w:val="006B0D94"/>
    <w:rsid w:val="006B484F"/>
    <w:rsid w:val="006B485D"/>
    <w:rsid w:val="006B53F7"/>
    <w:rsid w:val="006C296D"/>
    <w:rsid w:val="006C708E"/>
    <w:rsid w:val="006D14E7"/>
    <w:rsid w:val="006D1F21"/>
    <w:rsid w:val="006D6493"/>
    <w:rsid w:val="006D6EC7"/>
    <w:rsid w:val="006E1BCD"/>
    <w:rsid w:val="006F4B74"/>
    <w:rsid w:val="006F5125"/>
    <w:rsid w:val="006F6D33"/>
    <w:rsid w:val="006F704C"/>
    <w:rsid w:val="00702B6F"/>
    <w:rsid w:val="00703FAB"/>
    <w:rsid w:val="00711F9F"/>
    <w:rsid w:val="0071340B"/>
    <w:rsid w:val="00714863"/>
    <w:rsid w:val="007174BB"/>
    <w:rsid w:val="00717E98"/>
    <w:rsid w:val="0072025D"/>
    <w:rsid w:val="00720E09"/>
    <w:rsid w:val="00722FBC"/>
    <w:rsid w:val="00726C5C"/>
    <w:rsid w:val="007276F0"/>
    <w:rsid w:val="00733BAD"/>
    <w:rsid w:val="007353D3"/>
    <w:rsid w:val="00745ADF"/>
    <w:rsid w:val="0075658B"/>
    <w:rsid w:val="007576EF"/>
    <w:rsid w:val="0076420C"/>
    <w:rsid w:val="00773A56"/>
    <w:rsid w:val="00773E01"/>
    <w:rsid w:val="00774DDF"/>
    <w:rsid w:val="007753C2"/>
    <w:rsid w:val="0078237A"/>
    <w:rsid w:val="007838A2"/>
    <w:rsid w:val="007838B8"/>
    <w:rsid w:val="007841CF"/>
    <w:rsid w:val="00785A79"/>
    <w:rsid w:val="00791E9B"/>
    <w:rsid w:val="007962A2"/>
    <w:rsid w:val="0079646C"/>
    <w:rsid w:val="0079784F"/>
    <w:rsid w:val="007A0D30"/>
    <w:rsid w:val="007A718D"/>
    <w:rsid w:val="007B1D05"/>
    <w:rsid w:val="007B2D6C"/>
    <w:rsid w:val="007B4293"/>
    <w:rsid w:val="007C03F2"/>
    <w:rsid w:val="007C0F57"/>
    <w:rsid w:val="007C2CE7"/>
    <w:rsid w:val="007C40B6"/>
    <w:rsid w:val="007C59FE"/>
    <w:rsid w:val="007C652F"/>
    <w:rsid w:val="007C729F"/>
    <w:rsid w:val="007C7F16"/>
    <w:rsid w:val="007D5986"/>
    <w:rsid w:val="007D65F0"/>
    <w:rsid w:val="007D7943"/>
    <w:rsid w:val="007E1D28"/>
    <w:rsid w:val="007E5BCF"/>
    <w:rsid w:val="007E6571"/>
    <w:rsid w:val="007E7147"/>
    <w:rsid w:val="007F2641"/>
    <w:rsid w:val="007F3979"/>
    <w:rsid w:val="007F3E01"/>
    <w:rsid w:val="007F3EA2"/>
    <w:rsid w:val="007F7C36"/>
    <w:rsid w:val="00802606"/>
    <w:rsid w:val="00802A23"/>
    <w:rsid w:val="00806796"/>
    <w:rsid w:val="008076CA"/>
    <w:rsid w:val="00810EB1"/>
    <w:rsid w:val="00813134"/>
    <w:rsid w:val="008139D6"/>
    <w:rsid w:val="0081471E"/>
    <w:rsid w:val="008151D6"/>
    <w:rsid w:val="0081598C"/>
    <w:rsid w:val="00815BD7"/>
    <w:rsid w:val="00817754"/>
    <w:rsid w:val="0082014A"/>
    <w:rsid w:val="0082422F"/>
    <w:rsid w:val="008266C9"/>
    <w:rsid w:val="00826F6D"/>
    <w:rsid w:val="008306F3"/>
    <w:rsid w:val="008354E3"/>
    <w:rsid w:val="00841C0C"/>
    <w:rsid w:val="0084548F"/>
    <w:rsid w:val="00856DDD"/>
    <w:rsid w:val="008579B9"/>
    <w:rsid w:val="00862379"/>
    <w:rsid w:val="00863E68"/>
    <w:rsid w:val="00872A82"/>
    <w:rsid w:val="008737EB"/>
    <w:rsid w:val="008747BA"/>
    <w:rsid w:val="008772FF"/>
    <w:rsid w:val="0088065A"/>
    <w:rsid w:val="008819ED"/>
    <w:rsid w:val="00882085"/>
    <w:rsid w:val="00883188"/>
    <w:rsid w:val="00897D58"/>
    <w:rsid w:val="00897F22"/>
    <w:rsid w:val="008A1956"/>
    <w:rsid w:val="008A4937"/>
    <w:rsid w:val="008A50F1"/>
    <w:rsid w:val="008A5471"/>
    <w:rsid w:val="008B346A"/>
    <w:rsid w:val="008C3A89"/>
    <w:rsid w:val="008D1B5C"/>
    <w:rsid w:val="008D3C82"/>
    <w:rsid w:val="008D447E"/>
    <w:rsid w:val="008D6D73"/>
    <w:rsid w:val="008D7A41"/>
    <w:rsid w:val="008E0D77"/>
    <w:rsid w:val="008E3680"/>
    <w:rsid w:val="008E5870"/>
    <w:rsid w:val="008F1434"/>
    <w:rsid w:val="008F30D8"/>
    <w:rsid w:val="008F7355"/>
    <w:rsid w:val="008F7BEF"/>
    <w:rsid w:val="00901761"/>
    <w:rsid w:val="00902957"/>
    <w:rsid w:val="00904664"/>
    <w:rsid w:val="009067B7"/>
    <w:rsid w:val="009068DF"/>
    <w:rsid w:val="0090748D"/>
    <w:rsid w:val="0091085A"/>
    <w:rsid w:val="00910D64"/>
    <w:rsid w:val="009120FE"/>
    <w:rsid w:val="00912132"/>
    <w:rsid w:val="0091652E"/>
    <w:rsid w:val="00917C1D"/>
    <w:rsid w:val="00922983"/>
    <w:rsid w:val="00924340"/>
    <w:rsid w:val="009278A2"/>
    <w:rsid w:val="00930937"/>
    <w:rsid w:val="00933E6C"/>
    <w:rsid w:val="00937958"/>
    <w:rsid w:val="00942160"/>
    <w:rsid w:val="00946D22"/>
    <w:rsid w:val="0095146F"/>
    <w:rsid w:val="009556A5"/>
    <w:rsid w:val="00957091"/>
    <w:rsid w:val="009602C5"/>
    <w:rsid w:val="00962223"/>
    <w:rsid w:val="009649C0"/>
    <w:rsid w:val="00966D0D"/>
    <w:rsid w:val="009739EC"/>
    <w:rsid w:val="00974C21"/>
    <w:rsid w:val="009807D0"/>
    <w:rsid w:val="009815F1"/>
    <w:rsid w:val="00983FF6"/>
    <w:rsid w:val="00987D88"/>
    <w:rsid w:val="00991664"/>
    <w:rsid w:val="00996824"/>
    <w:rsid w:val="00997D90"/>
    <w:rsid w:val="009A120F"/>
    <w:rsid w:val="009A6379"/>
    <w:rsid w:val="009B0F67"/>
    <w:rsid w:val="009B2D54"/>
    <w:rsid w:val="009C0F2D"/>
    <w:rsid w:val="009C2828"/>
    <w:rsid w:val="009C5D73"/>
    <w:rsid w:val="009C703C"/>
    <w:rsid w:val="009D00B5"/>
    <w:rsid w:val="009D2A1F"/>
    <w:rsid w:val="009D3CAA"/>
    <w:rsid w:val="009E163F"/>
    <w:rsid w:val="009E290A"/>
    <w:rsid w:val="009E29E3"/>
    <w:rsid w:val="009E361A"/>
    <w:rsid w:val="009E40E1"/>
    <w:rsid w:val="009F4E46"/>
    <w:rsid w:val="009F5B65"/>
    <w:rsid w:val="009F5F2E"/>
    <w:rsid w:val="009F76D2"/>
    <w:rsid w:val="00A00FCA"/>
    <w:rsid w:val="00A05523"/>
    <w:rsid w:val="00A06225"/>
    <w:rsid w:val="00A06D1A"/>
    <w:rsid w:val="00A06DFE"/>
    <w:rsid w:val="00A128E6"/>
    <w:rsid w:val="00A1587A"/>
    <w:rsid w:val="00A20ED5"/>
    <w:rsid w:val="00A2656F"/>
    <w:rsid w:val="00A279B4"/>
    <w:rsid w:val="00A3047D"/>
    <w:rsid w:val="00A30FB7"/>
    <w:rsid w:val="00A3343B"/>
    <w:rsid w:val="00A34E6C"/>
    <w:rsid w:val="00A37C8D"/>
    <w:rsid w:val="00A4038C"/>
    <w:rsid w:val="00A45E55"/>
    <w:rsid w:val="00A45F70"/>
    <w:rsid w:val="00A51174"/>
    <w:rsid w:val="00A519F1"/>
    <w:rsid w:val="00A51B8C"/>
    <w:rsid w:val="00A5273B"/>
    <w:rsid w:val="00A53A9D"/>
    <w:rsid w:val="00A55FEE"/>
    <w:rsid w:val="00A614F1"/>
    <w:rsid w:val="00A62C1A"/>
    <w:rsid w:val="00A63A5E"/>
    <w:rsid w:val="00A6426D"/>
    <w:rsid w:val="00A665C1"/>
    <w:rsid w:val="00A67054"/>
    <w:rsid w:val="00A70057"/>
    <w:rsid w:val="00A70622"/>
    <w:rsid w:val="00A70977"/>
    <w:rsid w:val="00A74663"/>
    <w:rsid w:val="00A74A39"/>
    <w:rsid w:val="00A76B24"/>
    <w:rsid w:val="00A77613"/>
    <w:rsid w:val="00A8390C"/>
    <w:rsid w:val="00A928BD"/>
    <w:rsid w:val="00AA09BC"/>
    <w:rsid w:val="00AA1402"/>
    <w:rsid w:val="00AA38B0"/>
    <w:rsid w:val="00AA4D1C"/>
    <w:rsid w:val="00AA6705"/>
    <w:rsid w:val="00AB136C"/>
    <w:rsid w:val="00AB2DB3"/>
    <w:rsid w:val="00AB3375"/>
    <w:rsid w:val="00AB6670"/>
    <w:rsid w:val="00AB7EBE"/>
    <w:rsid w:val="00AC1285"/>
    <w:rsid w:val="00AC193C"/>
    <w:rsid w:val="00AC47A2"/>
    <w:rsid w:val="00AC5206"/>
    <w:rsid w:val="00AC6984"/>
    <w:rsid w:val="00AD3160"/>
    <w:rsid w:val="00AE11A5"/>
    <w:rsid w:val="00AE13E2"/>
    <w:rsid w:val="00AE22D3"/>
    <w:rsid w:val="00AE2D1F"/>
    <w:rsid w:val="00AF3E34"/>
    <w:rsid w:val="00AF62DF"/>
    <w:rsid w:val="00AF68CC"/>
    <w:rsid w:val="00B01C8B"/>
    <w:rsid w:val="00B0291F"/>
    <w:rsid w:val="00B037FE"/>
    <w:rsid w:val="00B05064"/>
    <w:rsid w:val="00B06FD6"/>
    <w:rsid w:val="00B1059E"/>
    <w:rsid w:val="00B113AD"/>
    <w:rsid w:val="00B12047"/>
    <w:rsid w:val="00B14435"/>
    <w:rsid w:val="00B1491D"/>
    <w:rsid w:val="00B176C8"/>
    <w:rsid w:val="00B205AA"/>
    <w:rsid w:val="00B2140D"/>
    <w:rsid w:val="00B22E84"/>
    <w:rsid w:val="00B256D5"/>
    <w:rsid w:val="00B25F75"/>
    <w:rsid w:val="00B26B3F"/>
    <w:rsid w:val="00B309F0"/>
    <w:rsid w:val="00B30A4A"/>
    <w:rsid w:val="00B42BB1"/>
    <w:rsid w:val="00B43E90"/>
    <w:rsid w:val="00B467DC"/>
    <w:rsid w:val="00B47F3B"/>
    <w:rsid w:val="00B50F22"/>
    <w:rsid w:val="00B56118"/>
    <w:rsid w:val="00B60A9D"/>
    <w:rsid w:val="00B6218A"/>
    <w:rsid w:val="00B67224"/>
    <w:rsid w:val="00B6773F"/>
    <w:rsid w:val="00B74294"/>
    <w:rsid w:val="00B801BA"/>
    <w:rsid w:val="00B80E1C"/>
    <w:rsid w:val="00B84D5C"/>
    <w:rsid w:val="00B85F4C"/>
    <w:rsid w:val="00B917E0"/>
    <w:rsid w:val="00B9240D"/>
    <w:rsid w:val="00B94032"/>
    <w:rsid w:val="00B966A5"/>
    <w:rsid w:val="00BA2097"/>
    <w:rsid w:val="00BA297F"/>
    <w:rsid w:val="00BA6A68"/>
    <w:rsid w:val="00BB39AA"/>
    <w:rsid w:val="00BB69F5"/>
    <w:rsid w:val="00BB76FB"/>
    <w:rsid w:val="00BB7EC3"/>
    <w:rsid w:val="00BC190D"/>
    <w:rsid w:val="00BC4B9A"/>
    <w:rsid w:val="00BD1576"/>
    <w:rsid w:val="00BD784C"/>
    <w:rsid w:val="00BE074D"/>
    <w:rsid w:val="00BF323D"/>
    <w:rsid w:val="00BF4CB6"/>
    <w:rsid w:val="00BF74D8"/>
    <w:rsid w:val="00C00DA7"/>
    <w:rsid w:val="00C0263F"/>
    <w:rsid w:val="00C02CB5"/>
    <w:rsid w:val="00C07742"/>
    <w:rsid w:val="00C12768"/>
    <w:rsid w:val="00C13A2E"/>
    <w:rsid w:val="00C27B58"/>
    <w:rsid w:val="00C35996"/>
    <w:rsid w:val="00C413B4"/>
    <w:rsid w:val="00C428A6"/>
    <w:rsid w:val="00C4418B"/>
    <w:rsid w:val="00C4747E"/>
    <w:rsid w:val="00C530AE"/>
    <w:rsid w:val="00C5342C"/>
    <w:rsid w:val="00C550CF"/>
    <w:rsid w:val="00C557F6"/>
    <w:rsid w:val="00C56F90"/>
    <w:rsid w:val="00C603D4"/>
    <w:rsid w:val="00C6256A"/>
    <w:rsid w:val="00C71DD3"/>
    <w:rsid w:val="00C77891"/>
    <w:rsid w:val="00C86D5C"/>
    <w:rsid w:val="00C87270"/>
    <w:rsid w:val="00C91449"/>
    <w:rsid w:val="00C92D10"/>
    <w:rsid w:val="00C92D3A"/>
    <w:rsid w:val="00CA0C53"/>
    <w:rsid w:val="00CA1A34"/>
    <w:rsid w:val="00CA4063"/>
    <w:rsid w:val="00CA64AF"/>
    <w:rsid w:val="00CA6EDA"/>
    <w:rsid w:val="00CB326A"/>
    <w:rsid w:val="00CB5A69"/>
    <w:rsid w:val="00CB799E"/>
    <w:rsid w:val="00CC0755"/>
    <w:rsid w:val="00CC3FA5"/>
    <w:rsid w:val="00CC6F40"/>
    <w:rsid w:val="00CC7C42"/>
    <w:rsid w:val="00CD1C54"/>
    <w:rsid w:val="00CE10C4"/>
    <w:rsid w:val="00CE27B5"/>
    <w:rsid w:val="00CF1CB0"/>
    <w:rsid w:val="00CF3F3D"/>
    <w:rsid w:val="00CF413B"/>
    <w:rsid w:val="00D025CA"/>
    <w:rsid w:val="00D02760"/>
    <w:rsid w:val="00D031A6"/>
    <w:rsid w:val="00D0321E"/>
    <w:rsid w:val="00D111C2"/>
    <w:rsid w:val="00D11E7C"/>
    <w:rsid w:val="00D1455A"/>
    <w:rsid w:val="00D1530F"/>
    <w:rsid w:val="00D231AD"/>
    <w:rsid w:val="00D25A01"/>
    <w:rsid w:val="00D25FF3"/>
    <w:rsid w:val="00D31150"/>
    <w:rsid w:val="00D3138B"/>
    <w:rsid w:val="00D3280C"/>
    <w:rsid w:val="00D3406A"/>
    <w:rsid w:val="00D371B3"/>
    <w:rsid w:val="00D42802"/>
    <w:rsid w:val="00D4572C"/>
    <w:rsid w:val="00D469B2"/>
    <w:rsid w:val="00D476CD"/>
    <w:rsid w:val="00D57995"/>
    <w:rsid w:val="00D57C6A"/>
    <w:rsid w:val="00D71ABD"/>
    <w:rsid w:val="00D741EB"/>
    <w:rsid w:val="00D828A4"/>
    <w:rsid w:val="00D83605"/>
    <w:rsid w:val="00D84934"/>
    <w:rsid w:val="00D8727A"/>
    <w:rsid w:val="00D91271"/>
    <w:rsid w:val="00D91848"/>
    <w:rsid w:val="00D919F5"/>
    <w:rsid w:val="00D94F03"/>
    <w:rsid w:val="00D95E60"/>
    <w:rsid w:val="00DA02B4"/>
    <w:rsid w:val="00DA10E6"/>
    <w:rsid w:val="00DA1542"/>
    <w:rsid w:val="00DA1671"/>
    <w:rsid w:val="00DA2CB5"/>
    <w:rsid w:val="00DA4BAC"/>
    <w:rsid w:val="00DB2780"/>
    <w:rsid w:val="00DB2E00"/>
    <w:rsid w:val="00DB3F93"/>
    <w:rsid w:val="00DB5B60"/>
    <w:rsid w:val="00DC4EB9"/>
    <w:rsid w:val="00DD1B8B"/>
    <w:rsid w:val="00DD300E"/>
    <w:rsid w:val="00DD41BD"/>
    <w:rsid w:val="00DD6A8B"/>
    <w:rsid w:val="00DD6D5F"/>
    <w:rsid w:val="00DE6675"/>
    <w:rsid w:val="00DE6D27"/>
    <w:rsid w:val="00DE75E6"/>
    <w:rsid w:val="00DF217D"/>
    <w:rsid w:val="00DF26A7"/>
    <w:rsid w:val="00DF5565"/>
    <w:rsid w:val="00E05901"/>
    <w:rsid w:val="00E07DF1"/>
    <w:rsid w:val="00E15627"/>
    <w:rsid w:val="00E164B3"/>
    <w:rsid w:val="00E16910"/>
    <w:rsid w:val="00E22BC2"/>
    <w:rsid w:val="00E24947"/>
    <w:rsid w:val="00E2558D"/>
    <w:rsid w:val="00E26127"/>
    <w:rsid w:val="00E32991"/>
    <w:rsid w:val="00E35D48"/>
    <w:rsid w:val="00E40034"/>
    <w:rsid w:val="00E406E5"/>
    <w:rsid w:val="00E42BDB"/>
    <w:rsid w:val="00E442EF"/>
    <w:rsid w:val="00E4535E"/>
    <w:rsid w:val="00E45A65"/>
    <w:rsid w:val="00E57EEB"/>
    <w:rsid w:val="00E608F3"/>
    <w:rsid w:val="00E62D94"/>
    <w:rsid w:val="00E65E54"/>
    <w:rsid w:val="00E742F8"/>
    <w:rsid w:val="00E77BA8"/>
    <w:rsid w:val="00E80155"/>
    <w:rsid w:val="00E803EC"/>
    <w:rsid w:val="00E81F28"/>
    <w:rsid w:val="00E848C0"/>
    <w:rsid w:val="00E91B96"/>
    <w:rsid w:val="00E941A1"/>
    <w:rsid w:val="00E95CE3"/>
    <w:rsid w:val="00EA1895"/>
    <w:rsid w:val="00EA20D3"/>
    <w:rsid w:val="00EA2425"/>
    <w:rsid w:val="00EA2825"/>
    <w:rsid w:val="00EB0B63"/>
    <w:rsid w:val="00EB1936"/>
    <w:rsid w:val="00EB235E"/>
    <w:rsid w:val="00EB3191"/>
    <w:rsid w:val="00EB4238"/>
    <w:rsid w:val="00EB5088"/>
    <w:rsid w:val="00EB51A6"/>
    <w:rsid w:val="00EB5F47"/>
    <w:rsid w:val="00EC046E"/>
    <w:rsid w:val="00EC1D22"/>
    <w:rsid w:val="00EC39AF"/>
    <w:rsid w:val="00ED1644"/>
    <w:rsid w:val="00ED2593"/>
    <w:rsid w:val="00ED4AA2"/>
    <w:rsid w:val="00ED7D9C"/>
    <w:rsid w:val="00EE101A"/>
    <w:rsid w:val="00EE1B52"/>
    <w:rsid w:val="00EF44A0"/>
    <w:rsid w:val="00EF4FED"/>
    <w:rsid w:val="00EF75DA"/>
    <w:rsid w:val="00F03F24"/>
    <w:rsid w:val="00F050BD"/>
    <w:rsid w:val="00F05657"/>
    <w:rsid w:val="00F16933"/>
    <w:rsid w:val="00F22829"/>
    <w:rsid w:val="00F25578"/>
    <w:rsid w:val="00F258E5"/>
    <w:rsid w:val="00F27A5F"/>
    <w:rsid w:val="00F300BC"/>
    <w:rsid w:val="00F30615"/>
    <w:rsid w:val="00F3334E"/>
    <w:rsid w:val="00F35C0D"/>
    <w:rsid w:val="00F36CCB"/>
    <w:rsid w:val="00F372C4"/>
    <w:rsid w:val="00F374E5"/>
    <w:rsid w:val="00F41767"/>
    <w:rsid w:val="00F42CDB"/>
    <w:rsid w:val="00F43AF2"/>
    <w:rsid w:val="00F44999"/>
    <w:rsid w:val="00F47734"/>
    <w:rsid w:val="00F5007E"/>
    <w:rsid w:val="00F50EC4"/>
    <w:rsid w:val="00F52DC2"/>
    <w:rsid w:val="00F550CF"/>
    <w:rsid w:val="00F57A6D"/>
    <w:rsid w:val="00F625A9"/>
    <w:rsid w:val="00F638CC"/>
    <w:rsid w:val="00F641D0"/>
    <w:rsid w:val="00F64CC1"/>
    <w:rsid w:val="00F72317"/>
    <w:rsid w:val="00F73D30"/>
    <w:rsid w:val="00F80475"/>
    <w:rsid w:val="00F81C45"/>
    <w:rsid w:val="00F8247A"/>
    <w:rsid w:val="00F84778"/>
    <w:rsid w:val="00F9325D"/>
    <w:rsid w:val="00F95722"/>
    <w:rsid w:val="00F957B8"/>
    <w:rsid w:val="00F9629A"/>
    <w:rsid w:val="00F96AAC"/>
    <w:rsid w:val="00F97B86"/>
    <w:rsid w:val="00F97BC3"/>
    <w:rsid w:val="00F97EFC"/>
    <w:rsid w:val="00FA4297"/>
    <w:rsid w:val="00FA4F14"/>
    <w:rsid w:val="00FA5883"/>
    <w:rsid w:val="00FA6055"/>
    <w:rsid w:val="00FB1A82"/>
    <w:rsid w:val="00FB2CBA"/>
    <w:rsid w:val="00FB322F"/>
    <w:rsid w:val="00FB3D5B"/>
    <w:rsid w:val="00FB442F"/>
    <w:rsid w:val="00FC1546"/>
    <w:rsid w:val="00FC1929"/>
    <w:rsid w:val="00FC5B46"/>
    <w:rsid w:val="00FC5E4F"/>
    <w:rsid w:val="00FC758B"/>
    <w:rsid w:val="00FD43C6"/>
    <w:rsid w:val="00FD4D3A"/>
    <w:rsid w:val="00FD6D8E"/>
    <w:rsid w:val="00FE05C6"/>
    <w:rsid w:val="00FE0E94"/>
    <w:rsid w:val="00FE1515"/>
    <w:rsid w:val="00FE26D2"/>
    <w:rsid w:val="00FF00BD"/>
    <w:rsid w:val="00FF1ED4"/>
    <w:rsid w:val="00FF2801"/>
    <w:rsid w:val="00FF2A91"/>
    <w:rsid w:val="00FF58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rPr>
      <w:rFonts w:ascii="Tahoma" w:hAnsi="Tahoma" w:cs="Tahoma"/>
      <w:sz w:val="16"/>
      <w:szCs w:val="16"/>
    </w:rPr>
  </w:style>
  <w:style w:type="table" w:styleId="TableGrid">
    <w:name w:val="Table Grid"/>
    <w:aliases w:val="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aliases w:val="Main text,Title Page text"/>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uiPriority w:val="99"/>
    <w:unhideWhenUsed/>
    <w:rsid w:val="007D7943"/>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7D7943"/>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7D7943"/>
    <w:rPr>
      <w:vertAlign w:val="superscript"/>
    </w:rPr>
  </w:style>
  <w:style w:type="paragraph" w:customStyle="1" w:styleId="TableText0">
    <w:name w:val="Table Text"/>
    <w:basedOn w:val="Normal"/>
    <w:link w:val="TableTextChar"/>
    <w:qFormat/>
    <w:rsid w:val="002669E2"/>
    <w:pPr>
      <w:spacing w:before="40" w:after="40"/>
    </w:pPr>
    <w:rPr>
      <w:rFonts w:ascii="Garamond" w:eastAsiaTheme="minorHAnsi" w:hAnsi="Garamond" w:cstheme="minorBidi"/>
      <w:sz w:val="22"/>
      <w:szCs w:val="22"/>
      <w:lang w:eastAsia="en-US"/>
    </w:rPr>
  </w:style>
  <w:style w:type="character" w:customStyle="1" w:styleId="TableTextChar">
    <w:name w:val="Table Text Char"/>
    <w:link w:val="TableText0"/>
    <w:rsid w:val="002669E2"/>
    <w:rPr>
      <w:rFonts w:ascii="Garamond" w:eastAsiaTheme="minorHAnsi" w:hAnsi="Garamond" w:cstheme="minorBidi"/>
      <w:sz w:val="22"/>
      <w:szCs w:val="22"/>
      <w:lang w:eastAsia="en-US"/>
    </w:rPr>
  </w:style>
  <w:style w:type="character" w:customStyle="1" w:styleId="BalloonTextChar">
    <w:name w:val="Balloon Text Char"/>
    <w:basedOn w:val="DefaultParagraphFont"/>
    <w:link w:val="BalloonText"/>
    <w:uiPriority w:val="99"/>
    <w:rsid w:val="00157A30"/>
    <w:rPr>
      <w:rFonts w:ascii="Tahoma" w:hAnsi="Tahoma" w:cs="Tahoma"/>
      <w:sz w:val="16"/>
      <w:szCs w:val="16"/>
    </w:rPr>
  </w:style>
  <w:style w:type="character" w:customStyle="1" w:styleId="MainBodyTextEmphasiswithBold">
    <w:name w:val="Main Body Text Emphasis with Bold"/>
    <w:qFormat/>
    <w:rsid w:val="00EF75DA"/>
    <w:rPr>
      <w:b/>
    </w:rPr>
  </w:style>
  <w:style w:type="character" w:customStyle="1" w:styleId="NoSpacingChar">
    <w:name w:val="No Spacing Char"/>
    <w:aliases w:val="Main text Char,Title Page text Char"/>
    <w:basedOn w:val="DefaultParagraphFont"/>
    <w:link w:val="NoSpacing"/>
    <w:uiPriority w:val="1"/>
    <w:rsid w:val="00EF75DA"/>
    <w:rPr>
      <w:rFonts w:ascii="Arial" w:hAnsi="Arial"/>
      <w:sz w:val="22"/>
      <w:szCs w:val="22"/>
    </w:rPr>
  </w:style>
  <w:style w:type="paragraph" w:customStyle="1" w:styleId="TableFigHeading">
    <w:name w:val="Table&amp;Fig Heading"/>
    <w:qFormat/>
    <w:rsid w:val="00FB3D5B"/>
    <w:pPr>
      <w:spacing w:after="60"/>
      <w:jc w:val="both"/>
    </w:pPr>
    <w:rPr>
      <w:rFonts w:ascii="Garamond" w:eastAsiaTheme="minorHAnsi" w:hAnsi="Garamond" w:cstheme="minorBidi"/>
      <w:b/>
      <w:sz w:val="22"/>
      <w:szCs w:val="22"/>
      <w:lang w:eastAsia="en-US"/>
    </w:rPr>
  </w:style>
  <w:style w:type="table" w:customStyle="1" w:styleId="TableGrid1">
    <w:name w:val="Table Grid1"/>
    <w:basedOn w:val="TableNormal"/>
    <w:next w:val="TableGrid"/>
    <w:uiPriority w:val="59"/>
    <w:rsid w:val="00FB3D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FB3D5B"/>
    <w:rPr>
      <w:sz w:val="24"/>
      <w:szCs w:val="24"/>
    </w:rPr>
  </w:style>
  <w:style w:type="paragraph" w:customStyle="1" w:styleId="Default">
    <w:name w:val="Default"/>
    <w:rsid w:val="00BA297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E7D40-3A22-4437-9028-DA300726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4026</Words>
  <Characters>23192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2019-06-27T00:23:00Z</dcterms:created>
  <dcterms:modified xsi:type="dcterms:W3CDTF">2019-07-01T05:21:00Z</dcterms:modified>
</cp:coreProperties>
</file>